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79FF" w14:textId="4E464B1B" w:rsidR="00401FB2" w:rsidRDefault="00A95EF7">
      <w:pPr>
        <w:tabs>
          <w:tab w:val="clear" w:pos="567"/>
        </w:tabs>
        <w:spacing w:before="0" w:after="200" w:line="276" w:lineRule="auto"/>
        <w:rPr>
          <w:rFonts w:ascii="Work Sans" w:hAnsi="Work Sans"/>
          <w:sz w:val="24"/>
          <w:szCs w:val="24"/>
        </w:rPr>
      </w:pPr>
      <w:r>
        <w:rPr>
          <w:noProof/>
        </w:rPr>
        <w:drawing>
          <wp:anchor distT="0" distB="0" distL="114300" distR="114300" simplePos="0" relativeHeight="251658240" behindDoc="1" locked="0" layoutInCell="1" allowOverlap="1" wp14:anchorId="27FE9D45" wp14:editId="46CE6CD7">
            <wp:simplePos x="0" y="0"/>
            <wp:positionH relativeFrom="margin">
              <wp:posOffset>-1001302</wp:posOffset>
            </wp:positionH>
            <wp:positionV relativeFrom="paragraph">
              <wp:posOffset>-917171</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p>
    <w:p w14:paraId="4065D700" w14:textId="52B6EA45" w:rsidR="00A5102B" w:rsidRPr="0040294B" w:rsidRDefault="00401FB2" w:rsidP="00A5102B">
      <w:pPr>
        <w:rPr>
          <w:rFonts w:ascii="Work Sans" w:hAnsi="Work Sans"/>
          <w:sz w:val="24"/>
          <w:szCs w:val="24"/>
        </w:rPr>
      </w:pPr>
      <w:r>
        <w:rPr>
          <w:noProof/>
        </w:rPr>
        <w:drawing>
          <wp:inline distT="0" distB="0" distL="0" distR="0" wp14:anchorId="7326E3C6" wp14:editId="352B63F6">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35F0A816" w14:textId="77777777" w:rsidR="00A5102B" w:rsidRPr="00F0686F" w:rsidRDefault="00A5102B" w:rsidP="00A5102B">
      <w:pPr>
        <w:rPr>
          <w:rFonts w:ascii="Work Sans" w:hAnsi="Work Sans"/>
          <w:sz w:val="24"/>
          <w:szCs w:val="24"/>
        </w:rPr>
      </w:pPr>
    </w:p>
    <w:p w14:paraId="6C6D2044" w14:textId="77777777" w:rsidR="00A5102B" w:rsidRPr="00F0686F" w:rsidRDefault="00A5102B" w:rsidP="00A5102B">
      <w:pPr>
        <w:rPr>
          <w:rFonts w:ascii="Work Sans" w:hAnsi="Work Sans"/>
          <w:sz w:val="24"/>
          <w:szCs w:val="24"/>
        </w:rPr>
      </w:pPr>
    </w:p>
    <w:p w14:paraId="317BCD76" w14:textId="77777777" w:rsidR="00A5102B" w:rsidRDefault="00A5102B" w:rsidP="004477FF">
      <w:pPr>
        <w:pStyle w:val="CGCNumberedPara"/>
        <w:ind w:left="567" w:hanging="567"/>
      </w:pPr>
    </w:p>
    <w:p w14:paraId="7585EBF9" w14:textId="77777777" w:rsidR="00246686" w:rsidRDefault="00246686" w:rsidP="00AB13AF">
      <w:pPr>
        <w:tabs>
          <w:tab w:val="clear" w:pos="567"/>
          <w:tab w:val="left" w:pos="2515"/>
        </w:tabs>
        <w:rPr>
          <w:rFonts w:ascii="Work Sans" w:hAnsi="Work Sans"/>
          <w:sz w:val="24"/>
          <w:szCs w:val="24"/>
        </w:rPr>
      </w:pPr>
    </w:p>
    <w:p w14:paraId="2DBAB3EF"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7E73A7DB" wp14:editId="35FB762B">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6BFB3504"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1F2DBFE9"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3A7DB"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6BFB3504"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1F2DBFE9"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6E9590B1" w14:textId="77777777" w:rsidR="00A5102B" w:rsidRPr="00F0686F" w:rsidRDefault="00A5102B" w:rsidP="00545F2D">
      <w:pPr>
        <w:rPr>
          <w:rFonts w:ascii="Work Sans" w:hAnsi="Work Sans"/>
          <w:sz w:val="24"/>
          <w:szCs w:val="24"/>
        </w:rPr>
      </w:pPr>
    </w:p>
    <w:p w14:paraId="7ADCD154" w14:textId="77777777" w:rsidR="00A5102B" w:rsidRDefault="00A5102B" w:rsidP="00A5102B">
      <w:pPr>
        <w:rPr>
          <w:rFonts w:ascii="Work Sans" w:hAnsi="Work Sans"/>
          <w:sz w:val="24"/>
          <w:szCs w:val="24"/>
        </w:rPr>
      </w:pPr>
    </w:p>
    <w:p w14:paraId="04578D9D" w14:textId="77777777" w:rsidR="00A5102B" w:rsidRDefault="00A5102B" w:rsidP="00A5102B">
      <w:pPr>
        <w:rPr>
          <w:rFonts w:ascii="Work Sans" w:hAnsi="Work Sans"/>
          <w:sz w:val="24"/>
          <w:szCs w:val="24"/>
        </w:rPr>
      </w:pPr>
    </w:p>
    <w:p w14:paraId="2DE06A85" w14:textId="77777777" w:rsidR="00A5102B" w:rsidRDefault="00A5102B" w:rsidP="00A5102B">
      <w:pPr>
        <w:rPr>
          <w:rFonts w:ascii="Work Sans" w:hAnsi="Work Sans"/>
          <w:sz w:val="24"/>
          <w:szCs w:val="24"/>
        </w:rPr>
      </w:pPr>
    </w:p>
    <w:p w14:paraId="156349C9" w14:textId="77777777" w:rsidR="00A5102B" w:rsidRDefault="00A5102B" w:rsidP="00A5102B">
      <w:pPr>
        <w:rPr>
          <w:rFonts w:ascii="Work Sans" w:hAnsi="Work Sans"/>
          <w:sz w:val="24"/>
          <w:szCs w:val="24"/>
        </w:rPr>
      </w:pPr>
    </w:p>
    <w:p w14:paraId="1D1252DA"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0AF121F9" wp14:editId="5FB0F278">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4E6F578E" w14:textId="1E93E271" w:rsidR="0036633A" w:rsidRPr="0036633A" w:rsidRDefault="009878D7" w:rsidP="0036633A">
                            <w:pPr>
                              <w:jc w:val="center"/>
                              <w:rPr>
                                <w:rFonts w:ascii="Work Sans" w:hAnsi="Work Sans" w:cs="Open Sans"/>
                                <w:color w:val="FFFFFF"/>
                                <w:sz w:val="52"/>
                                <w:szCs w:val="56"/>
                              </w:rPr>
                            </w:pPr>
                            <w:r>
                              <w:rPr>
                                <w:rFonts w:ascii="Work Sans" w:hAnsi="Work Sans" w:cs="Open Sans"/>
                                <w:color w:val="FFFFFF"/>
                                <w:sz w:val="52"/>
                                <w:szCs w:val="56"/>
                              </w:rPr>
                              <w:t xml:space="preserve">Services to </w:t>
                            </w:r>
                            <w:r w:rsidR="008C49F5">
                              <w:rPr>
                                <w:rFonts w:ascii="Work Sans" w:hAnsi="Work Sans" w:cs="Open Sans"/>
                                <w:color w:val="FFFFFF"/>
                                <w:sz w:val="52"/>
                                <w:szCs w:val="56"/>
                              </w:rPr>
                              <w:t>i</w:t>
                            </w:r>
                            <w:r>
                              <w:rPr>
                                <w:rFonts w:ascii="Work Sans" w:hAnsi="Work Sans" w:cs="Open Sans"/>
                                <w:color w:val="FFFFFF"/>
                                <w:sz w:val="52"/>
                                <w:szCs w:val="56"/>
                              </w:rPr>
                              <w:t>ndustry</w:t>
                            </w:r>
                            <w:r w:rsidR="0036633A">
                              <w:rPr>
                                <w:rFonts w:ascii="Work Sans" w:hAnsi="Work Sans" w:cs="Open Sans"/>
                                <w:color w:val="FFFFFF"/>
                                <w:sz w:val="52"/>
                                <w:szCs w:val="56"/>
                              </w:rPr>
                              <w:br/>
                            </w:r>
                            <w:r w:rsidR="0030523F">
                              <w:rPr>
                                <w:rFonts w:ascii="Work Sans" w:hAnsi="Work Sans" w:cs="Open Sans"/>
                                <w:color w:val="FFFFFF"/>
                                <w:sz w:val="52"/>
                                <w:szCs w:val="56"/>
                              </w:rPr>
                              <w:t>consultation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21F9"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4E6F578E" w14:textId="1E93E271" w:rsidR="0036633A" w:rsidRPr="0036633A" w:rsidRDefault="009878D7" w:rsidP="0036633A">
                      <w:pPr>
                        <w:jc w:val="center"/>
                        <w:rPr>
                          <w:rFonts w:ascii="Work Sans" w:hAnsi="Work Sans" w:cs="Open Sans"/>
                          <w:color w:val="FFFFFF"/>
                          <w:sz w:val="52"/>
                          <w:szCs w:val="56"/>
                        </w:rPr>
                      </w:pPr>
                      <w:r>
                        <w:rPr>
                          <w:rFonts w:ascii="Work Sans" w:hAnsi="Work Sans" w:cs="Open Sans"/>
                          <w:color w:val="FFFFFF"/>
                          <w:sz w:val="52"/>
                          <w:szCs w:val="56"/>
                        </w:rPr>
                        <w:t xml:space="preserve">Services to </w:t>
                      </w:r>
                      <w:r w:rsidR="008C49F5">
                        <w:rPr>
                          <w:rFonts w:ascii="Work Sans" w:hAnsi="Work Sans" w:cs="Open Sans"/>
                          <w:color w:val="FFFFFF"/>
                          <w:sz w:val="52"/>
                          <w:szCs w:val="56"/>
                        </w:rPr>
                        <w:t>i</w:t>
                      </w:r>
                      <w:r>
                        <w:rPr>
                          <w:rFonts w:ascii="Work Sans" w:hAnsi="Work Sans" w:cs="Open Sans"/>
                          <w:color w:val="FFFFFF"/>
                          <w:sz w:val="52"/>
                          <w:szCs w:val="56"/>
                        </w:rPr>
                        <w:t>ndustry</w:t>
                      </w:r>
                      <w:r w:rsidR="0036633A">
                        <w:rPr>
                          <w:rFonts w:ascii="Work Sans" w:hAnsi="Work Sans" w:cs="Open Sans"/>
                          <w:color w:val="FFFFFF"/>
                          <w:sz w:val="52"/>
                          <w:szCs w:val="56"/>
                        </w:rPr>
                        <w:br/>
                      </w:r>
                      <w:r w:rsidR="0030523F">
                        <w:rPr>
                          <w:rFonts w:ascii="Work Sans" w:hAnsi="Work Sans" w:cs="Open Sans"/>
                          <w:color w:val="FFFFFF"/>
                          <w:sz w:val="52"/>
                          <w:szCs w:val="56"/>
                        </w:rPr>
                        <w:t>consultation paper</w:t>
                      </w:r>
                    </w:p>
                  </w:txbxContent>
                </v:textbox>
                <w10:wrap anchorx="margin" anchory="page"/>
              </v:shape>
            </w:pict>
          </mc:Fallback>
        </mc:AlternateContent>
      </w:r>
    </w:p>
    <w:p w14:paraId="63013CD3" w14:textId="77777777" w:rsidR="00A5102B" w:rsidRDefault="00A5102B" w:rsidP="002A45B1">
      <w:pPr>
        <w:jc w:val="center"/>
        <w:rPr>
          <w:rFonts w:ascii="Work Sans" w:hAnsi="Work Sans"/>
          <w:sz w:val="24"/>
          <w:szCs w:val="24"/>
        </w:rPr>
      </w:pPr>
    </w:p>
    <w:p w14:paraId="41875D5E" w14:textId="77777777" w:rsidR="00A5102B" w:rsidRDefault="00A5102B" w:rsidP="00704788">
      <w:pPr>
        <w:rPr>
          <w:rFonts w:ascii="Work Sans" w:hAnsi="Work Sans" w:cs="Open Sans"/>
          <w:color w:val="FFFFFF"/>
          <w:sz w:val="28"/>
          <w:szCs w:val="28"/>
        </w:rPr>
      </w:pPr>
    </w:p>
    <w:p w14:paraId="0115BC83" w14:textId="77777777" w:rsidR="00704788" w:rsidRDefault="00704788" w:rsidP="00704788">
      <w:pPr>
        <w:rPr>
          <w:rFonts w:ascii="Work Sans" w:hAnsi="Work Sans" w:cs="Open Sans"/>
          <w:color w:val="FFFFFF"/>
          <w:sz w:val="28"/>
          <w:szCs w:val="28"/>
        </w:rPr>
      </w:pPr>
    </w:p>
    <w:p w14:paraId="39EDAD81" w14:textId="77777777" w:rsidR="00704788" w:rsidRDefault="00704788" w:rsidP="00704788">
      <w:pPr>
        <w:rPr>
          <w:rFonts w:ascii="Work Sans" w:hAnsi="Work Sans" w:cs="Open Sans"/>
          <w:color w:val="FFFFFF"/>
          <w:sz w:val="28"/>
          <w:szCs w:val="28"/>
        </w:rPr>
      </w:pPr>
    </w:p>
    <w:p w14:paraId="6E260561" w14:textId="77777777" w:rsidR="00704788" w:rsidRDefault="00704788" w:rsidP="00704788">
      <w:pPr>
        <w:rPr>
          <w:rFonts w:ascii="Work Sans" w:hAnsi="Work Sans" w:cs="Open Sans"/>
          <w:color w:val="FFFFFF"/>
          <w:sz w:val="28"/>
          <w:szCs w:val="28"/>
        </w:rPr>
      </w:pPr>
    </w:p>
    <w:p w14:paraId="43A94589" w14:textId="77777777" w:rsidR="00704788" w:rsidRDefault="00704788" w:rsidP="00704788">
      <w:pPr>
        <w:rPr>
          <w:rFonts w:ascii="Work Sans" w:hAnsi="Work Sans" w:cs="Open Sans"/>
          <w:color w:val="FFFFFF"/>
          <w:sz w:val="28"/>
          <w:szCs w:val="28"/>
        </w:rPr>
      </w:pPr>
    </w:p>
    <w:p w14:paraId="4FDD76CE" w14:textId="77777777" w:rsidR="00704788" w:rsidRDefault="00704788" w:rsidP="00704788">
      <w:pPr>
        <w:rPr>
          <w:rFonts w:ascii="Work Sans" w:hAnsi="Work Sans" w:cs="Open Sans"/>
          <w:color w:val="FFFFFF"/>
          <w:sz w:val="28"/>
          <w:szCs w:val="28"/>
        </w:rPr>
      </w:pPr>
    </w:p>
    <w:p w14:paraId="7E239519"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2252DB75" wp14:editId="5FB9E6A0">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3909B387" w14:textId="2CFA1122" w:rsidR="00BA4C59" w:rsidRPr="00BA4C59" w:rsidRDefault="00857FBD"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2A4CD3">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2DB75"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3909B387" w14:textId="2CFA1122" w:rsidR="00BA4C59" w:rsidRPr="00BA4C59" w:rsidRDefault="00857FBD"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2A4CD3">
                        <w:rPr>
                          <w:rFonts w:ascii="Work Sans" w:hAnsi="Work Sans" w:cs="Open Sans"/>
                          <w:color w:val="FFFFFF"/>
                          <w:sz w:val="28"/>
                          <w:szCs w:val="28"/>
                        </w:rPr>
                        <w:t xml:space="preserve"> 2023</w:t>
                      </w:r>
                    </w:p>
                  </w:txbxContent>
                </v:textbox>
                <w10:wrap anchorx="margin" anchory="page"/>
              </v:shape>
            </w:pict>
          </mc:Fallback>
        </mc:AlternateContent>
      </w:r>
    </w:p>
    <w:p w14:paraId="361BDF3C" w14:textId="77777777" w:rsidR="00704788" w:rsidRDefault="00704788" w:rsidP="00DB5889">
      <w:pPr>
        <w:rPr>
          <w:rFonts w:ascii="Work Sans" w:hAnsi="Work Sans" w:cs="Open Sans"/>
          <w:color w:val="FFFFFF"/>
          <w:sz w:val="28"/>
          <w:szCs w:val="28"/>
        </w:rPr>
      </w:pPr>
    </w:p>
    <w:p w14:paraId="664FE413" w14:textId="77777777" w:rsidR="00DB5889" w:rsidRPr="00704788" w:rsidRDefault="00DB5889" w:rsidP="00DB5889">
      <w:pPr>
        <w:rPr>
          <w:rFonts w:ascii="Work Sans" w:hAnsi="Work Sans" w:cs="Open Sans"/>
          <w:color w:val="FFFFFF"/>
          <w:sz w:val="28"/>
          <w:szCs w:val="28"/>
        </w:rPr>
      </w:pPr>
    </w:p>
    <w:p w14:paraId="21EDA098" w14:textId="77777777"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3436AC14" w14:textId="0FFCDA47" w:rsidR="00A5102B" w:rsidRPr="005B6B61" w:rsidRDefault="00A5102B" w:rsidP="005B6B61"/>
    <w:p w14:paraId="30745255" w14:textId="77777777" w:rsidR="00A5102B" w:rsidRPr="005B6B61" w:rsidRDefault="00A5102B" w:rsidP="005B6B61"/>
    <w:p w14:paraId="79876343" w14:textId="6E2A8C9B" w:rsidR="00A5102B" w:rsidRPr="005B6B61" w:rsidRDefault="00A5102B" w:rsidP="00970B60">
      <w:pPr>
        <w:tabs>
          <w:tab w:val="clear" w:pos="567"/>
          <w:tab w:val="left" w:pos="5615"/>
        </w:tabs>
      </w:pPr>
    </w:p>
    <w:p w14:paraId="59F8001E" w14:textId="77777777" w:rsidR="00A5102B" w:rsidRPr="005B6B61" w:rsidRDefault="00A5102B" w:rsidP="005B6B61"/>
    <w:p w14:paraId="1A2965A1" w14:textId="77777777" w:rsidR="00A5102B" w:rsidRPr="005B6B61" w:rsidRDefault="00A5102B" w:rsidP="005B6B61"/>
    <w:p w14:paraId="412C8617" w14:textId="77777777" w:rsidR="00A5102B" w:rsidRPr="005B6B61" w:rsidRDefault="00A5102B" w:rsidP="005B6B61"/>
    <w:p w14:paraId="6420E776" w14:textId="77777777" w:rsidR="00A5102B" w:rsidRPr="005B6B61" w:rsidRDefault="00A5102B" w:rsidP="005B6B61"/>
    <w:p w14:paraId="5D5C822A" w14:textId="77777777" w:rsidR="003119A7" w:rsidRDefault="003119A7" w:rsidP="005B6B61"/>
    <w:p w14:paraId="40FA7F77" w14:textId="77777777" w:rsidR="004F0684" w:rsidRDefault="004F0684" w:rsidP="005B6B61"/>
    <w:p w14:paraId="64F8DBE2" w14:textId="77777777" w:rsidR="004F0684" w:rsidRDefault="004F0684" w:rsidP="005B6B61"/>
    <w:p w14:paraId="3A185D45" w14:textId="77777777" w:rsidR="004F0684" w:rsidRDefault="004F0684" w:rsidP="005B6B61"/>
    <w:p w14:paraId="53BEF6AF" w14:textId="77777777" w:rsidR="004F0684" w:rsidRDefault="004F0684" w:rsidP="005B6B61"/>
    <w:p w14:paraId="600A7083" w14:textId="77777777" w:rsidR="004F0684" w:rsidRPr="005B6B61" w:rsidRDefault="004F0684" w:rsidP="005B6B61"/>
    <w:p w14:paraId="0B8B42BC" w14:textId="77777777" w:rsidR="003119A7" w:rsidRPr="005B6B61" w:rsidRDefault="003119A7" w:rsidP="005B6B61"/>
    <w:p w14:paraId="788BE469" w14:textId="77777777" w:rsidR="003119A7" w:rsidRPr="005B6B61" w:rsidRDefault="003119A7" w:rsidP="005B6B61"/>
    <w:p w14:paraId="3F3273CF"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1E0F1607" w14:textId="77777777" w:rsidTr="2BAD2FF1">
        <w:tc>
          <w:tcPr>
            <w:tcW w:w="2972" w:type="dxa"/>
          </w:tcPr>
          <w:p w14:paraId="0D91A943"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281739BF" w14:textId="2CF7A9B0" w:rsidR="00A5102B" w:rsidRPr="003119A7" w:rsidRDefault="000213FE" w:rsidP="003A0403">
            <w:pPr>
              <w:rPr>
                <w:rFonts w:ascii="Work Sans" w:hAnsi="Work Sans"/>
                <w:szCs w:val="20"/>
              </w:rPr>
            </w:pPr>
            <w:r>
              <w:rPr>
                <w:rFonts w:ascii="Work Sans" w:hAnsi="Work Sans"/>
                <w:szCs w:val="20"/>
              </w:rPr>
              <w:t>6 October 2023</w:t>
            </w:r>
          </w:p>
        </w:tc>
      </w:tr>
      <w:tr w:rsidR="00A5102B" w14:paraId="711B413D" w14:textId="77777777" w:rsidTr="2BAD2FF1">
        <w:tc>
          <w:tcPr>
            <w:tcW w:w="2972" w:type="dxa"/>
          </w:tcPr>
          <w:p w14:paraId="43CCC284"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214F0FBB" w14:textId="3A7921EE" w:rsidR="00A5102B" w:rsidRPr="00A7698F" w:rsidRDefault="00665FCB" w:rsidP="003A0403">
            <w:pPr>
              <w:rPr>
                <w:rFonts w:ascii="Work Sans" w:hAnsi="Work Sans"/>
                <w:szCs w:val="20"/>
              </w:rPr>
            </w:pPr>
            <w:r w:rsidRPr="00A7698F">
              <w:rPr>
                <w:rFonts w:ascii="Work Sans" w:hAnsi="Work Sans"/>
                <w:szCs w:val="20"/>
              </w:rPr>
              <w:t>Peter Lock</w:t>
            </w:r>
            <w:r w:rsidR="00A5102B" w:rsidRPr="00A7698F">
              <w:rPr>
                <w:rFonts w:ascii="Work Sans" w:hAnsi="Work Sans"/>
                <w:szCs w:val="20"/>
              </w:rPr>
              <w:t xml:space="preserve">, </w:t>
            </w:r>
            <w:r w:rsidR="006A6D8B" w:rsidRPr="00A7698F">
              <w:rPr>
                <w:rFonts w:ascii="Work Sans" w:hAnsi="Work Sans"/>
                <w:szCs w:val="20"/>
              </w:rPr>
              <w:t>02 62</w:t>
            </w:r>
            <w:r w:rsidR="00C61445" w:rsidRPr="00A7698F">
              <w:rPr>
                <w:rFonts w:ascii="Work Sans" w:hAnsi="Work Sans"/>
                <w:szCs w:val="20"/>
              </w:rPr>
              <w:t>18 5718</w:t>
            </w:r>
            <w:r w:rsidR="00A5102B" w:rsidRPr="00A7698F">
              <w:rPr>
                <w:rFonts w:ascii="Work Sans" w:hAnsi="Work Sans"/>
                <w:szCs w:val="20"/>
              </w:rPr>
              <w:t>,</w:t>
            </w:r>
            <w:r w:rsidR="007439CC" w:rsidRPr="00A7698F">
              <w:rPr>
                <w:rFonts w:ascii="Work Sans" w:hAnsi="Work Sans"/>
                <w:szCs w:val="20"/>
              </w:rPr>
              <w:t xml:space="preserve"> </w:t>
            </w:r>
            <w:hyperlink r:id="rId13" w:history="1">
              <w:r w:rsidR="00301421" w:rsidRPr="00A7698F">
                <w:rPr>
                  <w:rStyle w:val="Hyperlink"/>
                  <w:rFonts w:ascii="Work Sans" w:hAnsi="Work Sans"/>
                  <w:szCs w:val="20"/>
                </w:rPr>
                <w:t>Peter.Lock@cgc.gov.au</w:t>
              </w:r>
            </w:hyperlink>
          </w:p>
        </w:tc>
      </w:tr>
      <w:tr w:rsidR="00A5102B" w14:paraId="7F8BD633" w14:textId="77777777" w:rsidTr="2BAD2FF1">
        <w:tc>
          <w:tcPr>
            <w:tcW w:w="2972" w:type="dxa"/>
          </w:tcPr>
          <w:p w14:paraId="3DA2A5DD" w14:textId="77777777" w:rsidR="00A5102B" w:rsidRPr="003119A7" w:rsidRDefault="00A5102B" w:rsidP="003A0403">
            <w:pPr>
              <w:rPr>
                <w:rFonts w:ascii="Work Sans" w:hAnsi="Work Sans"/>
              </w:rPr>
            </w:pPr>
            <w:r w:rsidRPr="3E3845A6">
              <w:rPr>
                <w:rFonts w:ascii="Work Sans" w:hAnsi="Work Sans"/>
              </w:rPr>
              <w:t>Submissions sought by</w:t>
            </w:r>
          </w:p>
        </w:tc>
        <w:tc>
          <w:tcPr>
            <w:tcW w:w="6044" w:type="dxa"/>
          </w:tcPr>
          <w:p w14:paraId="23C1EDEC" w14:textId="70D2CB35" w:rsidR="00D76AB5" w:rsidRDefault="00244664" w:rsidP="003A0403">
            <w:pPr>
              <w:rPr>
                <w:rFonts w:ascii="Work Sans" w:hAnsi="Work Sans"/>
                <w:szCs w:val="20"/>
              </w:rPr>
            </w:pPr>
            <w:r>
              <w:rPr>
                <w:rFonts w:ascii="Work Sans" w:hAnsi="Work Sans"/>
                <w:szCs w:val="20"/>
              </w:rPr>
              <w:t>1 March 2024</w:t>
            </w:r>
            <w:r w:rsidR="00D76AB5" w:rsidRPr="003119A7">
              <w:rPr>
                <w:rFonts w:ascii="Work Sans" w:hAnsi="Work Sans"/>
                <w:szCs w:val="20"/>
              </w:rPr>
              <w:t xml:space="preserve"> </w:t>
            </w:r>
          </w:p>
          <w:p w14:paraId="61D13A05" w14:textId="1FCE79D1" w:rsidR="00A5102B" w:rsidRPr="003119A7" w:rsidRDefault="74AA0008" w:rsidP="2BAD2FF1">
            <w:pPr>
              <w:rPr>
                <w:rFonts w:ascii="Work Sans" w:hAnsi="Work Sans"/>
              </w:rPr>
            </w:pPr>
            <w:r w:rsidRPr="2BAD2FF1">
              <w:rPr>
                <w:rFonts w:ascii="Work Sans" w:hAnsi="Work Sans"/>
              </w:rPr>
              <w:t xml:space="preserve">Submissions should be placed in your private state channel in </w:t>
            </w:r>
            <w:bookmarkStart w:id="0" w:name="_Int_F4Vs32x0"/>
            <w:r w:rsidRPr="2BAD2FF1">
              <w:rPr>
                <w:rFonts w:ascii="Work Sans" w:hAnsi="Work Sans"/>
              </w:rPr>
              <w:t>CGC</w:t>
            </w:r>
            <w:bookmarkEnd w:id="0"/>
            <w:r w:rsidRPr="2BAD2FF1">
              <w:rPr>
                <w:rFonts w:ascii="Work Sans" w:hAnsi="Work Sans"/>
              </w:rPr>
              <w:t xml:space="preserve"> Engagement Teams, with a post notifying </w:t>
            </w:r>
            <w:r w:rsidR="4400AF33" w:rsidRPr="2BAD2FF1">
              <w:rPr>
                <w:rFonts w:ascii="Work Sans" w:hAnsi="Work Sans"/>
              </w:rPr>
              <w:t>Katrina Ba</w:t>
            </w:r>
            <w:r w:rsidR="13672A90" w:rsidRPr="2BAD2FF1">
              <w:rPr>
                <w:rFonts w:ascii="Work Sans" w:hAnsi="Work Sans"/>
              </w:rPr>
              <w:t>ldock</w:t>
            </w:r>
            <w:r w:rsidR="200DBACC" w:rsidRPr="2BAD2FF1">
              <w:rPr>
                <w:rFonts w:ascii="Work Sans" w:hAnsi="Work Sans"/>
              </w:rPr>
              <w:t>.</w:t>
            </w:r>
          </w:p>
          <w:p w14:paraId="32ABB001"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02C1F19" w14:textId="77777777" w:rsidTr="2BAD2FF1">
        <w:tc>
          <w:tcPr>
            <w:tcW w:w="2972" w:type="dxa"/>
          </w:tcPr>
          <w:p w14:paraId="32A55971"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C6501B8"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19FFB621"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79D18122" wp14:editId="7553DC9A">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1FAD201"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0E5724D1" w14:textId="77777777" w:rsidR="00A5102B" w:rsidRPr="003119A7" w:rsidRDefault="00A5102B" w:rsidP="003A0403">
            <w:pPr>
              <w:rPr>
                <w:rFonts w:ascii="Work Sans" w:hAnsi="Work Sans"/>
              </w:rPr>
            </w:pPr>
            <w:r w:rsidRPr="3E3845A6">
              <w:rPr>
                <w:rFonts w:ascii="Work Sans" w:hAnsi="Work Sans"/>
              </w:rPr>
              <w:t xml:space="preserve">Confidential material contained in submissions must be clearly identified or included in separate attachment/s, and details provided in the covering email. Identified confidential material will not be published on the </w:t>
            </w:r>
            <w:r w:rsidR="00D15303" w:rsidRPr="3E3845A6">
              <w:rPr>
                <w:rFonts w:ascii="Work Sans" w:hAnsi="Work Sans"/>
              </w:rPr>
              <w:t xml:space="preserve">Commission’s </w:t>
            </w:r>
            <w:r w:rsidRPr="3E3845A6">
              <w:rPr>
                <w:rFonts w:ascii="Work Sans" w:hAnsi="Work Sans"/>
              </w:rPr>
              <w:t>website.</w:t>
            </w:r>
          </w:p>
        </w:tc>
      </w:tr>
    </w:tbl>
    <w:p w14:paraId="77B1E343"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eastAsiaTheme="minorHAnsi" w:cstheme="minorBidi"/>
          <w:b w:val="0"/>
          <w:caps w:val="0"/>
          <w:color w:val="636466"/>
          <w:sz w:val="20"/>
          <w:szCs w:val="20"/>
        </w:rPr>
        <w:id w:val="1991157398"/>
        <w:docPartObj>
          <w:docPartGallery w:val="Table of Contents"/>
          <w:docPartUnique/>
        </w:docPartObj>
      </w:sdtPr>
      <w:sdtContent>
        <w:p w14:paraId="7E6871BB" w14:textId="77777777" w:rsidR="005B6B61" w:rsidRDefault="005B6B61">
          <w:pPr>
            <w:pStyle w:val="TOCHeading"/>
          </w:pPr>
          <w:r>
            <w:t>Contents</w:t>
          </w:r>
        </w:p>
        <w:p w14:paraId="3757FFD6" w14:textId="6A694DA0" w:rsidR="00BD6E93" w:rsidRDefault="007A5527">
          <w:pPr>
            <w:pStyle w:val="TOC2"/>
            <w:rPr>
              <w:rFonts w:asciiTheme="minorHAnsi" w:eastAsiaTheme="minorEastAsia" w:hAnsiTheme="minorHAnsi"/>
              <w:bCs w:val="0"/>
              <w:noProof/>
              <w:color w:val="auto"/>
              <w:kern w:val="2"/>
              <w:sz w:val="22"/>
              <w:szCs w:val="22"/>
              <w:lang w:eastAsia="en-AU"/>
              <w14:ligatures w14:val="standardContextual"/>
            </w:rPr>
          </w:pPr>
          <w:r>
            <w:rPr>
              <w:rFonts w:ascii="Open Sans" w:hAnsi="Open Sans"/>
              <w:b/>
            </w:rPr>
            <w:fldChar w:fldCharType="begin"/>
          </w:r>
          <w:r w:rsidR="005B6B61">
            <w:instrText>TOC \o "1-3" \h \z \u</w:instrText>
          </w:r>
          <w:r>
            <w:rPr>
              <w:rFonts w:ascii="Open Sans" w:hAnsi="Open Sans"/>
              <w:b/>
            </w:rPr>
            <w:fldChar w:fldCharType="separate"/>
          </w:r>
          <w:hyperlink w:anchor="_Toc147410863" w:history="1">
            <w:r w:rsidR="00BD6E93" w:rsidRPr="00516968">
              <w:rPr>
                <w:rStyle w:val="Hyperlink"/>
                <w:noProof/>
              </w:rPr>
              <w:t>Overview of category</w:t>
            </w:r>
            <w:r w:rsidR="00BD6E93">
              <w:rPr>
                <w:noProof/>
                <w:webHidden/>
              </w:rPr>
              <w:tab/>
            </w:r>
            <w:r w:rsidR="00BD6E93">
              <w:rPr>
                <w:noProof/>
                <w:webHidden/>
              </w:rPr>
              <w:fldChar w:fldCharType="begin"/>
            </w:r>
            <w:r w:rsidR="00BD6E93">
              <w:rPr>
                <w:noProof/>
                <w:webHidden/>
              </w:rPr>
              <w:instrText xml:space="preserve"> PAGEREF _Toc147410863 \h </w:instrText>
            </w:r>
            <w:r w:rsidR="00BD6E93">
              <w:rPr>
                <w:noProof/>
                <w:webHidden/>
              </w:rPr>
            </w:r>
            <w:r w:rsidR="00BD6E93">
              <w:rPr>
                <w:noProof/>
                <w:webHidden/>
              </w:rPr>
              <w:fldChar w:fldCharType="separate"/>
            </w:r>
            <w:r w:rsidR="00BD6E93">
              <w:rPr>
                <w:noProof/>
                <w:webHidden/>
              </w:rPr>
              <w:t>4</w:t>
            </w:r>
            <w:r w:rsidR="00BD6E93">
              <w:rPr>
                <w:noProof/>
                <w:webHidden/>
              </w:rPr>
              <w:fldChar w:fldCharType="end"/>
            </w:r>
          </w:hyperlink>
        </w:p>
        <w:p w14:paraId="45FE8A16" w14:textId="038CE3B3" w:rsidR="00BD6E93" w:rsidRDefault="00BD6E93">
          <w:pPr>
            <w:pStyle w:val="TOC2"/>
            <w:rPr>
              <w:rFonts w:asciiTheme="minorHAnsi" w:eastAsiaTheme="minorEastAsia" w:hAnsiTheme="minorHAnsi"/>
              <w:bCs w:val="0"/>
              <w:noProof/>
              <w:color w:val="auto"/>
              <w:kern w:val="2"/>
              <w:sz w:val="22"/>
              <w:szCs w:val="22"/>
              <w:lang w:eastAsia="en-AU"/>
              <w14:ligatures w14:val="standardContextual"/>
            </w:rPr>
          </w:pPr>
          <w:hyperlink w:anchor="_Toc147410864" w:history="1">
            <w:r w:rsidRPr="00516968">
              <w:rPr>
                <w:rStyle w:val="Hyperlink"/>
                <w:noProof/>
              </w:rPr>
              <w:t>Current assessment method – 2020 Review</w:t>
            </w:r>
            <w:r>
              <w:rPr>
                <w:noProof/>
                <w:webHidden/>
              </w:rPr>
              <w:tab/>
            </w:r>
            <w:r>
              <w:rPr>
                <w:noProof/>
                <w:webHidden/>
              </w:rPr>
              <w:fldChar w:fldCharType="begin"/>
            </w:r>
            <w:r>
              <w:rPr>
                <w:noProof/>
                <w:webHidden/>
              </w:rPr>
              <w:instrText xml:space="preserve"> PAGEREF _Toc147410864 \h </w:instrText>
            </w:r>
            <w:r>
              <w:rPr>
                <w:noProof/>
                <w:webHidden/>
              </w:rPr>
            </w:r>
            <w:r>
              <w:rPr>
                <w:noProof/>
                <w:webHidden/>
              </w:rPr>
              <w:fldChar w:fldCharType="separate"/>
            </w:r>
            <w:r>
              <w:rPr>
                <w:noProof/>
                <w:webHidden/>
              </w:rPr>
              <w:t>4</w:t>
            </w:r>
            <w:r>
              <w:rPr>
                <w:noProof/>
                <w:webHidden/>
              </w:rPr>
              <w:fldChar w:fldCharType="end"/>
            </w:r>
          </w:hyperlink>
        </w:p>
        <w:p w14:paraId="5104438F" w14:textId="0379A47C"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65" w:history="1">
            <w:r w:rsidRPr="00516968">
              <w:rPr>
                <w:rStyle w:val="Hyperlink"/>
                <w:noProof/>
              </w:rPr>
              <w:t>Data used in the assessment</w:t>
            </w:r>
            <w:r>
              <w:rPr>
                <w:noProof/>
                <w:webHidden/>
              </w:rPr>
              <w:tab/>
            </w:r>
            <w:r>
              <w:rPr>
                <w:noProof/>
                <w:webHidden/>
              </w:rPr>
              <w:fldChar w:fldCharType="begin"/>
            </w:r>
            <w:r>
              <w:rPr>
                <w:noProof/>
                <w:webHidden/>
              </w:rPr>
              <w:instrText xml:space="preserve"> PAGEREF _Toc147410865 \h </w:instrText>
            </w:r>
            <w:r>
              <w:rPr>
                <w:noProof/>
                <w:webHidden/>
              </w:rPr>
            </w:r>
            <w:r>
              <w:rPr>
                <w:noProof/>
                <w:webHidden/>
              </w:rPr>
              <w:fldChar w:fldCharType="separate"/>
            </w:r>
            <w:r>
              <w:rPr>
                <w:noProof/>
                <w:webHidden/>
              </w:rPr>
              <w:t>6</w:t>
            </w:r>
            <w:r>
              <w:rPr>
                <w:noProof/>
                <w:webHidden/>
              </w:rPr>
              <w:fldChar w:fldCharType="end"/>
            </w:r>
          </w:hyperlink>
        </w:p>
        <w:p w14:paraId="2BA0AF6D" w14:textId="44D2F89E"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66" w:history="1">
            <w:r w:rsidRPr="00516968">
              <w:rPr>
                <w:rStyle w:val="Hyperlink"/>
                <w:noProof/>
              </w:rPr>
              <w:t>Category and component expenses</w:t>
            </w:r>
            <w:r>
              <w:rPr>
                <w:noProof/>
                <w:webHidden/>
              </w:rPr>
              <w:tab/>
            </w:r>
            <w:r>
              <w:rPr>
                <w:noProof/>
                <w:webHidden/>
              </w:rPr>
              <w:fldChar w:fldCharType="begin"/>
            </w:r>
            <w:r>
              <w:rPr>
                <w:noProof/>
                <w:webHidden/>
              </w:rPr>
              <w:instrText xml:space="preserve"> PAGEREF _Toc147410866 \h </w:instrText>
            </w:r>
            <w:r>
              <w:rPr>
                <w:noProof/>
                <w:webHidden/>
              </w:rPr>
            </w:r>
            <w:r>
              <w:rPr>
                <w:noProof/>
                <w:webHidden/>
              </w:rPr>
              <w:fldChar w:fldCharType="separate"/>
            </w:r>
            <w:r>
              <w:rPr>
                <w:noProof/>
                <w:webHidden/>
              </w:rPr>
              <w:t>6</w:t>
            </w:r>
            <w:r>
              <w:rPr>
                <w:noProof/>
                <w:webHidden/>
              </w:rPr>
              <w:fldChar w:fldCharType="end"/>
            </w:r>
          </w:hyperlink>
        </w:p>
        <w:p w14:paraId="4E76A058" w14:textId="4262659F"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67" w:history="1">
            <w:r w:rsidRPr="00516968">
              <w:rPr>
                <w:rStyle w:val="Hyperlink"/>
                <w:noProof/>
              </w:rPr>
              <w:t>GST distribution in the 2023 Update</w:t>
            </w:r>
            <w:r>
              <w:rPr>
                <w:noProof/>
                <w:webHidden/>
              </w:rPr>
              <w:tab/>
            </w:r>
            <w:r>
              <w:rPr>
                <w:noProof/>
                <w:webHidden/>
              </w:rPr>
              <w:fldChar w:fldCharType="begin"/>
            </w:r>
            <w:r>
              <w:rPr>
                <w:noProof/>
                <w:webHidden/>
              </w:rPr>
              <w:instrText xml:space="preserve"> PAGEREF _Toc147410867 \h </w:instrText>
            </w:r>
            <w:r>
              <w:rPr>
                <w:noProof/>
                <w:webHidden/>
              </w:rPr>
            </w:r>
            <w:r>
              <w:rPr>
                <w:noProof/>
                <w:webHidden/>
              </w:rPr>
              <w:fldChar w:fldCharType="separate"/>
            </w:r>
            <w:r>
              <w:rPr>
                <w:noProof/>
                <w:webHidden/>
              </w:rPr>
              <w:t>7</w:t>
            </w:r>
            <w:r>
              <w:rPr>
                <w:noProof/>
                <w:webHidden/>
              </w:rPr>
              <w:fldChar w:fldCharType="end"/>
            </w:r>
          </w:hyperlink>
        </w:p>
        <w:p w14:paraId="37F22F34" w14:textId="4B884133" w:rsidR="00BD6E93" w:rsidRDefault="00BD6E93">
          <w:pPr>
            <w:pStyle w:val="TOC2"/>
            <w:rPr>
              <w:rFonts w:asciiTheme="minorHAnsi" w:eastAsiaTheme="minorEastAsia" w:hAnsiTheme="minorHAnsi"/>
              <w:bCs w:val="0"/>
              <w:noProof/>
              <w:color w:val="auto"/>
              <w:kern w:val="2"/>
              <w:sz w:val="22"/>
              <w:szCs w:val="22"/>
              <w:lang w:eastAsia="en-AU"/>
              <w14:ligatures w14:val="standardContextual"/>
            </w:rPr>
          </w:pPr>
          <w:hyperlink w:anchor="_Toc147410868" w:history="1">
            <w:r w:rsidRPr="00516968">
              <w:rPr>
                <w:rStyle w:val="Hyperlink"/>
                <w:noProof/>
              </w:rPr>
              <w:t>What has changed since the 2020 Review?</w:t>
            </w:r>
            <w:r>
              <w:rPr>
                <w:noProof/>
                <w:webHidden/>
              </w:rPr>
              <w:tab/>
            </w:r>
            <w:r>
              <w:rPr>
                <w:noProof/>
                <w:webHidden/>
              </w:rPr>
              <w:fldChar w:fldCharType="begin"/>
            </w:r>
            <w:r>
              <w:rPr>
                <w:noProof/>
                <w:webHidden/>
              </w:rPr>
              <w:instrText xml:space="preserve"> PAGEREF _Toc147410868 \h </w:instrText>
            </w:r>
            <w:r>
              <w:rPr>
                <w:noProof/>
                <w:webHidden/>
              </w:rPr>
            </w:r>
            <w:r>
              <w:rPr>
                <w:noProof/>
                <w:webHidden/>
              </w:rPr>
              <w:fldChar w:fldCharType="separate"/>
            </w:r>
            <w:r>
              <w:rPr>
                <w:noProof/>
                <w:webHidden/>
              </w:rPr>
              <w:t>8</w:t>
            </w:r>
            <w:r>
              <w:rPr>
                <w:noProof/>
                <w:webHidden/>
              </w:rPr>
              <w:fldChar w:fldCharType="end"/>
            </w:r>
          </w:hyperlink>
        </w:p>
        <w:p w14:paraId="6109B28F" w14:textId="59B153BE"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69" w:history="1">
            <w:r w:rsidRPr="00516968">
              <w:rPr>
                <w:rStyle w:val="Hyperlink"/>
                <w:noProof/>
              </w:rPr>
              <w:t>COVID-19 increased state government spending on business development and other industry regulation</w:t>
            </w:r>
            <w:r>
              <w:rPr>
                <w:noProof/>
                <w:webHidden/>
              </w:rPr>
              <w:tab/>
            </w:r>
            <w:r>
              <w:rPr>
                <w:noProof/>
                <w:webHidden/>
              </w:rPr>
              <w:fldChar w:fldCharType="begin"/>
            </w:r>
            <w:r>
              <w:rPr>
                <w:noProof/>
                <w:webHidden/>
              </w:rPr>
              <w:instrText xml:space="preserve"> PAGEREF _Toc147410869 \h </w:instrText>
            </w:r>
            <w:r>
              <w:rPr>
                <w:noProof/>
                <w:webHidden/>
              </w:rPr>
            </w:r>
            <w:r>
              <w:rPr>
                <w:noProof/>
                <w:webHidden/>
              </w:rPr>
              <w:fldChar w:fldCharType="separate"/>
            </w:r>
            <w:r>
              <w:rPr>
                <w:noProof/>
                <w:webHidden/>
              </w:rPr>
              <w:t>8</w:t>
            </w:r>
            <w:r>
              <w:rPr>
                <w:noProof/>
                <w:webHidden/>
              </w:rPr>
              <w:fldChar w:fldCharType="end"/>
            </w:r>
          </w:hyperlink>
        </w:p>
        <w:p w14:paraId="4C13FB87" w14:textId="4685BBAA"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0" w:history="1">
            <w:r w:rsidRPr="00516968">
              <w:rPr>
                <w:rStyle w:val="Hyperlink"/>
                <w:noProof/>
              </w:rPr>
              <w:t>Increased volatility in the regulation assessments</w:t>
            </w:r>
            <w:r>
              <w:rPr>
                <w:noProof/>
                <w:webHidden/>
              </w:rPr>
              <w:tab/>
            </w:r>
            <w:r>
              <w:rPr>
                <w:noProof/>
                <w:webHidden/>
              </w:rPr>
              <w:fldChar w:fldCharType="begin"/>
            </w:r>
            <w:r>
              <w:rPr>
                <w:noProof/>
                <w:webHidden/>
              </w:rPr>
              <w:instrText xml:space="preserve"> PAGEREF _Toc147410870 \h </w:instrText>
            </w:r>
            <w:r>
              <w:rPr>
                <w:noProof/>
                <w:webHidden/>
              </w:rPr>
            </w:r>
            <w:r>
              <w:rPr>
                <w:noProof/>
                <w:webHidden/>
              </w:rPr>
              <w:fldChar w:fldCharType="separate"/>
            </w:r>
            <w:r>
              <w:rPr>
                <w:noProof/>
                <w:webHidden/>
              </w:rPr>
              <w:t>8</w:t>
            </w:r>
            <w:r>
              <w:rPr>
                <w:noProof/>
                <w:webHidden/>
              </w:rPr>
              <w:fldChar w:fldCharType="end"/>
            </w:r>
          </w:hyperlink>
        </w:p>
        <w:p w14:paraId="35A5533E" w14:textId="0FDC97B3"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1" w:history="1">
            <w:r w:rsidRPr="00516968">
              <w:rPr>
                <w:rStyle w:val="Hyperlink"/>
                <w:noProof/>
              </w:rPr>
              <w:t>Development and support of industries to transition to net zero emissions</w:t>
            </w:r>
            <w:r>
              <w:rPr>
                <w:noProof/>
                <w:webHidden/>
              </w:rPr>
              <w:tab/>
            </w:r>
            <w:r>
              <w:rPr>
                <w:noProof/>
                <w:webHidden/>
              </w:rPr>
              <w:fldChar w:fldCharType="begin"/>
            </w:r>
            <w:r>
              <w:rPr>
                <w:noProof/>
                <w:webHidden/>
              </w:rPr>
              <w:instrText xml:space="preserve"> PAGEREF _Toc147410871 \h </w:instrText>
            </w:r>
            <w:r>
              <w:rPr>
                <w:noProof/>
                <w:webHidden/>
              </w:rPr>
            </w:r>
            <w:r>
              <w:rPr>
                <w:noProof/>
                <w:webHidden/>
              </w:rPr>
              <w:fldChar w:fldCharType="separate"/>
            </w:r>
            <w:r>
              <w:rPr>
                <w:noProof/>
                <w:webHidden/>
              </w:rPr>
              <w:t>9</w:t>
            </w:r>
            <w:r>
              <w:rPr>
                <w:noProof/>
                <w:webHidden/>
              </w:rPr>
              <w:fldChar w:fldCharType="end"/>
            </w:r>
          </w:hyperlink>
        </w:p>
        <w:p w14:paraId="22774C44" w14:textId="0C598DA4" w:rsidR="00BD6E93" w:rsidRDefault="00BD6E93">
          <w:pPr>
            <w:pStyle w:val="TOC2"/>
            <w:rPr>
              <w:rFonts w:asciiTheme="minorHAnsi" w:eastAsiaTheme="minorEastAsia" w:hAnsiTheme="minorHAnsi"/>
              <w:bCs w:val="0"/>
              <w:noProof/>
              <w:color w:val="auto"/>
              <w:kern w:val="2"/>
              <w:sz w:val="22"/>
              <w:szCs w:val="22"/>
              <w:lang w:eastAsia="en-AU"/>
              <w14:ligatures w14:val="standardContextual"/>
            </w:rPr>
          </w:pPr>
          <w:hyperlink w:anchor="_Toc147410872" w:history="1">
            <w:r w:rsidRPr="00516968">
              <w:rPr>
                <w:rStyle w:val="Hyperlink"/>
                <w:noProof/>
              </w:rPr>
              <w:t>Implications for assessment</w:t>
            </w:r>
            <w:r>
              <w:rPr>
                <w:noProof/>
                <w:webHidden/>
              </w:rPr>
              <w:tab/>
            </w:r>
            <w:r>
              <w:rPr>
                <w:noProof/>
                <w:webHidden/>
              </w:rPr>
              <w:fldChar w:fldCharType="begin"/>
            </w:r>
            <w:r>
              <w:rPr>
                <w:noProof/>
                <w:webHidden/>
              </w:rPr>
              <w:instrText xml:space="preserve"> PAGEREF _Toc147410872 \h </w:instrText>
            </w:r>
            <w:r>
              <w:rPr>
                <w:noProof/>
                <w:webHidden/>
              </w:rPr>
            </w:r>
            <w:r>
              <w:rPr>
                <w:noProof/>
                <w:webHidden/>
              </w:rPr>
              <w:fldChar w:fldCharType="separate"/>
            </w:r>
            <w:r>
              <w:rPr>
                <w:noProof/>
                <w:webHidden/>
              </w:rPr>
              <w:t>9</w:t>
            </w:r>
            <w:r>
              <w:rPr>
                <w:noProof/>
                <w:webHidden/>
              </w:rPr>
              <w:fldChar w:fldCharType="end"/>
            </w:r>
          </w:hyperlink>
        </w:p>
        <w:p w14:paraId="55B57EE7" w14:textId="30ECCC29"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3" w:history="1">
            <w:r w:rsidRPr="00516968">
              <w:rPr>
                <w:rStyle w:val="Hyperlink"/>
                <w:noProof/>
              </w:rPr>
              <w:t>Volatility in the regulation assessments</w:t>
            </w:r>
            <w:r>
              <w:rPr>
                <w:noProof/>
                <w:webHidden/>
              </w:rPr>
              <w:tab/>
            </w:r>
            <w:r>
              <w:rPr>
                <w:noProof/>
                <w:webHidden/>
              </w:rPr>
              <w:fldChar w:fldCharType="begin"/>
            </w:r>
            <w:r>
              <w:rPr>
                <w:noProof/>
                <w:webHidden/>
              </w:rPr>
              <w:instrText xml:space="preserve"> PAGEREF _Toc147410873 \h </w:instrText>
            </w:r>
            <w:r>
              <w:rPr>
                <w:noProof/>
                <w:webHidden/>
              </w:rPr>
            </w:r>
            <w:r>
              <w:rPr>
                <w:noProof/>
                <w:webHidden/>
              </w:rPr>
              <w:fldChar w:fldCharType="separate"/>
            </w:r>
            <w:r>
              <w:rPr>
                <w:noProof/>
                <w:webHidden/>
              </w:rPr>
              <w:t>9</w:t>
            </w:r>
            <w:r>
              <w:rPr>
                <w:noProof/>
                <w:webHidden/>
              </w:rPr>
              <w:fldChar w:fldCharType="end"/>
            </w:r>
          </w:hyperlink>
        </w:p>
        <w:p w14:paraId="2ED25895" w14:textId="4F14150E"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4" w:history="1">
            <w:r w:rsidRPr="00516968">
              <w:rPr>
                <w:rStyle w:val="Hyperlink"/>
                <w:noProof/>
              </w:rPr>
              <w:t>Will the net-zero transition drive increased business development spending in the future?</w:t>
            </w:r>
            <w:r>
              <w:rPr>
                <w:noProof/>
                <w:webHidden/>
              </w:rPr>
              <w:tab/>
            </w:r>
            <w:r>
              <w:rPr>
                <w:noProof/>
                <w:webHidden/>
              </w:rPr>
              <w:fldChar w:fldCharType="begin"/>
            </w:r>
            <w:r>
              <w:rPr>
                <w:noProof/>
                <w:webHidden/>
              </w:rPr>
              <w:instrText xml:space="preserve"> PAGEREF _Toc147410874 \h </w:instrText>
            </w:r>
            <w:r>
              <w:rPr>
                <w:noProof/>
                <w:webHidden/>
              </w:rPr>
            </w:r>
            <w:r>
              <w:rPr>
                <w:noProof/>
                <w:webHidden/>
              </w:rPr>
              <w:fldChar w:fldCharType="separate"/>
            </w:r>
            <w:r>
              <w:rPr>
                <w:noProof/>
                <w:webHidden/>
              </w:rPr>
              <w:t>13</w:t>
            </w:r>
            <w:r>
              <w:rPr>
                <w:noProof/>
                <w:webHidden/>
              </w:rPr>
              <w:fldChar w:fldCharType="end"/>
            </w:r>
          </w:hyperlink>
        </w:p>
        <w:p w14:paraId="569D1ED9" w14:textId="281E108F" w:rsidR="00BD6E93" w:rsidRDefault="00BD6E93">
          <w:pPr>
            <w:pStyle w:val="TOC2"/>
            <w:rPr>
              <w:rFonts w:asciiTheme="minorHAnsi" w:eastAsiaTheme="minorEastAsia" w:hAnsiTheme="minorHAnsi"/>
              <w:bCs w:val="0"/>
              <w:noProof/>
              <w:color w:val="auto"/>
              <w:kern w:val="2"/>
              <w:sz w:val="22"/>
              <w:szCs w:val="22"/>
              <w:lang w:eastAsia="en-AU"/>
              <w14:ligatures w14:val="standardContextual"/>
            </w:rPr>
          </w:pPr>
          <w:hyperlink w:anchor="_Toc147410875" w:history="1">
            <w:r w:rsidRPr="00516968">
              <w:rPr>
                <w:rStyle w:val="Hyperlink"/>
                <w:noProof/>
              </w:rPr>
              <w:t>Proposed assessment</w:t>
            </w:r>
            <w:r>
              <w:rPr>
                <w:noProof/>
                <w:webHidden/>
              </w:rPr>
              <w:tab/>
            </w:r>
            <w:r>
              <w:rPr>
                <w:noProof/>
                <w:webHidden/>
              </w:rPr>
              <w:fldChar w:fldCharType="begin"/>
            </w:r>
            <w:r>
              <w:rPr>
                <w:noProof/>
                <w:webHidden/>
              </w:rPr>
              <w:instrText xml:space="preserve"> PAGEREF _Toc147410875 \h </w:instrText>
            </w:r>
            <w:r>
              <w:rPr>
                <w:noProof/>
                <w:webHidden/>
              </w:rPr>
            </w:r>
            <w:r>
              <w:rPr>
                <w:noProof/>
                <w:webHidden/>
              </w:rPr>
              <w:fldChar w:fldCharType="separate"/>
            </w:r>
            <w:r>
              <w:rPr>
                <w:noProof/>
                <w:webHidden/>
              </w:rPr>
              <w:t>14</w:t>
            </w:r>
            <w:r>
              <w:rPr>
                <w:noProof/>
                <w:webHidden/>
              </w:rPr>
              <w:fldChar w:fldCharType="end"/>
            </w:r>
          </w:hyperlink>
        </w:p>
        <w:p w14:paraId="64B5590D" w14:textId="61D0AF1C"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6" w:history="1">
            <w:r w:rsidRPr="00516968">
              <w:rPr>
                <w:rStyle w:val="Hyperlink"/>
                <w:noProof/>
              </w:rPr>
              <w:t>Differences from the 2020 Review approach</w:t>
            </w:r>
            <w:r>
              <w:rPr>
                <w:noProof/>
                <w:webHidden/>
              </w:rPr>
              <w:tab/>
            </w:r>
            <w:r>
              <w:rPr>
                <w:noProof/>
                <w:webHidden/>
              </w:rPr>
              <w:fldChar w:fldCharType="begin"/>
            </w:r>
            <w:r>
              <w:rPr>
                <w:noProof/>
                <w:webHidden/>
              </w:rPr>
              <w:instrText xml:space="preserve"> PAGEREF _Toc147410876 \h </w:instrText>
            </w:r>
            <w:r>
              <w:rPr>
                <w:noProof/>
                <w:webHidden/>
              </w:rPr>
            </w:r>
            <w:r>
              <w:rPr>
                <w:noProof/>
                <w:webHidden/>
              </w:rPr>
              <w:fldChar w:fldCharType="separate"/>
            </w:r>
            <w:r>
              <w:rPr>
                <w:noProof/>
                <w:webHidden/>
              </w:rPr>
              <w:t>14</w:t>
            </w:r>
            <w:r>
              <w:rPr>
                <w:noProof/>
                <w:webHidden/>
              </w:rPr>
              <w:fldChar w:fldCharType="end"/>
            </w:r>
          </w:hyperlink>
        </w:p>
        <w:p w14:paraId="1C2628FB" w14:textId="0E7DAD68"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7" w:history="1">
            <w:r w:rsidRPr="00516968">
              <w:rPr>
                <w:rStyle w:val="Hyperlink"/>
                <w:noProof/>
              </w:rPr>
              <w:t>Proposed assessment structure</w:t>
            </w:r>
            <w:r>
              <w:rPr>
                <w:noProof/>
                <w:webHidden/>
              </w:rPr>
              <w:tab/>
            </w:r>
            <w:r>
              <w:rPr>
                <w:noProof/>
                <w:webHidden/>
              </w:rPr>
              <w:fldChar w:fldCharType="begin"/>
            </w:r>
            <w:r>
              <w:rPr>
                <w:noProof/>
                <w:webHidden/>
              </w:rPr>
              <w:instrText xml:space="preserve"> PAGEREF _Toc147410877 \h </w:instrText>
            </w:r>
            <w:r>
              <w:rPr>
                <w:noProof/>
                <w:webHidden/>
              </w:rPr>
            </w:r>
            <w:r>
              <w:rPr>
                <w:noProof/>
                <w:webHidden/>
              </w:rPr>
              <w:fldChar w:fldCharType="separate"/>
            </w:r>
            <w:r>
              <w:rPr>
                <w:noProof/>
                <w:webHidden/>
              </w:rPr>
              <w:t>15</w:t>
            </w:r>
            <w:r>
              <w:rPr>
                <w:noProof/>
                <w:webHidden/>
              </w:rPr>
              <w:fldChar w:fldCharType="end"/>
            </w:r>
          </w:hyperlink>
        </w:p>
        <w:p w14:paraId="7EFEF62D" w14:textId="602FAA53" w:rsidR="00BD6E93" w:rsidRDefault="00BD6E93">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410878" w:history="1">
            <w:r w:rsidRPr="00516968">
              <w:rPr>
                <w:rStyle w:val="Hyperlink"/>
                <w:noProof/>
              </w:rPr>
              <w:t>New data requirements</w:t>
            </w:r>
            <w:r>
              <w:rPr>
                <w:noProof/>
                <w:webHidden/>
              </w:rPr>
              <w:tab/>
            </w:r>
            <w:r>
              <w:rPr>
                <w:noProof/>
                <w:webHidden/>
              </w:rPr>
              <w:fldChar w:fldCharType="begin"/>
            </w:r>
            <w:r>
              <w:rPr>
                <w:noProof/>
                <w:webHidden/>
              </w:rPr>
              <w:instrText xml:space="preserve"> PAGEREF _Toc147410878 \h </w:instrText>
            </w:r>
            <w:r>
              <w:rPr>
                <w:noProof/>
                <w:webHidden/>
              </w:rPr>
            </w:r>
            <w:r>
              <w:rPr>
                <w:noProof/>
                <w:webHidden/>
              </w:rPr>
              <w:fldChar w:fldCharType="separate"/>
            </w:r>
            <w:r>
              <w:rPr>
                <w:noProof/>
                <w:webHidden/>
              </w:rPr>
              <w:t>15</w:t>
            </w:r>
            <w:r>
              <w:rPr>
                <w:noProof/>
                <w:webHidden/>
              </w:rPr>
              <w:fldChar w:fldCharType="end"/>
            </w:r>
          </w:hyperlink>
        </w:p>
        <w:p w14:paraId="16372A1D" w14:textId="34260C64" w:rsidR="00BD6E93" w:rsidRDefault="00BD6E93">
          <w:pPr>
            <w:pStyle w:val="TOC2"/>
            <w:rPr>
              <w:rFonts w:asciiTheme="minorHAnsi" w:eastAsiaTheme="minorEastAsia" w:hAnsiTheme="minorHAnsi"/>
              <w:bCs w:val="0"/>
              <w:noProof/>
              <w:color w:val="auto"/>
              <w:kern w:val="2"/>
              <w:sz w:val="22"/>
              <w:szCs w:val="22"/>
              <w:lang w:eastAsia="en-AU"/>
              <w14:ligatures w14:val="standardContextual"/>
            </w:rPr>
          </w:pPr>
          <w:hyperlink w:anchor="_Toc147410879" w:history="1">
            <w:r w:rsidRPr="00516968">
              <w:rPr>
                <w:rStyle w:val="Hyperlink"/>
                <w:noProof/>
              </w:rPr>
              <w:t>Consultation</w:t>
            </w:r>
            <w:r>
              <w:rPr>
                <w:noProof/>
                <w:webHidden/>
              </w:rPr>
              <w:tab/>
            </w:r>
            <w:r>
              <w:rPr>
                <w:noProof/>
                <w:webHidden/>
              </w:rPr>
              <w:fldChar w:fldCharType="begin"/>
            </w:r>
            <w:r>
              <w:rPr>
                <w:noProof/>
                <w:webHidden/>
              </w:rPr>
              <w:instrText xml:space="preserve"> PAGEREF _Toc147410879 \h </w:instrText>
            </w:r>
            <w:r>
              <w:rPr>
                <w:noProof/>
                <w:webHidden/>
              </w:rPr>
            </w:r>
            <w:r>
              <w:rPr>
                <w:noProof/>
                <w:webHidden/>
              </w:rPr>
              <w:fldChar w:fldCharType="separate"/>
            </w:r>
            <w:r>
              <w:rPr>
                <w:noProof/>
                <w:webHidden/>
              </w:rPr>
              <w:t>16</w:t>
            </w:r>
            <w:r>
              <w:rPr>
                <w:noProof/>
                <w:webHidden/>
              </w:rPr>
              <w:fldChar w:fldCharType="end"/>
            </w:r>
          </w:hyperlink>
        </w:p>
        <w:p w14:paraId="42AF8EFC" w14:textId="5D57677C" w:rsidR="006500E7" w:rsidRDefault="007A5527" w:rsidP="66396AB5">
          <w:pPr>
            <w:pStyle w:val="TOC2"/>
            <w:tabs>
              <w:tab w:val="right" w:leader="dot" w:pos="9015"/>
            </w:tabs>
            <w:rPr>
              <w:rStyle w:val="Hyperlink"/>
              <w:noProof/>
              <w:lang w:eastAsia="en-AU"/>
            </w:rPr>
          </w:pPr>
          <w:r>
            <w:fldChar w:fldCharType="end"/>
          </w:r>
        </w:p>
      </w:sdtContent>
    </w:sdt>
    <w:p w14:paraId="36B2E2BE" w14:textId="640D2C1E" w:rsidR="005B6B61" w:rsidRDefault="005B6B61"/>
    <w:p w14:paraId="0719D883" w14:textId="6775ACD4" w:rsidR="009878D7" w:rsidRDefault="00301421">
      <w:pPr>
        <w:tabs>
          <w:tab w:val="clear" w:pos="567"/>
        </w:tabs>
        <w:spacing w:before="0" w:after="200" w:line="276" w:lineRule="auto"/>
        <w:rPr>
          <w:rFonts w:ascii="Work Sans" w:hAnsi="Work Sans"/>
          <w:szCs w:val="20"/>
        </w:rPr>
      </w:pPr>
      <w:bookmarkStart w:id="1" w:name="_Toc121741482"/>
      <w:r>
        <w:br w:type="page"/>
      </w:r>
    </w:p>
    <w:p w14:paraId="427637B1" w14:textId="4DE9366C" w:rsidR="009878D7" w:rsidRDefault="009878D7" w:rsidP="005F4B98">
      <w:pPr>
        <w:pStyle w:val="Heading2"/>
      </w:pPr>
      <w:bookmarkStart w:id="2" w:name="_Toc147410863"/>
      <w:r>
        <w:lastRenderedPageBreak/>
        <w:t>Overview of category</w:t>
      </w:r>
      <w:bookmarkEnd w:id="1"/>
      <w:bookmarkEnd w:id="2"/>
    </w:p>
    <w:p w14:paraId="4C435705" w14:textId="02A8FC35" w:rsidR="009878D7" w:rsidRPr="00723C10" w:rsidRDefault="009878D7" w:rsidP="00F14F2C">
      <w:pPr>
        <w:pStyle w:val="CGC2025ParaNumbers"/>
        <w:numPr>
          <w:ilvl w:val="0"/>
          <w:numId w:val="7"/>
        </w:numPr>
        <w:ind w:left="567" w:hanging="567"/>
      </w:pPr>
      <w:bookmarkStart w:id="3" w:name="_Toc116563445"/>
      <w:bookmarkStart w:id="4" w:name="_Toc117241705"/>
      <w:r w:rsidRPr="00723C10">
        <w:t xml:space="preserve">The services to industry assessment </w:t>
      </w:r>
      <w:r w:rsidR="0073790C">
        <w:t>includes</w:t>
      </w:r>
      <w:r w:rsidRPr="00723C10">
        <w:t xml:space="preserve"> state and territory (state) spending on the regulation and development of businesses, industries, and other economic affairs.</w:t>
      </w:r>
    </w:p>
    <w:p w14:paraId="4E6E2CDD" w14:textId="411B141E" w:rsidR="009878D7" w:rsidRPr="00723C10" w:rsidRDefault="0073790C" w:rsidP="00166A6B">
      <w:pPr>
        <w:pStyle w:val="CGC2025ParaNumbers"/>
        <w:numPr>
          <w:ilvl w:val="0"/>
          <w:numId w:val="7"/>
        </w:numPr>
        <w:ind w:left="567" w:hanging="567"/>
      </w:pPr>
      <w:r>
        <w:t>The s</w:t>
      </w:r>
      <w:r w:rsidR="009878D7">
        <w:t>ervices to industry</w:t>
      </w:r>
      <w:r>
        <w:t xml:space="preserve"> assessment</w:t>
      </w:r>
      <w:r w:rsidR="009878D7">
        <w:t xml:space="preserve"> </w:t>
      </w:r>
      <w:bookmarkStart w:id="5" w:name="_Int_EtJnOBlC"/>
      <w:proofErr w:type="gramStart"/>
      <w:r w:rsidR="009878D7">
        <w:t>has</w:t>
      </w:r>
      <w:bookmarkEnd w:id="5"/>
      <w:proofErr w:type="gramEnd"/>
      <w:r w:rsidR="009878D7">
        <w:t xml:space="preserve"> </w:t>
      </w:r>
      <w:r w:rsidR="00C33E85">
        <w:t xml:space="preserve">4 </w:t>
      </w:r>
      <w:r w:rsidR="009878D7">
        <w:t>components:</w:t>
      </w:r>
    </w:p>
    <w:p w14:paraId="73BBF026" w14:textId="19FA6B78" w:rsidR="009878D7" w:rsidRPr="00F556E3" w:rsidRDefault="00E0048A" w:rsidP="00F556E3">
      <w:pPr>
        <w:pStyle w:val="CGC2025Bullet1"/>
      </w:pPr>
      <w:r>
        <w:t>a</w:t>
      </w:r>
      <w:r w:rsidR="009878D7" w:rsidRPr="00F556E3">
        <w:t xml:space="preserve">griculture, </w:t>
      </w:r>
      <w:r w:rsidR="002869A7">
        <w:t>f</w:t>
      </w:r>
      <w:r w:rsidR="009878D7" w:rsidRPr="00F556E3">
        <w:t>isheries</w:t>
      </w:r>
      <w:r w:rsidR="56BB1002">
        <w:t>,</w:t>
      </w:r>
      <w:r w:rsidR="009878D7" w:rsidRPr="00F556E3">
        <w:t xml:space="preserve"> and </w:t>
      </w:r>
      <w:r w:rsidR="002869A7">
        <w:t>f</w:t>
      </w:r>
      <w:r w:rsidR="009878D7" w:rsidRPr="00F556E3">
        <w:t xml:space="preserve">orestry (collectively referred to as agriculture) regulation including biosecurity, animal welfare, agriculture and veterinary chemicals, and water resource </w:t>
      </w:r>
      <w:proofErr w:type="gramStart"/>
      <w:r w:rsidR="009878D7" w:rsidRPr="00F556E3">
        <w:t>management</w:t>
      </w:r>
      <w:proofErr w:type="gramEnd"/>
    </w:p>
    <w:p w14:paraId="0BF8E828" w14:textId="57BD89A8" w:rsidR="009878D7" w:rsidRPr="00F556E3" w:rsidRDefault="00E0048A" w:rsidP="00F556E3">
      <w:pPr>
        <w:pStyle w:val="CGC2025Bullet1"/>
      </w:pPr>
      <w:r>
        <w:t>m</w:t>
      </w:r>
      <w:r w:rsidR="009878D7" w:rsidRPr="00F556E3">
        <w:t>ining regulation, including exploration, production, and rehabilitation</w:t>
      </w:r>
    </w:p>
    <w:p w14:paraId="66EEEDDE" w14:textId="4D089F96" w:rsidR="009878D7" w:rsidRPr="00F556E3" w:rsidRDefault="00E0048A" w:rsidP="00F556E3">
      <w:pPr>
        <w:pStyle w:val="CGC2025Bullet1"/>
      </w:pPr>
      <w:r>
        <w:t>o</w:t>
      </w:r>
      <w:r w:rsidR="009878D7" w:rsidRPr="00F556E3">
        <w:t>ther industries regulation</w:t>
      </w:r>
      <w:r w:rsidR="000747C7">
        <w:t>, including business registration, construction industry regulation, workplace health and safety</w:t>
      </w:r>
      <w:r w:rsidR="003855EA">
        <w:t>,</w:t>
      </w:r>
      <w:r w:rsidR="000747C7">
        <w:t xml:space="preserve"> and industrial </w:t>
      </w:r>
      <w:proofErr w:type="gramStart"/>
      <w:r w:rsidR="000747C7">
        <w:t>relations</w:t>
      </w:r>
      <w:proofErr w:type="gramEnd"/>
    </w:p>
    <w:p w14:paraId="77284559" w14:textId="1A8FED56" w:rsidR="009878D7" w:rsidRPr="00F556E3" w:rsidRDefault="00E0048A" w:rsidP="00F556E3">
      <w:pPr>
        <w:pStyle w:val="CGC2025Bullet1"/>
      </w:pPr>
      <w:r>
        <w:t>b</w:t>
      </w:r>
      <w:r w:rsidR="009878D7" w:rsidRPr="00F556E3">
        <w:t>usiness development, including investment and trade promotion, regional development programs, and support for small business.</w:t>
      </w:r>
    </w:p>
    <w:p w14:paraId="5EF95028" w14:textId="77777777" w:rsidR="009878D7" w:rsidRPr="00904786" w:rsidRDefault="009878D7" w:rsidP="009878D7">
      <w:pPr>
        <w:pStyle w:val="Heading2"/>
      </w:pPr>
      <w:bookmarkStart w:id="6" w:name="_Toc121741483"/>
      <w:bookmarkStart w:id="7" w:name="_Toc147410864"/>
      <w:bookmarkEnd w:id="3"/>
      <w:bookmarkEnd w:id="4"/>
      <w:r>
        <w:t>Current assessment method</w:t>
      </w:r>
      <w:bookmarkEnd w:id="6"/>
      <w:r>
        <w:t xml:space="preserve"> – 2020 Review</w:t>
      </w:r>
      <w:bookmarkEnd w:id="7"/>
    </w:p>
    <w:p w14:paraId="1D84ECDE" w14:textId="335BFADD" w:rsidR="009878D7" w:rsidRPr="00723C10" w:rsidRDefault="009878D7" w:rsidP="00166A6B">
      <w:pPr>
        <w:pStyle w:val="CGC2025ParaNumbers"/>
        <w:numPr>
          <w:ilvl w:val="0"/>
          <w:numId w:val="7"/>
        </w:numPr>
        <w:ind w:left="567" w:hanging="567"/>
      </w:pPr>
      <w:r w:rsidRPr="00723C10">
        <w:t xml:space="preserve">The services to industry assessment recognises that states face different costs of industry </w:t>
      </w:r>
      <w:r w:rsidRPr="00106AB3">
        <w:t>regulation</w:t>
      </w:r>
      <w:r w:rsidR="00E81149" w:rsidRPr="00106AB3">
        <w:t xml:space="preserve">. </w:t>
      </w:r>
      <w:r w:rsidR="00974160" w:rsidRPr="00106AB3">
        <w:t>In contrast</w:t>
      </w:r>
      <w:r w:rsidR="00BC1D7E" w:rsidRPr="00106AB3">
        <w:t>,</w:t>
      </w:r>
      <w:r w:rsidR="00974160" w:rsidRPr="00106AB3">
        <w:t xml:space="preserve"> b</w:t>
      </w:r>
      <w:r w:rsidR="00E81149" w:rsidRPr="00106AB3">
        <w:t xml:space="preserve">usiness development costs </w:t>
      </w:r>
      <w:r w:rsidR="00AF15F4" w:rsidRPr="00106AB3">
        <w:t xml:space="preserve">are </w:t>
      </w:r>
      <w:r w:rsidR="007B1C5E" w:rsidRPr="00106AB3">
        <w:t>assessed as equal</w:t>
      </w:r>
      <w:r w:rsidR="002A6BC7">
        <w:t> </w:t>
      </w:r>
      <w:r w:rsidR="007B1C5E" w:rsidRPr="00106AB3">
        <w:t>per capita</w:t>
      </w:r>
      <w:r w:rsidR="00FF7DFE" w:rsidRPr="00106AB3">
        <w:t xml:space="preserve"> </w:t>
      </w:r>
      <w:r w:rsidR="004D3F94" w:rsidRPr="00106AB3">
        <w:t xml:space="preserve">on the basis that </w:t>
      </w:r>
      <w:r w:rsidR="006F460D" w:rsidRPr="00106AB3">
        <w:t xml:space="preserve">states </w:t>
      </w:r>
      <w:r w:rsidR="00180D78" w:rsidRPr="00106AB3">
        <w:t>spe</w:t>
      </w:r>
      <w:r w:rsidR="00074077" w:rsidRPr="00106AB3">
        <w:t>nd on</w:t>
      </w:r>
      <w:r w:rsidR="006F460D" w:rsidRPr="00106AB3">
        <w:t xml:space="preserve"> </w:t>
      </w:r>
      <w:r w:rsidR="006534B3" w:rsidRPr="00106AB3">
        <w:t xml:space="preserve">business </w:t>
      </w:r>
      <w:r w:rsidR="004345D6" w:rsidRPr="00106AB3">
        <w:t xml:space="preserve">development </w:t>
      </w:r>
      <w:r w:rsidR="00F53EDE" w:rsidRPr="00106AB3">
        <w:t xml:space="preserve">primarily </w:t>
      </w:r>
      <w:bookmarkStart w:id="8" w:name="_Hlk139361634"/>
      <w:r w:rsidR="00074077" w:rsidRPr="00106AB3">
        <w:t xml:space="preserve">to </w:t>
      </w:r>
      <w:r w:rsidR="00FF7DFE" w:rsidRPr="00106AB3">
        <w:t>facilitat</w:t>
      </w:r>
      <w:r w:rsidR="004C5366" w:rsidRPr="00106AB3">
        <w:t>e</w:t>
      </w:r>
      <w:r w:rsidR="00FF7DFE" w:rsidRPr="00106AB3">
        <w:t xml:space="preserve"> </w:t>
      </w:r>
      <w:r w:rsidR="00F424B2" w:rsidRPr="00106AB3">
        <w:t xml:space="preserve">economic activity </w:t>
      </w:r>
      <w:r w:rsidR="004C5366" w:rsidRPr="00106AB3">
        <w:t xml:space="preserve">and </w:t>
      </w:r>
      <w:r w:rsidR="00FF7DFE" w:rsidRPr="00106AB3">
        <w:t xml:space="preserve">new employment opportunities </w:t>
      </w:r>
      <w:r w:rsidR="00374A4C" w:rsidRPr="00106AB3">
        <w:t xml:space="preserve">for their </w:t>
      </w:r>
      <w:r w:rsidR="00F424B2" w:rsidRPr="00106AB3">
        <w:t>population</w:t>
      </w:r>
      <w:r w:rsidR="00CD318C" w:rsidRPr="00106AB3">
        <w:t>s</w:t>
      </w:r>
      <w:bookmarkEnd w:id="8"/>
      <w:r w:rsidRPr="00106AB3">
        <w:t>.</w:t>
      </w:r>
    </w:p>
    <w:p w14:paraId="769FCCC8" w14:textId="5DD0343B" w:rsidR="00FD777D" w:rsidRDefault="009878D7">
      <w:pPr>
        <w:pStyle w:val="CGC2025ParaNumbers"/>
        <w:numPr>
          <w:ilvl w:val="0"/>
          <w:numId w:val="7"/>
        </w:numPr>
        <w:ind w:left="567" w:hanging="567"/>
      </w:pPr>
      <w:r w:rsidRPr="00723C10">
        <w:t xml:space="preserve">Total state spending </w:t>
      </w:r>
      <w:r w:rsidR="006B73C8">
        <w:t xml:space="preserve">on </w:t>
      </w:r>
      <w:r w:rsidRPr="00723C10">
        <w:t xml:space="preserve">regulation and development </w:t>
      </w:r>
      <w:r w:rsidR="00961FCA">
        <w:t xml:space="preserve">for each industry </w:t>
      </w:r>
      <w:r w:rsidRPr="00723C10">
        <w:t xml:space="preserve">is aggregated in </w:t>
      </w:r>
      <w:r w:rsidR="002D3B29">
        <w:t xml:space="preserve">the </w:t>
      </w:r>
      <w:r w:rsidR="00F27CC4">
        <w:t>A</w:t>
      </w:r>
      <w:r w:rsidR="005C5131">
        <w:t xml:space="preserve">ustralian </w:t>
      </w:r>
      <w:r w:rsidR="002715B7">
        <w:t>Bureau of Statistics (ABS)</w:t>
      </w:r>
      <w:r w:rsidR="00F27CC4">
        <w:t xml:space="preserve"> </w:t>
      </w:r>
      <w:r w:rsidRPr="00723C10">
        <w:t xml:space="preserve">Government Finance Statistics data. </w:t>
      </w:r>
      <w:r w:rsidR="00AD6C9E">
        <w:t xml:space="preserve">As a result, the Commission uses </w:t>
      </w:r>
      <w:r w:rsidR="008D05E0">
        <w:t xml:space="preserve">state provided data </w:t>
      </w:r>
      <w:r w:rsidR="00C36968">
        <w:t xml:space="preserve">to calculate </w:t>
      </w:r>
      <w:r w:rsidR="66C52841">
        <w:t xml:space="preserve">the </w:t>
      </w:r>
      <w:r w:rsidR="00AD6C9E">
        <w:t xml:space="preserve">average </w:t>
      </w:r>
      <w:r w:rsidR="003F65E8">
        <w:t>share</w:t>
      </w:r>
      <w:r w:rsidR="004145A8">
        <w:t xml:space="preserve"> </w:t>
      </w:r>
      <w:r w:rsidR="00AD6C9E">
        <w:t xml:space="preserve">of regulation </w:t>
      </w:r>
      <w:r w:rsidR="00D63664">
        <w:t>and</w:t>
      </w:r>
      <w:r w:rsidR="00AD6C9E">
        <w:t xml:space="preserve"> development spending to apportion spending to either regulation or development activities.</w:t>
      </w:r>
      <w:r w:rsidR="00971F79">
        <w:t xml:space="preserve"> </w:t>
      </w:r>
      <w:r w:rsidR="009F1AB7">
        <w:t xml:space="preserve">The </w:t>
      </w:r>
      <w:r w:rsidR="00E5322D">
        <w:t xml:space="preserve">proportion was fixed at the time of the 2020 Review. </w:t>
      </w:r>
      <w:r w:rsidR="00FD777D">
        <w:fldChar w:fldCharType="begin"/>
      </w:r>
      <w:r w:rsidR="00FD777D">
        <w:instrText xml:space="preserve"> REF _Ref140064075 \h </w:instrText>
      </w:r>
      <w:r w:rsidR="00FD777D">
        <w:fldChar w:fldCharType="separate"/>
      </w:r>
      <w:r w:rsidR="007567E1" w:rsidRPr="00D57B31">
        <w:t xml:space="preserve">Table </w:t>
      </w:r>
      <w:r w:rsidR="007567E1">
        <w:rPr>
          <w:noProof/>
        </w:rPr>
        <w:t>1</w:t>
      </w:r>
      <w:r w:rsidR="00FD777D">
        <w:fldChar w:fldCharType="end"/>
      </w:r>
      <w:r w:rsidR="00FD777D">
        <w:t xml:space="preserve"> shows the estimated proportion of state spending on business regulation and development, from the 2020 </w:t>
      </w:r>
      <w:r w:rsidR="002D3B29">
        <w:t>R</w:t>
      </w:r>
      <w:r w:rsidR="00FD777D">
        <w:t xml:space="preserve">eview. </w:t>
      </w:r>
    </w:p>
    <w:p w14:paraId="583EE52F" w14:textId="3AC930F9" w:rsidR="00971F79" w:rsidRPr="00723C10" w:rsidRDefault="00971F79" w:rsidP="00971F79">
      <w:pPr>
        <w:pStyle w:val="CGC2025ParaNumbers"/>
        <w:numPr>
          <w:ilvl w:val="0"/>
          <w:numId w:val="7"/>
        </w:numPr>
        <w:ind w:left="567" w:hanging="567"/>
      </w:pPr>
      <w:r>
        <w:t xml:space="preserve">The </w:t>
      </w:r>
      <w:r w:rsidR="002C3A5E">
        <w:t xml:space="preserve">average </w:t>
      </w:r>
      <w:r>
        <w:t xml:space="preserve">proportion of regulation and business development spending for each assessment component </w:t>
      </w:r>
      <w:r w:rsidR="00FE28F2">
        <w:t xml:space="preserve">used in the 2020 Review </w:t>
      </w:r>
      <w:r>
        <w:t>are:</w:t>
      </w:r>
    </w:p>
    <w:p w14:paraId="7FEB0FEA" w14:textId="77777777" w:rsidR="00971F79" w:rsidRPr="006640D0" w:rsidRDefault="00971F79" w:rsidP="00971F79">
      <w:pPr>
        <w:pStyle w:val="CGC2025Bullet1"/>
      </w:pPr>
      <w:r w:rsidRPr="006640D0">
        <w:t>50</w:t>
      </w:r>
      <w:r>
        <w:t xml:space="preserve">% regulation, </w:t>
      </w:r>
      <w:r w:rsidRPr="006640D0">
        <w:t>50</w:t>
      </w:r>
      <w:r>
        <w:t>% development</w:t>
      </w:r>
      <w:r w:rsidRPr="006640D0">
        <w:t xml:space="preserve"> for agriculture</w:t>
      </w:r>
    </w:p>
    <w:p w14:paraId="77CE8E06" w14:textId="77777777" w:rsidR="00971F79" w:rsidRPr="006640D0" w:rsidRDefault="00971F79" w:rsidP="00971F79">
      <w:pPr>
        <w:pStyle w:val="CGC2025Bullet1"/>
      </w:pPr>
      <w:r w:rsidRPr="006640D0">
        <w:t>80</w:t>
      </w:r>
      <w:r>
        <w:t>%</w:t>
      </w:r>
      <w:r w:rsidRPr="002A22D1">
        <w:t xml:space="preserve"> </w:t>
      </w:r>
      <w:r>
        <w:t>regulation,</w:t>
      </w:r>
      <w:r w:rsidRPr="006640D0">
        <w:t xml:space="preserve"> 20</w:t>
      </w:r>
      <w:r>
        <w:t>% development</w:t>
      </w:r>
      <w:r w:rsidRPr="006640D0">
        <w:t xml:space="preserve"> for mining</w:t>
      </w:r>
    </w:p>
    <w:p w14:paraId="074A309F" w14:textId="63645D58" w:rsidR="00971F79" w:rsidRDefault="00971F79" w:rsidP="00971F79">
      <w:pPr>
        <w:pStyle w:val="CGC2025Bullet1"/>
      </w:pPr>
      <w:r>
        <w:t>53% regulation</w:t>
      </w:r>
      <w:r w:rsidR="390D135C">
        <w:t>,</w:t>
      </w:r>
      <w:r>
        <w:t xml:space="preserve"> 47% development for other industries.</w:t>
      </w:r>
    </w:p>
    <w:p w14:paraId="6B7FFBFB" w14:textId="1AACF25F" w:rsidR="00FD777D" w:rsidRPr="00D57B31" w:rsidRDefault="00FD777D" w:rsidP="00FD777D">
      <w:pPr>
        <w:pStyle w:val="Caption"/>
        <w:rPr>
          <w:rFonts w:ascii="Work Sans" w:hAnsi="Work Sans"/>
        </w:rPr>
      </w:pPr>
      <w:bookmarkStart w:id="9" w:name="_Ref140064075"/>
      <w:r w:rsidRPr="00D57B31">
        <w:rPr>
          <w:rFonts w:ascii="Work Sans" w:hAnsi="Work Sans"/>
        </w:rPr>
        <w:lastRenderedPageBreak/>
        <w:t xml:space="preserve">Table </w:t>
      </w:r>
      <w:r w:rsidRPr="00D57B31">
        <w:rPr>
          <w:rFonts w:ascii="Work Sans" w:hAnsi="Work Sans"/>
        </w:rPr>
        <w:fldChar w:fldCharType="begin"/>
      </w:r>
      <w:r w:rsidRPr="00D57B31">
        <w:rPr>
          <w:rFonts w:ascii="Work Sans" w:hAnsi="Work Sans"/>
        </w:rPr>
        <w:instrText xml:space="preserve"> SEQ Table \* ARABIC </w:instrText>
      </w:r>
      <w:r w:rsidRPr="00D57B31">
        <w:rPr>
          <w:rFonts w:ascii="Work Sans" w:hAnsi="Work Sans"/>
        </w:rPr>
        <w:fldChar w:fldCharType="separate"/>
      </w:r>
      <w:r w:rsidR="007567E1">
        <w:rPr>
          <w:rFonts w:ascii="Work Sans" w:hAnsi="Work Sans"/>
          <w:noProof/>
        </w:rPr>
        <w:t>1</w:t>
      </w:r>
      <w:r w:rsidRPr="00D57B31">
        <w:rPr>
          <w:rFonts w:ascii="Work Sans" w:hAnsi="Work Sans"/>
        </w:rPr>
        <w:fldChar w:fldCharType="end"/>
      </w:r>
      <w:bookmarkEnd w:id="9"/>
      <w:r w:rsidRPr="00D57B31">
        <w:rPr>
          <w:rFonts w:ascii="Work Sans" w:hAnsi="Work Sans"/>
        </w:rPr>
        <w:tab/>
        <w:t xml:space="preserve">Proportion of </w:t>
      </w:r>
      <w:r w:rsidR="00D240ED">
        <w:rPr>
          <w:rFonts w:ascii="Work Sans" w:hAnsi="Work Sans"/>
        </w:rPr>
        <w:t>s</w:t>
      </w:r>
      <w:r w:rsidRPr="00D57B31">
        <w:rPr>
          <w:rFonts w:ascii="Work Sans" w:hAnsi="Work Sans"/>
        </w:rPr>
        <w:t>tate spending on regulation and business development by industry, 2010 and 2020 Reviews</w:t>
      </w:r>
    </w:p>
    <w:tbl>
      <w:tblPr>
        <w:tblW w:w="8920" w:type="dxa"/>
        <w:tblCellMar>
          <w:left w:w="28" w:type="dxa"/>
          <w:right w:w="28" w:type="dxa"/>
        </w:tblCellMar>
        <w:tblLook w:val="04A0" w:firstRow="1" w:lastRow="0" w:firstColumn="1" w:lastColumn="0" w:noHBand="0" w:noVBand="1"/>
      </w:tblPr>
      <w:tblGrid>
        <w:gridCol w:w="2200"/>
        <w:gridCol w:w="640"/>
        <w:gridCol w:w="640"/>
        <w:gridCol w:w="640"/>
        <w:gridCol w:w="640"/>
        <w:gridCol w:w="640"/>
        <w:gridCol w:w="640"/>
        <w:gridCol w:w="640"/>
        <w:gridCol w:w="640"/>
        <w:gridCol w:w="780"/>
        <w:gridCol w:w="820"/>
      </w:tblGrid>
      <w:tr w:rsidR="00FD777D" w:rsidRPr="001D38C2" w14:paraId="21173750" w14:textId="77777777" w:rsidTr="2BAD2FF1">
        <w:trPr>
          <w:trHeight w:val="315"/>
        </w:trPr>
        <w:tc>
          <w:tcPr>
            <w:tcW w:w="2200" w:type="dxa"/>
            <w:vMerge w:val="restart"/>
            <w:tcBorders>
              <w:top w:val="nil"/>
              <w:left w:val="nil"/>
              <w:bottom w:val="nil"/>
              <w:right w:val="nil"/>
            </w:tcBorders>
            <w:shd w:val="clear" w:color="auto" w:fill="006991"/>
            <w:vAlign w:val="center"/>
            <w:hideMark/>
          </w:tcPr>
          <w:p w14:paraId="27F2B89B"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 </w:t>
            </w:r>
          </w:p>
        </w:tc>
        <w:tc>
          <w:tcPr>
            <w:tcW w:w="5120" w:type="dxa"/>
            <w:gridSpan w:val="8"/>
            <w:tcBorders>
              <w:top w:val="nil"/>
              <w:left w:val="nil"/>
              <w:bottom w:val="single" w:sz="4" w:space="0" w:color="ADD6EA"/>
              <w:right w:val="nil"/>
            </w:tcBorders>
            <w:shd w:val="clear" w:color="auto" w:fill="006991"/>
            <w:vAlign w:val="center"/>
            <w:hideMark/>
          </w:tcPr>
          <w:p w14:paraId="25A0E5DB" w14:textId="77777777" w:rsidR="00FD777D" w:rsidRPr="001D38C2" w:rsidRDefault="00FD777D">
            <w:pPr>
              <w:keepNext/>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2020 Review by State</w:t>
            </w:r>
          </w:p>
        </w:tc>
        <w:tc>
          <w:tcPr>
            <w:tcW w:w="780" w:type="dxa"/>
            <w:vMerge w:val="restart"/>
            <w:tcBorders>
              <w:top w:val="nil"/>
              <w:left w:val="nil"/>
              <w:bottom w:val="nil"/>
              <w:right w:val="nil"/>
            </w:tcBorders>
            <w:shd w:val="clear" w:color="auto" w:fill="006991"/>
            <w:vAlign w:val="center"/>
            <w:hideMark/>
          </w:tcPr>
          <w:p w14:paraId="289ECA57"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2020 Review</w:t>
            </w:r>
          </w:p>
        </w:tc>
        <w:tc>
          <w:tcPr>
            <w:tcW w:w="820" w:type="dxa"/>
            <w:vMerge w:val="restart"/>
            <w:tcBorders>
              <w:top w:val="nil"/>
              <w:left w:val="nil"/>
              <w:bottom w:val="nil"/>
              <w:right w:val="nil"/>
            </w:tcBorders>
            <w:shd w:val="clear" w:color="auto" w:fill="006991"/>
            <w:vAlign w:val="center"/>
            <w:hideMark/>
          </w:tcPr>
          <w:p w14:paraId="6EC545E4"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2010 Review</w:t>
            </w:r>
          </w:p>
        </w:tc>
      </w:tr>
      <w:tr w:rsidR="00FD777D" w:rsidRPr="001D38C2" w14:paraId="62732422" w14:textId="77777777" w:rsidTr="2BAD2FF1">
        <w:trPr>
          <w:trHeight w:val="379"/>
        </w:trPr>
        <w:tc>
          <w:tcPr>
            <w:tcW w:w="2200" w:type="dxa"/>
            <w:vMerge/>
            <w:vAlign w:val="center"/>
            <w:hideMark/>
          </w:tcPr>
          <w:p w14:paraId="12B1B8BB" w14:textId="77777777" w:rsidR="00FD777D" w:rsidRPr="001D38C2" w:rsidRDefault="00FD777D">
            <w:pPr>
              <w:keepNext/>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640" w:type="dxa"/>
            <w:tcBorders>
              <w:top w:val="nil"/>
              <w:left w:val="nil"/>
              <w:bottom w:val="nil"/>
              <w:right w:val="nil"/>
            </w:tcBorders>
            <w:shd w:val="clear" w:color="auto" w:fill="006991"/>
            <w:vAlign w:val="center"/>
            <w:hideMark/>
          </w:tcPr>
          <w:p w14:paraId="4708880B"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auto" w:fill="006991"/>
            <w:vAlign w:val="center"/>
            <w:hideMark/>
          </w:tcPr>
          <w:p w14:paraId="2D57EAFC"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auto" w:fill="006991"/>
            <w:vAlign w:val="center"/>
            <w:hideMark/>
          </w:tcPr>
          <w:p w14:paraId="20DE88FC"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auto" w:fill="006991"/>
            <w:vAlign w:val="center"/>
            <w:hideMark/>
          </w:tcPr>
          <w:p w14:paraId="1439F14F"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10" w:name="_Int_W3xwOJPS"/>
            <w:r w:rsidRPr="2BAD2FF1">
              <w:rPr>
                <w:rFonts w:ascii="Open Sans Semibold" w:eastAsia="Times New Roman" w:hAnsi="Open Sans Semibold" w:cs="Open Sans Semibold"/>
                <w:color w:val="FFFFFF" w:themeColor="background1"/>
                <w:sz w:val="16"/>
                <w:szCs w:val="16"/>
                <w:lang w:eastAsia="en-AU"/>
              </w:rPr>
              <w:t>WA</w:t>
            </w:r>
            <w:bookmarkEnd w:id="10"/>
          </w:p>
        </w:tc>
        <w:tc>
          <w:tcPr>
            <w:tcW w:w="640" w:type="dxa"/>
            <w:tcBorders>
              <w:top w:val="nil"/>
              <w:left w:val="nil"/>
              <w:bottom w:val="nil"/>
              <w:right w:val="nil"/>
            </w:tcBorders>
            <w:shd w:val="clear" w:color="auto" w:fill="006991"/>
            <w:vAlign w:val="center"/>
            <w:hideMark/>
          </w:tcPr>
          <w:p w14:paraId="0DEB1B4D"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11" w:name="_Int_9ZxaB2mU"/>
            <w:r w:rsidRPr="2BAD2FF1">
              <w:rPr>
                <w:rFonts w:ascii="Open Sans Semibold" w:eastAsia="Times New Roman" w:hAnsi="Open Sans Semibold" w:cs="Open Sans Semibold"/>
                <w:color w:val="FFFFFF" w:themeColor="background1"/>
                <w:sz w:val="16"/>
                <w:szCs w:val="16"/>
                <w:lang w:eastAsia="en-AU"/>
              </w:rPr>
              <w:t>SA</w:t>
            </w:r>
            <w:bookmarkEnd w:id="11"/>
          </w:p>
        </w:tc>
        <w:tc>
          <w:tcPr>
            <w:tcW w:w="640" w:type="dxa"/>
            <w:tcBorders>
              <w:top w:val="nil"/>
              <w:left w:val="nil"/>
              <w:bottom w:val="nil"/>
              <w:right w:val="nil"/>
            </w:tcBorders>
            <w:shd w:val="clear" w:color="auto" w:fill="006991"/>
            <w:vAlign w:val="center"/>
            <w:hideMark/>
          </w:tcPr>
          <w:p w14:paraId="0F8303E9"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auto" w:fill="006991"/>
            <w:vAlign w:val="center"/>
            <w:hideMark/>
          </w:tcPr>
          <w:p w14:paraId="3039B832"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auto" w:fill="006991"/>
            <w:vAlign w:val="center"/>
            <w:hideMark/>
          </w:tcPr>
          <w:p w14:paraId="315C12A2"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38C2">
              <w:rPr>
                <w:rFonts w:ascii="Open Sans Semibold" w:eastAsia="Times New Roman" w:hAnsi="Open Sans Semibold" w:cs="Open Sans Semibold"/>
                <w:color w:val="FFFFFF"/>
                <w:sz w:val="16"/>
                <w:szCs w:val="16"/>
                <w:lang w:eastAsia="en-AU"/>
              </w:rPr>
              <w:t>NT</w:t>
            </w:r>
          </w:p>
        </w:tc>
        <w:tc>
          <w:tcPr>
            <w:tcW w:w="780" w:type="dxa"/>
            <w:vMerge/>
            <w:vAlign w:val="center"/>
            <w:hideMark/>
          </w:tcPr>
          <w:p w14:paraId="34439ABB" w14:textId="77777777" w:rsidR="00FD777D" w:rsidRPr="001D38C2" w:rsidRDefault="00FD777D">
            <w:pPr>
              <w:keepNext/>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820" w:type="dxa"/>
            <w:vMerge/>
            <w:vAlign w:val="center"/>
            <w:hideMark/>
          </w:tcPr>
          <w:p w14:paraId="2093D585" w14:textId="77777777" w:rsidR="00FD777D" w:rsidRPr="001D38C2" w:rsidRDefault="00FD777D">
            <w:pPr>
              <w:keepNext/>
              <w:tabs>
                <w:tab w:val="clear" w:pos="567"/>
              </w:tabs>
              <w:spacing w:before="0" w:line="240" w:lineRule="auto"/>
              <w:rPr>
                <w:rFonts w:ascii="Open Sans Semibold" w:eastAsia="Times New Roman" w:hAnsi="Open Sans Semibold" w:cs="Open Sans Semibold"/>
                <w:color w:val="FFFFFF"/>
                <w:sz w:val="16"/>
                <w:szCs w:val="16"/>
                <w:lang w:eastAsia="en-AU"/>
              </w:rPr>
            </w:pPr>
          </w:p>
        </w:tc>
      </w:tr>
      <w:tr w:rsidR="00FD777D" w:rsidRPr="001D38C2" w14:paraId="146E1C03" w14:textId="77777777" w:rsidTr="2BAD2FF1">
        <w:trPr>
          <w:trHeight w:val="259"/>
        </w:trPr>
        <w:tc>
          <w:tcPr>
            <w:tcW w:w="2200" w:type="dxa"/>
            <w:tcBorders>
              <w:top w:val="single" w:sz="4" w:space="0" w:color="ADD6EA"/>
              <w:left w:val="nil"/>
              <w:bottom w:val="single" w:sz="4" w:space="0" w:color="ADD6EA"/>
              <w:right w:val="nil"/>
            </w:tcBorders>
            <w:shd w:val="clear" w:color="auto" w:fill="B6D5E4"/>
            <w:noWrap/>
            <w:vAlign w:val="center"/>
            <w:hideMark/>
          </w:tcPr>
          <w:p w14:paraId="763E1DDD"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single" w:sz="4" w:space="0" w:color="ADD6EA"/>
              <w:right w:val="nil"/>
            </w:tcBorders>
            <w:shd w:val="clear" w:color="auto" w:fill="B6D5E4"/>
            <w:noWrap/>
            <w:vAlign w:val="center"/>
            <w:hideMark/>
          </w:tcPr>
          <w:p w14:paraId="480CAE9B"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29934BF3"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12D56260"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1F2BC017"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6C74E335"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5B3D5293"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5A95C803"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640" w:type="dxa"/>
            <w:tcBorders>
              <w:top w:val="single" w:sz="4" w:space="0" w:color="ADD6EA"/>
              <w:left w:val="nil"/>
              <w:bottom w:val="single" w:sz="4" w:space="0" w:color="ADD6EA"/>
              <w:right w:val="nil"/>
            </w:tcBorders>
            <w:shd w:val="clear" w:color="auto" w:fill="B6D5E4"/>
            <w:noWrap/>
            <w:vAlign w:val="center"/>
            <w:hideMark/>
          </w:tcPr>
          <w:p w14:paraId="3F270989"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780" w:type="dxa"/>
            <w:tcBorders>
              <w:top w:val="single" w:sz="4" w:space="0" w:color="ADD6EA"/>
              <w:left w:val="nil"/>
              <w:bottom w:val="single" w:sz="4" w:space="0" w:color="ADD6EA"/>
              <w:right w:val="nil"/>
            </w:tcBorders>
            <w:shd w:val="clear" w:color="auto" w:fill="B6D5E4"/>
            <w:noWrap/>
            <w:vAlign w:val="center"/>
            <w:hideMark/>
          </w:tcPr>
          <w:p w14:paraId="57A59C91"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c>
          <w:tcPr>
            <w:tcW w:w="820" w:type="dxa"/>
            <w:tcBorders>
              <w:top w:val="single" w:sz="4" w:space="0" w:color="ADD6EA"/>
              <w:left w:val="nil"/>
              <w:bottom w:val="single" w:sz="4" w:space="0" w:color="ADD6EA"/>
              <w:right w:val="nil"/>
            </w:tcBorders>
            <w:shd w:val="clear" w:color="auto" w:fill="B6D5E4"/>
            <w:noWrap/>
            <w:vAlign w:val="center"/>
            <w:hideMark/>
          </w:tcPr>
          <w:p w14:paraId="077451AD" w14:textId="77777777" w:rsidR="00FD777D" w:rsidRPr="001D38C2" w:rsidRDefault="00FD777D">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D38C2">
              <w:rPr>
                <w:rFonts w:ascii="Open Sans Semibold" w:eastAsia="Times New Roman" w:hAnsi="Open Sans Semibold" w:cs="Open Sans Semibold"/>
                <w:color w:val="000000"/>
                <w:sz w:val="16"/>
                <w:szCs w:val="16"/>
                <w:lang w:eastAsia="en-AU"/>
              </w:rPr>
              <w:t>%</w:t>
            </w:r>
          </w:p>
        </w:tc>
      </w:tr>
      <w:tr w:rsidR="00FD777D" w:rsidRPr="001D38C2" w14:paraId="1DC51F2C"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hideMark/>
          </w:tcPr>
          <w:p w14:paraId="5F35617A" w14:textId="77777777" w:rsidR="00FD777D" w:rsidRPr="001D38C2" w:rsidRDefault="00FD777D">
            <w:pPr>
              <w:keepNext/>
              <w:tabs>
                <w:tab w:val="clear" w:pos="567"/>
              </w:tabs>
              <w:spacing w:before="0" w:line="240" w:lineRule="auto"/>
              <w:rPr>
                <w:rFonts w:ascii="Open Sans Semibold" w:eastAsia="Times New Roman" w:hAnsi="Open Sans Semibold" w:cs="Open Sans Semibold"/>
                <w:sz w:val="16"/>
                <w:szCs w:val="16"/>
                <w:lang w:eastAsia="en-AU"/>
              </w:rPr>
            </w:pPr>
            <w:r w:rsidRPr="001D38C2">
              <w:rPr>
                <w:rFonts w:ascii="Open Sans Semibold" w:eastAsia="Times New Roman" w:hAnsi="Open Sans Semibold" w:cs="Open Sans Semibold"/>
                <w:sz w:val="16"/>
                <w:szCs w:val="16"/>
                <w:lang w:eastAsia="en-AU"/>
              </w:rPr>
              <w:t>Agriculture</w:t>
            </w:r>
          </w:p>
        </w:tc>
        <w:tc>
          <w:tcPr>
            <w:tcW w:w="640" w:type="dxa"/>
            <w:tcBorders>
              <w:top w:val="nil"/>
              <w:left w:val="nil"/>
              <w:bottom w:val="single" w:sz="4" w:space="0" w:color="ADD6EA"/>
              <w:right w:val="nil"/>
            </w:tcBorders>
            <w:shd w:val="clear" w:color="auto" w:fill="FFFFFF" w:themeFill="background1"/>
            <w:vAlign w:val="bottom"/>
            <w:hideMark/>
          </w:tcPr>
          <w:p w14:paraId="1DE95C9D"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1C92BDF7"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448E78C8"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28BC7882"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6167E39F"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69944724"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787A1DFF"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7FDDAB61"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780" w:type="dxa"/>
            <w:tcBorders>
              <w:top w:val="nil"/>
              <w:left w:val="nil"/>
              <w:bottom w:val="single" w:sz="4" w:space="0" w:color="ADD6EA"/>
              <w:right w:val="nil"/>
            </w:tcBorders>
            <w:shd w:val="clear" w:color="auto" w:fill="FFFFFF" w:themeFill="background1"/>
            <w:vAlign w:val="bottom"/>
            <w:hideMark/>
          </w:tcPr>
          <w:p w14:paraId="7604B03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820" w:type="dxa"/>
            <w:tcBorders>
              <w:top w:val="nil"/>
              <w:left w:val="nil"/>
              <w:bottom w:val="single" w:sz="4" w:space="0" w:color="ADD6EA"/>
              <w:right w:val="nil"/>
            </w:tcBorders>
            <w:shd w:val="clear" w:color="auto" w:fill="FFFFFF" w:themeFill="background1"/>
            <w:vAlign w:val="bottom"/>
            <w:hideMark/>
          </w:tcPr>
          <w:p w14:paraId="2CE9BB59"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w:t>
            </w:r>
          </w:p>
        </w:tc>
      </w:tr>
      <w:tr w:rsidR="00FD777D" w:rsidRPr="001D38C2" w14:paraId="4F9F8F44"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hideMark/>
          </w:tcPr>
          <w:p w14:paraId="2E49ACA8"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Regulation</w:t>
            </w:r>
          </w:p>
        </w:tc>
        <w:tc>
          <w:tcPr>
            <w:tcW w:w="640" w:type="dxa"/>
            <w:tcBorders>
              <w:top w:val="nil"/>
              <w:left w:val="nil"/>
              <w:bottom w:val="single" w:sz="4" w:space="0" w:color="ADD6EA"/>
              <w:right w:val="nil"/>
            </w:tcBorders>
            <w:shd w:val="clear" w:color="auto" w:fill="FFFFFF" w:themeFill="background1"/>
            <w:vAlign w:val="bottom"/>
            <w:hideMark/>
          </w:tcPr>
          <w:p w14:paraId="5B71826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26</w:t>
            </w:r>
          </w:p>
        </w:tc>
        <w:tc>
          <w:tcPr>
            <w:tcW w:w="640" w:type="dxa"/>
            <w:tcBorders>
              <w:top w:val="nil"/>
              <w:left w:val="nil"/>
              <w:bottom w:val="single" w:sz="4" w:space="0" w:color="ADD6EA"/>
              <w:right w:val="nil"/>
            </w:tcBorders>
            <w:shd w:val="clear" w:color="auto" w:fill="FFFFFF" w:themeFill="background1"/>
            <w:vAlign w:val="bottom"/>
            <w:hideMark/>
          </w:tcPr>
          <w:p w14:paraId="2CA53776"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61</w:t>
            </w:r>
          </w:p>
        </w:tc>
        <w:tc>
          <w:tcPr>
            <w:tcW w:w="640" w:type="dxa"/>
            <w:tcBorders>
              <w:top w:val="nil"/>
              <w:left w:val="nil"/>
              <w:bottom w:val="single" w:sz="4" w:space="0" w:color="ADD6EA"/>
              <w:right w:val="nil"/>
            </w:tcBorders>
            <w:shd w:val="clear" w:color="auto" w:fill="FFFFFF" w:themeFill="background1"/>
            <w:vAlign w:val="bottom"/>
            <w:hideMark/>
          </w:tcPr>
          <w:p w14:paraId="594D759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51</w:t>
            </w:r>
          </w:p>
        </w:tc>
        <w:tc>
          <w:tcPr>
            <w:tcW w:w="640" w:type="dxa"/>
            <w:tcBorders>
              <w:top w:val="nil"/>
              <w:left w:val="nil"/>
              <w:bottom w:val="single" w:sz="4" w:space="0" w:color="ADD6EA"/>
              <w:right w:val="nil"/>
            </w:tcBorders>
            <w:shd w:val="clear" w:color="auto" w:fill="FFFFFF" w:themeFill="background1"/>
            <w:vAlign w:val="bottom"/>
            <w:hideMark/>
          </w:tcPr>
          <w:p w14:paraId="0BA620B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94</w:t>
            </w:r>
          </w:p>
        </w:tc>
        <w:tc>
          <w:tcPr>
            <w:tcW w:w="640" w:type="dxa"/>
            <w:tcBorders>
              <w:top w:val="nil"/>
              <w:left w:val="nil"/>
              <w:bottom w:val="single" w:sz="4" w:space="0" w:color="ADD6EA"/>
              <w:right w:val="nil"/>
            </w:tcBorders>
            <w:shd w:val="clear" w:color="auto" w:fill="FFFFFF" w:themeFill="background1"/>
            <w:vAlign w:val="bottom"/>
            <w:hideMark/>
          </w:tcPr>
          <w:p w14:paraId="7F42D38A"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44</w:t>
            </w:r>
          </w:p>
        </w:tc>
        <w:tc>
          <w:tcPr>
            <w:tcW w:w="640" w:type="dxa"/>
            <w:tcBorders>
              <w:top w:val="nil"/>
              <w:left w:val="nil"/>
              <w:bottom w:val="single" w:sz="4" w:space="0" w:color="ADD6EA"/>
              <w:right w:val="nil"/>
            </w:tcBorders>
            <w:shd w:val="clear" w:color="auto" w:fill="FFFFFF" w:themeFill="background1"/>
            <w:vAlign w:val="bottom"/>
            <w:hideMark/>
          </w:tcPr>
          <w:p w14:paraId="41BA5004"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80</w:t>
            </w:r>
          </w:p>
        </w:tc>
        <w:tc>
          <w:tcPr>
            <w:tcW w:w="640" w:type="dxa"/>
            <w:tcBorders>
              <w:top w:val="nil"/>
              <w:left w:val="nil"/>
              <w:bottom w:val="single" w:sz="4" w:space="0" w:color="ADD6EA"/>
              <w:right w:val="nil"/>
            </w:tcBorders>
            <w:shd w:val="clear" w:color="auto" w:fill="FFFFFF" w:themeFill="background1"/>
            <w:vAlign w:val="bottom"/>
            <w:hideMark/>
          </w:tcPr>
          <w:p w14:paraId="239C7F19"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proofErr w:type="spellStart"/>
            <w:r w:rsidRPr="2BAD2FF1">
              <w:rPr>
                <w:rFonts w:eastAsia="Times New Roman" w:cs="Open Sans Light"/>
                <w:color w:val="000000" w:themeColor="text1"/>
                <w:sz w:val="16"/>
                <w:szCs w:val="16"/>
                <w:lang w:eastAsia="en-AU"/>
              </w:rPr>
              <w:t>na</w:t>
            </w:r>
            <w:proofErr w:type="spellEnd"/>
          </w:p>
        </w:tc>
        <w:tc>
          <w:tcPr>
            <w:tcW w:w="640" w:type="dxa"/>
            <w:tcBorders>
              <w:top w:val="nil"/>
              <w:left w:val="nil"/>
              <w:bottom w:val="single" w:sz="4" w:space="0" w:color="ADD6EA"/>
              <w:right w:val="nil"/>
            </w:tcBorders>
            <w:shd w:val="clear" w:color="auto" w:fill="FFFFFF" w:themeFill="background1"/>
            <w:vAlign w:val="bottom"/>
            <w:hideMark/>
          </w:tcPr>
          <w:p w14:paraId="45C4AD29"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29</w:t>
            </w:r>
          </w:p>
        </w:tc>
        <w:tc>
          <w:tcPr>
            <w:tcW w:w="780" w:type="dxa"/>
            <w:tcBorders>
              <w:top w:val="nil"/>
              <w:left w:val="nil"/>
              <w:bottom w:val="single" w:sz="4" w:space="0" w:color="ADD6EA"/>
              <w:right w:val="nil"/>
            </w:tcBorders>
            <w:shd w:val="clear" w:color="auto" w:fill="FFFFFF" w:themeFill="background1"/>
            <w:vAlign w:val="bottom"/>
            <w:hideMark/>
          </w:tcPr>
          <w:p w14:paraId="2533D7E3"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50</w:t>
            </w:r>
          </w:p>
        </w:tc>
        <w:tc>
          <w:tcPr>
            <w:tcW w:w="820" w:type="dxa"/>
            <w:tcBorders>
              <w:top w:val="nil"/>
              <w:left w:val="nil"/>
              <w:bottom w:val="single" w:sz="4" w:space="0" w:color="ADD6EA"/>
              <w:right w:val="nil"/>
            </w:tcBorders>
            <w:shd w:val="clear" w:color="auto" w:fill="FFFFFF" w:themeFill="background1"/>
            <w:vAlign w:val="bottom"/>
            <w:hideMark/>
          </w:tcPr>
          <w:p w14:paraId="50EDD8B6"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50</w:t>
            </w:r>
          </w:p>
        </w:tc>
      </w:tr>
      <w:tr w:rsidR="00FD777D" w:rsidRPr="001D38C2" w14:paraId="30680D58"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hideMark/>
          </w:tcPr>
          <w:p w14:paraId="3747F2AE"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Business development</w:t>
            </w:r>
          </w:p>
        </w:tc>
        <w:tc>
          <w:tcPr>
            <w:tcW w:w="640" w:type="dxa"/>
            <w:tcBorders>
              <w:top w:val="nil"/>
              <w:left w:val="nil"/>
              <w:bottom w:val="single" w:sz="4" w:space="0" w:color="ADD6EA"/>
              <w:right w:val="nil"/>
            </w:tcBorders>
            <w:shd w:val="clear" w:color="auto" w:fill="FFFFFF" w:themeFill="background1"/>
            <w:vAlign w:val="bottom"/>
            <w:hideMark/>
          </w:tcPr>
          <w:p w14:paraId="5E35C1E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74</w:t>
            </w:r>
          </w:p>
        </w:tc>
        <w:tc>
          <w:tcPr>
            <w:tcW w:w="640" w:type="dxa"/>
            <w:tcBorders>
              <w:top w:val="nil"/>
              <w:left w:val="nil"/>
              <w:bottom w:val="single" w:sz="4" w:space="0" w:color="ADD6EA"/>
              <w:right w:val="nil"/>
            </w:tcBorders>
            <w:shd w:val="clear" w:color="auto" w:fill="FFFFFF" w:themeFill="background1"/>
            <w:vAlign w:val="bottom"/>
            <w:hideMark/>
          </w:tcPr>
          <w:p w14:paraId="4F5D43DD"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39</w:t>
            </w:r>
          </w:p>
        </w:tc>
        <w:tc>
          <w:tcPr>
            <w:tcW w:w="640" w:type="dxa"/>
            <w:tcBorders>
              <w:top w:val="nil"/>
              <w:left w:val="nil"/>
              <w:bottom w:val="single" w:sz="4" w:space="0" w:color="ADD6EA"/>
              <w:right w:val="nil"/>
            </w:tcBorders>
            <w:shd w:val="clear" w:color="auto" w:fill="FFFFFF" w:themeFill="background1"/>
            <w:vAlign w:val="bottom"/>
            <w:hideMark/>
          </w:tcPr>
          <w:p w14:paraId="480159EA"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49</w:t>
            </w:r>
          </w:p>
        </w:tc>
        <w:tc>
          <w:tcPr>
            <w:tcW w:w="640" w:type="dxa"/>
            <w:tcBorders>
              <w:top w:val="nil"/>
              <w:left w:val="nil"/>
              <w:bottom w:val="single" w:sz="4" w:space="0" w:color="ADD6EA"/>
              <w:right w:val="nil"/>
            </w:tcBorders>
            <w:shd w:val="clear" w:color="auto" w:fill="FFFFFF" w:themeFill="background1"/>
            <w:vAlign w:val="bottom"/>
            <w:hideMark/>
          </w:tcPr>
          <w:p w14:paraId="76E33DAC"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6</w:t>
            </w:r>
          </w:p>
        </w:tc>
        <w:tc>
          <w:tcPr>
            <w:tcW w:w="640" w:type="dxa"/>
            <w:tcBorders>
              <w:top w:val="nil"/>
              <w:left w:val="nil"/>
              <w:bottom w:val="single" w:sz="4" w:space="0" w:color="ADD6EA"/>
              <w:right w:val="nil"/>
            </w:tcBorders>
            <w:shd w:val="clear" w:color="auto" w:fill="FFFFFF" w:themeFill="background1"/>
            <w:vAlign w:val="bottom"/>
            <w:hideMark/>
          </w:tcPr>
          <w:p w14:paraId="06C1DD42"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56</w:t>
            </w:r>
          </w:p>
        </w:tc>
        <w:tc>
          <w:tcPr>
            <w:tcW w:w="640" w:type="dxa"/>
            <w:tcBorders>
              <w:top w:val="nil"/>
              <w:left w:val="nil"/>
              <w:bottom w:val="single" w:sz="4" w:space="0" w:color="ADD6EA"/>
              <w:right w:val="nil"/>
            </w:tcBorders>
            <w:shd w:val="clear" w:color="auto" w:fill="FFFFFF" w:themeFill="background1"/>
            <w:vAlign w:val="bottom"/>
            <w:hideMark/>
          </w:tcPr>
          <w:p w14:paraId="5651E47F"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20</w:t>
            </w:r>
          </w:p>
        </w:tc>
        <w:tc>
          <w:tcPr>
            <w:tcW w:w="640" w:type="dxa"/>
            <w:tcBorders>
              <w:top w:val="nil"/>
              <w:left w:val="nil"/>
              <w:bottom w:val="single" w:sz="4" w:space="0" w:color="ADD6EA"/>
              <w:right w:val="nil"/>
            </w:tcBorders>
            <w:shd w:val="clear" w:color="auto" w:fill="FFFFFF" w:themeFill="background1"/>
            <w:vAlign w:val="bottom"/>
            <w:hideMark/>
          </w:tcPr>
          <w:p w14:paraId="1EB7CCD5"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proofErr w:type="spellStart"/>
            <w:r w:rsidRPr="2BAD2FF1">
              <w:rPr>
                <w:rFonts w:eastAsia="Times New Roman" w:cs="Open Sans Light"/>
                <w:color w:val="000000" w:themeColor="text1"/>
                <w:sz w:val="16"/>
                <w:szCs w:val="16"/>
                <w:lang w:eastAsia="en-AU"/>
              </w:rPr>
              <w:t>na</w:t>
            </w:r>
            <w:proofErr w:type="spellEnd"/>
          </w:p>
        </w:tc>
        <w:tc>
          <w:tcPr>
            <w:tcW w:w="640" w:type="dxa"/>
            <w:tcBorders>
              <w:top w:val="nil"/>
              <w:left w:val="nil"/>
              <w:bottom w:val="single" w:sz="4" w:space="0" w:color="ADD6EA"/>
              <w:right w:val="nil"/>
            </w:tcBorders>
            <w:shd w:val="clear" w:color="auto" w:fill="FFFFFF" w:themeFill="background1"/>
            <w:vAlign w:val="bottom"/>
            <w:hideMark/>
          </w:tcPr>
          <w:p w14:paraId="0C39C20D"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71</w:t>
            </w:r>
          </w:p>
        </w:tc>
        <w:tc>
          <w:tcPr>
            <w:tcW w:w="780" w:type="dxa"/>
            <w:tcBorders>
              <w:top w:val="nil"/>
              <w:left w:val="nil"/>
              <w:bottom w:val="single" w:sz="4" w:space="0" w:color="ADD6EA"/>
              <w:right w:val="nil"/>
            </w:tcBorders>
            <w:shd w:val="clear" w:color="auto" w:fill="FFFFFF" w:themeFill="background1"/>
            <w:vAlign w:val="bottom"/>
            <w:hideMark/>
          </w:tcPr>
          <w:p w14:paraId="1ED628D1"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50</w:t>
            </w:r>
          </w:p>
        </w:tc>
        <w:tc>
          <w:tcPr>
            <w:tcW w:w="820" w:type="dxa"/>
            <w:tcBorders>
              <w:top w:val="nil"/>
              <w:left w:val="nil"/>
              <w:bottom w:val="single" w:sz="4" w:space="0" w:color="ADD6EA"/>
              <w:right w:val="nil"/>
            </w:tcBorders>
            <w:shd w:val="clear" w:color="auto" w:fill="FFFFFF" w:themeFill="background1"/>
            <w:vAlign w:val="bottom"/>
            <w:hideMark/>
          </w:tcPr>
          <w:p w14:paraId="18E8A754"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50</w:t>
            </w:r>
          </w:p>
        </w:tc>
      </w:tr>
      <w:tr w:rsidR="00FD777D" w:rsidRPr="001D38C2" w14:paraId="13E41EC9"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tcPr>
          <w:p w14:paraId="22D4BBEB" w14:textId="5A052C2D"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ascii="Open Sans Semibold" w:eastAsia="Times New Roman" w:hAnsi="Open Sans Semibold" w:cs="Open Sans Semibold"/>
                <w:sz w:val="16"/>
                <w:szCs w:val="16"/>
                <w:lang w:eastAsia="en-AU"/>
              </w:rPr>
              <w:t>Mining</w:t>
            </w:r>
          </w:p>
        </w:tc>
        <w:tc>
          <w:tcPr>
            <w:tcW w:w="640" w:type="dxa"/>
            <w:tcBorders>
              <w:top w:val="nil"/>
              <w:left w:val="nil"/>
              <w:bottom w:val="single" w:sz="4" w:space="0" w:color="ADD6EA"/>
              <w:right w:val="nil"/>
            </w:tcBorders>
            <w:shd w:val="clear" w:color="auto" w:fill="FFFFFF" w:themeFill="background1"/>
            <w:vAlign w:val="bottom"/>
          </w:tcPr>
          <w:p w14:paraId="5639DCC5"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04D74677"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51B6EEFD"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71FB3CB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4E564740"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5EF83066"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7265A433"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tcPr>
          <w:p w14:paraId="40592EFD"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780" w:type="dxa"/>
            <w:tcBorders>
              <w:top w:val="nil"/>
              <w:left w:val="nil"/>
              <w:bottom w:val="single" w:sz="4" w:space="0" w:color="ADD6EA"/>
              <w:right w:val="nil"/>
            </w:tcBorders>
            <w:shd w:val="clear" w:color="auto" w:fill="FFFFFF" w:themeFill="background1"/>
            <w:vAlign w:val="bottom"/>
          </w:tcPr>
          <w:p w14:paraId="386C807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820" w:type="dxa"/>
            <w:tcBorders>
              <w:top w:val="nil"/>
              <w:left w:val="nil"/>
              <w:bottom w:val="single" w:sz="4" w:space="0" w:color="ADD6EA"/>
              <w:right w:val="nil"/>
            </w:tcBorders>
            <w:shd w:val="clear" w:color="auto" w:fill="FFFFFF" w:themeFill="background1"/>
            <w:vAlign w:val="bottom"/>
          </w:tcPr>
          <w:p w14:paraId="358A40C9"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 </w:t>
            </w:r>
          </w:p>
        </w:tc>
      </w:tr>
      <w:tr w:rsidR="00FD777D" w:rsidRPr="001D38C2" w14:paraId="4DD6B235"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tcPr>
          <w:p w14:paraId="317DCE9A"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Regulation</w:t>
            </w:r>
          </w:p>
        </w:tc>
        <w:tc>
          <w:tcPr>
            <w:tcW w:w="640" w:type="dxa"/>
            <w:tcBorders>
              <w:top w:val="nil"/>
              <w:left w:val="nil"/>
              <w:bottom w:val="single" w:sz="4" w:space="0" w:color="ADD6EA"/>
              <w:right w:val="nil"/>
            </w:tcBorders>
            <w:shd w:val="clear" w:color="auto" w:fill="FFFFFF" w:themeFill="background1"/>
            <w:vAlign w:val="bottom"/>
          </w:tcPr>
          <w:p w14:paraId="426BABA8"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63</w:t>
            </w:r>
          </w:p>
        </w:tc>
        <w:tc>
          <w:tcPr>
            <w:tcW w:w="640" w:type="dxa"/>
            <w:tcBorders>
              <w:top w:val="nil"/>
              <w:left w:val="nil"/>
              <w:bottom w:val="single" w:sz="4" w:space="0" w:color="ADD6EA"/>
              <w:right w:val="nil"/>
            </w:tcBorders>
            <w:shd w:val="clear" w:color="auto" w:fill="FFFFFF" w:themeFill="background1"/>
            <w:vAlign w:val="bottom"/>
          </w:tcPr>
          <w:p w14:paraId="37A53156"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83</w:t>
            </w:r>
          </w:p>
        </w:tc>
        <w:tc>
          <w:tcPr>
            <w:tcW w:w="640" w:type="dxa"/>
            <w:tcBorders>
              <w:top w:val="nil"/>
              <w:left w:val="nil"/>
              <w:bottom w:val="single" w:sz="4" w:space="0" w:color="ADD6EA"/>
              <w:right w:val="nil"/>
            </w:tcBorders>
            <w:shd w:val="clear" w:color="auto" w:fill="FFFFFF" w:themeFill="background1"/>
            <w:vAlign w:val="bottom"/>
          </w:tcPr>
          <w:p w14:paraId="576279E5"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88</w:t>
            </w:r>
          </w:p>
        </w:tc>
        <w:tc>
          <w:tcPr>
            <w:tcW w:w="640" w:type="dxa"/>
            <w:tcBorders>
              <w:top w:val="nil"/>
              <w:left w:val="nil"/>
              <w:bottom w:val="single" w:sz="4" w:space="0" w:color="ADD6EA"/>
              <w:right w:val="nil"/>
            </w:tcBorders>
            <w:shd w:val="clear" w:color="auto" w:fill="FFFFFF" w:themeFill="background1"/>
            <w:vAlign w:val="bottom"/>
          </w:tcPr>
          <w:p w14:paraId="77EB353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78</w:t>
            </w:r>
          </w:p>
        </w:tc>
        <w:tc>
          <w:tcPr>
            <w:tcW w:w="640" w:type="dxa"/>
            <w:tcBorders>
              <w:top w:val="nil"/>
              <w:left w:val="nil"/>
              <w:bottom w:val="single" w:sz="4" w:space="0" w:color="ADD6EA"/>
              <w:right w:val="nil"/>
            </w:tcBorders>
            <w:shd w:val="clear" w:color="auto" w:fill="FFFFFF" w:themeFill="background1"/>
            <w:vAlign w:val="bottom"/>
          </w:tcPr>
          <w:p w14:paraId="15661FF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85</w:t>
            </w:r>
          </w:p>
        </w:tc>
        <w:tc>
          <w:tcPr>
            <w:tcW w:w="640" w:type="dxa"/>
            <w:tcBorders>
              <w:top w:val="nil"/>
              <w:left w:val="nil"/>
              <w:bottom w:val="single" w:sz="4" w:space="0" w:color="ADD6EA"/>
              <w:right w:val="nil"/>
            </w:tcBorders>
            <w:shd w:val="clear" w:color="auto" w:fill="FFFFFF" w:themeFill="background1"/>
            <w:vAlign w:val="bottom"/>
          </w:tcPr>
          <w:p w14:paraId="09E5AA4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43</w:t>
            </w:r>
          </w:p>
        </w:tc>
        <w:tc>
          <w:tcPr>
            <w:tcW w:w="640" w:type="dxa"/>
            <w:tcBorders>
              <w:top w:val="nil"/>
              <w:left w:val="nil"/>
              <w:bottom w:val="single" w:sz="4" w:space="0" w:color="ADD6EA"/>
              <w:right w:val="nil"/>
            </w:tcBorders>
            <w:shd w:val="clear" w:color="auto" w:fill="FFFFFF" w:themeFill="background1"/>
            <w:vAlign w:val="bottom"/>
          </w:tcPr>
          <w:p w14:paraId="4AC2A502"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proofErr w:type="spellStart"/>
            <w:r w:rsidRPr="2BAD2FF1">
              <w:rPr>
                <w:rFonts w:eastAsia="Times New Roman" w:cs="Open Sans Light"/>
                <w:color w:val="000000" w:themeColor="text1"/>
                <w:sz w:val="16"/>
                <w:szCs w:val="16"/>
                <w:lang w:eastAsia="en-AU"/>
              </w:rPr>
              <w:t>na</w:t>
            </w:r>
            <w:proofErr w:type="spellEnd"/>
          </w:p>
        </w:tc>
        <w:tc>
          <w:tcPr>
            <w:tcW w:w="640" w:type="dxa"/>
            <w:tcBorders>
              <w:top w:val="nil"/>
              <w:left w:val="nil"/>
              <w:bottom w:val="single" w:sz="4" w:space="0" w:color="ADD6EA"/>
              <w:right w:val="nil"/>
            </w:tcBorders>
            <w:shd w:val="clear" w:color="auto" w:fill="FFFFFF" w:themeFill="background1"/>
            <w:vAlign w:val="bottom"/>
          </w:tcPr>
          <w:p w14:paraId="28412C8C"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72</w:t>
            </w:r>
          </w:p>
        </w:tc>
        <w:tc>
          <w:tcPr>
            <w:tcW w:w="780" w:type="dxa"/>
            <w:tcBorders>
              <w:top w:val="nil"/>
              <w:left w:val="nil"/>
              <w:bottom w:val="single" w:sz="4" w:space="0" w:color="ADD6EA"/>
              <w:right w:val="nil"/>
            </w:tcBorders>
            <w:shd w:val="clear" w:color="auto" w:fill="FFFFFF" w:themeFill="background1"/>
            <w:vAlign w:val="bottom"/>
          </w:tcPr>
          <w:p w14:paraId="6756C322"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80</w:t>
            </w:r>
          </w:p>
        </w:tc>
        <w:tc>
          <w:tcPr>
            <w:tcW w:w="820" w:type="dxa"/>
            <w:tcBorders>
              <w:top w:val="nil"/>
              <w:left w:val="nil"/>
              <w:bottom w:val="single" w:sz="4" w:space="0" w:color="ADD6EA"/>
              <w:right w:val="nil"/>
            </w:tcBorders>
            <w:shd w:val="clear" w:color="auto" w:fill="FFFFFF" w:themeFill="background1"/>
            <w:vAlign w:val="bottom"/>
          </w:tcPr>
          <w:p w14:paraId="0688EC1C"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proofErr w:type="spellStart"/>
            <w:r w:rsidRPr="2BAD2FF1">
              <w:rPr>
                <w:rFonts w:eastAsia="Times New Roman" w:cs="Open Sans Light"/>
                <w:sz w:val="16"/>
                <w:szCs w:val="16"/>
                <w:lang w:eastAsia="en-AU"/>
              </w:rPr>
              <w:t>na</w:t>
            </w:r>
            <w:proofErr w:type="spellEnd"/>
            <w:r w:rsidRPr="2BAD2FF1">
              <w:rPr>
                <w:rFonts w:eastAsia="Times New Roman" w:cs="Open Sans Light"/>
                <w:sz w:val="16"/>
                <w:szCs w:val="16"/>
                <w:lang w:eastAsia="en-AU"/>
              </w:rPr>
              <w:t xml:space="preserve"> (a)</w:t>
            </w:r>
          </w:p>
        </w:tc>
      </w:tr>
      <w:tr w:rsidR="00FD777D" w:rsidRPr="001D38C2" w14:paraId="542A9546"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tcPr>
          <w:p w14:paraId="407F7265"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Business development</w:t>
            </w:r>
          </w:p>
        </w:tc>
        <w:tc>
          <w:tcPr>
            <w:tcW w:w="640" w:type="dxa"/>
            <w:tcBorders>
              <w:top w:val="nil"/>
              <w:left w:val="nil"/>
              <w:bottom w:val="single" w:sz="4" w:space="0" w:color="ADD6EA"/>
              <w:right w:val="nil"/>
            </w:tcBorders>
            <w:shd w:val="clear" w:color="auto" w:fill="FFFFFF" w:themeFill="background1"/>
            <w:vAlign w:val="bottom"/>
          </w:tcPr>
          <w:p w14:paraId="7454700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37</w:t>
            </w:r>
          </w:p>
        </w:tc>
        <w:tc>
          <w:tcPr>
            <w:tcW w:w="640" w:type="dxa"/>
            <w:tcBorders>
              <w:top w:val="nil"/>
              <w:left w:val="nil"/>
              <w:bottom w:val="single" w:sz="4" w:space="0" w:color="ADD6EA"/>
              <w:right w:val="nil"/>
            </w:tcBorders>
            <w:shd w:val="clear" w:color="auto" w:fill="FFFFFF" w:themeFill="background1"/>
            <w:vAlign w:val="bottom"/>
          </w:tcPr>
          <w:p w14:paraId="665B50A7"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17</w:t>
            </w:r>
          </w:p>
        </w:tc>
        <w:tc>
          <w:tcPr>
            <w:tcW w:w="640" w:type="dxa"/>
            <w:tcBorders>
              <w:top w:val="nil"/>
              <w:left w:val="nil"/>
              <w:bottom w:val="single" w:sz="4" w:space="0" w:color="ADD6EA"/>
              <w:right w:val="nil"/>
            </w:tcBorders>
            <w:shd w:val="clear" w:color="auto" w:fill="FFFFFF" w:themeFill="background1"/>
            <w:vAlign w:val="bottom"/>
          </w:tcPr>
          <w:p w14:paraId="5831FDD8"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12</w:t>
            </w:r>
          </w:p>
        </w:tc>
        <w:tc>
          <w:tcPr>
            <w:tcW w:w="640" w:type="dxa"/>
            <w:tcBorders>
              <w:top w:val="nil"/>
              <w:left w:val="nil"/>
              <w:bottom w:val="single" w:sz="4" w:space="0" w:color="ADD6EA"/>
              <w:right w:val="nil"/>
            </w:tcBorders>
            <w:shd w:val="clear" w:color="auto" w:fill="FFFFFF" w:themeFill="background1"/>
            <w:vAlign w:val="bottom"/>
          </w:tcPr>
          <w:p w14:paraId="10E425E2"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22</w:t>
            </w:r>
          </w:p>
        </w:tc>
        <w:tc>
          <w:tcPr>
            <w:tcW w:w="640" w:type="dxa"/>
            <w:tcBorders>
              <w:top w:val="nil"/>
              <w:left w:val="nil"/>
              <w:bottom w:val="single" w:sz="4" w:space="0" w:color="ADD6EA"/>
              <w:right w:val="nil"/>
            </w:tcBorders>
            <w:shd w:val="clear" w:color="auto" w:fill="FFFFFF" w:themeFill="background1"/>
            <w:vAlign w:val="bottom"/>
          </w:tcPr>
          <w:p w14:paraId="1B8DFD7C"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15</w:t>
            </w:r>
          </w:p>
        </w:tc>
        <w:tc>
          <w:tcPr>
            <w:tcW w:w="640" w:type="dxa"/>
            <w:tcBorders>
              <w:top w:val="nil"/>
              <w:left w:val="nil"/>
              <w:bottom w:val="single" w:sz="4" w:space="0" w:color="ADD6EA"/>
              <w:right w:val="nil"/>
            </w:tcBorders>
            <w:shd w:val="clear" w:color="auto" w:fill="FFFFFF" w:themeFill="background1"/>
            <w:vAlign w:val="bottom"/>
          </w:tcPr>
          <w:p w14:paraId="3142423C"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57</w:t>
            </w:r>
          </w:p>
        </w:tc>
        <w:tc>
          <w:tcPr>
            <w:tcW w:w="640" w:type="dxa"/>
            <w:tcBorders>
              <w:top w:val="nil"/>
              <w:left w:val="nil"/>
              <w:bottom w:val="single" w:sz="4" w:space="0" w:color="ADD6EA"/>
              <w:right w:val="nil"/>
            </w:tcBorders>
            <w:shd w:val="clear" w:color="auto" w:fill="FFFFFF" w:themeFill="background1"/>
            <w:vAlign w:val="bottom"/>
          </w:tcPr>
          <w:p w14:paraId="55F3B683"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proofErr w:type="spellStart"/>
            <w:r w:rsidRPr="2BAD2FF1">
              <w:rPr>
                <w:rFonts w:eastAsia="Times New Roman" w:cs="Open Sans Light"/>
                <w:color w:val="000000" w:themeColor="text1"/>
                <w:sz w:val="16"/>
                <w:szCs w:val="16"/>
                <w:lang w:eastAsia="en-AU"/>
              </w:rPr>
              <w:t>na</w:t>
            </w:r>
            <w:proofErr w:type="spellEnd"/>
          </w:p>
        </w:tc>
        <w:tc>
          <w:tcPr>
            <w:tcW w:w="640" w:type="dxa"/>
            <w:tcBorders>
              <w:top w:val="nil"/>
              <w:left w:val="nil"/>
              <w:bottom w:val="single" w:sz="4" w:space="0" w:color="ADD6EA"/>
              <w:right w:val="nil"/>
            </w:tcBorders>
            <w:shd w:val="clear" w:color="auto" w:fill="FFFFFF" w:themeFill="background1"/>
            <w:vAlign w:val="bottom"/>
          </w:tcPr>
          <w:p w14:paraId="01AD9AB5"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28</w:t>
            </w:r>
          </w:p>
        </w:tc>
        <w:tc>
          <w:tcPr>
            <w:tcW w:w="780" w:type="dxa"/>
            <w:tcBorders>
              <w:top w:val="nil"/>
              <w:left w:val="nil"/>
              <w:bottom w:val="single" w:sz="4" w:space="0" w:color="ADD6EA"/>
              <w:right w:val="nil"/>
            </w:tcBorders>
            <w:shd w:val="clear" w:color="auto" w:fill="FFFFFF" w:themeFill="background1"/>
            <w:vAlign w:val="bottom"/>
          </w:tcPr>
          <w:p w14:paraId="7C14C06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20</w:t>
            </w:r>
          </w:p>
        </w:tc>
        <w:tc>
          <w:tcPr>
            <w:tcW w:w="820" w:type="dxa"/>
            <w:tcBorders>
              <w:top w:val="nil"/>
              <w:left w:val="nil"/>
              <w:bottom w:val="single" w:sz="4" w:space="0" w:color="ADD6EA"/>
              <w:right w:val="nil"/>
            </w:tcBorders>
            <w:shd w:val="clear" w:color="auto" w:fill="FFFFFF" w:themeFill="background1"/>
            <w:vAlign w:val="bottom"/>
          </w:tcPr>
          <w:p w14:paraId="43274263"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proofErr w:type="spellStart"/>
            <w:r w:rsidRPr="2BAD2FF1">
              <w:rPr>
                <w:rFonts w:eastAsia="Times New Roman" w:cs="Open Sans Light"/>
                <w:sz w:val="16"/>
                <w:szCs w:val="16"/>
                <w:lang w:eastAsia="en-AU"/>
              </w:rPr>
              <w:t>na</w:t>
            </w:r>
            <w:proofErr w:type="spellEnd"/>
            <w:r w:rsidRPr="2BAD2FF1">
              <w:rPr>
                <w:rFonts w:eastAsia="Times New Roman" w:cs="Open Sans Light"/>
                <w:sz w:val="16"/>
                <w:szCs w:val="16"/>
                <w:lang w:eastAsia="en-AU"/>
              </w:rPr>
              <w:t xml:space="preserve"> (a)</w:t>
            </w:r>
          </w:p>
        </w:tc>
      </w:tr>
      <w:tr w:rsidR="00FD777D" w:rsidRPr="001D38C2" w14:paraId="75887AB3"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hideMark/>
          </w:tcPr>
          <w:p w14:paraId="00AD78F2" w14:textId="3D51B584" w:rsidR="00FD777D" w:rsidRPr="001D38C2" w:rsidRDefault="00FD777D">
            <w:pPr>
              <w:keepNext/>
              <w:tabs>
                <w:tab w:val="clear" w:pos="567"/>
              </w:tabs>
              <w:spacing w:before="0" w:line="240" w:lineRule="auto"/>
              <w:rPr>
                <w:rFonts w:ascii="Open Sans Semibold" w:eastAsia="Times New Roman" w:hAnsi="Open Sans Semibold" w:cs="Open Sans Semibold"/>
                <w:sz w:val="16"/>
                <w:szCs w:val="16"/>
                <w:lang w:eastAsia="en-AU"/>
              </w:rPr>
            </w:pPr>
            <w:r w:rsidRPr="001D38C2">
              <w:rPr>
                <w:rFonts w:ascii="Open Sans Semibold" w:eastAsia="Times New Roman" w:hAnsi="Open Sans Semibold" w:cs="Open Sans Semibold"/>
                <w:sz w:val="16"/>
                <w:szCs w:val="16"/>
                <w:lang w:eastAsia="en-AU"/>
              </w:rPr>
              <w:t>Other industries</w:t>
            </w:r>
          </w:p>
        </w:tc>
        <w:tc>
          <w:tcPr>
            <w:tcW w:w="640" w:type="dxa"/>
            <w:tcBorders>
              <w:top w:val="nil"/>
              <w:left w:val="nil"/>
              <w:bottom w:val="single" w:sz="4" w:space="0" w:color="ADD6EA"/>
              <w:right w:val="nil"/>
            </w:tcBorders>
            <w:shd w:val="clear" w:color="auto" w:fill="FFFFFF" w:themeFill="background1"/>
            <w:vAlign w:val="bottom"/>
            <w:hideMark/>
          </w:tcPr>
          <w:p w14:paraId="1A059F94"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64C7A511"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5A145A46"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59D81089"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50FF4131"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6B74E471"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7E6CB59D"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auto" w:fill="FFFFFF" w:themeFill="background1"/>
            <w:vAlign w:val="bottom"/>
            <w:hideMark/>
          </w:tcPr>
          <w:p w14:paraId="2B803DE6"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780" w:type="dxa"/>
            <w:tcBorders>
              <w:top w:val="nil"/>
              <w:left w:val="nil"/>
              <w:bottom w:val="single" w:sz="4" w:space="0" w:color="ADD6EA"/>
              <w:right w:val="nil"/>
            </w:tcBorders>
            <w:shd w:val="clear" w:color="auto" w:fill="FFFFFF" w:themeFill="background1"/>
            <w:vAlign w:val="bottom"/>
            <w:hideMark/>
          </w:tcPr>
          <w:p w14:paraId="71D36FC0"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 </w:t>
            </w:r>
          </w:p>
        </w:tc>
        <w:tc>
          <w:tcPr>
            <w:tcW w:w="820" w:type="dxa"/>
            <w:tcBorders>
              <w:top w:val="nil"/>
              <w:left w:val="nil"/>
              <w:bottom w:val="single" w:sz="4" w:space="0" w:color="ADD6EA"/>
              <w:right w:val="nil"/>
            </w:tcBorders>
            <w:shd w:val="clear" w:color="auto" w:fill="FFFFFF" w:themeFill="background1"/>
            <w:vAlign w:val="bottom"/>
            <w:hideMark/>
          </w:tcPr>
          <w:p w14:paraId="577318BA"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w:t>
            </w:r>
          </w:p>
        </w:tc>
      </w:tr>
      <w:tr w:rsidR="00FD777D" w:rsidRPr="001D38C2" w14:paraId="0555D647"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hideMark/>
          </w:tcPr>
          <w:p w14:paraId="0FD80AC9"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Regulation</w:t>
            </w:r>
          </w:p>
        </w:tc>
        <w:tc>
          <w:tcPr>
            <w:tcW w:w="640" w:type="dxa"/>
            <w:tcBorders>
              <w:top w:val="nil"/>
              <w:left w:val="nil"/>
              <w:bottom w:val="single" w:sz="4" w:space="0" w:color="ADD6EA"/>
              <w:right w:val="nil"/>
            </w:tcBorders>
            <w:shd w:val="clear" w:color="auto" w:fill="FFFFFF" w:themeFill="background1"/>
            <w:vAlign w:val="bottom"/>
            <w:hideMark/>
          </w:tcPr>
          <w:p w14:paraId="6E2267E8"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52</w:t>
            </w:r>
          </w:p>
        </w:tc>
        <w:tc>
          <w:tcPr>
            <w:tcW w:w="640" w:type="dxa"/>
            <w:tcBorders>
              <w:top w:val="nil"/>
              <w:left w:val="nil"/>
              <w:bottom w:val="single" w:sz="4" w:space="0" w:color="ADD6EA"/>
              <w:right w:val="nil"/>
            </w:tcBorders>
            <w:shd w:val="clear" w:color="auto" w:fill="FFFFFF" w:themeFill="background1"/>
            <w:vAlign w:val="bottom"/>
            <w:hideMark/>
          </w:tcPr>
          <w:p w14:paraId="38F91389"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proofErr w:type="spellStart"/>
            <w:r w:rsidRPr="2BAD2FF1">
              <w:rPr>
                <w:rFonts w:eastAsia="Times New Roman" w:cs="Open Sans Light"/>
                <w:color w:val="000000" w:themeColor="text1"/>
                <w:sz w:val="16"/>
                <w:szCs w:val="16"/>
                <w:lang w:eastAsia="en-AU"/>
              </w:rPr>
              <w:t>na</w:t>
            </w:r>
            <w:proofErr w:type="spellEnd"/>
          </w:p>
        </w:tc>
        <w:tc>
          <w:tcPr>
            <w:tcW w:w="640" w:type="dxa"/>
            <w:tcBorders>
              <w:top w:val="nil"/>
              <w:left w:val="nil"/>
              <w:bottom w:val="single" w:sz="4" w:space="0" w:color="ADD6EA"/>
              <w:right w:val="nil"/>
            </w:tcBorders>
            <w:shd w:val="clear" w:color="auto" w:fill="FFFFFF" w:themeFill="background1"/>
            <w:vAlign w:val="bottom"/>
            <w:hideMark/>
          </w:tcPr>
          <w:p w14:paraId="466F4A1B"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61</w:t>
            </w:r>
          </w:p>
        </w:tc>
        <w:tc>
          <w:tcPr>
            <w:tcW w:w="640" w:type="dxa"/>
            <w:tcBorders>
              <w:top w:val="nil"/>
              <w:left w:val="nil"/>
              <w:bottom w:val="single" w:sz="4" w:space="0" w:color="ADD6EA"/>
              <w:right w:val="nil"/>
            </w:tcBorders>
            <w:shd w:val="clear" w:color="auto" w:fill="FFFFFF" w:themeFill="background1"/>
            <w:vAlign w:val="bottom"/>
            <w:hideMark/>
          </w:tcPr>
          <w:p w14:paraId="367AD7C2"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54</w:t>
            </w:r>
          </w:p>
        </w:tc>
        <w:tc>
          <w:tcPr>
            <w:tcW w:w="640" w:type="dxa"/>
            <w:tcBorders>
              <w:top w:val="nil"/>
              <w:left w:val="nil"/>
              <w:bottom w:val="single" w:sz="4" w:space="0" w:color="ADD6EA"/>
              <w:right w:val="nil"/>
            </w:tcBorders>
            <w:shd w:val="clear" w:color="auto" w:fill="FFFFFF" w:themeFill="background1"/>
            <w:vAlign w:val="bottom"/>
            <w:hideMark/>
          </w:tcPr>
          <w:p w14:paraId="21B4012C"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50</w:t>
            </w:r>
          </w:p>
        </w:tc>
        <w:tc>
          <w:tcPr>
            <w:tcW w:w="640" w:type="dxa"/>
            <w:tcBorders>
              <w:top w:val="nil"/>
              <w:left w:val="nil"/>
              <w:bottom w:val="single" w:sz="4" w:space="0" w:color="ADD6EA"/>
              <w:right w:val="nil"/>
            </w:tcBorders>
            <w:shd w:val="clear" w:color="auto" w:fill="FFFFFF" w:themeFill="background1"/>
            <w:vAlign w:val="bottom"/>
            <w:hideMark/>
          </w:tcPr>
          <w:p w14:paraId="119DCAB5"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16</w:t>
            </w:r>
          </w:p>
        </w:tc>
        <w:tc>
          <w:tcPr>
            <w:tcW w:w="640" w:type="dxa"/>
            <w:tcBorders>
              <w:top w:val="nil"/>
              <w:left w:val="nil"/>
              <w:bottom w:val="single" w:sz="4" w:space="0" w:color="ADD6EA"/>
              <w:right w:val="nil"/>
            </w:tcBorders>
            <w:shd w:val="clear" w:color="auto" w:fill="FFFFFF" w:themeFill="background1"/>
            <w:vAlign w:val="bottom"/>
            <w:hideMark/>
          </w:tcPr>
          <w:p w14:paraId="6D762D6F"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72</w:t>
            </w:r>
          </w:p>
        </w:tc>
        <w:tc>
          <w:tcPr>
            <w:tcW w:w="640" w:type="dxa"/>
            <w:tcBorders>
              <w:top w:val="nil"/>
              <w:left w:val="nil"/>
              <w:bottom w:val="single" w:sz="4" w:space="0" w:color="ADD6EA"/>
              <w:right w:val="nil"/>
            </w:tcBorders>
            <w:shd w:val="clear" w:color="auto" w:fill="FFFFFF" w:themeFill="background1"/>
            <w:vAlign w:val="bottom"/>
            <w:hideMark/>
          </w:tcPr>
          <w:p w14:paraId="69B9F78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49</w:t>
            </w:r>
          </w:p>
        </w:tc>
        <w:tc>
          <w:tcPr>
            <w:tcW w:w="780" w:type="dxa"/>
            <w:tcBorders>
              <w:top w:val="nil"/>
              <w:left w:val="nil"/>
              <w:bottom w:val="single" w:sz="4" w:space="0" w:color="ADD6EA"/>
              <w:right w:val="nil"/>
            </w:tcBorders>
            <w:shd w:val="clear" w:color="auto" w:fill="FFFFFF" w:themeFill="background1"/>
            <w:vAlign w:val="bottom"/>
            <w:hideMark/>
          </w:tcPr>
          <w:p w14:paraId="1E5AE2B9"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53</w:t>
            </w:r>
          </w:p>
        </w:tc>
        <w:tc>
          <w:tcPr>
            <w:tcW w:w="820" w:type="dxa"/>
            <w:tcBorders>
              <w:top w:val="nil"/>
              <w:left w:val="nil"/>
              <w:bottom w:val="single" w:sz="4" w:space="0" w:color="ADD6EA"/>
              <w:right w:val="nil"/>
            </w:tcBorders>
            <w:shd w:val="clear" w:color="auto" w:fill="FFFFFF" w:themeFill="background1"/>
            <w:vAlign w:val="bottom"/>
            <w:hideMark/>
          </w:tcPr>
          <w:p w14:paraId="1FB88869"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37</w:t>
            </w:r>
          </w:p>
        </w:tc>
      </w:tr>
      <w:tr w:rsidR="00FD777D" w:rsidRPr="001D38C2" w14:paraId="19F65B22" w14:textId="77777777" w:rsidTr="2BAD2FF1">
        <w:trPr>
          <w:trHeight w:val="315"/>
        </w:trPr>
        <w:tc>
          <w:tcPr>
            <w:tcW w:w="2200" w:type="dxa"/>
            <w:tcBorders>
              <w:top w:val="nil"/>
              <w:left w:val="nil"/>
              <w:bottom w:val="single" w:sz="4" w:space="0" w:color="ADD6EA"/>
              <w:right w:val="nil"/>
            </w:tcBorders>
            <w:shd w:val="clear" w:color="auto" w:fill="FFFFFF" w:themeFill="background1"/>
            <w:vAlign w:val="bottom"/>
            <w:hideMark/>
          </w:tcPr>
          <w:p w14:paraId="490A02C3" w14:textId="77777777" w:rsidR="00FD777D" w:rsidRPr="001D38C2" w:rsidRDefault="00FD777D">
            <w:pPr>
              <w:keepNext/>
              <w:tabs>
                <w:tab w:val="clear" w:pos="567"/>
              </w:tabs>
              <w:spacing w:before="0" w:line="240" w:lineRule="auto"/>
              <w:rPr>
                <w:rFonts w:eastAsia="Times New Roman" w:cs="Open Sans Light"/>
                <w:sz w:val="16"/>
                <w:szCs w:val="16"/>
                <w:lang w:eastAsia="en-AU"/>
              </w:rPr>
            </w:pPr>
            <w:r w:rsidRPr="001D38C2">
              <w:rPr>
                <w:rFonts w:eastAsia="Times New Roman" w:cs="Open Sans Light"/>
                <w:sz w:val="16"/>
                <w:szCs w:val="16"/>
                <w:lang w:eastAsia="en-AU"/>
              </w:rPr>
              <w:t xml:space="preserve">   Business development</w:t>
            </w:r>
          </w:p>
        </w:tc>
        <w:tc>
          <w:tcPr>
            <w:tcW w:w="640" w:type="dxa"/>
            <w:tcBorders>
              <w:top w:val="nil"/>
              <w:left w:val="nil"/>
              <w:bottom w:val="single" w:sz="4" w:space="0" w:color="ADD6EA"/>
              <w:right w:val="nil"/>
            </w:tcBorders>
            <w:shd w:val="clear" w:color="auto" w:fill="FFFFFF" w:themeFill="background1"/>
            <w:vAlign w:val="bottom"/>
            <w:hideMark/>
          </w:tcPr>
          <w:p w14:paraId="2018C9AF"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48</w:t>
            </w:r>
          </w:p>
        </w:tc>
        <w:tc>
          <w:tcPr>
            <w:tcW w:w="640" w:type="dxa"/>
            <w:tcBorders>
              <w:top w:val="nil"/>
              <w:left w:val="nil"/>
              <w:bottom w:val="single" w:sz="4" w:space="0" w:color="ADD6EA"/>
              <w:right w:val="nil"/>
            </w:tcBorders>
            <w:shd w:val="clear" w:color="auto" w:fill="FFFFFF" w:themeFill="background1"/>
            <w:vAlign w:val="bottom"/>
            <w:hideMark/>
          </w:tcPr>
          <w:p w14:paraId="71FE060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proofErr w:type="spellStart"/>
            <w:r w:rsidRPr="2BAD2FF1">
              <w:rPr>
                <w:rFonts w:eastAsia="Times New Roman" w:cs="Open Sans Light"/>
                <w:color w:val="000000" w:themeColor="text1"/>
                <w:sz w:val="16"/>
                <w:szCs w:val="16"/>
                <w:lang w:eastAsia="en-AU"/>
              </w:rPr>
              <w:t>na</w:t>
            </w:r>
            <w:proofErr w:type="spellEnd"/>
          </w:p>
        </w:tc>
        <w:tc>
          <w:tcPr>
            <w:tcW w:w="640" w:type="dxa"/>
            <w:tcBorders>
              <w:top w:val="nil"/>
              <w:left w:val="nil"/>
              <w:bottom w:val="single" w:sz="4" w:space="0" w:color="ADD6EA"/>
              <w:right w:val="nil"/>
            </w:tcBorders>
            <w:shd w:val="clear" w:color="auto" w:fill="FFFFFF" w:themeFill="background1"/>
            <w:vAlign w:val="bottom"/>
            <w:hideMark/>
          </w:tcPr>
          <w:p w14:paraId="393B2BD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39</w:t>
            </w:r>
          </w:p>
        </w:tc>
        <w:tc>
          <w:tcPr>
            <w:tcW w:w="640" w:type="dxa"/>
            <w:tcBorders>
              <w:top w:val="nil"/>
              <w:left w:val="nil"/>
              <w:bottom w:val="single" w:sz="4" w:space="0" w:color="ADD6EA"/>
              <w:right w:val="nil"/>
            </w:tcBorders>
            <w:shd w:val="clear" w:color="auto" w:fill="FFFFFF" w:themeFill="background1"/>
            <w:vAlign w:val="bottom"/>
            <w:hideMark/>
          </w:tcPr>
          <w:p w14:paraId="2E0EA2F7"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46</w:t>
            </w:r>
          </w:p>
        </w:tc>
        <w:tc>
          <w:tcPr>
            <w:tcW w:w="640" w:type="dxa"/>
            <w:tcBorders>
              <w:top w:val="nil"/>
              <w:left w:val="nil"/>
              <w:bottom w:val="single" w:sz="4" w:space="0" w:color="ADD6EA"/>
              <w:right w:val="nil"/>
            </w:tcBorders>
            <w:shd w:val="clear" w:color="auto" w:fill="FFFFFF" w:themeFill="background1"/>
            <w:vAlign w:val="bottom"/>
            <w:hideMark/>
          </w:tcPr>
          <w:p w14:paraId="028EA3DE"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50</w:t>
            </w:r>
          </w:p>
        </w:tc>
        <w:tc>
          <w:tcPr>
            <w:tcW w:w="640" w:type="dxa"/>
            <w:tcBorders>
              <w:top w:val="nil"/>
              <w:left w:val="nil"/>
              <w:bottom w:val="single" w:sz="4" w:space="0" w:color="ADD6EA"/>
              <w:right w:val="nil"/>
            </w:tcBorders>
            <w:shd w:val="clear" w:color="auto" w:fill="FFFFFF" w:themeFill="background1"/>
            <w:vAlign w:val="bottom"/>
            <w:hideMark/>
          </w:tcPr>
          <w:p w14:paraId="35312FB9"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84</w:t>
            </w:r>
          </w:p>
        </w:tc>
        <w:tc>
          <w:tcPr>
            <w:tcW w:w="640" w:type="dxa"/>
            <w:tcBorders>
              <w:top w:val="nil"/>
              <w:left w:val="nil"/>
              <w:bottom w:val="single" w:sz="4" w:space="0" w:color="ADD6EA"/>
              <w:right w:val="nil"/>
            </w:tcBorders>
            <w:shd w:val="clear" w:color="auto" w:fill="FFFFFF" w:themeFill="background1"/>
            <w:vAlign w:val="bottom"/>
            <w:hideMark/>
          </w:tcPr>
          <w:p w14:paraId="3B00AF44"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28</w:t>
            </w:r>
          </w:p>
        </w:tc>
        <w:tc>
          <w:tcPr>
            <w:tcW w:w="640" w:type="dxa"/>
            <w:tcBorders>
              <w:top w:val="nil"/>
              <w:left w:val="nil"/>
              <w:bottom w:val="single" w:sz="4" w:space="0" w:color="ADD6EA"/>
              <w:right w:val="nil"/>
            </w:tcBorders>
            <w:shd w:val="clear" w:color="auto" w:fill="FFFFFF" w:themeFill="background1"/>
            <w:vAlign w:val="bottom"/>
            <w:hideMark/>
          </w:tcPr>
          <w:p w14:paraId="24509321"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51</w:t>
            </w:r>
          </w:p>
        </w:tc>
        <w:tc>
          <w:tcPr>
            <w:tcW w:w="780" w:type="dxa"/>
            <w:tcBorders>
              <w:top w:val="nil"/>
              <w:left w:val="nil"/>
              <w:bottom w:val="single" w:sz="4" w:space="0" w:color="ADD6EA"/>
              <w:right w:val="nil"/>
            </w:tcBorders>
            <w:shd w:val="clear" w:color="auto" w:fill="FFFFFF" w:themeFill="background1"/>
            <w:vAlign w:val="bottom"/>
            <w:hideMark/>
          </w:tcPr>
          <w:p w14:paraId="42292125" w14:textId="77777777" w:rsidR="00FD777D" w:rsidRPr="001D38C2" w:rsidRDefault="00FD777D">
            <w:pPr>
              <w:keepNext/>
              <w:tabs>
                <w:tab w:val="clear" w:pos="567"/>
              </w:tabs>
              <w:spacing w:before="0" w:line="240" w:lineRule="auto"/>
              <w:jc w:val="right"/>
              <w:rPr>
                <w:rFonts w:eastAsia="Times New Roman" w:cs="Open Sans Light"/>
                <w:color w:val="000000"/>
                <w:sz w:val="16"/>
                <w:szCs w:val="16"/>
                <w:lang w:eastAsia="en-AU"/>
              </w:rPr>
            </w:pPr>
            <w:r w:rsidRPr="001D38C2">
              <w:rPr>
                <w:rFonts w:eastAsia="Times New Roman" w:cs="Open Sans Light"/>
                <w:color w:val="000000"/>
                <w:sz w:val="16"/>
                <w:szCs w:val="16"/>
                <w:lang w:eastAsia="en-AU"/>
              </w:rPr>
              <w:t>47</w:t>
            </w:r>
          </w:p>
        </w:tc>
        <w:tc>
          <w:tcPr>
            <w:tcW w:w="820" w:type="dxa"/>
            <w:tcBorders>
              <w:top w:val="nil"/>
              <w:left w:val="nil"/>
              <w:bottom w:val="single" w:sz="4" w:space="0" w:color="ADD6EA"/>
              <w:right w:val="nil"/>
            </w:tcBorders>
            <w:shd w:val="clear" w:color="auto" w:fill="FFFFFF" w:themeFill="background1"/>
            <w:vAlign w:val="bottom"/>
            <w:hideMark/>
          </w:tcPr>
          <w:p w14:paraId="3EE95F35" w14:textId="77777777" w:rsidR="00FD777D" w:rsidRPr="001D38C2" w:rsidRDefault="00FD777D">
            <w:pPr>
              <w:keepNext/>
              <w:tabs>
                <w:tab w:val="clear" w:pos="567"/>
              </w:tabs>
              <w:spacing w:before="0" w:line="240" w:lineRule="auto"/>
              <w:jc w:val="right"/>
              <w:rPr>
                <w:rFonts w:eastAsia="Times New Roman" w:cs="Open Sans Light"/>
                <w:sz w:val="16"/>
                <w:szCs w:val="16"/>
                <w:lang w:eastAsia="en-AU"/>
              </w:rPr>
            </w:pPr>
            <w:r w:rsidRPr="001D38C2">
              <w:rPr>
                <w:rFonts w:eastAsia="Times New Roman" w:cs="Open Sans Light"/>
                <w:sz w:val="16"/>
                <w:szCs w:val="16"/>
                <w:lang w:eastAsia="en-AU"/>
              </w:rPr>
              <w:t>63</w:t>
            </w:r>
          </w:p>
        </w:tc>
      </w:tr>
    </w:tbl>
    <w:p w14:paraId="3FA38EB1" w14:textId="3281C6B9" w:rsidR="00FD777D" w:rsidRDefault="00455FF0" w:rsidP="00F20442">
      <w:pPr>
        <w:pStyle w:val="CGC2025TableNote"/>
      </w:pPr>
      <w:r>
        <w:t>Notes:</w:t>
      </w:r>
      <w:r w:rsidR="006B2D79">
        <w:tab/>
      </w:r>
      <w:r w:rsidR="006B2D79">
        <w:tab/>
        <w:t xml:space="preserve">(a) </w:t>
      </w:r>
      <w:proofErr w:type="spellStart"/>
      <w:r w:rsidR="00FD777D">
        <w:t>na</w:t>
      </w:r>
      <w:proofErr w:type="spellEnd"/>
      <w:r w:rsidR="00FD777D">
        <w:t xml:space="preserve"> </w:t>
      </w:r>
      <w:r w:rsidR="006B2D79">
        <w:t>=</w:t>
      </w:r>
      <w:r w:rsidR="00851B65">
        <w:t xml:space="preserve"> </w:t>
      </w:r>
      <w:r w:rsidR="00FD777D">
        <w:t>Not available</w:t>
      </w:r>
      <w:r w:rsidR="00A8529E">
        <w:t xml:space="preserve">. </w:t>
      </w:r>
      <w:r w:rsidR="00FD777D">
        <w:t xml:space="preserve">In the </w:t>
      </w:r>
      <w:r w:rsidR="00850557">
        <w:t>2015</w:t>
      </w:r>
      <w:r w:rsidR="00FD777D">
        <w:t xml:space="preserve"> Review, other industries included mining.</w:t>
      </w:r>
    </w:p>
    <w:p w14:paraId="7C281A7E" w14:textId="1F24CDE8" w:rsidR="00FD777D" w:rsidRDefault="00FD777D" w:rsidP="00F20442">
      <w:pPr>
        <w:pStyle w:val="CGC2025TableNote"/>
      </w:pPr>
      <w:r>
        <w:t xml:space="preserve">Source: </w:t>
      </w:r>
      <w:r>
        <w:tab/>
        <w:t xml:space="preserve">Commission calculation using </w:t>
      </w:r>
      <w:r w:rsidR="00147232">
        <w:t>s</w:t>
      </w:r>
      <w:r>
        <w:t>tate and G</w:t>
      </w:r>
      <w:r w:rsidR="00147232">
        <w:t xml:space="preserve">overnment </w:t>
      </w:r>
      <w:r>
        <w:t>F</w:t>
      </w:r>
      <w:r w:rsidR="00147232">
        <w:t xml:space="preserve">inance </w:t>
      </w:r>
      <w:r>
        <w:t>S</w:t>
      </w:r>
      <w:r w:rsidR="00147232">
        <w:t>tatistics</w:t>
      </w:r>
      <w:r>
        <w:t xml:space="preserve"> data.</w:t>
      </w:r>
    </w:p>
    <w:p w14:paraId="5396876A" w14:textId="5F8546D0" w:rsidR="009878D7" w:rsidRPr="00106AB3" w:rsidRDefault="009878D7" w:rsidP="00166A6B">
      <w:pPr>
        <w:pStyle w:val="CGC2025ParaNumbers"/>
        <w:numPr>
          <w:ilvl w:val="0"/>
          <w:numId w:val="7"/>
        </w:numPr>
        <w:ind w:left="567" w:hanging="567"/>
      </w:pPr>
      <w:r w:rsidRPr="00723C10">
        <w:t xml:space="preserve">In </w:t>
      </w:r>
      <w:r w:rsidRPr="00106AB3">
        <w:t xml:space="preserve">assessing </w:t>
      </w:r>
      <w:r w:rsidR="001129C0" w:rsidRPr="00106AB3">
        <w:t xml:space="preserve">net </w:t>
      </w:r>
      <w:r w:rsidRPr="00106AB3">
        <w:t xml:space="preserve">state </w:t>
      </w:r>
      <w:r w:rsidR="00FE346D" w:rsidRPr="00106AB3">
        <w:t>expenses</w:t>
      </w:r>
      <w:r w:rsidRPr="00106AB3">
        <w:t xml:space="preserve"> on business regulation, the method recognises:</w:t>
      </w:r>
    </w:p>
    <w:p w14:paraId="50D5D2A9" w14:textId="71ADE665" w:rsidR="009878D7" w:rsidRPr="00106AB3" w:rsidRDefault="7CC810D0" w:rsidP="00796DA7">
      <w:pPr>
        <w:pStyle w:val="CGC2025Bullet1"/>
      </w:pPr>
      <w:r>
        <w:t>t</w:t>
      </w:r>
      <w:r w:rsidR="22CD6FEA">
        <w:t>he</w:t>
      </w:r>
      <w:r w:rsidR="009878D7">
        <w:t xml:space="preserve"> costs of regulating business activities are affected by </w:t>
      </w:r>
      <w:r w:rsidR="006C54DC">
        <w:t>in</w:t>
      </w:r>
      <w:r w:rsidR="00055556">
        <w:t>dustry size, currently measure</w:t>
      </w:r>
      <w:r w:rsidR="005E010D">
        <w:t>d</w:t>
      </w:r>
      <w:r w:rsidR="00055556">
        <w:t xml:space="preserve"> by the </w:t>
      </w:r>
      <w:r w:rsidR="747630F1">
        <w:t xml:space="preserve">value of production </w:t>
      </w:r>
      <w:r w:rsidR="009878D7">
        <w:t>of the</w:t>
      </w:r>
      <w:r w:rsidR="00E41C42">
        <w:t xml:space="preserve"> regulated</w:t>
      </w:r>
      <w:r w:rsidR="009878D7">
        <w:t xml:space="preserve"> industry</w:t>
      </w:r>
      <w:r w:rsidR="00C03008">
        <w:t>,</w:t>
      </w:r>
      <w:r w:rsidR="009878D7">
        <w:t xml:space="preserve"> such that larger</w:t>
      </w:r>
      <w:r w:rsidR="00AD45EF">
        <w:t xml:space="preserve"> state</w:t>
      </w:r>
      <w:r w:rsidR="009878D7">
        <w:t xml:space="preserve"> industries have a greater cost of </w:t>
      </w:r>
      <w:proofErr w:type="gramStart"/>
      <w:r w:rsidR="009878D7">
        <w:t>regulation</w:t>
      </w:r>
      <w:proofErr w:type="gramEnd"/>
    </w:p>
    <w:p w14:paraId="25CA3C3F" w14:textId="53535FC0" w:rsidR="009878D7" w:rsidRDefault="009878D7" w:rsidP="00796DA7">
      <w:pPr>
        <w:pStyle w:val="CGC2025Bullet1"/>
      </w:pPr>
      <w:r>
        <w:t xml:space="preserve">states </w:t>
      </w:r>
      <w:r w:rsidR="006C1A0E">
        <w:t>seek</w:t>
      </w:r>
      <w:r>
        <w:t xml:space="preserve"> to recover the cost</w:t>
      </w:r>
      <w:r w:rsidR="006C1A0E">
        <w:t>s</w:t>
      </w:r>
      <w:r>
        <w:t xml:space="preserve"> of regulating business activities</w:t>
      </w:r>
      <w:r w:rsidR="00991750">
        <w:t xml:space="preserve"> from </w:t>
      </w:r>
      <w:r w:rsidR="00C31F1F">
        <w:t>user</w:t>
      </w:r>
      <w:r w:rsidR="00991750">
        <w:t xml:space="preserve"> charges</w:t>
      </w:r>
      <w:r w:rsidR="01C74067">
        <w:t xml:space="preserve"> </w:t>
      </w:r>
      <w:r w:rsidR="00512B7C">
        <w:t xml:space="preserve">and levies </w:t>
      </w:r>
      <w:r w:rsidR="01C74067">
        <w:t xml:space="preserve">which are </w:t>
      </w:r>
      <w:r w:rsidR="00D02B5C">
        <w:t xml:space="preserve">offset against </w:t>
      </w:r>
      <w:r w:rsidR="004F4244">
        <w:t xml:space="preserve">expenses on </w:t>
      </w:r>
      <w:r w:rsidR="00D02B5C">
        <w:t xml:space="preserve">business </w:t>
      </w:r>
      <w:proofErr w:type="gramStart"/>
      <w:r w:rsidR="00D02B5C">
        <w:t>regulation</w:t>
      </w:r>
      <w:proofErr w:type="gramEnd"/>
    </w:p>
    <w:p w14:paraId="3B116984" w14:textId="2870A66D" w:rsidR="004F3C63" w:rsidRDefault="004F3C63" w:rsidP="00796DA7">
      <w:pPr>
        <w:pStyle w:val="CGC2025Bullet1"/>
      </w:pPr>
      <w:r w:rsidRPr="00723C10">
        <w:t>the difference</w:t>
      </w:r>
      <w:r w:rsidR="00B53B25">
        <w:t>s</w:t>
      </w:r>
      <w:r w:rsidRPr="00723C10">
        <w:t xml:space="preserve"> </w:t>
      </w:r>
      <w:r w:rsidR="00B53B25" w:rsidRPr="00723C10">
        <w:t>between states</w:t>
      </w:r>
      <w:r w:rsidR="00142E46">
        <w:t>’</w:t>
      </w:r>
      <w:r w:rsidR="00B53B25" w:rsidRPr="00723C10">
        <w:t xml:space="preserve"> </w:t>
      </w:r>
      <w:r w:rsidR="02484B81">
        <w:t xml:space="preserve">public sector </w:t>
      </w:r>
      <w:r w:rsidRPr="00723C10">
        <w:t>wage costs</w:t>
      </w:r>
    </w:p>
    <w:p w14:paraId="365B5EA4" w14:textId="61BB01D7" w:rsidR="004F3C63" w:rsidRDefault="004F3C63" w:rsidP="00796DA7">
      <w:pPr>
        <w:pStyle w:val="CGC2025Bullet1"/>
      </w:pPr>
      <w:r w:rsidRPr="00723C10">
        <w:t xml:space="preserve">the </w:t>
      </w:r>
      <w:r w:rsidR="1198FE6A">
        <w:t xml:space="preserve">additional </w:t>
      </w:r>
      <w:r w:rsidRPr="00723C10">
        <w:t>cost of providing</w:t>
      </w:r>
      <w:r w:rsidR="00BA0377">
        <w:t xml:space="preserve"> services in</w:t>
      </w:r>
      <w:r w:rsidRPr="00723C10">
        <w:t xml:space="preserve"> regional </w:t>
      </w:r>
      <w:proofErr w:type="gramStart"/>
      <w:r w:rsidR="00BA0377">
        <w:t>areas</w:t>
      </w:r>
      <w:proofErr w:type="gramEnd"/>
    </w:p>
    <w:p w14:paraId="4F438D0A" w14:textId="0DF89AA5" w:rsidR="00AD45EF" w:rsidRDefault="0012029A" w:rsidP="00796DA7">
      <w:pPr>
        <w:pStyle w:val="CGC2025Bullet1"/>
      </w:pPr>
      <w:r>
        <w:t>‘</w:t>
      </w:r>
      <w:bookmarkStart w:id="12" w:name="_Int_vlM5b573"/>
      <w:proofErr w:type="gramStart"/>
      <w:r w:rsidR="002B7535">
        <w:t>other</w:t>
      </w:r>
      <w:bookmarkEnd w:id="12"/>
      <w:proofErr w:type="gramEnd"/>
      <w:r w:rsidR="002B7535">
        <w:t xml:space="preserve"> </w:t>
      </w:r>
      <w:r w:rsidR="00AD45EF">
        <w:t>industries</w:t>
      </w:r>
      <w:r>
        <w:t>’</w:t>
      </w:r>
      <w:r w:rsidR="00AD45EF">
        <w:t xml:space="preserve"> regulation is assessed </w:t>
      </w:r>
      <w:r w:rsidR="00AD45EF" w:rsidRPr="00E255D8">
        <w:t>75% industry size</w:t>
      </w:r>
      <w:r w:rsidR="009349B8" w:rsidRPr="00E255D8">
        <w:t>, measured by the</w:t>
      </w:r>
      <w:r w:rsidR="009F6411" w:rsidRPr="00E255D8">
        <w:t xml:space="preserve"> value of production</w:t>
      </w:r>
      <w:r w:rsidR="009349B8" w:rsidRPr="00E255D8">
        <w:t>,</w:t>
      </w:r>
      <w:r w:rsidR="00AD45EF" w:rsidRPr="00E255D8">
        <w:t xml:space="preserve"> </w:t>
      </w:r>
      <w:r w:rsidR="1E8D7DA3" w:rsidRPr="00E255D8">
        <w:t>and</w:t>
      </w:r>
      <w:r w:rsidR="00AD45EF" w:rsidRPr="00E255D8">
        <w:t xml:space="preserve"> 25% </w:t>
      </w:r>
      <w:r w:rsidR="00941B91" w:rsidRPr="00E255D8">
        <w:t xml:space="preserve">equal per capita </w:t>
      </w:r>
      <w:r w:rsidR="00AD45EF" w:rsidRPr="00E255D8">
        <w:t xml:space="preserve">in recognition that some regulatory activities such as consumer protection service the </w:t>
      </w:r>
      <w:r w:rsidR="36F815A3" w:rsidRPr="00E255D8">
        <w:t>entire population</w:t>
      </w:r>
      <w:r w:rsidR="00AD45EF">
        <w:t>.</w:t>
      </w:r>
    </w:p>
    <w:p w14:paraId="0C82FA22" w14:textId="2AA621CB" w:rsidR="007134A6" w:rsidRDefault="007134A6" w:rsidP="00166A6B">
      <w:pPr>
        <w:pStyle w:val="CGC2025ParaNumbers"/>
        <w:numPr>
          <w:ilvl w:val="0"/>
          <w:numId w:val="7"/>
        </w:numPr>
        <w:ind w:left="567" w:hanging="567"/>
      </w:pPr>
      <w:r>
        <w:t xml:space="preserve">The method does not include revenue raised by state governments through licensing fees and other levies on regulated industries such as gambling. </w:t>
      </w:r>
      <w:r w:rsidR="00AA5802">
        <w:t xml:space="preserve">Licensing fees and other levies are assessed in the </w:t>
      </w:r>
      <w:r w:rsidR="003A0116">
        <w:t xml:space="preserve">other revenue </w:t>
      </w:r>
      <w:r w:rsidR="00AA5802">
        <w:t>assessment.</w:t>
      </w:r>
    </w:p>
    <w:p w14:paraId="494A8C68" w14:textId="216CCC16" w:rsidR="004F3C63" w:rsidRPr="00106AB3" w:rsidRDefault="00E41C42" w:rsidP="00166A6B">
      <w:pPr>
        <w:pStyle w:val="CGC2025ParaNumbers"/>
        <w:numPr>
          <w:ilvl w:val="0"/>
          <w:numId w:val="7"/>
        </w:numPr>
        <w:ind w:left="567" w:hanging="567"/>
      </w:pPr>
      <w:r>
        <w:t>State spending on</w:t>
      </w:r>
      <w:r w:rsidR="009878D7">
        <w:t xml:space="preserve"> business </w:t>
      </w:r>
      <w:r w:rsidR="6C27570D">
        <w:t xml:space="preserve">regulation </w:t>
      </w:r>
      <w:r w:rsidR="009878D7">
        <w:t xml:space="preserve">is the residual of total state spending </w:t>
      </w:r>
      <w:r w:rsidR="41596C44">
        <w:t xml:space="preserve">on </w:t>
      </w:r>
      <w:r w:rsidR="00540020">
        <w:t xml:space="preserve">industry regulation and development </w:t>
      </w:r>
      <w:r w:rsidR="41596C44">
        <w:t xml:space="preserve">services </w:t>
      </w:r>
      <w:r w:rsidR="009878D7">
        <w:t xml:space="preserve">and the </w:t>
      </w:r>
      <w:r>
        <w:t xml:space="preserve">total </w:t>
      </w:r>
      <w:r w:rsidR="009878D7">
        <w:t xml:space="preserve">cost of </w:t>
      </w:r>
      <w:r w:rsidR="6BB5887A">
        <w:t>business development</w:t>
      </w:r>
      <w:r w:rsidR="009878D7">
        <w:t>.</w:t>
      </w:r>
      <w:r w:rsidR="00923492">
        <w:t xml:space="preserve"> </w:t>
      </w:r>
    </w:p>
    <w:p w14:paraId="516A55FB" w14:textId="5D7E46C7" w:rsidR="004F3C63" w:rsidRPr="00106AB3" w:rsidRDefault="004F3C63" w:rsidP="00166A6B">
      <w:pPr>
        <w:pStyle w:val="CGC2025ParaNumbers"/>
        <w:numPr>
          <w:ilvl w:val="0"/>
          <w:numId w:val="7"/>
        </w:numPr>
        <w:ind w:left="567" w:hanging="567"/>
      </w:pPr>
      <w:r>
        <w:t xml:space="preserve">Business development spending is assessed </w:t>
      </w:r>
      <w:r w:rsidR="00ED06AB">
        <w:t xml:space="preserve">equal per capita </w:t>
      </w:r>
      <w:r w:rsidR="0046508C">
        <w:t xml:space="preserve">with a wage cost adjustment </w:t>
      </w:r>
      <w:r>
        <w:t xml:space="preserve">because </w:t>
      </w:r>
      <w:r w:rsidR="001B27CE">
        <w:t xml:space="preserve">state </w:t>
      </w:r>
      <w:r>
        <w:t>population is considered the driver of need</w:t>
      </w:r>
      <w:r w:rsidR="0042313E">
        <w:t xml:space="preserve"> and states face different wage costs for government programs</w:t>
      </w:r>
      <w:r>
        <w:t xml:space="preserve">. </w:t>
      </w:r>
    </w:p>
    <w:p w14:paraId="59262755" w14:textId="32329DBC" w:rsidR="009878D7" w:rsidRDefault="009878D7" w:rsidP="003F72E7">
      <w:pPr>
        <w:pStyle w:val="Heading3"/>
        <w:keepNext/>
        <w:keepLines/>
      </w:pPr>
      <w:bookmarkStart w:id="13" w:name="_Toc147410865"/>
      <w:r w:rsidRPr="00106AB3">
        <w:lastRenderedPageBreak/>
        <w:t xml:space="preserve">Data used in the </w:t>
      </w:r>
      <w:proofErr w:type="gramStart"/>
      <w:r w:rsidRPr="00106AB3">
        <w:t>assessment</w:t>
      </w:r>
      <w:bookmarkEnd w:id="13"/>
      <w:proofErr w:type="gramEnd"/>
    </w:p>
    <w:p w14:paraId="27BFDE0B" w14:textId="5D18B5A1" w:rsidR="009878D7" w:rsidRPr="00723C10" w:rsidRDefault="009878D7" w:rsidP="003F72E7">
      <w:pPr>
        <w:pStyle w:val="CGC2025ParaNumbers"/>
        <w:keepNext/>
        <w:keepLines/>
        <w:numPr>
          <w:ilvl w:val="0"/>
          <w:numId w:val="7"/>
        </w:numPr>
        <w:ind w:left="567" w:hanging="567"/>
      </w:pPr>
      <w:r>
        <w:t xml:space="preserve">The method uses total state spending on agriculture, mining and other industry regulation and development from the </w:t>
      </w:r>
      <w:r w:rsidR="002715B7">
        <w:t xml:space="preserve">ABS </w:t>
      </w:r>
      <w:r>
        <w:t xml:space="preserve">Government Finance Statistics for the first </w:t>
      </w:r>
      <w:r w:rsidR="003A0116">
        <w:t xml:space="preserve">2 </w:t>
      </w:r>
      <w:r>
        <w:t xml:space="preserve">financial years. For the final </w:t>
      </w:r>
      <w:bookmarkStart w:id="14" w:name="_Int_LnE12loh"/>
      <w:r>
        <w:t>financial year</w:t>
      </w:r>
      <w:bookmarkEnd w:id="14"/>
      <w:r>
        <w:t>, data are sourced directly from the states.</w:t>
      </w:r>
    </w:p>
    <w:p w14:paraId="06B610A2" w14:textId="434FB9CA" w:rsidR="009878D7" w:rsidRPr="00106AB3" w:rsidRDefault="009878D7" w:rsidP="00166A6B">
      <w:pPr>
        <w:pStyle w:val="CGC2025ParaNumbers"/>
        <w:numPr>
          <w:ilvl w:val="0"/>
          <w:numId w:val="7"/>
        </w:numPr>
        <w:ind w:left="567" w:hanging="567"/>
        <w:rPr>
          <w:rStyle w:val="Hyperlink"/>
          <w:color w:val="auto"/>
          <w:u w:val="none"/>
        </w:rPr>
      </w:pPr>
      <w:r>
        <w:t>The proportion of spending that is regulation or development is estimated using the methods outlined above.</w:t>
      </w:r>
      <w:r w:rsidR="00AD6C9E">
        <w:t xml:space="preserve"> </w:t>
      </w:r>
      <w:r w:rsidR="004E1204" w:rsidRPr="54BEF2F3">
        <w:rPr>
          <w:rStyle w:val="Hyperlink"/>
          <w:color w:val="auto"/>
          <w:u w:val="none"/>
        </w:rPr>
        <w:t xml:space="preserve">The </w:t>
      </w:r>
      <w:r w:rsidR="00355787" w:rsidRPr="54BEF2F3">
        <w:rPr>
          <w:rStyle w:val="Hyperlink"/>
          <w:color w:val="auto"/>
          <w:u w:val="none"/>
        </w:rPr>
        <w:t>C</w:t>
      </w:r>
      <w:r w:rsidR="004E1204" w:rsidRPr="54BEF2F3">
        <w:rPr>
          <w:rStyle w:val="Hyperlink"/>
          <w:color w:val="auto"/>
          <w:u w:val="none"/>
        </w:rPr>
        <w:t>ommission</w:t>
      </w:r>
      <w:r w:rsidR="004E1204" w:rsidRPr="7486A27A">
        <w:rPr>
          <w:rStyle w:val="Hyperlink"/>
          <w:color w:val="auto"/>
          <w:u w:val="none"/>
        </w:rPr>
        <w:t xml:space="preserve"> will ask states to provide an updated breakdown of spending on business regulation </w:t>
      </w:r>
      <w:r w:rsidR="00C3272D">
        <w:rPr>
          <w:rStyle w:val="Hyperlink"/>
          <w:color w:val="auto"/>
          <w:u w:val="none"/>
        </w:rPr>
        <w:t xml:space="preserve">to estimate the proportion of business regulation and development </w:t>
      </w:r>
      <w:r w:rsidR="004E1204" w:rsidRPr="7486A27A">
        <w:rPr>
          <w:rStyle w:val="Hyperlink"/>
          <w:color w:val="auto"/>
          <w:u w:val="none"/>
        </w:rPr>
        <w:t xml:space="preserve">as part of the </w:t>
      </w:r>
      <w:r w:rsidR="00E54A37">
        <w:rPr>
          <w:rStyle w:val="Hyperlink"/>
          <w:color w:val="auto"/>
          <w:u w:val="none"/>
        </w:rPr>
        <w:t>2025 R</w:t>
      </w:r>
      <w:r w:rsidR="004E1204" w:rsidRPr="7486A27A">
        <w:rPr>
          <w:rStyle w:val="Hyperlink"/>
          <w:color w:val="auto"/>
          <w:u w:val="none"/>
        </w:rPr>
        <w:t xml:space="preserve">eview. </w:t>
      </w:r>
      <w:r w:rsidR="00CB509B">
        <w:t>Further details are</w:t>
      </w:r>
      <w:r w:rsidR="00AD6C9E">
        <w:t xml:space="preserve"> outlined in </w:t>
      </w:r>
      <w:r w:rsidR="00E354D3">
        <w:t>v</w:t>
      </w:r>
      <w:r w:rsidR="00AD6C9E">
        <w:t>olume 2</w:t>
      </w:r>
      <w:r w:rsidR="00E354D3">
        <w:t>,</w:t>
      </w:r>
      <w:r w:rsidR="00AD6C9E">
        <w:t xml:space="preserve"> </w:t>
      </w:r>
      <w:r w:rsidR="00E354D3">
        <w:t>c</w:t>
      </w:r>
      <w:r w:rsidR="00AD6C9E">
        <w:t>hapter 22</w:t>
      </w:r>
      <w:r w:rsidR="00187467">
        <w:t xml:space="preserve">, </w:t>
      </w:r>
      <w:hyperlink r:id="rId17">
        <w:r w:rsidR="00AD6C9E" w:rsidRPr="002F481D">
          <w:rPr>
            <w:rStyle w:val="Hyperlink"/>
            <w:color w:val="548DD4" w:themeColor="text2" w:themeTint="99"/>
          </w:rPr>
          <w:t>Report on GST Revenue Sharing Relativities, 2020 Review</w:t>
        </w:r>
        <w:r w:rsidR="00AD6C9E" w:rsidRPr="7486A27A">
          <w:rPr>
            <w:rStyle w:val="Hyperlink"/>
            <w:color w:val="auto"/>
            <w:u w:val="none"/>
          </w:rPr>
          <w:t>.</w:t>
        </w:r>
      </w:hyperlink>
    </w:p>
    <w:p w14:paraId="11A8D904" w14:textId="71CDCA8A" w:rsidR="009878D7" w:rsidRPr="00723C10" w:rsidRDefault="009878D7" w:rsidP="00166A6B">
      <w:pPr>
        <w:pStyle w:val="CGC2025ParaNumbers"/>
        <w:numPr>
          <w:ilvl w:val="0"/>
          <w:numId w:val="7"/>
        </w:numPr>
        <w:ind w:left="567" w:hanging="567"/>
      </w:pPr>
      <w:r>
        <w:t xml:space="preserve">The </w:t>
      </w:r>
      <w:r w:rsidR="0EA575E6">
        <w:t xml:space="preserve">value of production </w:t>
      </w:r>
      <w:r>
        <w:t>of agriculture, mining</w:t>
      </w:r>
      <w:r w:rsidR="3F3040B4">
        <w:t>,</w:t>
      </w:r>
      <w:r>
        <w:t xml:space="preserve"> and other </w:t>
      </w:r>
      <w:r w:rsidR="7537FF72">
        <w:t>i</w:t>
      </w:r>
      <w:r>
        <w:t>ndustries</w:t>
      </w:r>
      <w:r w:rsidR="00020F57">
        <w:t xml:space="preserve">, currently used to measure </w:t>
      </w:r>
      <w:r w:rsidR="00CD0D8A">
        <w:t>industry size,</w:t>
      </w:r>
      <w:r>
        <w:t xml:space="preserve"> is sourced from </w:t>
      </w:r>
      <w:r w:rsidRPr="00B53CD9">
        <w:rPr>
          <w:i/>
          <w:iCs/>
        </w:rPr>
        <w:t>Australian National Accounts: State Accounts</w:t>
      </w:r>
      <w:r>
        <w:t>, published by the ABS.</w:t>
      </w:r>
    </w:p>
    <w:p w14:paraId="159A30D8" w14:textId="34670DAD" w:rsidR="009878D7" w:rsidRPr="00723C10" w:rsidRDefault="009878D7" w:rsidP="00166A6B">
      <w:pPr>
        <w:pStyle w:val="CGC2025ParaNumbers"/>
        <w:numPr>
          <w:ilvl w:val="0"/>
          <w:numId w:val="7"/>
        </w:numPr>
        <w:ind w:left="567" w:hanging="567"/>
      </w:pPr>
      <w:r>
        <w:t>Population statistics are sourced from the National, state and territory population</w:t>
      </w:r>
      <w:r w:rsidR="0013019D">
        <w:t xml:space="preserve"> data</w:t>
      </w:r>
      <w:r>
        <w:t xml:space="preserve"> published by the ABS.</w:t>
      </w:r>
    </w:p>
    <w:p w14:paraId="57507F65" w14:textId="5430C9A5" w:rsidR="009878D7" w:rsidRPr="00723C10" w:rsidRDefault="009878D7" w:rsidP="00166A6B">
      <w:pPr>
        <w:pStyle w:val="CGC2025ParaNumbers"/>
        <w:numPr>
          <w:ilvl w:val="0"/>
          <w:numId w:val="7"/>
        </w:numPr>
        <w:ind w:left="567" w:hanging="567"/>
      </w:pPr>
      <w:r>
        <w:t>Wage and Regional cost factors were derived using the method</w:t>
      </w:r>
      <w:r w:rsidR="00AD45EF">
        <w:t>s</w:t>
      </w:r>
      <w:r>
        <w:t xml:space="preserve"> outlined in </w:t>
      </w:r>
      <w:r w:rsidR="00C61F66">
        <w:t>v</w:t>
      </w:r>
      <w:r>
        <w:t>olume</w:t>
      </w:r>
      <w:r w:rsidR="00A74EE1">
        <w:t> </w:t>
      </w:r>
      <w:r>
        <w:t>2</w:t>
      </w:r>
      <w:r w:rsidR="00C61F66">
        <w:t>,</w:t>
      </w:r>
      <w:r>
        <w:t xml:space="preserve"> </w:t>
      </w:r>
      <w:r w:rsidR="00C61F66">
        <w:t>c</w:t>
      </w:r>
      <w:r>
        <w:t xml:space="preserve">hapter 27 – Wage costs and </w:t>
      </w:r>
      <w:r w:rsidR="00C61F66">
        <w:t>c</w:t>
      </w:r>
      <w:r>
        <w:t xml:space="preserve">hapter 28 – Regional costs of the </w:t>
      </w:r>
      <w:hyperlink r:id="rId18">
        <w:r w:rsidRPr="004F6B4D">
          <w:rPr>
            <w:rStyle w:val="Hyperlink"/>
            <w:color w:val="548DD4" w:themeColor="text2" w:themeTint="99"/>
          </w:rPr>
          <w:t>Report on GST Revenue Sharing Relativities, 2020 Review</w:t>
        </w:r>
      </w:hyperlink>
      <w:r>
        <w:t>. Regional cost and wage factors are also subject to this review.</w:t>
      </w:r>
    </w:p>
    <w:p w14:paraId="463436FC" w14:textId="77777777" w:rsidR="009878D7" w:rsidRDefault="009878D7" w:rsidP="009878D7">
      <w:pPr>
        <w:pStyle w:val="Heading3"/>
      </w:pPr>
      <w:bookmarkStart w:id="15" w:name="_Toc121741484"/>
      <w:bookmarkStart w:id="16" w:name="_Toc147410866"/>
      <w:r>
        <w:t>Category and component expenses</w:t>
      </w:r>
      <w:bookmarkEnd w:id="15"/>
      <w:bookmarkEnd w:id="16"/>
    </w:p>
    <w:p w14:paraId="5C2E2D99" w14:textId="4AED74D4" w:rsidR="009878D7" w:rsidRPr="00723C10" w:rsidRDefault="009878D7" w:rsidP="00166A6B">
      <w:pPr>
        <w:pStyle w:val="CGC2025ParaNumbers"/>
        <w:numPr>
          <w:ilvl w:val="0"/>
          <w:numId w:val="7"/>
        </w:numPr>
        <w:ind w:left="567" w:hanging="567"/>
      </w:pPr>
      <w:r>
        <w:fldChar w:fldCharType="begin"/>
      </w:r>
      <w:r>
        <w:instrText xml:space="preserve"> REF _Ref132203073 \h  \* MERGEFORMAT </w:instrText>
      </w:r>
      <w:r>
        <w:fldChar w:fldCharType="separate"/>
      </w:r>
      <w:r w:rsidR="007567E1" w:rsidRPr="00F556E3">
        <w:t xml:space="preserve">Table </w:t>
      </w:r>
      <w:r w:rsidR="007567E1">
        <w:t>2</w:t>
      </w:r>
      <w:r>
        <w:fldChar w:fldCharType="end"/>
      </w:r>
      <w:r>
        <w:t xml:space="preserve"> shows total </w:t>
      </w:r>
      <w:r w:rsidR="00E41D93">
        <w:t xml:space="preserve">state spending included </w:t>
      </w:r>
      <w:r>
        <w:t xml:space="preserve">in the </w:t>
      </w:r>
      <w:r w:rsidR="002C21BE">
        <w:t>s</w:t>
      </w:r>
      <w:r>
        <w:t xml:space="preserve">ervices to </w:t>
      </w:r>
      <w:r w:rsidR="002C21BE">
        <w:t>i</w:t>
      </w:r>
      <w:r>
        <w:t xml:space="preserve">ndustry assessment. </w:t>
      </w:r>
      <w:r w:rsidR="001F0568">
        <w:t>In 2021–22, t</w:t>
      </w:r>
      <w:r>
        <w:t>otal expenditure increased to around $21 billion</w:t>
      </w:r>
      <w:r w:rsidR="009871E6">
        <w:t>,</w:t>
      </w:r>
      <w:r>
        <w:t xml:space="preserve"> </w:t>
      </w:r>
      <w:r w:rsidR="005F4420">
        <w:t xml:space="preserve">or 7.2% of state government spending </w:t>
      </w:r>
      <w:r>
        <w:t>in response to the COVID-19 pandemic.</w:t>
      </w:r>
      <w:r w:rsidR="0065709E">
        <w:t xml:space="preserve"> </w:t>
      </w:r>
    </w:p>
    <w:p w14:paraId="72982E6E" w14:textId="093058C9" w:rsidR="009878D7" w:rsidRPr="00F556E3" w:rsidRDefault="009878D7" w:rsidP="009878D7">
      <w:pPr>
        <w:pStyle w:val="Caption"/>
        <w:rPr>
          <w:rFonts w:ascii="Work Sans" w:hAnsi="Work Sans"/>
          <w:noProof/>
          <w:highlight w:val="green"/>
        </w:rPr>
      </w:pPr>
      <w:bookmarkStart w:id="17" w:name="_Ref132203073"/>
      <w:r w:rsidRPr="00F556E3">
        <w:rPr>
          <w:rFonts w:ascii="Work Sans" w:hAnsi="Work Sans"/>
        </w:rPr>
        <w:t xml:space="preserve">Table </w:t>
      </w:r>
      <w:r w:rsidRPr="00F556E3">
        <w:rPr>
          <w:rFonts w:ascii="Work Sans" w:hAnsi="Work Sans"/>
        </w:rPr>
        <w:fldChar w:fldCharType="begin"/>
      </w:r>
      <w:r w:rsidRPr="00F556E3">
        <w:rPr>
          <w:rFonts w:ascii="Work Sans" w:hAnsi="Work Sans"/>
        </w:rPr>
        <w:instrText>SEQ Table \* ARABIC</w:instrText>
      </w:r>
      <w:r w:rsidRPr="00F556E3">
        <w:rPr>
          <w:rFonts w:ascii="Work Sans" w:hAnsi="Work Sans"/>
        </w:rPr>
        <w:fldChar w:fldCharType="separate"/>
      </w:r>
      <w:r w:rsidR="007567E1">
        <w:rPr>
          <w:rFonts w:ascii="Work Sans" w:hAnsi="Work Sans"/>
          <w:noProof/>
        </w:rPr>
        <w:t>2</w:t>
      </w:r>
      <w:r w:rsidRPr="00F556E3">
        <w:rPr>
          <w:rFonts w:ascii="Work Sans" w:hAnsi="Work Sans"/>
        </w:rPr>
        <w:fldChar w:fldCharType="end"/>
      </w:r>
      <w:bookmarkEnd w:id="17"/>
      <w:r w:rsidRPr="00F556E3">
        <w:rPr>
          <w:rFonts w:ascii="Work Sans" w:hAnsi="Work Sans"/>
        </w:rPr>
        <w:tab/>
        <w:t xml:space="preserve">Total </w:t>
      </w:r>
      <w:r w:rsidR="00AD45EF">
        <w:rPr>
          <w:rFonts w:ascii="Work Sans" w:hAnsi="Work Sans"/>
          <w:noProof/>
        </w:rPr>
        <w:t>s</w:t>
      </w:r>
      <w:r w:rsidRPr="00F556E3">
        <w:rPr>
          <w:rFonts w:ascii="Work Sans" w:hAnsi="Work Sans"/>
          <w:noProof/>
        </w:rPr>
        <w:t xml:space="preserve">ervices to </w:t>
      </w:r>
      <w:r w:rsidR="00AD45EF">
        <w:rPr>
          <w:rFonts w:ascii="Work Sans" w:hAnsi="Work Sans"/>
          <w:noProof/>
        </w:rPr>
        <w:t>i</w:t>
      </w:r>
      <w:r w:rsidRPr="00F556E3">
        <w:rPr>
          <w:rFonts w:ascii="Work Sans" w:hAnsi="Work Sans"/>
          <w:noProof/>
        </w:rPr>
        <w:t>ndustry expenditure, 2018–19 to 2021–22</w:t>
      </w:r>
    </w:p>
    <w:tbl>
      <w:tblPr>
        <w:tblW w:w="8940" w:type="dxa"/>
        <w:tblLook w:val="04A0" w:firstRow="1" w:lastRow="0" w:firstColumn="1" w:lastColumn="0" w:noHBand="0" w:noVBand="1"/>
      </w:tblPr>
      <w:tblGrid>
        <w:gridCol w:w="3820"/>
        <w:gridCol w:w="1280"/>
        <w:gridCol w:w="1280"/>
        <w:gridCol w:w="1280"/>
        <w:gridCol w:w="1280"/>
      </w:tblGrid>
      <w:tr w:rsidR="009878D7" w:rsidRPr="005C4C58" w14:paraId="4DEB270B" w14:textId="77777777">
        <w:trPr>
          <w:trHeight w:val="379"/>
        </w:trPr>
        <w:tc>
          <w:tcPr>
            <w:tcW w:w="3820" w:type="dxa"/>
            <w:tcBorders>
              <w:top w:val="single" w:sz="4" w:space="0" w:color="ADD6EA"/>
              <w:left w:val="nil"/>
              <w:bottom w:val="single" w:sz="4" w:space="0" w:color="ADD6EA"/>
              <w:right w:val="nil"/>
            </w:tcBorders>
            <w:shd w:val="clear" w:color="000000" w:fill="006991"/>
            <w:noWrap/>
            <w:vAlign w:val="center"/>
            <w:hideMark/>
          </w:tcPr>
          <w:p w14:paraId="533A28B9" w14:textId="77777777" w:rsidR="009878D7" w:rsidRPr="005C4C58" w:rsidRDefault="009878D7">
            <w:pPr>
              <w:keepNext/>
              <w:keepLines/>
              <w:widowControl w:val="0"/>
              <w:tabs>
                <w:tab w:val="clear" w:pos="567"/>
              </w:tabs>
              <w:spacing w:before="0" w:line="240" w:lineRule="auto"/>
              <w:jc w:val="right"/>
              <w:rPr>
                <w:rFonts w:ascii="Work Sans" w:eastAsia="Times New Roman" w:hAnsi="Work Sans" w:cs="Times New Roman"/>
                <w:b/>
                <w:bCs/>
                <w:color w:val="FFFFFF"/>
                <w:sz w:val="16"/>
                <w:szCs w:val="16"/>
                <w:lang w:eastAsia="en-AU"/>
              </w:rPr>
            </w:pPr>
            <w:r w:rsidRPr="005C4C58">
              <w:rPr>
                <w:rFonts w:ascii="Work Sans" w:eastAsia="Times New Roman" w:hAnsi="Work Sans" w:cs="Times New Roman"/>
                <w:b/>
                <w:bCs/>
                <w:color w:val="FFFFFF"/>
                <w:sz w:val="16"/>
                <w:szCs w:val="16"/>
                <w:lang w:eastAsia="en-AU"/>
              </w:rPr>
              <w:t> </w:t>
            </w:r>
          </w:p>
        </w:tc>
        <w:tc>
          <w:tcPr>
            <w:tcW w:w="1280" w:type="dxa"/>
            <w:tcBorders>
              <w:top w:val="single" w:sz="4" w:space="0" w:color="ADD6EA"/>
              <w:left w:val="nil"/>
              <w:bottom w:val="single" w:sz="4" w:space="0" w:color="ADD6EA"/>
              <w:right w:val="nil"/>
            </w:tcBorders>
            <w:shd w:val="clear" w:color="000000" w:fill="006991"/>
            <w:noWrap/>
            <w:vAlign w:val="center"/>
            <w:hideMark/>
          </w:tcPr>
          <w:p w14:paraId="7939174C" w14:textId="77777777" w:rsidR="009878D7" w:rsidRPr="00433DCB" w:rsidRDefault="009878D7">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2018</w:t>
            </w:r>
            <w:r>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19</w:t>
            </w:r>
          </w:p>
        </w:tc>
        <w:tc>
          <w:tcPr>
            <w:tcW w:w="1280" w:type="dxa"/>
            <w:tcBorders>
              <w:top w:val="single" w:sz="4" w:space="0" w:color="ADD6EA"/>
              <w:left w:val="nil"/>
              <w:bottom w:val="single" w:sz="4" w:space="0" w:color="ADD6EA"/>
              <w:right w:val="nil"/>
            </w:tcBorders>
            <w:shd w:val="clear" w:color="000000" w:fill="006991"/>
            <w:noWrap/>
            <w:vAlign w:val="center"/>
            <w:hideMark/>
          </w:tcPr>
          <w:p w14:paraId="1E3FB380" w14:textId="77777777" w:rsidR="009878D7" w:rsidRPr="00433DCB" w:rsidRDefault="009878D7">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2019</w:t>
            </w:r>
            <w:r>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20</w:t>
            </w:r>
          </w:p>
        </w:tc>
        <w:tc>
          <w:tcPr>
            <w:tcW w:w="1280" w:type="dxa"/>
            <w:tcBorders>
              <w:top w:val="single" w:sz="4" w:space="0" w:color="ADD6EA"/>
              <w:left w:val="nil"/>
              <w:bottom w:val="single" w:sz="4" w:space="0" w:color="ADD6EA"/>
              <w:right w:val="nil"/>
            </w:tcBorders>
            <w:shd w:val="clear" w:color="000000" w:fill="006991"/>
            <w:noWrap/>
            <w:vAlign w:val="center"/>
            <w:hideMark/>
          </w:tcPr>
          <w:p w14:paraId="0CD5F6C4" w14:textId="77777777" w:rsidR="009878D7" w:rsidRPr="00433DCB" w:rsidRDefault="009878D7">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2020</w:t>
            </w:r>
            <w:r>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21</w:t>
            </w:r>
          </w:p>
        </w:tc>
        <w:tc>
          <w:tcPr>
            <w:tcW w:w="1280" w:type="dxa"/>
            <w:tcBorders>
              <w:top w:val="single" w:sz="4" w:space="0" w:color="ADD6EA"/>
              <w:left w:val="nil"/>
              <w:bottom w:val="single" w:sz="4" w:space="0" w:color="ADD6EA"/>
              <w:right w:val="nil"/>
            </w:tcBorders>
            <w:shd w:val="clear" w:color="000000" w:fill="006991"/>
            <w:noWrap/>
            <w:vAlign w:val="center"/>
            <w:hideMark/>
          </w:tcPr>
          <w:p w14:paraId="076878B3" w14:textId="77777777" w:rsidR="009878D7" w:rsidRPr="00433DCB" w:rsidRDefault="009878D7">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2021</w:t>
            </w:r>
            <w:r>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22</w:t>
            </w:r>
          </w:p>
        </w:tc>
      </w:tr>
      <w:tr w:rsidR="009878D7" w:rsidRPr="005C4C58" w14:paraId="21613862" w14:textId="77777777">
        <w:trPr>
          <w:trHeight w:val="319"/>
        </w:trPr>
        <w:tc>
          <w:tcPr>
            <w:tcW w:w="3820" w:type="dxa"/>
            <w:tcBorders>
              <w:top w:val="nil"/>
              <w:left w:val="nil"/>
              <w:bottom w:val="nil"/>
              <w:right w:val="nil"/>
            </w:tcBorders>
            <w:shd w:val="clear" w:color="auto" w:fill="auto"/>
            <w:vAlign w:val="bottom"/>
            <w:hideMark/>
          </w:tcPr>
          <w:p w14:paraId="5145BDCB" w14:textId="77777777" w:rsidR="009878D7" w:rsidRPr="00433DCB" w:rsidRDefault="009878D7">
            <w:pPr>
              <w:keepNext/>
              <w:keepLines/>
              <w:widowControl w:val="0"/>
              <w:tabs>
                <w:tab w:val="clear" w:pos="567"/>
              </w:tabs>
              <w:spacing w:before="0" w:line="240" w:lineRule="auto"/>
              <w:rPr>
                <w:rFonts w:eastAsia="Times New Roman" w:cs="Times New Roman"/>
                <w:sz w:val="16"/>
                <w:szCs w:val="16"/>
                <w:lang w:eastAsia="en-AU"/>
              </w:rPr>
            </w:pPr>
            <w:r w:rsidRPr="00433DCB">
              <w:rPr>
                <w:rFonts w:eastAsia="Times New Roman" w:cs="Times New Roman"/>
                <w:sz w:val="16"/>
                <w:szCs w:val="16"/>
                <w:lang w:eastAsia="en-AU"/>
              </w:rPr>
              <w:t>Total expenditure ($m)</w:t>
            </w:r>
          </w:p>
        </w:tc>
        <w:tc>
          <w:tcPr>
            <w:tcW w:w="1280" w:type="dxa"/>
            <w:tcBorders>
              <w:top w:val="nil"/>
              <w:left w:val="nil"/>
              <w:bottom w:val="nil"/>
              <w:right w:val="nil"/>
            </w:tcBorders>
            <w:shd w:val="clear" w:color="auto" w:fill="auto"/>
            <w:vAlign w:val="bottom"/>
            <w:hideMark/>
          </w:tcPr>
          <w:p w14:paraId="7B8EE4B1"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6,020</w:t>
            </w:r>
          </w:p>
        </w:tc>
        <w:tc>
          <w:tcPr>
            <w:tcW w:w="1280" w:type="dxa"/>
            <w:tcBorders>
              <w:top w:val="nil"/>
              <w:left w:val="nil"/>
              <w:bottom w:val="nil"/>
              <w:right w:val="nil"/>
            </w:tcBorders>
            <w:shd w:val="clear" w:color="auto" w:fill="auto"/>
            <w:vAlign w:val="bottom"/>
            <w:hideMark/>
          </w:tcPr>
          <w:p w14:paraId="33E8533C"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8,084</w:t>
            </w:r>
          </w:p>
        </w:tc>
        <w:tc>
          <w:tcPr>
            <w:tcW w:w="1280" w:type="dxa"/>
            <w:tcBorders>
              <w:top w:val="nil"/>
              <w:left w:val="nil"/>
              <w:bottom w:val="nil"/>
              <w:right w:val="nil"/>
            </w:tcBorders>
            <w:shd w:val="clear" w:color="auto" w:fill="auto"/>
            <w:vAlign w:val="bottom"/>
            <w:hideMark/>
          </w:tcPr>
          <w:p w14:paraId="72CE053A"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11,480</w:t>
            </w:r>
          </w:p>
        </w:tc>
        <w:tc>
          <w:tcPr>
            <w:tcW w:w="1280" w:type="dxa"/>
            <w:tcBorders>
              <w:top w:val="nil"/>
              <w:left w:val="nil"/>
              <w:bottom w:val="nil"/>
              <w:right w:val="nil"/>
            </w:tcBorders>
            <w:shd w:val="clear" w:color="auto" w:fill="auto"/>
            <w:vAlign w:val="bottom"/>
            <w:hideMark/>
          </w:tcPr>
          <w:p w14:paraId="64AB7981"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20,796</w:t>
            </w:r>
          </w:p>
        </w:tc>
      </w:tr>
      <w:tr w:rsidR="009878D7" w:rsidRPr="005C4C58" w14:paraId="0A34EF75" w14:textId="77777777">
        <w:trPr>
          <w:trHeight w:val="319"/>
        </w:trPr>
        <w:tc>
          <w:tcPr>
            <w:tcW w:w="3820" w:type="dxa"/>
            <w:tcBorders>
              <w:top w:val="single" w:sz="4" w:space="0" w:color="ADD6EA"/>
              <w:left w:val="nil"/>
              <w:bottom w:val="single" w:sz="4" w:space="0" w:color="ADD6EA"/>
              <w:right w:val="nil"/>
            </w:tcBorders>
            <w:shd w:val="clear" w:color="auto" w:fill="auto"/>
            <w:vAlign w:val="bottom"/>
            <w:hideMark/>
          </w:tcPr>
          <w:p w14:paraId="29BCDE5F" w14:textId="77777777" w:rsidR="009878D7" w:rsidRPr="00433DCB" w:rsidRDefault="009878D7">
            <w:pPr>
              <w:keepNext/>
              <w:keepLines/>
              <w:widowControl w:val="0"/>
              <w:tabs>
                <w:tab w:val="clear" w:pos="567"/>
              </w:tabs>
              <w:spacing w:before="0" w:line="240" w:lineRule="auto"/>
              <w:rPr>
                <w:rFonts w:eastAsia="Times New Roman" w:cs="Times New Roman"/>
                <w:sz w:val="16"/>
                <w:szCs w:val="16"/>
                <w:lang w:eastAsia="en-AU"/>
              </w:rPr>
            </w:pPr>
            <w:r w:rsidRPr="00433DCB">
              <w:rPr>
                <w:rFonts w:eastAsia="Times New Roman" w:cs="Times New Roman"/>
                <w:sz w:val="16"/>
                <w:szCs w:val="16"/>
                <w:lang w:eastAsia="en-AU"/>
              </w:rPr>
              <w:t>Proportion of total expenditure (%)</w:t>
            </w:r>
          </w:p>
        </w:tc>
        <w:tc>
          <w:tcPr>
            <w:tcW w:w="1280" w:type="dxa"/>
            <w:tcBorders>
              <w:top w:val="single" w:sz="4" w:space="0" w:color="ADD6EA"/>
              <w:left w:val="nil"/>
              <w:bottom w:val="single" w:sz="4" w:space="0" w:color="ADD6EA"/>
              <w:right w:val="nil"/>
            </w:tcBorders>
            <w:shd w:val="clear" w:color="auto" w:fill="auto"/>
            <w:vAlign w:val="bottom"/>
          </w:tcPr>
          <w:p w14:paraId="4DABA306"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2.5</w:t>
            </w:r>
          </w:p>
        </w:tc>
        <w:tc>
          <w:tcPr>
            <w:tcW w:w="1280" w:type="dxa"/>
            <w:tcBorders>
              <w:top w:val="single" w:sz="4" w:space="0" w:color="ADD6EA"/>
              <w:left w:val="nil"/>
              <w:bottom w:val="single" w:sz="4" w:space="0" w:color="ADD6EA"/>
              <w:right w:val="nil"/>
            </w:tcBorders>
            <w:shd w:val="clear" w:color="auto" w:fill="auto"/>
            <w:vAlign w:val="bottom"/>
          </w:tcPr>
          <w:p w14:paraId="4C9A0614"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3.6</w:t>
            </w:r>
          </w:p>
        </w:tc>
        <w:tc>
          <w:tcPr>
            <w:tcW w:w="1280" w:type="dxa"/>
            <w:tcBorders>
              <w:top w:val="single" w:sz="4" w:space="0" w:color="ADD6EA"/>
              <w:left w:val="nil"/>
              <w:bottom w:val="single" w:sz="4" w:space="0" w:color="ADD6EA"/>
              <w:right w:val="nil"/>
            </w:tcBorders>
            <w:shd w:val="clear" w:color="auto" w:fill="auto"/>
            <w:vAlign w:val="bottom"/>
          </w:tcPr>
          <w:p w14:paraId="4BE8127E"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4.5</w:t>
            </w:r>
          </w:p>
        </w:tc>
        <w:tc>
          <w:tcPr>
            <w:tcW w:w="1280" w:type="dxa"/>
            <w:tcBorders>
              <w:top w:val="single" w:sz="4" w:space="0" w:color="ADD6EA"/>
              <w:left w:val="nil"/>
              <w:bottom w:val="single" w:sz="4" w:space="0" w:color="ADD6EA"/>
              <w:right w:val="nil"/>
            </w:tcBorders>
            <w:shd w:val="clear" w:color="auto" w:fill="auto"/>
            <w:vAlign w:val="bottom"/>
          </w:tcPr>
          <w:p w14:paraId="211A54D3" w14:textId="77777777" w:rsidR="009878D7" w:rsidRPr="00433DCB" w:rsidRDefault="009878D7">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7.2</w:t>
            </w:r>
          </w:p>
        </w:tc>
      </w:tr>
    </w:tbl>
    <w:p w14:paraId="2BD315F3" w14:textId="77777777" w:rsidR="009878D7" w:rsidRPr="003F1F10" w:rsidRDefault="009878D7" w:rsidP="00225B8E">
      <w:pPr>
        <w:pStyle w:val="CGC2025TableNote"/>
      </w:pPr>
      <w:r>
        <w:t>Source: Commission calculation, 2023 Update.</w:t>
      </w:r>
    </w:p>
    <w:p w14:paraId="6F3609CF" w14:textId="67E7C08E" w:rsidR="00AA4801" w:rsidRDefault="006D0BC9" w:rsidP="00C61F66">
      <w:pPr>
        <w:pStyle w:val="CGC2025ParaNumbers"/>
        <w:numPr>
          <w:ilvl w:val="0"/>
          <w:numId w:val="7"/>
        </w:numPr>
        <w:ind w:left="567" w:hanging="567"/>
      </w:pPr>
      <w:r>
        <w:fldChar w:fldCharType="begin"/>
      </w:r>
      <w:r>
        <w:instrText xml:space="preserve"> REF _Ref132203055 \h  \* MERGEFORMAT </w:instrText>
      </w:r>
      <w:r>
        <w:fldChar w:fldCharType="separate"/>
      </w:r>
      <w:r w:rsidR="007567E1" w:rsidRPr="00F556E3">
        <w:t xml:space="preserve">Table </w:t>
      </w:r>
      <w:r w:rsidR="007567E1">
        <w:t>3</w:t>
      </w:r>
      <w:r>
        <w:fldChar w:fldCharType="end"/>
      </w:r>
      <w:r w:rsidR="009878D7">
        <w:t xml:space="preserve"> shows total services to industry expenditure by state. More than half of </w:t>
      </w:r>
      <w:r w:rsidR="005A1F59">
        <w:t xml:space="preserve">the </w:t>
      </w:r>
      <w:r w:rsidR="009878D7">
        <w:t>services to industry expenditure in 2021</w:t>
      </w:r>
      <w:r w:rsidR="00D617CC">
        <w:t>–</w:t>
      </w:r>
      <w:r w:rsidR="009878D7">
        <w:t xml:space="preserve">22 </w:t>
      </w:r>
      <w:r w:rsidR="005007A5">
        <w:t xml:space="preserve">occurred </w:t>
      </w:r>
      <w:r w:rsidR="009878D7">
        <w:t xml:space="preserve">in New South Wales. </w:t>
      </w:r>
      <w:r w:rsidR="005007A5">
        <w:t>The</w:t>
      </w:r>
      <w:r w:rsidR="00726A23">
        <w:t xml:space="preserve"> </w:t>
      </w:r>
      <w:r w:rsidR="005007A5">
        <w:t xml:space="preserve">spending was </w:t>
      </w:r>
      <w:r w:rsidR="00411F0F">
        <w:t xml:space="preserve">partly </w:t>
      </w:r>
      <w:r w:rsidR="005007A5">
        <w:t xml:space="preserve">driven by </w:t>
      </w:r>
      <w:r w:rsidR="009878D7">
        <w:t xml:space="preserve">COVID-19 lockdowns across the state </w:t>
      </w:r>
      <w:r w:rsidR="005007A5">
        <w:t xml:space="preserve">which resulted in </w:t>
      </w:r>
      <w:r w:rsidR="0BE7F6FC">
        <w:t>a significant increase</w:t>
      </w:r>
      <w:r w:rsidR="009878D7">
        <w:t xml:space="preserve"> in business support</w:t>
      </w:r>
      <w:r w:rsidR="005007A5">
        <w:t xml:space="preserve"> payments</w:t>
      </w:r>
      <w:r w:rsidR="009878D7">
        <w:t>.</w:t>
      </w:r>
    </w:p>
    <w:p w14:paraId="347416C8" w14:textId="53B7607F" w:rsidR="009878D7" w:rsidRPr="00F556E3" w:rsidRDefault="009878D7" w:rsidP="003F72E7">
      <w:pPr>
        <w:pStyle w:val="Caption"/>
        <w:rPr>
          <w:rFonts w:ascii="Work Sans" w:hAnsi="Work Sans"/>
        </w:rPr>
      </w:pPr>
      <w:bookmarkStart w:id="18" w:name="_Ref132203055"/>
      <w:r w:rsidRPr="00F556E3">
        <w:rPr>
          <w:rFonts w:ascii="Work Sans" w:hAnsi="Work Sans"/>
        </w:rPr>
        <w:lastRenderedPageBreak/>
        <w:t xml:space="preserve">Table </w:t>
      </w:r>
      <w:r w:rsidRPr="00F556E3">
        <w:rPr>
          <w:rFonts w:ascii="Work Sans" w:hAnsi="Work Sans"/>
        </w:rPr>
        <w:fldChar w:fldCharType="begin"/>
      </w:r>
      <w:r w:rsidRPr="00F556E3">
        <w:rPr>
          <w:rFonts w:ascii="Work Sans" w:hAnsi="Work Sans"/>
        </w:rPr>
        <w:instrText>SEQ Table \* ARABIC</w:instrText>
      </w:r>
      <w:r w:rsidRPr="00F556E3">
        <w:rPr>
          <w:rFonts w:ascii="Work Sans" w:hAnsi="Work Sans"/>
        </w:rPr>
        <w:fldChar w:fldCharType="separate"/>
      </w:r>
      <w:r w:rsidR="007567E1">
        <w:rPr>
          <w:rFonts w:ascii="Work Sans" w:hAnsi="Work Sans"/>
          <w:noProof/>
        </w:rPr>
        <w:t>3</w:t>
      </w:r>
      <w:r w:rsidRPr="00F556E3">
        <w:rPr>
          <w:rFonts w:ascii="Work Sans" w:hAnsi="Work Sans"/>
        </w:rPr>
        <w:fldChar w:fldCharType="end"/>
      </w:r>
      <w:bookmarkEnd w:id="18"/>
      <w:r w:rsidRPr="00F556E3">
        <w:rPr>
          <w:rFonts w:ascii="Work Sans" w:hAnsi="Work Sans"/>
        </w:rPr>
        <w:tab/>
        <w:t xml:space="preserve">Total </w:t>
      </w:r>
      <w:r w:rsidR="00AD45EF">
        <w:rPr>
          <w:rFonts w:ascii="Work Sans" w:hAnsi="Work Sans"/>
        </w:rPr>
        <w:t>s</w:t>
      </w:r>
      <w:r w:rsidRPr="00F556E3">
        <w:rPr>
          <w:rFonts w:ascii="Work Sans" w:hAnsi="Work Sans"/>
        </w:rPr>
        <w:t xml:space="preserve">ervices to </w:t>
      </w:r>
      <w:r w:rsidR="00AD45EF">
        <w:rPr>
          <w:rFonts w:ascii="Work Sans" w:hAnsi="Work Sans"/>
        </w:rPr>
        <w:t>i</w:t>
      </w:r>
      <w:r w:rsidRPr="00F556E3">
        <w:rPr>
          <w:rFonts w:ascii="Work Sans" w:hAnsi="Work Sans"/>
        </w:rPr>
        <w:t>ndustry expenditure by state, 2021–22</w:t>
      </w:r>
    </w:p>
    <w:tbl>
      <w:tblPr>
        <w:tblW w:w="8940" w:type="dxa"/>
        <w:tblLook w:val="04A0" w:firstRow="1" w:lastRow="0" w:firstColumn="1" w:lastColumn="0" w:noHBand="0" w:noVBand="1"/>
      </w:tblPr>
      <w:tblGrid>
        <w:gridCol w:w="2895"/>
        <w:gridCol w:w="832"/>
        <w:gridCol w:w="673"/>
        <w:gridCol w:w="700"/>
        <w:gridCol w:w="700"/>
        <w:gridCol w:w="580"/>
        <w:gridCol w:w="580"/>
        <w:gridCol w:w="600"/>
        <w:gridCol w:w="580"/>
        <w:gridCol w:w="800"/>
      </w:tblGrid>
      <w:tr w:rsidR="009878D7" w:rsidRPr="00C6786A" w14:paraId="025563AC" w14:textId="77777777" w:rsidTr="578E0FCF">
        <w:trPr>
          <w:trHeight w:val="380"/>
        </w:trPr>
        <w:tc>
          <w:tcPr>
            <w:tcW w:w="2895" w:type="dxa"/>
            <w:tcBorders>
              <w:top w:val="nil"/>
              <w:left w:val="nil"/>
              <w:bottom w:val="nil"/>
              <w:right w:val="nil"/>
            </w:tcBorders>
            <w:shd w:val="clear" w:color="auto" w:fill="006991"/>
            <w:vAlign w:val="bottom"/>
            <w:hideMark/>
          </w:tcPr>
          <w:p w14:paraId="649AC15C" w14:textId="77777777" w:rsidR="009878D7" w:rsidRPr="00C6786A" w:rsidRDefault="009878D7" w:rsidP="003F72E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19" w:name="RANGE!A11:J13"/>
            <w:r w:rsidRPr="00C6786A">
              <w:rPr>
                <w:rFonts w:ascii="Open Sans Semibold" w:eastAsia="Times New Roman" w:hAnsi="Open Sans Semibold" w:cs="Open Sans Semibold"/>
                <w:color w:val="FFFFFF"/>
                <w:sz w:val="16"/>
                <w:szCs w:val="16"/>
                <w:lang w:eastAsia="en-AU"/>
              </w:rPr>
              <w:t> </w:t>
            </w:r>
            <w:bookmarkEnd w:id="19"/>
          </w:p>
        </w:tc>
        <w:tc>
          <w:tcPr>
            <w:tcW w:w="832" w:type="dxa"/>
            <w:tcBorders>
              <w:top w:val="nil"/>
              <w:left w:val="nil"/>
              <w:bottom w:val="nil"/>
              <w:right w:val="nil"/>
            </w:tcBorders>
            <w:shd w:val="clear" w:color="auto" w:fill="006991"/>
            <w:vAlign w:val="center"/>
            <w:hideMark/>
          </w:tcPr>
          <w:p w14:paraId="1FF8C3EF"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NSW</w:t>
            </w:r>
          </w:p>
        </w:tc>
        <w:tc>
          <w:tcPr>
            <w:tcW w:w="673" w:type="dxa"/>
            <w:tcBorders>
              <w:top w:val="nil"/>
              <w:left w:val="nil"/>
              <w:bottom w:val="nil"/>
              <w:right w:val="nil"/>
            </w:tcBorders>
            <w:shd w:val="clear" w:color="auto" w:fill="006991"/>
            <w:vAlign w:val="center"/>
            <w:hideMark/>
          </w:tcPr>
          <w:p w14:paraId="258175AD"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auto" w:fill="006991"/>
            <w:vAlign w:val="center"/>
            <w:hideMark/>
          </w:tcPr>
          <w:p w14:paraId="728C3D1E"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auto" w:fill="006991"/>
            <w:vAlign w:val="center"/>
            <w:hideMark/>
          </w:tcPr>
          <w:p w14:paraId="0911AED9"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WA</w:t>
            </w:r>
          </w:p>
        </w:tc>
        <w:tc>
          <w:tcPr>
            <w:tcW w:w="580" w:type="dxa"/>
            <w:tcBorders>
              <w:top w:val="nil"/>
              <w:left w:val="nil"/>
              <w:bottom w:val="nil"/>
              <w:right w:val="nil"/>
            </w:tcBorders>
            <w:shd w:val="clear" w:color="auto" w:fill="006991"/>
            <w:vAlign w:val="center"/>
            <w:hideMark/>
          </w:tcPr>
          <w:p w14:paraId="066D738E"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SA</w:t>
            </w:r>
          </w:p>
        </w:tc>
        <w:tc>
          <w:tcPr>
            <w:tcW w:w="580" w:type="dxa"/>
            <w:tcBorders>
              <w:top w:val="nil"/>
              <w:left w:val="nil"/>
              <w:bottom w:val="nil"/>
              <w:right w:val="nil"/>
            </w:tcBorders>
            <w:shd w:val="clear" w:color="auto" w:fill="006991"/>
            <w:vAlign w:val="center"/>
            <w:hideMark/>
          </w:tcPr>
          <w:p w14:paraId="2FF6D552"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Tas</w:t>
            </w:r>
          </w:p>
        </w:tc>
        <w:tc>
          <w:tcPr>
            <w:tcW w:w="600" w:type="dxa"/>
            <w:tcBorders>
              <w:top w:val="nil"/>
              <w:left w:val="nil"/>
              <w:bottom w:val="nil"/>
              <w:right w:val="nil"/>
            </w:tcBorders>
            <w:shd w:val="clear" w:color="auto" w:fill="006991"/>
            <w:vAlign w:val="center"/>
            <w:hideMark/>
          </w:tcPr>
          <w:p w14:paraId="2B627040"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ACT</w:t>
            </w:r>
          </w:p>
        </w:tc>
        <w:tc>
          <w:tcPr>
            <w:tcW w:w="580" w:type="dxa"/>
            <w:tcBorders>
              <w:top w:val="nil"/>
              <w:left w:val="nil"/>
              <w:bottom w:val="nil"/>
              <w:right w:val="nil"/>
            </w:tcBorders>
            <w:shd w:val="clear" w:color="auto" w:fill="006991"/>
            <w:vAlign w:val="center"/>
            <w:hideMark/>
          </w:tcPr>
          <w:p w14:paraId="7A790955"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NT</w:t>
            </w:r>
          </w:p>
        </w:tc>
        <w:tc>
          <w:tcPr>
            <w:tcW w:w="800" w:type="dxa"/>
            <w:tcBorders>
              <w:top w:val="nil"/>
              <w:left w:val="nil"/>
              <w:bottom w:val="nil"/>
              <w:right w:val="nil"/>
            </w:tcBorders>
            <w:shd w:val="clear" w:color="auto" w:fill="006991"/>
            <w:vAlign w:val="center"/>
            <w:hideMark/>
          </w:tcPr>
          <w:p w14:paraId="10680A07" w14:textId="77777777" w:rsidR="009878D7" w:rsidRPr="00C6786A" w:rsidRDefault="009878D7" w:rsidP="003F72E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786A">
              <w:rPr>
                <w:rFonts w:ascii="Open Sans Semibold" w:eastAsia="Times New Roman" w:hAnsi="Open Sans Semibold" w:cs="Open Sans Semibold"/>
                <w:color w:val="FFFFFF"/>
                <w:sz w:val="16"/>
                <w:szCs w:val="16"/>
                <w:lang w:eastAsia="en-AU"/>
              </w:rPr>
              <w:t>Total</w:t>
            </w:r>
          </w:p>
        </w:tc>
      </w:tr>
      <w:tr w:rsidR="009878D7" w:rsidRPr="00C6786A" w14:paraId="2DE41DFD" w14:textId="77777777" w:rsidTr="578E0FCF">
        <w:trPr>
          <w:trHeight w:val="300"/>
        </w:trPr>
        <w:tc>
          <w:tcPr>
            <w:tcW w:w="2895" w:type="dxa"/>
            <w:tcBorders>
              <w:top w:val="single" w:sz="4" w:space="0" w:color="ADD6EA"/>
              <w:left w:val="nil"/>
              <w:bottom w:val="nil"/>
              <w:right w:val="nil"/>
            </w:tcBorders>
            <w:shd w:val="clear" w:color="auto" w:fill="auto"/>
            <w:vAlign w:val="bottom"/>
            <w:hideMark/>
          </w:tcPr>
          <w:p w14:paraId="20DD68A5" w14:textId="77777777" w:rsidR="009878D7" w:rsidRPr="00C6786A" w:rsidRDefault="009878D7" w:rsidP="003F72E7">
            <w:pPr>
              <w:keepNext/>
              <w:keepLines/>
              <w:tabs>
                <w:tab w:val="clear" w:pos="567"/>
              </w:tabs>
              <w:spacing w:before="0" w:line="240" w:lineRule="auto"/>
              <w:rPr>
                <w:rFonts w:eastAsia="Times New Roman" w:cs="Open Sans Light"/>
                <w:color w:val="000000"/>
                <w:sz w:val="16"/>
                <w:szCs w:val="16"/>
                <w:lang w:eastAsia="en-AU"/>
              </w:rPr>
            </w:pPr>
            <w:r w:rsidRPr="00C6786A">
              <w:rPr>
                <w:rFonts w:eastAsia="Times New Roman" w:cs="Open Sans Light"/>
                <w:color w:val="000000"/>
                <w:sz w:val="16"/>
                <w:szCs w:val="16"/>
                <w:lang w:eastAsia="en-AU"/>
              </w:rPr>
              <w:t>Total expenditure ($m)</w:t>
            </w:r>
          </w:p>
        </w:tc>
        <w:tc>
          <w:tcPr>
            <w:tcW w:w="832" w:type="dxa"/>
            <w:tcBorders>
              <w:top w:val="single" w:sz="4" w:space="0" w:color="ADD6EA"/>
              <w:left w:val="nil"/>
              <w:bottom w:val="nil"/>
              <w:right w:val="nil"/>
            </w:tcBorders>
            <w:shd w:val="clear" w:color="auto" w:fill="auto"/>
            <w:noWrap/>
            <w:vAlign w:val="bottom"/>
            <w:hideMark/>
          </w:tcPr>
          <w:p w14:paraId="69044D65"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11,897</w:t>
            </w:r>
          </w:p>
        </w:tc>
        <w:tc>
          <w:tcPr>
            <w:tcW w:w="673" w:type="dxa"/>
            <w:tcBorders>
              <w:top w:val="single" w:sz="4" w:space="0" w:color="ADD6EA"/>
              <w:left w:val="nil"/>
              <w:bottom w:val="nil"/>
              <w:right w:val="nil"/>
            </w:tcBorders>
            <w:shd w:val="clear" w:color="auto" w:fill="auto"/>
            <w:noWrap/>
            <w:vAlign w:val="bottom"/>
            <w:hideMark/>
          </w:tcPr>
          <w:p w14:paraId="651A0929"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5,962</w:t>
            </w:r>
          </w:p>
        </w:tc>
        <w:tc>
          <w:tcPr>
            <w:tcW w:w="700" w:type="dxa"/>
            <w:tcBorders>
              <w:top w:val="single" w:sz="4" w:space="0" w:color="ADD6EA"/>
              <w:left w:val="nil"/>
              <w:bottom w:val="nil"/>
              <w:right w:val="nil"/>
            </w:tcBorders>
            <w:shd w:val="clear" w:color="auto" w:fill="auto"/>
            <w:noWrap/>
            <w:vAlign w:val="bottom"/>
            <w:hideMark/>
          </w:tcPr>
          <w:p w14:paraId="32DE5232"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1,139</w:t>
            </w:r>
          </w:p>
        </w:tc>
        <w:tc>
          <w:tcPr>
            <w:tcW w:w="700" w:type="dxa"/>
            <w:tcBorders>
              <w:top w:val="single" w:sz="4" w:space="0" w:color="ADD6EA"/>
              <w:left w:val="nil"/>
              <w:bottom w:val="nil"/>
              <w:right w:val="nil"/>
            </w:tcBorders>
            <w:shd w:val="clear" w:color="auto" w:fill="auto"/>
            <w:noWrap/>
            <w:vAlign w:val="bottom"/>
            <w:hideMark/>
          </w:tcPr>
          <w:p w14:paraId="16041C03"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486</w:t>
            </w:r>
          </w:p>
        </w:tc>
        <w:tc>
          <w:tcPr>
            <w:tcW w:w="580" w:type="dxa"/>
            <w:tcBorders>
              <w:top w:val="single" w:sz="4" w:space="0" w:color="ADD6EA"/>
              <w:left w:val="nil"/>
              <w:bottom w:val="nil"/>
              <w:right w:val="nil"/>
            </w:tcBorders>
            <w:shd w:val="clear" w:color="auto" w:fill="auto"/>
            <w:noWrap/>
            <w:vAlign w:val="bottom"/>
            <w:hideMark/>
          </w:tcPr>
          <w:p w14:paraId="36B35C62"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587</w:t>
            </w:r>
          </w:p>
        </w:tc>
        <w:tc>
          <w:tcPr>
            <w:tcW w:w="580" w:type="dxa"/>
            <w:tcBorders>
              <w:top w:val="single" w:sz="4" w:space="0" w:color="ADD6EA"/>
              <w:left w:val="nil"/>
              <w:bottom w:val="nil"/>
              <w:right w:val="nil"/>
            </w:tcBorders>
            <w:shd w:val="clear" w:color="auto" w:fill="auto"/>
            <w:noWrap/>
            <w:vAlign w:val="bottom"/>
            <w:hideMark/>
          </w:tcPr>
          <w:p w14:paraId="19EBE569"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252</w:t>
            </w:r>
          </w:p>
        </w:tc>
        <w:tc>
          <w:tcPr>
            <w:tcW w:w="600" w:type="dxa"/>
            <w:tcBorders>
              <w:top w:val="single" w:sz="4" w:space="0" w:color="ADD6EA"/>
              <w:left w:val="nil"/>
              <w:bottom w:val="nil"/>
              <w:right w:val="nil"/>
            </w:tcBorders>
            <w:shd w:val="clear" w:color="auto" w:fill="auto"/>
            <w:noWrap/>
            <w:vAlign w:val="bottom"/>
            <w:hideMark/>
          </w:tcPr>
          <w:p w14:paraId="09CC9D67"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226</w:t>
            </w:r>
          </w:p>
        </w:tc>
        <w:tc>
          <w:tcPr>
            <w:tcW w:w="580" w:type="dxa"/>
            <w:tcBorders>
              <w:top w:val="single" w:sz="4" w:space="0" w:color="ADD6EA"/>
              <w:left w:val="nil"/>
              <w:bottom w:val="nil"/>
              <w:right w:val="nil"/>
            </w:tcBorders>
            <w:shd w:val="clear" w:color="auto" w:fill="auto"/>
            <w:noWrap/>
            <w:vAlign w:val="bottom"/>
            <w:hideMark/>
          </w:tcPr>
          <w:p w14:paraId="09BF2B00"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247</w:t>
            </w:r>
          </w:p>
        </w:tc>
        <w:tc>
          <w:tcPr>
            <w:tcW w:w="800" w:type="dxa"/>
            <w:tcBorders>
              <w:top w:val="single" w:sz="4" w:space="0" w:color="ADD6EA"/>
              <w:left w:val="nil"/>
              <w:bottom w:val="nil"/>
              <w:right w:val="nil"/>
            </w:tcBorders>
            <w:shd w:val="clear" w:color="auto" w:fill="auto"/>
            <w:noWrap/>
            <w:vAlign w:val="bottom"/>
            <w:hideMark/>
          </w:tcPr>
          <w:p w14:paraId="05E1436B"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20,796</w:t>
            </w:r>
          </w:p>
        </w:tc>
      </w:tr>
      <w:tr w:rsidR="009878D7" w:rsidRPr="00C6786A" w14:paraId="3A744544" w14:textId="77777777" w:rsidTr="578E0FCF">
        <w:trPr>
          <w:trHeight w:val="315"/>
        </w:trPr>
        <w:tc>
          <w:tcPr>
            <w:tcW w:w="2895" w:type="dxa"/>
            <w:tcBorders>
              <w:top w:val="single" w:sz="4" w:space="0" w:color="ADD6EA"/>
              <w:left w:val="nil"/>
              <w:bottom w:val="single" w:sz="4" w:space="0" w:color="ADD6EA"/>
              <w:right w:val="nil"/>
            </w:tcBorders>
            <w:shd w:val="clear" w:color="auto" w:fill="auto"/>
            <w:vAlign w:val="bottom"/>
            <w:hideMark/>
          </w:tcPr>
          <w:p w14:paraId="235F3CA4" w14:textId="77777777" w:rsidR="009878D7" w:rsidRPr="00C6786A" w:rsidRDefault="009878D7" w:rsidP="003F72E7">
            <w:pPr>
              <w:keepNext/>
              <w:keepLines/>
              <w:tabs>
                <w:tab w:val="clear" w:pos="567"/>
              </w:tabs>
              <w:spacing w:before="0" w:line="240" w:lineRule="auto"/>
              <w:rPr>
                <w:rFonts w:eastAsia="Times New Roman" w:cs="Open Sans Light"/>
                <w:color w:val="000000"/>
                <w:sz w:val="16"/>
                <w:szCs w:val="16"/>
                <w:lang w:eastAsia="en-AU"/>
              </w:rPr>
            </w:pPr>
            <w:r w:rsidRPr="00C6786A">
              <w:rPr>
                <w:rFonts w:eastAsia="Times New Roman" w:cs="Open Sans Light"/>
                <w:color w:val="000000"/>
                <w:sz w:val="16"/>
                <w:szCs w:val="16"/>
                <w:lang w:eastAsia="en-AU"/>
              </w:rPr>
              <w:t>Proportion of total expenditure (%)</w:t>
            </w:r>
          </w:p>
        </w:tc>
        <w:tc>
          <w:tcPr>
            <w:tcW w:w="832" w:type="dxa"/>
            <w:tcBorders>
              <w:top w:val="single" w:sz="4" w:space="0" w:color="ADD6EA"/>
              <w:left w:val="nil"/>
              <w:bottom w:val="single" w:sz="4" w:space="0" w:color="ADD6EA"/>
              <w:right w:val="nil"/>
            </w:tcBorders>
            <w:shd w:val="clear" w:color="auto" w:fill="auto"/>
            <w:vAlign w:val="bottom"/>
            <w:hideMark/>
          </w:tcPr>
          <w:p w14:paraId="17A62F3B"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13.9</w:t>
            </w:r>
          </w:p>
        </w:tc>
        <w:tc>
          <w:tcPr>
            <w:tcW w:w="673" w:type="dxa"/>
            <w:tcBorders>
              <w:top w:val="single" w:sz="4" w:space="0" w:color="ADD6EA"/>
              <w:left w:val="nil"/>
              <w:bottom w:val="single" w:sz="4" w:space="0" w:color="ADD6EA"/>
              <w:right w:val="nil"/>
            </w:tcBorders>
            <w:shd w:val="clear" w:color="auto" w:fill="auto"/>
            <w:vAlign w:val="bottom"/>
            <w:hideMark/>
          </w:tcPr>
          <w:p w14:paraId="5D6EA121"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8.9</w:t>
            </w:r>
          </w:p>
        </w:tc>
        <w:tc>
          <w:tcPr>
            <w:tcW w:w="700" w:type="dxa"/>
            <w:tcBorders>
              <w:top w:val="single" w:sz="4" w:space="0" w:color="ADD6EA"/>
              <w:left w:val="nil"/>
              <w:bottom w:val="single" w:sz="4" w:space="0" w:color="ADD6EA"/>
              <w:right w:val="nil"/>
            </w:tcBorders>
            <w:shd w:val="clear" w:color="auto" w:fill="auto"/>
            <w:vAlign w:val="bottom"/>
            <w:hideMark/>
          </w:tcPr>
          <w:p w14:paraId="78285FC1"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1.9</w:t>
            </w:r>
          </w:p>
        </w:tc>
        <w:tc>
          <w:tcPr>
            <w:tcW w:w="700" w:type="dxa"/>
            <w:tcBorders>
              <w:top w:val="single" w:sz="4" w:space="0" w:color="ADD6EA"/>
              <w:left w:val="nil"/>
              <w:bottom w:val="single" w:sz="4" w:space="0" w:color="ADD6EA"/>
              <w:right w:val="nil"/>
            </w:tcBorders>
            <w:shd w:val="clear" w:color="auto" w:fill="auto"/>
            <w:vAlign w:val="bottom"/>
            <w:hideMark/>
          </w:tcPr>
          <w:p w14:paraId="3FEE571D"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1.3</w:t>
            </w:r>
          </w:p>
        </w:tc>
        <w:tc>
          <w:tcPr>
            <w:tcW w:w="580" w:type="dxa"/>
            <w:tcBorders>
              <w:top w:val="single" w:sz="4" w:space="0" w:color="ADD6EA"/>
              <w:left w:val="nil"/>
              <w:bottom w:val="single" w:sz="4" w:space="0" w:color="ADD6EA"/>
              <w:right w:val="nil"/>
            </w:tcBorders>
            <w:shd w:val="clear" w:color="auto" w:fill="auto"/>
            <w:vAlign w:val="bottom"/>
            <w:hideMark/>
          </w:tcPr>
          <w:p w14:paraId="3590D1DF"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3.0</w:t>
            </w:r>
          </w:p>
        </w:tc>
        <w:tc>
          <w:tcPr>
            <w:tcW w:w="580" w:type="dxa"/>
            <w:tcBorders>
              <w:top w:val="single" w:sz="4" w:space="0" w:color="ADD6EA"/>
              <w:left w:val="nil"/>
              <w:bottom w:val="single" w:sz="4" w:space="0" w:color="ADD6EA"/>
              <w:right w:val="nil"/>
            </w:tcBorders>
            <w:shd w:val="clear" w:color="auto" w:fill="auto"/>
            <w:vAlign w:val="bottom"/>
            <w:hideMark/>
          </w:tcPr>
          <w:p w14:paraId="0FD025CA"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3.8</w:t>
            </w:r>
          </w:p>
        </w:tc>
        <w:tc>
          <w:tcPr>
            <w:tcW w:w="600" w:type="dxa"/>
            <w:tcBorders>
              <w:top w:val="single" w:sz="4" w:space="0" w:color="ADD6EA"/>
              <w:left w:val="nil"/>
              <w:bottom w:val="single" w:sz="4" w:space="0" w:color="ADD6EA"/>
              <w:right w:val="nil"/>
            </w:tcBorders>
            <w:shd w:val="clear" w:color="auto" w:fill="auto"/>
            <w:vAlign w:val="bottom"/>
            <w:hideMark/>
          </w:tcPr>
          <w:p w14:paraId="3F467EB0"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4.0</w:t>
            </w:r>
          </w:p>
        </w:tc>
        <w:tc>
          <w:tcPr>
            <w:tcW w:w="580" w:type="dxa"/>
            <w:tcBorders>
              <w:top w:val="single" w:sz="4" w:space="0" w:color="ADD6EA"/>
              <w:left w:val="nil"/>
              <w:bottom w:val="single" w:sz="4" w:space="0" w:color="ADD6EA"/>
              <w:right w:val="nil"/>
            </w:tcBorders>
            <w:shd w:val="clear" w:color="auto" w:fill="auto"/>
            <w:vAlign w:val="bottom"/>
            <w:hideMark/>
          </w:tcPr>
          <w:p w14:paraId="0E770AA5"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4.0</w:t>
            </w:r>
          </w:p>
        </w:tc>
        <w:tc>
          <w:tcPr>
            <w:tcW w:w="800" w:type="dxa"/>
            <w:tcBorders>
              <w:top w:val="single" w:sz="4" w:space="0" w:color="ADD6EA"/>
              <w:left w:val="nil"/>
              <w:bottom w:val="single" w:sz="4" w:space="0" w:color="ADD6EA"/>
              <w:right w:val="nil"/>
            </w:tcBorders>
            <w:shd w:val="clear" w:color="auto" w:fill="auto"/>
            <w:vAlign w:val="bottom"/>
            <w:hideMark/>
          </w:tcPr>
          <w:p w14:paraId="07E01437" w14:textId="77777777" w:rsidR="009878D7" w:rsidRPr="00C6786A" w:rsidRDefault="009878D7" w:rsidP="003F72E7">
            <w:pPr>
              <w:keepNext/>
              <w:keepLines/>
              <w:tabs>
                <w:tab w:val="clear" w:pos="567"/>
              </w:tabs>
              <w:spacing w:before="0" w:line="240" w:lineRule="auto"/>
              <w:jc w:val="right"/>
              <w:rPr>
                <w:rFonts w:eastAsia="Times New Roman" w:cs="Open Sans Light"/>
                <w:color w:val="000000"/>
                <w:sz w:val="16"/>
                <w:szCs w:val="16"/>
                <w:lang w:eastAsia="en-AU"/>
              </w:rPr>
            </w:pPr>
            <w:r w:rsidRPr="00C6786A">
              <w:rPr>
                <w:rFonts w:eastAsia="Times New Roman" w:cs="Open Sans Light"/>
                <w:color w:val="000000"/>
                <w:sz w:val="16"/>
                <w:szCs w:val="16"/>
                <w:lang w:eastAsia="en-AU"/>
              </w:rPr>
              <w:t>7.2</w:t>
            </w:r>
          </w:p>
        </w:tc>
      </w:tr>
    </w:tbl>
    <w:p w14:paraId="19921FE4" w14:textId="77777777" w:rsidR="009878D7" w:rsidRPr="00AD45EF" w:rsidRDefault="009878D7" w:rsidP="003F72E7">
      <w:pPr>
        <w:pStyle w:val="CGC2025TableNote"/>
        <w:keepNext/>
        <w:keepLines/>
      </w:pPr>
      <w:r w:rsidRPr="00AD45EF">
        <w:t>Source: Commission calculation, 2023 Update.</w:t>
      </w:r>
    </w:p>
    <w:p w14:paraId="15DE2DAC" w14:textId="133F613E" w:rsidR="009878D7" w:rsidRPr="00723C10" w:rsidRDefault="009878D7" w:rsidP="00166A6B">
      <w:pPr>
        <w:pStyle w:val="CGC2025ParaNumbers"/>
        <w:numPr>
          <w:ilvl w:val="0"/>
          <w:numId w:val="7"/>
        </w:numPr>
        <w:ind w:left="567" w:hanging="567"/>
      </w:pPr>
      <w:r>
        <w:fldChar w:fldCharType="begin"/>
      </w:r>
      <w:r>
        <w:instrText xml:space="preserve"> REF _Ref132203079 \h  \* MERGEFORMAT </w:instrText>
      </w:r>
      <w:r>
        <w:fldChar w:fldCharType="separate"/>
      </w:r>
      <w:r w:rsidR="007567E1" w:rsidRPr="00F556E3">
        <w:t xml:space="preserve">Table </w:t>
      </w:r>
      <w:r w:rsidR="007567E1">
        <w:t>4</w:t>
      </w:r>
      <w:r>
        <w:fldChar w:fldCharType="end"/>
      </w:r>
      <w:r>
        <w:t xml:space="preserve"> shows the relative weight of each component in the services to industry assessment. The largest component is other industries regulation, which represented 66% of services to industry expenditure </w:t>
      </w:r>
      <w:r w:rsidR="001354FA">
        <w:t xml:space="preserve">(around $13.7 billion) </w:t>
      </w:r>
      <w:r>
        <w:t>in 2021–22.</w:t>
      </w:r>
    </w:p>
    <w:p w14:paraId="078AC9AC" w14:textId="2894A829" w:rsidR="009878D7" w:rsidRPr="00F556E3" w:rsidRDefault="009878D7" w:rsidP="009878D7">
      <w:pPr>
        <w:pStyle w:val="Caption"/>
        <w:rPr>
          <w:rFonts w:ascii="Work Sans" w:hAnsi="Work Sans"/>
        </w:rPr>
      </w:pPr>
      <w:bookmarkStart w:id="20" w:name="_Ref132203079"/>
      <w:r w:rsidRPr="00F556E3">
        <w:rPr>
          <w:rFonts w:ascii="Work Sans" w:hAnsi="Work Sans"/>
        </w:rPr>
        <w:t xml:space="preserve">Table </w:t>
      </w:r>
      <w:r w:rsidRPr="00F556E3">
        <w:rPr>
          <w:rFonts w:ascii="Work Sans" w:hAnsi="Work Sans"/>
        </w:rPr>
        <w:fldChar w:fldCharType="begin"/>
      </w:r>
      <w:r w:rsidRPr="00F556E3">
        <w:rPr>
          <w:rFonts w:ascii="Work Sans" w:hAnsi="Work Sans"/>
        </w:rPr>
        <w:instrText>SEQ Table \* ARABIC</w:instrText>
      </w:r>
      <w:r w:rsidRPr="00F556E3">
        <w:rPr>
          <w:rFonts w:ascii="Work Sans" w:hAnsi="Work Sans"/>
        </w:rPr>
        <w:fldChar w:fldCharType="separate"/>
      </w:r>
      <w:r w:rsidR="007567E1">
        <w:rPr>
          <w:rFonts w:ascii="Work Sans" w:hAnsi="Work Sans"/>
          <w:noProof/>
        </w:rPr>
        <w:t>4</w:t>
      </w:r>
      <w:r w:rsidRPr="00F556E3">
        <w:rPr>
          <w:rFonts w:ascii="Work Sans" w:hAnsi="Work Sans"/>
        </w:rPr>
        <w:fldChar w:fldCharType="end"/>
      </w:r>
      <w:bookmarkEnd w:id="20"/>
      <w:r w:rsidRPr="00F556E3">
        <w:rPr>
          <w:rFonts w:ascii="Work Sans" w:hAnsi="Work Sans"/>
        </w:rPr>
        <w:tab/>
        <w:t xml:space="preserve">Structure of the </w:t>
      </w:r>
      <w:r w:rsidR="00790BE4">
        <w:rPr>
          <w:rFonts w:ascii="Work Sans" w:hAnsi="Work Sans"/>
        </w:rPr>
        <w:t>s</w:t>
      </w:r>
      <w:r w:rsidRPr="00F556E3">
        <w:rPr>
          <w:rFonts w:ascii="Work Sans" w:hAnsi="Work Sans"/>
        </w:rPr>
        <w:t>ervices to industry assessment, 2021–22</w:t>
      </w:r>
    </w:p>
    <w:tbl>
      <w:tblPr>
        <w:tblW w:w="9102" w:type="dxa"/>
        <w:tblCellMar>
          <w:left w:w="28" w:type="dxa"/>
        </w:tblCellMar>
        <w:tblLook w:val="04A0" w:firstRow="1" w:lastRow="0" w:firstColumn="1" w:lastColumn="0" w:noHBand="0" w:noVBand="1"/>
      </w:tblPr>
      <w:tblGrid>
        <w:gridCol w:w="1660"/>
        <w:gridCol w:w="1124"/>
        <w:gridCol w:w="258"/>
        <w:gridCol w:w="1880"/>
        <w:gridCol w:w="4180"/>
      </w:tblGrid>
      <w:tr w:rsidR="009878D7" w:rsidRPr="00082DE5" w14:paraId="3AD6BF52" w14:textId="77777777" w:rsidTr="66396AB5">
        <w:trPr>
          <w:trHeight w:val="555"/>
        </w:trPr>
        <w:tc>
          <w:tcPr>
            <w:tcW w:w="1660" w:type="dxa"/>
            <w:tcBorders>
              <w:top w:val="nil"/>
              <w:left w:val="nil"/>
              <w:bottom w:val="single" w:sz="8" w:space="0" w:color="ADD6EA"/>
              <w:right w:val="nil"/>
            </w:tcBorders>
            <w:shd w:val="clear" w:color="auto" w:fill="006991"/>
            <w:vAlign w:val="center"/>
            <w:hideMark/>
          </w:tcPr>
          <w:p w14:paraId="72678913" w14:textId="77777777" w:rsidR="009878D7" w:rsidRPr="00082DE5" w:rsidRDefault="009878D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21" w:name="RANGE!B4:F5"/>
            <w:r w:rsidRPr="00082DE5">
              <w:rPr>
                <w:rFonts w:ascii="Open Sans Semibold" w:eastAsia="Times New Roman" w:hAnsi="Open Sans Semibold" w:cs="Open Sans Semibold"/>
                <w:color w:val="FFFFFF"/>
                <w:sz w:val="16"/>
                <w:szCs w:val="16"/>
                <w:lang w:eastAsia="en-AU"/>
              </w:rPr>
              <w:t>Component</w:t>
            </w:r>
            <w:bookmarkEnd w:id="21"/>
          </w:p>
        </w:tc>
        <w:tc>
          <w:tcPr>
            <w:tcW w:w="1124" w:type="dxa"/>
            <w:tcBorders>
              <w:top w:val="nil"/>
              <w:left w:val="nil"/>
              <w:bottom w:val="single" w:sz="8" w:space="0" w:color="ADD6EA"/>
              <w:right w:val="nil"/>
            </w:tcBorders>
            <w:shd w:val="clear" w:color="auto" w:fill="006991"/>
            <w:vAlign w:val="center"/>
            <w:hideMark/>
          </w:tcPr>
          <w:p w14:paraId="09028395"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3DACF017">
              <w:rPr>
                <w:rFonts w:ascii="Open Sans Semibold" w:eastAsia="Times New Roman" w:hAnsi="Open Sans Semibold" w:cs="Open Sans Semibold"/>
                <w:color w:val="FFFFFF" w:themeColor="background1"/>
                <w:sz w:val="16"/>
                <w:szCs w:val="16"/>
                <w:lang w:eastAsia="en-AU"/>
              </w:rPr>
              <w:t>Component expense</w:t>
            </w:r>
          </w:p>
        </w:tc>
        <w:tc>
          <w:tcPr>
            <w:tcW w:w="258" w:type="dxa"/>
            <w:tcBorders>
              <w:top w:val="nil"/>
              <w:left w:val="nil"/>
              <w:bottom w:val="single" w:sz="8" w:space="0" w:color="ADD6EA"/>
              <w:right w:val="nil"/>
            </w:tcBorders>
            <w:shd w:val="clear" w:color="auto" w:fill="006991"/>
            <w:vAlign w:val="center"/>
            <w:hideMark/>
          </w:tcPr>
          <w:p w14:paraId="407EB156"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82DE5">
              <w:rPr>
                <w:rFonts w:ascii="Open Sans Semibold" w:eastAsia="Times New Roman" w:hAnsi="Open Sans Semibold" w:cs="Open Sans Semibold"/>
                <w:color w:val="FFFFFF"/>
                <w:sz w:val="16"/>
                <w:szCs w:val="16"/>
                <w:lang w:eastAsia="en-AU"/>
              </w:rPr>
              <w:t> </w:t>
            </w:r>
          </w:p>
        </w:tc>
        <w:tc>
          <w:tcPr>
            <w:tcW w:w="1880" w:type="dxa"/>
            <w:tcBorders>
              <w:top w:val="nil"/>
              <w:left w:val="nil"/>
              <w:bottom w:val="single" w:sz="8" w:space="0" w:color="ADD6EA"/>
              <w:right w:val="nil"/>
            </w:tcBorders>
            <w:shd w:val="clear" w:color="auto" w:fill="006991"/>
            <w:vAlign w:val="center"/>
            <w:hideMark/>
          </w:tcPr>
          <w:p w14:paraId="576611A6" w14:textId="77777777" w:rsidR="009878D7" w:rsidRPr="00082DE5" w:rsidRDefault="009878D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 xml:space="preserve">Driver </w:t>
            </w:r>
          </w:p>
        </w:tc>
        <w:tc>
          <w:tcPr>
            <w:tcW w:w="4180" w:type="dxa"/>
            <w:tcBorders>
              <w:top w:val="nil"/>
              <w:left w:val="nil"/>
              <w:bottom w:val="single" w:sz="8" w:space="0" w:color="ADD6EA"/>
              <w:right w:val="nil"/>
            </w:tcBorders>
            <w:shd w:val="clear" w:color="auto" w:fill="006991"/>
            <w:vAlign w:val="center"/>
            <w:hideMark/>
          </w:tcPr>
          <w:p w14:paraId="01BFEC3E" w14:textId="77777777" w:rsidR="009878D7" w:rsidRPr="00082DE5" w:rsidRDefault="009878D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082DE5">
              <w:rPr>
                <w:rFonts w:ascii="Open Sans Semibold" w:eastAsia="Times New Roman" w:hAnsi="Open Sans Semibold" w:cs="Open Sans Semibold"/>
                <w:color w:val="FFFFFF"/>
                <w:sz w:val="16"/>
                <w:szCs w:val="16"/>
                <w:lang w:eastAsia="en-AU"/>
              </w:rPr>
              <w:t xml:space="preserve">Influence measured by </w:t>
            </w:r>
            <w:r>
              <w:rPr>
                <w:rFonts w:ascii="Open Sans Semibold" w:eastAsia="Times New Roman" w:hAnsi="Open Sans Semibold" w:cs="Open Sans Semibold"/>
                <w:color w:val="FFFFFF"/>
                <w:sz w:val="16"/>
                <w:szCs w:val="16"/>
                <w:lang w:eastAsia="en-AU"/>
              </w:rPr>
              <w:t>driver of need</w:t>
            </w:r>
          </w:p>
        </w:tc>
      </w:tr>
      <w:tr w:rsidR="009878D7" w:rsidRPr="00082DE5" w14:paraId="761E7725" w14:textId="77777777" w:rsidTr="66396AB5">
        <w:trPr>
          <w:trHeight w:val="259"/>
        </w:trPr>
        <w:tc>
          <w:tcPr>
            <w:tcW w:w="1660" w:type="dxa"/>
            <w:tcBorders>
              <w:top w:val="nil"/>
              <w:left w:val="nil"/>
              <w:bottom w:val="single" w:sz="8" w:space="0" w:color="ADD6EA"/>
              <w:right w:val="nil"/>
            </w:tcBorders>
            <w:shd w:val="clear" w:color="auto" w:fill="B6D5E4"/>
            <w:noWrap/>
            <w:vAlign w:val="center"/>
            <w:hideMark/>
          </w:tcPr>
          <w:p w14:paraId="5B767A7E"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1124" w:type="dxa"/>
            <w:tcBorders>
              <w:top w:val="nil"/>
              <w:left w:val="nil"/>
              <w:bottom w:val="single" w:sz="8" w:space="0" w:color="ADD6EA"/>
              <w:right w:val="nil"/>
            </w:tcBorders>
            <w:shd w:val="clear" w:color="auto" w:fill="B6D5E4"/>
            <w:noWrap/>
            <w:vAlign w:val="center"/>
            <w:hideMark/>
          </w:tcPr>
          <w:p w14:paraId="6B460C1D"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$m</w:t>
            </w:r>
          </w:p>
        </w:tc>
        <w:tc>
          <w:tcPr>
            <w:tcW w:w="258" w:type="dxa"/>
            <w:tcBorders>
              <w:top w:val="nil"/>
              <w:left w:val="nil"/>
              <w:bottom w:val="single" w:sz="8" w:space="0" w:color="ADD6EA"/>
              <w:right w:val="nil"/>
            </w:tcBorders>
            <w:shd w:val="clear" w:color="auto" w:fill="B6D5E4"/>
            <w:noWrap/>
            <w:vAlign w:val="center"/>
            <w:hideMark/>
          </w:tcPr>
          <w:p w14:paraId="794B944A"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1880" w:type="dxa"/>
            <w:tcBorders>
              <w:top w:val="nil"/>
              <w:left w:val="nil"/>
              <w:bottom w:val="single" w:sz="8" w:space="0" w:color="ADD6EA"/>
              <w:right w:val="nil"/>
            </w:tcBorders>
            <w:shd w:val="clear" w:color="auto" w:fill="B6D5E4"/>
            <w:noWrap/>
            <w:vAlign w:val="center"/>
            <w:hideMark/>
          </w:tcPr>
          <w:p w14:paraId="6384E07A"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4180" w:type="dxa"/>
            <w:tcBorders>
              <w:top w:val="nil"/>
              <w:left w:val="nil"/>
              <w:bottom w:val="single" w:sz="8" w:space="0" w:color="ADD6EA"/>
              <w:right w:val="nil"/>
            </w:tcBorders>
            <w:shd w:val="clear" w:color="auto" w:fill="B6D5E4"/>
            <w:noWrap/>
            <w:vAlign w:val="center"/>
            <w:hideMark/>
          </w:tcPr>
          <w:p w14:paraId="7BA4A36D" w14:textId="77777777" w:rsidR="009878D7" w:rsidRPr="00082DE5" w:rsidRDefault="009878D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r>
      <w:tr w:rsidR="009878D7" w:rsidRPr="00082DE5" w14:paraId="2EB6C8CF" w14:textId="77777777" w:rsidTr="66396AB5">
        <w:trPr>
          <w:trHeight w:val="795"/>
        </w:trPr>
        <w:tc>
          <w:tcPr>
            <w:tcW w:w="1660" w:type="dxa"/>
            <w:tcBorders>
              <w:top w:val="nil"/>
              <w:left w:val="nil"/>
              <w:bottom w:val="nil"/>
              <w:right w:val="nil"/>
            </w:tcBorders>
            <w:shd w:val="clear" w:color="auto" w:fill="auto"/>
            <w:hideMark/>
          </w:tcPr>
          <w:p w14:paraId="09CDABAC" w14:textId="77777777" w:rsidR="009878D7" w:rsidRPr="00082DE5" w:rsidRDefault="009878D7">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Agriculture regulation</w:t>
            </w:r>
          </w:p>
        </w:tc>
        <w:tc>
          <w:tcPr>
            <w:tcW w:w="1124" w:type="dxa"/>
            <w:tcBorders>
              <w:top w:val="nil"/>
              <w:left w:val="nil"/>
              <w:bottom w:val="nil"/>
              <w:right w:val="nil"/>
            </w:tcBorders>
            <w:shd w:val="clear" w:color="auto" w:fill="auto"/>
            <w:hideMark/>
          </w:tcPr>
          <w:p w14:paraId="323FA83F"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885 (4%)</w:t>
            </w:r>
          </w:p>
        </w:tc>
        <w:tc>
          <w:tcPr>
            <w:tcW w:w="258" w:type="dxa"/>
            <w:tcBorders>
              <w:top w:val="nil"/>
              <w:left w:val="nil"/>
              <w:bottom w:val="nil"/>
              <w:right w:val="nil"/>
            </w:tcBorders>
            <w:shd w:val="clear" w:color="auto" w:fill="auto"/>
            <w:hideMark/>
          </w:tcPr>
          <w:p w14:paraId="4F264CA8"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p>
        </w:tc>
        <w:tc>
          <w:tcPr>
            <w:tcW w:w="1880" w:type="dxa"/>
            <w:tcBorders>
              <w:top w:val="nil"/>
              <w:left w:val="nil"/>
              <w:bottom w:val="single" w:sz="4" w:space="0" w:color="ADD6EA"/>
              <w:right w:val="nil"/>
            </w:tcBorders>
            <w:shd w:val="clear" w:color="auto" w:fill="auto"/>
            <w:hideMark/>
          </w:tcPr>
          <w:p w14:paraId="0B57A5B9"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4180" w:type="dxa"/>
            <w:tcBorders>
              <w:top w:val="nil"/>
              <w:left w:val="nil"/>
              <w:bottom w:val="single" w:sz="4" w:space="0" w:color="ADD6EA"/>
              <w:right w:val="nil"/>
            </w:tcBorders>
            <w:shd w:val="clear" w:color="auto" w:fill="auto"/>
            <w:hideMark/>
          </w:tcPr>
          <w:p w14:paraId="3C7D51C5" w14:textId="1F92CD1F"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cost of providing regulatory services to the agricultural sector is determined by the level of economic activity </w:t>
            </w:r>
            <w:r w:rsidR="001F215D">
              <w:rPr>
                <w:rFonts w:eastAsia="Times New Roman" w:cs="Open Sans Light"/>
                <w:sz w:val="16"/>
                <w:szCs w:val="16"/>
                <w:lang w:eastAsia="en-AU"/>
              </w:rPr>
              <w:t xml:space="preserve">measured by the value of production </w:t>
            </w:r>
            <w:r w:rsidRPr="00082DE5">
              <w:rPr>
                <w:rFonts w:eastAsia="Times New Roman" w:cs="Open Sans Light"/>
                <w:sz w:val="16"/>
                <w:szCs w:val="16"/>
                <w:lang w:eastAsia="en-AU"/>
              </w:rPr>
              <w:t>in the sector</w:t>
            </w:r>
          </w:p>
        </w:tc>
      </w:tr>
      <w:tr w:rsidR="009878D7" w:rsidRPr="00082DE5" w14:paraId="3FE576FD" w14:textId="77777777" w:rsidTr="66396AB5">
        <w:trPr>
          <w:trHeight w:val="555"/>
        </w:trPr>
        <w:tc>
          <w:tcPr>
            <w:tcW w:w="1660" w:type="dxa"/>
            <w:tcBorders>
              <w:top w:val="nil"/>
              <w:left w:val="nil"/>
              <w:bottom w:val="nil"/>
              <w:right w:val="nil"/>
            </w:tcBorders>
            <w:shd w:val="clear" w:color="auto" w:fill="auto"/>
            <w:hideMark/>
          </w:tcPr>
          <w:p w14:paraId="354289A9"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p>
        </w:tc>
        <w:tc>
          <w:tcPr>
            <w:tcW w:w="1124" w:type="dxa"/>
            <w:tcBorders>
              <w:top w:val="nil"/>
              <w:left w:val="nil"/>
              <w:bottom w:val="nil"/>
              <w:right w:val="nil"/>
            </w:tcBorders>
            <w:shd w:val="clear" w:color="auto" w:fill="auto"/>
            <w:hideMark/>
          </w:tcPr>
          <w:p w14:paraId="54A7F7C7" w14:textId="77777777" w:rsidR="009878D7" w:rsidRPr="00082DE5" w:rsidRDefault="009878D7">
            <w:pPr>
              <w:keepNext/>
              <w:keepLines/>
              <w:tabs>
                <w:tab w:val="clear" w:pos="567"/>
              </w:tabs>
              <w:spacing w:before="0" w:line="240" w:lineRule="auto"/>
              <w:rPr>
                <w:rFonts w:ascii="Times New Roman" w:eastAsia="Times New Roman" w:hAnsi="Times New Roman" w:cs="Times New Roman"/>
                <w:szCs w:val="20"/>
                <w:lang w:eastAsia="en-AU"/>
              </w:rPr>
            </w:pPr>
          </w:p>
        </w:tc>
        <w:tc>
          <w:tcPr>
            <w:tcW w:w="258" w:type="dxa"/>
            <w:tcBorders>
              <w:top w:val="nil"/>
              <w:left w:val="nil"/>
              <w:bottom w:val="nil"/>
              <w:right w:val="nil"/>
            </w:tcBorders>
            <w:shd w:val="clear" w:color="auto" w:fill="auto"/>
            <w:hideMark/>
          </w:tcPr>
          <w:p w14:paraId="4AD96FE6" w14:textId="77777777" w:rsidR="009878D7" w:rsidRPr="00082DE5" w:rsidRDefault="009878D7">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880" w:type="dxa"/>
            <w:tcBorders>
              <w:top w:val="nil"/>
              <w:left w:val="nil"/>
              <w:bottom w:val="single" w:sz="4" w:space="0" w:color="ADD6EA"/>
              <w:right w:val="nil"/>
            </w:tcBorders>
            <w:shd w:val="clear" w:color="auto" w:fill="auto"/>
            <w:hideMark/>
          </w:tcPr>
          <w:p w14:paraId="12A6A5E5"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4180" w:type="dxa"/>
            <w:tcBorders>
              <w:top w:val="nil"/>
              <w:left w:val="nil"/>
              <w:bottom w:val="single" w:sz="4" w:space="0" w:color="ADD6EA"/>
              <w:right w:val="nil"/>
            </w:tcBorders>
            <w:shd w:val="clear" w:color="auto" w:fill="auto"/>
            <w:hideMark/>
          </w:tcPr>
          <w:p w14:paraId="1E3705C7" w14:textId="5D2DE41B"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B53CD9">
              <w:rPr>
                <w:rFonts w:eastAsia="Times New Roman" w:cs="Open Sans Light"/>
                <w:sz w:val="16"/>
                <w:szCs w:val="16"/>
                <w:lang w:eastAsia="en-AU"/>
              </w:rPr>
              <w:t>s</w:t>
            </w:r>
            <w:r w:rsidRPr="00082DE5">
              <w:rPr>
                <w:rFonts w:eastAsia="Times New Roman" w:cs="Open Sans Light"/>
                <w:sz w:val="16"/>
                <w:szCs w:val="16"/>
                <w:lang w:eastAsia="en-AU"/>
              </w:rPr>
              <w:t>tates</w:t>
            </w:r>
          </w:p>
        </w:tc>
      </w:tr>
      <w:tr w:rsidR="009878D7" w:rsidRPr="00082DE5" w14:paraId="0CEC53E7" w14:textId="77777777" w:rsidTr="66396AB5">
        <w:trPr>
          <w:trHeight w:val="555"/>
        </w:trPr>
        <w:tc>
          <w:tcPr>
            <w:tcW w:w="1660" w:type="dxa"/>
            <w:tcBorders>
              <w:top w:val="nil"/>
              <w:left w:val="nil"/>
              <w:bottom w:val="nil"/>
              <w:right w:val="nil"/>
            </w:tcBorders>
            <w:shd w:val="clear" w:color="auto" w:fill="auto"/>
            <w:hideMark/>
          </w:tcPr>
          <w:p w14:paraId="61129DA0"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p>
        </w:tc>
        <w:tc>
          <w:tcPr>
            <w:tcW w:w="1124" w:type="dxa"/>
            <w:tcBorders>
              <w:top w:val="nil"/>
              <w:left w:val="nil"/>
              <w:bottom w:val="nil"/>
              <w:right w:val="nil"/>
            </w:tcBorders>
            <w:shd w:val="clear" w:color="auto" w:fill="auto"/>
            <w:hideMark/>
          </w:tcPr>
          <w:p w14:paraId="2235FB89" w14:textId="77777777" w:rsidR="009878D7" w:rsidRPr="00082DE5" w:rsidRDefault="009878D7">
            <w:pPr>
              <w:keepNext/>
              <w:keepLines/>
              <w:tabs>
                <w:tab w:val="clear" w:pos="567"/>
              </w:tabs>
              <w:spacing w:before="0" w:line="240" w:lineRule="auto"/>
              <w:rPr>
                <w:rFonts w:ascii="Times New Roman" w:eastAsia="Times New Roman" w:hAnsi="Times New Roman" w:cs="Times New Roman"/>
                <w:szCs w:val="20"/>
                <w:lang w:eastAsia="en-AU"/>
              </w:rPr>
            </w:pPr>
          </w:p>
        </w:tc>
        <w:tc>
          <w:tcPr>
            <w:tcW w:w="258" w:type="dxa"/>
            <w:tcBorders>
              <w:top w:val="nil"/>
              <w:left w:val="nil"/>
              <w:bottom w:val="nil"/>
              <w:right w:val="nil"/>
            </w:tcBorders>
            <w:shd w:val="clear" w:color="auto" w:fill="auto"/>
            <w:hideMark/>
          </w:tcPr>
          <w:p w14:paraId="0BFF8CA4" w14:textId="77777777" w:rsidR="009878D7" w:rsidRPr="00082DE5" w:rsidRDefault="009878D7">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880" w:type="dxa"/>
            <w:tcBorders>
              <w:top w:val="nil"/>
              <w:left w:val="nil"/>
              <w:bottom w:val="single" w:sz="4" w:space="0" w:color="ADD6EA"/>
              <w:right w:val="nil"/>
            </w:tcBorders>
            <w:shd w:val="clear" w:color="auto" w:fill="auto"/>
            <w:hideMark/>
          </w:tcPr>
          <w:p w14:paraId="65C32932"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4180" w:type="dxa"/>
            <w:tcBorders>
              <w:top w:val="nil"/>
              <w:left w:val="nil"/>
              <w:bottom w:val="single" w:sz="4" w:space="0" w:color="ADD6EA"/>
              <w:right w:val="nil"/>
            </w:tcBorders>
            <w:shd w:val="clear" w:color="auto" w:fill="auto"/>
            <w:hideMark/>
          </w:tcPr>
          <w:p w14:paraId="0B105728"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r>
      <w:tr w:rsidR="009878D7" w:rsidRPr="00082DE5" w14:paraId="42FA1B99" w14:textId="77777777" w:rsidTr="66396AB5">
        <w:trPr>
          <w:trHeight w:val="645"/>
        </w:trPr>
        <w:tc>
          <w:tcPr>
            <w:tcW w:w="1660" w:type="dxa"/>
            <w:tcBorders>
              <w:top w:val="nil"/>
              <w:left w:val="nil"/>
              <w:bottom w:val="nil"/>
              <w:right w:val="nil"/>
            </w:tcBorders>
            <w:shd w:val="clear" w:color="auto" w:fill="auto"/>
            <w:hideMark/>
          </w:tcPr>
          <w:p w14:paraId="615B8B80" w14:textId="77777777" w:rsidR="009878D7" w:rsidRPr="00082DE5" w:rsidRDefault="009878D7">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Mining regulation</w:t>
            </w:r>
          </w:p>
        </w:tc>
        <w:tc>
          <w:tcPr>
            <w:tcW w:w="1124" w:type="dxa"/>
            <w:tcBorders>
              <w:top w:val="nil"/>
              <w:left w:val="nil"/>
              <w:bottom w:val="nil"/>
              <w:right w:val="nil"/>
            </w:tcBorders>
            <w:shd w:val="clear" w:color="auto" w:fill="auto"/>
            <w:hideMark/>
          </w:tcPr>
          <w:p w14:paraId="10038B63"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223 (1%)</w:t>
            </w:r>
          </w:p>
        </w:tc>
        <w:tc>
          <w:tcPr>
            <w:tcW w:w="258" w:type="dxa"/>
            <w:tcBorders>
              <w:top w:val="nil"/>
              <w:left w:val="nil"/>
              <w:bottom w:val="nil"/>
              <w:right w:val="nil"/>
            </w:tcBorders>
            <w:shd w:val="clear" w:color="auto" w:fill="auto"/>
            <w:hideMark/>
          </w:tcPr>
          <w:p w14:paraId="73071F4A"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p>
        </w:tc>
        <w:tc>
          <w:tcPr>
            <w:tcW w:w="1880" w:type="dxa"/>
            <w:tcBorders>
              <w:top w:val="nil"/>
              <w:left w:val="nil"/>
              <w:bottom w:val="single" w:sz="4" w:space="0" w:color="ADD6EA"/>
              <w:right w:val="nil"/>
            </w:tcBorders>
            <w:shd w:val="clear" w:color="auto" w:fill="auto"/>
            <w:hideMark/>
          </w:tcPr>
          <w:p w14:paraId="73486147"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4180" w:type="dxa"/>
            <w:tcBorders>
              <w:top w:val="nil"/>
              <w:left w:val="nil"/>
              <w:bottom w:val="single" w:sz="4" w:space="0" w:color="ADD6EA"/>
              <w:right w:val="nil"/>
            </w:tcBorders>
            <w:shd w:val="clear" w:color="auto" w:fill="auto"/>
            <w:hideMark/>
          </w:tcPr>
          <w:p w14:paraId="3AC8C353"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cost of providing regulatory services </w:t>
            </w:r>
            <w:r>
              <w:rPr>
                <w:rFonts w:eastAsia="Times New Roman" w:cs="Open Sans Light"/>
                <w:sz w:val="16"/>
                <w:szCs w:val="16"/>
                <w:lang w:eastAsia="en-AU"/>
              </w:rPr>
              <w:t xml:space="preserve">to the </w:t>
            </w:r>
            <w:r w:rsidRPr="00082DE5">
              <w:rPr>
                <w:rFonts w:eastAsia="Times New Roman" w:cs="Open Sans Light"/>
                <w:sz w:val="16"/>
                <w:szCs w:val="16"/>
                <w:lang w:eastAsia="en-AU"/>
              </w:rPr>
              <w:t>mining sector is determined by the level of economic activity in the sector</w:t>
            </w:r>
          </w:p>
        </w:tc>
      </w:tr>
      <w:tr w:rsidR="009878D7" w:rsidRPr="00082DE5" w14:paraId="5F2E95EE" w14:textId="77777777" w:rsidTr="66396AB5">
        <w:trPr>
          <w:trHeight w:val="555"/>
        </w:trPr>
        <w:tc>
          <w:tcPr>
            <w:tcW w:w="1660" w:type="dxa"/>
            <w:tcBorders>
              <w:top w:val="nil"/>
              <w:left w:val="nil"/>
              <w:bottom w:val="nil"/>
              <w:right w:val="nil"/>
            </w:tcBorders>
            <w:shd w:val="clear" w:color="auto" w:fill="auto"/>
            <w:hideMark/>
          </w:tcPr>
          <w:p w14:paraId="10018B43"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p>
        </w:tc>
        <w:tc>
          <w:tcPr>
            <w:tcW w:w="1124" w:type="dxa"/>
            <w:tcBorders>
              <w:top w:val="nil"/>
              <w:left w:val="nil"/>
              <w:bottom w:val="nil"/>
              <w:right w:val="nil"/>
            </w:tcBorders>
            <w:shd w:val="clear" w:color="auto" w:fill="auto"/>
            <w:hideMark/>
          </w:tcPr>
          <w:p w14:paraId="2648322D" w14:textId="77777777" w:rsidR="009878D7" w:rsidRPr="00082DE5" w:rsidRDefault="009878D7">
            <w:pPr>
              <w:keepNext/>
              <w:keepLines/>
              <w:tabs>
                <w:tab w:val="clear" w:pos="567"/>
              </w:tabs>
              <w:spacing w:before="0" w:line="240" w:lineRule="auto"/>
              <w:rPr>
                <w:rFonts w:ascii="Times New Roman" w:eastAsia="Times New Roman" w:hAnsi="Times New Roman" w:cs="Times New Roman"/>
                <w:szCs w:val="20"/>
                <w:lang w:eastAsia="en-AU"/>
              </w:rPr>
            </w:pPr>
          </w:p>
        </w:tc>
        <w:tc>
          <w:tcPr>
            <w:tcW w:w="258" w:type="dxa"/>
            <w:tcBorders>
              <w:top w:val="nil"/>
              <w:left w:val="nil"/>
              <w:bottom w:val="nil"/>
              <w:right w:val="nil"/>
            </w:tcBorders>
            <w:shd w:val="clear" w:color="auto" w:fill="auto"/>
            <w:hideMark/>
          </w:tcPr>
          <w:p w14:paraId="3AB9C1F6" w14:textId="77777777" w:rsidR="009878D7" w:rsidRPr="00082DE5" w:rsidRDefault="009878D7">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880" w:type="dxa"/>
            <w:tcBorders>
              <w:top w:val="nil"/>
              <w:left w:val="nil"/>
              <w:bottom w:val="single" w:sz="4" w:space="0" w:color="ADD6EA"/>
              <w:right w:val="nil"/>
            </w:tcBorders>
            <w:shd w:val="clear" w:color="auto" w:fill="auto"/>
            <w:hideMark/>
          </w:tcPr>
          <w:p w14:paraId="0352DD80"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4180" w:type="dxa"/>
            <w:tcBorders>
              <w:top w:val="nil"/>
              <w:left w:val="nil"/>
              <w:bottom w:val="single" w:sz="4" w:space="0" w:color="ADD6EA"/>
              <w:right w:val="nil"/>
            </w:tcBorders>
            <w:shd w:val="clear" w:color="auto" w:fill="auto"/>
            <w:hideMark/>
          </w:tcPr>
          <w:p w14:paraId="1D0836E4" w14:textId="1BED2116"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B53CD9">
              <w:rPr>
                <w:rFonts w:eastAsia="Times New Roman" w:cs="Open Sans Light"/>
                <w:sz w:val="16"/>
                <w:szCs w:val="16"/>
                <w:lang w:eastAsia="en-AU"/>
              </w:rPr>
              <w:t>s</w:t>
            </w:r>
            <w:r w:rsidRPr="00082DE5">
              <w:rPr>
                <w:rFonts w:eastAsia="Times New Roman" w:cs="Open Sans Light"/>
                <w:sz w:val="16"/>
                <w:szCs w:val="16"/>
                <w:lang w:eastAsia="en-AU"/>
              </w:rPr>
              <w:t>tates</w:t>
            </w:r>
          </w:p>
        </w:tc>
      </w:tr>
      <w:tr w:rsidR="009878D7" w:rsidRPr="00082DE5" w14:paraId="2783E6DB" w14:textId="77777777" w:rsidTr="66396AB5">
        <w:trPr>
          <w:trHeight w:val="418"/>
        </w:trPr>
        <w:tc>
          <w:tcPr>
            <w:tcW w:w="1660" w:type="dxa"/>
            <w:tcBorders>
              <w:top w:val="nil"/>
              <w:left w:val="nil"/>
              <w:bottom w:val="nil"/>
              <w:right w:val="nil"/>
            </w:tcBorders>
            <w:shd w:val="clear" w:color="auto" w:fill="auto"/>
            <w:hideMark/>
          </w:tcPr>
          <w:p w14:paraId="193AB8C9"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p>
        </w:tc>
        <w:tc>
          <w:tcPr>
            <w:tcW w:w="1124" w:type="dxa"/>
            <w:tcBorders>
              <w:top w:val="nil"/>
              <w:left w:val="nil"/>
              <w:bottom w:val="nil"/>
              <w:right w:val="nil"/>
            </w:tcBorders>
            <w:shd w:val="clear" w:color="auto" w:fill="auto"/>
            <w:hideMark/>
          </w:tcPr>
          <w:p w14:paraId="7CCFAB04" w14:textId="77777777" w:rsidR="009878D7" w:rsidRPr="00082DE5" w:rsidRDefault="009878D7">
            <w:pPr>
              <w:keepNext/>
              <w:keepLines/>
              <w:tabs>
                <w:tab w:val="clear" w:pos="567"/>
              </w:tabs>
              <w:spacing w:before="0" w:line="240" w:lineRule="auto"/>
              <w:rPr>
                <w:rFonts w:ascii="Times New Roman" w:eastAsia="Times New Roman" w:hAnsi="Times New Roman" w:cs="Times New Roman"/>
                <w:szCs w:val="20"/>
                <w:lang w:eastAsia="en-AU"/>
              </w:rPr>
            </w:pPr>
          </w:p>
        </w:tc>
        <w:tc>
          <w:tcPr>
            <w:tcW w:w="258" w:type="dxa"/>
            <w:tcBorders>
              <w:top w:val="nil"/>
              <w:left w:val="nil"/>
              <w:bottom w:val="nil"/>
              <w:right w:val="nil"/>
            </w:tcBorders>
            <w:shd w:val="clear" w:color="auto" w:fill="auto"/>
            <w:hideMark/>
          </w:tcPr>
          <w:p w14:paraId="45E0BAE7" w14:textId="77777777" w:rsidR="009878D7" w:rsidRPr="00082DE5" w:rsidRDefault="009878D7">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880" w:type="dxa"/>
            <w:tcBorders>
              <w:top w:val="nil"/>
              <w:left w:val="nil"/>
              <w:bottom w:val="single" w:sz="4" w:space="0" w:color="ADD6EA"/>
              <w:right w:val="nil"/>
            </w:tcBorders>
            <w:shd w:val="clear" w:color="auto" w:fill="auto"/>
            <w:hideMark/>
          </w:tcPr>
          <w:p w14:paraId="596F12E6"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4180" w:type="dxa"/>
            <w:tcBorders>
              <w:top w:val="nil"/>
              <w:left w:val="nil"/>
              <w:bottom w:val="single" w:sz="4" w:space="0" w:color="ADD6EA"/>
              <w:right w:val="nil"/>
            </w:tcBorders>
            <w:shd w:val="clear" w:color="auto" w:fill="auto"/>
            <w:hideMark/>
          </w:tcPr>
          <w:p w14:paraId="1534D960"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r>
      <w:tr w:rsidR="009878D7" w:rsidRPr="00082DE5" w14:paraId="5BD31AEA" w14:textId="77777777" w:rsidTr="66396AB5">
        <w:trPr>
          <w:trHeight w:val="630"/>
        </w:trPr>
        <w:tc>
          <w:tcPr>
            <w:tcW w:w="1660" w:type="dxa"/>
            <w:tcBorders>
              <w:top w:val="nil"/>
              <w:left w:val="nil"/>
              <w:bottom w:val="nil"/>
              <w:right w:val="nil"/>
            </w:tcBorders>
            <w:shd w:val="clear" w:color="auto" w:fill="auto"/>
            <w:hideMark/>
          </w:tcPr>
          <w:p w14:paraId="0A3C3521" w14:textId="4012151F" w:rsidR="009878D7" w:rsidRPr="00082DE5" w:rsidRDefault="009878D7">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 xml:space="preserve">Other </w:t>
            </w:r>
            <w:r w:rsidR="00057DF7">
              <w:rPr>
                <w:rFonts w:ascii="Open Sans Semibold" w:eastAsia="Times New Roman" w:hAnsi="Open Sans Semibold" w:cs="Open Sans Semibold"/>
                <w:sz w:val="16"/>
                <w:szCs w:val="16"/>
                <w:lang w:eastAsia="en-AU"/>
              </w:rPr>
              <w:t>i</w:t>
            </w:r>
            <w:r w:rsidRPr="00082DE5">
              <w:rPr>
                <w:rFonts w:ascii="Open Sans Semibold" w:eastAsia="Times New Roman" w:hAnsi="Open Sans Semibold" w:cs="Open Sans Semibold"/>
                <w:sz w:val="16"/>
                <w:szCs w:val="16"/>
                <w:lang w:eastAsia="en-AU"/>
              </w:rPr>
              <w:t>ndustries regulation</w:t>
            </w:r>
          </w:p>
        </w:tc>
        <w:tc>
          <w:tcPr>
            <w:tcW w:w="1124" w:type="dxa"/>
            <w:tcBorders>
              <w:top w:val="nil"/>
              <w:left w:val="nil"/>
              <w:bottom w:val="nil"/>
              <w:right w:val="nil"/>
            </w:tcBorders>
            <w:shd w:val="clear" w:color="auto" w:fill="auto"/>
            <w:hideMark/>
          </w:tcPr>
          <w:p w14:paraId="42CEF719"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13,693 (66%)</w:t>
            </w:r>
          </w:p>
        </w:tc>
        <w:tc>
          <w:tcPr>
            <w:tcW w:w="258" w:type="dxa"/>
            <w:tcBorders>
              <w:top w:val="nil"/>
              <w:left w:val="nil"/>
              <w:bottom w:val="nil"/>
              <w:right w:val="nil"/>
            </w:tcBorders>
            <w:shd w:val="clear" w:color="auto" w:fill="auto"/>
            <w:hideMark/>
          </w:tcPr>
          <w:p w14:paraId="18EA5832"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p>
        </w:tc>
        <w:tc>
          <w:tcPr>
            <w:tcW w:w="1880" w:type="dxa"/>
            <w:tcBorders>
              <w:top w:val="nil"/>
              <w:left w:val="nil"/>
              <w:bottom w:val="single" w:sz="4" w:space="0" w:color="ADD6EA"/>
              <w:right w:val="nil"/>
            </w:tcBorders>
            <w:shd w:val="clear" w:color="auto" w:fill="auto"/>
            <w:hideMark/>
          </w:tcPr>
          <w:p w14:paraId="71462F08"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4180" w:type="dxa"/>
            <w:tcBorders>
              <w:top w:val="nil"/>
              <w:left w:val="nil"/>
              <w:bottom w:val="single" w:sz="4" w:space="0" w:color="ADD6EA"/>
              <w:right w:val="nil"/>
            </w:tcBorders>
            <w:shd w:val="clear" w:color="auto" w:fill="auto"/>
            <w:hideMark/>
          </w:tcPr>
          <w:p w14:paraId="2C8740F1" w14:textId="07654DD0"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w:t>
            </w:r>
            <w:r w:rsidR="30BAF386" w:rsidRPr="3A89539E">
              <w:rPr>
                <w:rFonts w:eastAsia="Times New Roman" w:cs="Open Sans Light"/>
                <w:sz w:val="16"/>
                <w:szCs w:val="16"/>
                <w:lang w:eastAsia="en-AU"/>
              </w:rPr>
              <w:t>cost</w:t>
            </w:r>
            <w:r w:rsidRPr="3A89539E">
              <w:rPr>
                <w:rFonts w:eastAsia="Times New Roman" w:cs="Open Sans Light"/>
                <w:sz w:val="16"/>
                <w:szCs w:val="16"/>
                <w:lang w:eastAsia="en-AU"/>
              </w:rPr>
              <w:t xml:space="preserve"> </w:t>
            </w:r>
            <w:r w:rsidRPr="00082DE5">
              <w:rPr>
                <w:rFonts w:eastAsia="Times New Roman" w:cs="Open Sans Light"/>
                <w:sz w:val="16"/>
                <w:szCs w:val="16"/>
                <w:lang w:eastAsia="en-AU"/>
              </w:rPr>
              <w:t xml:space="preserve">of providing regulatory services </w:t>
            </w:r>
            <w:r>
              <w:rPr>
                <w:rFonts w:eastAsia="Times New Roman" w:cs="Open Sans Light"/>
                <w:sz w:val="16"/>
                <w:szCs w:val="16"/>
                <w:lang w:eastAsia="en-AU"/>
              </w:rPr>
              <w:t xml:space="preserve">to other industries </w:t>
            </w:r>
            <w:r w:rsidRPr="00082DE5">
              <w:rPr>
                <w:rFonts w:eastAsia="Times New Roman" w:cs="Open Sans Light"/>
                <w:sz w:val="16"/>
                <w:szCs w:val="16"/>
                <w:lang w:eastAsia="en-AU"/>
              </w:rPr>
              <w:t>is determined by the level of economic activity in the sector</w:t>
            </w:r>
          </w:p>
        </w:tc>
      </w:tr>
      <w:tr w:rsidR="00E541F3" w:rsidRPr="00082DE5" w14:paraId="102C85F5" w14:textId="77777777" w:rsidTr="66396AB5">
        <w:trPr>
          <w:trHeight w:val="675"/>
        </w:trPr>
        <w:tc>
          <w:tcPr>
            <w:tcW w:w="1660" w:type="dxa"/>
            <w:tcBorders>
              <w:top w:val="nil"/>
              <w:left w:val="nil"/>
              <w:bottom w:val="nil"/>
              <w:right w:val="nil"/>
            </w:tcBorders>
            <w:shd w:val="clear" w:color="auto" w:fill="auto"/>
          </w:tcPr>
          <w:p w14:paraId="5ADF28E0" w14:textId="77777777" w:rsidR="00E541F3" w:rsidRPr="00082DE5" w:rsidRDefault="00E541F3">
            <w:pPr>
              <w:keepNext/>
              <w:keepLines/>
              <w:tabs>
                <w:tab w:val="clear" w:pos="567"/>
              </w:tabs>
              <w:spacing w:before="0" w:line="240" w:lineRule="auto"/>
              <w:rPr>
                <w:rFonts w:ascii="Open Sans Semibold" w:eastAsia="Times New Roman" w:hAnsi="Open Sans Semibold" w:cs="Open Sans Semibold"/>
                <w:sz w:val="16"/>
                <w:szCs w:val="16"/>
                <w:lang w:eastAsia="en-AU"/>
              </w:rPr>
            </w:pPr>
          </w:p>
        </w:tc>
        <w:tc>
          <w:tcPr>
            <w:tcW w:w="1124" w:type="dxa"/>
            <w:tcBorders>
              <w:top w:val="nil"/>
              <w:left w:val="nil"/>
              <w:bottom w:val="nil"/>
              <w:right w:val="nil"/>
            </w:tcBorders>
            <w:shd w:val="clear" w:color="auto" w:fill="auto"/>
          </w:tcPr>
          <w:p w14:paraId="3E2FF829" w14:textId="77777777" w:rsidR="00E541F3" w:rsidRDefault="00E541F3">
            <w:pPr>
              <w:keepNext/>
              <w:keepLines/>
              <w:tabs>
                <w:tab w:val="clear" w:pos="567"/>
              </w:tabs>
              <w:spacing w:before="0" w:line="240" w:lineRule="auto"/>
              <w:jc w:val="right"/>
              <w:rPr>
                <w:rFonts w:eastAsia="Times New Roman" w:cs="Open Sans Light"/>
                <w:sz w:val="16"/>
                <w:szCs w:val="16"/>
                <w:lang w:eastAsia="en-AU"/>
              </w:rPr>
            </w:pPr>
          </w:p>
        </w:tc>
        <w:tc>
          <w:tcPr>
            <w:tcW w:w="258" w:type="dxa"/>
            <w:tcBorders>
              <w:top w:val="nil"/>
              <w:left w:val="nil"/>
              <w:bottom w:val="nil"/>
              <w:right w:val="nil"/>
            </w:tcBorders>
            <w:shd w:val="clear" w:color="auto" w:fill="auto"/>
          </w:tcPr>
          <w:p w14:paraId="51500E1E" w14:textId="77777777" w:rsidR="00E541F3" w:rsidRPr="00082DE5" w:rsidRDefault="00E541F3">
            <w:pPr>
              <w:keepNext/>
              <w:keepLines/>
              <w:tabs>
                <w:tab w:val="clear" w:pos="567"/>
              </w:tabs>
              <w:spacing w:before="0" w:line="240" w:lineRule="auto"/>
              <w:jc w:val="right"/>
              <w:rPr>
                <w:rFonts w:eastAsia="Times New Roman" w:cs="Open Sans Light"/>
                <w:sz w:val="16"/>
                <w:szCs w:val="16"/>
                <w:lang w:eastAsia="en-AU"/>
              </w:rPr>
            </w:pPr>
          </w:p>
        </w:tc>
        <w:tc>
          <w:tcPr>
            <w:tcW w:w="1880" w:type="dxa"/>
            <w:tcBorders>
              <w:top w:val="nil"/>
              <w:left w:val="nil"/>
              <w:bottom w:val="single" w:sz="4" w:space="0" w:color="ADD6EA"/>
              <w:right w:val="nil"/>
            </w:tcBorders>
            <w:shd w:val="clear" w:color="auto" w:fill="auto"/>
          </w:tcPr>
          <w:p w14:paraId="073A6AD8" w14:textId="6D707F80" w:rsidR="00E541F3" w:rsidRPr="00082DE5" w:rsidRDefault="007A552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Population</w:t>
            </w:r>
          </w:p>
        </w:tc>
        <w:tc>
          <w:tcPr>
            <w:tcW w:w="4180" w:type="dxa"/>
            <w:tcBorders>
              <w:top w:val="nil"/>
              <w:left w:val="nil"/>
              <w:bottom w:val="single" w:sz="4" w:space="0" w:color="ADD6EA"/>
              <w:right w:val="nil"/>
            </w:tcBorders>
            <w:shd w:val="clear" w:color="auto" w:fill="auto"/>
          </w:tcPr>
          <w:p w14:paraId="6721A10E" w14:textId="407E61DA" w:rsidR="00E541F3" w:rsidRPr="00082DE5" w:rsidRDefault="00E541F3" w:rsidP="00E541F3">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R</w:t>
            </w:r>
            <w:r w:rsidRPr="00E541F3">
              <w:rPr>
                <w:rFonts w:eastAsia="Times New Roman" w:cs="Open Sans Light"/>
                <w:sz w:val="16"/>
                <w:szCs w:val="16"/>
                <w:lang w:eastAsia="en-AU"/>
              </w:rPr>
              <w:t>ecognises that some regulatory</w:t>
            </w:r>
            <w:r>
              <w:rPr>
                <w:rFonts w:eastAsia="Times New Roman" w:cs="Open Sans Light"/>
                <w:sz w:val="16"/>
                <w:szCs w:val="16"/>
                <w:lang w:eastAsia="en-AU"/>
              </w:rPr>
              <w:t xml:space="preserve"> </w:t>
            </w:r>
            <w:r w:rsidRPr="00E541F3">
              <w:rPr>
                <w:rFonts w:eastAsia="Times New Roman" w:cs="Open Sans Light"/>
                <w:sz w:val="16"/>
                <w:szCs w:val="16"/>
                <w:lang w:eastAsia="en-AU"/>
              </w:rPr>
              <w:t xml:space="preserve">functions </w:t>
            </w:r>
            <w:r w:rsidR="004F3C63">
              <w:rPr>
                <w:rFonts w:eastAsia="Times New Roman" w:cs="Open Sans Light"/>
                <w:sz w:val="16"/>
                <w:szCs w:val="16"/>
                <w:lang w:eastAsia="en-AU"/>
              </w:rPr>
              <w:t xml:space="preserve">such as consumer protection services </w:t>
            </w:r>
            <w:r w:rsidRPr="00E541F3">
              <w:rPr>
                <w:rFonts w:eastAsia="Times New Roman" w:cs="Open Sans Light"/>
                <w:sz w:val="16"/>
                <w:szCs w:val="16"/>
                <w:lang w:eastAsia="en-AU"/>
              </w:rPr>
              <w:t>target the total population rather than businesses or industries</w:t>
            </w:r>
          </w:p>
        </w:tc>
      </w:tr>
      <w:tr w:rsidR="009878D7" w:rsidRPr="00082DE5" w14:paraId="049B7652" w14:textId="77777777" w:rsidTr="66396AB5">
        <w:trPr>
          <w:trHeight w:val="555"/>
        </w:trPr>
        <w:tc>
          <w:tcPr>
            <w:tcW w:w="1660" w:type="dxa"/>
            <w:tcBorders>
              <w:top w:val="nil"/>
              <w:left w:val="nil"/>
              <w:bottom w:val="nil"/>
              <w:right w:val="nil"/>
            </w:tcBorders>
            <w:shd w:val="clear" w:color="auto" w:fill="auto"/>
            <w:hideMark/>
          </w:tcPr>
          <w:p w14:paraId="4CBC7A25"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p>
        </w:tc>
        <w:tc>
          <w:tcPr>
            <w:tcW w:w="1124" w:type="dxa"/>
            <w:tcBorders>
              <w:top w:val="nil"/>
              <w:left w:val="nil"/>
              <w:bottom w:val="nil"/>
              <w:right w:val="nil"/>
            </w:tcBorders>
            <w:shd w:val="clear" w:color="auto" w:fill="auto"/>
            <w:hideMark/>
          </w:tcPr>
          <w:p w14:paraId="75A6AFEF" w14:textId="77777777" w:rsidR="009878D7" w:rsidRPr="00082DE5" w:rsidRDefault="009878D7">
            <w:pPr>
              <w:keepNext/>
              <w:keepLines/>
              <w:tabs>
                <w:tab w:val="clear" w:pos="567"/>
              </w:tabs>
              <w:spacing w:before="0" w:line="240" w:lineRule="auto"/>
              <w:rPr>
                <w:rFonts w:ascii="Times New Roman" w:eastAsia="Times New Roman" w:hAnsi="Times New Roman" w:cs="Times New Roman"/>
                <w:szCs w:val="20"/>
                <w:lang w:eastAsia="en-AU"/>
              </w:rPr>
            </w:pPr>
          </w:p>
        </w:tc>
        <w:tc>
          <w:tcPr>
            <w:tcW w:w="258" w:type="dxa"/>
            <w:tcBorders>
              <w:top w:val="nil"/>
              <w:left w:val="nil"/>
              <w:bottom w:val="nil"/>
              <w:right w:val="nil"/>
            </w:tcBorders>
            <w:shd w:val="clear" w:color="auto" w:fill="auto"/>
            <w:hideMark/>
          </w:tcPr>
          <w:p w14:paraId="16B86381" w14:textId="77777777" w:rsidR="009878D7" w:rsidRPr="00082DE5" w:rsidRDefault="009878D7">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880" w:type="dxa"/>
            <w:tcBorders>
              <w:top w:val="nil"/>
              <w:left w:val="nil"/>
              <w:bottom w:val="single" w:sz="4" w:space="0" w:color="ADD6EA"/>
              <w:right w:val="nil"/>
            </w:tcBorders>
            <w:shd w:val="clear" w:color="auto" w:fill="auto"/>
            <w:hideMark/>
          </w:tcPr>
          <w:p w14:paraId="3ACE131F"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4180" w:type="dxa"/>
            <w:tcBorders>
              <w:top w:val="nil"/>
              <w:left w:val="nil"/>
              <w:bottom w:val="single" w:sz="4" w:space="0" w:color="ADD6EA"/>
              <w:right w:val="nil"/>
            </w:tcBorders>
            <w:shd w:val="clear" w:color="auto" w:fill="auto"/>
            <w:hideMark/>
          </w:tcPr>
          <w:p w14:paraId="0EC05C23" w14:textId="70485740"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B53CD9">
              <w:rPr>
                <w:rFonts w:eastAsia="Times New Roman" w:cs="Open Sans Light"/>
                <w:sz w:val="16"/>
                <w:szCs w:val="16"/>
                <w:lang w:eastAsia="en-AU"/>
              </w:rPr>
              <w:t>s</w:t>
            </w:r>
            <w:r w:rsidRPr="00082DE5">
              <w:rPr>
                <w:rFonts w:eastAsia="Times New Roman" w:cs="Open Sans Light"/>
                <w:sz w:val="16"/>
                <w:szCs w:val="16"/>
                <w:lang w:eastAsia="en-AU"/>
              </w:rPr>
              <w:t>tates</w:t>
            </w:r>
          </w:p>
        </w:tc>
      </w:tr>
      <w:tr w:rsidR="009878D7" w:rsidRPr="00082DE5" w14:paraId="2715BCC5" w14:textId="77777777" w:rsidTr="66396AB5">
        <w:trPr>
          <w:trHeight w:val="555"/>
        </w:trPr>
        <w:tc>
          <w:tcPr>
            <w:tcW w:w="1660" w:type="dxa"/>
            <w:tcBorders>
              <w:top w:val="nil"/>
              <w:left w:val="nil"/>
              <w:bottom w:val="nil"/>
              <w:right w:val="nil"/>
            </w:tcBorders>
            <w:shd w:val="clear" w:color="auto" w:fill="auto"/>
            <w:hideMark/>
          </w:tcPr>
          <w:p w14:paraId="5B16E5D4"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p>
        </w:tc>
        <w:tc>
          <w:tcPr>
            <w:tcW w:w="1124" w:type="dxa"/>
            <w:tcBorders>
              <w:top w:val="nil"/>
              <w:left w:val="nil"/>
              <w:bottom w:val="nil"/>
              <w:right w:val="nil"/>
            </w:tcBorders>
            <w:shd w:val="clear" w:color="auto" w:fill="auto"/>
            <w:hideMark/>
          </w:tcPr>
          <w:p w14:paraId="187BDF25" w14:textId="77777777" w:rsidR="009878D7" w:rsidRPr="00082DE5" w:rsidRDefault="009878D7">
            <w:pPr>
              <w:keepNext/>
              <w:keepLines/>
              <w:tabs>
                <w:tab w:val="clear" w:pos="567"/>
              </w:tabs>
              <w:spacing w:before="0" w:line="240" w:lineRule="auto"/>
              <w:rPr>
                <w:rFonts w:ascii="Times New Roman" w:eastAsia="Times New Roman" w:hAnsi="Times New Roman" w:cs="Times New Roman"/>
                <w:szCs w:val="20"/>
                <w:lang w:eastAsia="en-AU"/>
              </w:rPr>
            </w:pPr>
          </w:p>
        </w:tc>
        <w:tc>
          <w:tcPr>
            <w:tcW w:w="258" w:type="dxa"/>
            <w:tcBorders>
              <w:top w:val="nil"/>
              <w:left w:val="nil"/>
              <w:bottom w:val="nil"/>
              <w:right w:val="nil"/>
            </w:tcBorders>
            <w:shd w:val="clear" w:color="auto" w:fill="auto"/>
            <w:hideMark/>
          </w:tcPr>
          <w:p w14:paraId="632C3BD9" w14:textId="77777777" w:rsidR="009878D7" w:rsidRPr="00082DE5" w:rsidRDefault="009878D7">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880" w:type="dxa"/>
            <w:tcBorders>
              <w:top w:val="nil"/>
              <w:left w:val="nil"/>
              <w:bottom w:val="single" w:sz="4" w:space="0" w:color="ADD6EA"/>
              <w:right w:val="nil"/>
            </w:tcBorders>
            <w:shd w:val="clear" w:color="auto" w:fill="auto"/>
            <w:hideMark/>
          </w:tcPr>
          <w:p w14:paraId="3300D085"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4180" w:type="dxa"/>
            <w:tcBorders>
              <w:top w:val="nil"/>
              <w:left w:val="nil"/>
              <w:bottom w:val="single" w:sz="4" w:space="0" w:color="ADD6EA"/>
              <w:right w:val="nil"/>
            </w:tcBorders>
            <w:shd w:val="clear" w:color="auto" w:fill="auto"/>
            <w:hideMark/>
          </w:tcPr>
          <w:p w14:paraId="414C4C3E"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r>
      <w:tr w:rsidR="009878D7" w:rsidRPr="00082DE5" w14:paraId="21AB5A11" w14:textId="77777777" w:rsidTr="66396AB5">
        <w:trPr>
          <w:trHeight w:val="555"/>
        </w:trPr>
        <w:tc>
          <w:tcPr>
            <w:tcW w:w="1660" w:type="dxa"/>
            <w:tcBorders>
              <w:top w:val="nil"/>
              <w:left w:val="nil"/>
              <w:bottom w:val="nil"/>
              <w:right w:val="nil"/>
            </w:tcBorders>
            <w:shd w:val="clear" w:color="auto" w:fill="auto"/>
            <w:hideMark/>
          </w:tcPr>
          <w:p w14:paraId="07F787AB" w14:textId="77777777" w:rsidR="009878D7" w:rsidRPr="00082DE5" w:rsidRDefault="009878D7">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Business development</w:t>
            </w:r>
          </w:p>
        </w:tc>
        <w:tc>
          <w:tcPr>
            <w:tcW w:w="1124" w:type="dxa"/>
            <w:tcBorders>
              <w:top w:val="nil"/>
              <w:left w:val="nil"/>
              <w:bottom w:val="nil"/>
              <w:right w:val="nil"/>
            </w:tcBorders>
            <w:shd w:val="clear" w:color="auto" w:fill="auto"/>
            <w:hideMark/>
          </w:tcPr>
          <w:p w14:paraId="3E1C6424"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5,994 (29%)</w:t>
            </w:r>
          </w:p>
        </w:tc>
        <w:tc>
          <w:tcPr>
            <w:tcW w:w="258" w:type="dxa"/>
            <w:tcBorders>
              <w:top w:val="nil"/>
              <w:left w:val="nil"/>
              <w:bottom w:val="nil"/>
              <w:right w:val="nil"/>
            </w:tcBorders>
            <w:shd w:val="clear" w:color="auto" w:fill="auto"/>
            <w:hideMark/>
          </w:tcPr>
          <w:p w14:paraId="623A9BAF" w14:textId="77777777" w:rsidR="009878D7" w:rsidRPr="00082DE5" w:rsidRDefault="009878D7">
            <w:pPr>
              <w:keepNext/>
              <w:keepLines/>
              <w:tabs>
                <w:tab w:val="clear" w:pos="567"/>
              </w:tabs>
              <w:spacing w:before="0" w:line="240" w:lineRule="auto"/>
              <w:jc w:val="right"/>
              <w:rPr>
                <w:rFonts w:eastAsia="Times New Roman" w:cs="Open Sans Light"/>
                <w:sz w:val="16"/>
                <w:szCs w:val="16"/>
                <w:lang w:eastAsia="en-AU"/>
              </w:rPr>
            </w:pPr>
          </w:p>
        </w:tc>
        <w:tc>
          <w:tcPr>
            <w:tcW w:w="1880" w:type="dxa"/>
            <w:tcBorders>
              <w:top w:val="nil"/>
              <w:left w:val="nil"/>
              <w:bottom w:val="single" w:sz="4" w:space="0" w:color="ADD6EA"/>
              <w:right w:val="nil"/>
            </w:tcBorders>
            <w:shd w:val="clear" w:color="auto" w:fill="auto"/>
            <w:hideMark/>
          </w:tcPr>
          <w:p w14:paraId="7D7363E9"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EPC</w:t>
            </w:r>
          </w:p>
        </w:tc>
        <w:tc>
          <w:tcPr>
            <w:tcW w:w="4180" w:type="dxa"/>
            <w:tcBorders>
              <w:top w:val="nil"/>
              <w:left w:val="nil"/>
              <w:bottom w:val="single" w:sz="4" w:space="0" w:color="ADD6EA"/>
              <w:right w:val="nil"/>
            </w:tcBorders>
            <w:shd w:val="clear" w:color="auto" w:fill="auto"/>
            <w:hideMark/>
          </w:tcPr>
          <w:p w14:paraId="4ECCCB98"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This is an equal per capita (EPC) assessment. </w:t>
            </w:r>
            <w:r>
              <w:rPr>
                <w:rFonts w:eastAsia="Times New Roman" w:cs="Open Sans Light"/>
                <w:sz w:val="16"/>
                <w:szCs w:val="16"/>
                <w:lang w:eastAsia="en-AU"/>
              </w:rPr>
              <w:t>Recognises the</w:t>
            </w:r>
            <w:r w:rsidRPr="00082DE5">
              <w:rPr>
                <w:rFonts w:eastAsia="Times New Roman" w:cs="Open Sans Light"/>
                <w:sz w:val="16"/>
                <w:szCs w:val="16"/>
                <w:lang w:eastAsia="en-AU"/>
              </w:rPr>
              <w:t xml:space="preserve"> driver of these expenses is </w:t>
            </w:r>
            <w:r>
              <w:rPr>
                <w:rFonts w:eastAsia="Times New Roman" w:cs="Open Sans Light"/>
                <w:sz w:val="16"/>
                <w:szCs w:val="16"/>
                <w:lang w:eastAsia="en-AU"/>
              </w:rPr>
              <w:t>s</w:t>
            </w:r>
            <w:r w:rsidRPr="00082DE5">
              <w:rPr>
                <w:rFonts w:eastAsia="Times New Roman" w:cs="Open Sans Light"/>
                <w:sz w:val="16"/>
                <w:szCs w:val="16"/>
                <w:lang w:eastAsia="en-AU"/>
              </w:rPr>
              <w:t>tate population</w:t>
            </w:r>
            <w:r>
              <w:rPr>
                <w:rFonts w:eastAsia="Times New Roman" w:cs="Open Sans Light"/>
                <w:sz w:val="16"/>
                <w:szCs w:val="16"/>
                <w:lang w:eastAsia="en-AU"/>
              </w:rPr>
              <w:t>.</w:t>
            </w:r>
          </w:p>
        </w:tc>
      </w:tr>
      <w:tr w:rsidR="009878D7" w:rsidRPr="00082DE5" w14:paraId="18EA8D82" w14:textId="77777777" w:rsidTr="66396AB5">
        <w:trPr>
          <w:trHeight w:val="405"/>
        </w:trPr>
        <w:tc>
          <w:tcPr>
            <w:tcW w:w="1660" w:type="dxa"/>
            <w:tcBorders>
              <w:top w:val="nil"/>
              <w:left w:val="nil"/>
              <w:bottom w:val="single" w:sz="4" w:space="0" w:color="ADD6EA"/>
              <w:right w:val="nil"/>
            </w:tcBorders>
            <w:shd w:val="clear" w:color="auto" w:fill="auto"/>
            <w:hideMark/>
          </w:tcPr>
          <w:p w14:paraId="45AAFB78"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w:t>
            </w:r>
          </w:p>
        </w:tc>
        <w:tc>
          <w:tcPr>
            <w:tcW w:w="1124" w:type="dxa"/>
            <w:tcBorders>
              <w:top w:val="nil"/>
              <w:left w:val="nil"/>
              <w:bottom w:val="single" w:sz="4" w:space="0" w:color="ADD6EA"/>
              <w:right w:val="nil"/>
            </w:tcBorders>
            <w:shd w:val="clear" w:color="auto" w:fill="auto"/>
            <w:hideMark/>
          </w:tcPr>
          <w:p w14:paraId="4B7DF466"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w:t>
            </w:r>
          </w:p>
        </w:tc>
        <w:tc>
          <w:tcPr>
            <w:tcW w:w="258" w:type="dxa"/>
            <w:tcBorders>
              <w:top w:val="nil"/>
              <w:left w:val="nil"/>
              <w:bottom w:val="single" w:sz="4" w:space="0" w:color="ADD6EA"/>
              <w:right w:val="nil"/>
            </w:tcBorders>
            <w:shd w:val="clear" w:color="auto" w:fill="auto"/>
            <w:hideMark/>
          </w:tcPr>
          <w:p w14:paraId="3A15C3AC"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w:t>
            </w:r>
          </w:p>
        </w:tc>
        <w:tc>
          <w:tcPr>
            <w:tcW w:w="1880" w:type="dxa"/>
            <w:tcBorders>
              <w:top w:val="nil"/>
              <w:left w:val="nil"/>
              <w:bottom w:val="single" w:sz="4" w:space="0" w:color="ADD6EA"/>
              <w:right w:val="nil"/>
            </w:tcBorders>
            <w:shd w:val="clear" w:color="auto" w:fill="auto"/>
            <w:hideMark/>
          </w:tcPr>
          <w:p w14:paraId="7000766C"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4180" w:type="dxa"/>
            <w:tcBorders>
              <w:top w:val="nil"/>
              <w:left w:val="nil"/>
              <w:bottom w:val="single" w:sz="4" w:space="0" w:color="ADD6EA"/>
              <w:right w:val="nil"/>
            </w:tcBorders>
            <w:shd w:val="clear" w:color="auto" w:fill="auto"/>
            <w:hideMark/>
          </w:tcPr>
          <w:p w14:paraId="5CCBFE60" w14:textId="77777777" w:rsidR="009878D7" w:rsidRPr="00082DE5" w:rsidRDefault="009878D7">
            <w:pPr>
              <w:keepNext/>
              <w:keepLines/>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Pr>
                <w:rFonts w:eastAsia="Times New Roman" w:cs="Open Sans Light"/>
                <w:sz w:val="16"/>
                <w:szCs w:val="16"/>
                <w:lang w:eastAsia="en-AU"/>
              </w:rPr>
              <w:t>s</w:t>
            </w:r>
            <w:r w:rsidRPr="00082DE5">
              <w:rPr>
                <w:rFonts w:eastAsia="Times New Roman" w:cs="Open Sans Light"/>
                <w:sz w:val="16"/>
                <w:szCs w:val="16"/>
                <w:lang w:eastAsia="en-AU"/>
              </w:rPr>
              <w:t>tates</w:t>
            </w:r>
          </w:p>
        </w:tc>
      </w:tr>
    </w:tbl>
    <w:p w14:paraId="79436587" w14:textId="77777777" w:rsidR="009878D7" w:rsidRDefault="009878D7" w:rsidP="00225B8E">
      <w:pPr>
        <w:pStyle w:val="CGC2025TableNote"/>
      </w:pPr>
      <w:r>
        <w:t xml:space="preserve">Source: Commission calculation, 2023 Update. </w:t>
      </w:r>
    </w:p>
    <w:p w14:paraId="299AD9D1" w14:textId="77777777" w:rsidR="009878D7" w:rsidRPr="00FA5E33" w:rsidRDefault="009878D7" w:rsidP="009878D7">
      <w:pPr>
        <w:pStyle w:val="Heading3"/>
      </w:pPr>
      <w:bookmarkStart w:id="22" w:name="_Toc121741485"/>
      <w:bookmarkStart w:id="23" w:name="_Toc147410867"/>
      <w:r>
        <w:t>GST distribution</w:t>
      </w:r>
      <w:bookmarkEnd w:id="22"/>
      <w:r>
        <w:t xml:space="preserve"> in the 2023 Update</w:t>
      </w:r>
      <w:bookmarkEnd w:id="23"/>
    </w:p>
    <w:p w14:paraId="07C49556" w14:textId="61BF166F" w:rsidR="00530D5C" w:rsidRDefault="009878D7" w:rsidP="00530D5C">
      <w:pPr>
        <w:pStyle w:val="CGC2025ParaNumbers"/>
        <w:numPr>
          <w:ilvl w:val="0"/>
          <w:numId w:val="7"/>
        </w:numPr>
        <w:ind w:left="567" w:hanging="567"/>
      </w:pPr>
      <w:r>
        <w:fldChar w:fldCharType="begin"/>
      </w:r>
      <w:r>
        <w:instrText xml:space="preserve"> REF _Ref113608127 \h  \* MERGEFORMAT </w:instrText>
      </w:r>
      <w:r>
        <w:fldChar w:fldCharType="separate"/>
      </w:r>
      <w:r w:rsidR="007567E1" w:rsidRPr="00F556E3">
        <w:t xml:space="preserve">Table </w:t>
      </w:r>
      <w:r w:rsidR="007567E1">
        <w:t>5</w:t>
      </w:r>
      <w:r>
        <w:fldChar w:fldCharType="end"/>
      </w:r>
      <w:r>
        <w:t xml:space="preserve"> shows the GST impact of the services to industry assessment</w:t>
      </w:r>
      <w:r w:rsidR="0029017D">
        <w:t xml:space="preserve"> compared to an equal per capita distribution</w:t>
      </w:r>
      <w:r>
        <w:t>. The category distributed $695 million ($26 per</w:t>
      </w:r>
      <w:r w:rsidR="002F554A">
        <w:t> </w:t>
      </w:r>
      <w:r>
        <w:t>capita)</w:t>
      </w:r>
      <w:r w:rsidR="43B8F3D9">
        <w:t xml:space="preserve"> away from an equal per capita distribution</w:t>
      </w:r>
      <w:r>
        <w:t xml:space="preserve"> in the 2023 Update. Western Australia received </w:t>
      </w:r>
      <w:r w:rsidR="00B77357">
        <w:t>over 40%</w:t>
      </w:r>
      <w:r>
        <w:t xml:space="preserve"> of the GST revenue distributed by the services to industry assessment.</w:t>
      </w:r>
      <w:r w:rsidR="00530D5C">
        <w:t xml:space="preserve"> </w:t>
      </w:r>
    </w:p>
    <w:p w14:paraId="2F51279D" w14:textId="5282FF75" w:rsidR="00A74BC4" w:rsidRPr="00A74BC4" w:rsidRDefault="00530D5C" w:rsidP="00530D5C">
      <w:pPr>
        <w:pStyle w:val="CGC2025ParaNumbers"/>
        <w:numPr>
          <w:ilvl w:val="0"/>
          <w:numId w:val="7"/>
        </w:numPr>
        <w:ind w:left="567" w:hanging="567"/>
      </w:pPr>
      <w:r>
        <w:lastRenderedPageBreak/>
        <w:t xml:space="preserve">Further detail on service provision arrangements, the range of services included within this category and the underlying conceptual cases for the assessment methods are explained in volume 2, chapter 22, </w:t>
      </w:r>
      <w:hyperlink r:id="rId19">
        <w:r w:rsidRPr="00592FC4">
          <w:rPr>
            <w:rStyle w:val="Hyperlink"/>
            <w:iCs/>
            <w:color w:val="548DD4" w:themeColor="text2" w:themeTint="99"/>
          </w:rPr>
          <w:t>Report on GST Revenue Sharing Relativities, 2020 Review</w:t>
        </w:r>
        <w:r w:rsidRPr="7486A27A">
          <w:rPr>
            <w:rStyle w:val="Hyperlink"/>
            <w:color w:val="auto"/>
            <w:u w:val="none"/>
          </w:rPr>
          <w:t>.</w:t>
        </w:r>
      </w:hyperlink>
    </w:p>
    <w:p w14:paraId="673CAC1B" w14:textId="218863F0" w:rsidR="009878D7" w:rsidRPr="00F556E3" w:rsidRDefault="009878D7" w:rsidP="009878D7">
      <w:pPr>
        <w:pStyle w:val="Caption"/>
        <w:rPr>
          <w:rFonts w:ascii="Work Sans" w:hAnsi="Work Sans"/>
          <w:noProof/>
        </w:rPr>
      </w:pPr>
      <w:bookmarkStart w:id="24" w:name="_Ref113608127"/>
      <w:r w:rsidRPr="00F556E3">
        <w:rPr>
          <w:rFonts w:ascii="Work Sans" w:hAnsi="Work Sans"/>
          <w:noProof/>
        </w:rPr>
        <w:t xml:space="preserve">Table </w:t>
      </w:r>
      <w:r w:rsidRPr="00F556E3">
        <w:rPr>
          <w:rFonts w:ascii="Work Sans" w:hAnsi="Work Sans"/>
          <w:noProof/>
        </w:rPr>
        <w:fldChar w:fldCharType="begin"/>
      </w:r>
      <w:r w:rsidRPr="00F556E3">
        <w:rPr>
          <w:rFonts w:ascii="Work Sans" w:hAnsi="Work Sans"/>
          <w:noProof/>
        </w:rPr>
        <w:instrText xml:space="preserve"> SEQ Table \* ARABIC </w:instrText>
      </w:r>
      <w:r w:rsidRPr="00F556E3">
        <w:rPr>
          <w:rFonts w:ascii="Work Sans" w:hAnsi="Work Sans"/>
          <w:noProof/>
        </w:rPr>
        <w:fldChar w:fldCharType="separate"/>
      </w:r>
      <w:r w:rsidR="007567E1">
        <w:rPr>
          <w:rFonts w:ascii="Work Sans" w:hAnsi="Work Sans"/>
          <w:noProof/>
        </w:rPr>
        <w:t>5</w:t>
      </w:r>
      <w:r w:rsidRPr="00F556E3">
        <w:rPr>
          <w:rFonts w:ascii="Work Sans" w:hAnsi="Work Sans"/>
          <w:noProof/>
        </w:rPr>
        <w:fldChar w:fldCharType="end"/>
      </w:r>
      <w:bookmarkEnd w:id="24"/>
      <w:r w:rsidRPr="00F556E3">
        <w:rPr>
          <w:rFonts w:ascii="Work Sans" w:hAnsi="Work Sans"/>
          <w:noProof/>
        </w:rPr>
        <w:t xml:space="preserve"> </w:t>
      </w:r>
      <w:r w:rsidRPr="00F556E3">
        <w:rPr>
          <w:rFonts w:ascii="Work Sans" w:hAnsi="Work Sans"/>
          <w:noProof/>
        </w:rPr>
        <w:tab/>
        <w:t xml:space="preserve">GST impact of the services to </w:t>
      </w:r>
      <w:r w:rsidR="00D03E5A">
        <w:rPr>
          <w:rFonts w:ascii="Work Sans" w:hAnsi="Work Sans"/>
          <w:noProof/>
        </w:rPr>
        <w:t>i</w:t>
      </w:r>
      <w:r w:rsidRPr="00F556E3">
        <w:rPr>
          <w:rFonts w:ascii="Work Sans" w:hAnsi="Work Sans"/>
          <w:noProof/>
        </w:rPr>
        <w:t>ndustry assessment</w:t>
      </w:r>
      <w:r w:rsidR="008E1E3A">
        <w:rPr>
          <w:rFonts w:ascii="Work Sans" w:hAnsi="Work Sans"/>
          <w:noProof/>
        </w:rPr>
        <w:t>,</w:t>
      </w:r>
      <w:r w:rsidRPr="00F556E3">
        <w:rPr>
          <w:rFonts w:ascii="Work Sans" w:hAnsi="Work Sans"/>
          <w:noProof/>
        </w:rPr>
        <w:t xml:space="preserve"> 2023</w:t>
      </w:r>
      <w:r w:rsidRPr="00F556E3" w:rsidDel="00177706">
        <w:rPr>
          <w:rFonts w:ascii="Work Sans" w:hAnsi="Work Sans"/>
          <w:noProof/>
        </w:rPr>
        <w:t>–24</w:t>
      </w:r>
    </w:p>
    <w:tbl>
      <w:tblPr>
        <w:tblW w:w="8840" w:type="dxa"/>
        <w:tblLook w:val="04A0" w:firstRow="1" w:lastRow="0" w:firstColumn="1" w:lastColumn="0" w:noHBand="0" w:noVBand="1"/>
      </w:tblPr>
      <w:tblGrid>
        <w:gridCol w:w="2617"/>
        <w:gridCol w:w="680"/>
        <w:gridCol w:w="760"/>
        <w:gridCol w:w="585"/>
        <w:gridCol w:w="575"/>
        <w:gridCol w:w="580"/>
        <w:gridCol w:w="580"/>
        <w:gridCol w:w="640"/>
        <w:gridCol w:w="700"/>
        <w:gridCol w:w="1123"/>
      </w:tblGrid>
      <w:tr w:rsidR="009878D7" w:rsidRPr="00FA590A" w14:paraId="63BB049B" w14:textId="77777777" w:rsidTr="00A74BC4">
        <w:trPr>
          <w:trHeight w:val="488"/>
        </w:trPr>
        <w:tc>
          <w:tcPr>
            <w:tcW w:w="2617" w:type="dxa"/>
            <w:tcBorders>
              <w:top w:val="nil"/>
              <w:left w:val="nil"/>
              <w:bottom w:val="nil"/>
              <w:right w:val="nil"/>
            </w:tcBorders>
            <w:shd w:val="clear" w:color="auto" w:fill="006991"/>
            <w:vAlign w:val="bottom"/>
            <w:hideMark/>
          </w:tcPr>
          <w:p w14:paraId="1DA368D8" w14:textId="77777777" w:rsidR="009878D7" w:rsidRPr="00FA590A" w:rsidRDefault="009878D7" w:rsidP="00887EC2">
            <w:pPr>
              <w:keepNext/>
              <w:tabs>
                <w:tab w:val="clear" w:pos="567"/>
              </w:tabs>
              <w:spacing w:before="0" w:line="240" w:lineRule="auto"/>
              <w:rPr>
                <w:rFonts w:ascii="Open Sans Semibold" w:eastAsia="Times New Roman" w:hAnsi="Open Sans Semibold" w:cs="Open Sans Semibold"/>
                <w:color w:val="FFFFFF"/>
                <w:sz w:val="16"/>
                <w:szCs w:val="16"/>
                <w:lang w:eastAsia="en-AU"/>
              </w:rPr>
            </w:pPr>
            <w:bookmarkStart w:id="25" w:name="RANGE!A3:J11"/>
            <w:r w:rsidRPr="00FA590A">
              <w:rPr>
                <w:rFonts w:ascii="Open Sans Semibold" w:eastAsia="Times New Roman" w:hAnsi="Open Sans Semibold" w:cs="Open Sans Semibold"/>
                <w:color w:val="FFFFFF"/>
                <w:sz w:val="16"/>
                <w:szCs w:val="16"/>
                <w:lang w:eastAsia="en-AU"/>
              </w:rPr>
              <w:t> </w:t>
            </w:r>
            <w:bookmarkEnd w:id="25"/>
          </w:p>
        </w:tc>
        <w:tc>
          <w:tcPr>
            <w:tcW w:w="680" w:type="dxa"/>
            <w:tcBorders>
              <w:top w:val="nil"/>
              <w:left w:val="nil"/>
              <w:bottom w:val="nil"/>
              <w:right w:val="nil"/>
            </w:tcBorders>
            <w:shd w:val="clear" w:color="auto" w:fill="006991"/>
            <w:vAlign w:val="center"/>
            <w:hideMark/>
          </w:tcPr>
          <w:p w14:paraId="20F9E290"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NSW</w:t>
            </w:r>
          </w:p>
        </w:tc>
        <w:tc>
          <w:tcPr>
            <w:tcW w:w="760" w:type="dxa"/>
            <w:tcBorders>
              <w:top w:val="nil"/>
              <w:left w:val="nil"/>
              <w:bottom w:val="nil"/>
              <w:right w:val="nil"/>
            </w:tcBorders>
            <w:shd w:val="clear" w:color="auto" w:fill="006991"/>
            <w:vAlign w:val="center"/>
            <w:hideMark/>
          </w:tcPr>
          <w:p w14:paraId="2D757BB7"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Vic</w:t>
            </w:r>
          </w:p>
        </w:tc>
        <w:tc>
          <w:tcPr>
            <w:tcW w:w="585" w:type="dxa"/>
            <w:tcBorders>
              <w:top w:val="nil"/>
              <w:left w:val="nil"/>
              <w:bottom w:val="nil"/>
              <w:right w:val="nil"/>
            </w:tcBorders>
            <w:shd w:val="clear" w:color="auto" w:fill="006991"/>
            <w:vAlign w:val="center"/>
            <w:hideMark/>
          </w:tcPr>
          <w:p w14:paraId="0F17E750"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Qld</w:t>
            </w:r>
          </w:p>
        </w:tc>
        <w:tc>
          <w:tcPr>
            <w:tcW w:w="575" w:type="dxa"/>
            <w:tcBorders>
              <w:top w:val="nil"/>
              <w:left w:val="nil"/>
              <w:bottom w:val="nil"/>
              <w:right w:val="nil"/>
            </w:tcBorders>
            <w:shd w:val="clear" w:color="auto" w:fill="006991"/>
            <w:vAlign w:val="center"/>
            <w:hideMark/>
          </w:tcPr>
          <w:p w14:paraId="231194A6"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WA</w:t>
            </w:r>
          </w:p>
        </w:tc>
        <w:tc>
          <w:tcPr>
            <w:tcW w:w="580" w:type="dxa"/>
            <w:tcBorders>
              <w:top w:val="nil"/>
              <w:left w:val="nil"/>
              <w:bottom w:val="nil"/>
              <w:right w:val="nil"/>
            </w:tcBorders>
            <w:shd w:val="clear" w:color="auto" w:fill="006991"/>
            <w:vAlign w:val="center"/>
            <w:hideMark/>
          </w:tcPr>
          <w:p w14:paraId="74805AB3"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SA</w:t>
            </w:r>
          </w:p>
        </w:tc>
        <w:tc>
          <w:tcPr>
            <w:tcW w:w="580" w:type="dxa"/>
            <w:tcBorders>
              <w:top w:val="nil"/>
              <w:left w:val="nil"/>
              <w:bottom w:val="nil"/>
              <w:right w:val="nil"/>
            </w:tcBorders>
            <w:shd w:val="clear" w:color="auto" w:fill="006991"/>
            <w:vAlign w:val="center"/>
            <w:hideMark/>
          </w:tcPr>
          <w:p w14:paraId="7B248048"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auto" w:fill="006991"/>
            <w:vAlign w:val="center"/>
            <w:hideMark/>
          </w:tcPr>
          <w:p w14:paraId="425A42B7"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auto" w:fill="006991"/>
            <w:vAlign w:val="center"/>
            <w:hideMark/>
          </w:tcPr>
          <w:p w14:paraId="1BBE4A5D"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A590A">
              <w:rPr>
                <w:rFonts w:ascii="Open Sans Semibold" w:eastAsia="Times New Roman" w:hAnsi="Open Sans Semibold" w:cs="Open Sans Semibold"/>
                <w:color w:val="FFFFFF"/>
                <w:sz w:val="16"/>
                <w:szCs w:val="16"/>
                <w:lang w:eastAsia="en-AU"/>
              </w:rPr>
              <w:t>NT</w:t>
            </w:r>
          </w:p>
        </w:tc>
        <w:tc>
          <w:tcPr>
            <w:tcW w:w="1123" w:type="dxa"/>
            <w:tcBorders>
              <w:top w:val="nil"/>
              <w:left w:val="nil"/>
              <w:bottom w:val="nil"/>
              <w:right w:val="nil"/>
            </w:tcBorders>
            <w:shd w:val="clear" w:color="auto" w:fill="006991"/>
            <w:vAlign w:val="center"/>
            <w:hideMark/>
          </w:tcPr>
          <w:p w14:paraId="6E378A21"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Total effect on GST distribution</w:t>
            </w:r>
          </w:p>
        </w:tc>
      </w:tr>
      <w:tr w:rsidR="009878D7" w:rsidRPr="00FA590A" w14:paraId="6B45270E" w14:textId="77777777" w:rsidTr="00A74BC4">
        <w:trPr>
          <w:trHeight w:val="104"/>
        </w:trPr>
        <w:tc>
          <w:tcPr>
            <w:tcW w:w="2617" w:type="dxa"/>
            <w:tcBorders>
              <w:top w:val="single" w:sz="4" w:space="0" w:color="ADD6EA"/>
              <w:left w:val="nil"/>
              <w:bottom w:val="nil"/>
              <w:right w:val="nil"/>
            </w:tcBorders>
            <w:shd w:val="clear" w:color="auto" w:fill="B6D5E4"/>
            <w:vAlign w:val="bottom"/>
            <w:hideMark/>
          </w:tcPr>
          <w:p w14:paraId="18AC8873" w14:textId="77777777" w:rsidR="009878D7" w:rsidRPr="00FA590A" w:rsidRDefault="009878D7" w:rsidP="00887EC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 </w:t>
            </w:r>
          </w:p>
        </w:tc>
        <w:tc>
          <w:tcPr>
            <w:tcW w:w="680" w:type="dxa"/>
            <w:tcBorders>
              <w:top w:val="single" w:sz="4" w:space="0" w:color="ADD6EA"/>
              <w:left w:val="nil"/>
              <w:bottom w:val="nil"/>
              <w:right w:val="nil"/>
            </w:tcBorders>
            <w:shd w:val="clear" w:color="auto" w:fill="B6D5E4"/>
            <w:noWrap/>
            <w:vAlign w:val="bottom"/>
            <w:hideMark/>
          </w:tcPr>
          <w:p w14:paraId="2DFB6AF6"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auto" w:fill="B6D5E4"/>
            <w:noWrap/>
            <w:vAlign w:val="bottom"/>
            <w:hideMark/>
          </w:tcPr>
          <w:p w14:paraId="21432846"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585" w:type="dxa"/>
            <w:tcBorders>
              <w:top w:val="single" w:sz="4" w:space="0" w:color="ADD6EA"/>
              <w:left w:val="nil"/>
              <w:bottom w:val="nil"/>
              <w:right w:val="nil"/>
            </w:tcBorders>
            <w:shd w:val="clear" w:color="auto" w:fill="B6D5E4"/>
            <w:noWrap/>
            <w:vAlign w:val="bottom"/>
            <w:hideMark/>
          </w:tcPr>
          <w:p w14:paraId="286CD528"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575" w:type="dxa"/>
            <w:tcBorders>
              <w:top w:val="single" w:sz="4" w:space="0" w:color="ADD6EA"/>
              <w:left w:val="nil"/>
              <w:bottom w:val="nil"/>
              <w:right w:val="nil"/>
            </w:tcBorders>
            <w:shd w:val="clear" w:color="auto" w:fill="B6D5E4"/>
            <w:noWrap/>
            <w:vAlign w:val="bottom"/>
            <w:hideMark/>
          </w:tcPr>
          <w:p w14:paraId="723A1D32"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auto" w:fill="B6D5E4"/>
            <w:noWrap/>
            <w:vAlign w:val="bottom"/>
            <w:hideMark/>
          </w:tcPr>
          <w:p w14:paraId="3A7EF3D0"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auto" w:fill="B6D5E4"/>
            <w:noWrap/>
            <w:vAlign w:val="bottom"/>
            <w:hideMark/>
          </w:tcPr>
          <w:p w14:paraId="335C34BA"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noWrap/>
            <w:vAlign w:val="bottom"/>
            <w:hideMark/>
          </w:tcPr>
          <w:p w14:paraId="735F85F4"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auto" w:fill="B6D5E4"/>
            <w:noWrap/>
            <w:vAlign w:val="bottom"/>
            <w:hideMark/>
          </w:tcPr>
          <w:p w14:paraId="32A2DF4C"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c>
          <w:tcPr>
            <w:tcW w:w="1123" w:type="dxa"/>
            <w:tcBorders>
              <w:top w:val="single" w:sz="4" w:space="0" w:color="ADD6EA"/>
              <w:left w:val="nil"/>
              <w:bottom w:val="nil"/>
              <w:right w:val="nil"/>
            </w:tcBorders>
            <w:shd w:val="clear" w:color="auto" w:fill="B6D5E4"/>
            <w:noWrap/>
            <w:vAlign w:val="bottom"/>
            <w:hideMark/>
          </w:tcPr>
          <w:p w14:paraId="2D5D319D"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$m</w:t>
            </w:r>
          </w:p>
        </w:tc>
      </w:tr>
      <w:tr w:rsidR="009878D7" w:rsidRPr="00FA590A" w14:paraId="1D75D9D0" w14:textId="77777777" w:rsidTr="578E0FCF">
        <w:trPr>
          <w:trHeight w:val="315"/>
        </w:trPr>
        <w:tc>
          <w:tcPr>
            <w:tcW w:w="2617" w:type="dxa"/>
            <w:tcBorders>
              <w:top w:val="single" w:sz="4" w:space="0" w:color="ADD6EA"/>
              <w:left w:val="nil"/>
              <w:bottom w:val="nil"/>
              <w:right w:val="nil"/>
            </w:tcBorders>
            <w:shd w:val="clear" w:color="auto" w:fill="auto"/>
            <w:vAlign w:val="bottom"/>
            <w:hideMark/>
          </w:tcPr>
          <w:p w14:paraId="56F827D0" w14:textId="77777777" w:rsidR="009878D7" w:rsidRPr="00FA590A" w:rsidRDefault="009878D7" w:rsidP="00887EC2">
            <w:pPr>
              <w:keepNext/>
              <w:tabs>
                <w:tab w:val="clear" w:pos="567"/>
              </w:tabs>
              <w:spacing w:before="0" w:line="240" w:lineRule="auto"/>
              <w:rPr>
                <w:rFonts w:eastAsia="Times New Roman" w:cs="Open Sans Light"/>
                <w:color w:val="000000"/>
                <w:sz w:val="16"/>
                <w:szCs w:val="16"/>
                <w:lang w:eastAsia="en-AU"/>
              </w:rPr>
            </w:pPr>
            <w:r w:rsidRPr="00FA590A">
              <w:rPr>
                <w:rFonts w:eastAsia="Times New Roman" w:cs="Open Sans Light"/>
                <w:color w:val="000000"/>
                <w:sz w:val="16"/>
                <w:szCs w:val="16"/>
                <w:lang w:eastAsia="en-AU"/>
              </w:rPr>
              <w:t>Agriculture regulation</w:t>
            </w:r>
          </w:p>
        </w:tc>
        <w:tc>
          <w:tcPr>
            <w:tcW w:w="680" w:type="dxa"/>
            <w:tcBorders>
              <w:top w:val="single" w:sz="4" w:space="0" w:color="ADD6EA"/>
              <w:left w:val="nil"/>
              <w:bottom w:val="nil"/>
              <w:right w:val="nil"/>
            </w:tcBorders>
            <w:shd w:val="clear" w:color="auto" w:fill="auto"/>
            <w:noWrap/>
            <w:vAlign w:val="bottom"/>
            <w:hideMark/>
          </w:tcPr>
          <w:p w14:paraId="091C4DC7"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-95</w:t>
            </w:r>
          </w:p>
        </w:tc>
        <w:tc>
          <w:tcPr>
            <w:tcW w:w="760" w:type="dxa"/>
            <w:tcBorders>
              <w:top w:val="single" w:sz="4" w:space="0" w:color="ADD6EA"/>
              <w:left w:val="nil"/>
              <w:bottom w:val="nil"/>
              <w:right w:val="nil"/>
            </w:tcBorders>
            <w:shd w:val="clear" w:color="auto" w:fill="auto"/>
            <w:noWrap/>
            <w:vAlign w:val="bottom"/>
            <w:hideMark/>
          </w:tcPr>
          <w:p w14:paraId="1DE07E65"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-55</w:t>
            </w:r>
          </w:p>
        </w:tc>
        <w:tc>
          <w:tcPr>
            <w:tcW w:w="585" w:type="dxa"/>
            <w:tcBorders>
              <w:top w:val="single" w:sz="4" w:space="0" w:color="ADD6EA"/>
              <w:left w:val="nil"/>
              <w:bottom w:val="nil"/>
              <w:right w:val="nil"/>
            </w:tcBorders>
            <w:shd w:val="clear" w:color="auto" w:fill="auto"/>
            <w:noWrap/>
            <w:vAlign w:val="bottom"/>
            <w:hideMark/>
          </w:tcPr>
          <w:p w14:paraId="485DBDE2"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13</w:t>
            </w:r>
          </w:p>
        </w:tc>
        <w:tc>
          <w:tcPr>
            <w:tcW w:w="575" w:type="dxa"/>
            <w:tcBorders>
              <w:top w:val="single" w:sz="4" w:space="0" w:color="ADD6EA"/>
              <w:left w:val="nil"/>
              <w:bottom w:val="nil"/>
              <w:right w:val="nil"/>
            </w:tcBorders>
            <w:shd w:val="clear" w:color="auto" w:fill="auto"/>
            <w:noWrap/>
            <w:vAlign w:val="bottom"/>
            <w:hideMark/>
          </w:tcPr>
          <w:p w14:paraId="4F4A7518"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39</w:t>
            </w:r>
          </w:p>
        </w:tc>
        <w:tc>
          <w:tcPr>
            <w:tcW w:w="580" w:type="dxa"/>
            <w:tcBorders>
              <w:top w:val="single" w:sz="4" w:space="0" w:color="ADD6EA"/>
              <w:left w:val="nil"/>
              <w:bottom w:val="nil"/>
              <w:right w:val="nil"/>
            </w:tcBorders>
            <w:shd w:val="clear" w:color="auto" w:fill="auto"/>
            <w:noWrap/>
            <w:vAlign w:val="bottom"/>
            <w:hideMark/>
          </w:tcPr>
          <w:p w14:paraId="767B0C6E"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55</w:t>
            </w:r>
          </w:p>
        </w:tc>
        <w:tc>
          <w:tcPr>
            <w:tcW w:w="580" w:type="dxa"/>
            <w:tcBorders>
              <w:top w:val="single" w:sz="4" w:space="0" w:color="ADD6EA"/>
              <w:left w:val="nil"/>
              <w:bottom w:val="nil"/>
              <w:right w:val="nil"/>
            </w:tcBorders>
            <w:shd w:val="clear" w:color="auto" w:fill="auto"/>
            <w:noWrap/>
            <w:vAlign w:val="bottom"/>
            <w:hideMark/>
          </w:tcPr>
          <w:p w14:paraId="6998DBAF"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54</w:t>
            </w:r>
          </w:p>
        </w:tc>
        <w:tc>
          <w:tcPr>
            <w:tcW w:w="640" w:type="dxa"/>
            <w:tcBorders>
              <w:top w:val="single" w:sz="4" w:space="0" w:color="ADD6EA"/>
              <w:left w:val="nil"/>
              <w:bottom w:val="nil"/>
              <w:right w:val="nil"/>
            </w:tcBorders>
            <w:shd w:val="clear" w:color="auto" w:fill="auto"/>
            <w:noWrap/>
            <w:vAlign w:val="bottom"/>
            <w:hideMark/>
          </w:tcPr>
          <w:p w14:paraId="2830AF01"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-19</w:t>
            </w:r>
          </w:p>
        </w:tc>
        <w:tc>
          <w:tcPr>
            <w:tcW w:w="700" w:type="dxa"/>
            <w:tcBorders>
              <w:top w:val="single" w:sz="4" w:space="0" w:color="ADD6EA"/>
              <w:left w:val="nil"/>
              <w:bottom w:val="nil"/>
              <w:right w:val="nil"/>
            </w:tcBorders>
            <w:shd w:val="clear" w:color="auto" w:fill="auto"/>
            <w:noWrap/>
            <w:vAlign w:val="bottom"/>
            <w:hideMark/>
          </w:tcPr>
          <w:p w14:paraId="6EB67873"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8</w:t>
            </w:r>
          </w:p>
        </w:tc>
        <w:tc>
          <w:tcPr>
            <w:tcW w:w="1123" w:type="dxa"/>
            <w:tcBorders>
              <w:top w:val="single" w:sz="4" w:space="0" w:color="ADD6EA"/>
              <w:left w:val="nil"/>
              <w:bottom w:val="nil"/>
              <w:right w:val="nil"/>
            </w:tcBorders>
            <w:shd w:val="clear" w:color="auto" w:fill="auto"/>
            <w:noWrap/>
            <w:vAlign w:val="bottom"/>
            <w:hideMark/>
          </w:tcPr>
          <w:p w14:paraId="6937D1BB"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170</w:t>
            </w:r>
          </w:p>
        </w:tc>
      </w:tr>
      <w:tr w:rsidR="009878D7" w:rsidRPr="00FA590A" w14:paraId="072C832D" w14:textId="77777777" w:rsidTr="578E0FCF">
        <w:trPr>
          <w:trHeight w:val="315"/>
        </w:trPr>
        <w:tc>
          <w:tcPr>
            <w:tcW w:w="2617" w:type="dxa"/>
            <w:tcBorders>
              <w:top w:val="single" w:sz="4" w:space="0" w:color="ADD6EA"/>
              <w:left w:val="nil"/>
              <w:bottom w:val="nil"/>
              <w:right w:val="nil"/>
            </w:tcBorders>
            <w:shd w:val="clear" w:color="auto" w:fill="auto"/>
            <w:vAlign w:val="bottom"/>
            <w:hideMark/>
          </w:tcPr>
          <w:p w14:paraId="4D31C319" w14:textId="77777777" w:rsidR="009878D7" w:rsidRPr="00FA590A" w:rsidRDefault="009878D7" w:rsidP="00887EC2">
            <w:pPr>
              <w:keepNext/>
              <w:tabs>
                <w:tab w:val="clear" w:pos="567"/>
              </w:tabs>
              <w:spacing w:before="0" w:line="240" w:lineRule="auto"/>
              <w:rPr>
                <w:rFonts w:eastAsia="Times New Roman" w:cs="Open Sans Light"/>
                <w:color w:val="000000"/>
                <w:sz w:val="16"/>
                <w:szCs w:val="16"/>
                <w:lang w:eastAsia="en-AU"/>
              </w:rPr>
            </w:pPr>
            <w:r w:rsidRPr="00FA590A">
              <w:rPr>
                <w:rFonts w:eastAsia="Times New Roman" w:cs="Open Sans Light"/>
                <w:color w:val="000000"/>
                <w:sz w:val="16"/>
                <w:szCs w:val="16"/>
                <w:lang w:eastAsia="en-AU"/>
              </w:rPr>
              <w:t>Mining regulation</w:t>
            </w:r>
          </w:p>
        </w:tc>
        <w:tc>
          <w:tcPr>
            <w:tcW w:w="680" w:type="dxa"/>
            <w:tcBorders>
              <w:top w:val="single" w:sz="4" w:space="0" w:color="ADD6EA"/>
              <w:left w:val="nil"/>
              <w:bottom w:val="nil"/>
              <w:right w:val="nil"/>
            </w:tcBorders>
            <w:shd w:val="clear" w:color="auto" w:fill="auto"/>
            <w:noWrap/>
            <w:vAlign w:val="bottom"/>
            <w:hideMark/>
          </w:tcPr>
          <w:p w14:paraId="09167B50"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-99</w:t>
            </w:r>
          </w:p>
        </w:tc>
        <w:tc>
          <w:tcPr>
            <w:tcW w:w="760" w:type="dxa"/>
            <w:tcBorders>
              <w:top w:val="single" w:sz="4" w:space="0" w:color="ADD6EA"/>
              <w:left w:val="nil"/>
              <w:bottom w:val="nil"/>
              <w:right w:val="nil"/>
            </w:tcBorders>
            <w:shd w:val="clear" w:color="auto" w:fill="auto"/>
            <w:noWrap/>
            <w:vAlign w:val="bottom"/>
            <w:hideMark/>
          </w:tcPr>
          <w:p w14:paraId="3E856EC0"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-94</w:t>
            </w:r>
          </w:p>
        </w:tc>
        <w:tc>
          <w:tcPr>
            <w:tcW w:w="585" w:type="dxa"/>
            <w:tcBorders>
              <w:top w:val="single" w:sz="4" w:space="0" w:color="ADD6EA"/>
              <w:left w:val="nil"/>
              <w:bottom w:val="nil"/>
              <w:right w:val="nil"/>
            </w:tcBorders>
            <w:shd w:val="clear" w:color="auto" w:fill="auto"/>
            <w:noWrap/>
            <w:vAlign w:val="bottom"/>
            <w:hideMark/>
          </w:tcPr>
          <w:p w14:paraId="1FF6888E"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-6</w:t>
            </w:r>
          </w:p>
        </w:tc>
        <w:tc>
          <w:tcPr>
            <w:tcW w:w="575" w:type="dxa"/>
            <w:tcBorders>
              <w:top w:val="single" w:sz="4" w:space="0" w:color="ADD6EA"/>
              <w:left w:val="nil"/>
              <w:bottom w:val="nil"/>
              <w:right w:val="nil"/>
            </w:tcBorders>
            <w:shd w:val="clear" w:color="auto" w:fill="auto"/>
            <w:noWrap/>
            <w:vAlign w:val="bottom"/>
            <w:hideMark/>
          </w:tcPr>
          <w:p w14:paraId="4FE16A08"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224</w:t>
            </w:r>
          </w:p>
        </w:tc>
        <w:tc>
          <w:tcPr>
            <w:tcW w:w="580" w:type="dxa"/>
            <w:tcBorders>
              <w:top w:val="single" w:sz="4" w:space="0" w:color="ADD6EA"/>
              <w:left w:val="nil"/>
              <w:bottom w:val="nil"/>
              <w:right w:val="nil"/>
            </w:tcBorders>
            <w:shd w:val="clear" w:color="auto" w:fill="auto"/>
            <w:noWrap/>
            <w:vAlign w:val="bottom"/>
            <w:hideMark/>
          </w:tcPr>
          <w:p w14:paraId="15AD8276"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-21</w:t>
            </w:r>
          </w:p>
        </w:tc>
        <w:tc>
          <w:tcPr>
            <w:tcW w:w="580" w:type="dxa"/>
            <w:tcBorders>
              <w:top w:val="single" w:sz="4" w:space="0" w:color="ADD6EA"/>
              <w:left w:val="nil"/>
              <w:bottom w:val="nil"/>
              <w:right w:val="nil"/>
            </w:tcBorders>
            <w:shd w:val="clear" w:color="auto" w:fill="auto"/>
            <w:noWrap/>
            <w:vAlign w:val="bottom"/>
            <w:hideMark/>
          </w:tcPr>
          <w:p w14:paraId="3C729C45"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auto" w:fill="auto"/>
            <w:noWrap/>
            <w:vAlign w:val="bottom"/>
            <w:hideMark/>
          </w:tcPr>
          <w:p w14:paraId="13E1CDC6"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-7</w:t>
            </w:r>
          </w:p>
        </w:tc>
        <w:tc>
          <w:tcPr>
            <w:tcW w:w="700" w:type="dxa"/>
            <w:tcBorders>
              <w:top w:val="single" w:sz="4" w:space="0" w:color="ADD6EA"/>
              <w:left w:val="nil"/>
              <w:bottom w:val="nil"/>
              <w:right w:val="nil"/>
            </w:tcBorders>
            <w:shd w:val="clear" w:color="auto" w:fill="auto"/>
            <w:noWrap/>
            <w:vAlign w:val="bottom"/>
            <w:hideMark/>
          </w:tcPr>
          <w:p w14:paraId="589FDC13"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10</w:t>
            </w:r>
          </w:p>
        </w:tc>
        <w:tc>
          <w:tcPr>
            <w:tcW w:w="1123" w:type="dxa"/>
            <w:tcBorders>
              <w:top w:val="single" w:sz="4" w:space="0" w:color="ADD6EA"/>
              <w:left w:val="nil"/>
              <w:bottom w:val="nil"/>
              <w:right w:val="nil"/>
            </w:tcBorders>
            <w:shd w:val="clear" w:color="auto" w:fill="auto"/>
            <w:noWrap/>
            <w:vAlign w:val="bottom"/>
            <w:hideMark/>
          </w:tcPr>
          <w:p w14:paraId="07CAB91F"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234</w:t>
            </w:r>
          </w:p>
        </w:tc>
      </w:tr>
      <w:tr w:rsidR="009878D7" w:rsidRPr="00FA590A" w14:paraId="208250B7" w14:textId="77777777" w:rsidTr="578E0FCF">
        <w:trPr>
          <w:trHeight w:val="315"/>
        </w:trPr>
        <w:tc>
          <w:tcPr>
            <w:tcW w:w="2617" w:type="dxa"/>
            <w:tcBorders>
              <w:top w:val="single" w:sz="4" w:space="0" w:color="ADD6EA"/>
              <w:left w:val="nil"/>
              <w:bottom w:val="nil"/>
              <w:right w:val="nil"/>
            </w:tcBorders>
            <w:shd w:val="clear" w:color="auto" w:fill="auto"/>
            <w:vAlign w:val="bottom"/>
            <w:hideMark/>
          </w:tcPr>
          <w:p w14:paraId="51B10F91" w14:textId="77777777" w:rsidR="009878D7" w:rsidRPr="00FA590A" w:rsidRDefault="009878D7" w:rsidP="00887EC2">
            <w:pPr>
              <w:keepNext/>
              <w:tabs>
                <w:tab w:val="clear" w:pos="567"/>
              </w:tabs>
              <w:spacing w:before="0" w:line="240" w:lineRule="auto"/>
              <w:rPr>
                <w:rFonts w:eastAsia="Times New Roman" w:cs="Open Sans Light"/>
                <w:color w:val="000000"/>
                <w:sz w:val="16"/>
                <w:szCs w:val="16"/>
                <w:lang w:eastAsia="en-AU"/>
              </w:rPr>
            </w:pPr>
            <w:r w:rsidRPr="00FA590A">
              <w:rPr>
                <w:rFonts w:eastAsia="Times New Roman" w:cs="Open Sans Light"/>
                <w:color w:val="000000"/>
                <w:sz w:val="16"/>
                <w:szCs w:val="16"/>
                <w:lang w:eastAsia="en-AU"/>
              </w:rPr>
              <w:t>Other industries regulation</w:t>
            </w:r>
          </w:p>
        </w:tc>
        <w:tc>
          <w:tcPr>
            <w:tcW w:w="680" w:type="dxa"/>
            <w:tcBorders>
              <w:top w:val="single" w:sz="4" w:space="0" w:color="ADD6EA"/>
              <w:left w:val="nil"/>
              <w:bottom w:val="nil"/>
              <w:right w:val="nil"/>
            </w:tcBorders>
            <w:shd w:val="clear" w:color="auto" w:fill="auto"/>
            <w:noWrap/>
            <w:vAlign w:val="bottom"/>
            <w:hideMark/>
          </w:tcPr>
          <w:p w14:paraId="10AF0CB0"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211</w:t>
            </w:r>
          </w:p>
        </w:tc>
        <w:tc>
          <w:tcPr>
            <w:tcW w:w="760" w:type="dxa"/>
            <w:tcBorders>
              <w:top w:val="single" w:sz="4" w:space="0" w:color="ADD6EA"/>
              <w:left w:val="nil"/>
              <w:bottom w:val="nil"/>
              <w:right w:val="nil"/>
            </w:tcBorders>
            <w:shd w:val="clear" w:color="auto" w:fill="auto"/>
            <w:noWrap/>
            <w:vAlign w:val="bottom"/>
            <w:hideMark/>
          </w:tcPr>
          <w:p w14:paraId="26867BB4"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24</w:t>
            </w:r>
          </w:p>
        </w:tc>
        <w:tc>
          <w:tcPr>
            <w:tcW w:w="585" w:type="dxa"/>
            <w:tcBorders>
              <w:top w:val="single" w:sz="4" w:space="0" w:color="ADD6EA"/>
              <w:left w:val="nil"/>
              <w:bottom w:val="nil"/>
              <w:right w:val="nil"/>
            </w:tcBorders>
            <w:shd w:val="clear" w:color="auto" w:fill="auto"/>
            <w:noWrap/>
            <w:vAlign w:val="bottom"/>
            <w:hideMark/>
          </w:tcPr>
          <w:p w14:paraId="104471F9"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-142</w:t>
            </w:r>
          </w:p>
        </w:tc>
        <w:tc>
          <w:tcPr>
            <w:tcW w:w="575" w:type="dxa"/>
            <w:tcBorders>
              <w:top w:val="single" w:sz="4" w:space="0" w:color="ADD6EA"/>
              <w:left w:val="nil"/>
              <w:bottom w:val="nil"/>
              <w:right w:val="nil"/>
            </w:tcBorders>
            <w:shd w:val="clear" w:color="auto" w:fill="auto"/>
            <w:noWrap/>
            <w:vAlign w:val="bottom"/>
            <w:hideMark/>
          </w:tcPr>
          <w:p w14:paraId="2CD51F2C"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27</w:t>
            </w:r>
          </w:p>
        </w:tc>
        <w:tc>
          <w:tcPr>
            <w:tcW w:w="580" w:type="dxa"/>
            <w:tcBorders>
              <w:top w:val="single" w:sz="4" w:space="0" w:color="ADD6EA"/>
              <w:left w:val="nil"/>
              <w:bottom w:val="nil"/>
              <w:right w:val="nil"/>
            </w:tcBorders>
            <w:shd w:val="clear" w:color="auto" w:fill="auto"/>
            <w:noWrap/>
            <w:vAlign w:val="bottom"/>
            <w:hideMark/>
          </w:tcPr>
          <w:p w14:paraId="071999EE"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-85</w:t>
            </w:r>
          </w:p>
        </w:tc>
        <w:tc>
          <w:tcPr>
            <w:tcW w:w="580" w:type="dxa"/>
            <w:tcBorders>
              <w:top w:val="single" w:sz="4" w:space="0" w:color="ADD6EA"/>
              <w:left w:val="nil"/>
              <w:bottom w:val="nil"/>
              <w:right w:val="nil"/>
            </w:tcBorders>
            <w:shd w:val="clear" w:color="auto" w:fill="auto"/>
            <w:noWrap/>
            <w:vAlign w:val="bottom"/>
            <w:hideMark/>
          </w:tcPr>
          <w:p w14:paraId="7C32E2C0"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-40</w:t>
            </w:r>
          </w:p>
        </w:tc>
        <w:tc>
          <w:tcPr>
            <w:tcW w:w="640" w:type="dxa"/>
            <w:tcBorders>
              <w:top w:val="single" w:sz="4" w:space="0" w:color="ADD6EA"/>
              <w:left w:val="nil"/>
              <w:bottom w:val="nil"/>
              <w:right w:val="nil"/>
            </w:tcBorders>
            <w:shd w:val="clear" w:color="auto" w:fill="auto"/>
            <w:noWrap/>
            <w:vAlign w:val="bottom"/>
            <w:hideMark/>
          </w:tcPr>
          <w:p w14:paraId="4731CECB"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w:t>
            </w:r>
          </w:p>
        </w:tc>
        <w:tc>
          <w:tcPr>
            <w:tcW w:w="700" w:type="dxa"/>
            <w:tcBorders>
              <w:top w:val="single" w:sz="4" w:space="0" w:color="ADD6EA"/>
              <w:left w:val="nil"/>
              <w:bottom w:val="nil"/>
              <w:right w:val="nil"/>
            </w:tcBorders>
            <w:shd w:val="clear" w:color="auto" w:fill="auto"/>
            <w:noWrap/>
            <w:vAlign w:val="bottom"/>
            <w:hideMark/>
          </w:tcPr>
          <w:p w14:paraId="5CD72314"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3</w:t>
            </w:r>
          </w:p>
        </w:tc>
        <w:tc>
          <w:tcPr>
            <w:tcW w:w="1123" w:type="dxa"/>
            <w:tcBorders>
              <w:top w:val="single" w:sz="4" w:space="0" w:color="ADD6EA"/>
              <w:left w:val="nil"/>
              <w:bottom w:val="nil"/>
              <w:right w:val="nil"/>
            </w:tcBorders>
            <w:shd w:val="clear" w:color="auto" w:fill="auto"/>
            <w:noWrap/>
            <w:vAlign w:val="bottom"/>
            <w:hideMark/>
          </w:tcPr>
          <w:p w14:paraId="44698E3B"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266</w:t>
            </w:r>
          </w:p>
        </w:tc>
      </w:tr>
      <w:tr w:rsidR="009878D7" w:rsidRPr="00FA590A" w14:paraId="677F4FD0" w14:textId="77777777" w:rsidTr="578E0FCF">
        <w:trPr>
          <w:trHeight w:val="315"/>
        </w:trPr>
        <w:tc>
          <w:tcPr>
            <w:tcW w:w="2617" w:type="dxa"/>
            <w:tcBorders>
              <w:top w:val="single" w:sz="4" w:space="0" w:color="ADD6EA"/>
              <w:left w:val="nil"/>
              <w:bottom w:val="nil"/>
              <w:right w:val="nil"/>
            </w:tcBorders>
            <w:shd w:val="clear" w:color="auto" w:fill="auto"/>
            <w:vAlign w:val="bottom"/>
            <w:hideMark/>
          </w:tcPr>
          <w:p w14:paraId="425F49CF" w14:textId="77777777" w:rsidR="009878D7" w:rsidRPr="00FA590A" w:rsidRDefault="009878D7" w:rsidP="00887EC2">
            <w:pPr>
              <w:keepNext/>
              <w:tabs>
                <w:tab w:val="clear" w:pos="567"/>
              </w:tabs>
              <w:spacing w:before="0" w:line="240" w:lineRule="auto"/>
              <w:rPr>
                <w:rFonts w:eastAsia="Times New Roman" w:cs="Open Sans Light"/>
                <w:color w:val="000000"/>
                <w:sz w:val="16"/>
                <w:szCs w:val="16"/>
                <w:lang w:eastAsia="en-AU"/>
              </w:rPr>
            </w:pPr>
            <w:r w:rsidRPr="00FA590A">
              <w:rPr>
                <w:rFonts w:eastAsia="Times New Roman" w:cs="Open Sans Light"/>
                <w:color w:val="000000"/>
                <w:sz w:val="16"/>
                <w:szCs w:val="16"/>
                <w:lang w:eastAsia="en-AU"/>
              </w:rPr>
              <w:t>Business development</w:t>
            </w:r>
          </w:p>
        </w:tc>
        <w:tc>
          <w:tcPr>
            <w:tcW w:w="680" w:type="dxa"/>
            <w:tcBorders>
              <w:top w:val="single" w:sz="4" w:space="0" w:color="ADD6EA"/>
              <w:left w:val="nil"/>
              <w:bottom w:val="nil"/>
              <w:right w:val="nil"/>
            </w:tcBorders>
            <w:shd w:val="clear" w:color="auto" w:fill="auto"/>
            <w:vAlign w:val="bottom"/>
            <w:hideMark/>
          </w:tcPr>
          <w:p w14:paraId="5C9F4F0F"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11</w:t>
            </w:r>
          </w:p>
        </w:tc>
        <w:tc>
          <w:tcPr>
            <w:tcW w:w="760" w:type="dxa"/>
            <w:tcBorders>
              <w:top w:val="single" w:sz="4" w:space="0" w:color="ADD6EA"/>
              <w:left w:val="nil"/>
              <w:bottom w:val="nil"/>
              <w:right w:val="nil"/>
            </w:tcBorders>
            <w:shd w:val="clear" w:color="auto" w:fill="auto"/>
            <w:vAlign w:val="bottom"/>
            <w:hideMark/>
          </w:tcPr>
          <w:p w14:paraId="66A8C984"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-4</w:t>
            </w:r>
          </w:p>
        </w:tc>
        <w:tc>
          <w:tcPr>
            <w:tcW w:w="585" w:type="dxa"/>
            <w:tcBorders>
              <w:top w:val="single" w:sz="4" w:space="0" w:color="ADD6EA"/>
              <w:left w:val="nil"/>
              <w:bottom w:val="nil"/>
              <w:right w:val="nil"/>
            </w:tcBorders>
            <w:shd w:val="clear" w:color="auto" w:fill="auto"/>
            <w:vAlign w:val="bottom"/>
            <w:hideMark/>
          </w:tcPr>
          <w:p w14:paraId="7447A956"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-10</w:t>
            </w:r>
          </w:p>
        </w:tc>
        <w:tc>
          <w:tcPr>
            <w:tcW w:w="575" w:type="dxa"/>
            <w:tcBorders>
              <w:top w:val="single" w:sz="4" w:space="0" w:color="ADD6EA"/>
              <w:left w:val="nil"/>
              <w:bottom w:val="nil"/>
              <w:right w:val="nil"/>
            </w:tcBorders>
            <w:shd w:val="clear" w:color="auto" w:fill="auto"/>
            <w:vAlign w:val="bottom"/>
            <w:hideMark/>
          </w:tcPr>
          <w:p w14:paraId="7C384704"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vAlign w:val="bottom"/>
            <w:hideMark/>
          </w:tcPr>
          <w:p w14:paraId="1609718C"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-7</w:t>
            </w:r>
          </w:p>
        </w:tc>
        <w:tc>
          <w:tcPr>
            <w:tcW w:w="580" w:type="dxa"/>
            <w:tcBorders>
              <w:top w:val="single" w:sz="4" w:space="0" w:color="ADD6EA"/>
              <w:left w:val="nil"/>
              <w:bottom w:val="nil"/>
              <w:right w:val="nil"/>
            </w:tcBorders>
            <w:shd w:val="clear" w:color="auto" w:fill="auto"/>
            <w:vAlign w:val="bottom"/>
            <w:hideMark/>
          </w:tcPr>
          <w:p w14:paraId="0355BC8A"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auto" w:fill="auto"/>
            <w:vAlign w:val="bottom"/>
            <w:hideMark/>
          </w:tcPr>
          <w:p w14:paraId="0B2EA1D9"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3</w:t>
            </w:r>
          </w:p>
        </w:tc>
        <w:tc>
          <w:tcPr>
            <w:tcW w:w="700" w:type="dxa"/>
            <w:tcBorders>
              <w:top w:val="single" w:sz="4" w:space="0" w:color="ADD6EA"/>
              <w:left w:val="nil"/>
              <w:bottom w:val="nil"/>
              <w:right w:val="nil"/>
            </w:tcBorders>
            <w:shd w:val="clear" w:color="auto" w:fill="auto"/>
            <w:vAlign w:val="bottom"/>
            <w:hideMark/>
          </w:tcPr>
          <w:p w14:paraId="1703BFA7"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0</w:t>
            </w:r>
          </w:p>
        </w:tc>
        <w:tc>
          <w:tcPr>
            <w:tcW w:w="1123" w:type="dxa"/>
            <w:tcBorders>
              <w:top w:val="single" w:sz="4" w:space="0" w:color="ADD6EA"/>
              <w:left w:val="nil"/>
              <w:bottom w:val="nil"/>
              <w:right w:val="nil"/>
            </w:tcBorders>
            <w:shd w:val="clear" w:color="auto" w:fill="auto"/>
            <w:vAlign w:val="bottom"/>
            <w:hideMark/>
          </w:tcPr>
          <w:p w14:paraId="05DC1787" w14:textId="77777777" w:rsidR="009878D7" w:rsidRPr="00FA590A" w:rsidRDefault="009878D7" w:rsidP="00887EC2">
            <w:pPr>
              <w:keepNext/>
              <w:tabs>
                <w:tab w:val="clear" w:pos="567"/>
              </w:tabs>
              <w:spacing w:before="0" w:line="240" w:lineRule="auto"/>
              <w:jc w:val="right"/>
              <w:rPr>
                <w:rFonts w:eastAsia="Times New Roman" w:cs="Open Sans Light"/>
                <w:color w:val="000000"/>
                <w:sz w:val="16"/>
                <w:szCs w:val="16"/>
                <w:lang w:eastAsia="en-AU"/>
              </w:rPr>
            </w:pPr>
            <w:r w:rsidRPr="00FA590A">
              <w:rPr>
                <w:rFonts w:eastAsia="Times New Roman" w:cs="Open Sans Light"/>
                <w:color w:val="000000"/>
                <w:sz w:val="16"/>
                <w:szCs w:val="16"/>
                <w:lang w:eastAsia="en-AU"/>
              </w:rPr>
              <w:t>25</w:t>
            </w:r>
          </w:p>
        </w:tc>
      </w:tr>
      <w:tr w:rsidR="009878D7" w:rsidRPr="00FA590A" w14:paraId="18B7371D" w14:textId="77777777" w:rsidTr="578E0FCF">
        <w:trPr>
          <w:trHeight w:val="260"/>
        </w:trPr>
        <w:tc>
          <w:tcPr>
            <w:tcW w:w="2617" w:type="dxa"/>
            <w:tcBorders>
              <w:top w:val="single" w:sz="4" w:space="0" w:color="ADD6EA"/>
              <w:left w:val="nil"/>
              <w:bottom w:val="nil"/>
              <w:right w:val="nil"/>
            </w:tcBorders>
            <w:shd w:val="clear" w:color="auto" w:fill="D6E7F0"/>
            <w:vAlign w:val="bottom"/>
            <w:hideMark/>
          </w:tcPr>
          <w:p w14:paraId="1A25BA21" w14:textId="77777777" w:rsidR="009878D7" w:rsidRPr="00FA590A" w:rsidRDefault="009878D7" w:rsidP="00887EC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Total ($m)</w:t>
            </w:r>
          </w:p>
        </w:tc>
        <w:tc>
          <w:tcPr>
            <w:tcW w:w="680" w:type="dxa"/>
            <w:tcBorders>
              <w:top w:val="single" w:sz="4" w:space="0" w:color="ADD6EA"/>
              <w:left w:val="nil"/>
              <w:bottom w:val="nil"/>
              <w:right w:val="nil"/>
            </w:tcBorders>
            <w:shd w:val="clear" w:color="auto" w:fill="D6E7F0"/>
            <w:noWrap/>
            <w:vAlign w:val="bottom"/>
            <w:hideMark/>
          </w:tcPr>
          <w:p w14:paraId="3462361E"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28</w:t>
            </w:r>
          </w:p>
        </w:tc>
        <w:tc>
          <w:tcPr>
            <w:tcW w:w="760" w:type="dxa"/>
            <w:tcBorders>
              <w:top w:val="single" w:sz="4" w:space="0" w:color="ADD6EA"/>
              <w:left w:val="nil"/>
              <w:bottom w:val="nil"/>
              <w:right w:val="nil"/>
            </w:tcBorders>
            <w:shd w:val="clear" w:color="auto" w:fill="D6E7F0"/>
            <w:noWrap/>
            <w:vAlign w:val="bottom"/>
            <w:hideMark/>
          </w:tcPr>
          <w:p w14:paraId="36C2E43B"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-130</w:t>
            </w:r>
          </w:p>
        </w:tc>
        <w:tc>
          <w:tcPr>
            <w:tcW w:w="585" w:type="dxa"/>
            <w:tcBorders>
              <w:top w:val="single" w:sz="4" w:space="0" w:color="ADD6EA"/>
              <w:left w:val="nil"/>
              <w:bottom w:val="nil"/>
              <w:right w:val="nil"/>
            </w:tcBorders>
            <w:shd w:val="clear" w:color="auto" w:fill="D6E7F0"/>
            <w:noWrap/>
            <w:vAlign w:val="bottom"/>
            <w:hideMark/>
          </w:tcPr>
          <w:p w14:paraId="6DBA8246"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-145</w:t>
            </w:r>
          </w:p>
        </w:tc>
        <w:tc>
          <w:tcPr>
            <w:tcW w:w="575" w:type="dxa"/>
            <w:tcBorders>
              <w:top w:val="single" w:sz="4" w:space="0" w:color="ADD6EA"/>
              <w:left w:val="nil"/>
              <w:bottom w:val="nil"/>
              <w:right w:val="nil"/>
            </w:tcBorders>
            <w:shd w:val="clear" w:color="auto" w:fill="D6E7F0"/>
            <w:noWrap/>
            <w:vAlign w:val="bottom"/>
            <w:hideMark/>
          </w:tcPr>
          <w:p w14:paraId="2724A547"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300</w:t>
            </w:r>
          </w:p>
        </w:tc>
        <w:tc>
          <w:tcPr>
            <w:tcW w:w="580" w:type="dxa"/>
            <w:tcBorders>
              <w:top w:val="single" w:sz="4" w:space="0" w:color="ADD6EA"/>
              <w:left w:val="nil"/>
              <w:bottom w:val="nil"/>
              <w:right w:val="nil"/>
            </w:tcBorders>
            <w:shd w:val="clear" w:color="auto" w:fill="D6E7F0"/>
            <w:noWrap/>
            <w:vAlign w:val="bottom"/>
            <w:hideMark/>
          </w:tcPr>
          <w:p w14:paraId="43E5535C"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-58</w:t>
            </w:r>
          </w:p>
        </w:tc>
        <w:tc>
          <w:tcPr>
            <w:tcW w:w="580" w:type="dxa"/>
            <w:tcBorders>
              <w:top w:val="single" w:sz="4" w:space="0" w:color="ADD6EA"/>
              <w:left w:val="nil"/>
              <w:bottom w:val="nil"/>
              <w:right w:val="nil"/>
            </w:tcBorders>
            <w:shd w:val="clear" w:color="auto" w:fill="D6E7F0"/>
            <w:noWrap/>
            <w:vAlign w:val="bottom"/>
            <w:hideMark/>
          </w:tcPr>
          <w:p w14:paraId="4FBBBD99"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nil"/>
              <w:right w:val="nil"/>
            </w:tcBorders>
            <w:shd w:val="clear" w:color="auto" w:fill="D6E7F0"/>
            <w:noWrap/>
            <w:vAlign w:val="bottom"/>
            <w:hideMark/>
          </w:tcPr>
          <w:p w14:paraId="706573DD"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-21</w:t>
            </w:r>
          </w:p>
        </w:tc>
        <w:tc>
          <w:tcPr>
            <w:tcW w:w="700" w:type="dxa"/>
            <w:tcBorders>
              <w:top w:val="single" w:sz="4" w:space="0" w:color="ADD6EA"/>
              <w:left w:val="nil"/>
              <w:bottom w:val="nil"/>
              <w:right w:val="nil"/>
            </w:tcBorders>
            <w:shd w:val="clear" w:color="auto" w:fill="D6E7F0"/>
            <w:noWrap/>
            <w:vAlign w:val="bottom"/>
            <w:hideMark/>
          </w:tcPr>
          <w:p w14:paraId="7F1AEAF4"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21</w:t>
            </w:r>
          </w:p>
        </w:tc>
        <w:tc>
          <w:tcPr>
            <w:tcW w:w="1123" w:type="dxa"/>
            <w:tcBorders>
              <w:top w:val="single" w:sz="4" w:space="0" w:color="ADD6EA"/>
              <w:left w:val="nil"/>
              <w:bottom w:val="nil"/>
              <w:right w:val="nil"/>
            </w:tcBorders>
            <w:shd w:val="clear" w:color="auto" w:fill="D6E7F0"/>
            <w:noWrap/>
            <w:vAlign w:val="bottom"/>
            <w:hideMark/>
          </w:tcPr>
          <w:p w14:paraId="46B494A4"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695</w:t>
            </w:r>
          </w:p>
        </w:tc>
      </w:tr>
      <w:tr w:rsidR="009878D7" w:rsidRPr="00FA590A" w14:paraId="47B65CEE" w14:textId="77777777" w:rsidTr="578E0FCF">
        <w:trPr>
          <w:trHeight w:val="260"/>
        </w:trPr>
        <w:tc>
          <w:tcPr>
            <w:tcW w:w="2617" w:type="dxa"/>
            <w:tcBorders>
              <w:top w:val="single" w:sz="4" w:space="0" w:color="ADD6EA"/>
              <w:left w:val="nil"/>
              <w:bottom w:val="single" w:sz="4" w:space="0" w:color="ADD6EA"/>
              <w:right w:val="nil"/>
            </w:tcBorders>
            <w:shd w:val="clear" w:color="auto" w:fill="B6D5E4"/>
            <w:vAlign w:val="bottom"/>
            <w:hideMark/>
          </w:tcPr>
          <w:p w14:paraId="47CA1DB7" w14:textId="77777777" w:rsidR="009878D7" w:rsidRPr="00FA590A" w:rsidRDefault="009878D7" w:rsidP="00887EC2">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Total ($pc)</w:t>
            </w:r>
          </w:p>
        </w:tc>
        <w:tc>
          <w:tcPr>
            <w:tcW w:w="680" w:type="dxa"/>
            <w:tcBorders>
              <w:top w:val="single" w:sz="4" w:space="0" w:color="ADD6EA"/>
              <w:left w:val="nil"/>
              <w:bottom w:val="single" w:sz="4" w:space="0" w:color="ADD6EA"/>
              <w:right w:val="nil"/>
            </w:tcBorders>
            <w:shd w:val="clear" w:color="auto" w:fill="B6D5E4"/>
            <w:noWrap/>
            <w:vAlign w:val="bottom"/>
            <w:hideMark/>
          </w:tcPr>
          <w:p w14:paraId="2FE2C894"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3</w:t>
            </w:r>
          </w:p>
        </w:tc>
        <w:tc>
          <w:tcPr>
            <w:tcW w:w="760" w:type="dxa"/>
            <w:tcBorders>
              <w:top w:val="single" w:sz="4" w:space="0" w:color="ADD6EA"/>
              <w:left w:val="nil"/>
              <w:bottom w:val="single" w:sz="4" w:space="0" w:color="ADD6EA"/>
              <w:right w:val="nil"/>
            </w:tcBorders>
            <w:shd w:val="clear" w:color="auto" w:fill="B6D5E4"/>
            <w:noWrap/>
            <w:vAlign w:val="bottom"/>
            <w:hideMark/>
          </w:tcPr>
          <w:p w14:paraId="2A359A1A"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-19</w:t>
            </w:r>
          </w:p>
        </w:tc>
        <w:tc>
          <w:tcPr>
            <w:tcW w:w="585" w:type="dxa"/>
            <w:tcBorders>
              <w:top w:val="single" w:sz="4" w:space="0" w:color="ADD6EA"/>
              <w:left w:val="nil"/>
              <w:bottom w:val="single" w:sz="4" w:space="0" w:color="ADD6EA"/>
              <w:right w:val="nil"/>
            </w:tcBorders>
            <w:shd w:val="clear" w:color="auto" w:fill="B6D5E4"/>
            <w:noWrap/>
            <w:vAlign w:val="bottom"/>
            <w:hideMark/>
          </w:tcPr>
          <w:p w14:paraId="6565A418"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-27</w:t>
            </w:r>
          </w:p>
        </w:tc>
        <w:tc>
          <w:tcPr>
            <w:tcW w:w="575" w:type="dxa"/>
            <w:tcBorders>
              <w:top w:val="single" w:sz="4" w:space="0" w:color="ADD6EA"/>
              <w:left w:val="nil"/>
              <w:bottom w:val="single" w:sz="4" w:space="0" w:color="ADD6EA"/>
              <w:right w:val="nil"/>
            </w:tcBorders>
            <w:shd w:val="clear" w:color="auto" w:fill="B6D5E4"/>
            <w:noWrap/>
            <w:vAlign w:val="bottom"/>
            <w:hideMark/>
          </w:tcPr>
          <w:p w14:paraId="075525F5"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105</w:t>
            </w:r>
          </w:p>
        </w:tc>
        <w:tc>
          <w:tcPr>
            <w:tcW w:w="580" w:type="dxa"/>
            <w:tcBorders>
              <w:top w:val="single" w:sz="4" w:space="0" w:color="ADD6EA"/>
              <w:left w:val="nil"/>
              <w:bottom w:val="single" w:sz="4" w:space="0" w:color="ADD6EA"/>
              <w:right w:val="nil"/>
            </w:tcBorders>
            <w:shd w:val="clear" w:color="auto" w:fill="B6D5E4"/>
            <w:noWrap/>
            <w:vAlign w:val="bottom"/>
            <w:hideMark/>
          </w:tcPr>
          <w:p w14:paraId="689DD76E"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-31</w:t>
            </w:r>
          </w:p>
        </w:tc>
        <w:tc>
          <w:tcPr>
            <w:tcW w:w="580" w:type="dxa"/>
            <w:tcBorders>
              <w:top w:val="single" w:sz="4" w:space="0" w:color="ADD6EA"/>
              <w:left w:val="nil"/>
              <w:bottom w:val="single" w:sz="4" w:space="0" w:color="ADD6EA"/>
              <w:right w:val="nil"/>
            </w:tcBorders>
            <w:shd w:val="clear" w:color="auto" w:fill="B6D5E4"/>
            <w:noWrap/>
            <w:vAlign w:val="bottom"/>
            <w:hideMark/>
          </w:tcPr>
          <w:p w14:paraId="0A5E9658"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single" w:sz="4" w:space="0" w:color="ADD6EA"/>
              <w:right w:val="nil"/>
            </w:tcBorders>
            <w:shd w:val="clear" w:color="auto" w:fill="B6D5E4"/>
            <w:noWrap/>
            <w:vAlign w:val="bottom"/>
            <w:hideMark/>
          </w:tcPr>
          <w:p w14:paraId="69BA595A"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-44</w:t>
            </w:r>
          </w:p>
        </w:tc>
        <w:tc>
          <w:tcPr>
            <w:tcW w:w="700" w:type="dxa"/>
            <w:tcBorders>
              <w:top w:val="single" w:sz="4" w:space="0" w:color="ADD6EA"/>
              <w:left w:val="nil"/>
              <w:bottom w:val="single" w:sz="4" w:space="0" w:color="ADD6EA"/>
              <w:right w:val="nil"/>
            </w:tcBorders>
            <w:shd w:val="clear" w:color="auto" w:fill="B6D5E4"/>
            <w:noWrap/>
            <w:vAlign w:val="bottom"/>
            <w:hideMark/>
          </w:tcPr>
          <w:p w14:paraId="2D02B20E"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83</w:t>
            </w:r>
          </w:p>
        </w:tc>
        <w:tc>
          <w:tcPr>
            <w:tcW w:w="1123" w:type="dxa"/>
            <w:tcBorders>
              <w:top w:val="single" w:sz="4" w:space="0" w:color="ADD6EA"/>
              <w:left w:val="nil"/>
              <w:bottom w:val="single" w:sz="4" w:space="0" w:color="ADD6EA"/>
              <w:right w:val="nil"/>
            </w:tcBorders>
            <w:shd w:val="clear" w:color="auto" w:fill="B6D5E4"/>
            <w:noWrap/>
            <w:vAlign w:val="bottom"/>
            <w:hideMark/>
          </w:tcPr>
          <w:p w14:paraId="5B758D30" w14:textId="77777777" w:rsidR="009878D7" w:rsidRPr="00FA590A" w:rsidRDefault="009878D7" w:rsidP="00887EC2">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A590A">
              <w:rPr>
                <w:rFonts w:ascii="Open Sans Semibold" w:eastAsia="Times New Roman" w:hAnsi="Open Sans Semibold" w:cs="Open Sans Semibold"/>
                <w:color w:val="000000"/>
                <w:sz w:val="16"/>
                <w:szCs w:val="16"/>
                <w:lang w:eastAsia="en-AU"/>
              </w:rPr>
              <w:t>26</w:t>
            </w:r>
          </w:p>
        </w:tc>
      </w:tr>
    </w:tbl>
    <w:p w14:paraId="3A17DEEB" w14:textId="77777777" w:rsidR="009878D7" w:rsidRPr="00225B8E" w:rsidRDefault="009878D7" w:rsidP="00225B8E">
      <w:pPr>
        <w:pStyle w:val="CGC2025TableNote"/>
      </w:pPr>
      <w:r w:rsidRPr="00225B8E">
        <w:t>Source: Commission calculation, 2023 Update.</w:t>
      </w:r>
    </w:p>
    <w:p w14:paraId="79AC1BB2" w14:textId="77777777" w:rsidR="009878D7" w:rsidRDefault="009878D7" w:rsidP="009878D7">
      <w:pPr>
        <w:pStyle w:val="Heading2"/>
      </w:pPr>
      <w:bookmarkStart w:id="26" w:name="_Toc121741486"/>
      <w:bookmarkStart w:id="27" w:name="_Toc147410868"/>
      <w:r>
        <w:t>What has changed since the 2020 Review?</w:t>
      </w:r>
      <w:bookmarkEnd w:id="26"/>
      <w:bookmarkEnd w:id="27"/>
    </w:p>
    <w:p w14:paraId="62C13835" w14:textId="074ADAAD" w:rsidR="006A4F7E" w:rsidRDefault="00D65DB6" w:rsidP="006A4F7E">
      <w:pPr>
        <w:pStyle w:val="Heading3"/>
      </w:pPr>
      <w:bookmarkStart w:id="28" w:name="_Toc147410869"/>
      <w:r>
        <w:t xml:space="preserve">COVID-19 </w:t>
      </w:r>
      <w:r w:rsidR="006A4F7E">
        <w:t>increase</w:t>
      </w:r>
      <w:r w:rsidR="0001522A">
        <w:t>d</w:t>
      </w:r>
      <w:r w:rsidR="006A4F7E">
        <w:t xml:space="preserve"> state government spending</w:t>
      </w:r>
      <w:r w:rsidR="00B12FFF">
        <w:t xml:space="preserve"> </w:t>
      </w:r>
      <w:r w:rsidR="009D4AC1">
        <w:t xml:space="preserve">on </w:t>
      </w:r>
      <w:r w:rsidR="00B12FFF">
        <w:t>business development and other industry regulation</w:t>
      </w:r>
      <w:bookmarkEnd w:id="28"/>
    </w:p>
    <w:p w14:paraId="39A24C00" w14:textId="48C54B24" w:rsidR="00A95C59" w:rsidRPr="00A95C59" w:rsidRDefault="00797835" w:rsidP="00B105F6">
      <w:pPr>
        <w:pStyle w:val="CGC2025ParaNumbers"/>
        <w:numPr>
          <w:ilvl w:val="0"/>
          <w:numId w:val="7"/>
        </w:numPr>
        <w:ind w:left="567" w:hanging="567"/>
      </w:pPr>
      <w:r>
        <w:t>State spending on services to industry increase</w:t>
      </w:r>
      <w:r w:rsidR="00AF72B2">
        <w:t>d</w:t>
      </w:r>
      <w:r>
        <w:t xml:space="preserve"> significantly in</w:t>
      </w:r>
      <w:r w:rsidR="001F4CA1">
        <w:t xml:space="preserve"> response to the </w:t>
      </w:r>
      <w:r w:rsidR="003D349A">
        <w:t>COVID-19 pandemic</w:t>
      </w:r>
      <w:r w:rsidR="00D14CF4">
        <w:t xml:space="preserve">. Most of this spending was direct business support, in response to state government </w:t>
      </w:r>
      <w:r w:rsidR="00A20358">
        <w:t xml:space="preserve">travel </w:t>
      </w:r>
      <w:r w:rsidR="000D6A06">
        <w:t xml:space="preserve">restrictions and </w:t>
      </w:r>
      <w:r w:rsidR="00A20358">
        <w:t>lockdowns to contain the spread of the virus</w:t>
      </w:r>
      <w:r w:rsidR="00D14CF4">
        <w:t>.</w:t>
      </w:r>
    </w:p>
    <w:p w14:paraId="254B0F13" w14:textId="12145142" w:rsidR="002F3DA6" w:rsidRPr="00551F01" w:rsidRDefault="0090033B" w:rsidP="00B105F6">
      <w:pPr>
        <w:pStyle w:val="CGC2025ParaNumbers"/>
        <w:numPr>
          <w:ilvl w:val="0"/>
          <w:numId w:val="7"/>
        </w:numPr>
        <w:ind w:left="567" w:hanging="567"/>
      </w:pPr>
      <w:r>
        <w:t xml:space="preserve">As the Commission noted in the </w:t>
      </w:r>
      <w:hyperlink r:id="rId20" w:history="1">
        <w:r w:rsidR="00D03E5A">
          <w:rPr>
            <w:rStyle w:val="Hyperlink"/>
          </w:rPr>
          <w:t>2023 Update New Issues paper</w:t>
        </w:r>
      </w:hyperlink>
      <w:r w:rsidR="00A95C59">
        <w:t>, s</w:t>
      </w:r>
      <w:r w:rsidR="002F3DA6">
        <w:t>tate</w:t>
      </w:r>
      <w:r w:rsidR="001524CF">
        <w:t xml:space="preserve"> spending </w:t>
      </w:r>
      <w:r w:rsidR="002F3DA6">
        <w:t>to support businesses during the COVID-19 pandemic differed distinctly</w:t>
      </w:r>
      <w:r w:rsidR="001524CF">
        <w:t xml:space="preserve"> from </w:t>
      </w:r>
      <w:r w:rsidR="00834697">
        <w:t xml:space="preserve">states’ usual business development programs. Whereas usual state programs tend to have a long-term focus </w:t>
      </w:r>
      <w:r w:rsidR="00D80800">
        <w:t xml:space="preserve">such as </w:t>
      </w:r>
      <w:r w:rsidR="00834697">
        <w:t xml:space="preserve">growing </w:t>
      </w:r>
      <w:r w:rsidR="00D80800">
        <w:t xml:space="preserve">new </w:t>
      </w:r>
      <w:r w:rsidR="00834697">
        <w:t xml:space="preserve">industries and employment, the measures deployed during the pandemic were short-term in nature and aimed at </w:t>
      </w:r>
      <w:r w:rsidR="00D80800">
        <w:t>supporting</w:t>
      </w:r>
      <w:r w:rsidR="00834697">
        <w:t xml:space="preserve"> businesses </w:t>
      </w:r>
      <w:r w:rsidR="00551F01">
        <w:t>until trading conditions returned to normal</w:t>
      </w:r>
      <w:r w:rsidR="00A95C59">
        <w:t>.</w:t>
      </w:r>
    </w:p>
    <w:p w14:paraId="2ACBAA56" w14:textId="678E6A27" w:rsidR="00953D8D" w:rsidRPr="00B105F6" w:rsidRDefault="00D14CF4" w:rsidP="00D14CF4">
      <w:pPr>
        <w:pStyle w:val="CGC2025ParaNumbers"/>
        <w:numPr>
          <w:ilvl w:val="0"/>
          <w:numId w:val="7"/>
        </w:numPr>
        <w:ind w:left="567" w:hanging="567"/>
      </w:pPr>
      <w:r>
        <w:t xml:space="preserve">The </w:t>
      </w:r>
      <w:r w:rsidR="683A1AB7">
        <w:t>C</w:t>
      </w:r>
      <w:r>
        <w:t xml:space="preserve">ommission </w:t>
      </w:r>
      <w:r w:rsidR="00926288">
        <w:t>does not expect</w:t>
      </w:r>
      <w:r w:rsidR="00FB298A">
        <w:t xml:space="preserve"> states to continue </w:t>
      </w:r>
      <w:r w:rsidR="000B0C1B">
        <w:t xml:space="preserve">this </w:t>
      </w:r>
      <w:r w:rsidR="00FB298A">
        <w:t>form of business support</w:t>
      </w:r>
      <w:r w:rsidR="001524CF">
        <w:t xml:space="preserve"> </w:t>
      </w:r>
      <w:r>
        <w:t xml:space="preserve">with the </w:t>
      </w:r>
      <w:r w:rsidR="00A20358">
        <w:t xml:space="preserve">easing of </w:t>
      </w:r>
      <w:r w:rsidR="001524CF">
        <w:t>restrictions</w:t>
      </w:r>
      <w:r>
        <w:t xml:space="preserve"> around</w:t>
      </w:r>
      <w:r w:rsidR="001524CF" w:rsidRPr="001524CF">
        <w:t xml:space="preserve"> </w:t>
      </w:r>
      <w:r w:rsidR="001524CF">
        <w:t>Australia</w:t>
      </w:r>
      <w:r w:rsidR="00D7694E">
        <w:t xml:space="preserve"> in 2022</w:t>
      </w:r>
      <w:r w:rsidR="00CC3E4C">
        <w:t>–</w:t>
      </w:r>
      <w:r w:rsidR="00D7694E">
        <w:t>23</w:t>
      </w:r>
      <w:r>
        <w:t xml:space="preserve">. </w:t>
      </w:r>
      <w:r w:rsidR="00B47D14">
        <w:t>Therefore</w:t>
      </w:r>
      <w:r w:rsidR="00013DED">
        <w:t>, there are no ongoing implications for the assessment methods.</w:t>
      </w:r>
    </w:p>
    <w:p w14:paraId="5AAF6610" w14:textId="319D7588" w:rsidR="009878D7" w:rsidRDefault="00327415" w:rsidP="009878D7">
      <w:pPr>
        <w:pStyle w:val="Heading3"/>
      </w:pPr>
      <w:bookmarkStart w:id="29" w:name="_Toc147410870"/>
      <w:r>
        <w:t>Increased</w:t>
      </w:r>
      <w:r w:rsidR="007C6FAF">
        <w:t xml:space="preserve"> volatility in the regulation assessments</w:t>
      </w:r>
      <w:bookmarkEnd w:id="29"/>
    </w:p>
    <w:p w14:paraId="15EB4AF5" w14:textId="03DE62B5" w:rsidR="009878D7" w:rsidRDefault="00AC6415" w:rsidP="00166A6B">
      <w:pPr>
        <w:pStyle w:val="CGC2025ParaNumbers"/>
        <w:numPr>
          <w:ilvl w:val="0"/>
          <w:numId w:val="7"/>
        </w:numPr>
        <w:ind w:left="567" w:hanging="567"/>
      </w:pPr>
      <w:r>
        <w:t>Since</w:t>
      </w:r>
      <w:r w:rsidR="006825B5">
        <w:t xml:space="preserve"> 2020</w:t>
      </w:r>
      <w:r w:rsidR="00DA682B">
        <w:t>,</w:t>
      </w:r>
      <w:r w:rsidR="006825B5">
        <w:t xml:space="preserve"> p</w:t>
      </w:r>
      <w:r w:rsidR="009878D7">
        <w:t xml:space="preserve">rices for mining and agricultural commodities </w:t>
      </w:r>
      <w:r w:rsidR="006825B5">
        <w:t>have experienced significant volatility</w:t>
      </w:r>
      <w:r w:rsidR="009878D7">
        <w:t>.</w:t>
      </w:r>
      <w:r w:rsidR="006825B5">
        <w:t xml:space="preserve"> </w:t>
      </w:r>
      <w:r w:rsidR="000165B8">
        <w:t>In recent years</w:t>
      </w:r>
      <w:r w:rsidR="009878D7">
        <w:t xml:space="preserve">, commodity prices </w:t>
      </w:r>
      <w:r w:rsidR="00303987">
        <w:t xml:space="preserve">have </w:t>
      </w:r>
      <w:r w:rsidR="009878D7">
        <w:t xml:space="preserve">increased </w:t>
      </w:r>
      <w:r w:rsidR="00943EB2">
        <w:t>strongly</w:t>
      </w:r>
      <w:r w:rsidR="000165B8">
        <w:t>, including</w:t>
      </w:r>
      <w:r w:rsidR="00943EB2">
        <w:t xml:space="preserve"> </w:t>
      </w:r>
      <w:r w:rsidR="0CF32AE6">
        <w:t>in</w:t>
      </w:r>
      <w:r w:rsidR="002B51CE">
        <w:t xml:space="preserve"> response to the conflict in Ukraine</w:t>
      </w:r>
      <w:r w:rsidR="009878D7">
        <w:t xml:space="preserve">. </w:t>
      </w:r>
      <w:r w:rsidR="00CC6876">
        <w:t>Significant c</w:t>
      </w:r>
      <w:r w:rsidR="007A064E">
        <w:t>hanges in commodity prices</w:t>
      </w:r>
      <w:r w:rsidR="00E9032F">
        <w:t xml:space="preserve"> affect the measurement of total factor income which is used to </w:t>
      </w:r>
      <w:r w:rsidR="00F64905">
        <w:t xml:space="preserve">assess </w:t>
      </w:r>
      <w:r w:rsidR="00B30453">
        <w:t xml:space="preserve">state </w:t>
      </w:r>
      <w:r w:rsidR="00B30453">
        <w:lastRenderedPageBreak/>
        <w:t>expense</w:t>
      </w:r>
      <w:r w:rsidR="005E72B5">
        <w:t xml:space="preserve"> needs for industry regulation</w:t>
      </w:r>
      <w:r w:rsidR="004E26C0">
        <w:t>.</w:t>
      </w:r>
      <w:r w:rsidR="00BC407F">
        <w:t xml:space="preserve"> </w:t>
      </w:r>
      <w:r w:rsidR="0000642A">
        <w:t>Th</w:t>
      </w:r>
      <w:r w:rsidR="00727701">
        <w:t>e experience sin</w:t>
      </w:r>
      <w:r w:rsidR="005E3D89">
        <w:t>c</w:t>
      </w:r>
      <w:r w:rsidR="00727701">
        <w:t>e the 2020 Review is that these</w:t>
      </w:r>
      <w:r w:rsidR="0000642A">
        <w:t xml:space="preserve"> changes </w:t>
      </w:r>
      <w:r w:rsidR="00FD639B">
        <w:t xml:space="preserve">in prices </w:t>
      </w:r>
      <w:r w:rsidR="00ED7B00">
        <w:t xml:space="preserve">did not </w:t>
      </w:r>
      <w:r w:rsidR="00345F26">
        <w:t>impact</w:t>
      </w:r>
      <w:r w:rsidR="00BC407F">
        <w:t xml:space="preserve"> </w:t>
      </w:r>
      <w:r w:rsidR="009B1C9A">
        <w:t xml:space="preserve">the need for </w:t>
      </w:r>
      <w:r w:rsidR="00BC407F">
        <w:t xml:space="preserve">state </w:t>
      </w:r>
      <w:r w:rsidR="00104C8D">
        <w:t xml:space="preserve">regulation </w:t>
      </w:r>
      <w:r w:rsidR="0000642A">
        <w:t>spending</w:t>
      </w:r>
      <w:r w:rsidR="003D6F9E">
        <w:t>.</w:t>
      </w:r>
    </w:p>
    <w:p w14:paraId="76053DA3" w14:textId="77777777" w:rsidR="0087423C" w:rsidRDefault="0087423C" w:rsidP="0087423C">
      <w:pPr>
        <w:pStyle w:val="CGC2025ParaNumbers"/>
        <w:numPr>
          <w:ilvl w:val="0"/>
          <w:numId w:val="7"/>
        </w:numPr>
        <w:ind w:left="567" w:hanging="567"/>
      </w:pPr>
      <w:r>
        <w:t>In the 2020 Review, the business regulation assessments were simplified by removing p</w:t>
      </w:r>
      <w:r w:rsidRPr="00E255D8">
        <w:t>opulation and the number of businesses as drivers of</w:t>
      </w:r>
      <w:r>
        <w:t xml:space="preserve"> need. However, this has increased the susceptibility of the assessment to commodity prices that do not reflect changes in the need for state regulation spending.</w:t>
      </w:r>
    </w:p>
    <w:p w14:paraId="7EA755FE" w14:textId="68897168" w:rsidR="009878D7" w:rsidRDefault="009878D7" w:rsidP="009878D7">
      <w:pPr>
        <w:pStyle w:val="Heading3"/>
      </w:pPr>
      <w:bookmarkStart w:id="30" w:name="_Toc147410871"/>
      <w:r>
        <w:t xml:space="preserve">Development and support of industries to transition to net zero </w:t>
      </w:r>
      <w:proofErr w:type="gramStart"/>
      <w:r>
        <w:t>emissions</w:t>
      </w:r>
      <w:bookmarkEnd w:id="30"/>
      <w:proofErr w:type="gramEnd"/>
    </w:p>
    <w:p w14:paraId="07DCC64B" w14:textId="7613B31E" w:rsidR="00FC791C" w:rsidRPr="00106AB3" w:rsidRDefault="3AA418C9" w:rsidP="00166A6B">
      <w:pPr>
        <w:pStyle w:val="CGC2025ParaNumbers"/>
        <w:numPr>
          <w:ilvl w:val="0"/>
          <w:numId w:val="7"/>
        </w:numPr>
        <w:ind w:left="567" w:hanging="567"/>
        <w:rPr>
          <w:rFonts w:eastAsia="Calibri" w:cs="Arial"/>
        </w:rPr>
      </w:pPr>
      <w:r>
        <w:t xml:space="preserve">Since the 2020 Review, </w:t>
      </w:r>
      <w:r w:rsidR="00D73394">
        <w:t xml:space="preserve">international efforts </w:t>
      </w:r>
      <w:r>
        <w:t xml:space="preserve">to </w:t>
      </w:r>
      <w:r w:rsidR="00543ABD">
        <w:t xml:space="preserve">reduce </w:t>
      </w:r>
      <w:r w:rsidR="7C0C5413">
        <w:t>greenh</w:t>
      </w:r>
      <w:r>
        <w:t xml:space="preserve">ouse </w:t>
      </w:r>
      <w:r w:rsidR="7C0C5413">
        <w:t>g</w:t>
      </w:r>
      <w:r>
        <w:t xml:space="preserve">as emissions </w:t>
      </w:r>
      <w:r w:rsidR="00E71D0A">
        <w:t>have accelerated</w:t>
      </w:r>
      <w:r>
        <w:t xml:space="preserve">. </w:t>
      </w:r>
      <w:r w:rsidR="000E7E22">
        <w:t xml:space="preserve">This </w:t>
      </w:r>
      <w:r w:rsidR="003C4FB1">
        <w:t xml:space="preserve">has </w:t>
      </w:r>
      <w:r w:rsidR="00FF18DF">
        <w:t>led to</w:t>
      </w:r>
      <w:r w:rsidR="00D57FBF">
        <w:t xml:space="preserve"> new </w:t>
      </w:r>
      <w:r w:rsidR="00E90744">
        <w:t>business opportunit</w:t>
      </w:r>
      <w:r w:rsidR="007B7A3D">
        <w:t>ies</w:t>
      </w:r>
      <w:r w:rsidR="008949C9">
        <w:t xml:space="preserve"> </w:t>
      </w:r>
      <w:r w:rsidR="0E41AC5A">
        <w:t>including</w:t>
      </w:r>
      <w:r w:rsidR="008949C9">
        <w:t xml:space="preserve"> </w:t>
      </w:r>
      <w:r w:rsidR="00DD7F8A">
        <w:t>in mining</w:t>
      </w:r>
      <w:r w:rsidR="00D333D8">
        <w:t xml:space="preserve">, </w:t>
      </w:r>
      <w:r w:rsidR="0E4EF8B2">
        <w:t>manufacturing,</w:t>
      </w:r>
      <w:r w:rsidR="00E849C7">
        <w:t xml:space="preserve"> </w:t>
      </w:r>
      <w:r w:rsidR="00A514F4">
        <w:t xml:space="preserve">and </w:t>
      </w:r>
      <w:r w:rsidR="00A92D44">
        <w:t>business services</w:t>
      </w:r>
      <w:r w:rsidR="00B755F2">
        <w:t xml:space="preserve"> as well as challenges for transitioning industries and regions</w:t>
      </w:r>
      <w:r w:rsidR="00A92D44">
        <w:t xml:space="preserve">. </w:t>
      </w:r>
      <w:r w:rsidR="00FC791C">
        <w:t xml:space="preserve">As a result, </w:t>
      </w:r>
      <w:r w:rsidR="002018E1">
        <w:t>Commonwealth and</w:t>
      </w:r>
      <w:r>
        <w:t xml:space="preserve"> state governments have </w:t>
      </w:r>
      <w:r w:rsidR="00C01844">
        <w:t>announced</w:t>
      </w:r>
      <w:r>
        <w:t xml:space="preserve"> </w:t>
      </w:r>
      <w:r w:rsidRPr="0064029A">
        <w:t>significant</w:t>
      </w:r>
      <w:r>
        <w:t xml:space="preserve"> spending </w:t>
      </w:r>
      <w:r w:rsidR="2EE805E7">
        <w:t xml:space="preserve">to </w:t>
      </w:r>
      <w:r w:rsidR="00FC791C">
        <w:t xml:space="preserve">support the </w:t>
      </w:r>
      <w:r w:rsidR="00493708">
        <w:t xml:space="preserve">transition of existing industries to </w:t>
      </w:r>
      <w:r w:rsidR="0057758E">
        <w:t xml:space="preserve">a </w:t>
      </w:r>
      <w:r w:rsidR="00493708">
        <w:t>carbon neutral</w:t>
      </w:r>
      <w:r w:rsidR="0057758E">
        <w:t xml:space="preserve"> economy</w:t>
      </w:r>
      <w:r w:rsidR="00493708">
        <w:t xml:space="preserve">, </w:t>
      </w:r>
      <w:r w:rsidR="00FC791C">
        <w:t>develop new industries,</w:t>
      </w:r>
      <w:r w:rsidR="00493708">
        <w:t xml:space="preserve"> and</w:t>
      </w:r>
      <w:r w:rsidR="00FC791C">
        <w:t xml:space="preserve"> offset employment losses in emissions intensive industries</w:t>
      </w:r>
      <w:r w:rsidR="00FC791C" w:rsidRPr="2BAD2FF1">
        <w:rPr>
          <w:rFonts w:eastAsia="Calibri" w:cs="Arial"/>
        </w:rPr>
        <w:t xml:space="preserve">. </w:t>
      </w:r>
      <w:r w:rsidR="006F604A">
        <w:rPr>
          <w:rFonts w:eastAsia="Calibri" w:cs="Arial"/>
        </w:rPr>
        <w:t xml:space="preserve">The Commission </w:t>
      </w:r>
      <w:r w:rsidR="007809AF">
        <w:rPr>
          <w:rFonts w:eastAsia="Calibri" w:cs="Arial"/>
        </w:rPr>
        <w:t xml:space="preserve">notes </w:t>
      </w:r>
      <w:r w:rsidR="006F604A">
        <w:rPr>
          <w:rFonts w:eastAsia="Calibri" w:cs="Arial"/>
        </w:rPr>
        <w:t>that</w:t>
      </w:r>
      <w:r w:rsidR="007809AF">
        <w:rPr>
          <w:rFonts w:eastAsia="Calibri" w:cs="Arial"/>
        </w:rPr>
        <w:t xml:space="preserve"> it has not </w:t>
      </w:r>
      <w:r w:rsidR="09D71636" w:rsidRPr="2A08316A">
        <w:rPr>
          <w:rFonts w:eastAsia="Calibri" w:cs="Arial"/>
        </w:rPr>
        <w:t>currently</w:t>
      </w:r>
      <w:r w:rsidR="3141AC01" w:rsidRPr="2A08316A">
        <w:rPr>
          <w:rFonts w:eastAsia="Calibri" w:cs="Arial"/>
        </w:rPr>
        <w:t xml:space="preserve"> </w:t>
      </w:r>
      <w:r w:rsidR="007809AF">
        <w:rPr>
          <w:rFonts w:eastAsia="Calibri" w:cs="Arial"/>
        </w:rPr>
        <w:t xml:space="preserve">observed </w:t>
      </w:r>
      <w:bookmarkStart w:id="31" w:name="_Int_KDk3QHMu"/>
      <w:r w:rsidR="007809AF">
        <w:rPr>
          <w:rFonts w:eastAsia="Calibri" w:cs="Arial"/>
        </w:rPr>
        <w:t>a large increase</w:t>
      </w:r>
      <w:bookmarkEnd w:id="31"/>
      <w:r w:rsidR="007809AF">
        <w:rPr>
          <w:rFonts w:eastAsia="Calibri" w:cs="Arial"/>
        </w:rPr>
        <w:t xml:space="preserve"> in</w:t>
      </w:r>
      <w:r w:rsidR="00150D9A">
        <w:rPr>
          <w:rFonts w:eastAsia="Calibri" w:cs="Arial"/>
        </w:rPr>
        <w:t xml:space="preserve"> state spending in this area.</w:t>
      </w:r>
      <w:r w:rsidR="007C14D1">
        <w:rPr>
          <w:rFonts w:eastAsia="Calibri" w:cs="Arial"/>
        </w:rPr>
        <w:t xml:space="preserve"> </w:t>
      </w:r>
      <w:r w:rsidR="00FC791C" w:rsidRPr="2BAD2FF1">
        <w:rPr>
          <w:rFonts w:eastAsia="Calibri" w:cs="Arial"/>
        </w:rPr>
        <w:t>Th</w:t>
      </w:r>
      <w:r w:rsidR="005D162C">
        <w:rPr>
          <w:rFonts w:eastAsia="Calibri" w:cs="Arial"/>
        </w:rPr>
        <w:t xml:space="preserve">e announced </w:t>
      </w:r>
      <w:r w:rsidR="00AD6A14">
        <w:rPr>
          <w:rFonts w:eastAsia="Calibri" w:cs="Arial"/>
        </w:rPr>
        <w:t xml:space="preserve">and future </w:t>
      </w:r>
      <w:r w:rsidR="00AE118A">
        <w:rPr>
          <w:rFonts w:eastAsia="Calibri" w:cs="Arial"/>
        </w:rPr>
        <w:t>initiatives</w:t>
      </w:r>
      <w:r w:rsidR="00FC791C" w:rsidRPr="2BAD2FF1">
        <w:rPr>
          <w:rFonts w:eastAsia="Calibri" w:cs="Arial"/>
        </w:rPr>
        <w:t xml:space="preserve"> could </w:t>
      </w:r>
      <w:r w:rsidR="00CA71CC">
        <w:rPr>
          <w:rFonts w:eastAsia="Calibri" w:cs="Arial"/>
        </w:rPr>
        <w:t>see a significant increase in spending</w:t>
      </w:r>
      <w:r w:rsidR="00BA47A7">
        <w:rPr>
          <w:rFonts w:eastAsia="Calibri" w:cs="Arial"/>
        </w:rPr>
        <w:t xml:space="preserve"> to support industries in the transition to net zero and </w:t>
      </w:r>
      <w:r w:rsidR="00FC791C" w:rsidRPr="2BAD2FF1">
        <w:rPr>
          <w:rFonts w:eastAsia="Calibri" w:cs="Arial"/>
        </w:rPr>
        <w:t>result in business development comprising a larger share of state government spending</w:t>
      </w:r>
      <w:r w:rsidR="00D42AB6">
        <w:rPr>
          <w:rFonts w:eastAsia="Calibri" w:cs="Arial"/>
        </w:rPr>
        <w:t xml:space="preserve"> </w:t>
      </w:r>
      <w:r w:rsidR="0010221A">
        <w:rPr>
          <w:rFonts w:eastAsia="Calibri" w:cs="Arial"/>
        </w:rPr>
        <w:t>in the future</w:t>
      </w:r>
      <w:r w:rsidR="00FC791C" w:rsidRPr="2BAD2FF1">
        <w:rPr>
          <w:rFonts w:eastAsia="Calibri" w:cs="Arial"/>
        </w:rPr>
        <w:t>.</w:t>
      </w:r>
    </w:p>
    <w:p w14:paraId="7659F0A2" w14:textId="77777777" w:rsidR="009878D7" w:rsidRDefault="009878D7" w:rsidP="0036162A">
      <w:pPr>
        <w:pStyle w:val="Heading2"/>
        <w:keepNext/>
        <w:rPr>
          <w:rFonts w:eastAsia="Calibri" w:cs="Arial"/>
        </w:rPr>
      </w:pPr>
      <w:bookmarkStart w:id="32" w:name="_Toc121741487"/>
      <w:bookmarkStart w:id="33" w:name="_Toc147410872"/>
      <w:r>
        <w:t xml:space="preserve">Implications </w:t>
      </w:r>
      <w:bookmarkEnd w:id="32"/>
      <w:r>
        <w:t>for assessment</w:t>
      </w:r>
      <w:bookmarkEnd w:id="33"/>
    </w:p>
    <w:p w14:paraId="73717BB2" w14:textId="522FCD75" w:rsidR="009878D7" w:rsidRPr="00A74BC4" w:rsidRDefault="00E04D2E" w:rsidP="00166A6B">
      <w:pPr>
        <w:pStyle w:val="CGC2025ParaNumbers"/>
        <w:numPr>
          <w:ilvl w:val="0"/>
          <w:numId w:val="7"/>
        </w:numPr>
        <w:ind w:left="567" w:hanging="567"/>
      </w:pPr>
      <w:bookmarkStart w:id="34" w:name="_Hlk128488938"/>
      <w:bookmarkStart w:id="35" w:name="_Toc121741488"/>
      <w:r>
        <w:t>T</w:t>
      </w:r>
      <w:r w:rsidR="009878D7">
        <w:t xml:space="preserve">he Commission has identified </w:t>
      </w:r>
      <w:r w:rsidR="00730253">
        <w:t>3</w:t>
      </w:r>
      <w:r w:rsidR="00B83855">
        <w:t xml:space="preserve"> </w:t>
      </w:r>
      <w:r w:rsidR="009878D7">
        <w:t>issues for consideration</w:t>
      </w:r>
      <w:r w:rsidR="00827770">
        <w:t>:</w:t>
      </w:r>
    </w:p>
    <w:p w14:paraId="63A35DD0" w14:textId="1189D693" w:rsidR="009878D7" w:rsidRDefault="009878D7" w:rsidP="007E37A9">
      <w:pPr>
        <w:pStyle w:val="CGC2025Bullet1"/>
      </w:pPr>
      <w:r>
        <w:t xml:space="preserve">Is total factor </w:t>
      </w:r>
      <w:r w:rsidRPr="003A13BA">
        <w:t>income</w:t>
      </w:r>
      <w:r w:rsidR="1663E02B" w:rsidRPr="003A13BA">
        <w:t xml:space="preserve"> </w:t>
      </w:r>
      <w:r w:rsidR="00D764FA" w:rsidRPr="003A13BA">
        <w:t>the most appropriate</w:t>
      </w:r>
      <w:r w:rsidR="1663E02B" w:rsidRPr="003A13BA">
        <w:t xml:space="preserve"> measure of industry size</w:t>
      </w:r>
      <w:r w:rsidR="00D764FA" w:rsidRPr="003A13BA">
        <w:t xml:space="preserve"> </w:t>
      </w:r>
      <w:r w:rsidR="0029345E" w:rsidRPr="003A13BA">
        <w:t>to assess</w:t>
      </w:r>
      <w:r w:rsidRPr="003A13BA">
        <w:t xml:space="preserve"> agriculture,</w:t>
      </w:r>
      <w:r>
        <w:t xml:space="preserve"> mining, and other business regulation expenditure, given that it is influenced by </w:t>
      </w:r>
      <w:r w:rsidR="00603A55">
        <w:t xml:space="preserve">commodity </w:t>
      </w:r>
      <w:r>
        <w:t>price fluctuations?</w:t>
      </w:r>
      <w:bookmarkEnd w:id="34"/>
    </w:p>
    <w:bookmarkEnd w:id="35"/>
    <w:p w14:paraId="2818A83F" w14:textId="2CCCCD44" w:rsidR="00F00F59" w:rsidRDefault="7A85E744" w:rsidP="007E37A9">
      <w:pPr>
        <w:pStyle w:val="CGC2025Bullet1"/>
      </w:pPr>
      <w:r>
        <w:t xml:space="preserve">Should </w:t>
      </w:r>
      <w:r w:rsidR="4B3A3E70">
        <w:t>the number of business</w:t>
      </w:r>
      <w:r w:rsidR="6893C217">
        <w:t>es</w:t>
      </w:r>
      <w:r w:rsidR="4B3A3E70">
        <w:t xml:space="preserve"> be reincluded as a driver in the assessment, subject to it being material</w:t>
      </w:r>
      <w:r w:rsidR="5EF898F6">
        <w:t>?</w:t>
      </w:r>
    </w:p>
    <w:p w14:paraId="0D52E209" w14:textId="59B6061D" w:rsidR="009878D7" w:rsidRDefault="00233933" w:rsidP="007E37A9">
      <w:pPr>
        <w:pStyle w:val="CGC2025Bullet1"/>
        <w:rPr>
          <w:rFonts w:eastAsia="Calibri" w:cs="Arial"/>
        </w:rPr>
      </w:pPr>
      <w:r>
        <w:rPr>
          <w:rFonts w:eastAsia="Calibri" w:cs="Arial"/>
        </w:rPr>
        <w:t xml:space="preserve">Do </w:t>
      </w:r>
      <w:r w:rsidRPr="003A13BA">
        <w:rPr>
          <w:rFonts w:eastAsia="Calibri" w:cs="Arial"/>
        </w:rPr>
        <w:t>states expect the net-zero</w:t>
      </w:r>
      <w:r w:rsidR="00FA0B4B" w:rsidRPr="003A13BA">
        <w:rPr>
          <w:rFonts w:eastAsia="Calibri" w:cs="Arial"/>
        </w:rPr>
        <w:t xml:space="preserve"> energy</w:t>
      </w:r>
      <w:r w:rsidRPr="003A13BA">
        <w:rPr>
          <w:rFonts w:eastAsia="Calibri" w:cs="Arial"/>
        </w:rPr>
        <w:t xml:space="preserve"> transition to result in a sign</w:t>
      </w:r>
      <w:r w:rsidR="00D747BA" w:rsidRPr="003A13BA">
        <w:rPr>
          <w:rFonts w:eastAsia="Calibri" w:cs="Arial"/>
        </w:rPr>
        <w:t xml:space="preserve">ificant increase in </w:t>
      </w:r>
      <w:r w:rsidR="009B28F0" w:rsidRPr="003A13BA">
        <w:rPr>
          <w:rFonts w:eastAsia="Calibri" w:cs="Arial"/>
        </w:rPr>
        <w:t>business development spending?</w:t>
      </w:r>
    </w:p>
    <w:p w14:paraId="3FB63535" w14:textId="67069AB4" w:rsidR="009878D7" w:rsidRDefault="007C6FAF" w:rsidP="009878D7">
      <w:pPr>
        <w:pStyle w:val="Heading3"/>
      </w:pPr>
      <w:bookmarkStart w:id="36" w:name="_Toc147410873"/>
      <w:r>
        <w:t>Volatility in the regulation assessments</w:t>
      </w:r>
      <w:bookmarkEnd w:id="36"/>
    </w:p>
    <w:p w14:paraId="501D8A9C" w14:textId="6DEC651C" w:rsidR="00394995" w:rsidRPr="00F1701F" w:rsidRDefault="00394995" w:rsidP="00D53B7A">
      <w:pPr>
        <w:pStyle w:val="CGC2025ParaNumbers"/>
        <w:numPr>
          <w:ilvl w:val="0"/>
          <w:numId w:val="7"/>
        </w:numPr>
        <w:ind w:left="567" w:hanging="567"/>
      </w:pPr>
      <w:r w:rsidRPr="00F1701F">
        <w:t xml:space="preserve">Currently, the regulation assessments are subject to volatility, driven </w:t>
      </w:r>
      <w:proofErr w:type="gramStart"/>
      <w:r w:rsidR="000E1FDF" w:rsidRPr="00F1701F">
        <w:t xml:space="preserve">in </w:t>
      </w:r>
      <w:r w:rsidR="004744AC" w:rsidRPr="00F1701F">
        <w:t>particular</w:t>
      </w:r>
      <w:r w:rsidR="000E1FDF" w:rsidRPr="00F1701F">
        <w:t xml:space="preserve"> </w:t>
      </w:r>
      <w:r w:rsidRPr="00F1701F">
        <w:t>by</w:t>
      </w:r>
      <w:proofErr w:type="gramEnd"/>
      <w:r w:rsidRPr="00F1701F">
        <w:t xml:space="preserve"> changes in commodity prices.</w:t>
      </w:r>
    </w:p>
    <w:p w14:paraId="4A4C46CB" w14:textId="30243EC2" w:rsidR="003F0DD9" w:rsidRPr="00F1701F" w:rsidRDefault="57F48B41" w:rsidP="3E3845A6">
      <w:pPr>
        <w:pStyle w:val="CGC2025ParaNumbers"/>
        <w:keepLines/>
        <w:numPr>
          <w:ilvl w:val="0"/>
          <w:numId w:val="7"/>
        </w:numPr>
        <w:ind w:left="567" w:hanging="567"/>
        <w:rPr>
          <w:rFonts w:eastAsia="Calibri" w:cs="Arial"/>
        </w:rPr>
      </w:pPr>
      <w:r w:rsidRPr="00F1701F">
        <w:lastRenderedPageBreak/>
        <w:t xml:space="preserve">Prior to the 2020 </w:t>
      </w:r>
      <w:r w:rsidR="6CDF3A53" w:rsidRPr="00F1701F">
        <w:t>r</w:t>
      </w:r>
      <w:r w:rsidRPr="00F1701F">
        <w:t xml:space="preserve">eview, the Commission assessed the need for spending on agriculture business regulation using a weighted combination of the value of production, </w:t>
      </w:r>
      <w:r w:rsidR="5EA0E690" w:rsidRPr="00F1701F">
        <w:t xml:space="preserve">the </w:t>
      </w:r>
      <w:r w:rsidR="75F4B92B" w:rsidRPr="00F1701F">
        <w:t>number of businesses</w:t>
      </w:r>
      <w:r w:rsidRPr="00F1701F">
        <w:t xml:space="preserve"> and </w:t>
      </w:r>
      <w:r w:rsidR="6D21B33A" w:rsidRPr="00F1701F">
        <w:t>state</w:t>
      </w:r>
      <w:r w:rsidRPr="00F1701F">
        <w:t xml:space="preserve"> population</w:t>
      </w:r>
      <w:r w:rsidR="0A85ACC0" w:rsidRPr="00F1701F">
        <w:t>s</w:t>
      </w:r>
      <w:r w:rsidRPr="00F1701F">
        <w:t>. Other business regulation was assessed using a weighted combination of value of production, the size of the non-dwelling private construction sector and population.</w:t>
      </w:r>
      <w:r w:rsidR="00DE2B4D" w:rsidRPr="00F1701F">
        <w:t xml:space="preserve"> </w:t>
      </w:r>
      <w:r w:rsidR="6D30F7F5" w:rsidRPr="00F1701F">
        <w:t>During the 2020</w:t>
      </w:r>
      <w:r w:rsidR="00512684">
        <w:t> </w:t>
      </w:r>
      <w:r w:rsidR="6D30F7F5" w:rsidRPr="00F1701F">
        <w:t xml:space="preserve">Review, </w:t>
      </w:r>
      <w:r w:rsidR="002321D5" w:rsidRPr="00F1701F">
        <w:t xml:space="preserve">a separate </w:t>
      </w:r>
      <w:r w:rsidR="00C24259" w:rsidRPr="00F1701F">
        <w:t xml:space="preserve">component for </w:t>
      </w:r>
      <w:r w:rsidR="00FB3B48" w:rsidRPr="00F1701F">
        <w:t xml:space="preserve">mining regulation was introduced because </w:t>
      </w:r>
      <w:r w:rsidR="00C24259" w:rsidRPr="00F1701F">
        <w:t xml:space="preserve">the assessment was </w:t>
      </w:r>
      <w:r w:rsidR="00FB3B48" w:rsidRPr="00F1701F">
        <w:t>material when considered in isolation from the other industries regulation</w:t>
      </w:r>
      <w:r w:rsidR="00227512" w:rsidRPr="00F1701F">
        <w:t xml:space="preserve"> </w:t>
      </w:r>
      <w:r w:rsidR="00C24259" w:rsidRPr="00F1701F">
        <w:t>components</w:t>
      </w:r>
      <w:r w:rsidR="00FB3B48" w:rsidRPr="00F1701F">
        <w:t>.</w:t>
      </w:r>
    </w:p>
    <w:p w14:paraId="61C6E23B" w14:textId="27D96DC5" w:rsidR="00FD3927" w:rsidRPr="00F1701F" w:rsidRDefault="003F0DD9" w:rsidP="004F10A7">
      <w:pPr>
        <w:pStyle w:val="CGC2025ParaNumbers"/>
        <w:numPr>
          <w:ilvl w:val="0"/>
          <w:numId w:val="7"/>
        </w:numPr>
        <w:ind w:left="567" w:hanging="567"/>
      </w:pPr>
      <w:r w:rsidRPr="00F1701F">
        <w:t>In the 2020 Review, t</w:t>
      </w:r>
      <w:r w:rsidR="6D30F7F5" w:rsidRPr="00F1701F">
        <w:t xml:space="preserve">he Commission </w:t>
      </w:r>
      <w:r w:rsidRPr="00F1701F">
        <w:t xml:space="preserve">also </w:t>
      </w:r>
      <w:r w:rsidR="00555F1C" w:rsidRPr="00F1701F">
        <w:t xml:space="preserve">sought to simplify </w:t>
      </w:r>
      <w:r w:rsidR="6D30F7F5" w:rsidRPr="00F1701F">
        <w:t>the assessment where possible, subject to materiality thresholds.</w:t>
      </w:r>
      <w:r w:rsidR="00555F1C" w:rsidRPr="00F1701F">
        <w:t xml:space="preserve"> </w:t>
      </w:r>
      <w:r w:rsidR="1D7BE25B" w:rsidRPr="00F1701F">
        <w:t xml:space="preserve">To this effect, </w:t>
      </w:r>
      <w:r w:rsidR="0039212A" w:rsidRPr="00F1701F">
        <w:t xml:space="preserve">while the Commission agreed there was a conceptual case for including the number of businesses </w:t>
      </w:r>
      <w:r w:rsidR="000E1BF9" w:rsidRPr="00F1701F">
        <w:t>as a driver of business regulation costs, it removed it</w:t>
      </w:r>
      <w:r w:rsidR="1D7BE25B" w:rsidRPr="00F1701F">
        <w:t xml:space="preserve"> as it</w:t>
      </w:r>
      <w:r w:rsidR="638AC086" w:rsidRPr="00F1701F">
        <w:t xml:space="preserve"> was </w:t>
      </w:r>
      <w:r w:rsidR="00AB5567" w:rsidRPr="00F1701F">
        <w:t>not</w:t>
      </w:r>
      <w:r w:rsidR="1D7BE25B" w:rsidRPr="00F1701F">
        <w:t xml:space="preserve"> material</w:t>
      </w:r>
      <w:r w:rsidR="083C204C" w:rsidRPr="00F1701F">
        <w:t xml:space="preserve"> (</w:t>
      </w:r>
      <w:r w:rsidR="00590E89" w:rsidRPr="00F1701F">
        <w:t xml:space="preserve">Table </w:t>
      </w:r>
      <w:r w:rsidR="00590E89" w:rsidRPr="00F1701F">
        <w:rPr>
          <w:noProof/>
        </w:rPr>
        <w:t>6</w:t>
      </w:r>
      <w:r w:rsidR="00590E89" w:rsidRPr="00F1701F">
        <w:t>)</w:t>
      </w:r>
      <w:r w:rsidR="1D7BE25B" w:rsidRPr="00F1701F">
        <w:t>.</w:t>
      </w:r>
    </w:p>
    <w:p w14:paraId="1083181C" w14:textId="192175C6" w:rsidR="00FD3927" w:rsidRPr="00157C91" w:rsidRDefault="00FD3927" w:rsidP="00FD3927">
      <w:pPr>
        <w:pStyle w:val="Caption"/>
        <w:rPr>
          <w:rFonts w:ascii="Work Sans" w:hAnsi="Work Sans"/>
        </w:rPr>
      </w:pPr>
      <w:bookmarkStart w:id="37" w:name="_Ref146526857"/>
      <w:r w:rsidRPr="00E255D8">
        <w:rPr>
          <w:rFonts w:ascii="Work Sans" w:hAnsi="Work Sans"/>
        </w:rPr>
        <w:t xml:space="preserve">Table </w:t>
      </w:r>
      <w:r w:rsidRPr="00E255D8">
        <w:rPr>
          <w:rFonts w:ascii="Work Sans" w:hAnsi="Work Sans"/>
        </w:rPr>
        <w:fldChar w:fldCharType="begin"/>
      </w:r>
      <w:r w:rsidRPr="00E255D8">
        <w:rPr>
          <w:rFonts w:ascii="Work Sans" w:hAnsi="Work Sans"/>
        </w:rPr>
        <w:instrText xml:space="preserve"> SEQ Table \* ARABIC </w:instrText>
      </w:r>
      <w:r w:rsidRPr="00E255D8">
        <w:rPr>
          <w:rFonts w:ascii="Work Sans" w:hAnsi="Work Sans"/>
        </w:rPr>
        <w:fldChar w:fldCharType="separate"/>
      </w:r>
      <w:r w:rsidR="007567E1">
        <w:rPr>
          <w:rFonts w:ascii="Work Sans" w:hAnsi="Work Sans"/>
          <w:noProof/>
        </w:rPr>
        <w:t>6</w:t>
      </w:r>
      <w:r w:rsidRPr="00E255D8">
        <w:rPr>
          <w:rFonts w:ascii="Work Sans" w:hAnsi="Work Sans"/>
        </w:rPr>
        <w:fldChar w:fldCharType="end"/>
      </w:r>
      <w:bookmarkEnd w:id="37"/>
      <w:r w:rsidRPr="00E255D8">
        <w:rPr>
          <w:rFonts w:ascii="Work Sans" w:hAnsi="Work Sans"/>
        </w:rPr>
        <w:t xml:space="preserve"> </w:t>
      </w:r>
      <w:r w:rsidRPr="00E255D8">
        <w:rPr>
          <w:rFonts w:ascii="Work Sans" w:hAnsi="Work Sans"/>
        </w:rPr>
        <w:tab/>
        <w:t>Materiality of including the number of agriculture and mining businesses alongside value of industry production in the regulation assessment 2020</w:t>
      </w:r>
      <w:r w:rsidR="00F14271">
        <w:rPr>
          <w:rFonts w:ascii="Work Sans" w:hAnsi="Work Sans"/>
        </w:rPr>
        <w:t> </w:t>
      </w:r>
      <w:proofErr w:type="gramStart"/>
      <w:r w:rsidR="00F14271">
        <w:rPr>
          <w:rFonts w:ascii="Work Sans" w:hAnsi="Work Sans"/>
        </w:rPr>
        <w:t>R</w:t>
      </w:r>
      <w:r w:rsidRPr="00E255D8">
        <w:rPr>
          <w:rFonts w:ascii="Work Sans" w:hAnsi="Work Sans"/>
        </w:rPr>
        <w:t>eview</w:t>
      </w:r>
      <w:proofErr w:type="gramEnd"/>
    </w:p>
    <w:tbl>
      <w:tblPr>
        <w:tblW w:w="8940" w:type="dxa"/>
        <w:tblInd w:w="-28" w:type="dxa"/>
        <w:tblCellMar>
          <w:left w:w="28" w:type="dxa"/>
          <w:right w:w="28" w:type="dxa"/>
        </w:tblCellMar>
        <w:tblLook w:val="04A0" w:firstRow="1" w:lastRow="0" w:firstColumn="1" w:lastColumn="0" w:noHBand="0" w:noVBand="1"/>
      </w:tblPr>
      <w:tblGrid>
        <w:gridCol w:w="2160"/>
        <w:gridCol w:w="960"/>
        <w:gridCol w:w="820"/>
        <w:gridCol w:w="880"/>
        <w:gridCol w:w="820"/>
        <w:gridCol w:w="780"/>
        <w:gridCol w:w="820"/>
        <w:gridCol w:w="880"/>
        <w:gridCol w:w="820"/>
      </w:tblGrid>
      <w:tr w:rsidR="004F3850" w:rsidRPr="005B7690" w14:paraId="4F21025B" w14:textId="77777777">
        <w:trPr>
          <w:trHeight w:val="375"/>
        </w:trPr>
        <w:tc>
          <w:tcPr>
            <w:tcW w:w="2160" w:type="dxa"/>
            <w:tcBorders>
              <w:top w:val="single" w:sz="4" w:space="0" w:color="ADD6EA"/>
              <w:left w:val="nil"/>
              <w:bottom w:val="single" w:sz="4" w:space="0" w:color="ADD6EA"/>
              <w:right w:val="nil"/>
            </w:tcBorders>
            <w:shd w:val="clear" w:color="000000" w:fill="006991"/>
            <w:vAlign w:val="center"/>
            <w:hideMark/>
          </w:tcPr>
          <w:p w14:paraId="104099D4" w14:textId="77777777" w:rsidR="00FD3927" w:rsidRPr="005B7690" w:rsidRDefault="00FD3927">
            <w:pPr>
              <w:pStyle w:val="CGCParaNumber"/>
              <w:keepNext/>
              <w:keepLines/>
              <w:numPr>
                <w:ilvl w:val="0"/>
                <w:numId w:val="0"/>
              </w:numPr>
              <w:ind w:left="502" w:hanging="360"/>
              <w:rPr>
                <w:lang w:eastAsia="en-AU"/>
              </w:rPr>
            </w:pPr>
          </w:p>
        </w:tc>
        <w:tc>
          <w:tcPr>
            <w:tcW w:w="960" w:type="dxa"/>
            <w:tcBorders>
              <w:top w:val="single" w:sz="4" w:space="0" w:color="ADD6EA"/>
              <w:left w:val="nil"/>
              <w:bottom w:val="single" w:sz="4" w:space="0" w:color="ADD6EA"/>
              <w:right w:val="nil"/>
            </w:tcBorders>
            <w:shd w:val="clear" w:color="000000" w:fill="006991"/>
            <w:vAlign w:val="center"/>
            <w:hideMark/>
          </w:tcPr>
          <w:p w14:paraId="195A2193"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NSW</w:t>
            </w:r>
          </w:p>
        </w:tc>
        <w:tc>
          <w:tcPr>
            <w:tcW w:w="820" w:type="dxa"/>
            <w:tcBorders>
              <w:top w:val="single" w:sz="4" w:space="0" w:color="ADD6EA"/>
              <w:left w:val="nil"/>
              <w:bottom w:val="single" w:sz="4" w:space="0" w:color="ADD6EA"/>
              <w:right w:val="nil"/>
            </w:tcBorders>
            <w:shd w:val="clear" w:color="000000" w:fill="006991"/>
            <w:vAlign w:val="center"/>
            <w:hideMark/>
          </w:tcPr>
          <w:p w14:paraId="31C6C9CA"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Vic</w:t>
            </w:r>
          </w:p>
        </w:tc>
        <w:tc>
          <w:tcPr>
            <w:tcW w:w="880" w:type="dxa"/>
            <w:tcBorders>
              <w:top w:val="single" w:sz="4" w:space="0" w:color="ADD6EA"/>
              <w:left w:val="nil"/>
              <w:bottom w:val="single" w:sz="4" w:space="0" w:color="ADD6EA"/>
              <w:right w:val="nil"/>
            </w:tcBorders>
            <w:shd w:val="clear" w:color="000000" w:fill="006991"/>
            <w:vAlign w:val="center"/>
            <w:hideMark/>
          </w:tcPr>
          <w:p w14:paraId="32380581"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Qld</w:t>
            </w:r>
          </w:p>
        </w:tc>
        <w:tc>
          <w:tcPr>
            <w:tcW w:w="820" w:type="dxa"/>
            <w:tcBorders>
              <w:top w:val="single" w:sz="4" w:space="0" w:color="ADD6EA"/>
              <w:left w:val="nil"/>
              <w:bottom w:val="single" w:sz="4" w:space="0" w:color="ADD6EA"/>
              <w:right w:val="nil"/>
            </w:tcBorders>
            <w:shd w:val="clear" w:color="000000" w:fill="006991"/>
            <w:vAlign w:val="center"/>
            <w:hideMark/>
          </w:tcPr>
          <w:p w14:paraId="2A37E567"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WA</w:t>
            </w:r>
          </w:p>
        </w:tc>
        <w:tc>
          <w:tcPr>
            <w:tcW w:w="780" w:type="dxa"/>
            <w:tcBorders>
              <w:top w:val="single" w:sz="4" w:space="0" w:color="ADD6EA"/>
              <w:left w:val="nil"/>
              <w:bottom w:val="single" w:sz="4" w:space="0" w:color="ADD6EA"/>
              <w:right w:val="nil"/>
            </w:tcBorders>
            <w:shd w:val="clear" w:color="000000" w:fill="006991"/>
            <w:vAlign w:val="center"/>
            <w:hideMark/>
          </w:tcPr>
          <w:p w14:paraId="3D687B75"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SA</w:t>
            </w:r>
          </w:p>
        </w:tc>
        <w:tc>
          <w:tcPr>
            <w:tcW w:w="820" w:type="dxa"/>
            <w:tcBorders>
              <w:top w:val="single" w:sz="4" w:space="0" w:color="ADD6EA"/>
              <w:left w:val="nil"/>
              <w:bottom w:val="single" w:sz="4" w:space="0" w:color="ADD6EA"/>
              <w:right w:val="nil"/>
            </w:tcBorders>
            <w:shd w:val="clear" w:color="000000" w:fill="006991"/>
            <w:vAlign w:val="center"/>
            <w:hideMark/>
          </w:tcPr>
          <w:p w14:paraId="6C550594"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Tas</w:t>
            </w:r>
          </w:p>
        </w:tc>
        <w:tc>
          <w:tcPr>
            <w:tcW w:w="880" w:type="dxa"/>
            <w:tcBorders>
              <w:top w:val="single" w:sz="4" w:space="0" w:color="ADD6EA"/>
              <w:left w:val="nil"/>
              <w:bottom w:val="single" w:sz="4" w:space="0" w:color="ADD6EA"/>
              <w:right w:val="nil"/>
            </w:tcBorders>
            <w:shd w:val="clear" w:color="000000" w:fill="006991"/>
            <w:vAlign w:val="center"/>
            <w:hideMark/>
          </w:tcPr>
          <w:p w14:paraId="14C3E2F3"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ACT</w:t>
            </w:r>
          </w:p>
        </w:tc>
        <w:tc>
          <w:tcPr>
            <w:tcW w:w="820" w:type="dxa"/>
            <w:tcBorders>
              <w:top w:val="single" w:sz="4" w:space="0" w:color="ADD6EA"/>
              <w:left w:val="nil"/>
              <w:bottom w:val="single" w:sz="4" w:space="0" w:color="ADD6EA"/>
              <w:right w:val="nil"/>
            </w:tcBorders>
            <w:shd w:val="clear" w:color="000000" w:fill="006991"/>
            <w:vAlign w:val="center"/>
            <w:hideMark/>
          </w:tcPr>
          <w:p w14:paraId="39E63236"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NT</w:t>
            </w:r>
          </w:p>
        </w:tc>
      </w:tr>
      <w:tr w:rsidR="004F3850" w:rsidRPr="005B7690" w14:paraId="53F36FE9" w14:textId="77777777">
        <w:trPr>
          <w:trHeight w:val="315"/>
        </w:trPr>
        <w:tc>
          <w:tcPr>
            <w:tcW w:w="2160" w:type="dxa"/>
            <w:tcBorders>
              <w:top w:val="nil"/>
              <w:left w:val="nil"/>
              <w:bottom w:val="single" w:sz="4" w:space="0" w:color="ADD6EA"/>
              <w:right w:val="nil"/>
            </w:tcBorders>
            <w:shd w:val="clear" w:color="000000" w:fill="FFFFFF"/>
            <w:vAlign w:val="bottom"/>
            <w:hideMark/>
          </w:tcPr>
          <w:p w14:paraId="40643480" w14:textId="77777777" w:rsidR="00FD3927" w:rsidRPr="005B7690" w:rsidRDefault="00FD3927">
            <w:pPr>
              <w:keepNext/>
              <w:keepLines/>
              <w:tabs>
                <w:tab w:val="clear" w:pos="567"/>
              </w:tabs>
              <w:spacing w:before="0" w:line="240" w:lineRule="auto"/>
              <w:rPr>
                <w:rFonts w:eastAsia="Times New Roman" w:cs="Open Sans Light"/>
                <w:sz w:val="16"/>
                <w:szCs w:val="16"/>
                <w:lang w:eastAsia="en-AU"/>
              </w:rPr>
            </w:pPr>
            <w:r w:rsidRPr="005B7690">
              <w:rPr>
                <w:rFonts w:eastAsia="Times New Roman" w:cs="Open Sans Light"/>
                <w:sz w:val="16"/>
                <w:szCs w:val="16"/>
                <w:lang w:eastAsia="en-AU"/>
              </w:rPr>
              <w:t>Agriculture ($m)</w:t>
            </w:r>
          </w:p>
        </w:tc>
        <w:tc>
          <w:tcPr>
            <w:tcW w:w="960" w:type="dxa"/>
            <w:tcBorders>
              <w:top w:val="nil"/>
              <w:left w:val="nil"/>
              <w:bottom w:val="single" w:sz="4" w:space="0" w:color="ADD6EA"/>
              <w:right w:val="nil"/>
            </w:tcBorders>
            <w:shd w:val="clear" w:color="000000" w:fill="FFFFFF"/>
            <w:vAlign w:val="bottom"/>
            <w:hideMark/>
          </w:tcPr>
          <w:p w14:paraId="5F3EEB5D"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26</w:t>
            </w:r>
          </w:p>
        </w:tc>
        <w:tc>
          <w:tcPr>
            <w:tcW w:w="820" w:type="dxa"/>
            <w:tcBorders>
              <w:top w:val="nil"/>
              <w:left w:val="nil"/>
              <w:bottom w:val="single" w:sz="4" w:space="0" w:color="ADD6EA"/>
              <w:right w:val="nil"/>
            </w:tcBorders>
            <w:shd w:val="clear" w:color="000000" w:fill="FFFFFF"/>
            <w:vAlign w:val="bottom"/>
            <w:hideMark/>
          </w:tcPr>
          <w:p w14:paraId="0BD838F6"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12</w:t>
            </w:r>
          </w:p>
        </w:tc>
        <w:tc>
          <w:tcPr>
            <w:tcW w:w="880" w:type="dxa"/>
            <w:tcBorders>
              <w:top w:val="nil"/>
              <w:left w:val="nil"/>
              <w:bottom w:val="single" w:sz="4" w:space="0" w:color="ADD6EA"/>
              <w:right w:val="nil"/>
            </w:tcBorders>
            <w:shd w:val="clear" w:color="000000" w:fill="FFFFFF"/>
            <w:vAlign w:val="bottom"/>
            <w:hideMark/>
          </w:tcPr>
          <w:p w14:paraId="010DF79C"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-10</w:t>
            </w:r>
          </w:p>
        </w:tc>
        <w:tc>
          <w:tcPr>
            <w:tcW w:w="820" w:type="dxa"/>
            <w:tcBorders>
              <w:top w:val="nil"/>
              <w:left w:val="nil"/>
              <w:bottom w:val="single" w:sz="4" w:space="0" w:color="ADD6EA"/>
              <w:right w:val="nil"/>
            </w:tcBorders>
            <w:shd w:val="clear" w:color="000000" w:fill="FFFFFF"/>
            <w:vAlign w:val="bottom"/>
            <w:hideMark/>
          </w:tcPr>
          <w:p w14:paraId="0FE0BEAB"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-13</w:t>
            </w:r>
          </w:p>
        </w:tc>
        <w:tc>
          <w:tcPr>
            <w:tcW w:w="780" w:type="dxa"/>
            <w:tcBorders>
              <w:top w:val="nil"/>
              <w:left w:val="nil"/>
              <w:bottom w:val="single" w:sz="4" w:space="0" w:color="ADD6EA"/>
              <w:right w:val="nil"/>
            </w:tcBorders>
            <w:shd w:val="clear" w:color="000000" w:fill="FFFFFF"/>
            <w:vAlign w:val="bottom"/>
            <w:hideMark/>
          </w:tcPr>
          <w:p w14:paraId="3BFF52EE"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w:t>
            </w:r>
          </w:p>
        </w:tc>
        <w:tc>
          <w:tcPr>
            <w:tcW w:w="820" w:type="dxa"/>
            <w:tcBorders>
              <w:top w:val="nil"/>
              <w:left w:val="nil"/>
              <w:bottom w:val="single" w:sz="4" w:space="0" w:color="ADD6EA"/>
              <w:right w:val="nil"/>
            </w:tcBorders>
            <w:shd w:val="clear" w:color="000000" w:fill="FFFFFF"/>
            <w:vAlign w:val="bottom"/>
            <w:hideMark/>
          </w:tcPr>
          <w:p w14:paraId="4D1D4B44"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-11</w:t>
            </w:r>
          </w:p>
        </w:tc>
        <w:tc>
          <w:tcPr>
            <w:tcW w:w="880" w:type="dxa"/>
            <w:tcBorders>
              <w:top w:val="nil"/>
              <w:left w:val="nil"/>
              <w:bottom w:val="single" w:sz="4" w:space="0" w:color="ADD6EA"/>
              <w:right w:val="nil"/>
            </w:tcBorders>
            <w:shd w:val="clear" w:color="000000" w:fill="FFFFFF"/>
            <w:vAlign w:val="bottom"/>
            <w:hideMark/>
          </w:tcPr>
          <w:p w14:paraId="77DD46EB"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0</w:t>
            </w:r>
          </w:p>
        </w:tc>
        <w:tc>
          <w:tcPr>
            <w:tcW w:w="820" w:type="dxa"/>
            <w:tcBorders>
              <w:top w:val="nil"/>
              <w:left w:val="nil"/>
              <w:bottom w:val="single" w:sz="4" w:space="0" w:color="ADD6EA"/>
              <w:right w:val="nil"/>
            </w:tcBorders>
            <w:shd w:val="clear" w:color="000000" w:fill="FFFFFF"/>
            <w:vAlign w:val="bottom"/>
            <w:hideMark/>
          </w:tcPr>
          <w:p w14:paraId="7EF68FB1"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-5</w:t>
            </w:r>
          </w:p>
        </w:tc>
      </w:tr>
      <w:tr w:rsidR="004F3850" w:rsidRPr="005B7690" w14:paraId="4D9CDF6F" w14:textId="77777777">
        <w:trPr>
          <w:trHeight w:val="315"/>
        </w:trPr>
        <w:tc>
          <w:tcPr>
            <w:tcW w:w="2160" w:type="dxa"/>
            <w:tcBorders>
              <w:top w:val="nil"/>
              <w:left w:val="nil"/>
              <w:bottom w:val="single" w:sz="4" w:space="0" w:color="ADD6EA"/>
              <w:right w:val="nil"/>
            </w:tcBorders>
            <w:shd w:val="clear" w:color="000000" w:fill="FFFFFF"/>
            <w:vAlign w:val="bottom"/>
            <w:hideMark/>
          </w:tcPr>
          <w:p w14:paraId="3D192C2A" w14:textId="77777777" w:rsidR="00FD3927" w:rsidRPr="005B7690" w:rsidRDefault="00FD3927">
            <w:pPr>
              <w:keepNext/>
              <w:keepLines/>
              <w:tabs>
                <w:tab w:val="clear" w:pos="567"/>
              </w:tabs>
              <w:spacing w:before="0" w:line="240" w:lineRule="auto"/>
              <w:rPr>
                <w:rFonts w:eastAsia="Times New Roman" w:cs="Open Sans Light"/>
                <w:sz w:val="16"/>
                <w:szCs w:val="16"/>
                <w:lang w:eastAsia="en-AU"/>
              </w:rPr>
            </w:pPr>
            <w:r w:rsidRPr="005B7690">
              <w:rPr>
                <w:rFonts w:eastAsia="Times New Roman" w:cs="Open Sans Light"/>
                <w:sz w:val="16"/>
                <w:szCs w:val="16"/>
                <w:lang w:eastAsia="en-AU"/>
              </w:rPr>
              <w:t>Mining ($m)</w:t>
            </w:r>
          </w:p>
        </w:tc>
        <w:tc>
          <w:tcPr>
            <w:tcW w:w="960" w:type="dxa"/>
            <w:tcBorders>
              <w:top w:val="nil"/>
              <w:left w:val="nil"/>
              <w:bottom w:val="single" w:sz="4" w:space="0" w:color="ADD6EA"/>
              <w:right w:val="nil"/>
            </w:tcBorders>
            <w:shd w:val="clear" w:color="000000" w:fill="FFFFFF"/>
            <w:vAlign w:val="bottom"/>
            <w:hideMark/>
          </w:tcPr>
          <w:p w14:paraId="09C01E07"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11</w:t>
            </w:r>
          </w:p>
        </w:tc>
        <w:tc>
          <w:tcPr>
            <w:tcW w:w="820" w:type="dxa"/>
            <w:tcBorders>
              <w:top w:val="nil"/>
              <w:left w:val="nil"/>
              <w:bottom w:val="single" w:sz="4" w:space="0" w:color="ADD6EA"/>
              <w:right w:val="nil"/>
            </w:tcBorders>
            <w:shd w:val="clear" w:color="000000" w:fill="FFFFFF"/>
            <w:vAlign w:val="bottom"/>
            <w:hideMark/>
          </w:tcPr>
          <w:p w14:paraId="2A4CB30F"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4</w:t>
            </w:r>
          </w:p>
        </w:tc>
        <w:tc>
          <w:tcPr>
            <w:tcW w:w="880" w:type="dxa"/>
            <w:tcBorders>
              <w:top w:val="nil"/>
              <w:left w:val="nil"/>
              <w:bottom w:val="single" w:sz="4" w:space="0" w:color="ADD6EA"/>
              <w:right w:val="nil"/>
            </w:tcBorders>
            <w:shd w:val="clear" w:color="000000" w:fill="FFFFFF"/>
            <w:vAlign w:val="bottom"/>
            <w:hideMark/>
          </w:tcPr>
          <w:p w14:paraId="5B7E08FC"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9</w:t>
            </w:r>
          </w:p>
        </w:tc>
        <w:tc>
          <w:tcPr>
            <w:tcW w:w="820" w:type="dxa"/>
            <w:tcBorders>
              <w:top w:val="nil"/>
              <w:left w:val="nil"/>
              <w:bottom w:val="single" w:sz="4" w:space="0" w:color="ADD6EA"/>
              <w:right w:val="nil"/>
            </w:tcBorders>
            <w:shd w:val="clear" w:color="000000" w:fill="FFFFFF"/>
            <w:vAlign w:val="bottom"/>
            <w:hideMark/>
          </w:tcPr>
          <w:p w14:paraId="0D2B90C7"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-26</w:t>
            </w:r>
          </w:p>
        </w:tc>
        <w:tc>
          <w:tcPr>
            <w:tcW w:w="780" w:type="dxa"/>
            <w:tcBorders>
              <w:top w:val="nil"/>
              <w:left w:val="nil"/>
              <w:bottom w:val="single" w:sz="4" w:space="0" w:color="ADD6EA"/>
              <w:right w:val="nil"/>
            </w:tcBorders>
            <w:shd w:val="clear" w:color="000000" w:fill="FFFFFF"/>
            <w:vAlign w:val="bottom"/>
            <w:hideMark/>
          </w:tcPr>
          <w:p w14:paraId="5B5DE4FA"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w:t>
            </w:r>
          </w:p>
        </w:tc>
        <w:tc>
          <w:tcPr>
            <w:tcW w:w="820" w:type="dxa"/>
            <w:tcBorders>
              <w:top w:val="nil"/>
              <w:left w:val="nil"/>
              <w:bottom w:val="single" w:sz="4" w:space="0" w:color="ADD6EA"/>
              <w:right w:val="nil"/>
            </w:tcBorders>
            <w:shd w:val="clear" w:color="000000" w:fill="FFFFFF"/>
            <w:vAlign w:val="bottom"/>
            <w:hideMark/>
          </w:tcPr>
          <w:p w14:paraId="3C263DFC"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3</w:t>
            </w:r>
          </w:p>
        </w:tc>
        <w:tc>
          <w:tcPr>
            <w:tcW w:w="880" w:type="dxa"/>
            <w:tcBorders>
              <w:top w:val="nil"/>
              <w:left w:val="nil"/>
              <w:bottom w:val="single" w:sz="4" w:space="0" w:color="ADD6EA"/>
              <w:right w:val="nil"/>
            </w:tcBorders>
            <w:shd w:val="clear" w:color="000000" w:fill="FFFFFF"/>
            <w:vAlign w:val="bottom"/>
            <w:hideMark/>
          </w:tcPr>
          <w:p w14:paraId="2224CD5B"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w:t>
            </w:r>
          </w:p>
        </w:tc>
        <w:tc>
          <w:tcPr>
            <w:tcW w:w="820" w:type="dxa"/>
            <w:tcBorders>
              <w:top w:val="nil"/>
              <w:left w:val="nil"/>
              <w:bottom w:val="single" w:sz="4" w:space="0" w:color="ADD6EA"/>
              <w:right w:val="nil"/>
            </w:tcBorders>
            <w:shd w:val="clear" w:color="000000" w:fill="FFFFFF"/>
            <w:vAlign w:val="bottom"/>
            <w:hideMark/>
          </w:tcPr>
          <w:p w14:paraId="78E6E99B"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-3</w:t>
            </w:r>
          </w:p>
        </w:tc>
      </w:tr>
      <w:tr w:rsidR="004F3850" w:rsidRPr="005B7690" w14:paraId="108550AB" w14:textId="77777777">
        <w:trPr>
          <w:trHeight w:val="315"/>
        </w:trPr>
        <w:tc>
          <w:tcPr>
            <w:tcW w:w="2160" w:type="dxa"/>
            <w:tcBorders>
              <w:top w:val="nil"/>
              <w:left w:val="nil"/>
              <w:bottom w:val="single" w:sz="4" w:space="0" w:color="ADD6EA"/>
              <w:right w:val="nil"/>
            </w:tcBorders>
            <w:shd w:val="clear" w:color="000000" w:fill="D6E7F0"/>
            <w:vAlign w:val="bottom"/>
            <w:hideMark/>
          </w:tcPr>
          <w:p w14:paraId="1634968B" w14:textId="77777777" w:rsidR="00FD3927" w:rsidRPr="005B7690" w:rsidRDefault="00FD3927">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Total ($m)</w:t>
            </w:r>
          </w:p>
        </w:tc>
        <w:tc>
          <w:tcPr>
            <w:tcW w:w="960" w:type="dxa"/>
            <w:tcBorders>
              <w:top w:val="nil"/>
              <w:left w:val="nil"/>
              <w:bottom w:val="single" w:sz="4" w:space="0" w:color="ADD6EA"/>
              <w:right w:val="nil"/>
            </w:tcBorders>
            <w:shd w:val="clear" w:color="000000" w:fill="D6E7F0"/>
            <w:vAlign w:val="bottom"/>
            <w:hideMark/>
          </w:tcPr>
          <w:p w14:paraId="7A801794"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38</w:t>
            </w:r>
          </w:p>
        </w:tc>
        <w:tc>
          <w:tcPr>
            <w:tcW w:w="820" w:type="dxa"/>
            <w:tcBorders>
              <w:top w:val="nil"/>
              <w:left w:val="nil"/>
              <w:bottom w:val="single" w:sz="4" w:space="0" w:color="ADD6EA"/>
              <w:right w:val="nil"/>
            </w:tcBorders>
            <w:shd w:val="clear" w:color="000000" w:fill="D6E7F0"/>
            <w:vAlign w:val="bottom"/>
            <w:hideMark/>
          </w:tcPr>
          <w:p w14:paraId="1F1574BD"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15</w:t>
            </w:r>
          </w:p>
        </w:tc>
        <w:tc>
          <w:tcPr>
            <w:tcW w:w="880" w:type="dxa"/>
            <w:tcBorders>
              <w:top w:val="nil"/>
              <w:left w:val="nil"/>
              <w:bottom w:val="single" w:sz="4" w:space="0" w:color="ADD6EA"/>
              <w:right w:val="nil"/>
            </w:tcBorders>
            <w:shd w:val="clear" w:color="000000" w:fill="D6E7F0"/>
            <w:vAlign w:val="bottom"/>
            <w:hideMark/>
          </w:tcPr>
          <w:p w14:paraId="152C46C3"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-2</w:t>
            </w:r>
          </w:p>
        </w:tc>
        <w:tc>
          <w:tcPr>
            <w:tcW w:w="820" w:type="dxa"/>
            <w:tcBorders>
              <w:top w:val="nil"/>
              <w:left w:val="nil"/>
              <w:bottom w:val="single" w:sz="4" w:space="0" w:color="ADD6EA"/>
              <w:right w:val="nil"/>
            </w:tcBorders>
            <w:shd w:val="clear" w:color="000000" w:fill="D6E7F0"/>
            <w:vAlign w:val="bottom"/>
            <w:hideMark/>
          </w:tcPr>
          <w:p w14:paraId="5EA360FC"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-39</w:t>
            </w:r>
          </w:p>
        </w:tc>
        <w:tc>
          <w:tcPr>
            <w:tcW w:w="780" w:type="dxa"/>
            <w:tcBorders>
              <w:top w:val="nil"/>
              <w:left w:val="nil"/>
              <w:bottom w:val="single" w:sz="4" w:space="0" w:color="ADD6EA"/>
              <w:right w:val="nil"/>
            </w:tcBorders>
            <w:shd w:val="clear" w:color="000000" w:fill="D6E7F0"/>
            <w:vAlign w:val="bottom"/>
            <w:hideMark/>
          </w:tcPr>
          <w:p w14:paraId="3CCC7B97"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3</w:t>
            </w:r>
          </w:p>
        </w:tc>
        <w:tc>
          <w:tcPr>
            <w:tcW w:w="820" w:type="dxa"/>
            <w:tcBorders>
              <w:top w:val="nil"/>
              <w:left w:val="nil"/>
              <w:bottom w:val="single" w:sz="4" w:space="0" w:color="ADD6EA"/>
              <w:right w:val="nil"/>
            </w:tcBorders>
            <w:shd w:val="clear" w:color="000000" w:fill="D6E7F0"/>
            <w:vAlign w:val="bottom"/>
            <w:hideMark/>
          </w:tcPr>
          <w:p w14:paraId="0BAE13BE"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-9</w:t>
            </w:r>
          </w:p>
        </w:tc>
        <w:tc>
          <w:tcPr>
            <w:tcW w:w="880" w:type="dxa"/>
            <w:tcBorders>
              <w:top w:val="nil"/>
              <w:left w:val="nil"/>
              <w:bottom w:val="single" w:sz="4" w:space="0" w:color="ADD6EA"/>
              <w:right w:val="nil"/>
            </w:tcBorders>
            <w:shd w:val="clear" w:color="000000" w:fill="D6E7F0"/>
            <w:vAlign w:val="bottom"/>
            <w:hideMark/>
          </w:tcPr>
          <w:p w14:paraId="3038293B"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1</w:t>
            </w:r>
          </w:p>
        </w:tc>
        <w:tc>
          <w:tcPr>
            <w:tcW w:w="820" w:type="dxa"/>
            <w:tcBorders>
              <w:top w:val="nil"/>
              <w:left w:val="nil"/>
              <w:bottom w:val="single" w:sz="4" w:space="0" w:color="ADD6EA"/>
              <w:right w:val="nil"/>
            </w:tcBorders>
            <w:shd w:val="clear" w:color="000000" w:fill="D6E7F0"/>
            <w:vAlign w:val="bottom"/>
            <w:hideMark/>
          </w:tcPr>
          <w:p w14:paraId="759281AA"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-8</w:t>
            </w:r>
          </w:p>
        </w:tc>
      </w:tr>
      <w:tr w:rsidR="004F3850" w:rsidRPr="005B7690" w14:paraId="7E8AB019" w14:textId="77777777">
        <w:trPr>
          <w:trHeight w:val="315"/>
        </w:trPr>
        <w:tc>
          <w:tcPr>
            <w:tcW w:w="2160" w:type="dxa"/>
            <w:tcBorders>
              <w:top w:val="nil"/>
              <w:left w:val="nil"/>
              <w:bottom w:val="single" w:sz="4" w:space="0" w:color="ADD6EA"/>
              <w:right w:val="nil"/>
            </w:tcBorders>
            <w:shd w:val="clear" w:color="000000" w:fill="FFFFFF"/>
            <w:vAlign w:val="bottom"/>
            <w:hideMark/>
          </w:tcPr>
          <w:p w14:paraId="657477FA" w14:textId="77777777" w:rsidR="00FD3927" w:rsidRPr="005B7690" w:rsidRDefault="00FD3927">
            <w:pPr>
              <w:keepNext/>
              <w:keepLines/>
              <w:tabs>
                <w:tab w:val="clear" w:pos="567"/>
              </w:tabs>
              <w:spacing w:before="0" w:line="240" w:lineRule="auto"/>
              <w:rPr>
                <w:rFonts w:eastAsia="Times New Roman" w:cs="Open Sans Light"/>
                <w:sz w:val="16"/>
                <w:szCs w:val="16"/>
                <w:lang w:eastAsia="en-AU"/>
              </w:rPr>
            </w:pPr>
            <w:r w:rsidRPr="005B7690">
              <w:rPr>
                <w:rFonts w:eastAsia="Times New Roman" w:cs="Open Sans Light"/>
                <w:sz w:val="16"/>
                <w:szCs w:val="16"/>
                <w:lang w:eastAsia="en-AU"/>
              </w:rPr>
              <w:t>Agriculture ($pc)</w:t>
            </w:r>
          </w:p>
        </w:tc>
        <w:tc>
          <w:tcPr>
            <w:tcW w:w="960" w:type="dxa"/>
            <w:tcBorders>
              <w:top w:val="nil"/>
              <w:left w:val="nil"/>
              <w:bottom w:val="single" w:sz="4" w:space="0" w:color="ADD6EA"/>
              <w:right w:val="nil"/>
            </w:tcBorders>
            <w:shd w:val="clear" w:color="000000" w:fill="FFFFFF"/>
            <w:vAlign w:val="bottom"/>
            <w:hideMark/>
          </w:tcPr>
          <w:p w14:paraId="402B9314"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3</w:t>
            </w:r>
          </w:p>
        </w:tc>
        <w:tc>
          <w:tcPr>
            <w:tcW w:w="820" w:type="dxa"/>
            <w:tcBorders>
              <w:top w:val="nil"/>
              <w:left w:val="nil"/>
              <w:bottom w:val="single" w:sz="4" w:space="0" w:color="ADD6EA"/>
              <w:right w:val="nil"/>
            </w:tcBorders>
            <w:shd w:val="clear" w:color="000000" w:fill="FFFFFF"/>
            <w:vAlign w:val="bottom"/>
            <w:hideMark/>
          </w:tcPr>
          <w:p w14:paraId="62B63743"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w:t>
            </w:r>
          </w:p>
        </w:tc>
        <w:tc>
          <w:tcPr>
            <w:tcW w:w="880" w:type="dxa"/>
            <w:tcBorders>
              <w:top w:val="nil"/>
              <w:left w:val="nil"/>
              <w:bottom w:val="single" w:sz="4" w:space="0" w:color="ADD6EA"/>
              <w:right w:val="nil"/>
            </w:tcBorders>
            <w:shd w:val="clear" w:color="000000" w:fill="FFFFFF"/>
            <w:vAlign w:val="bottom"/>
            <w:hideMark/>
          </w:tcPr>
          <w:p w14:paraId="0372ECBF"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w:t>
            </w:r>
          </w:p>
        </w:tc>
        <w:tc>
          <w:tcPr>
            <w:tcW w:w="820" w:type="dxa"/>
            <w:tcBorders>
              <w:top w:val="nil"/>
              <w:left w:val="nil"/>
              <w:bottom w:val="single" w:sz="4" w:space="0" w:color="ADD6EA"/>
              <w:right w:val="nil"/>
            </w:tcBorders>
            <w:shd w:val="clear" w:color="000000" w:fill="FFFFFF"/>
            <w:vAlign w:val="bottom"/>
            <w:hideMark/>
          </w:tcPr>
          <w:p w14:paraId="6AF101F9"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-5</w:t>
            </w:r>
          </w:p>
        </w:tc>
        <w:tc>
          <w:tcPr>
            <w:tcW w:w="780" w:type="dxa"/>
            <w:tcBorders>
              <w:top w:val="nil"/>
              <w:left w:val="nil"/>
              <w:bottom w:val="single" w:sz="4" w:space="0" w:color="ADD6EA"/>
              <w:right w:val="nil"/>
            </w:tcBorders>
            <w:shd w:val="clear" w:color="000000" w:fill="FFFFFF"/>
            <w:vAlign w:val="bottom"/>
            <w:hideMark/>
          </w:tcPr>
          <w:p w14:paraId="3AE59C34"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w:t>
            </w:r>
          </w:p>
        </w:tc>
        <w:tc>
          <w:tcPr>
            <w:tcW w:w="820" w:type="dxa"/>
            <w:tcBorders>
              <w:top w:val="nil"/>
              <w:left w:val="nil"/>
              <w:bottom w:val="single" w:sz="4" w:space="0" w:color="ADD6EA"/>
              <w:right w:val="nil"/>
            </w:tcBorders>
            <w:shd w:val="clear" w:color="000000" w:fill="FFFFFF"/>
            <w:vAlign w:val="bottom"/>
            <w:hideMark/>
          </w:tcPr>
          <w:p w14:paraId="15A63C5A"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-22</w:t>
            </w:r>
          </w:p>
        </w:tc>
        <w:tc>
          <w:tcPr>
            <w:tcW w:w="880" w:type="dxa"/>
            <w:tcBorders>
              <w:top w:val="nil"/>
              <w:left w:val="nil"/>
              <w:bottom w:val="single" w:sz="4" w:space="0" w:color="ADD6EA"/>
              <w:right w:val="nil"/>
            </w:tcBorders>
            <w:shd w:val="clear" w:color="000000" w:fill="FFFFFF"/>
            <w:vAlign w:val="bottom"/>
            <w:hideMark/>
          </w:tcPr>
          <w:p w14:paraId="25660AC9"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0</w:t>
            </w:r>
          </w:p>
        </w:tc>
        <w:tc>
          <w:tcPr>
            <w:tcW w:w="820" w:type="dxa"/>
            <w:tcBorders>
              <w:top w:val="nil"/>
              <w:left w:val="nil"/>
              <w:bottom w:val="single" w:sz="4" w:space="0" w:color="ADD6EA"/>
              <w:right w:val="nil"/>
            </w:tcBorders>
            <w:shd w:val="clear" w:color="000000" w:fill="FFFFFF"/>
            <w:vAlign w:val="bottom"/>
            <w:hideMark/>
          </w:tcPr>
          <w:p w14:paraId="56B87C70"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-21</w:t>
            </w:r>
          </w:p>
        </w:tc>
      </w:tr>
      <w:tr w:rsidR="004F3850" w:rsidRPr="005B7690" w14:paraId="37E23B1D" w14:textId="77777777">
        <w:trPr>
          <w:trHeight w:val="315"/>
        </w:trPr>
        <w:tc>
          <w:tcPr>
            <w:tcW w:w="2160" w:type="dxa"/>
            <w:tcBorders>
              <w:top w:val="nil"/>
              <w:left w:val="nil"/>
              <w:bottom w:val="single" w:sz="4" w:space="0" w:color="ADD6EA"/>
              <w:right w:val="nil"/>
            </w:tcBorders>
            <w:shd w:val="clear" w:color="000000" w:fill="FFFFFF"/>
            <w:vAlign w:val="bottom"/>
            <w:hideMark/>
          </w:tcPr>
          <w:p w14:paraId="2992A000" w14:textId="77777777" w:rsidR="00FD3927" w:rsidRPr="005B7690" w:rsidRDefault="00FD3927">
            <w:pPr>
              <w:keepNext/>
              <w:keepLines/>
              <w:tabs>
                <w:tab w:val="clear" w:pos="567"/>
              </w:tabs>
              <w:spacing w:before="0" w:line="240" w:lineRule="auto"/>
              <w:rPr>
                <w:rFonts w:eastAsia="Times New Roman" w:cs="Open Sans Light"/>
                <w:sz w:val="16"/>
                <w:szCs w:val="16"/>
                <w:lang w:eastAsia="en-AU"/>
              </w:rPr>
            </w:pPr>
            <w:r w:rsidRPr="005B7690">
              <w:rPr>
                <w:rFonts w:eastAsia="Times New Roman" w:cs="Open Sans Light"/>
                <w:sz w:val="16"/>
                <w:szCs w:val="16"/>
                <w:lang w:eastAsia="en-AU"/>
              </w:rPr>
              <w:t>Mining ($pc)</w:t>
            </w:r>
          </w:p>
        </w:tc>
        <w:tc>
          <w:tcPr>
            <w:tcW w:w="960" w:type="dxa"/>
            <w:tcBorders>
              <w:top w:val="nil"/>
              <w:left w:val="nil"/>
              <w:bottom w:val="single" w:sz="4" w:space="0" w:color="ADD6EA"/>
              <w:right w:val="nil"/>
            </w:tcBorders>
            <w:shd w:val="clear" w:color="000000" w:fill="FFFFFF"/>
            <w:vAlign w:val="bottom"/>
            <w:hideMark/>
          </w:tcPr>
          <w:p w14:paraId="7910EFA5"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w:t>
            </w:r>
          </w:p>
        </w:tc>
        <w:tc>
          <w:tcPr>
            <w:tcW w:w="820" w:type="dxa"/>
            <w:tcBorders>
              <w:top w:val="nil"/>
              <w:left w:val="nil"/>
              <w:bottom w:val="single" w:sz="4" w:space="0" w:color="ADD6EA"/>
              <w:right w:val="nil"/>
            </w:tcBorders>
            <w:shd w:val="clear" w:color="000000" w:fill="FFFFFF"/>
            <w:vAlign w:val="bottom"/>
            <w:hideMark/>
          </w:tcPr>
          <w:p w14:paraId="19C6905E"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w:t>
            </w:r>
          </w:p>
        </w:tc>
        <w:tc>
          <w:tcPr>
            <w:tcW w:w="880" w:type="dxa"/>
            <w:tcBorders>
              <w:top w:val="nil"/>
              <w:left w:val="nil"/>
              <w:bottom w:val="single" w:sz="4" w:space="0" w:color="ADD6EA"/>
              <w:right w:val="nil"/>
            </w:tcBorders>
            <w:shd w:val="clear" w:color="000000" w:fill="FFFFFF"/>
            <w:vAlign w:val="bottom"/>
            <w:hideMark/>
          </w:tcPr>
          <w:p w14:paraId="719D30B3"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2</w:t>
            </w:r>
          </w:p>
        </w:tc>
        <w:tc>
          <w:tcPr>
            <w:tcW w:w="820" w:type="dxa"/>
            <w:tcBorders>
              <w:top w:val="nil"/>
              <w:left w:val="nil"/>
              <w:bottom w:val="single" w:sz="4" w:space="0" w:color="ADD6EA"/>
              <w:right w:val="nil"/>
            </w:tcBorders>
            <w:shd w:val="clear" w:color="000000" w:fill="FFFFFF"/>
            <w:vAlign w:val="bottom"/>
            <w:hideMark/>
          </w:tcPr>
          <w:p w14:paraId="366238F7"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-10</w:t>
            </w:r>
          </w:p>
        </w:tc>
        <w:tc>
          <w:tcPr>
            <w:tcW w:w="780" w:type="dxa"/>
            <w:tcBorders>
              <w:top w:val="nil"/>
              <w:left w:val="nil"/>
              <w:bottom w:val="single" w:sz="4" w:space="0" w:color="ADD6EA"/>
              <w:right w:val="nil"/>
            </w:tcBorders>
            <w:shd w:val="clear" w:color="000000" w:fill="FFFFFF"/>
            <w:vAlign w:val="bottom"/>
            <w:hideMark/>
          </w:tcPr>
          <w:p w14:paraId="713031F8"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w:t>
            </w:r>
          </w:p>
        </w:tc>
        <w:tc>
          <w:tcPr>
            <w:tcW w:w="820" w:type="dxa"/>
            <w:tcBorders>
              <w:top w:val="nil"/>
              <w:left w:val="nil"/>
              <w:bottom w:val="single" w:sz="4" w:space="0" w:color="ADD6EA"/>
              <w:right w:val="nil"/>
            </w:tcBorders>
            <w:shd w:val="clear" w:color="000000" w:fill="FFFFFF"/>
            <w:vAlign w:val="bottom"/>
            <w:hideMark/>
          </w:tcPr>
          <w:p w14:paraId="60F9F9EB"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5</w:t>
            </w:r>
          </w:p>
        </w:tc>
        <w:tc>
          <w:tcPr>
            <w:tcW w:w="880" w:type="dxa"/>
            <w:tcBorders>
              <w:top w:val="nil"/>
              <w:left w:val="nil"/>
              <w:bottom w:val="single" w:sz="4" w:space="0" w:color="ADD6EA"/>
              <w:right w:val="nil"/>
            </w:tcBorders>
            <w:shd w:val="clear" w:color="000000" w:fill="FFFFFF"/>
            <w:vAlign w:val="bottom"/>
            <w:hideMark/>
          </w:tcPr>
          <w:p w14:paraId="70F58BE7"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3</w:t>
            </w:r>
          </w:p>
        </w:tc>
        <w:tc>
          <w:tcPr>
            <w:tcW w:w="820" w:type="dxa"/>
            <w:tcBorders>
              <w:top w:val="nil"/>
              <w:left w:val="nil"/>
              <w:bottom w:val="single" w:sz="4" w:space="0" w:color="ADD6EA"/>
              <w:right w:val="nil"/>
            </w:tcBorders>
            <w:shd w:val="clear" w:color="000000" w:fill="FFFFFF"/>
            <w:vAlign w:val="bottom"/>
            <w:hideMark/>
          </w:tcPr>
          <w:p w14:paraId="17050D77" w14:textId="77777777" w:rsidR="00FD3927" w:rsidRPr="005B7690" w:rsidRDefault="00FD3927">
            <w:pPr>
              <w:keepNext/>
              <w:keepLines/>
              <w:tabs>
                <w:tab w:val="clear" w:pos="567"/>
              </w:tabs>
              <w:spacing w:before="0" w:line="240" w:lineRule="auto"/>
              <w:jc w:val="right"/>
              <w:rPr>
                <w:rFonts w:eastAsia="Times New Roman" w:cs="Open Sans Light"/>
                <w:color w:val="000000"/>
                <w:sz w:val="16"/>
                <w:szCs w:val="16"/>
                <w:lang w:eastAsia="en-AU"/>
              </w:rPr>
            </w:pPr>
            <w:r w:rsidRPr="005B7690">
              <w:rPr>
                <w:rFonts w:eastAsia="Times New Roman" w:cs="Open Sans Light"/>
                <w:color w:val="000000"/>
                <w:sz w:val="16"/>
                <w:szCs w:val="16"/>
                <w:lang w:eastAsia="en-AU"/>
              </w:rPr>
              <w:t>-10</w:t>
            </w:r>
          </w:p>
        </w:tc>
      </w:tr>
      <w:tr w:rsidR="004F3850" w:rsidRPr="005B7690" w14:paraId="4B48C1DD" w14:textId="77777777">
        <w:trPr>
          <w:trHeight w:val="315"/>
        </w:trPr>
        <w:tc>
          <w:tcPr>
            <w:tcW w:w="2160" w:type="dxa"/>
            <w:tcBorders>
              <w:top w:val="nil"/>
              <w:left w:val="nil"/>
              <w:bottom w:val="single" w:sz="4" w:space="0" w:color="ADD6EA"/>
              <w:right w:val="nil"/>
            </w:tcBorders>
            <w:shd w:val="clear" w:color="000000" w:fill="D6E7F0"/>
            <w:vAlign w:val="bottom"/>
            <w:hideMark/>
          </w:tcPr>
          <w:p w14:paraId="7D0299CE" w14:textId="77777777" w:rsidR="00FD3927" w:rsidRPr="005B7690" w:rsidRDefault="00FD3927">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Total ($pc)</w:t>
            </w:r>
          </w:p>
        </w:tc>
        <w:tc>
          <w:tcPr>
            <w:tcW w:w="960" w:type="dxa"/>
            <w:tcBorders>
              <w:top w:val="nil"/>
              <w:left w:val="nil"/>
              <w:bottom w:val="single" w:sz="4" w:space="0" w:color="ADD6EA"/>
              <w:right w:val="nil"/>
            </w:tcBorders>
            <w:shd w:val="clear" w:color="000000" w:fill="D6E7F0"/>
            <w:vAlign w:val="bottom"/>
            <w:hideMark/>
          </w:tcPr>
          <w:p w14:paraId="67D35E9B"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5</w:t>
            </w:r>
          </w:p>
        </w:tc>
        <w:tc>
          <w:tcPr>
            <w:tcW w:w="820" w:type="dxa"/>
            <w:tcBorders>
              <w:top w:val="nil"/>
              <w:left w:val="nil"/>
              <w:bottom w:val="single" w:sz="4" w:space="0" w:color="ADD6EA"/>
              <w:right w:val="nil"/>
            </w:tcBorders>
            <w:shd w:val="clear" w:color="000000" w:fill="D6E7F0"/>
            <w:vAlign w:val="bottom"/>
            <w:hideMark/>
          </w:tcPr>
          <w:p w14:paraId="32E15A5E"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2</w:t>
            </w:r>
          </w:p>
        </w:tc>
        <w:tc>
          <w:tcPr>
            <w:tcW w:w="880" w:type="dxa"/>
            <w:tcBorders>
              <w:top w:val="nil"/>
              <w:left w:val="nil"/>
              <w:bottom w:val="single" w:sz="4" w:space="0" w:color="ADD6EA"/>
              <w:right w:val="nil"/>
            </w:tcBorders>
            <w:shd w:val="clear" w:color="000000" w:fill="D6E7F0"/>
            <w:vAlign w:val="bottom"/>
            <w:hideMark/>
          </w:tcPr>
          <w:p w14:paraId="0A549DDF"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0</w:t>
            </w:r>
          </w:p>
        </w:tc>
        <w:tc>
          <w:tcPr>
            <w:tcW w:w="820" w:type="dxa"/>
            <w:tcBorders>
              <w:top w:val="nil"/>
              <w:left w:val="nil"/>
              <w:bottom w:val="single" w:sz="4" w:space="0" w:color="ADD6EA"/>
              <w:right w:val="nil"/>
            </w:tcBorders>
            <w:shd w:val="clear" w:color="000000" w:fill="D6E7F0"/>
            <w:vAlign w:val="bottom"/>
            <w:hideMark/>
          </w:tcPr>
          <w:p w14:paraId="6B391FB1"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-15</w:t>
            </w:r>
          </w:p>
        </w:tc>
        <w:tc>
          <w:tcPr>
            <w:tcW w:w="780" w:type="dxa"/>
            <w:tcBorders>
              <w:top w:val="nil"/>
              <w:left w:val="nil"/>
              <w:bottom w:val="single" w:sz="4" w:space="0" w:color="ADD6EA"/>
              <w:right w:val="nil"/>
            </w:tcBorders>
            <w:shd w:val="clear" w:color="000000" w:fill="D6E7F0"/>
            <w:vAlign w:val="bottom"/>
            <w:hideMark/>
          </w:tcPr>
          <w:p w14:paraId="0981C589"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2</w:t>
            </w:r>
          </w:p>
        </w:tc>
        <w:tc>
          <w:tcPr>
            <w:tcW w:w="820" w:type="dxa"/>
            <w:tcBorders>
              <w:top w:val="nil"/>
              <w:left w:val="nil"/>
              <w:bottom w:val="single" w:sz="4" w:space="0" w:color="ADD6EA"/>
              <w:right w:val="nil"/>
            </w:tcBorders>
            <w:shd w:val="clear" w:color="000000" w:fill="D6E7F0"/>
            <w:vAlign w:val="bottom"/>
            <w:hideMark/>
          </w:tcPr>
          <w:p w14:paraId="5283D28A"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-17</w:t>
            </w:r>
          </w:p>
        </w:tc>
        <w:tc>
          <w:tcPr>
            <w:tcW w:w="880" w:type="dxa"/>
            <w:tcBorders>
              <w:top w:val="nil"/>
              <w:left w:val="nil"/>
              <w:bottom w:val="single" w:sz="4" w:space="0" w:color="ADD6EA"/>
              <w:right w:val="nil"/>
            </w:tcBorders>
            <w:shd w:val="clear" w:color="000000" w:fill="D6E7F0"/>
            <w:vAlign w:val="bottom"/>
            <w:hideMark/>
          </w:tcPr>
          <w:p w14:paraId="2630D3B2"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3</w:t>
            </w:r>
          </w:p>
        </w:tc>
        <w:tc>
          <w:tcPr>
            <w:tcW w:w="820" w:type="dxa"/>
            <w:tcBorders>
              <w:top w:val="nil"/>
              <w:left w:val="nil"/>
              <w:bottom w:val="single" w:sz="4" w:space="0" w:color="ADD6EA"/>
              <w:right w:val="nil"/>
            </w:tcBorders>
            <w:shd w:val="clear" w:color="000000" w:fill="D6E7F0"/>
            <w:vAlign w:val="bottom"/>
            <w:hideMark/>
          </w:tcPr>
          <w:p w14:paraId="3A362C28" w14:textId="77777777" w:rsidR="00FD3927" w:rsidRPr="005B7690" w:rsidRDefault="00FD3927">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B7690">
              <w:rPr>
                <w:rFonts w:ascii="Open Sans Semibold" w:eastAsia="Times New Roman" w:hAnsi="Open Sans Semibold" w:cs="Open Sans Semibold"/>
                <w:color w:val="000000"/>
                <w:sz w:val="16"/>
                <w:szCs w:val="16"/>
                <w:lang w:eastAsia="en-AU"/>
              </w:rPr>
              <w:t>-31</w:t>
            </w:r>
          </w:p>
        </w:tc>
      </w:tr>
    </w:tbl>
    <w:p w14:paraId="41421221" w14:textId="77777777" w:rsidR="00FD3927" w:rsidRPr="00CC13CC" w:rsidRDefault="00FD3927" w:rsidP="00FD3927">
      <w:pPr>
        <w:pStyle w:val="CGC2025TableNote"/>
        <w:keepNext/>
        <w:keepLines/>
        <w:ind w:left="668" w:hanging="555"/>
      </w:pPr>
      <w:r>
        <w:t>Note:</w:t>
      </w:r>
      <w:r>
        <w:tab/>
      </w:r>
      <w:r>
        <w:tab/>
      </w:r>
      <w:r>
        <w:tab/>
        <w:t>The materiality test was based on a 50% weight to the number of businesses in the agriculture assessment and a 33% weight in mining. These weights were based on data from the 2010 Review.</w:t>
      </w:r>
    </w:p>
    <w:p w14:paraId="4764B768" w14:textId="343E5172" w:rsidR="004D5FFF" w:rsidRPr="004F10A7" w:rsidRDefault="00FD3927" w:rsidP="004F10A7">
      <w:pPr>
        <w:pStyle w:val="CGC2025TableNote"/>
        <w:rPr>
          <w:highlight w:val="yellow"/>
        </w:rPr>
      </w:pPr>
      <w:r>
        <w:t>Source:</w:t>
      </w:r>
      <w:r>
        <w:tab/>
        <w:t>Commission calculation.</w:t>
      </w:r>
    </w:p>
    <w:p w14:paraId="2DE79EB1" w14:textId="456C3DF0" w:rsidR="004309F2" w:rsidRPr="00F1701F" w:rsidRDefault="0096395E" w:rsidP="004309F2">
      <w:pPr>
        <w:pStyle w:val="CGC2025ParaNumbers"/>
        <w:numPr>
          <w:ilvl w:val="0"/>
          <w:numId w:val="7"/>
        </w:numPr>
        <w:ind w:left="567" w:hanging="567"/>
        <w:rPr>
          <w:rFonts w:eastAsia="Calibri" w:cs="Arial"/>
        </w:rPr>
      </w:pPr>
      <w:r w:rsidRPr="00F1701F">
        <w:t>S</w:t>
      </w:r>
      <w:r w:rsidR="004D5FFF" w:rsidRPr="00F1701F">
        <w:t xml:space="preserve">implifying the </w:t>
      </w:r>
      <w:r w:rsidR="007D489B" w:rsidRPr="00F1701F">
        <w:t xml:space="preserve">assessment </w:t>
      </w:r>
      <w:r w:rsidR="004D5FFF" w:rsidRPr="00F1701F">
        <w:t>of the agriculture</w:t>
      </w:r>
      <w:r w:rsidR="00F86636" w:rsidRPr="00F1701F">
        <w:t xml:space="preserve"> </w:t>
      </w:r>
      <w:r w:rsidR="007D489B" w:rsidRPr="00F1701F">
        <w:t xml:space="preserve">component </w:t>
      </w:r>
      <w:r w:rsidR="004D5FFF" w:rsidRPr="00F1701F">
        <w:t xml:space="preserve">and </w:t>
      </w:r>
      <w:r w:rsidR="00F86636" w:rsidRPr="00F1701F">
        <w:t xml:space="preserve">the development of a </w:t>
      </w:r>
      <w:r w:rsidR="007D489B" w:rsidRPr="00F1701F">
        <w:t>sep</w:t>
      </w:r>
      <w:r w:rsidR="005E198C" w:rsidRPr="00F1701F">
        <w:t xml:space="preserve">arate </w:t>
      </w:r>
      <w:r w:rsidR="004D5FFF" w:rsidRPr="00F1701F">
        <w:t xml:space="preserve">mining regulation </w:t>
      </w:r>
      <w:r w:rsidR="005E198C" w:rsidRPr="00F1701F">
        <w:t>component</w:t>
      </w:r>
      <w:r w:rsidR="004D5FFF" w:rsidRPr="00F1701F">
        <w:t xml:space="preserve"> </w:t>
      </w:r>
      <w:r w:rsidR="005E198C" w:rsidRPr="00F1701F">
        <w:t xml:space="preserve">with an </w:t>
      </w:r>
      <w:r w:rsidR="004D5FFF" w:rsidRPr="00F1701F">
        <w:t xml:space="preserve">assessment based </w:t>
      </w:r>
      <w:r w:rsidR="00F86636" w:rsidRPr="00F1701F">
        <w:t xml:space="preserve">solely </w:t>
      </w:r>
      <w:r w:rsidR="004D5FFF" w:rsidRPr="00F1701F">
        <w:t xml:space="preserve">on value of production, increased the </w:t>
      </w:r>
      <w:r w:rsidR="00007A55" w:rsidRPr="00F1701F">
        <w:t>volatility</w:t>
      </w:r>
      <w:r w:rsidR="004D5FFF" w:rsidRPr="00F1701F">
        <w:t xml:space="preserve"> of the assessment </w:t>
      </w:r>
      <w:r w:rsidR="005B18F9" w:rsidRPr="00F1701F">
        <w:t>(</w:t>
      </w:r>
      <w:r w:rsidR="00007A55" w:rsidRPr="00F1701F">
        <w:t xml:space="preserve">due </w:t>
      </w:r>
      <w:r w:rsidR="004D5FFF" w:rsidRPr="00F1701F">
        <w:t>to swings in total factor income from changes in commodity prices</w:t>
      </w:r>
      <w:r w:rsidR="005B18F9" w:rsidRPr="00F1701F">
        <w:t>)</w:t>
      </w:r>
      <w:r w:rsidR="003364AD" w:rsidRPr="00F1701F">
        <w:t xml:space="preserve"> that did not match </w:t>
      </w:r>
      <w:r w:rsidR="00D56628" w:rsidRPr="00F1701F">
        <w:t xml:space="preserve">changes in spending on regulation. </w:t>
      </w:r>
    </w:p>
    <w:p w14:paraId="51087769" w14:textId="34AC6CD1" w:rsidR="00EC0B03" w:rsidRPr="00F1701F" w:rsidRDefault="59128556" w:rsidP="3A89539E">
      <w:pPr>
        <w:pStyle w:val="CGC2025ParaNumbers"/>
        <w:numPr>
          <w:ilvl w:val="0"/>
          <w:numId w:val="7"/>
        </w:numPr>
        <w:ind w:left="567" w:hanging="567"/>
      </w:pPr>
      <w:r w:rsidRPr="00F1701F">
        <w:t>Conceptually, price changes are not expected to influence state spending needs for regulation and enforcement. The regulatory task is more likely to be related to</w:t>
      </w:r>
      <w:r w:rsidR="17088F20" w:rsidRPr="00F1701F">
        <w:t xml:space="preserve"> the </w:t>
      </w:r>
      <w:r w:rsidRPr="00F1701F">
        <w:t xml:space="preserve">level of production in regulated industries and the number of regulated businesses. This view was supported by South Australia, New South </w:t>
      </w:r>
      <w:proofErr w:type="gramStart"/>
      <w:r w:rsidRPr="00F1701F">
        <w:t>Wales</w:t>
      </w:r>
      <w:proofErr w:type="gramEnd"/>
      <w:r w:rsidRPr="00F1701F">
        <w:t xml:space="preserve"> and Victoria in the 2020 Review.</w:t>
      </w:r>
    </w:p>
    <w:p w14:paraId="5719724F" w14:textId="49B34FE4" w:rsidR="00EC0B03" w:rsidRPr="00F1701F" w:rsidRDefault="797E8EC4" w:rsidP="00EC0B03">
      <w:pPr>
        <w:pStyle w:val="CGC2025ParaNumbers"/>
        <w:numPr>
          <w:ilvl w:val="0"/>
          <w:numId w:val="7"/>
        </w:numPr>
        <w:ind w:left="567" w:hanging="567"/>
      </w:pPr>
      <w:r w:rsidRPr="00F1701F">
        <w:t>To</w:t>
      </w:r>
      <w:r w:rsidR="4A3B05A7" w:rsidRPr="00F1701F">
        <w:t xml:space="preserve"> improve the accuracy </w:t>
      </w:r>
      <w:r w:rsidR="17088F20" w:rsidRPr="00F1701F">
        <w:t xml:space="preserve">of </w:t>
      </w:r>
      <w:r w:rsidR="5369F98B" w:rsidRPr="00F1701F">
        <w:t>the</w:t>
      </w:r>
      <w:r w:rsidR="17088F20" w:rsidRPr="00F1701F">
        <w:t xml:space="preserve"> </w:t>
      </w:r>
      <w:r w:rsidR="1D6915CE" w:rsidRPr="00F1701F">
        <w:t xml:space="preserve">regulation </w:t>
      </w:r>
      <w:r w:rsidR="27A663AC" w:rsidRPr="00F1701F">
        <w:t>assessment</w:t>
      </w:r>
      <w:r w:rsidR="257924F7" w:rsidRPr="00F1701F">
        <w:t>,</w:t>
      </w:r>
      <w:r w:rsidR="17088F20" w:rsidRPr="00F1701F">
        <w:t xml:space="preserve"> </w:t>
      </w:r>
      <w:r w:rsidR="47F5DB1C" w:rsidRPr="00F1701F">
        <w:t xml:space="preserve">the </w:t>
      </w:r>
      <w:r w:rsidR="17088F20" w:rsidRPr="00F1701F">
        <w:t>Commission</w:t>
      </w:r>
      <w:r w:rsidR="55332690" w:rsidRPr="00F1701F">
        <w:t>’s preliminary view is</w:t>
      </w:r>
      <w:r w:rsidR="6DDE86A7" w:rsidRPr="00F1701F">
        <w:t xml:space="preserve"> t</w:t>
      </w:r>
      <w:r w:rsidR="6E3B6B59" w:rsidRPr="00F1701F">
        <w:t xml:space="preserve">o substitute </w:t>
      </w:r>
      <w:r w:rsidR="541A5EF7" w:rsidRPr="00F1701F">
        <w:t xml:space="preserve">the </w:t>
      </w:r>
      <w:r w:rsidR="6E3B6B59" w:rsidRPr="00F1701F">
        <w:t xml:space="preserve">price sensitive total factor income </w:t>
      </w:r>
      <w:r w:rsidR="322ED841" w:rsidRPr="00F1701F">
        <w:t xml:space="preserve">measure of industry size </w:t>
      </w:r>
      <w:r w:rsidR="6E3B6B59" w:rsidRPr="00F1701F">
        <w:t xml:space="preserve">with a </w:t>
      </w:r>
      <w:r w:rsidR="777925B1" w:rsidRPr="00F1701F">
        <w:t>volume-based</w:t>
      </w:r>
      <w:r w:rsidR="6E3B6B59" w:rsidRPr="00F1701F">
        <w:t xml:space="preserve"> measure </w:t>
      </w:r>
      <w:r w:rsidR="7DB7EC70" w:rsidRPr="00F1701F">
        <w:t xml:space="preserve">such as the </w:t>
      </w:r>
      <w:r w:rsidR="6E5B9ADB" w:rsidRPr="00F1701F">
        <w:t xml:space="preserve">chain </w:t>
      </w:r>
      <w:r w:rsidR="7DB7EC70" w:rsidRPr="00F1701F">
        <w:t>volume of industry value added</w:t>
      </w:r>
      <w:r w:rsidR="784D964F" w:rsidRPr="00F1701F">
        <w:t xml:space="preserve"> and reintroduce the number of businesses as a driver of need</w:t>
      </w:r>
      <w:r w:rsidR="003A6473" w:rsidRPr="00F1701F">
        <w:t>,</w:t>
      </w:r>
      <w:r w:rsidR="784D964F" w:rsidRPr="00F1701F">
        <w:t xml:space="preserve"> if it </w:t>
      </w:r>
      <w:r w:rsidR="5DB35B9C" w:rsidRPr="00F1701F">
        <w:t>is material</w:t>
      </w:r>
      <w:r w:rsidR="6DDE86A7" w:rsidRPr="00F1701F">
        <w:t>.</w:t>
      </w:r>
    </w:p>
    <w:p w14:paraId="50A11A13" w14:textId="54FAC5D0" w:rsidR="00D43E5C" w:rsidRPr="00D43E5C" w:rsidRDefault="06B02511" w:rsidP="0081360D">
      <w:pPr>
        <w:pStyle w:val="Heading4"/>
        <w:keepLines/>
      </w:pPr>
      <w:r>
        <w:lastRenderedPageBreak/>
        <w:t xml:space="preserve">Replacement of commodity price sensitive total factor </w:t>
      </w:r>
      <w:r w:rsidR="1F251AAF">
        <w:t>i</w:t>
      </w:r>
      <w:r>
        <w:t xml:space="preserve">ncome with </w:t>
      </w:r>
      <w:r w:rsidR="19708C8B">
        <w:t>c</w:t>
      </w:r>
      <w:r>
        <w:t xml:space="preserve">hain volume of industry value </w:t>
      </w:r>
      <w:proofErr w:type="gramStart"/>
      <w:r>
        <w:t>added</w:t>
      </w:r>
      <w:proofErr w:type="gramEnd"/>
    </w:p>
    <w:p w14:paraId="4E2E125D" w14:textId="32602230" w:rsidR="001E77E2" w:rsidRPr="005F0B90" w:rsidRDefault="3C849451" w:rsidP="001E77E2">
      <w:pPr>
        <w:pStyle w:val="CGC2025ParaNumbers"/>
        <w:numPr>
          <w:ilvl w:val="0"/>
          <w:numId w:val="7"/>
        </w:numPr>
        <w:ind w:left="567" w:hanging="567"/>
      </w:pPr>
      <w:r>
        <w:t xml:space="preserve">Chain volume industry value added is a volume driven measure of the contribution of each industry to Gross State Product. The ABS recommends chain volume measures as an indicator of production because it overcomes changes in the mix of commodities produced and changes in relative prices. </w:t>
      </w:r>
      <w:r w:rsidR="70E92047">
        <w:t>This measure is expected to better capture changes in the level of production in regulated industries to produce a more reliable measure of state spending needs.</w:t>
      </w:r>
    </w:p>
    <w:p w14:paraId="03F7DEB6" w14:textId="5054C7A7" w:rsidR="009878D7" w:rsidRPr="005F0B90" w:rsidRDefault="00D156F6" w:rsidP="00166A6B">
      <w:pPr>
        <w:pStyle w:val="CGC2025ParaNumbers"/>
        <w:numPr>
          <w:ilvl w:val="0"/>
          <w:numId w:val="7"/>
        </w:numPr>
        <w:ind w:left="567" w:hanging="567"/>
      </w:pPr>
      <w:r>
        <w:fldChar w:fldCharType="begin"/>
      </w:r>
      <w:r>
        <w:instrText xml:space="preserve"> REF _Ref140134045 \h </w:instrText>
      </w:r>
      <w:r>
        <w:fldChar w:fldCharType="separate"/>
      </w:r>
      <w:r w:rsidR="007567E1" w:rsidRPr="007E37A9">
        <w:t xml:space="preserve">Figure </w:t>
      </w:r>
      <w:r w:rsidR="007567E1">
        <w:rPr>
          <w:noProof/>
        </w:rPr>
        <w:t>1</w:t>
      </w:r>
      <w:r>
        <w:fldChar w:fldCharType="end"/>
      </w:r>
      <w:r w:rsidR="009878D7">
        <w:t xml:space="preserve"> and </w:t>
      </w:r>
      <w:r>
        <w:fldChar w:fldCharType="begin"/>
      </w:r>
      <w:r>
        <w:instrText xml:space="preserve"> REF _Ref140134050 \h </w:instrText>
      </w:r>
      <w:r>
        <w:fldChar w:fldCharType="separate"/>
      </w:r>
      <w:r w:rsidR="007567E1" w:rsidRPr="007E37A9">
        <w:t xml:space="preserve">Figure </w:t>
      </w:r>
      <w:r w:rsidR="007567E1">
        <w:rPr>
          <w:noProof/>
        </w:rPr>
        <w:t>2</w:t>
      </w:r>
      <w:r>
        <w:fldChar w:fldCharType="end"/>
      </w:r>
      <w:r w:rsidR="009878D7">
        <w:t xml:space="preserve"> show the impact of </w:t>
      </w:r>
      <w:r w:rsidR="77A3D99A">
        <w:t xml:space="preserve">rising </w:t>
      </w:r>
      <w:r w:rsidR="009878D7">
        <w:t xml:space="preserve">commodity prices on total factor income compared with a change in the volume of production for the agriculture and mining industries. </w:t>
      </w:r>
      <w:r w:rsidR="4734F556">
        <w:t>B</w:t>
      </w:r>
      <w:r w:rsidR="009878D7">
        <w:t>etween 2020–21 and 2021–2</w:t>
      </w:r>
      <w:r w:rsidR="7B2AF8F2">
        <w:t>2</w:t>
      </w:r>
      <w:r w:rsidR="009878D7">
        <w:t xml:space="preserve">, the </w:t>
      </w:r>
      <w:r w:rsidR="4734F556">
        <w:t xml:space="preserve">total factor income of agriculture increased 47% to $72 billion because of both increased production </w:t>
      </w:r>
      <w:r w:rsidR="26EBA88A">
        <w:t>and</w:t>
      </w:r>
      <w:r w:rsidR="4734F556">
        <w:t xml:space="preserve"> high international commodity prices </w:t>
      </w:r>
      <w:r w:rsidR="478F6FE1">
        <w:t>(</w:t>
      </w:r>
      <w:r>
        <w:fldChar w:fldCharType="begin"/>
      </w:r>
      <w:r>
        <w:instrText xml:space="preserve"> REF _Ref140134045 \h </w:instrText>
      </w:r>
      <w:r>
        <w:fldChar w:fldCharType="separate"/>
      </w:r>
      <w:r w:rsidR="007567E1" w:rsidRPr="007E37A9">
        <w:t xml:space="preserve">Figure </w:t>
      </w:r>
      <w:r w:rsidR="007567E1">
        <w:rPr>
          <w:noProof/>
        </w:rPr>
        <w:t>1</w:t>
      </w:r>
      <w:r>
        <w:fldChar w:fldCharType="end"/>
      </w:r>
      <w:r w:rsidR="4734F556">
        <w:t xml:space="preserve">). In contrast, </w:t>
      </w:r>
      <w:r w:rsidR="009878D7">
        <w:t xml:space="preserve">the </w:t>
      </w:r>
      <w:r w:rsidR="50F423F3">
        <w:t xml:space="preserve">gross industry value added of </w:t>
      </w:r>
      <w:r w:rsidR="009878D7">
        <w:t xml:space="preserve">agriculture increased 23% to $59 billion reflecting </w:t>
      </w:r>
      <w:r w:rsidR="0BC3809F">
        <w:t>increased</w:t>
      </w:r>
      <w:r w:rsidR="147023C6">
        <w:t xml:space="preserve"> production from </w:t>
      </w:r>
      <w:r w:rsidR="009878D7">
        <w:t>improve</w:t>
      </w:r>
      <w:r w:rsidR="147023C6">
        <w:t>d</w:t>
      </w:r>
      <w:r w:rsidR="009878D7">
        <w:t xml:space="preserve"> seasonal conditions</w:t>
      </w:r>
      <w:r w:rsidR="50F423F3">
        <w:t>.</w:t>
      </w:r>
    </w:p>
    <w:p w14:paraId="5727AA3B" w14:textId="05877123" w:rsidR="009878D7" w:rsidRPr="005F0B90" w:rsidRDefault="25EFDFB0" w:rsidP="00166A6B">
      <w:pPr>
        <w:pStyle w:val="CGC2025ParaNumbers"/>
        <w:numPr>
          <w:ilvl w:val="0"/>
          <w:numId w:val="7"/>
        </w:numPr>
        <w:ind w:left="567" w:hanging="567"/>
      </w:pPr>
      <w:r>
        <w:t>Similarly, g</w:t>
      </w:r>
      <w:r w:rsidR="6B843E34">
        <w:t xml:space="preserve">rowth in total factor income of mining </w:t>
      </w:r>
      <w:r w:rsidR="70E92047">
        <w:t>in</w:t>
      </w:r>
      <w:r w:rsidR="796D5C75">
        <w:t xml:space="preserve"> 20</w:t>
      </w:r>
      <w:r w:rsidR="70E92047">
        <w:t>21</w:t>
      </w:r>
      <w:r w:rsidR="796D5C75">
        <w:t>–2</w:t>
      </w:r>
      <w:r w:rsidR="70E92047">
        <w:t>2</w:t>
      </w:r>
      <w:r w:rsidR="6B843E34">
        <w:t xml:space="preserve"> has been driven by a change in commodity prices rather than an increase in the volume of production (</w:t>
      </w:r>
      <w:r w:rsidR="5B6D2EEC">
        <w:fldChar w:fldCharType="begin"/>
      </w:r>
      <w:r w:rsidR="5B6D2EEC">
        <w:instrText xml:space="preserve"> REF _Ref140134050 \h </w:instrText>
      </w:r>
      <w:r w:rsidR="5B6D2EEC">
        <w:fldChar w:fldCharType="separate"/>
      </w:r>
      <w:r w:rsidR="007567E1" w:rsidRPr="007E37A9">
        <w:t xml:space="preserve">Figure </w:t>
      </w:r>
      <w:r w:rsidR="007567E1">
        <w:rPr>
          <w:noProof/>
        </w:rPr>
        <w:t>2</w:t>
      </w:r>
      <w:r w:rsidR="5B6D2EEC">
        <w:fldChar w:fldCharType="end"/>
      </w:r>
      <w:r w:rsidR="6B843E34">
        <w:t xml:space="preserve">). Between </w:t>
      </w:r>
      <w:r w:rsidR="796D5C75">
        <w:t>20</w:t>
      </w:r>
      <w:r w:rsidR="70E92047">
        <w:t>20</w:t>
      </w:r>
      <w:r w:rsidR="796D5C75">
        <w:t>–2</w:t>
      </w:r>
      <w:r w:rsidR="70E92047">
        <w:t>1</w:t>
      </w:r>
      <w:r w:rsidR="6B843E34">
        <w:t xml:space="preserve"> </w:t>
      </w:r>
      <w:r w:rsidR="24D4FF33">
        <w:t>and 202</w:t>
      </w:r>
      <w:r w:rsidR="5FB58BFF">
        <w:t>1</w:t>
      </w:r>
      <w:r w:rsidR="13A7D3ED">
        <w:t>–</w:t>
      </w:r>
      <w:r w:rsidR="24D4FF33">
        <w:t>2</w:t>
      </w:r>
      <w:r w:rsidR="5FB58BFF">
        <w:t>2</w:t>
      </w:r>
      <w:r w:rsidR="24D4FF33">
        <w:t xml:space="preserve"> </w:t>
      </w:r>
      <w:r w:rsidR="6B843E34">
        <w:t xml:space="preserve">the </w:t>
      </w:r>
      <w:r w:rsidR="3B998388">
        <w:t>gross industry value added</w:t>
      </w:r>
      <w:r w:rsidR="6B843E34">
        <w:t xml:space="preserve"> of mining fell </w:t>
      </w:r>
      <w:r w:rsidR="70E92047">
        <w:t>1</w:t>
      </w:r>
      <w:r w:rsidR="796D5C75">
        <w:t>.</w:t>
      </w:r>
      <w:r w:rsidR="6B843E34">
        <w:t>3% to $222 billion</w:t>
      </w:r>
      <w:r w:rsidR="0164045A">
        <w:t>,</w:t>
      </w:r>
      <w:r w:rsidR="6B843E34">
        <w:t xml:space="preserve"> while total factor income rose </w:t>
      </w:r>
      <w:r w:rsidR="70E92047">
        <w:t>41</w:t>
      </w:r>
      <w:r w:rsidR="6B843E34">
        <w:t>% to $314</w:t>
      </w:r>
      <w:r w:rsidR="23FD5396">
        <w:t> </w:t>
      </w:r>
      <w:r w:rsidR="6B843E34">
        <w:t>billion.</w:t>
      </w:r>
    </w:p>
    <w:p w14:paraId="27BA8987" w14:textId="0D989B0F" w:rsidR="009878D7" w:rsidRPr="007E37A9" w:rsidRDefault="009878D7" w:rsidP="00993DD8">
      <w:pPr>
        <w:pStyle w:val="Caption"/>
        <w:rPr>
          <w:rFonts w:ascii="Work Sans" w:hAnsi="Work Sans"/>
        </w:rPr>
      </w:pPr>
      <w:bookmarkStart w:id="38" w:name="_Ref140134045"/>
      <w:r w:rsidRPr="007E37A9">
        <w:rPr>
          <w:rFonts w:ascii="Work Sans" w:hAnsi="Work Sans"/>
        </w:rPr>
        <w:t xml:space="preserve">Figure </w:t>
      </w:r>
      <w:r w:rsidR="00013E6F">
        <w:rPr>
          <w:rFonts w:ascii="Work Sans" w:hAnsi="Work Sans"/>
        </w:rPr>
        <w:fldChar w:fldCharType="begin"/>
      </w:r>
      <w:r w:rsidR="00013E6F">
        <w:rPr>
          <w:rFonts w:ascii="Work Sans" w:hAnsi="Work Sans"/>
        </w:rPr>
        <w:instrText xml:space="preserve"> SEQ Figure \* ARABIC </w:instrText>
      </w:r>
      <w:r w:rsidR="00013E6F">
        <w:rPr>
          <w:rFonts w:ascii="Work Sans" w:hAnsi="Work Sans"/>
        </w:rPr>
        <w:fldChar w:fldCharType="separate"/>
      </w:r>
      <w:r w:rsidR="007567E1">
        <w:rPr>
          <w:rFonts w:ascii="Work Sans" w:hAnsi="Work Sans"/>
          <w:noProof/>
        </w:rPr>
        <w:t>1</w:t>
      </w:r>
      <w:r w:rsidR="00013E6F">
        <w:rPr>
          <w:rFonts w:ascii="Work Sans" w:hAnsi="Work Sans"/>
        </w:rPr>
        <w:fldChar w:fldCharType="end"/>
      </w:r>
      <w:bookmarkEnd w:id="38"/>
      <w:r w:rsidR="00A10560" w:rsidRPr="00994DC4">
        <w:rPr>
          <w:rFonts w:ascii="Work Sans" w:hAnsi="Work Sans"/>
        </w:rPr>
        <w:tab/>
      </w:r>
      <w:r w:rsidR="00993DD8">
        <w:rPr>
          <w:rFonts w:ascii="Work Sans" w:hAnsi="Work Sans"/>
        </w:rPr>
        <w:t xml:space="preserve">Comparison of </w:t>
      </w:r>
      <w:r w:rsidR="004305D1">
        <w:rPr>
          <w:rFonts w:ascii="Work Sans" w:hAnsi="Work Sans"/>
        </w:rPr>
        <w:t>agriculture</w:t>
      </w:r>
      <w:r w:rsidR="00993DD8">
        <w:rPr>
          <w:rFonts w:ascii="Work Sans" w:hAnsi="Work Sans"/>
        </w:rPr>
        <w:t xml:space="preserve"> total factor income and chain volume of production</w:t>
      </w:r>
    </w:p>
    <w:p w14:paraId="3A3ACFB1" w14:textId="77777777" w:rsidR="009878D7" w:rsidRDefault="009878D7" w:rsidP="009878D7">
      <w:pPr>
        <w:pStyle w:val="CGCParaNumber"/>
        <w:numPr>
          <w:ilvl w:val="0"/>
          <w:numId w:val="0"/>
        </w:numPr>
        <w:rPr>
          <w:rFonts w:eastAsia="Calibri" w:cs="Arial"/>
        </w:rPr>
      </w:pPr>
      <w:r>
        <w:rPr>
          <w:noProof/>
        </w:rPr>
        <w:drawing>
          <wp:inline distT="0" distB="0" distL="0" distR="0" wp14:anchorId="7C83A819" wp14:editId="5DAB146F">
            <wp:extent cx="5410200" cy="2592474"/>
            <wp:effectExtent l="0" t="0" r="0" b="17780"/>
            <wp:docPr id="6" name="Chart 6">
              <a:extLst xmlns:a="http://schemas.openxmlformats.org/drawingml/2006/main">
                <a:ext uri="{FF2B5EF4-FFF2-40B4-BE49-F238E27FC236}">
                  <a16:creationId xmlns:a16="http://schemas.microsoft.com/office/drawing/2014/main" id="{887D8958-34FA-B2A9-DEF6-959F90768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3E965C" w14:textId="77777777" w:rsidR="009878D7" w:rsidRPr="006C117C" w:rsidRDefault="009878D7" w:rsidP="007E37A9">
      <w:pPr>
        <w:pStyle w:val="CGC2025TableNote"/>
      </w:pPr>
      <w:r>
        <w:t>Source: ABS 2022, Australian National Accounts: State accounts.</w:t>
      </w:r>
    </w:p>
    <w:p w14:paraId="60477183" w14:textId="3E055685" w:rsidR="009878D7" w:rsidRPr="007E37A9" w:rsidRDefault="009878D7" w:rsidP="009878D7">
      <w:pPr>
        <w:pStyle w:val="Caption"/>
        <w:rPr>
          <w:rFonts w:ascii="Work Sans" w:hAnsi="Work Sans"/>
        </w:rPr>
      </w:pPr>
      <w:bookmarkStart w:id="39" w:name="_Ref140134050"/>
      <w:r w:rsidRPr="007E37A9">
        <w:rPr>
          <w:rFonts w:ascii="Work Sans" w:hAnsi="Work Sans"/>
        </w:rPr>
        <w:lastRenderedPageBreak/>
        <w:t xml:space="preserve">Figure </w:t>
      </w:r>
      <w:r w:rsidR="00013E6F">
        <w:rPr>
          <w:rFonts w:ascii="Work Sans" w:hAnsi="Work Sans"/>
        </w:rPr>
        <w:fldChar w:fldCharType="begin"/>
      </w:r>
      <w:r w:rsidR="00013E6F">
        <w:rPr>
          <w:rFonts w:ascii="Work Sans" w:hAnsi="Work Sans"/>
        </w:rPr>
        <w:instrText xml:space="preserve"> SEQ Figure \* ARABIC </w:instrText>
      </w:r>
      <w:r w:rsidR="00013E6F">
        <w:rPr>
          <w:rFonts w:ascii="Work Sans" w:hAnsi="Work Sans"/>
        </w:rPr>
        <w:fldChar w:fldCharType="separate"/>
      </w:r>
      <w:r w:rsidR="007567E1">
        <w:rPr>
          <w:rFonts w:ascii="Work Sans" w:hAnsi="Work Sans"/>
          <w:noProof/>
        </w:rPr>
        <w:t>2</w:t>
      </w:r>
      <w:r w:rsidR="00013E6F">
        <w:rPr>
          <w:rFonts w:ascii="Work Sans" w:hAnsi="Work Sans"/>
        </w:rPr>
        <w:fldChar w:fldCharType="end"/>
      </w:r>
      <w:bookmarkEnd w:id="39"/>
      <w:r w:rsidRPr="007E37A9">
        <w:rPr>
          <w:rFonts w:ascii="Work Sans" w:hAnsi="Work Sans"/>
        </w:rPr>
        <w:t xml:space="preserve"> </w:t>
      </w:r>
      <w:r w:rsidRPr="007E37A9">
        <w:rPr>
          <w:rFonts w:ascii="Work Sans" w:hAnsi="Work Sans"/>
        </w:rPr>
        <w:tab/>
      </w:r>
      <w:r w:rsidR="003F7E6D">
        <w:rPr>
          <w:rFonts w:ascii="Work Sans" w:hAnsi="Work Sans"/>
        </w:rPr>
        <w:t xml:space="preserve">Comparison of mining total factor </w:t>
      </w:r>
      <w:r w:rsidR="00D276FE">
        <w:rPr>
          <w:rFonts w:ascii="Work Sans" w:hAnsi="Work Sans"/>
        </w:rPr>
        <w:t>income and chai</w:t>
      </w:r>
      <w:r w:rsidR="00EC6E44">
        <w:rPr>
          <w:rFonts w:ascii="Work Sans" w:hAnsi="Work Sans"/>
        </w:rPr>
        <w:t xml:space="preserve">n volume </w:t>
      </w:r>
      <w:r w:rsidR="00993DD8">
        <w:rPr>
          <w:rFonts w:ascii="Work Sans" w:hAnsi="Work Sans"/>
        </w:rPr>
        <w:t>of production</w:t>
      </w:r>
    </w:p>
    <w:p w14:paraId="2FDA93E5" w14:textId="77777777" w:rsidR="009878D7" w:rsidRDefault="009878D7" w:rsidP="009878D7">
      <w:pPr>
        <w:pStyle w:val="CGCParaNumber"/>
        <w:numPr>
          <w:ilvl w:val="0"/>
          <w:numId w:val="0"/>
        </w:numPr>
        <w:rPr>
          <w:rFonts w:eastAsia="Calibri" w:cs="Arial"/>
        </w:rPr>
      </w:pPr>
      <w:r>
        <w:rPr>
          <w:noProof/>
        </w:rPr>
        <w:drawing>
          <wp:inline distT="0" distB="0" distL="0" distR="0" wp14:anchorId="3747D75F" wp14:editId="64811726">
            <wp:extent cx="5410200" cy="2582426"/>
            <wp:effectExtent l="0" t="0" r="0" b="8890"/>
            <wp:docPr id="2" name="Chart 2">
              <a:extLst xmlns:a="http://schemas.openxmlformats.org/drawingml/2006/main">
                <a:ext uri="{FF2B5EF4-FFF2-40B4-BE49-F238E27FC236}">
                  <a16:creationId xmlns:a16="http://schemas.microsoft.com/office/drawing/2014/main" id="{91B69260-99B4-4933-A375-6264C6631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6881D8" w14:textId="77777777" w:rsidR="009878D7" w:rsidRPr="006C117C" w:rsidRDefault="009878D7" w:rsidP="007E37A9">
      <w:pPr>
        <w:pStyle w:val="CGC2025TableNote"/>
      </w:pPr>
      <w:r>
        <w:t>Source: ABS 2022, Australian National Accounts: State accounts.</w:t>
      </w:r>
    </w:p>
    <w:p w14:paraId="174A2A84" w14:textId="6A221AE4" w:rsidR="009878D7" w:rsidRPr="005F0B90" w:rsidRDefault="009878D7" w:rsidP="00A10560">
      <w:pPr>
        <w:pStyle w:val="CGC2025ParaNumbers"/>
        <w:numPr>
          <w:ilvl w:val="0"/>
          <w:numId w:val="7"/>
        </w:numPr>
        <w:ind w:left="567" w:hanging="567"/>
      </w:pPr>
      <w:r>
        <w:t>Although the impact of price fluctuations is less pronounced for other industries (</w:t>
      </w:r>
      <w:r>
        <w:fldChar w:fldCharType="begin"/>
      </w:r>
      <w:r>
        <w:instrText xml:space="preserve"> REF _Ref137209282 \h  \* MERGEFORMAT </w:instrText>
      </w:r>
      <w:r>
        <w:fldChar w:fldCharType="separate"/>
      </w:r>
      <w:r w:rsidR="007567E1" w:rsidRPr="007E37A9">
        <w:t xml:space="preserve">Figure </w:t>
      </w:r>
      <w:r w:rsidR="007567E1">
        <w:t>3</w:t>
      </w:r>
      <w:r>
        <w:fldChar w:fldCharType="end"/>
      </w:r>
      <w:r>
        <w:t xml:space="preserve">) </w:t>
      </w:r>
      <w:r w:rsidR="11DF0949">
        <w:t>t</w:t>
      </w:r>
      <w:r>
        <w:t xml:space="preserve">he Commission proposes to change from total factor income </w:t>
      </w:r>
      <w:r w:rsidR="16E7D86C">
        <w:t xml:space="preserve">to chain volume </w:t>
      </w:r>
      <w:r w:rsidR="1020C6FB">
        <w:t xml:space="preserve">of </w:t>
      </w:r>
      <w:r w:rsidR="16E7D86C">
        <w:t>production</w:t>
      </w:r>
      <w:r w:rsidR="0C0A571E">
        <w:t xml:space="preserve"> </w:t>
      </w:r>
      <w:r>
        <w:t>to maintain consistency across the regulation assessments.</w:t>
      </w:r>
    </w:p>
    <w:p w14:paraId="775675FB" w14:textId="2283293B" w:rsidR="00993DD8" w:rsidRPr="007E37A9" w:rsidRDefault="009878D7" w:rsidP="00993DD8">
      <w:pPr>
        <w:pStyle w:val="Caption"/>
        <w:rPr>
          <w:rFonts w:ascii="Work Sans" w:hAnsi="Work Sans"/>
        </w:rPr>
      </w:pPr>
      <w:bookmarkStart w:id="40" w:name="_Ref137209282"/>
      <w:r w:rsidRPr="007E37A9">
        <w:rPr>
          <w:rFonts w:ascii="Work Sans" w:hAnsi="Work Sans"/>
        </w:rPr>
        <w:t xml:space="preserve">Figure </w:t>
      </w:r>
      <w:r w:rsidR="00013E6F">
        <w:rPr>
          <w:rFonts w:ascii="Work Sans" w:hAnsi="Work Sans"/>
        </w:rPr>
        <w:fldChar w:fldCharType="begin"/>
      </w:r>
      <w:r w:rsidR="00013E6F">
        <w:rPr>
          <w:rFonts w:ascii="Work Sans" w:hAnsi="Work Sans"/>
        </w:rPr>
        <w:instrText xml:space="preserve"> SEQ Figure \* ARABIC </w:instrText>
      </w:r>
      <w:r w:rsidR="00013E6F">
        <w:rPr>
          <w:rFonts w:ascii="Work Sans" w:hAnsi="Work Sans"/>
        </w:rPr>
        <w:fldChar w:fldCharType="separate"/>
      </w:r>
      <w:r w:rsidR="007567E1">
        <w:rPr>
          <w:rFonts w:ascii="Work Sans" w:hAnsi="Work Sans"/>
          <w:noProof/>
        </w:rPr>
        <w:t>3</w:t>
      </w:r>
      <w:r w:rsidR="00013E6F">
        <w:rPr>
          <w:rFonts w:ascii="Work Sans" w:hAnsi="Work Sans"/>
        </w:rPr>
        <w:fldChar w:fldCharType="end"/>
      </w:r>
      <w:bookmarkEnd w:id="40"/>
      <w:r w:rsidRPr="007E37A9">
        <w:rPr>
          <w:rFonts w:ascii="Work Sans" w:hAnsi="Work Sans"/>
        </w:rPr>
        <w:t xml:space="preserve"> </w:t>
      </w:r>
      <w:r w:rsidRPr="007E37A9">
        <w:rPr>
          <w:rFonts w:ascii="Work Sans" w:hAnsi="Work Sans"/>
        </w:rPr>
        <w:tab/>
      </w:r>
      <w:r w:rsidR="00993DD8">
        <w:rPr>
          <w:rFonts w:ascii="Work Sans" w:hAnsi="Work Sans"/>
        </w:rPr>
        <w:t xml:space="preserve">Comparison of </w:t>
      </w:r>
      <w:r w:rsidR="004305D1">
        <w:rPr>
          <w:rFonts w:ascii="Work Sans" w:hAnsi="Work Sans"/>
        </w:rPr>
        <w:t>other industries</w:t>
      </w:r>
      <w:r w:rsidR="00993DD8">
        <w:rPr>
          <w:rFonts w:ascii="Work Sans" w:hAnsi="Work Sans"/>
        </w:rPr>
        <w:t xml:space="preserve"> total factor income and chain volume of production</w:t>
      </w:r>
    </w:p>
    <w:p w14:paraId="298869B4" w14:textId="4AF91565" w:rsidR="009878D7" w:rsidRDefault="009878D7" w:rsidP="00993DD8">
      <w:pPr>
        <w:pStyle w:val="Caption"/>
        <w:rPr>
          <w:rFonts w:eastAsia="Calibri" w:cs="Arial"/>
        </w:rPr>
      </w:pPr>
      <w:r>
        <w:rPr>
          <w:noProof/>
        </w:rPr>
        <w:drawing>
          <wp:inline distT="0" distB="0" distL="0" distR="0" wp14:anchorId="54DC29E8" wp14:editId="5B0040B2">
            <wp:extent cx="5410200" cy="2451798"/>
            <wp:effectExtent l="0" t="0" r="0" b="5715"/>
            <wp:docPr id="4" name="Chart 4">
              <a:extLst xmlns:a="http://schemas.openxmlformats.org/drawingml/2006/main">
                <a:ext uri="{FF2B5EF4-FFF2-40B4-BE49-F238E27FC236}">
                  <a16:creationId xmlns:a16="http://schemas.microsoft.com/office/drawing/2014/main" id="{056BA973-FE2F-40D8-A2EC-DD6B613C3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4BDB4E" w14:textId="77777777" w:rsidR="009878D7" w:rsidRDefault="009878D7" w:rsidP="0003561E">
      <w:pPr>
        <w:pStyle w:val="CGC2025TableNote"/>
      </w:pPr>
      <w:r w:rsidRPr="0003561E">
        <w:t>Source: ABS 2022, Australian National Accounts: State accounts</w:t>
      </w:r>
      <w:r>
        <w:t>.</w:t>
      </w:r>
    </w:p>
    <w:p w14:paraId="4848A107" w14:textId="3DA1BF8D" w:rsidR="0003561E" w:rsidRDefault="5475C132" w:rsidP="00A85924">
      <w:pPr>
        <w:pStyle w:val="CGC2025ParaNumbers"/>
        <w:keepLines/>
        <w:numPr>
          <w:ilvl w:val="0"/>
          <w:numId w:val="7"/>
        </w:numPr>
        <w:ind w:left="567" w:hanging="567"/>
      </w:pPr>
      <w:r>
        <w:t>However, there are limitations</w:t>
      </w:r>
      <w:r w:rsidR="53C8126B">
        <w:t xml:space="preserve"> with this approach.</w:t>
      </w:r>
      <w:r>
        <w:t xml:space="preserve"> </w:t>
      </w:r>
      <w:r w:rsidR="53C8126B">
        <w:t>E</w:t>
      </w:r>
      <w:r>
        <w:t xml:space="preserve">ach year the ABS rebases </w:t>
      </w:r>
      <w:r w:rsidR="2FA932F4">
        <w:t>the</w:t>
      </w:r>
      <w:r>
        <w:t xml:space="preserve"> prices </w:t>
      </w:r>
      <w:r w:rsidR="2FA932F4">
        <w:t>used</w:t>
      </w:r>
      <w:r>
        <w:t xml:space="preserve"> in the chain volume measures to prices in the previous year. </w:t>
      </w:r>
      <w:r w:rsidR="60405BC0">
        <w:t xml:space="preserve">If there is a </w:t>
      </w:r>
      <w:r w:rsidR="1020C6FB">
        <w:t>change to</w:t>
      </w:r>
      <w:r w:rsidR="1669D35F">
        <w:t xml:space="preserve"> </w:t>
      </w:r>
      <w:r w:rsidR="73DB7C24">
        <w:t xml:space="preserve">use of </w:t>
      </w:r>
      <w:r w:rsidR="1669D35F">
        <w:t xml:space="preserve">chain volume </w:t>
      </w:r>
      <w:r w:rsidR="73DB7C24">
        <w:t>of production in the assessment,</w:t>
      </w:r>
      <w:r>
        <w:t xml:space="preserve"> the Commission </w:t>
      </w:r>
      <w:r w:rsidR="00546ACD">
        <w:t xml:space="preserve">will </w:t>
      </w:r>
      <w:r>
        <w:t>establish a base price year in each review and measure the change in production under constant prices</w:t>
      </w:r>
      <w:r w:rsidR="00546ACD" w:rsidRPr="00546ACD">
        <w:t xml:space="preserve"> </w:t>
      </w:r>
      <w:r w:rsidR="00546ACD">
        <w:t>to maintain stability in the assessment</w:t>
      </w:r>
      <w:r>
        <w:t xml:space="preserve">. The </w:t>
      </w:r>
      <w:r w:rsidR="3B4324B3">
        <w:t>base period</w:t>
      </w:r>
      <w:r>
        <w:t xml:space="preserve"> </w:t>
      </w:r>
      <w:r w:rsidR="2C4B2B41">
        <w:t xml:space="preserve">would </w:t>
      </w:r>
      <w:r w:rsidR="344CBF20">
        <w:t>b</w:t>
      </w:r>
      <w:r>
        <w:t>e determined in consultation with the states</w:t>
      </w:r>
      <w:r w:rsidR="00886581">
        <w:t>. The</w:t>
      </w:r>
      <w:r>
        <w:t xml:space="preserve"> </w:t>
      </w:r>
      <w:r w:rsidR="00922061">
        <w:t>2</w:t>
      </w:r>
      <w:r>
        <w:t xml:space="preserve"> potential methods</w:t>
      </w:r>
      <w:r w:rsidR="00886581">
        <w:t xml:space="preserve"> are</w:t>
      </w:r>
      <w:r w:rsidR="0003561E">
        <w:t>:</w:t>
      </w:r>
    </w:p>
    <w:p w14:paraId="4EB502CA" w14:textId="11F03EBD" w:rsidR="0003561E" w:rsidRDefault="00886581" w:rsidP="00242A16">
      <w:pPr>
        <w:pStyle w:val="CGC2025Bullet1"/>
      </w:pPr>
      <w:r>
        <w:t>a</w:t>
      </w:r>
      <w:r w:rsidR="002B4BA6">
        <w:t>n average over time or</w:t>
      </w:r>
      <w:r>
        <w:t xml:space="preserve"> </w:t>
      </w:r>
      <w:r w:rsidR="00DE095D">
        <w:t xml:space="preserve">alternatively </w:t>
      </w:r>
    </w:p>
    <w:p w14:paraId="7F4F8FE0" w14:textId="71791F4B" w:rsidR="002B4BA6" w:rsidRDefault="00886581" w:rsidP="00242A16">
      <w:pPr>
        <w:pStyle w:val="CGC2025Bullet1"/>
      </w:pPr>
      <w:r>
        <w:t>a</w:t>
      </w:r>
      <w:r w:rsidR="002B4BA6">
        <w:t xml:space="preserve"> single year, which reflects the business-as-usual outcomes in commodity markets.</w:t>
      </w:r>
    </w:p>
    <w:p w14:paraId="2A21C5B7" w14:textId="3C6FD1D9" w:rsidR="00832BCA" w:rsidRDefault="004309F2" w:rsidP="00AA5A2B">
      <w:pPr>
        <w:pStyle w:val="Heading4"/>
      </w:pPr>
      <w:r>
        <w:lastRenderedPageBreak/>
        <w:t>Reintroduction of n</w:t>
      </w:r>
      <w:r w:rsidR="00832BCA">
        <w:t>umber of regulated entities as a driver of regulation costs</w:t>
      </w:r>
    </w:p>
    <w:p w14:paraId="1FCC035F" w14:textId="32827677" w:rsidR="00CB6FD7" w:rsidRPr="00F1701F" w:rsidRDefault="76B1C24A" w:rsidP="00046119">
      <w:pPr>
        <w:pStyle w:val="CGC2025ParaNumbers"/>
        <w:numPr>
          <w:ilvl w:val="0"/>
          <w:numId w:val="7"/>
        </w:numPr>
        <w:ind w:left="567" w:hanging="567"/>
      </w:pPr>
      <w:r w:rsidRPr="00F1701F">
        <w:t xml:space="preserve">The Commission’s preliminary view is to reintroduce the number of businesses as a driver of need </w:t>
      </w:r>
      <w:r w:rsidR="00F66EFB" w:rsidRPr="00F1701F">
        <w:t>t</w:t>
      </w:r>
      <w:r w:rsidR="47A678EC" w:rsidRPr="00F1701F">
        <w:t>o</w:t>
      </w:r>
      <w:r w:rsidR="08F8F208" w:rsidRPr="00F1701F">
        <w:t xml:space="preserve"> reduce the </w:t>
      </w:r>
      <w:r w:rsidR="00C24259" w:rsidRPr="00F1701F">
        <w:t xml:space="preserve">artificial </w:t>
      </w:r>
      <w:r w:rsidR="08F8F208" w:rsidRPr="00F1701F">
        <w:t>v</w:t>
      </w:r>
      <w:r w:rsidR="1B9BFF7C" w:rsidRPr="00F1701F">
        <w:t>olatility of the regulation assessments</w:t>
      </w:r>
      <w:r w:rsidR="00375A88" w:rsidRPr="00F1701F">
        <w:t>, if it is material</w:t>
      </w:r>
      <w:r w:rsidR="5C7C9192" w:rsidRPr="00F1701F" w:rsidDel="00375A88">
        <w:t>.</w:t>
      </w:r>
    </w:p>
    <w:p w14:paraId="5FEC3574" w14:textId="2B454CBB" w:rsidR="00F66EFB" w:rsidRPr="00F1701F" w:rsidRDefault="00F66EFB" w:rsidP="00046119">
      <w:pPr>
        <w:pStyle w:val="CGC2025ParaNumbers"/>
        <w:numPr>
          <w:ilvl w:val="0"/>
          <w:numId w:val="7"/>
        </w:numPr>
        <w:ind w:left="567" w:hanging="567"/>
      </w:pPr>
      <w:r>
        <w:t>Data on the number of businesses in the regulated industries will be sourced from the</w:t>
      </w:r>
      <w:r w:rsidR="00D83EB3">
        <w:t xml:space="preserve"> </w:t>
      </w:r>
      <w:r w:rsidR="00D83EB3" w:rsidRPr="4DC9CC7D">
        <w:rPr>
          <w:i/>
          <w:iCs/>
        </w:rPr>
        <w:t xml:space="preserve">Count of Australian Businesses </w:t>
      </w:r>
      <w:r w:rsidR="00D83EB3">
        <w:t>published</w:t>
      </w:r>
      <w:r w:rsidR="00E6042B">
        <w:t xml:space="preserve"> annually</w:t>
      </w:r>
      <w:r w:rsidR="00D83EB3">
        <w:t xml:space="preserve"> by the</w:t>
      </w:r>
      <w:r>
        <w:t xml:space="preserve"> ABS</w:t>
      </w:r>
      <w:r w:rsidR="00D83EB3">
        <w:t>.</w:t>
      </w:r>
    </w:p>
    <w:p w14:paraId="78DC5891" w14:textId="3CAB57E5" w:rsidR="009878D7" w:rsidRPr="00BE48C8" w:rsidRDefault="009878D7" w:rsidP="009878D7">
      <w:pPr>
        <w:pStyle w:val="Heading4"/>
      </w:pPr>
      <w:r>
        <w:t>Consultation questions</w:t>
      </w:r>
    </w:p>
    <w:p w14:paraId="383E985B" w14:textId="77777777" w:rsidR="009878D7" w:rsidRDefault="009878D7" w:rsidP="009878D7">
      <w:pPr>
        <w:pStyle w:val="CGCParaNumber"/>
        <w:numPr>
          <w:ilvl w:val="0"/>
          <w:numId w:val="0"/>
        </w:numPr>
      </w:pPr>
      <w:r w:rsidRPr="001C4DF3">
        <w:rPr>
          <w:noProof/>
        </w:rPr>
        <mc:AlternateContent>
          <mc:Choice Requires="wps">
            <w:drawing>
              <wp:inline distT="0" distB="0" distL="0" distR="0" wp14:anchorId="51BECDBB" wp14:editId="3748DD81">
                <wp:extent cx="5688965" cy="1533525"/>
                <wp:effectExtent l="0" t="0" r="6985" b="9525"/>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8965" cy="1533525"/>
                        </a:xfrm>
                        <a:prstGeom prst="rect">
                          <a:avLst/>
                        </a:prstGeom>
                        <a:solidFill>
                          <a:srgbClr val="EBF3F5"/>
                        </a:solidFill>
                        <a:ln w="25400" cap="flat" cmpd="sng" algn="ctr">
                          <a:noFill/>
                          <a:prstDash val="solid"/>
                        </a:ln>
                        <a:effectLst/>
                      </wps:spPr>
                      <wps:txbx>
                        <w:txbxContent>
                          <w:p w14:paraId="49C2DCA9" w14:textId="635DE8C6" w:rsidR="009878D7" w:rsidRDefault="009878D7" w:rsidP="000C074B">
                            <w:pPr>
                              <w:pStyle w:val="CGC2025Questionsnumbers2"/>
                              <w:rPr>
                                <w:lang w:eastAsia="en-AU"/>
                              </w:rPr>
                            </w:pPr>
                            <w:bookmarkStart w:id="41" w:name="_Hlk142467012"/>
                            <w:r w:rsidRPr="00D74AC2">
                              <w:rPr>
                                <w:lang w:eastAsia="en-AU"/>
                              </w:rPr>
                              <w:t xml:space="preserve">Do </w:t>
                            </w:r>
                            <w:r w:rsidR="00AB2E94">
                              <w:rPr>
                                <w:lang w:eastAsia="en-AU"/>
                              </w:rPr>
                              <w:t>s</w:t>
                            </w:r>
                            <w:r w:rsidRPr="00D74AC2">
                              <w:rPr>
                                <w:lang w:eastAsia="en-AU"/>
                              </w:rPr>
                              <w:t xml:space="preserve">tates support </w:t>
                            </w:r>
                            <w:r w:rsidRPr="00AB2E94">
                              <w:rPr>
                                <w:lang w:eastAsia="en-AU"/>
                              </w:rPr>
                              <w:t>replac</w:t>
                            </w:r>
                            <w:r w:rsidR="00FD71EB" w:rsidRPr="00AB2E94">
                              <w:rPr>
                                <w:lang w:eastAsia="en-AU"/>
                              </w:rPr>
                              <w:t>ing</w:t>
                            </w:r>
                            <w:r w:rsidRPr="00AB2E94">
                              <w:rPr>
                                <w:lang w:eastAsia="en-AU"/>
                              </w:rPr>
                              <w:t xml:space="preserve"> total factor income </w:t>
                            </w:r>
                            <w:r w:rsidR="004B63F5" w:rsidRPr="00AB2E94">
                              <w:rPr>
                                <w:lang w:eastAsia="en-AU"/>
                              </w:rPr>
                              <w:t xml:space="preserve">as measure of industry size </w:t>
                            </w:r>
                            <w:r w:rsidRPr="00AB2E94">
                              <w:rPr>
                                <w:lang w:eastAsia="en-AU"/>
                              </w:rPr>
                              <w:t xml:space="preserve">with the chain volume measure of </w:t>
                            </w:r>
                            <w:r w:rsidR="00B937EE" w:rsidRPr="00AB2E94">
                              <w:rPr>
                                <w:lang w:eastAsia="en-AU"/>
                              </w:rPr>
                              <w:t>i</w:t>
                            </w:r>
                            <w:r w:rsidRPr="00AB2E94">
                              <w:rPr>
                                <w:lang w:eastAsia="en-AU"/>
                              </w:rPr>
                              <w:t>ndustry value</w:t>
                            </w:r>
                            <w:r w:rsidR="007B216A" w:rsidRPr="00AB2E94">
                              <w:rPr>
                                <w:lang w:eastAsia="en-AU"/>
                              </w:rPr>
                              <w:t>-</w:t>
                            </w:r>
                            <w:r w:rsidRPr="00AB2E94">
                              <w:rPr>
                                <w:lang w:eastAsia="en-AU"/>
                              </w:rPr>
                              <w:t>add</w:t>
                            </w:r>
                            <w:r w:rsidR="00A50478" w:rsidRPr="00AB2E94">
                              <w:rPr>
                                <w:lang w:eastAsia="en-AU"/>
                              </w:rPr>
                              <w:t xml:space="preserve"> </w:t>
                            </w:r>
                            <w:r w:rsidR="00696457" w:rsidRPr="00AB2E94">
                              <w:rPr>
                                <w:lang w:eastAsia="en-AU"/>
                              </w:rPr>
                              <w:t>to assess the</w:t>
                            </w:r>
                            <w:r w:rsidR="00A50478" w:rsidRPr="00AB2E94">
                              <w:rPr>
                                <w:lang w:eastAsia="en-AU"/>
                              </w:rPr>
                              <w:t xml:space="preserve"> need for spending on industry regulation</w:t>
                            </w:r>
                            <w:bookmarkEnd w:id="41"/>
                            <w:r w:rsidRPr="00AB2E94">
                              <w:rPr>
                                <w:lang w:eastAsia="en-AU"/>
                              </w:rPr>
                              <w:t>?</w:t>
                            </w:r>
                          </w:p>
                          <w:p w14:paraId="4E430B68" w14:textId="2DD10954" w:rsidR="00FD6476" w:rsidRPr="00FD6476" w:rsidRDefault="00FD6476" w:rsidP="00AA5A2B">
                            <w:pPr>
                              <w:pStyle w:val="CGC2025Questionsnumbers2"/>
                              <w:rPr>
                                <w:lang w:eastAsia="en-AU"/>
                              </w:rPr>
                            </w:pPr>
                            <w:r>
                              <w:rPr>
                                <w:lang w:eastAsia="en-AU"/>
                              </w:rPr>
                              <w:t xml:space="preserve">Do states support the development of an average or representative base year to index </w:t>
                            </w:r>
                            <w:r w:rsidR="004177F6">
                              <w:rPr>
                                <w:lang w:eastAsia="en-AU"/>
                              </w:rPr>
                              <w:t xml:space="preserve">changes in the </w:t>
                            </w:r>
                            <w:r w:rsidR="004309F2">
                              <w:rPr>
                                <w:lang w:eastAsia="en-AU"/>
                              </w:rPr>
                              <w:t xml:space="preserve">chain </w:t>
                            </w:r>
                            <w:r w:rsidR="004177F6">
                              <w:rPr>
                                <w:lang w:eastAsia="en-AU"/>
                              </w:rPr>
                              <w:t>volume of production?</w:t>
                            </w:r>
                          </w:p>
                          <w:p w14:paraId="273C8FE3" w14:textId="7C1B9751" w:rsidR="004C6BEB" w:rsidRDefault="004C6BEB" w:rsidP="00AA5A2B">
                            <w:pPr>
                              <w:pStyle w:val="CGC2025Questionsnumbers2"/>
                              <w:rPr>
                                <w:lang w:eastAsia="en-AU"/>
                              </w:rPr>
                            </w:pPr>
                            <w:r>
                              <w:rPr>
                                <w:lang w:eastAsia="en-AU"/>
                              </w:rPr>
                              <w:t>Do states supp</w:t>
                            </w:r>
                            <w:r w:rsidR="007C6FAF">
                              <w:rPr>
                                <w:lang w:eastAsia="en-AU"/>
                              </w:rPr>
                              <w:t xml:space="preserve">ort </w:t>
                            </w:r>
                            <w:r w:rsidR="00935ED6">
                              <w:rPr>
                                <w:lang w:eastAsia="en-AU"/>
                              </w:rPr>
                              <w:t>the</w:t>
                            </w:r>
                            <w:r w:rsidR="007C6FAF">
                              <w:rPr>
                                <w:lang w:eastAsia="en-AU"/>
                              </w:rPr>
                              <w:t xml:space="preserve"> reintroduc</w:t>
                            </w:r>
                            <w:r w:rsidR="00935ED6">
                              <w:rPr>
                                <w:lang w:eastAsia="en-AU"/>
                              </w:rPr>
                              <w:t>tion of</w:t>
                            </w:r>
                            <w:r w:rsidR="00D7527A">
                              <w:rPr>
                                <w:lang w:eastAsia="en-AU"/>
                              </w:rPr>
                              <w:t xml:space="preserve"> </w:t>
                            </w:r>
                            <w:r w:rsidR="00CE16F1">
                              <w:rPr>
                                <w:lang w:eastAsia="en-AU"/>
                              </w:rPr>
                              <w:t>the number of businesses as a</w:t>
                            </w:r>
                            <w:r w:rsidR="007C6FAF">
                              <w:rPr>
                                <w:lang w:eastAsia="en-AU"/>
                              </w:rPr>
                              <w:t xml:space="preserve"> driver of need for regulatory spending</w:t>
                            </w:r>
                            <w:r w:rsidR="00D054CA">
                              <w:rPr>
                                <w:lang w:eastAsia="en-AU"/>
                              </w:rPr>
                              <w:t xml:space="preserve"> if it is material</w:t>
                            </w:r>
                            <w:r w:rsidR="00D7527A">
                              <w:rPr>
                                <w:lang w:eastAsia="en-AU"/>
                              </w:rPr>
                              <w:t>?</w:t>
                            </w:r>
                          </w:p>
                          <w:p w14:paraId="5968B3C8" w14:textId="77777777" w:rsidR="004C6BEB" w:rsidRDefault="004C6BEB" w:rsidP="004C6BEB">
                            <w:pPr>
                              <w:pStyle w:val="CGCParaNumber"/>
                              <w:numPr>
                                <w:ilvl w:val="0"/>
                                <w:numId w:val="0"/>
                              </w:numPr>
                              <w:rPr>
                                <w:lang w:eastAsia="en-AU"/>
                              </w:rPr>
                            </w:pPr>
                            <w:r>
                              <w:rPr>
                                <w:lang w:eastAsia="en-AU"/>
                              </w:rPr>
                              <w:t xml:space="preserve"> </w:t>
                            </w:r>
                          </w:p>
                          <w:p w14:paraId="4E505F65" w14:textId="20C5E1F7" w:rsidR="009E2960" w:rsidRDefault="009E2960" w:rsidP="008947F2">
                            <w:pPr>
                              <w:pStyle w:val="CGCParaNumber"/>
                              <w:numPr>
                                <w:ilvl w:val="0"/>
                                <w:numId w:val="0"/>
                              </w:numPr>
                              <w:rPr>
                                <w:lang w:eastAsia="en-AU"/>
                              </w:rPr>
                            </w:pPr>
                          </w:p>
                          <w:p w14:paraId="4212A5B9" w14:textId="77777777" w:rsidR="0092522E" w:rsidRPr="00D74AC2" w:rsidRDefault="0092522E" w:rsidP="009878D7">
                            <w:pPr>
                              <w:pStyle w:val="CGCParaNumber"/>
                              <w:numPr>
                                <w:ilvl w:val="0"/>
                                <w:numId w:val="0"/>
                              </w:numPr>
                              <w:ind w:left="360" w:hanging="360"/>
                              <w:rPr>
                                <w:lang w:eastAsia="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BECDBB" id="Rectangle 5" o:spid="_x0000_s1029" alt="&quot;&quot;" style="width:447.95pt;height:1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" fillcolor="#ebf3f5" stroked="f" strokeweight="2pt">
                <v:textbox>
                  <w:txbxContent>
                    <w:p w14:paraId="49C2DCA9" w14:textId="635DE8C6" w:rsidR="009878D7" w:rsidRDefault="009878D7" w:rsidP="000C074B">
                      <w:pPr>
                        <w:pStyle w:val="CGC2025Questionsnumbers2"/>
                        <w:rPr>
                          <w:lang w:eastAsia="en-AU"/>
                        </w:rPr>
                      </w:pPr>
                      <w:bookmarkStart w:id="42" w:name="_Hlk142467012"/>
                      <w:r w:rsidRPr="00D74AC2">
                        <w:rPr>
                          <w:lang w:eastAsia="en-AU"/>
                        </w:rPr>
                        <w:t xml:space="preserve">Do </w:t>
                      </w:r>
                      <w:r w:rsidR="00AB2E94">
                        <w:rPr>
                          <w:lang w:eastAsia="en-AU"/>
                        </w:rPr>
                        <w:t>s</w:t>
                      </w:r>
                      <w:r w:rsidRPr="00D74AC2">
                        <w:rPr>
                          <w:lang w:eastAsia="en-AU"/>
                        </w:rPr>
                        <w:t xml:space="preserve">tates support </w:t>
                      </w:r>
                      <w:r w:rsidRPr="00AB2E94">
                        <w:rPr>
                          <w:lang w:eastAsia="en-AU"/>
                        </w:rPr>
                        <w:t>replac</w:t>
                      </w:r>
                      <w:r w:rsidR="00FD71EB" w:rsidRPr="00AB2E94">
                        <w:rPr>
                          <w:lang w:eastAsia="en-AU"/>
                        </w:rPr>
                        <w:t>ing</w:t>
                      </w:r>
                      <w:r w:rsidRPr="00AB2E94">
                        <w:rPr>
                          <w:lang w:eastAsia="en-AU"/>
                        </w:rPr>
                        <w:t xml:space="preserve"> total factor income </w:t>
                      </w:r>
                      <w:r w:rsidR="004B63F5" w:rsidRPr="00AB2E94">
                        <w:rPr>
                          <w:lang w:eastAsia="en-AU"/>
                        </w:rPr>
                        <w:t xml:space="preserve">as measure of industry size </w:t>
                      </w:r>
                      <w:r w:rsidRPr="00AB2E94">
                        <w:rPr>
                          <w:lang w:eastAsia="en-AU"/>
                        </w:rPr>
                        <w:t xml:space="preserve">with the chain volume measure of </w:t>
                      </w:r>
                      <w:r w:rsidR="00B937EE" w:rsidRPr="00AB2E94">
                        <w:rPr>
                          <w:lang w:eastAsia="en-AU"/>
                        </w:rPr>
                        <w:t>i</w:t>
                      </w:r>
                      <w:r w:rsidRPr="00AB2E94">
                        <w:rPr>
                          <w:lang w:eastAsia="en-AU"/>
                        </w:rPr>
                        <w:t>ndustry value</w:t>
                      </w:r>
                      <w:r w:rsidR="007B216A" w:rsidRPr="00AB2E94">
                        <w:rPr>
                          <w:lang w:eastAsia="en-AU"/>
                        </w:rPr>
                        <w:t>-</w:t>
                      </w:r>
                      <w:r w:rsidRPr="00AB2E94">
                        <w:rPr>
                          <w:lang w:eastAsia="en-AU"/>
                        </w:rPr>
                        <w:t>add</w:t>
                      </w:r>
                      <w:r w:rsidR="00A50478" w:rsidRPr="00AB2E94">
                        <w:rPr>
                          <w:lang w:eastAsia="en-AU"/>
                        </w:rPr>
                        <w:t xml:space="preserve"> </w:t>
                      </w:r>
                      <w:r w:rsidR="00696457" w:rsidRPr="00AB2E94">
                        <w:rPr>
                          <w:lang w:eastAsia="en-AU"/>
                        </w:rPr>
                        <w:t>to assess the</w:t>
                      </w:r>
                      <w:r w:rsidR="00A50478" w:rsidRPr="00AB2E94">
                        <w:rPr>
                          <w:lang w:eastAsia="en-AU"/>
                        </w:rPr>
                        <w:t xml:space="preserve"> need for spending on industry regulation</w:t>
                      </w:r>
                      <w:bookmarkEnd w:id="42"/>
                      <w:r w:rsidRPr="00AB2E94">
                        <w:rPr>
                          <w:lang w:eastAsia="en-AU"/>
                        </w:rPr>
                        <w:t>?</w:t>
                      </w:r>
                    </w:p>
                    <w:p w14:paraId="4E430B68" w14:textId="2DD10954" w:rsidR="00FD6476" w:rsidRPr="00FD6476" w:rsidRDefault="00FD6476" w:rsidP="00AA5A2B">
                      <w:pPr>
                        <w:pStyle w:val="CGC2025Questionsnumbers2"/>
                        <w:rPr>
                          <w:lang w:eastAsia="en-AU"/>
                        </w:rPr>
                      </w:pPr>
                      <w:r>
                        <w:rPr>
                          <w:lang w:eastAsia="en-AU"/>
                        </w:rPr>
                        <w:t xml:space="preserve">Do states support the development of an average or representative base year to index </w:t>
                      </w:r>
                      <w:r w:rsidR="004177F6">
                        <w:rPr>
                          <w:lang w:eastAsia="en-AU"/>
                        </w:rPr>
                        <w:t xml:space="preserve">changes in the </w:t>
                      </w:r>
                      <w:r w:rsidR="004309F2">
                        <w:rPr>
                          <w:lang w:eastAsia="en-AU"/>
                        </w:rPr>
                        <w:t xml:space="preserve">chain </w:t>
                      </w:r>
                      <w:r w:rsidR="004177F6">
                        <w:rPr>
                          <w:lang w:eastAsia="en-AU"/>
                        </w:rPr>
                        <w:t>volume of production?</w:t>
                      </w:r>
                    </w:p>
                    <w:p w14:paraId="273C8FE3" w14:textId="7C1B9751" w:rsidR="004C6BEB" w:rsidRDefault="004C6BEB" w:rsidP="00AA5A2B">
                      <w:pPr>
                        <w:pStyle w:val="CGC2025Questionsnumbers2"/>
                        <w:rPr>
                          <w:lang w:eastAsia="en-AU"/>
                        </w:rPr>
                      </w:pPr>
                      <w:r>
                        <w:rPr>
                          <w:lang w:eastAsia="en-AU"/>
                        </w:rPr>
                        <w:t>Do states supp</w:t>
                      </w:r>
                      <w:r w:rsidR="007C6FAF">
                        <w:rPr>
                          <w:lang w:eastAsia="en-AU"/>
                        </w:rPr>
                        <w:t xml:space="preserve">ort </w:t>
                      </w:r>
                      <w:r w:rsidR="00935ED6">
                        <w:rPr>
                          <w:lang w:eastAsia="en-AU"/>
                        </w:rPr>
                        <w:t>the</w:t>
                      </w:r>
                      <w:r w:rsidR="007C6FAF">
                        <w:rPr>
                          <w:lang w:eastAsia="en-AU"/>
                        </w:rPr>
                        <w:t xml:space="preserve"> reintroduc</w:t>
                      </w:r>
                      <w:r w:rsidR="00935ED6">
                        <w:rPr>
                          <w:lang w:eastAsia="en-AU"/>
                        </w:rPr>
                        <w:t>tion of</w:t>
                      </w:r>
                      <w:r w:rsidR="00D7527A">
                        <w:rPr>
                          <w:lang w:eastAsia="en-AU"/>
                        </w:rPr>
                        <w:t xml:space="preserve"> </w:t>
                      </w:r>
                      <w:r w:rsidR="00CE16F1">
                        <w:rPr>
                          <w:lang w:eastAsia="en-AU"/>
                        </w:rPr>
                        <w:t>the number of businesses as a</w:t>
                      </w:r>
                      <w:r w:rsidR="007C6FAF">
                        <w:rPr>
                          <w:lang w:eastAsia="en-AU"/>
                        </w:rPr>
                        <w:t xml:space="preserve"> driver of need for regulatory spending</w:t>
                      </w:r>
                      <w:r w:rsidR="00D054CA">
                        <w:rPr>
                          <w:lang w:eastAsia="en-AU"/>
                        </w:rPr>
                        <w:t xml:space="preserve"> if it is material</w:t>
                      </w:r>
                      <w:r w:rsidR="00D7527A">
                        <w:rPr>
                          <w:lang w:eastAsia="en-AU"/>
                        </w:rPr>
                        <w:t>?</w:t>
                      </w:r>
                    </w:p>
                    <w:p w14:paraId="5968B3C8" w14:textId="77777777" w:rsidR="004C6BEB" w:rsidRDefault="004C6BEB" w:rsidP="004C6BEB">
                      <w:pPr>
                        <w:pStyle w:val="CGCParaNumber"/>
                        <w:numPr>
                          <w:ilvl w:val="0"/>
                          <w:numId w:val="0"/>
                        </w:numPr>
                        <w:rPr>
                          <w:lang w:eastAsia="en-AU"/>
                        </w:rPr>
                      </w:pPr>
                      <w:r>
                        <w:rPr>
                          <w:lang w:eastAsia="en-AU"/>
                        </w:rPr>
                        <w:t xml:space="preserve"> </w:t>
                      </w:r>
                    </w:p>
                    <w:p w14:paraId="4E505F65" w14:textId="20C5E1F7" w:rsidR="009E2960" w:rsidRDefault="009E2960" w:rsidP="008947F2">
                      <w:pPr>
                        <w:pStyle w:val="CGCParaNumber"/>
                        <w:numPr>
                          <w:ilvl w:val="0"/>
                          <w:numId w:val="0"/>
                        </w:numPr>
                        <w:rPr>
                          <w:lang w:eastAsia="en-AU"/>
                        </w:rPr>
                      </w:pPr>
                    </w:p>
                    <w:p w14:paraId="4212A5B9" w14:textId="77777777" w:rsidR="0092522E" w:rsidRPr="00D74AC2" w:rsidRDefault="0092522E" w:rsidP="009878D7">
                      <w:pPr>
                        <w:pStyle w:val="CGCParaNumber"/>
                        <w:numPr>
                          <w:ilvl w:val="0"/>
                          <w:numId w:val="0"/>
                        </w:numPr>
                        <w:ind w:left="360" w:hanging="360"/>
                        <w:rPr>
                          <w:lang w:eastAsia="en-AU"/>
                        </w:rPr>
                      </w:pPr>
                    </w:p>
                  </w:txbxContent>
                </v:textbox>
                <w10:anchorlock/>
              </v:rect>
            </w:pict>
          </mc:Fallback>
        </mc:AlternateContent>
      </w:r>
    </w:p>
    <w:p w14:paraId="5467A144" w14:textId="5B4C499D" w:rsidR="009878D7" w:rsidRDefault="00B807BE" w:rsidP="009878D7">
      <w:pPr>
        <w:pStyle w:val="Heading3"/>
      </w:pPr>
      <w:bookmarkStart w:id="43" w:name="_Toc147410874"/>
      <w:r>
        <w:t>Will the</w:t>
      </w:r>
      <w:r w:rsidR="0079140B">
        <w:t xml:space="preserve"> net-zero transition drive increased business development spending</w:t>
      </w:r>
      <w:r w:rsidR="00553964">
        <w:t xml:space="preserve"> in the future</w:t>
      </w:r>
      <w:r>
        <w:t>?</w:t>
      </w:r>
      <w:bookmarkEnd w:id="43"/>
    </w:p>
    <w:p w14:paraId="26A28F1D" w14:textId="044E2B1C" w:rsidR="009878D7" w:rsidRPr="00106AB3" w:rsidRDefault="259CBBE5" w:rsidP="00BF78D8">
      <w:pPr>
        <w:pStyle w:val="CGC2025ParaNumbers"/>
        <w:numPr>
          <w:ilvl w:val="0"/>
          <w:numId w:val="7"/>
        </w:numPr>
        <w:ind w:left="567" w:hanging="567"/>
        <w:rPr>
          <w:rFonts w:eastAsia="Calibri" w:cs="Arial"/>
          <w:szCs w:val="20"/>
        </w:rPr>
      </w:pPr>
      <w:r>
        <w:t xml:space="preserve">The net-zero transition </w:t>
      </w:r>
      <w:r w:rsidR="60C8594C">
        <w:t>may</w:t>
      </w:r>
      <w:r>
        <w:t xml:space="preserve"> significantly affect employment</w:t>
      </w:r>
      <w:r w:rsidR="005B0DEB">
        <w:t>,</w:t>
      </w:r>
      <w:r>
        <w:t xml:space="preserve"> </w:t>
      </w:r>
      <w:r w:rsidR="6B99827C">
        <w:t xml:space="preserve">including </w:t>
      </w:r>
      <w:r>
        <w:t xml:space="preserve">in emissions intensive industries </w:t>
      </w:r>
      <w:r w:rsidR="1B9914C2">
        <w:t>like</w:t>
      </w:r>
      <w:r>
        <w:t xml:space="preserve"> mining and manufacturing. </w:t>
      </w:r>
      <w:r w:rsidR="009878D7">
        <w:t>To support the development of green and low</w:t>
      </w:r>
      <w:r w:rsidR="736CE2EA">
        <w:t>-</w:t>
      </w:r>
      <w:r w:rsidR="009878D7">
        <w:t xml:space="preserve">emissions </w:t>
      </w:r>
      <w:r w:rsidR="4B81C5FE">
        <w:t>ener</w:t>
      </w:r>
      <w:r w:rsidR="46AB4CC9">
        <w:t xml:space="preserve">gy generation </w:t>
      </w:r>
      <w:r w:rsidR="4B81C5FE">
        <w:t xml:space="preserve">and </w:t>
      </w:r>
      <w:r w:rsidR="009878D7">
        <w:t>industry</w:t>
      </w:r>
      <w:r>
        <w:t xml:space="preserve"> and</w:t>
      </w:r>
      <w:r w:rsidR="009878D7">
        <w:t xml:space="preserve"> </w:t>
      </w:r>
      <w:r>
        <w:t>provide new employment opportunities</w:t>
      </w:r>
      <w:r w:rsidR="46AB4CC9">
        <w:t xml:space="preserve"> </w:t>
      </w:r>
      <w:r w:rsidR="31259C82">
        <w:t>i</w:t>
      </w:r>
      <w:r w:rsidR="5D18A7CE">
        <w:t xml:space="preserve">ncluding </w:t>
      </w:r>
      <w:r w:rsidR="5F78555D">
        <w:t>i</w:t>
      </w:r>
      <w:r w:rsidR="5D18A7CE">
        <w:t>n</w:t>
      </w:r>
      <w:r w:rsidR="46AB4CC9">
        <w:t xml:space="preserve"> regions</w:t>
      </w:r>
      <w:r w:rsidR="592CFF12">
        <w:t xml:space="preserve"> most affected by the transition</w:t>
      </w:r>
      <w:r w:rsidR="009878D7">
        <w:t xml:space="preserve">, states have announced </w:t>
      </w:r>
      <w:r w:rsidR="71A3208F">
        <w:t>a range of</w:t>
      </w:r>
      <w:r w:rsidR="009878D7">
        <w:t xml:space="preserve"> business development programs and funds including:</w:t>
      </w:r>
    </w:p>
    <w:p w14:paraId="4559041B" w14:textId="209E65F4" w:rsidR="009878D7" w:rsidRPr="00A4691D" w:rsidRDefault="009878D7" w:rsidP="007E37A9">
      <w:pPr>
        <w:pStyle w:val="CGC2025Bullet1"/>
      </w:pPr>
      <w:r w:rsidRPr="00A4691D">
        <w:t>Queensland</w:t>
      </w:r>
      <w:r w:rsidR="004865A0" w:rsidRPr="00A4691D">
        <w:t>’</w:t>
      </w:r>
      <w:r w:rsidRPr="00A4691D">
        <w:t>s $4.5 billion Renewable Energy and Hydrogen Jobs Fund</w:t>
      </w:r>
    </w:p>
    <w:p w14:paraId="1FC25DC6" w14:textId="376FC9DE" w:rsidR="00796B41" w:rsidRPr="00A4691D" w:rsidRDefault="00796B41" w:rsidP="00796B41">
      <w:pPr>
        <w:pStyle w:val="CGC2025Bullet1"/>
      </w:pPr>
      <w:r>
        <w:t>Western Australia</w:t>
      </w:r>
      <w:r w:rsidR="004865A0">
        <w:t>’</w:t>
      </w:r>
      <w:r>
        <w:t xml:space="preserve">s $750 million Climate </w:t>
      </w:r>
      <w:r w:rsidR="1851B076">
        <w:t>A</w:t>
      </w:r>
      <w:r>
        <w:t xml:space="preserve">ction </w:t>
      </w:r>
      <w:r w:rsidR="298F52A2">
        <w:t>F</w:t>
      </w:r>
      <w:r>
        <w:t>und</w:t>
      </w:r>
    </w:p>
    <w:p w14:paraId="21DAC3A9" w14:textId="588F834E" w:rsidR="00796B41" w:rsidRPr="00A4691D" w:rsidRDefault="00796B41" w:rsidP="00796B41">
      <w:pPr>
        <w:pStyle w:val="CGC2025Bullet1"/>
      </w:pPr>
      <w:r w:rsidRPr="00A4691D">
        <w:t>Victoria</w:t>
      </w:r>
      <w:r w:rsidR="004865A0" w:rsidRPr="00A4691D">
        <w:t>’</w:t>
      </w:r>
      <w:r w:rsidRPr="00A4691D">
        <w:t>s $1.6 billion clean energy package which consists of $108</w:t>
      </w:r>
      <w:r w:rsidR="006F2E12" w:rsidRPr="00A4691D">
        <w:t> </w:t>
      </w:r>
      <w:r w:rsidRPr="00A4691D">
        <w:t xml:space="preserve">million </w:t>
      </w:r>
      <w:r w:rsidR="323E0A46" w:rsidRPr="00A4691D">
        <w:t>linked</w:t>
      </w:r>
      <w:r w:rsidRPr="00A4691D">
        <w:t xml:space="preserve"> to clean energy industry development</w:t>
      </w:r>
      <w:r w:rsidRPr="00A4691D">
        <w:rPr>
          <w:rStyle w:val="FootnoteReference"/>
        </w:rPr>
        <w:footnoteReference w:id="2"/>
      </w:r>
    </w:p>
    <w:p w14:paraId="02FF5EF9" w14:textId="2CB99061" w:rsidR="009878D7" w:rsidRPr="00A4691D" w:rsidRDefault="009878D7" w:rsidP="007E37A9">
      <w:pPr>
        <w:pStyle w:val="CGC2025Bullet1"/>
      </w:pPr>
      <w:r w:rsidRPr="00A4691D">
        <w:t xml:space="preserve">New South </w:t>
      </w:r>
      <w:proofErr w:type="spellStart"/>
      <w:r w:rsidRPr="00A4691D">
        <w:t>Wales</w:t>
      </w:r>
      <w:r w:rsidR="00E51917">
        <w:t>’</w:t>
      </w:r>
      <w:proofErr w:type="spellEnd"/>
      <w:r w:rsidRPr="00A4691D">
        <w:t xml:space="preserve"> $1 billion Net Zero industry and innovation fund</w:t>
      </w:r>
      <w:r w:rsidR="00F625F4" w:rsidRPr="00A4691D">
        <w:t>,</w:t>
      </w:r>
      <w:r w:rsidRPr="00A4691D">
        <w:t xml:space="preserve"> </w:t>
      </w:r>
      <w:r w:rsidR="6C0A35CB" w:rsidRPr="00A4691D">
        <w:t>a</w:t>
      </w:r>
      <w:r w:rsidR="00F625F4" w:rsidRPr="00A4691D">
        <w:t>nd i</w:t>
      </w:r>
      <w:r w:rsidRPr="00A4691D">
        <w:t>ts $3</w:t>
      </w:r>
      <w:r w:rsidR="004C7962" w:rsidRPr="00A4691D">
        <w:t> </w:t>
      </w:r>
      <w:r w:rsidRPr="00A4691D">
        <w:t>billion in the Hydrogen Strategy, which will provide support for the hydrogen industry</w:t>
      </w:r>
      <w:r w:rsidR="0045235E" w:rsidRPr="00A4691D">
        <w:t>.</w:t>
      </w:r>
      <w:r w:rsidR="00D23109" w:rsidRPr="00A4691D">
        <w:rPr>
          <w:rStyle w:val="FootnoteReference"/>
        </w:rPr>
        <w:footnoteReference w:id="3"/>
      </w:r>
    </w:p>
    <w:p w14:paraId="4DC36F9B" w14:textId="21133676" w:rsidR="00D662BC" w:rsidRDefault="5884DCF1" w:rsidP="00BF78D8">
      <w:pPr>
        <w:pStyle w:val="CGC2025ParaNumbers"/>
        <w:numPr>
          <w:ilvl w:val="0"/>
          <w:numId w:val="7"/>
        </w:numPr>
        <w:ind w:left="567" w:hanging="567"/>
      </w:pPr>
      <w:r>
        <w:t xml:space="preserve">These and future </w:t>
      </w:r>
      <w:r w:rsidR="50BE66AC">
        <w:t>net</w:t>
      </w:r>
      <w:r w:rsidR="259CBBE5">
        <w:t>-</w:t>
      </w:r>
      <w:r w:rsidR="50BE66AC">
        <w:t>zero</w:t>
      </w:r>
      <w:r w:rsidR="259CBBE5">
        <w:t xml:space="preserve"> </w:t>
      </w:r>
      <w:r w:rsidR="449E6582">
        <w:t>initiatives</w:t>
      </w:r>
      <w:r>
        <w:t xml:space="preserve"> </w:t>
      </w:r>
      <w:r w:rsidR="49ED3E5F">
        <w:t xml:space="preserve">could lead to an </w:t>
      </w:r>
      <w:r w:rsidR="009878D7">
        <w:t xml:space="preserve">increase </w:t>
      </w:r>
      <w:r w:rsidR="0CD8D10F">
        <w:t xml:space="preserve">in </w:t>
      </w:r>
      <w:r w:rsidR="009878D7">
        <w:t xml:space="preserve">business development </w:t>
      </w:r>
      <w:r w:rsidR="06C47FAC">
        <w:t xml:space="preserve">spending </w:t>
      </w:r>
      <w:r w:rsidR="5BF7EC3B">
        <w:t>in the coming years</w:t>
      </w:r>
      <w:r w:rsidR="259CBBE5">
        <w:t xml:space="preserve">. </w:t>
      </w:r>
      <w:r w:rsidR="49ED3E5F">
        <w:t>However</w:t>
      </w:r>
      <w:r w:rsidR="516A6D5B">
        <w:t>,</w:t>
      </w:r>
      <w:r w:rsidR="49ED3E5F">
        <w:t xml:space="preserve"> it is uncertain </w:t>
      </w:r>
      <w:r w:rsidR="516A6D5B">
        <w:t>whether</w:t>
      </w:r>
      <w:r w:rsidR="49ED3E5F">
        <w:t>:</w:t>
      </w:r>
    </w:p>
    <w:p w14:paraId="3AC864CF" w14:textId="529C7CA2" w:rsidR="00A0359B" w:rsidRDefault="00D662BC" w:rsidP="00AA5A2B">
      <w:pPr>
        <w:pStyle w:val="CGC2025Bullet1"/>
      </w:pPr>
      <w:r>
        <w:t>the announcements reflect a</w:t>
      </w:r>
      <w:r w:rsidR="00A0359B">
        <w:t xml:space="preserve">n </w:t>
      </w:r>
      <w:r>
        <w:t>increase in assessed state spending</w:t>
      </w:r>
      <w:r w:rsidR="00A0359B">
        <w:t>, compared with an increase in unassessed spending (such as concessional loans)</w:t>
      </w:r>
    </w:p>
    <w:p w14:paraId="075A80DE" w14:textId="35678C75" w:rsidR="00D662BC" w:rsidRDefault="00D662BC" w:rsidP="00AA5A2B">
      <w:pPr>
        <w:pStyle w:val="CGC2025Bullet1"/>
      </w:pPr>
      <w:r>
        <w:lastRenderedPageBreak/>
        <w:t xml:space="preserve">there is a </w:t>
      </w:r>
      <w:r w:rsidR="00546D15">
        <w:t xml:space="preserve">conceptual </w:t>
      </w:r>
      <w:r>
        <w:t>case for a net</w:t>
      </w:r>
      <w:r w:rsidR="00AD691F">
        <w:t>-</w:t>
      </w:r>
      <w:r>
        <w:t xml:space="preserve">zero transition assessment within business </w:t>
      </w:r>
      <w:proofErr w:type="gramStart"/>
      <w:r>
        <w:t>development</w:t>
      </w:r>
      <w:proofErr w:type="gramEnd"/>
    </w:p>
    <w:p w14:paraId="23808C78" w14:textId="7CCF612D" w:rsidR="00D662BC" w:rsidRDefault="00D662BC" w:rsidP="00AA5A2B">
      <w:pPr>
        <w:pStyle w:val="CGC2025Bullet1"/>
      </w:pPr>
      <w:r>
        <w:t xml:space="preserve">there is an identifiable </w:t>
      </w:r>
      <w:r w:rsidR="76F60A51">
        <w:t xml:space="preserve">policy neutral </w:t>
      </w:r>
      <w:r>
        <w:t>driver for net-zero transition spending</w:t>
      </w:r>
      <w:r w:rsidR="0079140B">
        <w:t>,</w:t>
      </w:r>
    </w:p>
    <w:p w14:paraId="290517B7" w14:textId="18E82BD9" w:rsidR="00A0359B" w:rsidRDefault="00D662BC" w:rsidP="00AA5A2B">
      <w:pPr>
        <w:pStyle w:val="CGC2025Bullet1"/>
      </w:pPr>
      <w:r>
        <w:t>there is sufficient timely and reliable data to develop an assessment</w:t>
      </w:r>
      <w:r w:rsidR="00A0359B">
        <w:t>.</w:t>
      </w:r>
    </w:p>
    <w:p w14:paraId="157C13A1" w14:textId="0AC17443" w:rsidR="00A0359B" w:rsidRDefault="516A6D5B" w:rsidP="00BF78D8">
      <w:pPr>
        <w:pStyle w:val="CGC2025ParaNumbers"/>
        <w:numPr>
          <w:ilvl w:val="0"/>
          <w:numId w:val="7"/>
        </w:numPr>
        <w:ind w:left="567" w:hanging="567"/>
      </w:pPr>
      <w:r>
        <w:t>The Commission welcomes state views on the treatment of net</w:t>
      </w:r>
      <w:r w:rsidR="4265EA0A">
        <w:t>-</w:t>
      </w:r>
      <w:r>
        <w:t xml:space="preserve">zero transition spending and whether there are any identifiable </w:t>
      </w:r>
      <w:r w:rsidR="1DA0F6B8">
        <w:t xml:space="preserve">policy neutral </w:t>
      </w:r>
      <w:r>
        <w:t xml:space="preserve">drivers </w:t>
      </w:r>
      <w:r w:rsidR="487A4E0E">
        <w:t xml:space="preserve">of state spending needs </w:t>
      </w:r>
      <w:r>
        <w:t>which can be used to assess net</w:t>
      </w:r>
      <w:r w:rsidR="4265EA0A">
        <w:t>-</w:t>
      </w:r>
      <w:r>
        <w:t>zero spending.</w:t>
      </w:r>
    </w:p>
    <w:p w14:paraId="7B6213A5" w14:textId="09B496BC" w:rsidR="00FA1B7A" w:rsidRPr="005F0B90" w:rsidRDefault="00FA1B7A" w:rsidP="00544405">
      <w:pPr>
        <w:pStyle w:val="Heading4"/>
      </w:pPr>
      <w:r>
        <w:t>Consultation questions</w:t>
      </w:r>
    </w:p>
    <w:p w14:paraId="2DF02CB0" w14:textId="77777777" w:rsidR="009878D7" w:rsidRDefault="009878D7" w:rsidP="009878D7">
      <w:pPr>
        <w:pStyle w:val="CGCParaNumber"/>
        <w:numPr>
          <w:ilvl w:val="0"/>
          <w:numId w:val="0"/>
        </w:numPr>
      </w:pPr>
      <w:r>
        <w:rPr>
          <w:noProof/>
        </w:rPr>
        <mc:AlternateContent>
          <mc:Choice Requires="wps">
            <w:drawing>
              <wp:inline distT="0" distB="0" distL="0" distR="0" wp14:anchorId="0AA705B3" wp14:editId="30737606">
                <wp:extent cx="5688965" cy="1504950"/>
                <wp:effectExtent l="0" t="0" r="6985" b="0"/>
                <wp:docPr id="28097944" name="Rectangle 280979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8965" cy="1504950"/>
                        </a:xfrm>
                        <a:prstGeom prst="rect">
                          <a:avLst/>
                        </a:prstGeom>
                        <a:solidFill>
                          <a:srgbClr val="EBF3F5"/>
                        </a:solidFill>
                        <a:ln w="25400" cap="flat" cmpd="sng" algn="ctr">
                          <a:noFill/>
                          <a:prstDash val="solid"/>
                        </a:ln>
                        <a:effectLst/>
                      </wps:spPr>
                      <wps:txbx>
                        <w:txbxContent>
                          <w:p w14:paraId="24F3F348" w14:textId="192FABB7" w:rsidR="00B13BDC" w:rsidRPr="00DA068F" w:rsidRDefault="00B13BDC" w:rsidP="00B13BDC">
                            <w:pPr>
                              <w:pStyle w:val="CGC2025Questionsnumbers2"/>
                              <w:rPr>
                                <w:lang w:eastAsia="en-AU"/>
                              </w:rPr>
                            </w:pPr>
                            <w:r>
                              <w:rPr>
                                <w:lang w:eastAsia="en-AU"/>
                              </w:rPr>
                              <w:t xml:space="preserve">Will states be able to identify spending on the net-zero transition and provide it to the </w:t>
                            </w:r>
                            <w:r w:rsidR="00EF7F1C">
                              <w:rPr>
                                <w:lang w:eastAsia="en-AU"/>
                              </w:rPr>
                              <w:t>C</w:t>
                            </w:r>
                            <w:r>
                              <w:rPr>
                                <w:lang w:eastAsia="en-AU"/>
                              </w:rPr>
                              <w:t>ommission to develop an assessment?</w:t>
                            </w:r>
                          </w:p>
                          <w:p w14:paraId="1EF18414" w14:textId="2CAA008D" w:rsidR="00B13BDC" w:rsidRDefault="00F070E3" w:rsidP="00B13BDC">
                            <w:pPr>
                              <w:pStyle w:val="CGC2025Questionsnumbers2"/>
                              <w:rPr>
                                <w:lang w:eastAsia="en-AU"/>
                              </w:rPr>
                            </w:pPr>
                            <w:r>
                              <w:rPr>
                                <w:lang w:eastAsia="en-AU"/>
                              </w:rPr>
                              <w:t>Can</w:t>
                            </w:r>
                            <w:r w:rsidR="00B13BDC">
                              <w:rPr>
                                <w:lang w:eastAsia="en-AU"/>
                              </w:rPr>
                              <w:t xml:space="preserve"> </w:t>
                            </w:r>
                            <w:r w:rsidR="00B13BDC" w:rsidRPr="0090773E">
                              <w:rPr>
                                <w:lang w:eastAsia="en-AU"/>
                              </w:rPr>
                              <w:t xml:space="preserve">states </w:t>
                            </w:r>
                            <w:r w:rsidRPr="0090773E">
                              <w:rPr>
                                <w:lang w:eastAsia="en-AU"/>
                              </w:rPr>
                              <w:t>identify</w:t>
                            </w:r>
                            <w:r w:rsidR="00C3154A" w:rsidRPr="0090773E">
                              <w:rPr>
                                <w:lang w:eastAsia="en-AU"/>
                              </w:rPr>
                              <w:t xml:space="preserve"> and provide data on</w:t>
                            </w:r>
                            <w:r w:rsidR="00B13BDC" w:rsidRPr="0090773E">
                              <w:rPr>
                                <w:lang w:eastAsia="en-AU"/>
                              </w:rPr>
                              <w:t xml:space="preserve"> potential drivers</w:t>
                            </w:r>
                            <w:r w:rsidR="00B13BDC">
                              <w:rPr>
                                <w:lang w:eastAsia="en-AU"/>
                              </w:rPr>
                              <w:t xml:space="preserve"> of state spending on the net-zero transition?</w:t>
                            </w:r>
                          </w:p>
                          <w:p w14:paraId="4020081B" w14:textId="77777777" w:rsidR="00E6042B" w:rsidRDefault="00E6042B" w:rsidP="00E6042B">
                            <w:pPr>
                              <w:pStyle w:val="CGC2025Questionsnumbers2"/>
                              <w:rPr>
                                <w:lang w:eastAsia="en-AU"/>
                              </w:rPr>
                            </w:pPr>
                            <w:r>
                              <w:rPr>
                                <w:lang w:eastAsia="en-AU"/>
                              </w:rPr>
                              <w:t>Do states expect there to be a sufficient increase in state net-zero transition spending to warrant a separate assessment, within or outside of the business development assessment?</w:t>
                            </w:r>
                          </w:p>
                          <w:p w14:paraId="2B2CDDF5" w14:textId="77777777" w:rsidR="00E6042B" w:rsidRPr="00E6042B" w:rsidRDefault="00E6042B" w:rsidP="00E6042B">
                            <w:pPr>
                              <w:pStyle w:val="CGC2025ParaNumbers"/>
                              <w:rPr>
                                <w:lang w:eastAsia="en-AU"/>
                              </w:rPr>
                            </w:pPr>
                          </w:p>
                          <w:p w14:paraId="1F7C2BC8" w14:textId="77777777" w:rsidR="00B13BDC" w:rsidRDefault="00B13B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705B3" id="Rectangle 28097944" o:spid="_x0000_s1030" alt="&quot;&quot;" style="width:447.95pt;height:1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" fillcolor="#ebf3f5" stroked="f" strokeweight="2pt">
                <v:textbox>
                  <w:txbxContent>
                    <w:p w14:paraId="24F3F348" w14:textId="192FABB7" w:rsidR="00B13BDC" w:rsidRPr="00DA068F" w:rsidRDefault="00B13BDC" w:rsidP="00B13BDC">
                      <w:pPr>
                        <w:pStyle w:val="CGC2025Questionsnumbers2"/>
                        <w:rPr>
                          <w:lang w:eastAsia="en-AU"/>
                        </w:rPr>
                      </w:pPr>
                      <w:r>
                        <w:rPr>
                          <w:lang w:eastAsia="en-AU"/>
                        </w:rPr>
                        <w:t xml:space="preserve">Will states be able to identify spending on the net-zero transition and provide it to the </w:t>
                      </w:r>
                      <w:r w:rsidR="00EF7F1C">
                        <w:rPr>
                          <w:lang w:eastAsia="en-AU"/>
                        </w:rPr>
                        <w:t>C</w:t>
                      </w:r>
                      <w:r>
                        <w:rPr>
                          <w:lang w:eastAsia="en-AU"/>
                        </w:rPr>
                        <w:t>ommission to develop an assessment?</w:t>
                      </w:r>
                    </w:p>
                    <w:p w14:paraId="1EF18414" w14:textId="2CAA008D" w:rsidR="00B13BDC" w:rsidRDefault="00F070E3" w:rsidP="00B13BDC">
                      <w:pPr>
                        <w:pStyle w:val="CGC2025Questionsnumbers2"/>
                        <w:rPr>
                          <w:lang w:eastAsia="en-AU"/>
                        </w:rPr>
                      </w:pPr>
                      <w:r>
                        <w:rPr>
                          <w:lang w:eastAsia="en-AU"/>
                        </w:rPr>
                        <w:t>Can</w:t>
                      </w:r>
                      <w:r w:rsidR="00B13BDC">
                        <w:rPr>
                          <w:lang w:eastAsia="en-AU"/>
                        </w:rPr>
                        <w:t xml:space="preserve"> </w:t>
                      </w:r>
                      <w:r w:rsidR="00B13BDC" w:rsidRPr="0090773E">
                        <w:rPr>
                          <w:lang w:eastAsia="en-AU"/>
                        </w:rPr>
                        <w:t xml:space="preserve">states </w:t>
                      </w:r>
                      <w:r w:rsidRPr="0090773E">
                        <w:rPr>
                          <w:lang w:eastAsia="en-AU"/>
                        </w:rPr>
                        <w:t>identify</w:t>
                      </w:r>
                      <w:r w:rsidR="00C3154A" w:rsidRPr="0090773E">
                        <w:rPr>
                          <w:lang w:eastAsia="en-AU"/>
                        </w:rPr>
                        <w:t xml:space="preserve"> and provide data on</w:t>
                      </w:r>
                      <w:r w:rsidR="00B13BDC" w:rsidRPr="0090773E">
                        <w:rPr>
                          <w:lang w:eastAsia="en-AU"/>
                        </w:rPr>
                        <w:t xml:space="preserve"> potential drivers</w:t>
                      </w:r>
                      <w:r w:rsidR="00B13BDC">
                        <w:rPr>
                          <w:lang w:eastAsia="en-AU"/>
                        </w:rPr>
                        <w:t xml:space="preserve"> of state spending on the net-zero transition?</w:t>
                      </w:r>
                    </w:p>
                    <w:p w14:paraId="4020081B" w14:textId="77777777" w:rsidR="00E6042B" w:rsidRDefault="00E6042B" w:rsidP="00E6042B">
                      <w:pPr>
                        <w:pStyle w:val="CGC2025Questionsnumbers2"/>
                        <w:rPr>
                          <w:lang w:eastAsia="en-AU"/>
                        </w:rPr>
                      </w:pPr>
                      <w:r>
                        <w:rPr>
                          <w:lang w:eastAsia="en-AU"/>
                        </w:rPr>
                        <w:t>Do states expect there to be a sufficient increase in state net-zero transition spending to warrant a separate assessment, within or outside of the business development assessment?</w:t>
                      </w:r>
                    </w:p>
                    <w:p w14:paraId="2B2CDDF5" w14:textId="77777777" w:rsidR="00E6042B" w:rsidRPr="00E6042B" w:rsidRDefault="00E6042B" w:rsidP="00E6042B">
                      <w:pPr>
                        <w:pStyle w:val="CGC2025ParaNumbers"/>
                        <w:rPr>
                          <w:lang w:eastAsia="en-AU"/>
                        </w:rPr>
                      </w:pPr>
                    </w:p>
                    <w:p w14:paraId="1F7C2BC8" w14:textId="77777777" w:rsidR="00B13BDC" w:rsidRDefault="00B13BDC"/>
                  </w:txbxContent>
                </v:textbox>
                <w10:anchorlock/>
              </v:rect>
            </w:pict>
          </mc:Fallback>
        </mc:AlternateContent>
      </w:r>
    </w:p>
    <w:p w14:paraId="71EF2D15" w14:textId="77777777" w:rsidR="009878D7" w:rsidRDefault="009878D7" w:rsidP="009878D7">
      <w:pPr>
        <w:pStyle w:val="Heading2"/>
      </w:pPr>
      <w:bookmarkStart w:id="44" w:name="_Toc121741490"/>
      <w:bookmarkStart w:id="45" w:name="_Toc147410875"/>
      <w:r>
        <w:t>Proposed assessment</w:t>
      </w:r>
      <w:bookmarkEnd w:id="44"/>
      <w:bookmarkEnd w:id="45"/>
    </w:p>
    <w:p w14:paraId="7FA173F7" w14:textId="46F50495" w:rsidR="009878D7" w:rsidRDefault="009878D7" w:rsidP="009878D7">
      <w:pPr>
        <w:pStyle w:val="Heading3"/>
      </w:pPr>
      <w:bookmarkStart w:id="46" w:name="_Toc121741492"/>
      <w:bookmarkStart w:id="47" w:name="_Toc147410876"/>
      <w:r>
        <w:t xml:space="preserve">Differences from </w:t>
      </w:r>
      <w:r w:rsidR="007567E1">
        <w:t xml:space="preserve">the </w:t>
      </w:r>
      <w:r>
        <w:t>2020 Review approach</w:t>
      </w:r>
      <w:bookmarkEnd w:id="46"/>
      <w:bookmarkEnd w:id="47"/>
    </w:p>
    <w:p w14:paraId="1A5328C9" w14:textId="44800524" w:rsidR="009878D7" w:rsidRDefault="6B843E34" w:rsidP="00A82AFF">
      <w:pPr>
        <w:pStyle w:val="CGC2025ParaNumbers"/>
        <w:numPr>
          <w:ilvl w:val="0"/>
          <w:numId w:val="7"/>
        </w:numPr>
        <w:spacing w:before="0" w:after="200" w:line="276" w:lineRule="auto"/>
        <w:ind w:left="567" w:hanging="567"/>
      </w:pPr>
      <w:r>
        <w:t xml:space="preserve">Subject to comments from the </w:t>
      </w:r>
      <w:r w:rsidR="07E3F405">
        <w:t>s</w:t>
      </w:r>
      <w:r>
        <w:t>tates</w:t>
      </w:r>
      <w:r w:rsidR="3368F11A">
        <w:t>,</w:t>
      </w:r>
      <w:r>
        <w:t xml:space="preserve"> the Commission proposes to rep</w:t>
      </w:r>
      <w:bookmarkStart w:id="48" w:name="_Toc121741491"/>
      <w:r>
        <w:t>lace industry total factor income with the chain volume measure of industry value add</w:t>
      </w:r>
      <w:r w:rsidR="35B5D688">
        <w:t>ed</w:t>
      </w:r>
      <w:r w:rsidR="452E035B">
        <w:t xml:space="preserve"> as the driver of need for spending on industry regulation</w:t>
      </w:r>
      <w:r>
        <w:t>.</w:t>
      </w:r>
      <w:r w:rsidR="5A922645">
        <w:t xml:space="preserve"> </w:t>
      </w:r>
      <w:r>
        <w:t xml:space="preserve">The Commission views this approach as appropriate because it reduces the impact of commodity price </w:t>
      </w:r>
      <w:r w:rsidR="3682CFB0">
        <w:t>volatility</w:t>
      </w:r>
      <w:r>
        <w:t xml:space="preserve"> on the distribution of </w:t>
      </w:r>
      <w:r w:rsidR="35B5D688">
        <w:t xml:space="preserve">regulation </w:t>
      </w:r>
      <w:r>
        <w:t>costs between states by tying regulation expenses to the changes in the volume of production.</w:t>
      </w:r>
    </w:p>
    <w:p w14:paraId="3F506905" w14:textId="17204D2D" w:rsidR="0045235E" w:rsidRPr="005F0B90" w:rsidRDefault="031239E4" w:rsidP="00A82AFF">
      <w:pPr>
        <w:pStyle w:val="CGC2025ParaNumbers"/>
        <w:numPr>
          <w:ilvl w:val="0"/>
          <w:numId w:val="7"/>
        </w:numPr>
        <w:spacing w:before="0" w:after="200" w:line="276" w:lineRule="auto"/>
        <w:ind w:left="567" w:hanging="567"/>
      </w:pPr>
      <w:r>
        <w:t xml:space="preserve">The </w:t>
      </w:r>
      <w:r w:rsidR="7F6E4063">
        <w:t>C</w:t>
      </w:r>
      <w:r>
        <w:t xml:space="preserve">ommission </w:t>
      </w:r>
      <w:r w:rsidR="2A2ECB23">
        <w:t xml:space="preserve">also </w:t>
      </w:r>
      <w:r>
        <w:t xml:space="preserve">proposes to </w:t>
      </w:r>
      <w:r w:rsidR="2A2ECB23">
        <w:t>revisit</w:t>
      </w:r>
      <w:r w:rsidR="6B35EE1B">
        <w:t xml:space="preserve"> the materiality of</w:t>
      </w:r>
      <w:r w:rsidR="416820F1">
        <w:t xml:space="preserve"> the</w:t>
      </w:r>
      <w:r w:rsidR="6B35EE1B">
        <w:t xml:space="preserve"> </w:t>
      </w:r>
      <w:r w:rsidR="59EA521F">
        <w:t>number of businesses</w:t>
      </w:r>
      <w:r w:rsidR="6B35EE1B">
        <w:t xml:space="preserve"> </w:t>
      </w:r>
      <w:r w:rsidR="0BE79971">
        <w:t xml:space="preserve">as a driver of need </w:t>
      </w:r>
      <w:r w:rsidR="6B35EE1B">
        <w:t>in the regulation assessments</w:t>
      </w:r>
      <w:r w:rsidR="1E5382BC">
        <w:t>.</w:t>
      </w:r>
      <w:r w:rsidR="2A2ECB23">
        <w:t xml:space="preserve"> If </w:t>
      </w:r>
      <w:r w:rsidR="1C2E39E5">
        <w:t xml:space="preserve">the number of businesses </w:t>
      </w:r>
      <w:r w:rsidR="682E238E">
        <w:t>is</w:t>
      </w:r>
      <w:r w:rsidR="2A2ECB23">
        <w:t xml:space="preserve"> shown to be material, and states support the reintroduction</w:t>
      </w:r>
      <w:r w:rsidR="2FCBF2F5">
        <w:t>,</w:t>
      </w:r>
      <w:r w:rsidR="29F8DEEC">
        <w:t xml:space="preserve"> the Commission proposes to reintroduce </w:t>
      </w:r>
      <w:r w:rsidR="416820F1">
        <w:t xml:space="preserve">the number of </w:t>
      </w:r>
      <w:r w:rsidR="29F8DEEC">
        <w:t>business</w:t>
      </w:r>
      <w:r w:rsidR="416820F1">
        <w:t>es as a</w:t>
      </w:r>
      <w:r w:rsidR="29F8DEEC">
        <w:t xml:space="preserve"> driver</w:t>
      </w:r>
      <w:r w:rsidR="5EA0E690">
        <w:t xml:space="preserve"> of state regulation spending</w:t>
      </w:r>
      <w:r w:rsidR="0BE79971">
        <w:t>.</w:t>
      </w:r>
    </w:p>
    <w:p w14:paraId="0E1AB4C1" w14:textId="430EBEA9" w:rsidR="00A82AFF" w:rsidRDefault="617009D0" w:rsidP="00A82AFF">
      <w:pPr>
        <w:pStyle w:val="CGC2025ParaNumbers"/>
        <w:numPr>
          <w:ilvl w:val="0"/>
          <w:numId w:val="7"/>
        </w:numPr>
        <w:spacing w:before="0" w:after="200" w:line="276" w:lineRule="auto"/>
        <w:ind w:left="567" w:hanging="567"/>
      </w:pPr>
      <w:r>
        <w:t>Currently,</w:t>
      </w:r>
      <w:r w:rsidR="0B07636E">
        <w:t xml:space="preserve"> the Commission does not propose to change the business development assessment from a deliberative equal per capita assessment, because of the lack of alternative drivers of need. </w:t>
      </w:r>
    </w:p>
    <w:p w14:paraId="3804A183" w14:textId="08900F41" w:rsidR="36F06548" w:rsidRDefault="36F06548" w:rsidP="2EE33D5F">
      <w:pPr>
        <w:pStyle w:val="CGC2025ParaNumbers"/>
        <w:numPr>
          <w:ilvl w:val="0"/>
          <w:numId w:val="7"/>
        </w:numPr>
        <w:spacing w:before="0" w:after="200" w:line="276" w:lineRule="auto"/>
        <w:ind w:left="567" w:hanging="567"/>
      </w:pPr>
      <w:r>
        <w:t>The Commission welcomes state views on the treatment of net-zero transition spending in the business development assessment. If there is a significant increase in spending, and there is evidence that state expenditure needs differ, the Commission may have to discuss with the states the appropriate assessment of this spending.</w:t>
      </w:r>
    </w:p>
    <w:p w14:paraId="41A0FF8E" w14:textId="3870E8F4" w:rsidR="006440CF" w:rsidRDefault="006440CF">
      <w:pPr>
        <w:tabs>
          <w:tab w:val="clear" w:pos="567"/>
        </w:tabs>
        <w:spacing w:before="0" w:after="200" w:line="276" w:lineRule="auto"/>
        <w:rPr>
          <w:rFonts w:ascii="Work Sans" w:hAnsi="Work Sans"/>
          <w:szCs w:val="24"/>
        </w:rPr>
      </w:pPr>
      <w:r>
        <w:br w:type="page"/>
      </w:r>
    </w:p>
    <w:p w14:paraId="3E1C7B41" w14:textId="77777777" w:rsidR="009878D7" w:rsidRDefault="009878D7" w:rsidP="009878D7">
      <w:pPr>
        <w:pStyle w:val="Heading3"/>
      </w:pPr>
      <w:bookmarkStart w:id="49" w:name="_Toc147410877"/>
      <w:r>
        <w:lastRenderedPageBreak/>
        <w:t>Proposed assessment structure</w:t>
      </w:r>
      <w:bookmarkEnd w:id="48"/>
      <w:bookmarkEnd w:id="49"/>
    </w:p>
    <w:p w14:paraId="65B14F98" w14:textId="1B3C530E" w:rsidR="009878D7" w:rsidRPr="00B00E5D" w:rsidRDefault="009878D7" w:rsidP="00A10560">
      <w:pPr>
        <w:pStyle w:val="CGC2025ParaNumbers"/>
        <w:numPr>
          <w:ilvl w:val="0"/>
          <w:numId w:val="7"/>
        </w:numPr>
        <w:ind w:left="567" w:hanging="567"/>
      </w:pPr>
      <w:r>
        <w:fldChar w:fldCharType="begin"/>
      </w:r>
      <w:r>
        <w:instrText xml:space="preserve"> REF _Ref121740689 \h </w:instrText>
      </w:r>
      <w:r>
        <w:fldChar w:fldCharType="separate"/>
      </w:r>
      <w:r w:rsidR="007567E1" w:rsidRPr="007E37A9">
        <w:t xml:space="preserve">Table </w:t>
      </w:r>
      <w:r w:rsidR="007567E1">
        <w:rPr>
          <w:noProof/>
        </w:rPr>
        <w:t>7</w:t>
      </w:r>
      <w:r>
        <w:fldChar w:fldCharType="end"/>
      </w:r>
      <w:r w:rsidR="6B843E34">
        <w:t xml:space="preserve"> shows the proposed structure of the </w:t>
      </w:r>
      <w:r w:rsidR="1A16A788">
        <w:t>s</w:t>
      </w:r>
      <w:r w:rsidR="6B843E34">
        <w:t xml:space="preserve">ervices to </w:t>
      </w:r>
      <w:r w:rsidR="1A16A788">
        <w:t>i</w:t>
      </w:r>
      <w:r w:rsidR="6B843E34">
        <w:t>ndustry assessment.</w:t>
      </w:r>
    </w:p>
    <w:p w14:paraId="5E476909" w14:textId="14A9EC7B" w:rsidR="009878D7" w:rsidRPr="007E37A9" w:rsidRDefault="009878D7" w:rsidP="009878D7">
      <w:pPr>
        <w:pStyle w:val="Caption"/>
        <w:rPr>
          <w:rFonts w:ascii="Work Sans" w:hAnsi="Work Sans"/>
        </w:rPr>
      </w:pPr>
      <w:bookmarkStart w:id="50" w:name="_Ref121740689"/>
      <w:r w:rsidRPr="007E37A9">
        <w:rPr>
          <w:rFonts w:ascii="Work Sans" w:hAnsi="Work Sans"/>
        </w:rPr>
        <w:t xml:space="preserve">Table </w:t>
      </w:r>
      <w:r w:rsidRPr="007E37A9">
        <w:rPr>
          <w:rFonts w:ascii="Work Sans" w:hAnsi="Work Sans"/>
        </w:rPr>
        <w:fldChar w:fldCharType="begin"/>
      </w:r>
      <w:r w:rsidRPr="007E37A9">
        <w:rPr>
          <w:rFonts w:ascii="Work Sans" w:hAnsi="Work Sans"/>
        </w:rPr>
        <w:instrText>SEQ Table \* ARABIC</w:instrText>
      </w:r>
      <w:r w:rsidRPr="007E37A9">
        <w:rPr>
          <w:rFonts w:ascii="Work Sans" w:hAnsi="Work Sans"/>
        </w:rPr>
        <w:fldChar w:fldCharType="separate"/>
      </w:r>
      <w:r w:rsidR="007567E1">
        <w:rPr>
          <w:rFonts w:ascii="Work Sans" w:hAnsi="Work Sans"/>
          <w:noProof/>
        </w:rPr>
        <w:t>7</w:t>
      </w:r>
      <w:r w:rsidRPr="007E37A9">
        <w:rPr>
          <w:rFonts w:ascii="Work Sans" w:hAnsi="Work Sans"/>
        </w:rPr>
        <w:fldChar w:fldCharType="end"/>
      </w:r>
      <w:bookmarkEnd w:id="50"/>
      <w:r w:rsidRPr="007E37A9">
        <w:rPr>
          <w:rFonts w:ascii="Work Sans" w:hAnsi="Work Sans"/>
        </w:rPr>
        <w:tab/>
        <w:t xml:space="preserve">Proposed assessment structure for </w:t>
      </w:r>
      <w:r w:rsidR="00FD2457">
        <w:rPr>
          <w:rFonts w:ascii="Work Sans" w:hAnsi="Work Sans"/>
        </w:rPr>
        <w:t>s</w:t>
      </w:r>
      <w:r w:rsidRPr="007E37A9">
        <w:rPr>
          <w:rFonts w:ascii="Work Sans" w:hAnsi="Work Sans"/>
        </w:rPr>
        <w:t xml:space="preserve">ervices to </w:t>
      </w:r>
      <w:proofErr w:type="gramStart"/>
      <w:r w:rsidR="00D03E5A">
        <w:rPr>
          <w:rFonts w:ascii="Work Sans" w:hAnsi="Work Sans"/>
        </w:rPr>
        <w:t>i</w:t>
      </w:r>
      <w:r w:rsidRPr="007E37A9">
        <w:rPr>
          <w:rFonts w:ascii="Work Sans" w:hAnsi="Work Sans"/>
        </w:rPr>
        <w:t>ndustry</w:t>
      </w:r>
      <w:proofErr w:type="gramEnd"/>
    </w:p>
    <w:tbl>
      <w:tblPr>
        <w:tblW w:w="8505" w:type="dxa"/>
        <w:tblCellMar>
          <w:left w:w="28" w:type="dxa"/>
        </w:tblCellMar>
        <w:tblLook w:val="04A0" w:firstRow="1" w:lastRow="0" w:firstColumn="1" w:lastColumn="0" w:noHBand="0" w:noVBand="1"/>
      </w:tblPr>
      <w:tblGrid>
        <w:gridCol w:w="1169"/>
        <w:gridCol w:w="181"/>
        <w:gridCol w:w="2052"/>
        <w:gridCol w:w="3828"/>
        <w:gridCol w:w="1275"/>
      </w:tblGrid>
      <w:tr w:rsidR="009878D7" w:rsidRPr="00082DE5" w14:paraId="16DFE93D" w14:textId="77777777" w:rsidTr="2BAD2FF1">
        <w:trPr>
          <w:trHeight w:val="323"/>
        </w:trPr>
        <w:tc>
          <w:tcPr>
            <w:tcW w:w="1169" w:type="dxa"/>
            <w:tcBorders>
              <w:top w:val="nil"/>
              <w:left w:val="nil"/>
              <w:bottom w:val="single" w:sz="8" w:space="0" w:color="ADD6EA"/>
              <w:right w:val="nil"/>
            </w:tcBorders>
            <w:shd w:val="clear" w:color="auto" w:fill="006991"/>
            <w:vAlign w:val="center"/>
            <w:hideMark/>
          </w:tcPr>
          <w:p w14:paraId="749570E8" w14:textId="77777777" w:rsidR="009878D7" w:rsidRPr="00082DE5" w:rsidRDefault="009878D7">
            <w:pPr>
              <w:tabs>
                <w:tab w:val="clear" w:pos="567"/>
              </w:tabs>
              <w:spacing w:before="0" w:line="240" w:lineRule="auto"/>
              <w:rPr>
                <w:rFonts w:ascii="Open Sans Semibold" w:eastAsia="Times New Roman" w:hAnsi="Open Sans Semibold" w:cs="Open Sans Semibold"/>
                <w:color w:val="FFFFFF"/>
                <w:sz w:val="16"/>
                <w:szCs w:val="16"/>
                <w:lang w:eastAsia="en-AU"/>
              </w:rPr>
            </w:pPr>
            <w:r w:rsidRPr="00082DE5">
              <w:rPr>
                <w:rFonts w:ascii="Open Sans Semibold" w:eastAsia="Times New Roman" w:hAnsi="Open Sans Semibold" w:cs="Open Sans Semibold"/>
                <w:color w:val="FFFFFF"/>
                <w:sz w:val="16"/>
                <w:szCs w:val="16"/>
                <w:lang w:eastAsia="en-AU"/>
              </w:rPr>
              <w:t>Component</w:t>
            </w:r>
          </w:p>
        </w:tc>
        <w:tc>
          <w:tcPr>
            <w:tcW w:w="181" w:type="dxa"/>
            <w:tcBorders>
              <w:top w:val="nil"/>
              <w:left w:val="nil"/>
              <w:bottom w:val="single" w:sz="8" w:space="0" w:color="ADD6EA"/>
              <w:right w:val="nil"/>
            </w:tcBorders>
            <w:shd w:val="clear" w:color="auto" w:fill="006991"/>
            <w:vAlign w:val="center"/>
            <w:hideMark/>
          </w:tcPr>
          <w:p w14:paraId="2419710A" w14:textId="77777777" w:rsidR="009878D7" w:rsidRPr="00082DE5" w:rsidRDefault="009878D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82DE5">
              <w:rPr>
                <w:rFonts w:ascii="Open Sans Semibold" w:eastAsia="Times New Roman" w:hAnsi="Open Sans Semibold" w:cs="Open Sans Semibold"/>
                <w:color w:val="FFFFFF"/>
                <w:sz w:val="16"/>
                <w:szCs w:val="16"/>
                <w:lang w:eastAsia="en-AU"/>
              </w:rPr>
              <w:t> </w:t>
            </w:r>
          </w:p>
        </w:tc>
        <w:tc>
          <w:tcPr>
            <w:tcW w:w="2052" w:type="dxa"/>
            <w:tcBorders>
              <w:top w:val="nil"/>
              <w:left w:val="nil"/>
              <w:bottom w:val="single" w:sz="8" w:space="0" w:color="ADD6EA"/>
              <w:right w:val="nil"/>
            </w:tcBorders>
            <w:shd w:val="clear" w:color="auto" w:fill="006991"/>
            <w:vAlign w:val="center"/>
            <w:hideMark/>
          </w:tcPr>
          <w:p w14:paraId="7F1250BD" w14:textId="77777777" w:rsidR="009878D7" w:rsidRPr="00082DE5" w:rsidRDefault="009878D7">
            <w:pPr>
              <w:tabs>
                <w:tab w:val="clear" w:pos="567"/>
              </w:tabs>
              <w:spacing w:before="0" w:line="240" w:lineRule="auto"/>
              <w:rPr>
                <w:rFonts w:ascii="Open Sans Semibold" w:eastAsia="Times New Roman" w:hAnsi="Open Sans Semibold" w:cs="Open Sans Semibold"/>
                <w:color w:val="FFFFFF"/>
                <w:sz w:val="16"/>
                <w:szCs w:val="16"/>
                <w:lang w:eastAsia="en-AU"/>
              </w:rPr>
            </w:pPr>
            <w:r w:rsidRPr="3DACF017">
              <w:rPr>
                <w:rFonts w:ascii="Open Sans Semibold" w:eastAsia="Times New Roman" w:hAnsi="Open Sans Semibold" w:cs="Open Sans Semibold"/>
                <w:color w:val="FFFFFF" w:themeColor="background1"/>
                <w:sz w:val="16"/>
                <w:szCs w:val="16"/>
                <w:lang w:eastAsia="en-AU"/>
              </w:rPr>
              <w:t>Driver</w:t>
            </w:r>
            <w:r>
              <w:rPr>
                <w:rFonts w:ascii="Open Sans Semibold" w:eastAsia="Times New Roman" w:hAnsi="Open Sans Semibold" w:cs="Open Sans Semibold"/>
                <w:color w:val="FFFFFF" w:themeColor="background1"/>
                <w:sz w:val="16"/>
                <w:szCs w:val="16"/>
                <w:lang w:eastAsia="en-AU"/>
              </w:rPr>
              <w:t xml:space="preserve"> of need</w:t>
            </w:r>
          </w:p>
        </w:tc>
        <w:tc>
          <w:tcPr>
            <w:tcW w:w="3828" w:type="dxa"/>
            <w:tcBorders>
              <w:top w:val="nil"/>
              <w:left w:val="nil"/>
              <w:bottom w:val="single" w:sz="8" w:space="0" w:color="ADD6EA"/>
              <w:right w:val="nil"/>
            </w:tcBorders>
            <w:shd w:val="clear" w:color="auto" w:fill="006991"/>
            <w:vAlign w:val="center"/>
            <w:hideMark/>
          </w:tcPr>
          <w:p w14:paraId="7CB06721" w14:textId="77777777" w:rsidR="009878D7" w:rsidRPr="00082DE5" w:rsidRDefault="009878D7">
            <w:pPr>
              <w:tabs>
                <w:tab w:val="clear" w:pos="567"/>
              </w:tabs>
              <w:spacing w:before="0" w:line="240" w:lineRule="auto"/>
              <w:rPr>
                <w:rFonts w:ascii="Open Sans Semibold" w:eastAsia="Times New Roman" w:hAnsi="Open Sans Semibold" w:cs="Open Sans Semibold"/>
                <w:color w:val="FFFFFF"/>
                <w:sz w:val="16"/>
                <w:szCs w:val="16"/>
                <w:lang w:eastAsia="en-AU"/>
              </w:rPr>
            </w:pPr>
            <w:r w:rsidRPr="3DACF017">
              <w:rPr>
                <w:rFonts w:ascii="Open Sans Semibold" w:eastAsia="Times New Roman" w:hAnsi="Open Sans Semibold" w:cs="Open Sans Semibold"/>
                <w:color w:val="FFFFFF" w:themeColor="background1"/>
                <w:sz w:val="16"/>
                <w:szCs w:val="16"/>
                <w:lang w:eastAsia="en-AU"/>
              </w:rPr>
              <w:t>Influence measured by driver</w:t>
            </w:r>
            <w:r>
              <w:rPr>
                <w:rFonts w:ascii="Open Sans Semibold" w:eastAsia="Times New Roman" w:hAnsi="Open Sans Semibold" w:cs="Open Sans Semibold"/>
                <w:color w:val="FFFFFF" w:themeColor="background1"/>
                <w:sz w:val="16"/>
                <w:szCs w:val="16"/>
                <w:lang w:eastAsia="en-AU"/>
              </w:rPr>
              <w:t xml:space="preserve"> of need</w:t>
            </w:r>
          </w:p>
        </w:tc>
        <w:tc>
          <w:tcPr>
            <w:tcW w:w="1275" w:type="dxa"/>
            <w:tcBorders>
              <w:top w:val="nil"/>
              <w:left w:val="nil"/>
              <w:bottom w:val="single" w:sz="8" w:space="0" w:color="ADD6EA"/>
              <w:right w:val="nil"/>
            </w:tcBorders>
            <w:shd w:val="clear" w:color="auto" w:fill="006991"/>
          </w:tcPr>
          <w:p w14:paraId="16716297" w14:textId="77777777" w:rsidR="009878D7" w:rsidRPr="00082DE5" w:rsidRDefault="009878D7">
            <w:pPr>
              <w:tabs>
                <w:tab w:val="clear" w:pos="567"/>
              </w:tabs>
              <w:spacing w:before="0" w:line="240" w:lineRule="auto"/>
              <w:rPr>
                <w:rFonts w:ascii="Open Sans Semibold" w:eastAsia="Times New Roman" w:hAnsi="Open Sans Semibold" w:cs="Open Sans Semibold"/>
                <w:color w:val="FFFFFF"/>
                <w:sz w:val="16"/>
                <w:szCs w:val="16"/>
                <w:lang w:eastAsia="en-AU"/>
              </w:rPr>
            </w:pPr>
            <w:r w:rsidRPr="00433DCB">
              <w:rPr>
                <w:rFonts w:ascii="Open Sans Semibold" w:eastAsia="Times New Roman" w:hAnsi="Open Sans Semibold" w:cs="Segoe UI"/>
                <w:color w:val="FFFFFF"/>
                <w:sz w:val="16"/>
                <w:szCs w:val="16"/>
                <w:lang w:eastAsia="en-AU"/>
              </w:rPr>
              <w:t>Change since 2020 Review?</w:t>
            </w:r>
          </w:p>
        </w:tc>
      </w:tr>
      <w:tr w:rsidR="009878D7" w:rsidRPr="00082DE5" w14:paraId="35FC540B" w14:textId="77777777" w:rsidTr="2BAD2FF1">
        <w:trPr>
          <w:trHeight w:val="139"/>
        </w:trPr>
        <w:tc>
          <w:tcPr>
            <w:tcW w:w="1169" w:type="dxa"/>
            <w:tcBorders>
              <w:top w:val="nil"/>
              <w:left w:val="nil"/>
              <w:bottom w:val="single" w:sz="8" w:space="0" w:color="ADD6EA"/>
              <w:right w:val="nil"/>
            </w:tcBorders>
            <w:shd w:val="clear" w:color="auto" w:fill="B6D5E4"/>
            <w:noWrap/>
            <w:vAlign w:val="center"/>
            <w:hideMark/>
          </w:tcPr>
          <w:p w14:paraId="27038D59" w14:textId="77777777" w:rsidR="009878D7" w:rsidRPr="00082DE5" w:rsidRDefault="009878D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181" w:type="dxa"/>
            <w:tcBorders>
              <w:top w:val="nil"/>
              <w:left w:val="nil"/>
              <w:bottom w:val="single" w:sz="8" w:space="0" w:color="ADD6EA"/>
              <w:right w:val="nil"/>
            </w:tcBorders>
            <w:shd w:val="clear" w:color="auto" w:fill="B6D5E4"/>
            <w:noWrap/>
            <w:vAlign w:val="center"/>
            <w:hideMark/>
          </w:tcPr>
          <w:p w14:paraId="4E524E0C" w14:textId="77777777" w:rsidR="009878D7" w:rsidRPr="00082DE5" w:rsidRDefault="009878D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2052" w:type="dxa"/>
            <w:tcBorders>
              <w:top w:val="nil"/>
              <w:left w:val="nil"/>
              <w:bottom w:val="single" w:sz="8" w:space="0" w:color="ADD6EA"/>
              <w:right w:val="nil"/>
            </w:tcBorders>
            <w:shd w:val="clear" w:color="auto" w:fill="B6D5E4"/>
            <w:noWrap/>
            <w:vAlign w:val="center"/>
            <w:hideMark/>
          </w:tcPr>
          <w:p w14:paraId="4688FD79" w14:textId="77777777" w:rsidR="009878D7" w:rsidRPr="00082DE5" w:rsidRDefault="009878D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3828" w:type="dxa"/>
            <w:tcBorders>
              <w:top w:val="nil"/>
              <w:left w:val="nil"/>
              <w:bottom w:val="single" w:sz="8" w:space="0" w:color="ADD6EA"/>
              <w:right w:val="nil"/>
            </w:tcBorders>
            <w:shd w:val="clear" w:color="auto" w:fill="B6D5E4"/>
            <w:noWrap/>
            <w:vAlign w:val="center"/>
            <w:hideMark/>
          </w:tcPr>
          <w:p w14:paraId="1070E001" w14:textId="77777777" w:rsidR="009878D7" w:rsidRPr="00082DE5" w:rsidRDefault="009878D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82DE5">
              <w:rPr>
                <w:rFonts w:ascii="Open Sans Semibold" w:eastAsia="Times New Roman" w:hAnsi="Open Sans Semibold" w:cs="Open Sans Semibold"/>
                <w:color w:val="000000"/>
                <w:sz w:val="16"/>
                <w:szCs w:val="16"/>
                <w:lang w:eastAsia="en-AU"/>
              </w:rPr>
              <w:t> </w:t>
            </w:r>
          </w:p>
        </w:tc>
        <w:tc>
          <w:tcPr>
            <w:tcW w:w="1275" w:type="dxa"/>
            <w:tcBorders>
              <w:top w:val="nil"/>
              <w:left w:val="nil"/>
              <w:bottom w:val="single" w:sz="8" w:space="0" w:color="ADD6EA"/>
              <w:right w:val="nil"/>
            </w:tcBorders>
            <w:shd w:val="clear" w:color="auto" w:fill="B6D5E4"/>
          </w:tcPr>
          <w:p w14:paraId="554E400F" w14:textId="77777777" w:rsidR="009878D7" w:rsidRPr="00082DE5" w:rsidRDefault="009878D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r>
      <w:tr w:rsidR="009878D7" w:rsidRPr="00082DE5" w14:paraId="0A562972" w14:textId="77777777" w:rsidTr="2BAD2FF1">
        <w:trPr>
          <w:trHeight w:val="624"/>
        </w:trPr>
        <w:tc>
          <w:tcPr>
            <w:tcW w:w="1169" w:type="dxa"/>
            <w:tcBorders>
              <w:top w:val="nil"/>
              <w:left w:val="nil"/>
              <w:bottom w:val="nil"/>
              <w:right w:val="nil"/>
            </w:tcBorders>
            <w:shd w:val="clear" w:color="auto" w:fill="auto"/>
            <w:hideMark/>
          </w:tcPr>
          <w:p w14:paraId="2C31069C" w14:textId="77777777" w:rsidR="009878D7" w:rsidRPr="00082DE5" w:rsidRDefault="009878D7">
            <w:pPr>
              <w:tabs>
                <w:tab w:val="clear" w:pos="567"/>
              </w:tabs>
              <w:spacing w:before="0" w:line="240" w:lineRule="auto"/>
              <w:rPr>
                <w:rFonts w:ascii="Open Sans Semibold" w:eastAsia="Times New Roman" w:hAnsi="Open Sans Semibold" w:cs="Open Sans Semibold"/>
                <w:sz w:val="16"/>
                <w:szCs w:val="16"/>
                <w:lang w:eastAsia="en-AU"/>
              </w:rPr>
            </w:pPr>
            <w:r w:rsidRPr="72C120BE">
              <w:rPr>
                <w:rFonts w:ascii="Open Sans Semibold" w:eastAsia="Times New Roman" w:hAnsi="Open Sans Semibold" w:cs="Open Sans Semibold"/>
                <w:sz w:val="16"/>
                <w:szCs w:val="16"/>
                <w:lang w:eastAsia="en-AU"/>
              </w:rPr>
              <w:t>Agriculture regulation</w:t>
            </w:r>
          </w:p>
        </w:tc>
        <w:tc>
          <w:tcPr>
            <w:tcW w:w="181" w:type="dxa"/>
            <w:tcBorders>
              <w:top w:val="nil"/>
              <w:left w:val="nil"/>
              <w:bottom w:val="nil"/>
              <w:right w:val="nil"/>
            </w:tcBorders>
            <w:shd w:val="clear" w:color="auto" w:fill="auto"/>
            <w:hideMark/>
          </w:tcPr>
          <w:p w14:paraId="6FD755A0" w14:textId="77777777" w:rsidR="009878D7" w:rsidRPr="00082DE5" w:rsidRDefault="009878D7">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32FCDBDA" w14:textId="77777777" w:rsidR="009878D7" w:rsidRPr="00082DE5" w:rsidRDefault="009878D7">
            <w:pPr>
              <w:tabs>
                <w:tab w:val="clear" w:pos="567"/>
              </w:tabs>
              <w:spacing w:before="0" w:line="240" w:lineRule="auto"/>
              <w:rPr>
                <w:rFonts w:eastAsia="Times New Roman" w:cs="Open Sans Light"/>
                <w:sz w:val="16"/>
                <w:szCs w:val="16"/>
                <w:lang w:eastAsia="en-AU"/>
              </w:rPr>
            </w:pPr>
            <w:r w:rsidRPr="72C120BE">
              <w:rPr>
                <w:rFonts w:eastAsia="Times New Roman" w:cs="Open Sans Light"/>
                <w:sz w:val="16"/>
                <w:szCs w:val="16"/>
                <w:lang w:eastAsia="en-AU"/>
              </w:rPr>
              <w:t>Economic environment</w:t>
            </w:r>
          </w:p>
        </w:tc>
        <w:tc>
          <w:tcPr>
            <w:tcW w:w="3828" w:type="dxa"/>
            <w:tcBorders>
              <w:top w:val="nil"/>
              <w:left w:val="nil"/>
              <w:bottom w:val="single" w:sz="4" w:space="0" w:color="ADD6EA"/>
              <w:right w:val="nil"/>
            </w:tcBorders>
            <w:shd w:val="clear" w:color="auto" w:fill="auto"/>
            <w:hideMark/>
          </w:tcPr>
          <w:p w14:paraId="298B166F" w14:textId="62790B18"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cost of providing regulatory services to the agricultural sector is determined by the level of economic activity in the sector</w:t>
            </w:r>
            <w:r w:rsidR="00E546C6">
              <w:rPr>
                <w:rFonts w:eastAsia="Times New Roman" w:cs="Open Sans Light"/>
                <w:sz w:val="16"/>
                <w:szCs w:val="16"/>
                <w:lang w:eastAsia="en-AU"/>
              </w:rPr>
              <w:t xml:space="preserve"> measured by </w:t>
            </w:r>
            <w:r w:rsidR="00C04DEC">
              <w:rPr>
                <w:rFonts w:eastAsia="Times New Roman" w:cs="Open Sans Light"/>
                <w:sz w:val="16"/>
                <w:szCs w:val="16"/>
                <w:lang w:eastAsia="en-AU"/>
              </w:rPr>
              <w:t xml:space="preserve">volume of </w:t>
            </w:r>
            <w:r w:rsidR="00E546C6">
              <w:rPr>
                <w:rFonts w:eastAsia="Times New Roman" w:cs="Open Sans Light"/>
                <w:sz w:val="16"/>
                <w:szCs w:val="16"/>
                <w:lang w:eastAsia="en-AU"/>
              </w:rPr>
              <w:t>production</w:t>
            </w:r>
          </w:p>
        </w:tc>
        <w:tc>
          <w:tcPr>
            <w:tcW w:w="1275" w:type="dxa"/>
            <w:tcBorders>
              <w:top w:val="nil"/>
              <w:left w:val="nil"/>
              <w:bottom w:val="single" w:sz="4" w:space="0" w:color="ADD6EA"/>
              <w:right w:val="nil"/>
            </w:tcBorders>
          </w:tcPr>
          <w:p w14:paraId="57E86ACD" w14:textId="36D8C933" w:rsidR="009878D7" w:rsidRPr="00082DE5" w:rsidRDefault="00E546C6">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F15819" w:rsidRPr="00082DE5" w14:paraId="2CE8D31F" w14:textId="77777777" w:rsidTr="2BAD2FF1">
        <w:trPr>
          <w:trHeight w:val="624"/>
        </w:trPr>
        <w:tc>
          <w:tcPr>
            <w:tcW w:w="1169" w:type="dxa"/>
            <w:tcBorders>
              <w:top w:val="nil"/>
              <w:left w:val="nil"/>
              <w:bottom w:val="nil"/>
              <w:right w:val="nil"/>
            </w:tcBorders>
            <w:shd w:val="clear" w:color="auto" w:fill="auto"/>
          </w:tcPr>
          <w:p w14:paraId="610D817B" w14:textId="77777777" w:rsidR="00F15819" w:rsidRPr="72C120BE" w:rsidRDefault="00F15819">
            <w:pPr>
              <w:tabs>
                <w:tab w:val="clear" w:pos="567"/>
              </w:tabs>
              <w:spacing w:before="0" w:line="240" w:lineRule="auto"/>
              <w:rPr>
                <w:rFonts w:ascii="Open Sans Semibold" w:eastAsia="Times New Roman" w:hAnsi="Open Sans Semibold" w:cs="Open Sans Semibold"/>
                <w:sz w:val="16"/>
                <w:szCs w:val="16"/>
                <w:lang w:eastAsia="en-AU"/>
              </w:rPr>
            </w:pPr>
          </w:p>
        </w:tc>
        <w:tc>
          <w:tcPr>
            <w:tcW w:w="181" w:type="dxa"/>
            <w:tcBorders>
              <w:top w:val="nil"/>
              <w:left w:val="nil"/>
              <w:bottom w:val="nil"/>
              <w:right w:val="nil"/>
            </w:tcBorders>
            <w:shd w:val="clear" w:color="auto" w:fill="auto"/>
          </w:tcPr>
          <w:p w14:paraId="5E2D285E" w14:textId="77777777" w:rsidR="00F15819" w:rsidRPr="00082DE5" w:rsidRDefault="00F15819">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tcPr>
          <w:p w14:paraId="05729271" w14:textId="6B772F48" w:rsidR="00F15819" w:rsidRPr="72C120BE" w:rsidRDefault="00CE16F1">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Number of businesses</w:t>
            </w:r>
          </w:p>
        </w:tc>
        <w:tc>
          <w:tcPr>
            <w:tcW w:w="3828" w:type="dxa"/>
            <w:tcBorders>
              <w:top w:val="nil"/>
              <w:left w:val="nil"/>
              <w:bottom w:val="single" w:sz="4" w:space="0" w:color="ADD6EA"/>
              <w:right w:val="nil"/>
            </w:tcBorders>
            <w:shd w:val="clear" w:color="auto" w:fill="auto"/>
          </w:tcPr>
          <w:p w14:paraId="1768A8EF" w14:textId="4609AF70" w:rsidR="00F15819" w:rsidRPr="00082DE5" w:rsidRDefault="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Recognises that the cost of providing regulatory services to the agriculture sector is determined by the number of regulated entities</w:t>
            </w:r>
          </w:p>
        </w:tc>
        <w:tc>
          <w:tcPr>
            <w:tcW w:w="1275" w:type="dxa"/>
            <w:tcBorders>
              <w:top w:val="nil"/>
              <w:left w:val="nil"/>
              <w:bottom w:val="single" w:sz="4" w:space="0" w:color="ADD6EA"/>
              <w:right w:val="nil"/>
            </w:tcBorders>
          </w:tcPr>
          <w:p w14:paraId="25258EED" w14:textId="180211DC" w:rsidR="00F15819" w:rsidRDefault="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9878D7" w:rsidRPr="00082DE5" w14:paraId="0127AF9E" w14:textId="77777777" w:rsidTr="2BAD2FF1">
        <w:trPr>
          <w:trHeight w:val="391"/>
        </w:trPr>
        <w:tc>
          <w:tcPr>
            <w:tcW w:w="1169" w:type="dxa"/>
            <w:tcBorders>
              <w:top w:val="nil"/>
              <w:left w:val="nil"/>
              <w:bottom w:val="nil"/>
              <w:right w:val="nil"/>
            </w:tcBorders>
            <w:shd w:val="clear" w:color="auto" w:fill="auto"/>
            <w:hideMark/>
          </w:tcPr>
          <w:p w14:paraId="2680AE44" w14:textId="77777777" w:rsidR="009878D7" w:rsidRPr="00082DE5" w:rsidRDefault="009878D7">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31AA34DB" w14:textId="77777777" w:rsidR="009878D7" w:rsidRPr="00082DE5" w:rsidRDefault="009878D7">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69BA7A57"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31F45211" w14:textId="56DAC822"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FD2457">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04FD36B0"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878D7" w:rsidRPr="00082DE5" w14:paraId="1B9566EA" w14:textId="77777777" w:rsidTr="2BAD2FF1">
        <w:trPr>
          <w:trHeight w:val="413"/>
        </w:trPr>
        <w:tc>
          <w:tcPr>
            <w:tcW w:w="1169" w:type="dxa"/>
            <w:tcBorders>
              <w:top w:val="nil"/>
              <w:left w:val="nil"/>
              <w:bottom w:val="nil"/>
              <w:right w:val="nil"/>
            </w:tcBorders>
            <w:shd w:val="clear" w:color="auto" w:fill="auto"/>
            <w:hideMark/>
          </w:tcPr>
          <w:p w14:paraId="6A890448" w14:textId="77777777" w:rsidR="009878D7" w:rsidRPr="00082DE5" w:rsidRDefault="009878D7">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25762DBA" w14:textId="77777777" w:rsidR="009878D7" w:rsidRPr="00082DE5" w:rsidRDefault="009878D7">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41C50945"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3828" w:type="dxa"/>
            <w:tcBorders>
              <w:top w:val="nil"/>
              <w:left w:val="nil"/>
              <w:bottom w:val="single" w:sz="4" w:space="0" w:color="ADD6EA"/>
              <w:right w:val="nil"/>
            </w:tcBorders>
            <w:shd w:val="clear" w:color="auto" w:fill="auto"/>
            <w:hideMark/>
          </w:tcPr>
          <w:p w14:paraId="3F016798"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c>
          <w:tcPr>
            <w:tcW w:w="1275" w:type="dxa"/>
            <w:tcBorders>
              <w:top w:val="nil"/>
              <w:left w:val="nil"/>
              <w:bottom w:val="single" w:sz="4" w:space="0" w:color="ADD6EA"/>
              <w:right w:val="nil"/>
            </w:tcBorders>
          </w:tcPr>
          <w:p w14:paraId="33F00FA8"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E546C6" w:rsidRPr="00082DE5" w14:paraId="31CA37F2" w14:textId="77777777" w:rsidTr="2BAD2FF1">
        <w:trPr>
          <w:trHeight w:val="704"/>
        </w:trPr>
        <w:tc>
          <w:tcPr>
            <w:tcW w:w="1169" w:type="dxa"/>
            <w:tcBorders>
              <w:top w:val="nil"/>
              <w:left w:val="nil"/>
              <w:bottom w:val="nil"/>
              <w:right w:val="nil"/>
            </w:tcBorders>
            <w:shd w:val="clear" w:color="auto" w:fill="auto"/>
            <w:hideMark/>
          </w:tcPr>
          <w:p w14:paraId="4D99F267" w14:textId="77777777" w:rsidR="00E546C6" w:rsidRPr="00082DE5" w:rsidRDefault="00E546C6" w:rsidP="00E546C6">
            <w:pPr>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Mining regulation</w:t>
            </w:r>
          </w:p>
        </w:tc>
        <w:tc>
          <w:tcPr>
            <w:tcW w:w="181" w:type="dxa"/>
            <w:tcBorders>
              <w:top w:val="nil"/>
              <w:left w:val="nil"/>
              <w:bottom w:val="nil"/>
              <w:right w:val="nil"/>
            </w:tcBorders>
            <w:shd w:val="clear" w:color="auto" w:fill="auto"/>
            <w:hideMark/>
          </w:tcPr>
          <w:p w14:paraId="25F539A1" w14:textId="77777777" w:rsidR="00E546C6" w:rsidRPr="00082DE5" w:rsidRDefault="00E546C6" w:rsidP="00E546C6">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4BB091A8" w14:textId="77777777" w:rsidR="00E546C6" w:rsidRPr="00082DE5" w:rsidRDefault="00E546C6" w:rsidP="00E546C6">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3828" w:type="dxa"/>
            <w:tcBorders>
              <w:top w:val="nil"/>
              <w:left w:val="nil"/>
              <w:bottom w:val="single" w:sz="4" w:space="0" w:color="ADD6EA"/>
              <w:right w:val="nil"/>
            </w:tcBorders>
            <w:shd w:val="clear" w:color="auto" w:fill="auto"/>
            <w:hideMark/>
          </w:tcPr>
          <w:p w14:paraId="4FD0AE66" w14:textId="0FEC3BD9" w:rsidR="00E546C6" w:rsidRPr="00082DE5" w:rsidRDefault="00E546C6" w:rsidP="00E546C6">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cost of providing regulatory services to the </w:t>
            </w:r>
            <w:r w:rsidR="00F15819">
              <w:rPr>
                <w:rFonts w:eastAsia="Times New Roman" w:cs="Open Sans Light"/>
                <w:sz w:val="16"/>
                <w:szCs w:val="16"/>
                <w:lang w:eastAsia="en-AU"/>
              </w:rPr>
              <w:t>mining</w:t>
            </w:r>
            <w:r w:rsidRPr="00082DE5">
              <w:rPr>
                <w:rFonts w:eastAsia="Times New Roman" w:cs="Open Sans Light"/>
                <w:sz w:val="16"/>
                <w:szCs w:val="16"/>
                <w:lang w:eastAsia="en-AU"/>
              </w:rPr>
              <w:t xml:space="preserve"> sector is determined by the level of economic activity in the sector</w:t>
            </w:r>
            <w:r>
              <w:rPr>
                <w:rFonts w:eastAsia="Times New Roman" w:cs="Open Sans Light"/>
                <w:sz w:val="16"/>
                <w:szCs w:val="16"/>
                <w:lang w:eastAsia="en-AU"/>
              </w:rPr>
              <w:t xml:space="preserve"> measured by </w:t>
            </w:r>
            <w:r w:rsidR="00C04DEC">
              <w:rPr>
                <w:rFonts w:eastAsia="Times New Roman" w:cs="Open Sans Light"/>
                <w:sz w:val="16"/>
                <w:szCs w:val="16"/>
                <w:lang w:eastAsia="en-AU"/>
              </w:rPr>
              <w:t xml:space="preserve">volume of </w:t>
            </w:r>
            <w:r>
              <w:rPr>
                <w:rFonts w:eastAsia="Times New Roman" w:cs="Open Sans Light"/>
                <w:sz w:val="16"/>
                <w:szCs w:val="16"/>
                <w:lang w:eastAsia="en-AU"/>
              </w:rPr>
              <w:t>production</w:t>
            </w:r>
          </w:p>
        </w:tc>
        <w:tc>
          <w:tcPr>
            <w:tcW w:w="1275" w:type="dxa"/>
            <w:tcBorders>
              <w:top w:val="nil"/>
              <w:left w:val="nil"/>
              <w:bottom w:val="single" w:sz="4" w:space="0" w:color="ADD6EA"/>
              <w:right w:val="nil"/>
            </w:tcBorders>
          </w:tcPr>
          <w:p w14:paraId="13BF6D21" w14:textId="01934821" w:rsidR="00E546C6" w:rsidRPr="00082DE5" w:rsidRDefault="00E546C6" w:rsidP="00E546C6">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F15819" w:rsidRPr="00082DE5" w14:paraId="06B4FDCF" w14:textId="77777777" w:rsidTr="2BAD2FF1">
        <w:trPr>
          <w:trHeight w:val="475"/>
        </w:trPr>
        <w:tc>
          <w:tcPr>
            <w:tcW w:w="1169" w:type="dxa"/>
            <w:tcBorders>
              <w:top w:val="nil"/>
              <w:left w:val="nil"/>
              <w:bottom w:val="nil"/>
              <w:right w:val="nil"/>
            </w:tcBorders>
            <w:shd w:val="clear" w:color="auto" w:fill="auto"/>
          </w:tcPr>
          <w:p w14:paraId="3E41673C" w14:textId="77777777" w:rsidR="00F15819" w:rsidRPr="00082DE5" w:rsidRDefault="00F15819" w:rsidP="00F15819">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tcPr>
          <w:p w14:paraId="6E223B24" w14:textId="77777777" w:rsidR="00F15819" w:rsidRPr="00082DE5" w:rsidRDefault="00F15819" w:rsidP="00F15819">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tcPr>
          <w:p w14:paraId="3243C5D2" w14:textId="6890A4B5" w:rsidR="00F15819" w:rsidRPr="00082DE5" w:rsidRDefault="00CE16F1" w:rsidP="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Number of businesses</w:t>
            </w:r>
          </w:p>
        </w:tc>
        <w:tc>
          <w:tcPr>
            <w:tcW w:w="3828" w:type="dxa"/>
            <w:tcBorders>
              <w:top w:val="nil"/>
              <w:left w:val="nil"/>
              <w:bottom w:val="single" w:sz="4" w:space="0" w:color="ADD6EA"/>
              <w:right w:val="nil"/>
            </w:tcBorders>
            <w:shd w:val="clear" w:color="auto" w:fill="auto"/>
          </w:tcPr>
          <w:p w14:paraId="6D08D8EF" w14:textId="742113DD" w:rsidR="00F15819" w:rsidRPr="00082DE5" w:rsidRDefault="00F15819" w:rsidP="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Recognises that the cost of providing regulatory services to the mining sector is determined by the number of regulated entities</w:t>
            </w:r>
          </w:p>
        </w:tc>
        <w:tc>
          <w:tcPr>
            <w:tcW w:w="1275" w:type="dxa"/>
            <w:tcBorders>
              <w:top w:val="nil"/>
              <w:left w:val="nil"/>
              <w:bottom w:val="single" w:sz="4" w:space="0" w:color="ADD6EA"/>
              <w:right w:val="nil"/>
            </w:tcBorders>
          </w:tcPr>
          <w:p w14:paraId="07774C41" w14:textId="364CB2AE" w:rsidR="00F15819" w:rsidRDefault="00F15819" w:rsidP="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9878D7" w:rsidRPr="00082DE5" w14:paraId="4F19846E" w14:textId="77777777" w:rsidTr="2BAD2FF1">
        <w:trPr>
          <w:trHeight w:val="475"/>
        </w:trPr>
        <w:tc>
          <w:tcPr>
            <w:tcW w:w="1169" w:type="dxa"/>
            <w:tcBorders>
              <w:top w:val="nil"/>
              <w:left w:val="nil"/>
              <w:bottom w:val="nil"/>
              <w:right w:val="nil"/>
            </w:tcBorders>
            <w:shd w:val="clear" w:color="auto" w:fill="auto"/>
            <w:hideMark/>
          </w:tcPr>
          <w:p w14:paraId="35D11828" w14:textId="77777777" w:rsidR="009878D7" w:rsidRPr="00082DE5" w:rsidRDefault="009878D7">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319876D2" w14:textId="77777777" w:rsidR="009878D7" w:rsidRPr="00082DE5" w:rsidRDefault="009878D7">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41132A49"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1749FDC0" w14:textId="0A0B1A71"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FD2457">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0C987051"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878D7" w:rsidRPr="00082DE5" w14:paraId="6F431FB4" w14:textId="77777777" w:rsidTr="2BAD2FF1">
        <w:trPr>
          <w:trHeight w:val="497"/>
        </w:trPr>
        <w:tc>
          <w:tcPr>
            <w:tcW w:w="1169" w:type="dxa"/>
            <w:tcBorders>
              <w:top w:val="nil"/>
              <w:left w:val="nil"/>
              <w:bottom w:val="nil"/>
              <w:right w:val="nil"/>
            </w:tcBorders>
            <w:shd w:val="clear" w:color="auto" w:fill="auto"/>
            <w:hideMark/>
          </w:tcPr>
          <w:p w14:paraId="20FA41DC" w14:textId="77777777" w:rsidR="009878D7" w:rsidRPr="00082DE5" w:rsidRDefault="009878D7">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3BBD5CDB" w14:textId="77777777" w:rsidR="009878D7" w:rsidRPr="00082DE5" w:rsidRDefault="009878D7">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6A9FFF6B"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3828" w:type="dxa"/>
            <w:tcBorders>
              <w:top w:val="nil"/>
              <w:left w:val="nil"/>
              <w:bottom w:val="single" w:sz="4" w:space="0" w:color="ADD6EA"/>
              <w:right w:val="nil"/>
            </w:tcBorders>
            <w:shd w:val="clear" w:color="auto" w:fill="auto"/>
            <w:hideMark/>
          </w:tcPr>
          <w:p w14:paraId="17169F1D"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c>
          <w:tcPr>
            <w:tcW w:w="1275" w:type="dxa"/>
            <w:tcBorders>
              <w:top w:val="nil"/>
              <w:left w:val="nil"/>
              <w:bottom w:val="single" w:sz="4" w:space="0" w:color="ADD6EA"/>
              <w:right w:val="nil"/>
            </w:tcBorders>
          </w:tcPr>
          <w:p w14:paraId="59E2DCF2"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E546C6" w:rsidRPr="00082DE5" w14:paraId="35844AD0" w14:textId="77777777" w:rsidTr="2BAD2FF1">
        <w:trPr>
          <w:trHeight w:val="688"/>
        </w:trPr>
        <w:tc>
          <w:tcPr>
            <w:tcW w:w="1169" w:type="dxa"/>
            <w:tcBorders>
              <w:top w:val="nil"/>
              <w:left w:val="nil"/>
              <w:bottom w:val="nil"/>
              <w:right w:val="nil"/>
            </w:tcBorders>
            <w:shd w:val="clear" w:color="auto" w:fill="auto"/>
            <w:hideMark/>
          </w:tcPr>
          <w:p w14:paraId="7D243CE4" w14:textId="77777777" w:rsidR="00E546C6" w:rsidRPr="00082DE5" w:rsidRDefault="00E546C6" w:rsidP="00E546C6">
            <w:pPr>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 xml:space="preserve">Other </w:t>
            </w:r>
            <w:r>
              <w:rPr>
                <w:rFonts w:ascii="Open Sans Semibold" w:eastAsia="Times New Roman" w:hAnsi="Open Sans Semibold" w:cs="Open Sans Semibold"/>
                <w:sz w:val="16"/>
                <w:szCs w:val="16"/>
                <w:lang w:eastAsia="en-AU"/>
              </w:rPr>
              <w:t>I</w:t>
            </w:r>
            <w:r w:rsidRPr="00082DE5">
              <w:rPr>
                <w:rFonts w:ascii="Open Sans Semibold" w:eastAsia="Times New Roman" w:hAnsi="Open Sans Semibold" w:cs="Open Sans Semibold"/>
                <w:sz w:val="16"/>
                <w:szCs w:val="16"/>
                <w:lang w:eastAsia="en-AU"/>
              </w:rPr>
              <w:t>ndustries regulation</w:t>
            </w:r>
          </w:p>
        </w:tc>
        <w:tc>
          <w:tcPr>
            <w:tcW w:w="181" w:type="dxa"/>
            <w:tcBorders>
              <w:top w:val="nil"/>
              <w:left w:val="nil"/>
              <w:bottom w:val="nil"/>
              <w:right w:val="nil"/>
            </w:tcBorders>
            <w:shd w:val="clear" w:color="auto" w:fill="auto"/>
            <w:hideMark/>
          </w:tcPr>
          <w:p w14:paraId="7240E472" w14:textId="77777777" w:rsidR="00E546C6" w:rsidRPr="00082DE5" w:rsidRDefault="00E546C6" w:rsidP="00E546C6">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3E88DFBA" w14:textId="77777777" w:rsidR="00E546C6" w:rsidRPr="00082DE5" w:rsidRDefault="00E546C6" w:rsidP="00E546C6">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Economic environment</w:t>
            </w:r>
          </w:p>
        </w:tc>
        <w:tc>
          <w:tcPr>
            <w:tcW w:w="3828" w:type="dxa"/>
            <w:tcBorders>
              <w:top w:val="nil"/>
              <w:left w:val="nil"/>
              <w:bottom w:val="single" w:sz="4" w:space="0" w:color="ADD6EA"/>
              <w:right w:val="nil"/>
            </w:tcBorders>
            <w:shd w:val="clear" w:color="auto" w:fill="auto"/>
            <w:hideMark/>
          </w:tcPr>
          <w:p w14:paraId="23FBB538" w14:textId="1A1CC613" w:rsidR="00E546C6" w:rsidRPr="00082DE5" w:rsidRDefault="00E546C6" w:rsidP="00E546C6">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cost of providing regulatory services to </w:t>
            </w:r>
            <w:r w:rsidR="000D11CE">
              <w:rPr>
                <w:rFonts w:eastAsia="Times New Roman" w:cs="Open Sans Light"/>
                <w:sz w:val="16"/>
                <w:szCs w:val="16"/>
                <w:lang w:eastAsia="en-AU"/>
              </w:rPr>
              <w:t xml:space="preserve">‘other industries’ </w:t>
            </w:r>
            <w:r w:rsidRPr="00082DE5">
              <w:rPr>
                <w:rFonts w:eastAsia="Times New Roman" w:cs="Open Sans Light"/>
                <w:sz w:val="16"/>
                <w:szCs w:val="16"/>
                <w:lang w:eastAsia="en-AU"/>
              </w:rPr>
              <w:t>is determined by the level of economic activity in the sector</w:t>
            </w:r>
            <w:r>
              <w:rPr>
                <w:rFonts w:eastAsia="Times New Roman" w:cs="Open Sans Light"/>
                <w:sz w:val="16"/>
                <w:szCs w:val="16"/>
                <w:lang w:eastAsia="en-AU"/>
              </w:rPr>
              <w:t xml:space="preserve"> measured by </w:t>
            </w:r>
            <w:r w:rsidR="00F15819">
              <w:rPr>
                <w:rFonts w:eastAsia="Times New Roman" w:cs="Open Sans Light"/>
                <w:sz w:val="16"/>
                <w:szCs w:val="16"/>
                <w:lang w:eastAsia="en-AU"/>
              </w:rPr>
              <w:t xml:space="preserve">volume of </w:t>
            </w:r>
            <w:r>
              <w:rPr>
                <w:rFonts w:eastAsia="Times New Roman" w:cs="Open Sans Light"/>
                <w:sz w:val="16"/>
                <w:szCs w:val="16"/>
                <w:lang w:eastAsia="en-AU"/>
              </w:rPr>
              <w:t>production</w:t>
            </w:r>
          </w:p>
        </w:tc>
        <w:tc>
          <w:tcPr>
            <w:tcW w:w="1275" w:type="dxa"/>
            <w:tcBorders>
              <w:top w:val="nil"/>
              <w:left w:val="nil"/>
              <w:bottom w:val="single" w:sz="4" w:space="0" w:color="ADD6EA"/>
              <w:right w:val="nil"/>
            </w:tcBorders>
          </w:tcPr>
          <w:p w14:paraId="0A63E63C" w14:textId="4412FEF5" w:rsidR="00E546C6" w:rsidRPr="00082DE5" w:rsidRDefault="00E546C6" w:rsidP="00E546C6">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F15819" w:rsidRPr="00082DE5" w14:paraId="42F26E8B" w14:textId="77777777" w:rsidTr="2BAD2FF1">
        <w:trPr>
          <w:trHeight w:val="688"/>
        </w:trPr>
        <w:tc>
          <w:tcPr>
            <w:tcW w:w="1169" w:type="dxa"/>
            <w:tcBorders>
              <w:top w:val="nil"/>
              <w:left w:val="nil"/>
              <w:bottom w:val="nil"/>
              <w:right w:val="nil"/>
            </w:tcBorders>
            <w:shd w:val="clear" w:color="auto" w:fill="auto"/>
          </w:tcPr>
          <w:p w14:paraId="309B6773" w14:textId="77777777" w:rsidR="00F15819" w:rsidRPr="00082DE5" w:rsidRDefault="00F15819" w:rsidP="00F15819">
            <w:pPr>
              <w:tabs>
                <w:tab w:val="clear" w:pos="567"/>
              </w:tabs>
              <w:spacing w:before="0" w:line="240" w:lineRule="auto"/>
              <w:rPr>
                <w:rFonts w:ascii="Open Sans Semibold" w:eastAsia="Times New Roman" w:hAnsi="Open Sans Semibold" w:cs="Open Sans Semibold"/>
                <w:sz w:val="16"/>
                <w:szCs w:val="16"/>
                <w:lang w:eastAsia="en-AU"/>
              </w:rPr>
            </w:pPr>
          </w:p>
        </w:tc>
        <w:tc>
          <w:tcPr>
            <w:tcW w:w="181" w:type="dxa"/>
            <w:tcBorders>
              <w:top w:val="nil"/>
              <w:left w:val="nil"/>
              <w:bottom w:val="nil"/>
              <w:right w:val="nil"/>
            </w:tcBorders>
            <w:shd w:val="clear" w:color="auto" w:fill="auto"/>
          </w:tcPr>
          <w:p w14:paraId="54DC6664" w14:textId="77777777" w:rsidR="00F15819" w:rsidRPr="00082DE5" w:rsidRDefault="00F15819" w:rsidP="00F15819">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tcPr>
          <w:p w14:paraId="2650EC56" w14:textId="6F2D0CBB" w:rsidR="00F15819" w:rsidRPr="00082DE5" w:rsidRDefault="00CE16F1" w:rsidP="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Number of businesses</w:t>
            </w:r>
          </w:p>
        </w:tc>
        <w:tc>
          <w:tcPr>
            <w:tcW w:w="3828" w:type="dxa"/>
            <w:tcBorders>
              <w:top w:val="nil"/>
              <w:left w:val="nil"/>
              <w:bottom w:val="single" w:sz="4" w:space="0" w:color="ADD6EA"/>
              <w:right w:val="nil"/>
            </w:tcBorders>
            <w:shd w:val="clear" w:color="auto" w:fill="auto"/>
          </w:tcPr>
          <w:p w14:paraId="09876933" w14:textId="02141CBB" w:rsidR="00F15819" w:rsidRPr="00082DE5" w:rsidRDefault="00F15819" w:rsidP="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Recognises that the cost of providing regulatory services to ‘other industries’ is determined by the number of regulated entities</w:t>
            </w:r>
          </w:p>
        </w:tc>
        <w:tc>
          <w:tcPr>
            <w:tcW w:w="1275" w:type="dxa"/>
            <w:tcBorders>
              <w:top w:val="nil"/>
              <w:left w:val="nil"/>
              <w:bottom w:val="single" w:sz="4" w:space="0" w:color="ADD6EA"/>
              <w:right w:val="nil"/>
            </w:tcBorders>
          </w:tcPr>
          <w:p w14:paraId="2ADB87B8" w14:textId="6CDBD782" w:rsidR="00F15819" w:rsidRDefault="00F15819" w:rsidP="00F1581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Yes</w:t>
            </w:r>
          </w:p>
        </w:tc>
      </w:tr>
      <w:tr w:rsidR="007A5527" w:rsidRPr="00082DE5" w14:paraId="3E1B6CE8" w14:textId="77777777" w:rsidTr="2BAD2FF1">
        <w:trPr>
          <w:trHeight w:val="688"/>
        </w:trPr>
        <w:tc>
          <w:tcPr>
            <w:tcW w:w="1169" w:type="dxa"/>
            <w:tcBorders>
              <w:top w:val="nil"/>
              <w:left w:val="nil"/>
              <w:bottom w:val="nil"/>
              <w:right w:val="nil"/>
            </w:tcBorders>
            <w:shd w:val="clear" w:color="auto" w:fill="auto"/>
          </w:tcPr>
          <w:p w14:paraId="1464046E" w14:textId="77777777" w:rsidR="007A5527" w:rsidRPr="00082DE5" w:rsidRDefault="007A5527" w:rsidP="007A5527">
            <w:pPr>
              <w:tabs>
                <w:tab w:val="clear" w:pos="567"/>
              </w:tabs>
              <w:spacing w:before="0" w:line="240" w:lineRule="auto"/>
              <w:rPr>
                <w:rFonts w:ascii="Open Sans Semibold" w:eastAsia="Times New Roman" w:hAnsi="Open Sans Semibold" w:cs="Open Sans Semibold"/>
                <w:sz w:val="16"/>
                <w:szCs w:val="16"/>
                <w:lang w:eastAsia="en-AU"/>
              </w:rPr>
            </w:pPr>
          </w:p>
        </w:tc>
        <w:tc>
          <w:tcPr>
            <w:tcW w:w="181" w:type="dxa"/>
            <w:tcBorders>
              <w:top w:val="nil"/>
              <w:left w:val="nil"/>
              <w:bottom w:val="nil"/>
              <w:right w:val="nil"/>
            </w:tcBorders>
            <w:shd w:val="clear" w:color="auto" w:fill="auto"/>
          </w:tcPr>
          <w:p w14:paraId="5C0ABC29" w14:textId="77777777" w:rsidR="007A5527" w:rsidRPr="00082DE5" w:rsidRDefault="007A5527" w:rsidP="007A5527">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tcPr>
          <w:p w14:paraId="22E166AF" w14:textId="2E46050D" w:rsidR="007A5527" w:rsidRPr="00082DE5" w:rsidRDefault="007A5527" w:rsidP="007A552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Population</w:t>
            </w:r>
          </w:p>
        </w:tc>
        <w:tc>
          <w:tcPr>
            <w:tcW w:w="3828" w:type="dxa"/>
            <w:tcBorders>
              <w:top w:val="nil"/>
              <w:left w:val="nil"/>
              <w:bottom w:val="single" w:sz="4" w:space="0" w:color="ADD6EA"/>
              <w:right w:val="nil"/>
            </w:tcBorders>
            <w:shd w:val="clear" w:color="auto" w:fill="auto"/>
          </w:tcPr>
          <w:p w14:paraId="3C2D0FBB" w14:textId="62531C0B" w:rsidR="007A5527" w:rsidRPr="00082DE5" w:rsidRDefault="007A5527" w:rsidP="007A552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R</w:t>
            </w:r>
            <w:r w:rsidRPr="00E541F3">
              <w:rPr>
                <w:rFonts w:eastAsia="Times New Roman" w:cs="Open Sans Light"/>
                <w:sz w:val="16"/>
                <w:szCs w:val="16"/>
                <w:lang w:eastAsia="en-AU"/>
              </w:rPr>
              <w:t>ecognises that some regulatory</w:t>
            </w:r>
            <w:r>
              <w:rPr>
                <w:rFonts w:eastAsia="Times New Roman" w:cs="Open Sans Light"/>
                <w:sz w:val="16"/>
                <w:szCs w:val="16"/>
                <w:lang w:eastAsia="en-AU"/>
              </w:rPr>
              <w:t xml:space="preserve"> </w:t>
            </w:r>
            <w:r w:rsidRPr="00E541F3">
              <w:rPr>
                <w:rFonts w:eastAsia="Times New Roman" w:cs="Open Sans Light"/>
                <w:sz w:val="16"/>
                <w:szCs w:val="16"/>
                <w:lang w:eastAsia="en-AU"/>
              </w:rPr>
              <w:t xml:space="preserve">functions </w:t>
            </w:r>
            <w:r>
              <w:rPr>
                <w:rFonts w:eastAsia="Times New Roman" w:cs="Open Sans Light"/>
                <w:sz w:val="16"/>
                <w:szCs w:val="16"/>
                <w:lang w:eastAsia="en-AU"/>
              </w:rPr>
              <w:t xml:space="preserve">such as consumer protection services </w:t>
            </w:r>
            <w:r w:rsidRPr="00E541F3">
              <w:rPr>
                <w:rFonts w:eastAsia="Times New Roman" w:cs="Open Sans Light"/>
                <w:sz w:val="16"/>
                <w:szCs w:val="16"/>
                <w:lang w:eastAsia="en-AU"/>
              </w:rPr>
              <w:t>target the total population rather than businesses or industries</w:t>
            </w:r>
          </w:p>
        </w:tc>
        <w:tc>
          <w:tcPr>
            <w:tcW w:w="1275" w:type="dxa"/>
            <w:tcBorders>
              <w:top w:val="nil"/>
              <w:left w:val="nil"/>
              <w:bottom w:val="single" w:sz="4" w:space="0" w:color="ADD6EA"/>
              <w:right w:val="nil"/>
            </w:tcBorders>
          </w:tcPr>
          <w:p w14:paraId="27C14FB4" w14:textId="19B265D3" w:rsidR="007A5527" w:rsidRDefault="007A5527" w:rsidP="007A552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878D7" w:rsidRPr="00082DE5" w14:paraId="0AFFADDF" w14:textId="77777777" w:rsidTr="2BAD2FF1">
        <w:trPr>
          <w:trHeight w:val="430"/>
        </w:trPr>
        <w:tc>
          <w:tcPr>
            <w:tcW w:w="1169" w:type="dxa"/>
            <w:tcBorders>
              <w:top w:val="nil"/>
              <w:left w:val="nil"/>
              <w:bottom w:val="nil"/>
              <w:right w:val="nil"/>
            </w:tcBorders>
            <w:shd w:val="clear" w:color="auto" w:fill="auto"/>
            <w:hideMark/>
          </w:tcPr>
          <w:p w14:paraId="2F36DE30" w14:textId="77777777" w:rsidR="009878D7" w:rsidRPr="00082DE5" w:rsidRDefault="009878D7">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66F69BFF" w14:textId="77777777" w:rsidR="009878D7" w:rsidRPr="00082DE5" w:rsidRDefault="009878D7">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1DCB6732"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1F42AFAD" w14:textId="5698082E"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FD2457">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5C5A3066"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878D7" w:rsidRPr="00082DE5" w14:paraId="4849A837" w14:textId="77777777" w:rsidTr="2BAD2FF1">
        <w:trPr>
          <w:trHeight w:val="438"/>
        </w:trPr>
        <w:tc>
          <w:tcPr>
            <w:tcW w:w="1169" w:type="dxa"/>
            <w:tcBorders>
              <w:top w:val="nil"/>
              <w:left w:val="nil"/>
              <w:bottom w:val="nil"/>
              <w:right w:val="nil"/>
            </w:tcBorders>
            <w:shd w:val="clear" w:color="auto" w:fill="auto"/>
            <w:hideMark/>
          </w:tcPr>
          <w:p w14:paraId="0DBDFE4F" w14:textId="77777777" w:rsidR="009878D7" w:rsidRPr="00082DE5" w:rsidRDefault="009878D7">
            <w:pPr>
              <w:tabs>
                <w:tab w:val="clear" w:pos="567"/>
              </w:tabs>
              <w:spacing w:before="0" w:line="240" w:lineRule="auto"/>
              <w:rPr>
                <w:rFonts w:eastAsia="Times New Roman" w:cs="Open Sans Light"/>
                <w:sz w:val="16"/>
                <w:szCs w:val="16"/>
                <w:lang w:eastAsia="en-AU"/>
              </w:rPr>
            </w:pPr>
          </w:p>
        </w:tc>
        <w:tc>
          <w:tcPr>
            <w:tcW w:w="181" w:type="dxa"/>
            <w:tcBorders>
              <w:top w:val="nil"/>
              <w:left w:val="nil"/>
              <w:bottom w:val="nil"/>
              <w:right w:val="nil"/>
            </w:tcBorders>
            <w:shd w:val="clear" w:color="auto" w:fill="auto"/>
            <w:hideMark/>
          </w:tcPr>
          <w:p w14:paraId="4CD1DC50" w14:textId="77777777" w:rsidR="009878D7" w:rsidRPr="00082DE5" w:rsidRDefault="009878D7">
            <w:pPr>
              <w:tabs>
                <w:tab w:val="clear" w:pos="567"/>
              </w:tabs>
              <w:spacing w:before="0" w:line="240" w:lineRule="auto"/>
              <w:jc w:val="right"/>
              <w:rPr>
                <w:rFonts w:ascii="Times New Roman" w:eastAsia="Times New Roman" w:hAnsi="Times New Roman" w:cs="Times New Roman"/>
                <w:szCs w:val="20"/>
                <w:lang w:eastAsia="en-AU"/>
              </w:rPr>
            </w:pPr>
          </w:p>
        </w:tc>
        <w:tc>
          <w:tcPr>
            <w:tcW w:w="2052" w:type="dxa"/>
            <w:tcBorders>
              <w:top w:val="nil"/>
              <w:left w:val="nil"/>
              <w:bottom w:val="single" w:sz="4" w:space="0" w:color="ADD6EA"/>
              <w:right w:val="nil"/>
            </w:tcBorders>
            <w:shd w:val="clear" w:color="auto" w:fill="auto"/>
            <w:hideMark/>
          </w:tcPr>
          <w:p w14:paraId="29FDCB12"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Regional costs</w:t>
            </w:r>
          </w:p>
        </w:tc>
        <w:tc>
          <w:tcPr>
            <w:tcW w:w="3828" w:type="dxa"/>
            <w:tcBorders>
              <w:top w:val="nil"/>
              <w:left w:val="nil"/>
              <w:bottom w:val="single" w:sz="4" w:space="0" w:color="ADD6EA"/>
              <w:right w:val="nil"/>
            </w:tcBorders>
            <w:shd w:val="clear" w:color="auto" w:fill="auto"/>
            <w:hideMark/>
          </w:tcPr>
          <w:p w14:paraId="08643B7F"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Recognises the higher cost of providing services in more remote areas</w:t>
            </w:r>
          </w:p>
        </w:tc>
        <w:tc>
          <w:tcPr>
            <w:tcW w:w="1275" w:type="dxa"/>
            <w:tcBorders>
              <w:top w:val="nil"/>
              <w:left w:val="nil"/>
              <w:bottom w:val="single" w:sz="4" w:space="0" w:color="ADD6EA"/>
              <w:right w:val="nil"/>
            </w:tcBorders>
          </w:tcPr>
          <w:p w14:paraId="084B3555"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878D7" w:rsidRPr="00082DE5" w14:paraId="1B82B74B" w14:textId="77777777" w:rsidTr="2BAD2FF1">
        <w:trPr>
          <w:trHeight w:val="460"/>
        </w:trPr>
        <w:tc>
          <w:tcPr>
            <w:tcW w:w="1169" w:type="dxa"/>
            <w:tcBorders>
              <w:top w:val="nil"/>
              <w:left w:val="nil"/>
              <w:bottom w:val="nil"/>
              <w:right w:val="nil"/>
            </w:tcBorders>
            <w:shd w:val="clear" w:color="auto" w:fill="auto"/>
            <w:hideMark/>
          </w:tcPr>
          <w:p w14:paraId="4CC71182" w14:textId="77777777" w:rsidR="009878D7" w:rsidRPr="00082DE5" w:rsidRDefault="009878D7">
            <w:pPr>
              <w:tabs>
                <w:tab w:val="clear" w:pos="567"/>
              </w:tabs>
              <w:spacing w:before="0" w:line="240" w:lineRule="auto"/>
              <w:rPr>
                <w:rFonts w:ascii="Open Sans Semibold" w:eastAsia="Times New Roman" w:hAnsi="Open Sans Semibold" w:cs="Open Sans Semibold"/>
                <w:sz w:val="16"/>
                <w:szCs w:val="16"/>
                <w:lang w:eastAsia="en-AU"/>
              </w:rPr>
            </w:pPr>
            <w:r w:rsidRPr="00082DE5">
              <w:rPr>
                <w:rFonts w:ascii="Open Sans Semibold" w:eastAsia="Times New Roman" w:hAnsi="Open Sans Semibold" w:cs="Open Sans Semibold"/>
                <w:sz w:val="16"/>
                <w:szCs w:val="16"/>
                <w:lang w:eastAsia="en-AU"/>
              </w:rPr>
              <w:t>Business development</w:t>
            </w:r>
          </w:p>
        </w:tc>
        <w:tc>
          <w:tcPr>
            <w:tcW w:w="181" w:type="dxa"/>
            <w:tcBorders>
              <w:top w:val="nil"/>
              <w:left w:val="nil"/>
              <w:bottom w:val="nil"/>
              <w:right w:val="nil"/>
            </w:tcBorders>
            <w:shd w:val="clear" w:color="auto" w:fill="auto"/>
            <w:hideMark/>
          </w:tcPr>
          <w:p w14:paraId="0BF785AA" w14:textId="77777777" w:rsidR="009878D7" w:rsidRPr="00082DE5" w:rsidRDefault="009878D7">
            <w:pPr>
              <w:tabs>
                <w:tab w:val="clear" w:pos="567"/>
              </w:tabs>
              <w:spacing w:before="0" w:line="240" w:lineRule="auto"/>
              <w:jc w:val="right"/>
              <w:rPr>
                <w:rFonts w:eastAsia="Times New Roman" w:cs="Open Sans Light"/>
                <w:sz w:val="16"/>
                <w:szCs w:val="16"/>
                <w:lang w:eastAsia="en-AU"/>
              </w:rPr>
            </w:pPr>
          </w:p>
        </w:tc>
        <w:tc>
          <w:tcPr>
            <w:tcW w:w="2052" w:type="dxa"/>
            <w:tcBorders>
              <w:top w:val="nil"/>
              <w:left w:val="nil"/>
              <w:bottom w:val="single" w:sz="4" w:space="0" w:color="ADD6EA"/>
              <w:right w:val="nil"/>
            </w:tcBorders>
            <w:shd w:val="clear" w:color="auto" w:fill="auto"/>
            <w:hideMark/>
          </w:tcPr>
          <w:p w14:paraId="31CF91A4"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EPC</w:t>
            </w:r>
          </w:p>
        </w:tc>
        <w:tc>
          <w:tcPr>
            <w:tcW w:w="3828" w:type="dxa"/>
            <w:tcBorders>
              <w:top w:val="nil"/>
              <w:left w:val="nil"/>
              <w:bottom w:val="single" w:sz="4" w:space="0" w:color="ADD6EA"/>
              <w:right w:val="nil"/>
            </w:tcBorders>
            <w:shd w:val="clear" w:color="auto" w:fill="auto"/>
            <w:hideMark/>
          </w:tcPr>
          <w:p w14:paraId="031313FA" w14:textId="3679237C"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This is an equal per capita (EPC) assessment. The driver of these expenses is </w:t>
            </w:r>
            <w:r w:rsidR="00AD657A">
              <w:rPr>
                <w:rFonts w:eastAsia="Times New Roman" w:cs="Open Sans Light"/>
                <w:sz w:val="16"/>
                <w:szCs w:val="16"/>
                <w:lang w:eastAsia="en-AU"/>
              </w:rPr>
              <w:t>s</w:t>
            </w:r>
            <w:r w:rsidRPr="00082DE5">
              <w:rPr>
                <w:rFonts w:eastAsia="Times New Roman" w:cs="Open Sans Light"/>
                <w:sz w:val="16"/>
                <w:szCs w:val="16"/>
                <w:lang w:eastAsia="en-AU"/>
              </w:rPr>
              <w:t>tate population</w:t>
            </w:r>
          </w:p>
        </w:tc>
        <w:tc>
          <w:tcPr>
            <w:tcW w:w="1275" w:type="dxa"/>
            <w:tcBorders>
              <w:top w:val="nil"/>
              <w:left w:val="nil"/>
              <w:bottom w:val="single" w:sz="4" w:space="0" w:color="ADD6EA"/>
              <w:right w:val="nil"/>
            </w:tcBorders>
          </w:tcPr>
          <w:p w14:paraId="0DF217AB"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r w:rsidR="009878D7" w:rsidRPr="00082DE5" w14:paraId="622FC1A9" w14:textId="77777777" w:rsidTr="2BAD2FF1">
        <w:trPr>
          <w:trHeight w:val="468"/>
        </w:trPr>
        <w:tc>
          <w:tcPr>
            <w:tcW w:w="1169" w:type="dxa"/>
            <w:tcBorders>
              <w:top w:val="nil"/>
              <w:left w:val="nil"/>
              <w:bottom w:val="single" w:sz="4" w:space="0" w:color="ADD6EA"/>
              <w:right w:val="nil"/>
            </w:tcBorders>
            <w:shd w:val="clear" w:color="auto" w:fill="auto"/>
            <w:hideMark/>
          </w:tcPr>
          <w:p w14:paraId="00BE7D42"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w:t>
            </w:r>
          </w:p>
        </w:tc>
        <w:tc>
          <w:tcPr>
            <w:tcW w:w="181" w:type="dxa"/>
            <w:tcBorders>
              <w:top w:val="nil"/>
              <w:left w:val="nil"/>
              <w:bottom w:val="single" w:sz="4" w:space="0" w:color="ADD6EA"/>
              <w:right w:val="nil"/>
            </w:tcBorders>
            <w:shd w:val="clear" w:color="auto" w:fill="auto"/>
            <w:hideMark/>
          </w:tcPr>
          <w:p w14:paraId="26D80B9E"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w:t>
            </w:r>
          </w:p>
        </w:tc>
        <w:tc>
          <w:tcPr>
            <w:tcW w:w="2052" w:type="dxa"/>
            <w:tcBorders>
              <w:top w:val="nil"/>
              <w:left w:val="nil"/>
              <w:bottom w:val="single" w:sz="4" w:space="0" w:color="ADD6EA"/>
              <w:right w:val="nil"/>
            </w:tcBorders>
            <w:shd w:val="clear" w:color="auto" w:fill="auto"/>
            <w:hideMark/>
          </w:tcPr>
          <w:p w14:paraId="4942808B" w14:textId="77777777"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Wage costs</w:t>
            </w:r>
          </w:p>
        </w:tc>
        <w:tc>
          <w:tcPr>
            <w:tcW w:w="3828" w:type="dxa"/>
            <w:tcBorders>
              <w:top w:val="nil"/>
              <w:left w:val="nil"/>
              <w:bottom w:val="single" w:sz="4" w:space="0" w:color="ADD6EA"/>
              <w:right w:val="nil"/>
            </w:tcBorders>
            <w:shd w:val="clear" w:color="auto" w:fill="auto"/>
            <w:hideMark/>
          </w:tcPr>
          <w:p w14:paraId="174A392A" w14:textId="1232C79F" w:rsidR="009878D7" w:rsidRPr="00082DE5" w:rsidRDefault="009878D7">
            <w:pPr>
              <w:tabs>
                <w:tab w:val="clear" w:pos="567"/>
              </w:tabs>
              <w:spacing w:before="0" w:line="240" w:lineRule="auto"/>
              <w:rPr>
                <w:rFonts w:eastAsia="Times New Roman" w:cs="Open Sans Light"/>
                <w:sz w:val="16"/>
                <w:szCs w:val="16"/>
                <w:lang w:eastAsia="en-AU"/>
              </w:rPr>
            </w:pPr>
            <w:r w:rsidRPr="00082DE5">
              <w:rPr>
                <w:rFonts w:eastAsia="Times New Roman" w:cs="Open Sans Light"/>
                <w:sz w:val="16"/>
                <w:szCs w:val="16"/>
                <w:lang w:eastAsia="en-AU"/>
              </w:rPr>
              <w:t xml:space="preserve">Recognises the differences in wage costs between </w:t>
            </w:r>
            <w:r w:rsidR="00FD2457">
              <w:rPr>
                <w:rFonts w:eastAsia="Times New Roman" w:cs="Open Sans Light"/>
                <w:sz w:val="16"/>
                <w:szCs w:val="16"/>
                <w:lang w:eastAsia="en-AU"/>
              </w:rPr>
              <w:t>s</w:t>
            </w:r>
            <w:r w:rsidRPr="00082DE5">
              <w:rPr>
                <w:rFonts w:eastAsia="Times New Roman" w:cs="Open Sans Light"/>
                <w:sz w:val="16"/>
                <w:szCs w:val="16"/>
                <w:lang w:eastAsia="en-AU"/>
              </w:rPr>
              <w:t>tates</w:t>
            </w:r>
          </w:p>
        </w:tc>
        <w:tc>
          <w:tcPr>
            <w:tcW w:w="1275" w:type="dxa"/>
            <w:tcBorders>
              <w:top w:val="nil"/>
              <w:left w:val="nil"/>
              <w:bottom w:val="single" w:sz="4" w:space="0" w:color="ADD6EA"/>
              <w:right w:val="nil"/>
            </w:tcBorders>
          </w:tcPr>
          <w:p w14:paraId="157FC831" w14:textId="77777777" w:rsidR="009878D7" w:rsidRPr="00082DE5" w:rsidRDefault="009878D7">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No</w:t>
            </w:r>
          </w:p>
        </w:tc>
      </w:tr>
    </w:tbl>
    <w:p w14:paraId="5D2563A2" w14:textId="217A154E" w:rsidR="009878D7" w:rsidRDefault="009878D7" w:rsidP="009878D7">
      <w:pPr>
        <w:pStyle w:val="Heading3"/>
      </w:pPr>
      <w:bookmarkStart w:id="51" w:name="_Toc121741493"/>
      <w:bookmarkStart w:id="52" w:name="_Toc147410878"/>
      <w:r>
        <w:t>New data requirements</w:t>
      </w:r>
      <w:bookmarkEnd w:id="52"/>
    </w:p>
    <w:p w14:paraId="2F54471B" w14:textId="4C75E09A" w:rsidR="68D624A1" w:rsidRPr="0090773E" w:rsidRDefault="6B843E34" w:rsidP="005A6AB9">
      <w:pPr>
        <w:pStyle w:val="CGC2025ParaNumbers"/>
        <w:numPr>
          <w:ilvl w:val="0"/>
          <w:numId w:val="7"/>
        </w:numPr>
        <w:ind w:left="567" w:hanging="567"/>
        <w:rPr>
          <w:rFonts w:eastAsia="Calibri" w:cs="Arial"/>
          <w:szCs w:val="20"/>
        </w:rPr>
      </w:pPr>
      <w:r>
        <w:t xml:space="preserve">The </w:t>
      </w:r>
      <w:r w:rsidR="07FBC52D">
        <w:t>C</w:t>
      </w:r>
      <w:r>
        <w:t xml:space="preserve">ommission will ask </w:t>
      </w:r>
      <w:r w:rsidR="07FBC52D">
        <w:t>s</w:t>
      </w:r>
      <w:r>
        <w:t>tates to provide an update of their estimated expenditure on business development and regulation for agriculture, mining, and other industries.</w:t>
      </w:r>
      <w:r w:rsidR="184E0B3E">
        <w:t xml:space="preserve"> This will be used to re-estimate the </w:t>
      </w:r>
      <w:r w:rsidR="68881D66">
        <w:t>regulation/development split used in the assessment.</w:t>
      </w:r>
    </w:p>
    <w:p w14:paraId="3477C4E1" w14:textId="719B0044" w:rsidR="00F204E3" w:rsidRPr="0090773E" w:rsidRDefault="62BF530B" w:rsidP="005A6AB9">
      <w:pPr>
        <w:pStyle w:val="CGC2025ParaNumbers"/>
        <w:numPr>
          <w:ilvl w:val="0"/>
          <w:numId w:val="7"/>
        </w:numPr>
        <w:ind w:left="567" w:hanging="567"/>
        <w:rPr>
          <w:rFonts w:eastAsia="Calibri" w:cs="Arial"/>
          <w:szCs w:val="20"/>
        </w:rPr>
      </w:pPr>
      <w:r>
        <w:lastRenderedPageBreak/>
        <w:t xml:space="preserve">Subject to state comments, the Commission may request data from the states to </w:t>
      </w:r>
      <w:r w:rsidR="5999B741">
        <w:t>i</w:t>
      </w:r>
      <w:r>
        <w:t>nform the development of a net-zero transition assessment</w:t>
      </w:r>
      <w:r w:rsidR="779E5D24">
        <w:t xml:space="preserve">, </w:t>
      </w:r>
      <w:r w:rsidR="2F74787D">
        <w:t>i</w:t>
      </w:r>
      <w:r w:rsidR="779E5D24">
        <w:t>ncluding:</w:t>
      </w:r>
    </w:p>
    <w:p w14:paraId="5F93F208" w14:textId="6DCEEC40" w:rsidR="00FD5A75" w:rsidRPr="004D2DE0" w:rsidRDefault="00DC4C8E" w:rsidP="004D2DE0">
      <w:pPr>
        <w:pStyle w:val="CGC2025Bullet1"/>
      </w:pPr>
      <w:r>
        <w:t>s</w:t>
      </w:r>
      <w:r w:rsidR="779E5D24">
        <w:t xml:space="preserve">tate expenditure on the net-zero </w:t>
      </w:r>
      <w:proofErr w:type="gramStart"/>
      <w:r w:rsidR="779E5D24">
        <w:t>transition</w:t>
      </w:r>
      <w:proofErr w:type="gramEnd"/>
    </w:p>
    <w:p w14:paraId="4A2FFAB9" w14:textId="5633B442" w:rsidR="00FD5A75" w:rsidRPr="004D2DE0" w:rsidRDefault="00DC4C8E" w:rsidP="004D2DE0">
      <w:pPr>
        <w:pStyle w:val="CGC2025Bullet1"/>
      </w:pPr>
      <w:r>
        <w:t>d</w:t>
      </w:r>
      <w:r w:rsidR="779E5D24">
        <w:t xml:space="preserve">rivers of state spending </w:t>
      </w:r>
      <w:r w:rsidR="2941A87D">
        <w:t>on the transition</w:t>
      </w:r>
      <w:r>
        <w:t>.</w:t>
      </w:r>
    </w:p>
    <w:p w14:paraId="15EC5AEC" w14:textId="77777777" w:rsidR="009878D7" w:rsidRDefault="009878D7" w:rsidP="009878D7">
      <w:pPr>
        <w:pStyle w:val="Heading2"/>
      </w:pPr>
      <w:bookmarkStart w:id="53" w:name="_Toc147410879"/>
      <w:r>
        <w:t>Consultation</w:t>
      </w:r>
      <w:bookmarkEnd w:id="51"/>
      <w:bookmarkEnd w:id="53"/>
    </w:p>
    <w:p w14:paraId="79213FC5" w14:textId="66040598" w:rsidR="009878D7" w:rsidRPr="00974443" w:rsidRDefault="6B843E34" w:rsidP="00A10560">
      <w:pPr>
        <w:pStyle w:val="CGC2025ParaNumbers"/>
        <w:numPr>
          <w:ilvl w:val="0"/>
          <w:numId w:val="7"/>
        </w:numPr>
        <w:ind w:left="567" w:hanging="567"/>
      </w:pPr>
      <w:r>
        <w:t>The Commission welcomes state views on the consultation question</w:t>
      </w:r>
      <w:r w:rsidR="29AFB6B4">
        <w:t>s</w:t>
      </w:r>
      <w:r>
        <w:t xml:space="preserve"> identified in this paper (outlined below) and the proposed assessment. </w:t>
      </w:r>
      <w:r w:rsidR="29C27ED5">
        <w:t>State submissions should accord with the 2025 Review framework</w:t>
      </w:r>
      <w:r>
        <w:t>. States are welcome to raise other relevant issues with the Commission.</w:t>
      </w:r>
    </w:p>
    <w:p w14:paraId="07B1612D" w14:textId="3316E405" w:rsidR="00FB4E94" w:rsidRPr="00FB4E94" w:rsidRDefault="009878D7" w:rsidP="00FB4E94">
      <w:pPr>
        <w:pStyle w:val="TOC3"/>
        <w:ind w:left="0"/>
        <w:rPr>
          <w:rFonts w:ascii="Work Sans" w:hAnsi="Work Sans"/>
          <w:sz w:val="24"/>
          <w:szCs w:val="24"/>
        </w:rPr>
      </w:pPr>
      <w:bookmarkStart w:id="54" w:name="Content"/>
      <w:bookmarkStart w:id="55" w:name="_Toc106707732"/>
      <w:bookmarkStart w:id="56" w:name="_Toc155675943"/>
      <w:bookmarkStart w:id="57" w:name="_Toc174415778"/>
      <w:bookmarkStart w:id="58" w:name="_Toc174415943"/>
      <w:bookmarkStart w:id="59" w:name="_Toc174416628"/>
      <w:bookmarkStart w:id="60" w:name="_Toc174416670"/>
      <w:bookmarkStart w:id="61" w:name="_Hlk76473161"/>
      <w:bookmarkEnd w:id="54"/>
      <w:r w:rsidRPr="001C4DF3">
        <w:rPr>
          <w:noProof/>
        </w:rPr>
        <mc:AlternateContent>
          <mc:Choice Requires="wps">
            <w:drawing>
              <wp:inline distT="0" distB="0" distL="0" distR="0" wp14:anchorId="3BE93068" wp14:editId="230F5CC2">
                <wp:extent cx="5648325" cy="2848708"/>
                <wp:effectExtent l="0" t="0" r="9525" b="889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2848708"/>
                        </a:xfrm>
                        <a:prstGeom prst="rect">
                          <a:avLst/>
                        </a:prstGeom>
                        <a:solidFill>
                          <a:srgbClr val="EBF3F5"/>
                        </a:solidFill>
                        <a:ln w="25400" cap="flat" cmpd="sng" algn="ctr">
                          <a:noFill/>
                          <a:prstDash val="solid"/>
                        </a:ln>
                        <a:effectLst/>
                      </wps:spPr>
                      <wps:txbx>
                        <w:txbxContent>
                          <w:p w14:paraId="7AB49AF7" w14:textId="77777777" w:rsidR="00CE16F1" w:rsidRDefault="00CE16F1" w:rsidP="00CE16F1">
                            <w:pPr>
                              <w:pStyle w:val="CGC2025QuestionNumbers"/>
                              <w:rPr>
                                <w:lang w:eastAsia="en-AU"/>
                              </w:rPr>
                            </w:pPr>
                            <w:r w:rsidRPr="00D74AC2">
                              <w:rPr>
                                <w:lang w:eastAsia="en-AU"/>
                              </w:rPr>
                              <w:t xml:space="preserve">Do </w:t>
                            </w:r>
                            <w:r>
                              <w:rPr>
                                <w:lang w:eastAsia="en-AU"/>
                              </w:rPr>
                              <w:t>s</w:t>
                            </w:r>
                            <w:r w:rsidRPr="00D74AC2">
                              <w:rPr>
                                <w:lang w:eastAsia="en-AU"/>
                              </w:rPr>
                              <w:t xml:space="preserve">tates support </w:t>
                            </w:r>
                            <w:r w:rsidRPr="00AB2E94">
                              <w:rPr>
                                <w:lang w:eastAsia="en-AU"/>
                              </w:rPr>
                              <w:t>replacing total factor income as measure of industry size with the chain volume measure of industry value-add to assess the need for spending on industry regulation?</w:t>
                            </w:r>
                          </w:p>
                          <w:p w14:paraId="7DA9FC99" w14:textId="77777777" w:rsidR="00CE16F1" w:rsidRPr="00FD6476" w:rsidRDefault="00CE16F1" w:rsidP="00CE16F1">
                            <w:pPr>
                              <w:pStyle w:val="CGC2025QuestionNumbers"/>
                              <w:rPr>
                                <w:lang w:eastAsia="en-AU"/>
                              </w:rPr>
                            </w:pPr>
                            <w:r>
                              <w:rPr>
                                <w:lang w:eastAsia="en-AU"/>
                              </w:rPr>
                              <w:t>Do states support the development of an average or representative base year to index changes in the chain volume of production?</w:t>
                            </w:r>
                          </w:p>
                          <w:p w14:paraId="7D4C8386" w14:textId="77777777" w:rsidR="00CE16F1" w:rsidRDefault="00CE16F1" w:rsidP="00CE16F1">
                            <w:pPr>
                              <w:pStyle w:val="CGC2025QuestionNumbers"/>
                              <w:rPr>
                                <w:lang w:eastAsia="en-AU"/>
                              </w:rPr>
                            </w:pPr>
                            <w:r>
                              <w:rPr>
                                <w:lang w:eastAsia="en-AU"/>
                              </w:rPr>
                              <w:t>Do states support the reintroduction of the number of businesses as a driver of need for regulatory spending if it is material?</w:t>
                            </w:r>
                          </w:p>
                          <w:p w14:paraId="05C51720" w14:textId="79109818" w:rsidR="00CE16F1" w:rsidRPr="00DA068F" w:rsidRDefault="00CE16F1" w:rsidP="00CE16F1">
                            <w:pPr>
                              <w:pStyle w:val="CGC2025QuestionNumbers"/>
                              <w:rPr>
                                <w:lang w:eastAsia="en-AU"/>
                              </w:rPr>
                            </w:pPr>
                            <w:r>
                              <w:rPr>
                                <w:lang w:eastAsia="en-AU"/>
                              </w:rPr>
                              <w:t xml:space="preserve">Will states be able to identify spending on the net-zero transition and provide it to the </w:t>
                            </w:r>
                            <w:r w:rsidR="00EF7F1C">
                              <w:rPr>
                                <w:lang w:eastAsia="en-AU"/>
                              </w:rPr>
                              <w:t>C</w:t>
                            </w:r>
                            <w:r>
                              <w:rPr>
                                <w:lang w:eastAsia="en-AU"/>
                              </w:rPr>
                              <w:t>ommission to develop an assessment?</w:t>
                            </w:r>
                          </w:p>
                          <w:p w14:paraId="1F49FBE9" w14:textId="03E7ADC0" w:rsidR="00AA5A2B" w:rsidRDefault="00CE16F1" w:rsidP="00CE16F1">
                            <w:pPr>
                              <w:pStyle w:val="CGC2025QuestionNumbers"/>
                              <w:rPr>
                                <w:lang w:eastAsia="en-AU"/>
                              </w:rPr>
                            </w:pPr>
                            <w:r w:rsidRPr="0090773E">
                              <w:rPr>
                                <w:lang w:eastAsia="en-AU"/>
                              </w:rPr>
                              <w:t>Can states identify and provide data on potential drivers</w:t>
                            </w:r>
                            <w:r>
                              <w:rPr>
                                <w:lang w:eastAsia="en-AU"/>
                              </w:rPr>
                              <w:t xml:space="preserve"> of state spending on the net-zero transition?</w:t>
                            </w:r>
                          </w:p>
                          <w:p w14:paraId="6DE2E55F" w14:textId="77777777" w:rsidR="00E6042B" w:rsidRDefault="00E6042B" w:rsidP="00E6042B">
                            <w:pPr>
                              <w:pStyle w:val="CGC2025QuestionNumbers"/>
                              <w:rPr>
                                <w:lang w:eastAsia="en-AU"/>
                              </w:rPr>
                            </w:pPr>
                            <w:r>
                              <w:rPr>
                                <w:lang w:eastAsia="en-AU"/>
                              </w:rPr>
                              <w:t>Do states expect there to be a sufficient increase in state net-zero transition spending to warrant a separate assessment, within or outside of the business development assessment?</w:t>
                            </w:r>
                          </w:p>
                          <w:p w14:paraId="4331CE9D" w14:textId="77777777" w:rsidR="00E6042B" w:rsidRPr="00D74AC2" w:rsidRDefault="00E6042B" w:rsidP="00CE16F1">
                            <w:pPr>
                              <w:pStyle w:val="CGC2025QuestionNumbers"/>
                              <w:rPr>
                                <w:lang w:eastAsia="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E93068" id="Rectangle 1" o:spid="_x0000_s1031" alt="&quot;&quot;" style="width:444.75pt;height:22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" fillcolor="#ebf3f5" stroked="f" strokeweight="2pt">
                <v:textbox>
                  <w:txbxContent>
                    <w:p w14:paraId="7AB49AF7" w14:textId="77777777" w:rsidR="00CE16F1" w:rsidRDefault="00CE16F1" w:rsidP="00CE16F1">
                      <w:pPr>
                        <w:pStyle w:val="CGC2025QuestionNumbers"/>
                        <w:rPr>
                          <w:lang w:eastAsia="en-AU"/>
                        </w:rPr>
                      </w:pPr>
                      <w:r w:rsidRPr="00D74AC2">
                        <w:rPr>
                          <w:lang w:eastAsia="en-AU"/>
                        </w:rPr>
                        <w:t xml:space="preserve">Do </w:t>
                      </w:r>
                      <w:r>
                        <w:rPr>
                          <w:lang w:eastAsia="en-AU"/>
                        </w:rPr>
                        <w:t>s</w:t>
                      </w:r>
                      <w:r w:rsidRPr="00D74AC2">
                        <w:rPr>
                          <w:lang w:eastAsia="en-AU"/>
                        </w:rPr>
                        <w:t xml:space="preserve">tates support </w:t>
                      </w:r>
                      <w:r w:rsidRPr="00AB2E94">
                        <w:rPr>
                          <w:lang w:eastAsia="en-AU"/>
                        </w:rPr>
                        <w:t>replacing total factor income as measure of industry size with the chain volume measure of industry value-add to assess the need for spending on industry regulation?</w:t>
                      </w:r>
                    </w:p>
                    <w:p w14:paraId="7DA9FC99" w14:textId="77777777" w:rsidR="00CE16F1" w:rsidRPr="00FD6476" w:rsidRDefault="00CE16F1" w:rsidP="00CE16F1">
                      <w:pPr>
                        <w:pStyle w:val="CGC2025QuestionNumbers"/>
                        <w:rPr>
                          <w:lang w:eastAsia="en-AU"/>
                        </w:rPr>
                      </w:pPr>
                      <w:r>
                        <w:rPr>
                          <w:lang w:eastAsia="en-AU"/>
                        </w:rPr>
                        <w:t>Do states support the development of an average or representative base year to index changes in the chain volume of production?</w:t>
                      </w:r>
                    </w:p>
                    <w:p w14:paraId="7D4C8386" w14:textId="77777777" w:rsidR="00CE16F1" w:rsidRDefault="00CE16F1" w:rsidP="00CE16F1">
                      <w:pPr>
                        <w:pStyle w:val="CGC2025QuestionNumbers"/>
                        <w:rPr>
                          <w:lang w:eastAsia="en-AU"/>
                        </w:rPr>
                      </w:pPr>
                      <w:r>
                        <w:rPr>
                          <w:lang w:eastAsia="en-AU"/>
                        </w:rPr>
                        <w:t>Do states support the reintroduction of the number of businesses as a driver of need for regulatory spending if it is material?</w:t>
                      </w:r>
                    </w:p>
                    <w:p w14:paraId="05C51720" w14:textId="79109818" w:rsidR="00CE16F1" w:rsidRPr="00DA068F" w:rsidRDefault="00CE16F1" w:rsidP="00CE16F1">
                      <w:pPr>
                        <w:pStyle w:val="CGC2025QuestionNumbers"/>
                        <w:rPr>
                          <w:lang w:eastAsia="en-AU"/>
                        </w:rPr>
                      </w:pPr>
                      <w:r>
                        <w:rPr>
                          <w:lang w:eastAsia="en-AU"/>
                        </w:rPr>
                        <w:t xml:space="preserve">Will states be able to identify spending on the net-zero transition and provide it to the </w:t>
                      </w:r>
                      <w:r w:rsidR="00EF7F1C">
                        <w:rPr>
                          <w:lang w:eastAsia="en-AU"/>
                        </w:rPr>
                        <w:t>C</w:t>
                      </w:r>
                      <w:r>
                        <w:rPr>
                          <w:lang w:eastAsia="en-AU"/>
                        </w:rPr>
                        <w:t>ommission to develop an assessment?</w:t>
                      </w:r>
                    </w:p>
                    <w:p w14:paraId="1F49FBE9" w14:textId="03E7ADC0" w:rsidR="00AA5A2B" w:rsidRDefault="00CE16F1" w:rsidP="00CE16F1">
                      <w:pPr>
                        <w:pStyle w:val="CGC2025QuestionNumbers"/>
                        <w:rPr>
                          <w:lang w:eastAsia="en-AU"/>
                        </w:rPr>
                      </w:pPr>
                      <w:r w:rsidRPr="0090773E">
                        <w:rPr>
                          <w:lang w:eastAsia="en-AU"/>
                        </w:rPr>
                        <w:t>Can states identify and provide data on potential drivers</w:t>
                      </w:r>
                      <w:r>
                        <w:rPr>
                          <w:lang w:eastAsia="en-AU"/>
                        </w:rPr>
                        <w:t xml:space="preserve"> of state spending on the net-zero transition?</w:t>
                      </w:r>
                    </w:p>
                    <w:p w14:paraId="6DE2E55F" w14:textId="77777777" w:rsidR="00E6042B" w:rsidRDefault="00E6042B" w:rsidP="00E6042B">
                      <w:pPr>
                        <w:pStyle w:val="CGC2025QuestionNumbers"/>
                        <w:rPr>
                          <w:lang w:eastAsia="en-AU"/>
                        </w:rPr>
                      </w:pPr>
                      <w:r>
                        <w:rPr>
                          <w:lang w:eastAsia="en-AU"/>
                        </w:rPr>
                        <w:t>Do states expect there to be a sufficient increase in state net-zero transition spending to warrant a separate assessment, within or outside of the business development assessment?</w:t>
                      </w:r>
                    </w:p>
                    <w:p w14:paraId="4331CE9D" w14:textId="77777777" w:rsidR="00E6042B" w:rsidRPr="00D74AC2" w:rsidRDefault="00E6042B" w:rsidP="00CE16F1">
                      <w:pPr>
                        <w:pStyle w:val="CGC2025QuestionNumbers"/>
                        <w:rPr>
                          <w:lang w:eastAsia="en-AU"/>
                        </w:rPr>
                      </w:pPr>
                    </w:p>
                  </w:txbxContent>
                </v:textbox>
                <w10:anchorlock/>
              </v:rect>
            </w:pict>
          </mc:Fallback>
        </mc:AlternateContent>
      </w:r>
      <w:bookmarkEnd w:id="55"/>
      <w:bookmarkEnd w:id="56"/>
      <w:bookmarkEnd w:id="57"/>
      <w:bookmarkEnd w:id="58"/>
      <w:bookmarkEnd w:id="59"/>
      <w:bookmarkEnd w:id="60"/>
      <w:bookmarkEnd w:id="61"/>
    </w:p>
    <w:sectPr w:rsidR="00FB4E94" w:rsidRPr="00FB4E94" w:rsidSect="004F0684">
      <w:footerReference w:type="default" r:id="rId24"/>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AE6A" w14:textId="77777777" w:rsidR="00663F1D" w:rsidRDefault="00663F1D">
      <w:r>
        <w:separator/>
      </w:r>
    </w:p>
    <w:p w14:paraId="1522D953" w14:textId="77777777" w:rsidR="00663F1D" w:rsidRDefault="00663F1D"/>
  </w:endnote>
  <w:endnote w:type="continuationSeparator" w:id="0">
    <w:p w14:paraId="68B96245" w14:textId="77777777" w:rsidR="00663F1D" w:rsidRDefault="00663F1D">
      <w:r>
        <w:continuationSeparator/>
      </w:r>
    </w:p>
    <w:p w14:paraId="2AFBDBB1" w14:textId="77777777" w:rsidR="00663F1D" w:rsidRDefault="00663F1D"/>
  </w:endnote>
  <w:endnote w:type="continuationNotice" w:id="1">
    <w:p w14:paraId="6308CC89" w14:textId="77777777" w:rsidR="00663F1D" w:rsidRDefault="00663F1D">
      <w:pPr>
        <w:spacing w:before="0" w:line="240" w:lineRule="auto"/>
      </w:pPr>
    </w:p>
    <w:p w14:paraId="639B9F8D" w14:textId="77777777" w:rsidR="00663F1D" w:rsidRDefault="00663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18FD"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12539B52"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2C7A496B"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F310" w14:textId="77777777" w:rsidR="00663F1D" w:rsidRPr="001C1AC5" w:rsidRDefault="00663F1D">
      <w:pPr>
        <w:rPr>
          <w:color w:val="ADD6EA"/>
        </w:rPr>
      </w:pPr>
      <w:r w:rsidRPr="001C1AC5">
        <w:rPr>
          <w:color w:val="ADD6EA"/>
        </w:rPr>
        <w:separator/>
      </w:r>
    </w:p>
    <w:p w14:paraId="6EE695DC" w14:textId="77777777" w:rsidR="00663F1D" w:rsidRDefault="00663F1D"/>
  </w:footnote>
  <w:footnote w:type="continuationSeparator" w:id="0">
    <w:p w14:paraId="45B2489E" w14:textId="77777777" w:rsidR="00663F1D" w:rsidRDefault="00663F1D">
      <w:r>
        <w:continuationSeparator/>
      </w:r>
    </w:p>
    <w:p w14:paraId="6398A1AC" w14:textId="77777777" w:rsidR="00663F1D" w:rsidRDefault="00663F1D"/>
  </w:footnote>
  <w:footnote w:type="continuationNotice" w:id="1">
    <w:p w14:paraId="39D04E8F" w14:textId="77777777" w:rsidR="00663F1D" w:rsidRDefault="00663F1D">
      <w:pPr>
        <w:spacing w:before="0" w:line="240" w:lineRule="auto"/>
      </w:pPr>
    </w:p>
    <w:p w14:paraId="07629B18" w14:textId="77777777" w:rsidR="00663F1D" w:rsidRDefault="00663F1D"/>
  </w:footnote>
  <w:footnote w:id="2">
    <w:p w14:paraId="16FB5725" w14:textId="77777777" w:rsidR="00796B41" w:rsidRDefault="00796B41" w:rsidP="00094C4B">
      <w:pPr>
        <w:pStyle w:val="FootnoteText"/>
      </w:pPr>
      <w:r>
        <w:rPr>
          <w:rStyle w:val="FootnoteReference"/>
        </w:rPr>
        <w:footnoteRef/>
      </w:r>
      <w:r>
        <w:t xml:space="preserve"> The State of Victoria Department of Environment, Land, Water and Planning, Victoria’s climate Change Strategy, 2021, page 26</w:t>
      </w:r>
    </w:p>
  </w:footnote>
  <w:footnote w:id="3">
    <w:p w14:paraId="5A98EAD0" w14:textId="46883EE5" w:rsidR="00D23109" w:rsidRDefault="00D23109" w:rsidP="00094C4B">
      <w:pPr>
        <w:pStyle w:val="FootnoteText"/>
      </w:pPr>
      <w:r>
        <w:rPr>
          <w:rStyle w:val="FootnoteReference"/>
        </w:rPr>
        <w:footnoteRef/>
      </w:r>
      <w:r w:rsidR="002C20EC">
        <w:t xml:space="preserve"> NSW,</w:t>
      </w:r>
      <w:r>
        <w:t xml:space="preserve"> </w:t>
      </w:r>
      <w:r w:rsidR="004B4BD6">
        <w:t xml:space="preserve">Department of </w:t>
      </w:r>
      <w:r w:rsidR="00A613CC">
        <w:t>P</w:t>
      </w:r>
      <w:r w:rsidR="004B4BD6">
        <w:t xml:space="preserve">lanning, Industry and Environment, </w:t>
      </w:r>
      <w:r w:rsidR="00A613CC">
        <w:t>NSW Hydrogen Strategy, 2021, page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9A64" w14:textId="77777777" w:rsidR="00A5102B" w:rsidRDefault="00A5102B" w:rsidP="003A0403">
    <w:pPr>
      <w:pStyle w:val="Header"/>
    </w:pPr>
  </w:p>
</w:hdr>
</file>

<file path=word/intelligence2.xml><?xml version="1.0" encoding="utf-8"?>
<int2:intelligence xmlns:int2="http://schemas.microsoft.com/office/intelligence/2020/intelligence" xmlns:oel="http://schemas.microsoft.com/office/2019/extlst">
  <int2:observations>
    <int2:textHash int2:hashCode="XvtKwiEvEJ68iJ" int2:id="YaWqStcL">
      <int2:state int2:value="Rejected" int2:type="AugLoop_Text_Critique"/>
    </int2:textHash>
    <int2:bookmark int2:bookmarkName="_Int_W3xwOJPS" int2:invalidationBookmarkName="" int2:hashCode="hkxC5IEhB1SQUc" int2:id="2pnDsAjk">
      <int2:state int2:value="Rejected" int2:type="AugLoop_Acronyms_AcronymsCritique"/>
    </int2:bookmark>
    <int2:bookmark int2:bookmarkName="_Int_LnE12loh" int2:invalidationBookmarkName="" int2:hashCode="6X/4wpXdfDElP/" int2:id="HGXfkOKJ">
      <int2:state int2:value="Rejected" int2:type="AugLoop_Text_Critique"/>
    </int2:bookmark>
    <int2:bookmark int2:bookmarkName="_Int_KDk3QHMu" int2:invalidationBookmarkName="" int2:hashCode="z3xCiY9nE5gQxu" int2:id="dAGsoRm3">
      <int2:state int2:value="Rejected" int2:type="AugLoop_Text_Critique"/>
    </int2:bookmark>
    <int2:bookmark int2:bookmarkName="_Int_F4Vs32x0" int2:invalidationBookmarkName="" int2:hashCode="wf3MelLj21bA7j" int2:id="g1R4uBUu">
      <int2:state int2:value="Rejected" int2:type="AugLoop_Acronyms_AcronymsCritique"/>
    </int2:bookmark>
    <int2:bookmark int2:bookmarkName="_Int_EtJnOBlC" int2:invalidationBookmarkName="" int2:hashCode="9vOfv2eNTAPKcv" int2:id="shyHW50J">
      <int2:state int2:value="Rejected" int2:type="AugLoop_Text_Critique"/>
    </int2:bookmark>
    <int2:bookmark int2:bookmarkName="_Int_vlM5b573" int2:invalidationBookmarkName="" int2:hashCode="0JQeaNqPOBUf+G" int2:id="vnp2Y8X4">
      <int2:state int2:value="Rejected" int2:type="AugLoop_Text_Critique"/>
    </int2:bookmark>
    <int2:bookmark int2:bookmarkName="_Int_9ZxaB2mU" int2:invalidationBookmarkName="" int2:hashCode="aIyh/y44AOyh6+" int2:id="zQ2P84vl">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3D7BB4"/>
    <w:multiLevelType w:val="multilevel"/>
    <w:tmpl w:val="254084B6"/>
    <w:styleLink w:val="CGCConsultQuestion"/>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FF88A682"/>
    <w:lvl w:ilvl="0" w:tplc="688A12D0">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684DEEA"/>
    <w:lvl w:ilvl="0" w:tplc="618CD48E">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3A460F2E"/>
    <w:lvl w:ilvl="0" w:tplc="FFFFFFFF">
      <w:start w:val="1"/>
      <w:numFmt w:val="decimal"/>
      <w:pStyle w:val="CGCParaNumber"/>
      <w:lvlText w:val="%1"/>
      <w:lvlJc w:val="left"/>
      <w:pPr>
        <w:ind w:left="1069" w:hanging="360"/>
      </w:pPr>
    </w:lvl>
    <w:lvl w:ilvl="1" w:tplc="0C090001">
      <w:start w:val="1"/>
      <w:numFmt w:val="bullet"/>
      <w:lvlText w:val=""/>
      <w:lvlJc w:val="left"/>
      <w:pPr>
        <w:ind w:left="2007" w:hanging="360"/>
      </w:pPr>
      <w:rPr>
        <w:rFonts w:ascii="Symbol" w:hAnsi="Symbo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B2939A1"/>
    <w:multiLevelType w:val="hybridMultilevel"/>
    <w:tmpl w:val="7E0644A6"/>
    <w:lvl w:ilvl="0" w:tplc="A72CF2B4">
      <w:start w:val="1"/>
      <w:numFmt w:val="lowerLetter"/>
      <w:lvlText w:val="(%1)"/>
      <w:lvlJc w:val="left"/>
      <w:pPr>
        <w:ind w:left="2379" w:hanging="450"/>
      </w:pPr>
      <w:rPr>
        <w:rFonts w:hint="default"/>
      </w:rPr>
    </w:lvl>
    <w:lvl w:ilvl="1" w:tplc="0C090019" w:tentative="1">
      <w:start w:val="1"/>
      <w:numFmt w:val="lowerLetter"/>
      <w:lvlText w:val="%2."/>
      <w:lvlJc w:val="left"/>
      <w:pPr>
        <w:ind w:left="3009" w:hanging="360"/>
      </w:pPr>
    </w:lvl>
    <w:lvl w:ilvl="2" w:tplc="0C09001B" w:tentative="1">
      <w:start w:val="1"/>
      <w:numFmt w:val="lowerRoman"/>
      <w:lvlText w:val="%3."/>
      <w:lvlJc w:val="right"/>
      <w:pPr>
        <w:ind w:left="3729" w:hanging="180"/>
      </w:pPr>
    </w:lvl>
    <w:lvl w:ilvl="3" w:tplc="0C09000F" w:tentative="1">
      <w:start w:val="1"/>
      <w:numFmt w:val="decimal"/>
      <w:lvlText w:val="%4."/>
      <w:lvlJc w:val="left"/>
      <w:pPr>
        <w:ind w:left="4449" w:hanging="360"/>
      </w:pPr>
    </w:lvl>
    <w:lvl w:ilvl="4" w:tplc="0C090019" w:tentative="1">
      <w:start w:val="1"/>
      <w:numFmt w:val="lowerLetter"/>
      <w:lvlText w:val="%5."/>
      <w:lvlJc w:val="left"/>
      <w:pPr>
        <w:ind w:left="5169" w:hanging="360"/>
      </w:pPr>
    </w:lvl>
    <w:lvl w:ilvl="5" w:tplc="0C09001B" w:tentative="1">
      <w:start w:val="1"/>
      <w:numFmt w:val="lowerRoman"/>
      <w:lvlText w:val="%6."/>
      <w:lvlJc w:val="right"/>
      <w:pPr>
        <w:ind w:left="5889" w:hanging="180"/>
      </w:pPr>
    </w:lvl>
    <w:lvl w:ilvl="6" w:tplc="0C09000F" w:tentative="1">
      <w:start w:val="1"/>
      <w:numFmt w:val="decimal"/>
      <w:lvlText w:val="%7."/>
      <w:lvlJc w:val="left"/>
      <w:pPr>
        <w:ind w:left="6609" w:hanging="360"/>
      </w:pPr>
    </w:lvl>
    <w:lvl w:ilvl="7" w:tplc="0C090019" w:tentative="1">
      <w:start w:val="1"/>
      <w:numFmt w:val="lowerLetter"/>
      <w:lvlText w:val="%8."/>
      <w:lvlJc w:val="left"/>
      <w:pPr>
        <w:ind w:left="7329" w:hanging="360"/>
      </w:pPr>
    </w:lvl>
    <w:lvl w:ilvl="8" w:tplc="0C09001B" w:tentative="1">
      <w:start w:val="1"/>
      <w:numFmt w:val="lowerRoman"/>
      <w:lvlText w:val="%9."/>
      <w:lvlJc w:val="right"/>
      <w:pPr>
        <w:ind w:left="8049" w:hanging="180"/>
      </w:pPr>
    </w:lvl>
  </w:abstractNum>
  <w:abstractNum w:abstractNumId="8"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5C5D7E"/>
    <w:multiLevelType w:val="hybridMultilevel"/>
    <w:tmpl w:val="C46864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0DA5239"/>
    <w:multiLevelType w:val="hybridMultilevel"/>
    <w:tmpl w:val="1922A1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3"/>
  </w:num>
  <w:num w:numId="3" w16cid:durableId="1334529044">
    <w:abstractNumId w:val="3"/>
  </w:num>
  <w:num w:numId="4" w16cid:durableId="1514761234">
    <w:abstractNumId w:val="2"/>
  </w:num>
  <w:num w:numId="5" w16cid:durableId="920797300">
    <w:abstractNumId w:val="0"/>
  </w:num>
  <w:num w:numId="6" w16cid:durableId="1807814447">
    <w:abstractNumId w:val="11"/>
  </w:num>
  <w:num w:numId="7" w16cid:durableId="801770153">
    <w:abstractNumId w:val="6"/>
  </w:num>
  <w:num w:numId="8" w16cid:durableId="1737627722">
    <w:abstractNumId w:val="12"/>
  </w:num>
  <w:num w:numId="9" w16cid:durableId="176697617">
    <w:abstractNumId w:val="1"/>
  </w:num>
  <w:num w:numId="10" w16cid:durableId="145897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126907">
    <w:abstractNumId w:val="8"/>
  </w:num>
  <w:num w:numId="12" w16cid:durableId="58332428">
    <w:abstractNumId w:val="5"/>
  </w:num>
  <w:num w:numId="13" w16cid:durableId="1632200656">
    <w:abstractNumId w:val="9"/>
  </w:num>
  <w:num w:numId="14" w16cid:durableId="517038712">
    <w:abstractNumId w:val="10"/>
  </w:num>
  <w:num w:numId="15" w16cid:durableId="1942102604">
    <w:abstractNumId w:val="6"/>
  </w:num>
  <w:num w:numId="16" w16cid:durableId="1659993719">
    <w:abstractNumId w:val="6"/>
  </w:num>
  <w:num w:numId="17" w16cid:durableId="1926572169">
    <w:abstractNumId w:val="6"/>
  </w:num>
  <w:num w:numId="18" w16cid:durableId="1632857586">
    <w:abstractNumId w:val="3"/>
  </w:num>
  <w:num w:numId="19" w16cid:durableId="1581283678">
    <w:abstractNumId w:val="3"/>
  </w:num>
  <w:num w:numId="20" w16cid:durableId="721517063">
    <w:abstractNumId w:val="3"/>
  </w:num>
  <w:num w:numId="21" w16cid:durableId="1345747976">
    <w:abstractNumId w:val="7"/>
  </w:num>
  <w:num w:numId="22" w16cid:durableId="1969236401">
    <w:abstractNumId w:val="6"/>
  </w:num>
  <w:num w:numId="23" w16cid:durableId="239945914">
    <w:abstractNumId w:val="3"/>
  </w:num>
  <w:num w:numId="24" w16cid:durableId="901448067">
    <w:abstractNumId w:val="3"/>
  </w:num>
  <w:num w:numId="25" w16cid:durableId="1217471256">
    <w:abstractNumId w:val="3"/>
  </w:num>
  <w:num w:numId="26" w16cid:durableId="1359893580">
    <w:abstractNumId w:val="5"/>
  </w:num>
  <w:num w:numId="27" w16cid:durableId="1996520388">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D7"/>
    <w:rsid w:val="00000AB2"/>
    <w:rsid w:val="00000C9F"/>
    <w:rsid w:val="00000D92"/>
    <w:rsid w:val="00001078"/>
    <w:rsid w:val="0000137A"/>
    <w:rsid w:val="00001400"/>
    <w:rsid w:val="0000146C"/>
    <w:rsid w:val="000014F2"/>
    <w:rsid w:val="00001882"/>
    <w:rsid w:val="000019C0"/>
    <w:rsid w:val="00001D6F"/>
    <w:rsid w:val="00001DA2"/>
    <w:rsid w:val="00001E8B"/>
    <w:rsid w:val="00002144"/>
    <w:rsid w:val="0000214A"/>
    <w:rsid w:val="00002356"/>
    <w:rsid w:val="000025E6"/>
    <w:rsid w:val="00002923"/>
    <w:rsid w:val="00002F86"/>
    <w:rsid w:val="000032B9"/>
    <w:rsid w:val="000036D8"/>
    <w:rsid w:val="000042F1"/>
    <w:rsid w:val="000043F9"/>
    <w:rsid w:val="000046DC"/>
    <w:rsid w:val="00004719"/>
    <w:rsid w:val="0000485A"/>
    <w:rsid w:val="00004C67"/>
    <w:rsid w:val="000053F8"/>
    <w:rsid w:val="00005D65"/>
    <w:rsid w:val="00005EEE"/>
    <w:rsid w:val="0000618C"/>
    <w:rsid w:val="0000642A"/>
    <w:rsid w:val="0000648D"/>
    <w:rsid w:val="000069F9"/>
    <w:rsid w:val="00006C9A"/>
    <w:rsid w:val="00006E30"/>
    <w:rsid w:val="00006F3D"/>
    <w:rsid w:val="00007639"/>
    <w:rsid w:val="00007899"/>
    <w:rsid w:val="000079E8"/>
    <w:rsid w:val="00007A55"/>
    <w:rsid w:val="00007AB8"/>
    <w:rsid w:val="00007FD5"/>
    <w:rsid w:val="000105A1"/>
    <w:rsid w:val="00010711"/>
    <w:rsid w:val="0001082D"/>
    <w:rsid w:val="00010B75"/>
    <w:rsid w:val="00010CEC"/>
    <w:rsid w:val="00010F5B"/>
    <w:rsid w:val="00011BB3"/>
    <w:rsid w:val="00011C73"/>
    <w:rsid w:val="00011D1A"/>
    <w:rsid w:val="00011DA8"/>
    <w:rsid w:val="00011F7D"/>
    <w:rsid w:val="000120A6"/>
    <w:rsid w:val="0001218F"/>
    <w:rsid w:val="000122D4"/>
    <w:rsid w:val="00012952"/>
    <w:rsid w:val="00012AC0"/>
    <w:rsid w:val="00012B67"/>
    <w:rsid w:val="00012C74"/>
    <w:rsid w:val="00013321"/>
    <w:rsid w:val="00013B63"/>
    <w:rsid w:val="00013DED"/>
    <w:rsid w:val="00013E6F"/>
    <w:rsid w:val="000141E3"/>
    <w:rsid w:val="00014864"/>
    <w:rsid w:val="000148C5"/>
    <w:rsid w:val="0001491F"/>
    <w:rsid w:val="00014AE2"/>
    <w:rsid w:val="00014CB0"/>
    <w:rsid w:val="000150BF"/>
    <w:rsid w:val="0001522A"/>
    <w:rsid w:val="00015283"/>
    <w:rsid w:val="00015500"/>
    <w:rsid w:val="000156B2"/>
    <w:rsid w:val="00015818"/>
    <w:rsid w:val="00015A97"/>
    <w:rsid w:val="00015C57"/>
    <w:rsid w:val="00015D0B"/>
    <w:rsid w:val="000162E7"/>
    <w:rsid w:val="000165B8"/>
    <w:rsid w:val="0001698B"/>
    <w:rsid w:val="00016C62"/>
    <w:rsid w:val="00016FE0"/>
    <w:rsid w:val="00016FE9"/>
    <w:rsid w:val="00017640"/>
    <w:rsid w:val="000176D7"/>
    <w:rsid w:val="00017705"/>
    <w:rsid w:val="0001770B"/>
    <w:rsid w:val="000178EF"/>
    <w:rsid w:val="00017C44"/>
    <w:rsid w:val="00017D63"/>
    <w:rsid w:val="00017E5B"/>
    <w:rsid w:val="00017EB6"/>
    <w:rsid w:val="0002041C"/>
    <w:rsid w:val="000204C9"/>
    <w:rsid w:val="0002075D"/>
    <w:rsid w:val="00020799"/>
    <w:rsid w:val="00020D21"/>
    <w:rsid w:val="00020EA3"/>
    <w:rsid w:val="00020F57"/>
    <w:rsid w:val="000213FE"/>
    <w:rsid w:val="00021727"/>
    <w:rsid w:val="00021827"/>
    <w:rsid w:val="00021C3B"/>
    <w:rsid w:val="00021C7A"/>
    <w:rsid w:val="00021E88"/>
    <w:rsid w:val="00022386"/>
    <w:rsid w:val="00022C1B"/>
    <w:rsid w:val="00022CE0"/>
    <w:rsid w:val="00022EA9"/>
    <w:rsid w:val="00023068"/>
    <w:rsid w:val="00023137"/>
    <w:rsid w:val="0002381F"/>
    <w:rsid w:val="00023967"/>
    <w:rsid w:val="00023B03"/>
    <w:rsid w:val="00023BDB"/>
    <w:rsid w:val="00024069"/>
    <w:rsid w:val="0002411E"/>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D6"/>
    <w:rsid w:val="000274F7"/>
    <w:rsid w:val="00027557"/>
    <w:rsid w:val="000275BA"/>
    <w:rsid w:val="00027ABE"/>
    <w:rsid w:val="00030205"/>
    <w:rsid w:val="00030516"/>
    <w:rsid w:val="00030595"/>
    <w:rsid w:val="00030629"/>
    <w:rsid w:val="00030E66"/>
    <w:rsid w:val="00031648"/>
    <w:rsid w:val="00031AFE"/>
    <w:rsid w:val="00031B76"/>
    <w:rsid w:val="00031CF4"/>
    <w:rsid w:val="00032117"/>
    <w:rsid w:val="0003211F"/>
    <w:rsid w:val="00032318"/>
    <w:rsid w:val="00032544"/>
    <w:rsid w:val="000326F5"/>
    <w:rsid w:val="000327F7"/>
    <w:rsid w:val="00032856"/>
    <w:rsid w:val="000328A8"/>
    <w:rsid w:val="00032F41"/>
    <w:rsid w:val="00033347"/>
    <w:rsid w:val="0003335B"/>
    <w:rsid w:val="000335BE"/>
    <w:rsid w:val="000338C9"/>
    <w:rsid w:val="00033A71"/>
    <w:rsid w:val="00033C0D"/>
    <w:rsid w:val="0003409C"/>
    <w:rsid w:val="00034622"/>
    <w:rsid w:val="00034916"/>
    <w:rsid w:val="00034DBB"/>
    <w:rsid w:val="00034F08"/>
    <w:rsid w:val="000355D9"/>
    <w:rsid w:val="0003561E"/>
    <w:rsid w:val="000363C5"/>
    <w:rsid w:val="000364E9"/>
    <w:rsid w:val="0003676C"/>
    <w:rsid w:val="00036C51"/>
    <w:rsid w:val="00036F1C"/>
    <w:rsid w:val="000370C8"/>
    <w:rsid w:val="000372BA"/>
    <w:rsid w:val="000376F8"/>
    <w:rsid w:val="00040135"/>
    <w:rsid w:val="00040571"/>
    <w:rsid w:val="00040601"/>
    <w:rsid w:val="00040CCA"/>
    <w:rsid w:val="00040D48"/>
    <w:rsid w:val="000410C8"/>
    <w:rsid w:val="0004123E"/>
    <w:rsid w:val="00041299"/>
    <w:rsid w:val="00041748"/>
    <w:rsid w:val="00041E1B"/>
    <w:rsid w:val="00041E84"/>
    <w:rsid w:val="000424EA"/>
    <w:rsid w:val="0004258C"/>
    <w:rsid w:val="00042639"/>
    <w:rsid w:val="00043B5D"/>
    <w:rsid w:val="00043CFE"/>
    <w:rsid w:val="000442AA"/>
    <w:rsid w:val="00044479"/>
    <w:rsid w:val="0004456B"/>
    <w:rsid w:val="000451DA"/>
    <w:rsid w:val="0004569D"/>
    <w:rsid w:val="00045891"/>
    <w:rsid w:val="00045AD4"/>
    <w:rsid w:val="00045C11"/>
    <w:rsid w:val="00045F82"/>
    <w:rsid w:val="00046119"/>
    <w:rsid w:val="00046305"/>
    <w:rsid w:val="00046397"/>
    <w:rsid w:val="000465BD"/>
    <w:rsid w:val="00046859"/>
    <w:rsid w:val="000468C6"/>
    <w:rsid w:val="00046B06"/>
    <w:rsid w:val="000470A2"/>
    <w:rsid w:val="00047690"/>
    <w:rsid w:val="00047856"/>
    <w:rsid w:val="00047951"/>
    <w:rsid w:val="00047AB0"/>
    <w:rsid w:val="00047DF1"/>
    <w:rsid w:val="00047E5A"/>
    <w:rsid w:val="0005017B"/>
    <w:rsid w:val="000508BC"/>
    <w:rsid w:val="000508D3"/>
    <w:rsid w:val="0005095C"/>
    <w:rsid w:val="00051114"/>
    <w:rsid w:val="0005178C"/>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56"/>
    <w:rsid w:val="000555DB"/>
    <w:rsid w:val="00055A2D"/>
    <w:rsid w:val="00055D24"/>
    <w:rsid w:val="00056371"/>
    <w:rsid w:val="00056373"/>
    <w:rsid w:val="000569CD"/>
    <w:rsid w:val="00056E89"/>
    <w:rsid w:val="00057578"/>
    <w:rsid w:val="00057762"/>
    <w:rsid w:val="00057AED"/>
    <w:rsid w:val="00057D13"/>
    <w:rsid w:val="00057DF7"/>
    <w:rsid w:val="00060130"/>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371D"/>
    <w:rsid w:val="000641EB"/>
    <w:rsid w:val="00064557"/>
    <w:rsid w:val="000648E8"/>
    <w:rsid w:val="00064CE5"/>
    <w:rsid w:val="0006519E"/>
    <w:rsid w:val="000651D2"/>
    <w:rsid w:val="000653F5"/>
    <w:rsid w:val="000656EC"/>
    <w:rsid w:val="000657A7"/>
    <w:rsid w:val="00065BF3"/>
    <w:rsid w:val="000665AB"/>
    <w:rsid w:val="0006667B"/>
    <w:rsid w:val="00066C63"/>
    <w:rsid w:val="00066D82"/>
    <w:rsid w:val="00066E63"/>
    <w:rsid w:val="00066F8C"/>
    <w:rsid w:val="00066FC9"/>
    <w:rsid w:val="000671DD"/>
    <w:rsid w:val="000679BC"/>
    <w:rsid w:val="000702C3"/>
    <w:rsid w:val="00070635"/>
    <w:rsid w:val="00070B45"/>
    <w:rsid w:val="00070B73"/>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4077"/>
    <w:rsid w:val="000747C7"/>
    <w:rsid w:val="00074D1D"/>
    <w:rsid w:val="00075051"/>
    <w:rsid w:val="00075593"/>
    <w:rsid w:val="0007582F"/>
    <w:rsid w:val="00076434"/>
    <w:rsid w:val="0007692A"/>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126"/>
    <w:rsid w:val="00082971"/>
    <w:rsid w:val="00082D45"/>
    <w:rsid w:val="00082DEF"/>
    <w:rsid w:val="00083022"/>
    <w:rsid w:val="00083837"/>
    <w:rsid w:val="00083842"/>
    <w:rsid w:val="00083B06"/>
    <w:rsid w:val="000840C3"/>
    <w:rsid w:val="00084494"/>
    <w:rsid w:val="0008456B"/>
    <w:rsid w:val="000847BF"/>
    <w:rsid w:val="00084EE0"/>
    <w:rsid w:val="000854C2"/>
    <w:rsid w:val="000855F4"/>
    <w:rsid w:val="00085729"/>
    <w:rsid w:val="00085D0E"/>
    <w:rsid w:val="00085EA1"/>
    <w:rsid w:val="00086045"/>
    <w:rsid w:val="000861D9"/>
    <w:rsid w:val="00086336"/>
    <w:rsid w:val="00086678"/>
    <w:rsid w:val="0008677E"/>
    <w:rsid w:val="000867DC"/>
    <w:rsid w:val="000869E1"/>
    <w:rsid w:val="000869F6"/>
    <w:rsid w:val="00086A5C"/>
    <w:rsid w:val="00086B04"/>
    <w:rsid w:val="00086C42"/>
    <w:rsid w:val="00086D2F"/>
    <w:rsid w:val="00086E69"/>
    <w:rsid w:val="00086EBC"/>
    <w:rsid w:val="00087365"/>
    <w:rsid w:val="0008779D"/>
    <w:rsid w:val="0008798D"/>
    <w:rsid w:val="00087DAB"/>
    <w:rsid w:val="00087F7D"/>
    <w:rsid w:val="00087FC4"/>
    <w:rsid w:val="0009003A"/>
    <w:rsid w:val="00090362"/>
    <w:rsid w:val="0009089D"/>
    <w:rsid w:val="00090DBA"/>
    <w:rsid w:val="000910DA"/>
    <w:rsid w:val="00091AB4"/>
    <w:rsid w:val="00091AD2"/>
    <w:rsid w:val="00091C4F"/>
    <w:rsid w:val="00091D6E"/>
    <w:rsid w:val="000928AF"/>
    <w:rsid w:val="00092AB7"/>
    <w:rsid w:val="00093188"/>
    <w:rsid w:val="000932D8"/>
    <w:rsid w:val="00093603"/>
    <w:rsid w:val="00093796"/>
    <w:rsid w:val="00093910"/>
    <w:rsid w:val="000939CA"/>
    <w:rsid w:val="00094010"/>
    <w:rsid w:val="000943A8"/>
    <w:rsid w:val="00094531"/>
    <w:rsid w:val="0009466C"/>
    <w:rsid w:val="00094676"/>
    <w:rsid w:val="00094C4B"/>
    <w:rsid w:val="000950A8"/>
    <w:rsid w:val="0009527C"/>
    <w:rsid w:val="000954EF"/>
    <w:rsid w:val="00095632"/>
    <w:rsid w:val="0009567D"/>
    <w:rsid w:val="0009569E"/>
    <w:rsid w:val="0009650F"/>
    <w:rsid w:val="00096616"/>
    <w:rsid w:val="00096896"/>
    <w:rsid w:val="000969F1"/>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9F"/>
    <w:rsid w:val="000A17C5"/>
    <w:rsid w:val="000A17F1"/>
    <w:rsid w:val="000A1922"/>
    <w:rsid w:val="000A1B09"/>
    <w:rsid w:val="000A1C47"/>
    <w:rsid w:val="000A1DED"/>
    <w:rsid w:val="000A2395"/>
    <w:rsid w:val="000A2E24"/>
    <w:rsid w:val="000A3130"/>
    <w:rsid w:val="000A336C"/>
    <w:rsid w:val="000A346F"/>
    <w:rsid w:val="000A3898"/>
    <w:rsid w:val="000A3C2F"/>
    <w:rsid w:val="000A487A"/>
    <w:rsid w:val="000A48F1"/>
    <w:rsid w:val="000A52A1"/>
    <w:rsid w:val="000A5824"/>
    <w:rsid w:val="000A5DB9"/>
    <w:rsid w:val="000A633D"/>
    <w:rsid w:val="000A6389"/>
    <w:rsid w:val="000A638C"/>
    <w:rsid w:val="000A6392"/>
    <w:rsid w:val="000A646A"/>
    <w:rsid w:val="000A6922"/>
    <w:rsid w:val="000A74C3"/>
    <w:rsid w:val="000A756F"/>
    <w:rsid w:val="000A7AA9"/>
    <w:rsid w:val="000A7C5E"/>
    <w:rsid w:val="000A7E55"/>
    <w:rsid w:val="000A7E96"/>
    <w:rsid w:val="000B08F0"/>
    <w:rsid w:val="000B0A33"/>
    <w:rsid w:val="000B0C1B"/>
    <w:rsid w:val="000B0D24"/>
    <w:rsid w:val="000B0DE2"/>
    <w:rsid w:val="000B16CB"/>
    <w:rsid w:val="000B1905"/>
    <w:rsid w:val="000B2042"/>
    <w:rsid w:val="000B236D"/>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081"/>
    <w:rsid w:val="000B5227"/>
    <w:rsid w:val="000B53C0"/>
    <w:rsid w:val="000B53FD"/>
    <w:rsid w:val="000B56FE"/>
    <w:rsid w:val="000B5744"/>
    <w:rsid w:val="000B5861"/>
    <w:rsid w:val="000B5B36"/>
    <w:rsid w:val="000B5C2F"/>
    <w:rsid w:val="000B5D4C"/>
    <w:rsid w:val="000B6102"/>
    <w:rsid w:val="000B61DE"/>
    <w:rsid w:val="000B61E7"/>
    <w:rsid w:val="000B64E3"/>
    <w:rsid w:val="000B689B"/>
    <w:rsid w:val="000B73C6"/>
    <w:rsid w:val="000B7685"/>
    <w:rsid w:val="000B7AA5"/>
    <w:rsid w:val="000B7CB8"/>
    <w:rsid w:val="000B7DC3"/>
    <w:rsid w:val="000B7F93"/>
    <w:rsid w:val="000C06A4"/>
    <w:rsid w:val="000C074B"/>
    <w:rsid w:val="000C0BBD"/>
    <w:rsid w:val="000C0F3A"/>
    <w:rsid w:val="000C0FAC"/>
    <w:rsid w:val="000C1231"/>
    <w:rsid w:val="000C1575"/>
    <w:rsid w:val="000C1F18"/>
    <w:rsid w:val="000C2396"/>
    <w:rsid w:val="000C2987"/>
    <w:rsid w:val="000C2E8C"/>
    <w:rsid w:val="000C2EA9"/>
    <w:rsid w:val="000C3064"/>
    <w:rsid w:val="000C3088"/>
    <w:rsid w:val="000C32BB"/>
    <w:rsid w:val="000C330C"/>
    <w:rsid w:val="000C354C"/>
    <w:rsid w:val="000C3927"/>
    <w:rsid w:val="000C3B22"/>
    <w:rsid w:val="000C3D1B"/>
    <w:rsid w:val="000C4063"/>
    <w:rsid w:val="000C4BB7"/>
    <w:rsid w:val="000C4DFC"/>
    <w:rsid w:val="000C4F22"/>
    <w:rsid w:val="000C50B3"/>
    <w:rsid w:val="000C53E9"/>
    <w:rsid w:val="000C5486"/>
    <w:rsid w:val="000C5651"/>
    <w:rsid w:val="000C604F"/>
    <w:rsid w:val="000C6936"/>
    <w:rsid w:val="000C6E9F"/>
    <w:rsid w:val="000C7479"/>
    <w:rsid w:val="000C76F8"/>
    <w:rsid w:val="000C776D"/>
    <w:rsid w:val="000C782D"/>
    <w:rsid w:val="000C78D8"/>
    <w:rsid w:val="000C7AE7"/>
    <w:rsid w:val="000C7F62"/>
    <w:rsid w:val="000D01AA"/>
    <w:rsid w:val="000D09E2"/>
    <w:rsid w:val="000D0A89"/>
    <w:rsid w:val="000D0ACF"/>
    <w:rsid w:val="000D0B77"/>
    <w:rsid w:val="000D0BB6"/>
    <w:rsid w:val="000D0C8D"/>
    <w:rsid w:val="000D11CE"/>
    <w:rsid w:val="000D1354"/>
    <w:rsid w:val="000D149C"/>
    <w:rsid w:val="000D152A"/>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4B79"/>
    <w:rsid w:val="000D533D"/>
    <w:rsid w:val="000D535B"/>
    <w:rsid w:val="000D5667"/>
    <w:rsid w:val="000D571F"/>
    <w:rsid w:val="000D57A8"/>
    <w:rsid w:val="000D5C58"/>
    <w:rsid w:val="000D6303"/>
    <w:rsid w:val="000D65F5"/>
    <w:rsid w:val="000D6A06"/>
    <w:rsid w:val="000D6C93"/>
    <w:rsid w:val="000D70AE"/>
    <w:rsid w:val="000D70D7"/>
    <w:rsid w:val="000D763B"/>
    <w:rsid w:val="000D772C"/>
    <w:rsid w:val="000D7C54"/>
    <w:rsid w:val="000D7E36"/>
    <w:rsid w:val="000D7FC7"/>
    <w:rsid w:val="000E0210"/>
    <w:rsid w:val="000E08DA"/>
    <w:rsid w:val="000E0D88"/>
    <w:rsid w:val="000E1007"/>
    <w:rsid w:val="000E1757"/>
    <w:rsid w:val="000E1767"/>
    <w:rsid w:val="000E17A7"/>
    <w:rsid w:val="000E1940"/>
    <w:rsid w:val="000E1979"/>
    <w:rsid w:val="000E1A53"/>
    <w:rsid w:val="000E1B78"/>
    <w:rsid w:val="000E1BF9"/>
    <w:rsid w:val="000E1FDF"/>
    <w:rsid w:val="000E20EE"/>
    <w:rsid w:val="000E26C1"/>
    <w:rsid w:val="000E2A56"/>
    <w:rsid w:val="000E2AB8"/>
    <w:rsid w:val="000E3038"/>
    <w:rsid w:val="000E3109"/>
    <w:rsid w:val="000E311B"/>
    <w:rsid w:val="000E3592"/>
    <w:rsid w:val="000E35A0"/>
    <w:rsid w:val="000E3868"/>
    <w:rsid w:val="000E38BA"/>
    <w:rsid w:val="000E3BE1"/>
    <w:rsid w:val="000E3D68"/>
    <w:rsid w:val="000E3E15"/>
    <w:rsid w:val="000E41D5"/>
    <w:rsid w:val="000E423E"/>
    <w:rsid w:val="000E47B0"/>
    <w:rsid w:val="000E47F8"/>
    <w:rsid w:val="000E4EBC"/>
    <w:rsid w:val="000E4FBD"/>
    <w:rsid w:val="000E4FF4"/>
    <w:rsid w:val="000E5031"/>
    <w:rsid w:val="000E5404"/>
    <w:rsid w:val="000E5C21"/>
    <w:rsid w:val="000E6391"/>
    <w:rsid w:val="000E63B0"/>
    <w:rsid w:val="000E6774"/>
    <w:rsid w:val="000E6AA5"/>
    <w:rsid w:val="000E7041"/>
    <w:rsid w:val="000E798E"/>
    <w:rsid w:val="000E7BAB"/>
    <w:rsid w:val="000E7E22"/>
    <w:rsid w:val="000E7F56"/>
    <w:rsid w:val="000F0293"/>
    <w:rsid w:val="000F03DA"/>
    <w:rsid w:val="000F0674"/>
    <w:rsid w:val="000F0879"/>
    <w:rsid w:val="000F0AC1"/>
    <w:rsid w:val="000F0B55"/>
    <w:rsid w:val="000F190C"/>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003"/>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C4B"/>
    <w:rsid w:val="00100E6F"/>
    <w:rsid w:val="0010133D"/>
    <w:rsid w:val="001013EE"/>
    <w:rsid w:val="0010173F"/>
    <w:rsid w:val="001017E3"/>
    <w:rsid w:val="00101A3E"/>
    <w:rsid w:val="00101C90"/>
    <w:rsid w:val="00101F87"/>
    <w:rsid w:val="00102135"/>
    <w:rsid w:val="001021D7"/>
    <w:rsid w:val="0010221A"/>
    <w:rsid w:val="0010293A"/>
    <w:rsid w:val="00102A09"/>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C8D"/>
    <w:rsid w:val="00104EDD"/>
    <w:rsid w:val="0010507A"/>
    <w:rsid w:val="001053D9"/>
    <w:rsid w:val="0010567A"/>
    <w:rsid w:val="00105A17"/>
    <w:rsid w:val="00105C56"/>
    <w:rsid w:val="00105E6E"/>
    <w:rsid w:val="001060B0"/>
    <w:rsid w:val="001064A4"/>
    <w:rsid w:val="00106826"/>
    <w:rsid w:val="00106AB3"/>
    <w:rsid w:val="00106CB2"/>
    <w:rsid w:val="00106CEE"/>
    <w:rsid w:val="0010739F"/>
    <w:rsid w:val="00107B24"/>
    <w:rsid w:val="00107B43"/>
    <w:rsid w:val="00107E52"/>
    <w:rsid w:val="00110374"/>
    <w:rsid w:val="001103B6"/>
    <w:rsid w:val="00110417"/>
    <w:rsid w:val="0011048D"/>
    <w:rsid w:val="001107F1"/>
    <w:rsid w:val="00110996"/>
    <w:rsid w:val="00110DC5"/>
    <w:rsid w:val="0011178C"/>
    <w:rsid w:val="00111ABA"/>
    <w:rsid w:val="00111AE7"/>
    <w:rsid w:val="00111EC2"/>
    <w:rsid w:val="001120B0"/>
    <w:rsid w:val="001121D0"/>
    <w:rsid w:val="0011243C"/>
    <w:rsid w:val="001125AB"/>
    <w:rsid w:val="001125E7"/>
    <w:rsid w:val="00112988"/>
    <w:rsid w:val="001129C0"/>
    <w:rsid w:val="00112A57"/>
    <w:rsid w:val="00112CD2"/>
    <w:rsid w:val="00112CF0"/>
    <w:rsid w:val="00112E1E"/>
    <w:rsid w:val="00113538"/>
    <w:rsid w:val="001136C6"/>
    <w:rsid w:val="00113B67"/>
    <w:rsid w:val="0011408D"/>
    <w:rsid w:val="0011428D"/>
    <w:rsid w:val="001145AA"/>
    <w:rsid w:val="00114D9B"/>
    <w:rsid w:val="00114DA1"/>
    <w:rsid w:val="00114EA0"/>
    <w:rsid w:val="00114F65"/>
    <w:rsid w:val="00115672"/>
    <w:rsid w:val="001157AB"/>
    <w:rsid w:val="0011585E"/>
    <w:rsid w:val="00115A67"/>
    <w:rsid w:val="00115ADE"/>
    <w:rsid w:val="00115C9E"/>
    <w:rsid w:val="00116062"/>
    <w:rsid w:val="00116702"/>
    <w:rsid w:val="0011699D"/>
    <w:rsid w:val="00116D3E"/>
    <w:rsid w:val="00116EE4"/>
    <w:rsid w:val="0011729F"/>
    <w:rsid w:val="001172BD"/>
    <w:rsid w:val="001178E4"/>
    <w:rsid w:val="00117AA2"/>
    <w:rsid w:val="00117CFD"/>
    <w:rsid w:val="0012020C"/>
    <w:rsid w:val="0012029A"/>
    <w:rsid w:val="00120B1E"/>
    <w:rsid w:val="00120D56"/>
    <w:rsid w:val="00121042"/>
    <w:rsid w:val="001211AB"/>
    <w:rsid w:val="001214BE"/>
    <w:rsid w:val="001218B8"/>
    <w:rsid w:val="00121A72"/>
    <w:rsid w:val="00121F79"/>
    <w:rsid w:val="001220B7"/>
    <w:rsid w:val="00122457"/>
    <w:rsid w:val="00122774"/>
    <w:rsid w:val="00123325"/>
    <w:rsid w:val="001236DD"/>
    <w:rsid w:val="00123BC6"/>
    <w:rsid w:val="00123DA3"/>
    <w:rsid w:val="00124730"/>
    <w:rsid w:val="00124826"/>
    <w:rsid w:val="00124B73"/>
    <w:rsid w:val="00124ED1"/>
    <w:rsid w:val="00124F91"/>
    <w:rsid w:val="0012542D"/>
    <w:rsid w:val="0012561A"/>
    <w:rsid w:val="00125806"/>
    <w:rsid w:val="001258EF"/>
    <w:rsid w:val="001259BE"/>
    <w:rsid w:val="00125B33"/>
    <w:rsid w:val="001260B6"/>
    <w:rsid w:val="001260E3"/>
    <w:rsid w:val="00126201"/>
    <w:rsid w:val="001266EE"/>
    <w:rsid w:val="00126AD1"/>
    <w:rsid w:val="00126FB4"/>
    <w:rsid w:val="001272E6"/>
    <w:rsid w:val="00127687"/>
    <w:rsid w:val="001277C7"/>
    <w:rsid w:val="00127C8B"/>
    <w:rsid w:val="00127D7E"/>
    <w:rsid w:val="00127E95"/>
    <w:rsid w:val="0013019D"/>
    <w:rsid w:val="00130303"/>
    <w:rsid w:val="00130369"/>
    <w:rsid w:val="001307A8"/>
    <w:rsid w:val="00130DCA"/>
    <w:rsid w:val="001312CB"/>
    <w:rsid w:val="00131366"/>
    <w:rsid w:val="00131BAD"/>
    <w:rsid w:val="00131D5F"/>
    <w:rsid w:val="001322D2"/>
    <w:rsid w:val="00132503"/>
    <w:rsid w:val="00132E0B"/>
    <w:rsid w:val="001331C5"/>
    <w:rsid w:val="001333F9"/>
    <w:rsid w:val="00133C81"/>
    <w:rsid w:val="00133F08"/>
    <w:rsid w:val="00134146"/>
    <w:rsid w:val="00134222"/>
    <w:rsid w:val="001346A2"/>
    <w:rsid w:val="0013474C"/>
    <w:rsid w:val="001347D3"/>
    <w:rsid w:val="00134847"/>
    <w:rsid w:val="0013497E"/>
    <w:rsid w:val="00134FA3"/>
    <w:rsid w:val="00135080"/>
    <w:rsid w:val="001351C6"/>
    <w:rsid w:val="001354FA"/>
    <w:rsid w:val="001356C7"/>
    <w:rsid w:val="001357C6"/>
    <w:rsid w:val="00135917"/>
    <w:rsid w:val="0013601E"/>
    <w:rsid w:val="0013623B"/>
    <w:rsid w:val="00136247"/>
    <w:rsid w:val="00136497"/>
    <w:rsid w:val="001369BF"/>
    <w:rsid w:val="00136F29"/>
    <w:rsid w:val="00136F6F"/>
    <w:rsid w:val="001378C9"/>
    <w:rsid w:val="00137AAD"/>
    <w:rsid w:val="00137D90"/>
    <w:rsid w:val="00140D09"/>
    <w:rsid w:val="001414E0"/>
    <w:rsid w:val="00141BD1"/>
    <w:rsid w:val="001423B0"/>
    <w:rsid w:val="00142B21"/>
    <w:rsid w:val="00142B86"/>
    <w:rsid w:val="00142E46"/>
    <w:rsid w:val="00143228"/>
    <w:rsid w:val="001432A4"/>
    <w:rsid w:val="001438E0"/>
    <w:rsid w:val="00143B25"/>
    <w:rsid w:val="00143D52"/>
    <w:rsid w:val="00143F85"/>
    <w:rsid w:val="001441DA"/>
    <w:rsid w:val="00144A22"/>
    <w:rsid w:val="00144C8A"/>
    <w:rsid w:val="001455CC"/>
    <w:rsid w:val="00145604"/>
    <w:rsid w:val="0014616B"/>
    <w:rsid w:val="00146F3C"/>
    <w:rsid w:val="00147115"/>
    <w:rsid w:val="001471DD"/>
    <w:rsid w:val="00147232"/>
    <w:rsid w:val="0014740D"/>
    <w:rsid w:val="00147461"/>
    <w:rsid w:val="001477CE"/>
    <w:rsid w:val="0014784F"/>
    <w:rsid w:val="001478AD"/>
    <w:rsid w:val="00147BCC"/>
    <w:rsid w:val="00147F4D"/>
    <w:rsid w:val="001503B2"/>
    <w:rsid w:val="0015040C"/>
    <w:rsid w:val="00150B89"/>
    <w:rsid w:val="00150C35"/>
    <w:rsid w:val="00150D9A"/>
    <w:rsid w:val="00150ECB"/>
    <w:rsid w:val="00151316"/>
    <w:rsid w:val="0015167D"/>
    <w:rsid w:val="001517E0"/>
    <w:rsid w:val="001519C7"/>
    <w:rsid w:val="00151DFB"/>
    <w:rsid w:val="00152123"/>
    <w:rsid w:val="0015233A"/>
    <w:rsid w:val="001524CF"/>
    <w:rsid w:val="00152611"/>
    <w:rsid w:val="00152807"/>
    <w:rsid w:val="00152BE0"/>
    <w:rsid w:val="00152C3D"/>
    <w:rsid w:val="00152ED6"/>
    <w:rsid w:val="00152FED"/>
    <w:rsid w:val="00153AA7"/>
    <w:rsid w:val="00153CA7"/>
    <w:rsid w:val="00153D48"/>
    <w:rsid w:val="00153F15"/>
    <w:rsid w:val="001549A0"/>
    <w:rsid w:val="00154A05"/>
    <w:rsid w:val="00154A35"/>
    <w:rsid w:val="00154A9A"/>
    <w:rsid w:val="001550A3"/>
    <w:rsid w:val="0015510B"/>
    <w:rsid w:val="00155469"/>
    <w:rsid w:val="00155746"/>
    <w:rsid w:val="001558B6"/>
    <w:rsid w:val="00155EAF"/>
    <w:rsid w:val="00156419"/>
    <w:rsid w:val="001565A9"/>
    <w:rsid w:val="0015686A"/>
    <w:rsid w:val="001568BE"/>
    <w:rsid w:val="00156C80"/>
    <w:rsid w:val="0015742B"/>
    <w:rsid w:val="001574A7"/>
    <w:rsid w:val="0015776C"/>
    <w:rsid w:val="001579DC"/>
    <w:rsid w:val="00157AD5"/>
    <w:rsid w:val="00157BA5"/>
    <w:rsid w:val="00157C91"/>
    <w:rsid w:val="00157CEB"/>
    <w:rsid w:val="00157F02"/>
    <w:rsid w:val="00160015"/>
    <w:rsid w:val="00160346"/>
    <w:rsid w:val="001604D5"/>
    <w:rsid w:val="001605EB"/>
    <w:rsid w:val="00160877"/>
    <w:rsid w:val="00160D13"/>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52C2"/>
    <w:rsid w:val="0016534B"/>
    <w:rsid w:val="001654B0"/>
    <w:rsid w:val="001657CF"/>
    <w:rsid w:val="00165907"/>
    <w:rsid w:val="00165FF0"/>
    <w:rsid w:val="00166098"/>
    <w:rsid w:val="001660AA"/>
    <w:rsid w:val="001664D6"/>
    <w:rsid w:val="00166742"/>
    <w:rsid w:val="0016688E"/>
    <w:rsid w:val="0016689D"/>
    <w:rsid w:val="00166A6B"/>
    <w:rsid w:val="00166BE5"/>
    <w:rsid w:val="00166E24"/>
    <w:rsid w:val="00166F83"/>
    <w:rsid w:val="00167169"/>
    <w:rsid w:val="0016723A"/>
    <w:rsid w:val="001672D1"/>
    <w:rsid w:val="00167335"/>
    <w:rsid w:val="00167369"/>
    <w:rsid w:val="001674FA"/>
    <w:rsid w:val="00167AA3"/>
    <w:rsid w:val="00170100"/>
    <w:rsid w:val="0017034B"/>
    <w:rsid w:val="001704CF"/>
    <w:rsid w:val="00170DC9"/>
    <w:rsid w:val="0017132F"/>
    <w:rsid w:val="00171335"/>
    <w:rsid w:val="0017181D"/>
    <w:rsid w:val="00171A05"/>
    <w:rsid w:val="00171D48"/>
    <w:rsid w:val="001725BB"/>
    <w:rsid w:val="00172E17"/>
    <w:rsid w:val="00172E28"/>
    <w:rsid w:val="00172EC4"/>
    <w:rsid w:val="00172F3A"/>
    <w:rsid w:val="001730A3"/>
    <w:rsid w:val="001730FD"/>
    <w:rsid w:val="0017311D"/>
    <w:rsid w:val="00173372"/>
    <w:rsid w:val="001735B1"/>
    <w:rsid w:val="00173798"/>
    <w:rsid w:val="00173BD2"/>
    <w:rsid w:val="00173BE6"/>
    <w:rsid w:val="00173DA5"/>
    <w:rsid w:val="00173E72"/>
    <w:rsid w:val="00173E9E"/>
    <w:rsid w:val="00174762"/>
    <w:rsid w:val="00175209"/>
    <w:rsid w:val="00175460"/>
    <w:rsid w:val="00175611"/>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7C0"/>
    <w:rsid w:val="00180907"/>
    <w:rsid w:val="00180935"/>
    <w:rsid w:val="00180A23"/>
    <w:rsid w:val="00180B76"/>
    <w:rsid w:val="00180BE8"/>
    <w:rsid w:val="00180D78"/>
    <w:rsid w:val="001811DE"/>
    <w:rsid w:val="001818CC"/>
    <w:rsid w:val="00181B43"/>
    <w:rsid w:val="001822E6"/>
    <w:rsid w:val="00182487"/>
    <w:rsid w:val="001826CB"/>
    <w:rsid w:val="001827AC"/>
    <w:rsid w:val="00182899"/>
    <w:rsid w:val="001831E8"/>
    <w:rsid w:val="001832B0"/>
    <w:rsid w:val="0018349C"/>
    <w:rsid w:val="00183562"/>
    <w:rsid w:val="00183649"/>
    <w:rsid w:val="00183970"/>
    <w:rsid w:val="00183B12"/>
    <w:rsid w:val="00183C19"/>
    <w:rsid w:val="001841B9"/>
    <w:rsid w:val="001843C4"/>
    <w:rsid w:val="00184519"/>
    <w:rsid w:val="001845F7"/>
    <w:rsid w:val="00184A83"/>
    <w:rsid w:val="00185037"/>
    <w:rsid w:val="00185051"/>
    <w:rsid w:val="00185133"/>
    <w:rsid w:val="0018537D"/>
    <w:rsid w:val="001853A5"/>
    <w:rsid w:val="00185A8A"/>
    <w:rsid w:val="001862DA"/>
    <w:rsid w:val="001866D1"/>
    <w:rsid w:val="001868A3"/>
    <w:rsid w:val="00186A8A"/>
    <w:rsid w:val="00186B50"/>
    <w:rsid w:val="00186EB8"/>
    <w:rsid w:val="00187145"/>
    <w:rsid w:val="00187467"/>
    <w:rsid w:val="001874F4"/>
    <w:rsid w:val="00187613"/>
    <w:rsid w:val="001877E1"/>
    <w:rsid w:val="00187B26"/>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DB4"/>
    <w:rsid w:val="00194FCC"/>
    <w:rsid w:val="00195476"/>
    <w:rsid w:val="00195716"/>
    <w:rsid w:val="00195CD2"/>
    <w:rsid w:val="00195ED6"/>
    <w:rsid w:val="00196167"/>
    <w:rsid w:val="0019620C"/>
    <w:rsid w:val="00196526"/>
    <w:rsid w:val="00196594"/>
    <w:rsid w:val="00196963"/>
    <w:rsid w:val="00196B93"/>
    <w:rsid w:val="00196BA3"/>
    <w:rsid w:val="001970F9"/>
    <w:rsid w:val="00197350"/>
    <w:rsid w:val="00197BC3"/>
    <w:rsid w:val="00197DCD"/>
    <w:rsid w:val="00197FC7"/>
    <w:rsid w:val="001A0968"/>
    <w:rsid w:val="001A0F0C"/>
    <w:rsid w:val="001A1641"/>
    <w:rsid w:val="001A1720"/>
    <w:rsid w:val="001A192B"/>
    <w:rsid w:val="001A1B43"/>
    <w:rsid w:val="001A1C27"/>
    <w:rsid w:val="001A1CA1"/>
    <w:rsid w:val="001A2109"/>
    <w:rsid w:val="001A22A5"/>
    <w:rsid w:val="001A2466"/>
    <w:rsid w:val="001A26F5"/>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C72"/>
    <w:rsid w:val="001A5D64"/>
    <w:rsid w:val="001A620B"/>
    <w:rsid w:val="001A63F2"/>
    <w:rsid w:val="001A6496"/>
    <w:rsid w:val="001A6575"/>
    <w:rsid w:val="001A69B4"/>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115"/>
    <w:rsid w:val="001B1324"/>
    <w:rsid w:val="001B1729"/>
    <w:rsid w:val="001B1C9A"/>
    <w:rsid w:val="001B1D3D"/>
    <w:rsid w:val="001B1FAD"/>
    <w:rsid w:val="001B27CE"/>
    <w:rsid w:val="001B3048"/>
    <w:rsid w:val="001B3961"/>
    <w:rsid w:val="001B40CB"/>
    <w:rsid w:val="001B40E7"/>
    <w:rsid w:val="001B42E4"/>
    <w:rsid w:val="001B436F"/>
    <w:rsid w:val="001B4E90"/>
    <w:rsid w:val="001B5070"/>
    <w:rsid w:val="001B5291"/>
    <w:rsid w:val="001B563F"/>
    <w:rsid w:val="001B571B"/>
    <w:rsid w:val="001B582D"/>
    <w:rsid w:val="001B5890"/>
    <w:rsid w:val="001B59A9"/>
    <w:rsid w:val="001B5C8D"/>
    <w:rsid w:val="001B5D3A"/>
    <w:rsid w:val="001B5D41"/>
    <w:rsid w:val="001B5EB0"/>
    <w:rsid w:val="001B6205"/>
    <w:rsid w:val="001B6421"/>
    <w:rsid w:val="001B691A"/>
    <w:rsid w:val="001B696E"/>
    <w:rsid w:val="001B6A56"/>
    <w:rsid w:val="001B7191"/>
    <w:rsid w:val="001B71B9"/>
    <w:rsid w:val="001B7243"/>
    <w:rsid w:val="001B76A8"/>
    <w:rsid w:val="001B782D"/>
    <w:rsid w:val="001C00F2"/>
    <w:rsid w:val="001C0585"/>
    <w:rsid w:val="001C05BE"/>
    <w:rsid w:val="001C0963"/>
    <w:rsid w:val="001C09D9"/>
    <w:rsid w:val="001C1121"/>
    <w:rsid w:val="001C14EA"/>
    <w:rsid w:val="001C1A14"/>
    <w:rsid w:val="001C1AC5"/>
    <w:rsid w:val="001C1DE7"/>
    <w:rsid w:val="001C1FC8"/>
    <w:rsid w:val="001C202D"/>
    <w:rsid w:val="001C21A2"/>
    <w:rsid w:val="001C22BD"/>
    <w:rsid w:val="001C22F8"/>
    <w:rsid w:val="001C23C3"/>
    <w:rsid w:val="001C24B2"/>
    <w:rsid w:val="001C24F4"/>
    <w:rsid w:val="001C299D"/>
    <w:rsid w:val="001C2A03"/>
    <w:rsid w:val="001C2BF2"/>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1DC"/>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D77"/>
    <w:rsid w:val="001C7F9B"/>
    <w:rsid w:val="001D0744"/>
    <w:rsid w:val="001D112B"/>
    <w:rsid w:val="001D11B3"/>
    <w:rsid w:val="001D1471"/>
    <w:rsid w:val="001D183A"/>
    <w:rsid w:val="001D19A8"/>
    <w:rsid w:val="001D21D1"/>
    <w:rsid w:val="001D240E"/>
    <w:rsid w:val="001D26ED"/>
    <w:rsid w:val="001D28B3"/>
    <w:rsid w:val="001D2D33"/>
    <w:rsid w:val="001D33AD"/>
    <w:rsid w:val="001D3748"/>
    <w:rsid w:val="001D3D79"/>
    <w:rsid w:val="001D5009"/>
    <w:rsid w:val="001D5257"/>
    <w:rsid w:val="001D5280"/>
    <w:rsid w:val="001D5283"/>
    <w:rsid w:val="001D5963"/>
    <w:rsid w:val="001D5CAD"/>
    <w:rsid w:val="001D5D71"/>
    <w:rsid w:val="001D6021"/>
    <w:rsid w:val="001D62F5"/>
    <w:rsid w:val="001D638B"/>
    <w:rsid w:val="001D6466"/>
    <w:rsid w:val="001D6488"/>
    <w:rsid w:val="001D6CCE"/>
    <w:rsid w:val="001D6DFA"/>
    <w:rsid w:val="001D6FAE"/>
    <w:rsid w:val="001D7159"/>
    <w:rsid w:val="001D7798"/>
    <w:rsid w:val="001D79EF"/>
    <w:rsid w:val="001E004B"/>
    <w:rsid w:val="001E03A8"/>
    <w:rsid w:val="001E0741"/>
    <w:rsid w:val="001E0916"/>
    <w:rsid w:val="001E11C5"/>
    <w:rsid w:val="001E1901"/>
    <w:rsid w:val="001E19D3"/>
    <w:rsid w:val="001E1F97"/>
    <w:rsid w:val="001E23D1"/>
    <w:rsid w:val="001E2428"/>
    <w:rsid w:val="001E252F"/>
    <w:rsid w:val="001E26BD"/>
    <w:rsid w:val="001E2908"/>
    <w:rsid w:val="001E2A8E"/>
    <w:rsid w:val="001E33D9"/>
    <w:rsid w:val="001E359A"/>
    <w:rsid w:val="001E38A8"/>
    <w:rsid w:val="001E3982"/>
    <w:rsid w:val="001E3BBC"/>
    <w:rsid w:val="001E46DD"/>
    <w:rsid w:val="001E47D6"/>
    <w:rsid w:val="001E53CD"/>
    <w:rsid w:val="001E580B"/>
    <w:rsid w:val="001E5BBB"/>
    <w:rsid w:val="001E5F64"/>
    <w:rsid w:val="001E6180"/>
    <w:rsid w:val="001E674B"/>
    <w:rsid w:val="001E68FC"/>
    <w:rsid w:val="001E6C2D"/>
    <w:rsid w:val="001E6D8E"/>
    <w:rsid w:val="001E714A"/>
    <w:rsid w:val="001E72B6"/>
    <w:rsid w:val="001E7396"/>
    <w:rsid w:val="001E7569"/>
    <w:rsid w:val="001E75E8"/>
    <w:rsid w:val="001E77E2"/>
    <w:rsid w:val="001E7F25"/>
    <w:rsid w:val="001F0568"/>
    <w:rsid w:val="001F0766"/>
    <w:rsid w:val="001F0C39"/>
    <w:rsid w:val="001F0EE5"/>
    <w:rsid w:val="001F111D"/>
    <w:rsid w:val="001F16FB"/>
    <w:rsid w:val="001F1761"/>
    <w:rsid w:val="001F1844"/>
    <w:rsid w:val="001F1916"/>
    <w:rsid w:val="001F1A09"/>
    <w:rsid w:val="001F1BC4"/>
    <w:rsid w:val="001F215D"/>
    <w:rsid w:val="001F2178"/>
    <w:rsid w:val="001F22CC"/>
    <w:rsid w:val="001F25E0"/>
    <w:rsid w:val="001F2616"/>
    <w:rsid w:val="001F28F1"/>
    <w:rsid w:val="001F2DF7"/>
    <w:rsid w:val="001F3C5F"/>
    <w:rsid w:val="001F458A"/>
    <w:rsid w:val="001F4B1F"/>
    <w:rsid w:val="001F4CA1"/>
    <w:rsid w:val="001F4F5A"/>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54"/>
    <w:rsid w:val="00200CAC"/>
    <w:rsid w:val="00200D92"/>
    <w:rsid w:val="00200E29"/>
    <w:rsid w:val="002013E3"/>
    <w:rsid w:val="002014E7"/>
    <w:rsid w:val="002018E1"/>
    <w:rsid w:val="00202046"/>
    <w:rsid w:val="002021FB"/>
    <w:rsid w:val="00202576"/>
    <w:rsid w:val="00202966"/>
    <w:rsid w:val="00202A9E"/>
    <w:rsid w:val="00202AA8"/>
    <w:rsid w:val="00202D81"/>
    <w:rsid w:val="00202DC0"/>
    <w:rsid w:val="00202E80"/>
    <w:rsid w:val="00202EB6"/>
    <w:rsid w:val="00203B02"/>
    <w:rsid w:val="00203E8C"/>
    <w:rsid w:val="00203F82"/>
    <w:rsid w:val="00204026"/>
    <w:rsid w:val="00204561"/>
    <w:rsid w:val="002048BC"/>
    <w:rsid w:val="002051EE"/>
    <w:rsid w:val="00205507"/>
    <w:rsid w:val="00205642"/>
    <w:rsid w:val="00205644"/>
    <w:rsid w:val="002059DC"/>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C3A"/>
    <w:rsid w:val="00210D6E"/>
    <w:rsid w:val="00210D9C"/>
    <w:rsid w:val="00210DCC"/>
    <w:rsid w:val="00210DCD"/>
    <w:rsid w:val="0021198D"/>
    <w:rsid w:val="002119BF"/>
    <w:rsid w:val="00211C52"/>
    <w:rsid w:val="00211D3D"/>
    <w:rsid w:val="0021225B"/>
    <w:rsid w:val="002126B2"/>
    <w:rsid w:val="00212948"/>
    <w:rsid w:val="00212BFF"/>
    <w:rsid w:val="002131E2"/>
    <w:rsid w:val="002134A1"/>
    <w:rsid w:val="00213910"/>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19"/>
    <w:rsid w:val="002163C8"/>
    <w:rsid w:val="002165D3"/>
    <w:rsid w:val="00216611"/>
    <w:rsid w:val="00216771"/>
    <w:rsid w:val="002167F4"/>
    <w:rsid w:val="0021687C"/>
    <w:rsid w:val="00216942"/>
    <w:rsid w:val="0021697C"/>
    <w:rsid w:val="00216AAA"/>
    <w:rsid w:val="00217423"/>
    <w:rsid w:val="00217839"/>
    <w:rsid w:val="00217BBD"/>
    <w:rsid w:val="0022034C"/>
    <w:rsid w:val="0022067E"/>
    <w:rsid w:val="002208DA"/>
    <w:rsid w:val="00221197"/>
    <w:rsid w:val="002216C0"/>
    <w:rsid w:val="0022195B"/>
    <w:rsid w:val="00221B1E"/>
    <w:rsid w:val="0022223A"/>
    <w:rsid w:val="0022224C"/>
    <w:rsid w:val="00222392"/>
    <w:rsid w:val="002223C1"/>
    <w:rsid w:val="002224C1"/>
    <w:rsid w:val="00222D4A"/>
    <w:rsid w:val="00223006"/>
    <w:rsid w:val="0022389B"/>
    <w:rsid w:val="002240C5"/>
    <w:rsid w:val="002244A6"/>
    <w:rsid w:val="0022463E"/>
    <w:rsid w:val="0022540F"/>
    <w:rsid w:val="002256E4"/>
    <w:rsid w:val="00225A3B"/>
    <w:rsid w:val="00225A8C"/>
    <w:rsid w:val="00225B8E"/>
    <w:rsid w:val="00225BD8"/>
    <w:rsid w:val="00225CFE"/>
    <w:rsid w:val="00226081"/>
    <w:rsid w:val="00226201"/>
    <w:rsid w:val="002263A4"/>
    <w:rsid w:val="002264E2"/>
    <w:rsid w:val="00226AF7"/>
    <w:rsid w:val="00226CF3"/>
    <w:rsid w:val="00227388"/>
    <w:rsid w:val="00227512"/>
    <w:rsid w:val="002276A5"/>
    <w:rsid w:val="002277B0"/>
    <w:rsid w:val="00227B4A"/>
    <w:rsid w:val="00227CDE"/>
    <w:rsid w:val="00227E2B"/>
    <w:rsid w:val="00227FDC"/>
    <w:rsid w:val="00230817"/>
    <w:rsid w:val="0023081D"/>
    <w:rsid w:val="00230A9B"/>
    <w:rsid w:val="00230DCC"/>
    <w:rsid w:val="00230F31"/>
    <w:rsid w:val="00230F53"/>
    <w:rsid w:val="00230FA0"/>
    <w:rsid w:val="00230FE7"/>
    <w:rsid w:val="00231417"/>
    <w:rsid w:val="00231611"/>
    <w:rsid w:val="002317BF"/>
    <w:rsid w:val="002317CA"/>
    <w:rsid w:val="00231960"/>
    <w:rsid w:val="00231E84"/>
    <w:rsid w:val="00231F26"/>
    <w:rsid w:val="002321D5"/>
    <w:rsid w:val="002324E3"/>
    <w:rsid w:val="002326C4"/>
    <w:rsid w:val="00232917"/>
    <w:rsid w:val="002329E5"/>
    <w:rsid w:val="00232FEC"/>
    <w:rsid w:val="0023329C"/>
    <w:rsid w:val="00233355"/>
    <w:rsid w:val="00233586"/>
    <w:rsid w:val="00233808"/>
    <w:rsid w:val="00233868"/>
    <w:rsid w:val="00233933"/>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2A16"/>
    <w:rsid w:val="00243446"/>
    <w:rsid w:val="002437A3"/>
    <w:rsid w:val="002439B0"/>
    <w:rsid w:val="00243BD2"/>
    <w:rsid w:val="00243D63"/>
    <w:rsid w:val="00243DBC"/>
    <w:rsid w:val="00243EFB"/>
    <w:rsid w:val="0024401F"/>
    <w:rsid w:val="00244664"/>
    <w:rsid w:val="00244685"/>
    <w:rsid w:val="002447E9"/>
    <w:rsid w:val="002447FC"/>
    <w:rsid w:val="002447FF"/>
    <w:rsid w:val="00244A56"/>
    <w:rsid w:val="00244B74"/>
    <w:rsid w:val="00244EE7"/>
    <w:rsid w:val="002453BE"/>
    <w:rsid w:val="002455C3"/>
    <w:rsid w:val="0024569B"/>
    <w:rsid w:val="002457E5"/>
    <w:rsid w:val="00245A3F"/>
    <w:rsid w:val="00245FE1"/>
    <w:rsid w:val="00246686"/>
    <w:rsid w:val="00246967"/>
    <w:rsid w:val="00246EF4"/>
    <w:rsid w:val="00247177"/>
    <w:rsid w:val="0024736E"/>
    <w:rsid w:val="00247576"/>
    <w:rsid w:val="0024799C"/>
    <w:rsid w:val="00247B4D"/>
    <w:rsid w:val="00250386"/>
    <w:rsid w:val="00250A38"/>
    <w:rsid w:val="00250BFD"/>
    <w:rsid w:val="00250C60"/>
    <w:rsid w:val="0025106D"/>
    <w:rsid w:val="002513AE"/>
    <w:rsid w:val="00251CAD"/>
    <w:rsid w:val="00251CFF"/>
    <w:rsid w:val="00251E94"/>
    <w:rsid w:val="00251FB0"/>
    <w:rsid w:val="002521E1"/>
    <w:rsid w:val="002527A2"/>
    <w:rsid w:val="0025309F"/>
    <w:rsid w:val="002530F3"/>
    <w:rsid w:val="002535CE"/>
    <w:rsid w:val="00253653"/>
    <w:rsid w:val="00253724"/>
    <w:rsid w:val="00253770"/>
    <w:rsid w:val="00253CAD"/>
    <w:rsid w:val="00253F1F"/>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0C"/>
    <w:rsid w:val="0025698E"/>
    <w:rsid w:val="00256AC1"/>
    <w:rsid w:val="00256E28"/>
    <w:rsid w:val="002574AF"/>
    <w:rsid w:val="00257AAA"/>
    <w:rsid w:val="00257C41"/>
    <w:rsid w:val="00260448"/>
    <w:rsid w:val="00260BA6"/>
    <w:rsid w:val="00260C35"/>
    <w:rsid w:val="0026114B"/>
    <w:rsid w:val="0026115B"/>
    <w:rsid w:val="0026123A"/>
    <w:rsid w:val="00261391"/>
    <w:rsid w:val="0026144E"/>
    <w:rsid w:val="0026169D"/>
    <w:rsid w:val="00261972"/>
    <w:rsid w:val="00261CF1"/>
    <w:rsid w:val="00261DA5"/>
    <w:rsid w:val="00262869"/>
    <w:rsid w:val="002628F6"/>
    <w:rsid w:val="00262B07"/>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A28"/>
    <w:rsid w:val="00267A7C"/>
    <w:rsid w:val="00267B57"/>
    <w:rsid w:val="00267D32"/>
    <w:rsid w:val="00267F66"/>
    <w:rsid w:val="00270169"/>
    <w:rsid w:val="002702D2"/>
    <w:rsid w:val="00270370"/>
    <w:rsid w:val="002708A2"/>
    <w:rsid w:val="00270E19"/>
    <w:rsid w:val="002715B7"/>
    <w:rsid w:val="0027170E"/>
    <w:rsid w:val="00271B4D"/>
    <w:rsid w:val="00272164"/>
    <w:rsid w:val="00272499"/>
    <w:rsid w:val="00272623"/>
    <w:rsid w:val="00272790"/>
    <w:rsid w:val="00272960"/>
    <w:rsid w:val="00272A65"/>
    <w:rsid w:val="00272DBE"/>
    <w:rsid w:val="0027304A"/>
    <w:rsid w:val="0027304D"/>
    <w:rsid w:val="00273102"/>
    <w:rsid w:val="0027349A"/>
    <w:rsid w:val="00273CB2"/>
    <w:rsid w:val="002742FE"/>
    <w:rsid w:val="00274C4D"/>
    <w:rsid w:val="00274EFA"/>
    <w:rsid w:val="00275025"/>
    <w:rsid w:val="00275045"/>
    <w:rsid w:val="00275752"/>
    <w:rsid w:val="0027596A"/>
    <w:rsid w:val="002759C0"/>
    <w:rsid w:val="00275B68"/>
    <w:rsid w:val="00275C43"/>
    <w:rsid w:val="00275D7A"/>
    <w:rsid w:val="00275F9E"/>
    <w:rsid w:val="002761BD"/>
    <w:rsid w:val="0027652E"/>
    <w:rsid w:val="00276884"/>
    <w:rsid w:val="00276B63"/>
    <w:rsid w:val="002772AF"/>
    <w:rsid w:val="0027780B"/>
    <w:rsid w:val="00277A86"/>
    <w:rsid w:val="00277AD3"/>
    <w:rsid w:val="002808CA"/>
    <w:rsid w:val="00280B6C"/>
    <w:rsid w:val="00280CBA"/>
    <w:rsid w:val="00280D5B"/>
    <w:rsid w:val="00280EA4"/>
    <w:rsid w:val="00281007"/>
    <w:rsid w:val="002811B7"/>
    <w:rsid w:val="00281364"/>
    <w:rsid w:val="00281819"/>
    <w:rsid w:val="00281DA0"/>
    <w:rsid w:val="002822C7"/>
    <w:rsid w:val="00282372"/>
    <w:rsid w:val="002827F9"/>
    <w:rsid w:val="00282BAE"/>
    <w:rsid w:val="00282C36"/>
    <w:rsid w:val="00282CE6"/>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6DB"/>
    <w:rsid w:val="002848C8"/>
    <w:rsid w:val="00284B22"/>
    <w:rsid w:val="0028523A"/>
    <w:rsid w:val="00285309"/>
    <w:rsid w:val="0028551B"/>
    <w:rsid w:val="00285A8C"/>
    <w:rsid w:val="00285DF6"/>
    <w:rsid w:val="00286154"/>
    <w:rsid w:val="0028670B"/>
    <w:rsid w:val="00286894"/>
    <w:rsid w:val="002869A7"/>
    <w:rsid w:val="00286B1C"/>
    <w:rsid w:val="00286DCB"/>
    <w:rsid w:val="00286EBE"/>
    <w:rsid w:val="00286FB0"/>
    <w:rsid w:val="002870F7"/>
    <w:rsid w:val="0028718B"/>
    <w:rsid w:val="00287699"/>
    <w:rsid w:val="0028783E"/>
    <w:rsid w:val="0029008E"/>
    <w:rsid w:val="0029017D"/>
    <w:rsid w:val="0029029E"/>
    <w:rsid w:val="00290588"/>
    <w:rsid w:val="002907BC"/>
    <w:rsid w:val="00290F8B"/>
    <w:rsid w:val="00291989"/>
    <w:rsid w:val="002919DB"/>
    <w:rsid w:val="0029203E"/>
    <w:rsid w:val="002920C7"/>
    <w:rsid w:val="00292228"/>
    <w:rsid w:val="002929D8"/>
    <w:rsid w:val="00292B9F"/>
    <w:rsid w:val="00293109"/>
    <w:rsid w:val="0029345E"/>
    <w:rsid w:val="00293AE3"/>
    <w:rsid w:val="00293C63"/>
    <w:rsid w:val="00293F3D"/>
    <w:rsid w:val="0029406C"/>
    <w:rsid w:val="002948F5"/>
    <w:rsid w:val="00294A58"/>
    <w:rsid w:val="00294B16"/>
    <w:rsid w:val="00294B49"/>
    <w:rsid w:val="00294D2F"/>
    <w:rsid w:val="00294FAA"/>
    <w:rsid w:val="00295274"/>
    <w:rsid w:val="002956A2"/>
    <w:rsid w:val="002958DE"/>
    <w:rsid w:val="00295B70"/>
    <w:rsid w:val="00295C81"/>
    <w:rsid w:val="00295EEF"/>
    <w:rsid w:val="00295F70"/>
    <w:rsid w:val="002963DD"/>
    <w:rsid w:val="0029648D"/>
    <w:rsid w:val="00296C16"/>
    <w:rsid w:val="00296F47"/>
    <w:rsid w:val="00297289"/>
    <w:rsid w:val="00297514"/>
    <w:rsid w:val="002975E4"/>
    <w:rsid w:val="0029799C"/>
    <w:rsid w:val="00297ECD"/>
    <w:rsid w:val="002A04E2"/>
    <w:rsid w:val="002A06E7"/>
    <w:rsid w:val="002A0E02"/>
    <w:rsid w:val="002A0E79"/>
    <w:rsid w:val="002A0E94"/>
    <w:rsid w:val="002A1263"/>
    <w:rsid w:val="002A18FE"/>
    <w:rsid w:val="002A19F7"/>
    <w:rsid w:val="002A1FB9"/>
    <w:rsid w:val="002A22D1"/>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5DB"/>
    <w:rsid w:val="002A46C8"/>
    <w:rsid w:val="002A47DF"/>
    <w:rsid w:val="002A496E"/>
    <w:rsid w:val="002A4CD3"/>
    <w:rsid w:val="002A4E42"/>
    <w:rsid w:val="002A5379"/>
    <w:rsid w:val="002A556F"/>
    <w:rsid w:val="002A598E"/>
    <w:rsid w:val="002A61A5"/>
    <w:rsid w:val="002A61B1"/>
    <w:rsid w:val="002A648D"/>
    <w:rsid w:val="002A6700"/>
    <w:rsid w:val="002A6BC7"/>
    <w:rsid w:val="002A6C51"/>
    <w:rsid w:val="002A7199"/>
    <w:rsid w:val="002A77C3"/>
    <w:rsid w:val="002A79D9"/>
    <w:rsid w:val="002A7BAF"/>
    <w:rsid w:val="002A7BBD"/>
    <w:rsid w:val="002B05A8"/>
    <w:rsid w:val="002B0825"/>
    <w:rsid w:val="002B0D6E"/>
    <w:rsid w:val="002B10B0"/>
    <w:rsid w:val="002B1225"/>
    <w:rsid w:val="002B1437"/>
    <w:rsid w:val="002B14DB"/>
    <w:rsid w:val="002B169C"/>
    <w:rsid w:val="002B1838"/>
    <w:rsid w:val="002B1F89"/>
    <w:rsid w:val="002B21BB"/>
    <w:rsid w:val="002B22F5"/>
    <w:rsid w:val="002B274C"/>
    <w:rsid w:val="002B2868"/>
    <w:rsid w:val="002B2ACC"/>
    <w:rsid w:val="002B2E9F"/>
    <w:rsid w:val="002B2F77"/>
    <w:rsid w:val="002B3529"/>
    <w:rsid w:val="002B3596"/>
    <w:rsid w:val="002B43B3"/>
    <w:rsid w:val="002B4BA6"/>
    <w:rsid w:val="002B4D41"/>
    <w:rsid w:val="002B4FAD"/>
    <w:rsid w:val="002B51CE"/>
    <w:rsid w:val="002B538D"/>
    <w:rsid w:val="002B5493"/>
    <w:rsid w:val="002B5B61"/>
    <w:rsid w:val="002B5CA1"/>
    <w:rsid w:val="002B6031"/>
    <w:rsid w:val="002B6163"/>
    <w:rsid w:val="002B6699"/>
    <w:rsid w:val="002B6716"/>
    <w:rsid w:val="002B6EFD"/>
    <w:rsid w:val="002B6F33"/>
    <w:rsid w:val="002B7535"/>
    <w:rsid w:val="002B79A3"/>
    <w:rsid w:val="002B79F0"/>
    <w:rsid w:val="002B7B8A"/>
    <w:rsid w:val="002B7C96"/>
    <w:rsid w:val="002B7F3E"/>
    <w:rsid w:val="002C00F5"/>
    <w:rsid w:val="002C0166"/>
    <w:rsid w:val="002C024C"/>
    <w:rsid w:val="002C059A"/>
    <w:rsid w:val="002C05D9"/>
    <w:rsid w:val="002C06B5"/>
    <w:rsid w:val="002C0C82"/>
    <w:rsid w:val="002C0CCC"/>
    <w:rsid w:val="002C0CD7"/>
    <w:rsid w:val="002C0D7B"/>
    <w:rsid w:val="002C0D99"/>
    <w:rsid w:val="002C114C"/>
    <w:rsid w:val="002C11BC"/>
    <w:rsid w:val="002C11D6"/>
    <w:rsid w:val="002C143E"/>
    <w:rsid w:val="002C1443"/>
    <w:rsid w:val="002C1CBF"/>
    <w:rsid w:val="002C1D9C"/>
    <w:rsid w:val="002C1EFA"/>
    <w:rsid w:val="002C20EC"/>
    <w:rsid w:val="002C21BE"/>
    <w:rsid w:val="002C22C5"/>
    <w:rsid w:val="002C2806"/>
    <w:rsid w:val="002C2BD3"/>
    <w:rsid w:val="002C2BEB"/>
    <w:rsid w:val="002C30A4"/>
    <w:rsid w:val="002C3460"/>
    <w:rsid w:val="002C34B2"/>
    <w:rsid w:val="002C366F"/>
    <w:rsid w:val="002C3894"/>
    <w:rsid w:val="002C3A3A"/>
    <w:rsid w:val="002C3A5E"/>
    <w:rsid w:val="002C3B5D"/>
    <w:rsid w:val="002C3D9B"/>
    <w:rsid w:val="002C3E05"/>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0EAA"/>
    <w:rsid w:val="002D100C"/>
    <w:rsid w:val="002D1B36"/>
    <w:rsid w:val="002D1B38"/>
    <w:rsid w:val="002D1B96"/>
    <w:rsid w:val="002D2270"/>
    <w:rsid w:val="002D2E4C"/>
    <w:rsid w:val="002D2EC4"/>
    <w:rsid w:val="002D319A"/>
    <w:rsid w:val="002D32AF"/>
    <w:rsid w:val="002D3306"/>
    <w:rsid w:val="002D3568"/>
    <w:rsid w:val="002D37C1"/>
    <w:rsid w:val="002D3B29"/>
    <w:rsid w:val="002D4074"/>
    <w:rsid w:val="002D42F1"/>
    <w:rsid w:val="002D4487"/>
    <w:rsid w:val="002D4830"/>
    <w:rsid w:val="002D4A0A"/>
    <w:rsid w:val="002D4A43"/>
    <w:rsid w:val="002D5041"/>
    <w:rsid w:val="002D52BF"/>
    <w:rsid w:val="002D607F"/>
    <w:rsid w:val="002D60C9"/>
    <w:rsid w:val="002D62F6"/>
    <w:rsid w:val="002D65B4"/>
    <w:rsid w:val="002D6849"/>
    <w:rsid w:val="002D68CE"/>
    <w:rsid w:val="002D6A9B"/>
    <w:rsid w:val="002D6D06"/>
    <w:rsid w:val="002D6DCF"/>
    <w:rsid w:val="002D7FCD"/>
    <w:rsid w:val="002E0315"/>
    <w:rsid w:val="002E0403"/>
    <w:rsid w:val="002E0903"/>
    <w:rsid w:val="002E0C71"/>
    <w:rsid w:val="002E0D26"/>
    <w:rsid w:val="002E0D8B"/>
    <w:rsid w:val="002E10FA"/>
    <w:rsid w:val="002E21D1"/>
    <w:rsid w:val="002E229D"/>
    <w:rsid w:val="002E2572"/>
    <w:rsid w:val="002E25A8"/>
    <w:rsid w:val="002E279A"/>
    <w:rsid w:val="002E2BE7"/>
    <w:rsid w:val="002E323E"/>
    <w:rsid w:val="002E34CF"/>
    <w:rsid w:val="002E3832"/>
    <w:rsid w:val="002E399E"/>
    <w:rsid w:val="002E3B08"/>
    <w:rsid w:val="002E3BA2"/>
    <w:rsid w:val="002E3CE5"/>
    <w:rsid w:val="002E4118"/>
    <w:rsid w:val="002E41F3"/>
    <w:rsid w:val="002E4505"/>
    <w:rsid w:val="002E4519"/>
    <w:rsid w:val="002E5038"/>
    <w:rsid w:val="002E533C"/>
    <w:rsid w:val="002E557C"/>
    <w:rsid w:val="002E5702"/>
    <w:rsid w:val="002E5BB9"/>
    <w:rsid w:val="002E6116"/>
    <w:rsid w:val="002E6592"/>
    <w:rsid w:val="002E67E6"/>
    <w:rsid w:val="002E69B3"/>
    <w:rsid w:val="002E6DBB"/>
    <w:rsid w:val="002E6E7C"/>
    <w:rsid w:val="002E6F72"/>
    <w:rsid w:val="002E7B0D"/>
    <w:rsid w:val="002F04DE"/>
    <w:rsid w:val="002F089E"/>
    <w:rsid w:val="002F0A2B"/>
    <w:rsid w:val="002F0B9F"/>
    <w:rsid w:val="002F0BCE"/>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3DA6"/>
    <w:rsid w:val="002F3E85"/>
    <w:rsid w:val="002F3EE9"/>
    <w:rsid w:val="002F4355"/>
    <w:rsid w:val="002F4444"/>
    <w:rsid w:val="002F46A1"/>
    <w:rsid w:val="002F4777"/>
    <w:rsid w:val="002F481D"/>
    <w:rsid w:val="002F4BEA"/>
    <w:rsid w:val="002F4E71"/>
    <w:rsid w:val="002F54B6"/>
    <w:rsid w:val="002F554A"/>
    <w:rsid w:val="002F5629"/>
    <w:rsid w:val="002F5674"/>
    <w:rsid w:val="002F64CC"/>
    <w:rsid w:val="002F65E5"/>
    <w:rsid w:val="002F6A6F"/>
    <w:rsid w:val="002F6B24"/>
    <w:rsid w:val="002F6D73"/>
    <w:rsid w:val="002F6E28"/>
    <w:rsid w:val="002F70BA"/>
    <w:rsid w:val="002F725F"/>
    <w:rsid w:val="002F7A88"/>
    <w:rsid w:val="002F7A99"/>
    <w:rsid w:val="002F7C08"/>
    <w:rsid w:val="002F7D31"/>
    <w:rsid w:val="002F7E68"/>
    <w:rsid w:val="002F7F86"/>
    <w:rsid w:val="002F7F8A"/>
    <w:rsid w:val="00300560"/>
    <w:rsid w:val="003007DE"/>
    <w:rsid w:val="00300A82"/>
    <w:rsid w:val="00300A84"/>
    <w:rsid w:val="00300C9E"/>
    <w:rsid w:val="00300E39"/>
    <w:rsid w:val="00300F95"/>
    <w:rsid w:val="0030101C"/>
    <w:rsid w:val="0030107F"/>
    <w:rsid w:val="003011A6"/>
    <w:rsid w:val="003013EF"/>
    <w:rsid w:val="00301421"/>
    <w:rsid w:val="003022FE"/>
    <w:rsid w:val="00302306"/>
    <w:rsid w:val="003023C2"/>
    <w:rsid w:val="003024FE"/>
    <w:rsid w:val="003025B7"/>
    <w:rsid w:val="003026BD"/>
    <w:rsid w:val="0030294F"/>
    <w:rsid w:val="00302E5E"/>
    <w:rsid w:val="00302EA1"/>
    <w:rsid w:val="00303249"/>
    <w:rsid w:val="003038DB"/>
    <w:rsid w:val="00303987"/>
    <w:rsid w:val="00303BC0"/>
    <w:rsid w:val="00303BC3"/>
    <w:rsid w:val="00303D58"/>
    <w:rsid w:val="00303D69"/>
    <w:rsid w:val="00303FA3"/>
    <w:rsid w:val="0030415A"/>
    <w:rsid w:val="00304433"/>
    <w:rsid w:val="0030458D"/>
    <w:rsid w:val="003048C9"/>
    <w:rsid w:val="00304C28"/>
    <w:rsid w:val="00304C8F"/>
    <w:rsid w:val="00304D19"/>
    <w:rsid w:val="00304D4E"/>
    <w:rsid w:val="00304D93"/>
    <w:rsid w:val="00304F3C"/>
    <w:rsid w:val="00304FF8"/>
    <w:rsid w:val="0030500F"/>
    <w:rsid w:val="00305098"/>
    <w:rsid w:val="0030511E"/>
    <w:rsid w:val="0030523F"/>
    <w:rsid w:val="00305BCF"/>
    <w:rsid w:val="0030615E"/>
    <w:rsid w:val="003066E9"/>
    <w:rsid w:val="00306D6D"/>
    <w:rsid w:val="00307213"/>
    <w:rsid w:val="00307448"/>
    <w:rsid w:val="003079B4"/>
    <w:rsid w:val="00307C55"/>
    <w:rsid w:val="00307DEF"/>
    <w:rsid w:val="00310138"/>
    <w:rsid w:val="003101F8"/>
    <w:rsid w:val="0031027B"/>
    <w:rsid w:val="003105A3"/>
    <w:rsid w:val="00310751"/>
    <w:rsid w:val="003107E5"/>
    <w:rsid w:val="00310DE6"/>
    <w:rsid w:val="0031115B"/>
    <w:rsid w:val="003115AC"/>
    <w:rsid w:val="003119A7"/>
    <w:rsid w:val="00311A44"/>
    <w:rsid w:val="00311D33"/>
    <w:rsid w:val="00311EE1"/>
    <w:rsid w:val="0031200F"/>
    <w:rsid w:val="0031208A"/>
    <w:rsid w:val="003126CA"/>
    <w:rsid w:val="003126E9"/>
    <w:rsid w:val="003127C5"/>
    <w:rsid w:val="00312D43"/>
    <w:rsid w:val="00312E38"/>
    <w:rsid w:val="00313664"/>
    <w:rsid w:val="00313754"/>
    <w:rsid w:val="0031380E"/>
    <w:rsid w:val="003138A6"/>
    <w:rsid w:val="00313958"/>
    <w:rsid w:val="00313B78"/>
    <w:rsid w:val="00313C9A"/>
    <w:rsid w:val="00313CFC"/>
    <w:rsid w:val="00313DD4"/>
    <w:rsid w:val="003143BF"/>
    <w:rsid w:val="00314475"/>
    <w:rsid w:val="00314792"/>
    <w:rsid w:val="0031486F"/>
    <w:rsid w:val="00314A37"/>
    <w:rsid w:val="00314A3D"/>
    <w:rsid w:val="00314F90"/>
    <w:rsid w:val="00315238"/>
    <w:rsid w:val="00315247"/>
    <w:rsid w:val="003153B1"/>
    <w:rsid w:val="00315731"/>
    <w:rsid w:val="003159A1"/>
    <w:rsid w:val="00315C6A"/>
    <w:rsid w:val="00315D4B"/>
    <w:rsid w:val="00315F85"/>
    <w:rsid w:val="0031617F"/>
    <w:rsid w:val="003161EE"/>
    <w:rsid w:val="00316769"/>
    <w:rsid w:val="00317101"/>
    <w:rsid w:val="0032006F"/>
    <w:rsid w:val="003201A1"/>
    <w:rsid w:val="00320747"/>
    <w:rsid w:val="00320832"/>
    <w:rsid w:val="00320D54"/>
    <w:rsid w:val="00320FD1"/>
    <w:rsid w:val="00321109"/>
    <w:rsid w:val="0032124F"/>
    <w:rsid w:val="003214C3"/>
    <w:rsid w:val="00321560"/>
    <w:rsid w:val="00321690"/>
    <w:rsid w:val="00321758"/>
    <w:rsid w:val="00321823"/>
    <w:rsid w:val="00321BDA"/>
    <w:rsid w:val="003226B9"/>
    <w:rsid w:val="00322E12"/>
    <w:rsid w:val="0032358B"/>
    <w:rsid w:val="003238F4"/>
    <w:rsid w:val="00323D94"/>
    <w:rsid w:val="00323FC4"/>
    <w:rsid w:val="003243D1"/>
    <w:rsid w:val="00324C7E"/>
    <w:rsid w:val="00324D77"/>
    <w:rsid w:val="0032547A"/>
    <w:rsid w:val="00325692"/>
    <w:rsid w:val="003257A7"/>
    <w:rsid w:val="00325820"/>
    <w:rsid w:val="00325841"/>
    <w:rsid w:val="003259D7"/>
    <w:rsid w:val="00326451"/>
    <w:rsid w:val="003268C7"/>
    <w:rsid w:val="00326914"/>
    <w:rsid w:val="00326B3B"/>
    <w:rsid w:val="0032704C"/>
    <w:rsid w:val="0032709A"/>
    <w:rsid w:val="00327415"/>
    <w:rsid w:val="00327426"/>
    <w:rsid w:val="0032761D"/>
    <w:rsid w:val="003277AE"/>
    <w:rsid w:val="00327BD3"/>
    <w:rsid w:val="00327CAA"/>
    <w:rsid w:val="00327DE0"/>
    <w:rsid w:val="00327DE9"/>
    <w:rsid w:val="00327E4F"/>
    <w:rsid w:val="00327EB4"/>
    <w:rsid w:val="00327F5E"/>
    <w:rsid w:val="003301B3"/>
    <w:rsid w:val="00330254"/>
    <w:rsid w:val="0033033D"/>
    <w:rsid w:val="00330372"/>
    <w:rsid w:val="00330385"/>
    <w:rsid w:val="003303CC"/>
    <w:rsid w:val="003308D8"/>
    <w:rsid w:val="00330B4C"/>
    <w:rsid w:val="0033102E"/>
    <w:rsid w:val="00331196"/>
    <w:rsid w:val="0033137B"/>
    <w:rsid w:val="00331401"/>
    <w:rsid w:val="00331CEE"/>
    <w:rsid w:val="00332344"/>
    <w:rsid w:val="00332372"/>
    <w:rsid w:val="0033289C"/>
    <w:rsid w:val="00332CF5"/>
    <w:rsid w:val="00332F67"/>
    <w:rsid w:val="0033312E"/>
    <w:rsid w:val="00333234"/>
    <w:rsid w:val="00333822"/>
    <w:rsid w:val="003339EC"/>
    <w:rsid w:val="00333B1F"/>
    <w:rsid w:val="00333BFF"/>
    <w:rsid w:val="00333CC8"/>
    <w:rsid w:val="00333D34"/>
    <w:rsid w:val="00334039"/>
    <w:rsid w:val="003340BC"/>
    <w:rsid w:val="0033414E"/>
    <w:rsid w:val="003343B5"/>
    <w:rsid w:val="003345F8"/>
    <w:rsid w:val="00334A9A"/>
    <w:rsid w:val="003351AE"/>
    <w:rsid w:val="00335370"/>
    <w:rsid w:val="003353FE"/>
    <w:rsid w:val="003356B3"/>
    <w:rsid w:val="0033572C"/>
    <w:rsid w:val="0033577C"/>
    <w:rsid w:val="0033583D"/>
    <w:rsid w:val="00335ED1"/>
    <w:rsid w:val="003364AD"/>
    <w:rsid w:val="00336C06"/>
    <w:rsid w:val="00336FBD"/>
    <w:rsid w:val="00337808"/>
    <w:rsid w:val="00337905"/>
    <w:rsid w:val="00337EF8"/>
    <w:rsid w:val="003407E4"/>
    <w:rsid w:val="0034081B"/>
    <w:rsid w:val="00340C0A"/>
    <w:rsid w:val="00340DDC"/>
    <w:rsid w:val="00341255"/>
    <w:rsid w:val="00341296"/>
    <w:rsid w:val="00341557"/>
    <w:rsid w:val="003416A0"/>
    <w:rsid w:val="00341833"/>
    <w:rsid w:val="00341A29"/>
    <w:rsid w:val="003423C7"/>
    <w:rsid w:val="003424A0"/>
    <w:rsid w:val="003425DF"/>
    <w:rsid w:val="00342803"/>
    <w:rsid w:val="00342841"/>
    <w:rsid w:val="003428BA"/>
    <w:rsid w:val="00342A60"/>
    <w:rsid w:val="00342CBB"/>
    <w:rsid w:val="00342D84"/>
    <w:rsid w:val="00342DDC"/>
    <w:rsid w:val="00342FBC"/>
    <w:rsid w:val="0034375A"/>
    <w:rsid w:val="0034379D"/>
    <w:rsid w:val="003439F6"/>
    <w:rsid w:val="00343CB0"/>
    <w:rsid w:val="00343CC6"/>
    <w:rsid w:val="00343DED"/>
    <w:rsid w:val="00343E5D"/>
    <w:rsid w:val="00343E69"/>
    <w:rsid w:val="0034410F"/>
    <w:rsid w:val="00344182"/>
    <w:rsid w:val="00344359"/>
    <w:rsid w:val="00344774"/>
    <w:rsid w:val="00344983"/>
    <w:rsid w:val="00344A10"/>
    <w:rsid w:val="00344A29"/>
    <w:rsid w:val="00345553"/>
    <w:rsid w:val="00345D50"/>
    <w:rsid w:val="00345F26"/>
    <w:rsid w:val="00346192"/>
    <w:rsid w:val="003463CC"/>
    <w:rsid w:val="003463D1"/>
    <w:rsid w:val="003463D8"/>
    <w:rsid w:val="0034646D"/>
    <w:rsid w:val="00346C66"/>
    <w:rsid w:val="0034714F"/>
    <w:rsid w:val="003477AD"/>
    <w:rsid w:val="0034797B"/>
    <w:rsid w:val="00347BE5"/>
    <w:rsid w:val="00347D85"/>
    <w:rsid w:val="00350734"/>
    <w:rsid w:val="003507DD"/>
    <w:rsid w:val="0035080F"/>
    <w:rsid w:val="00350B03"/>
    <w:rsid w:val="00350C0E"/>
    <w:rsid w:val="00350C95"/>
    <w:rsid w:val="00351124"/>
    <w:rsid w:val="00351347"/>
    <w:rsid w:val="00351632"/>
    <w:rsid w:val="0035167A"/>
    <w:rsid w:val="003516AB"/>
    <w:rsid w:val="00351831"/>
    <w:rsid w:val="00351F04"/>
    <w:rsid w:val="0035205B"/>
    <w:rsid w:val="003522E0"/>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787"/>
    <w:rsid w:val="0035580D"/>
    <w:rsid w:val="0035588D"/>
    <w:rsid w:val="00355985"/>
    <w:rsid w:val="00355D0B"/>
    <w:rsid w:val="00355DD1"/>
    <w:rsid w:val="003565E0"/>
    <w:rsid w:val="00356887"/>
    <w:rsid w:val="00356915"/>
    <w:rsid w:val="00356E75"/>
    <w:rsid w:val="00356F02"/>
    <w:rsid w:val="0035738B"/>
    <w:rsid w:val="0035766F"/>
    <w:rsid w:val="0035781A"/>
    <w:rsid w:val="0035797B"/>
    <w:rsid w:val="00357B39"/>
    <w:rsid w:val="00357CB5"/>
    <w:rsid w:val="00357E8C"/>
    <w:rsid w:val="003600B2"/>
    <w:rsid w:val="003602DC"/>
    <w:rsid w:val="0036040E"/>
    <w:rsid w:val="0036048C"/>
    <w:rsid w:val="00360517"/>
    <w:rsid w:val="00360532"/>
    <w:rsid w:val="00360B57"/>
    <w:rsid w:val="00360EB5"/>
    <w:rsid w:val="00360F43"/>
    <w:rsid w:val="0036162A"/>
    <w:rsid w:val="00361A0A"/>
    <w:rsid w:val="00361D06"/>
    <w:rsid w:val="00361D3F"/>
    <w:rsid w:val="00362660"/>
    <w:rsid w:val="00362FD3"/>
    <w:rsid w:val="003639FB"/>
    <w:rsid w:val="00363BF7"/>
    <w:rsid w:val="00363F41"/>
    <w:rsid w:val="00364264"/>
    <w:rsid w:val="00364323"/>
    <w:rsid w:val="00364D9D"/>
    <w:rsid w:val="003650F3"/>
    <w:rsid w:val="003652B9"/>
    <w:rsid w:val="00365A1C"/>
    <w:rsid w:val="00365CE6"/>
    <w:rsid w:val="0036601F"/>
    <w:rsid w:val="0036633A"/>
    <w:rsid w:val="0036695B"/>
    <w:rsid w:val="00366D95"/>
    <w:rsid w:val="00367138"/>
    <w:rsid w:val="003678EB"/>
    <w:rsid w:val="00367B88"/>
    <w:rsid w:val="00370307"/>
    <w:rsid w:val="0037035D"/>
    <w:rsid w:val="003705D3"/>
    <w:rsid w:val="00370821"/>
    <w:rsid w:val="003709A2"/>
    <w:rsid w:val="00370A18"/>
    <w:rsid w:val="00370AA1"/>
    <w:rsid w:val="00370F0E"/>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471"/>
    <w:rsid w:val="00374A4C"/>
    <w:rsid w:val="00374AAF"/>
    <w:rsid w:val="00374AC8"/>
    <w:rsid w:val="00374C44"/>
    <w:rsid w:val="00374D75"/>
    <w:rsid w:val="00374DC6"/>
    <w:rsid w:val="00375023"/>
    <w:rsid w:val="0037526B"/>
    <w:rsid w:val="003753CE"/>
    <w:rsid w:val="00375441"/>
    <w:rsid w:val="003756DF"/>
    <w:rsid w:val="00375A73"/>
    <w:rsid w:val="00375A88"/>
    <w:rsid w:val="00375E08"/>
    <w:rsid w:val="00375EA8"/>
    <w:rsid w:val="00376453"/>
    <w:rsid w:val="00376F2E"/>
    <w:rsid w:val="0037738C"/>
    <w:rsid w:val="00377CAD"/>
    <w:rsid w:val="00377D9A"/>
    <w:rsid w:val="00377E4F"/>
    <w:rsid w:val="00377E79"/>
    <w:rsid w:val="00377F68"/>
    <w:rsid w:val="0038016E"/>
    <w:rsid w:val="00380265"/>
    <w:rsid w:val="00380364"/>
    <w:rsid w:val="0038047C"/>
    <w:rsid w:val="0038057C"/>
    <w:rsid w:val="00380746"/>
    <w:rsid w:val="00380B0B"/>
    <w:rsid w:val="00380BB9"/>
    <w:rsid w:val="00380C75"/>
    <w:rsid w:val="00380D7D"/>
    <w:rsid w:val="00380E94"/>
    <w:rsid w:val="00380F33"/>
    <w:rsid w:val="00381256"/>
    <w:rsid w:val="0038126C"/>
    <w:rsid w:val="003813B0"/>
    <w:rsid w:val="003814BB"/>
    <w:rsid w:val="00381562"/>
    <w:rsid w:val="00381750"/>
    <w:rsid w:val="00381B64"/>
    <w:rsid w:val="00382230"/>
    <w:rsid w:val="00382266"/>
    <w:rsid w:val="0038235E"/>
    <w:rsid w:val="003829A5"/>
    <w:rsid w:val="00382A53"/>
    <w:rsid w:val="00382AE5"/>
    <w:rsid w:val="00382B0C"/>
    <w:rsid w:val="00382B68"/>
    <w:rsid w:val="00382FE3"/>
    <w:rsid w:val="00383170"/>
    <w:rsid w:val="003833B5"/>
    <w:rsid w:val="0038352D"/>
    <w:rsid w:val="003835FF"/>
    <w:rsid w:val="00383BF4"/>
    <w:rsid w:val="00384584"/>
    <w:rsid w:val="003845FA"/>
    <w:rsid w:val="003847ED"/>
    <w:rsid w:val="00384ADE"/>
    <w:rsid w:val="00384DB9"/>
    <w:rsid w:val="0038505A"/>
    <w:rsid w:val="0038530B"/>
    <w:rsid w:val="003855EA"/>
    <w:rsid w:val="003856BD"/>
    <w:rsid w:val="003857FF"/>
    <w:rsid w:val="00386DDB"/>
    <w:rsid w:val="00386E37"/>
    <w:rsid w:val="00387553"/>
    <w:rsid w:val="0038792E"/>
    <w:rsid w:val="0038797A"/>
    <w:rsid w:val="00387A4A"/>
    <w:rsid w:val="00387D9E"/>
    <w:rsid w:val="00391078"/>
    <w:rsid w:val="0039121A"/>
    <w:rsid w:val="0039161D"/>
    <w:rsid w:val="00391B65"/>
    <w:rsid w:val="00391FEC"/>
    <w:rsid w:val="0039212A"/>
    <w:rsid w:val="003921C1"/>
    <w:rsid w:val="003921CD"/>
    <w:rsid w:val="00392270"/>
    <w:rsid w:val="003929D2"/>
    <w:rsid w:val="00392BC2"/>
    <w:rsid w:val="00392CCA"/>
    <w:rsid w:val="00393029"/>
    <w:rsid w:val="00393318"/>
    <w:rsid w:val="00393AD7"/>
    <w:rsid w:val="00393E3E"/>
    <w:rsid w:val="00393F81"/>
    <w:rsid w:val="00393FA5"/>
    <w:rsid w:val="0039406E"/>
    <w:rsid w:val="0039411F"/>
    <w:rsid w:val="0039413F"/>
    <w:rsid w:val="003946B9"/>
    <w:rsid w:val="00394765"/>
    <w:rsid w:val="00394951"/>
    <w:rsid w:val="00394995"/>
    <w:rsid w:val="00394B51"/>
    <w:rsid w:val="003953BE"/>
    <w:rsid w:val="003954AD"/>
    <w:rsid w:val="003957BB"/>
    <w:rsid w:val="003962CD"/>
    <w:rsid w:val="003963FF"/>
    <w:rsid w:val="003965C0"/>
    <w:rsid w:val="00396894"/>
    <w:rsid w:val="00396935"/>
    <w:rsid w:val="00396997"/>
    <w:rsid w:val="00396A4C"/>
    <w:rsid w:val="0039733A"/>
    <w:rsid w:val="0039743E"/>
    <w:rsid w:val="00397536"/>
    <w:rsid w:val="003975B2"/>
    <w:rsid w:val="00397A8D"/>
    <w:rsid w:val="00397CAC"/>
    <w:rsid w:val="00397D16"/>
    <w:rsid w:val="003A0116"/>
    <w:rsid w:val="003A0403"/>
    <w:rsid w:val="003A0851"/>
    <w:rsid w:val="003A0D0B"/>
    <w:rsid w:val="003A1301"/>
    <w:rsid w:val="003A13BA"/>
    <w:rsid w:val="003A1EE5"/>
    <w:rsid w:val="003A1F0D"/>
    <w:rsid w:val="003A27BB"/>
    <w:rsid w:val="003A280A"/>
    <w:rsid w:val="003A2FE5"/>
    <w:rsid w:val="003A31F5"/>
    <w:rsid w:val="003A35D6"/>
    <w:rsid w:val="003A3761"/>
    <w:rsid w:val="003A3A3A"/>
    <w:rsid w:val="003A43CA"/>
    <w:rsid w:val="003A4473"/>
    <w:rsid w:val="003A4780"/>
    <w:rsid w:val="003A4E51"/>
    <w:rsid w:val="003A5077"/>
    <w:rsid w:val="003A5614"/>
    <w:rsid w:val="003A56A1"/>
    <w:rsid w:val="003A5BC5"/>
    <w:rsid w:val="003A5C82"/>
    <w:rsid w:val="003A5CF2"/>
    <w:rsid w:val="003A5D19"/>
    <w:rsid w:val="003A5E4A"/>
    <w:rsid w:val="003A5F4E"/>
    <w:rsid w:val="003A6473"/>
    <w:rsid w:val="003A6A4E"/>
    <w:rsid w:val="003A6DDA"/>
    <w:rsid w:val="003A72FF"/>
    <w:rsid w:val="003A782B"/>
    <w:rsid w:val="003B02A6"/>
    <w:rsid w:val="003B03BF"/>
    <w:rsid w:val="003B0E9B"/>
    <w:rsid w:val="003B1132"/>
    <w:rsid w:val="003B1620"/>
    <w:rsid w:val="003B1661"/>
    <w:rsid w:val="003B175D"/>
    <w:rsid w:val="003B1919"/>
    <w:rsid w:val="003B2A09"/>
    <w:rsid w:val="003B2E43"/>
    <w:rsid w:val="003B2FCF"/>
    <w:rsid w:val="003B317B"/>
    <w:rsid w:val="003B3EC4"/>
    <w:rsid w:val="003B3FD2"/>
    <w:rsid w:val="003B4059"/>
    <w:rsid w:val="003B4407"/>
    <w:rsid w:val="003B440E"/>
    <w:rsid w:val="003B453B"/>
    <w:rsid w:val="003B5066"/>
    <w:rsid w:val="003B51D0"/>
    <w:rsid w:val="003B5254"/>
    <w:rsid w:val="003B533E"/>
    <w:rsid w:val="003B5747"/>
    <w:rsid w:val="003B580F"/>
    <w:rsid w:val="003B5CEA"/>
    <w:rsid w:val="003B6230"/>
    <w:rsid w:val="003B63DD"/>
    <w:rsid w:val="003B642F"/>
    <w:rsid w:val="003B673D"/>
    <w:rsid w:val="003B6A7F"/>
    <w:rsid w:val="003B6D65"/>
    <w:rsid w:val="003B730A"/>
    <w:rsid w:val="003B7840"/>
    <w:rsid w:val="003B794D"/>
    <w:rsid w:val="003B7AF0"/>
    <w:rsid w:val="003B7CC3"/>
    <w:rsid w:val="003B7F41"/>
    <w:rsid w:val="003B7F88"/>
    <w:rsid w:val="003C0183"/>
    <w:rsid w:val="003C0AB2"/>
    <w:rsid w:val="003C0B0E"/>
    <w:rsid w:val="003C1054"/>
    <w:rsid w:val="003C175D"/>
    <w:rsid w:val="003C1CFB"/>
    <w:rsid w:val="003C24DF"/>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4FB1"/>
    <w:rsid w:val="003C529F"/>
    <w:rsid w:val="003C5FC9"/>
    <w:rsid w:val="003C63D3"/>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49A"/>
    <w:rsid w:val="003D3537"/>
    <w:rsid w:val="003D35E6"/>
    <w:rsid w:val="003D377F"/>
    <w:rsid w:val="003D3A06"/>
    <w:rsid w:val="003D3CB2"/>
    <w:rsid w:val="003D3D91"/>
    <w:rsid w:val="003D3EC2"/>
    <w:rsid w:val="003D4708"/>
    <w:rsid w:val="003D472C"/>
    <w:rsid w:val="003D477A"/>
    <w:rsid w:val="003D4961"/>
    <w:rsid w:val="003D4BC1"/>
    <w:rsid w:val="003D4D86"/>
    <w:rsid w:val="003D5469"/>
    <w:rsid w:val="003D5847"/>
    <w:rsid w:val="003D614C"/>
    <w:rsid w:val="003D619A"/>
    <w:rsid w:val="003D6556"/>
    <w:rsid w:val="003D65F4"/>
    <w:rsid w:val="003D6DD5"/>
    <w:rsid w:val="003D6F9A"/>
    <w:rsid w:val="003D6F9E"/>
    <w:rsid w:val="003D7078"/>
    <w:rsid w:val="003D758E"/>
    <w:rsid w:val="003D7C86"/>
    <w:rsid w:val="003D7CF9"/>
    <w:rsid w:val="003E01B9"/>
    <w:rsid w:val="003E0352"/>
    <w:rsid w:val="003E05BD"/>
    <w:rsid w:val="003E0976"/>
    <w:rsid w:val="003E0A15"/>
    <w:rsid w:val="003E0C71"/>
    <w:rsid w:val="003E0C99"/>
    <w:rsid w:val="003E12D0"/>
    <w:rsid w:val="003E14BE"/>
    <w:rsid w:val="003E182D"/>
    <w:rsid w:val="003E1937"/>
    <w:rsid w:val="003E1A59"/>
    <w:rsid w:val="003E1AFB"/>
    <w:rsid w:val="003E213F"/>
    <w:rsid w:val="003E26B2"/>
    <w:rsid w:val="003E2B86"/>
    <w:rsid w:val="003E3046"/>
    <w:rsid w:val="003E3205"/>
    <w:rsid w:val="003E32E1"/>
    <w:rsid w:val="003E32FE"/>
    <w:rsid w:val="003E345C"/>
    <w:rsid w:val="003E3615"/>
    <w:rsid w:val="003E3F41"/>
    <w:rsid w:val="003E3F95"/>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8DF"/>
    <w:rsid w:val="003F0949"/>
    <w:rsid w:val="003F0C38"/>
    <w:rsid w:val="003F0D7C"/>
    <w:rsid w:val="003F0DD9"/>
    <w:rsid w:val="003F1223"/>
    <w:rsid w:val="003F12E9"/>
    <w:rsid w:val="003F1321"/>
    <w:rsid w:val="003F177A"/>
    <w:rsid w:val="003F1AB9"/>
    <w:rsid w:val="003F1BBE"/>
    <w:rsid w:val="003F1C13"/>
    <w:rsid w:val="003F1FD6"/>
    <w:rsid w:val="003F2676"/>
    <w:rsid w:val="003F26FE"/>
    <w:rsid w:val="003F2A44"/>
    <w:rsid w:val="003F2ABB"/>
    <w:rsid w:val="003F2C11"/>
    <w:rsid w:val="003F301F"/>
    <w:rsid w:val="003F3377"/>
    <w:rsid w:val="003F33B7"/>
    <w:rsid w:val="003F35CA"/>
    <w:rsid w:val="003F37FD"/>
    <w:rsid w:val="003F3854"/>
    <w:rsid w:val="003F39AE"/>
    <w:rsid w:val="003F3A52"/>
    <w:rsid w:val="003F3EF1"/>
    <w:rsid w:val="003F45B2"/>
    <w:rsid w:val="003F4679"/>
    <w:rsid w:val="003F4B62"/>
    <w:rsid w:val="003F513D"/>
    <w:rsid w:val="003F59F4"/>
    <w:rsid w:val="003F5B16"/>
    <w:rsid w:val="003F5CD7"/>
    <w:rsid w:val="003F5CD8"/>
    <w:rsid w:val="003F5EA4"/>
    <w:rsid w:val="003F5FDD"/>
    <w:rsid w:val="003F6086"/>
    <w:rsid w:val="003F60E1"/>
    <w:rsid w:val="003F648C"/>
    <w:rsid w:val="003F65E8"/>
    <w:rsid w:val="003F6633"/>
    <w:rsid w:val="003F66FD"/>
    <w:rsid w:val="003F672A"/>
    <w:rsid w:val="003F7000"/>
    <w:rsid w:val="003F72E7"/>
    <w:rsid w:val="003F73E3"/>
    <w:rsid w:val="003F757E"/>
    <w:rsid w:val="003F764A"/>
    <w:rsid w:val="003F7E6D"/>
    <w:rsid w:val="003F7F49"/>
    <w:rsid w:val="0040032A"/>
    <w:rsid w:val="0040033C"/>
    <w:rsid w:val="00400494"/>
    <w:rsid w:val="004004F6"/>
    <w:rsid w:val="0040078F"/>
    <w:rsid w:val="004010AA"/>
    <w:rsid w:val="004017DF"/>
    <w:rsid w:val="00401A68"/>
    <w:rsid w:val="00401B69"/>
    <w:rsid w:val="00401FB2"/>
    <w:rsid w:val="0040214B"/>
    <w:rsid w:val="00402280"/>
    <w:rsid w:val="00402B37"/>
    <w:rsid w:val="00402BA1"/>
    <w:rsid w:val="00402DC6"/>
    <w:rsid w:val="0040313C"/>
    <w:rsid w:val="0040351E"/>
    <w:rsid w:val="0040360D"/>
    <w:rsid w:val="00403882"/>
    <w:rsid w:val="00403A03"/>
    <w:rsid w:val="00404701"/>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07C3D"/>
    <w:rsid w:val="00407D15"/>
    <w:rsid w:val="004104BE"/>
    <w:rsid w:val="00410883"/>
    <w:rsid w:val="00410A5C"/>
    <w:rsid w:val="00410C9B"/>
    <w:rsid w:val="00411033"/>
    <w:rsid w:val="00411317"/>
    <w:rsid w:val="004115E1"/>
    <w:rsid w:val="004116F3"/>
    <w:rsid w:val="004117A8"/>
    <w:rsid w:val="00411A53"/>
    <w:rsid w:val="00411BEF"/>
    <w:rsid w:val="00411DA8"/>
    <w:rsid w:val="00411F0F"/>
    <w:rsid w:val="00411F5D"/>
    <w:rsid w:val="004121E7"/>
    <w:rsid w:val="0041312D"/>
    <w:rsid w:val="004136DA"/>
    <w:rsid w:val="00413E20"/>
    <w:rsid w:val="00414334"/>
    <w:rsid w:val="004145A8"/>
    <w:rsid w:val="00414665"/>
    <w:rsid w:val="00414673"/>
    <w:rsid w:val="0041473B"/>
    <w:rsid w:val="0041478B"/>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7F6"/>
    <w:rsid w:val="004179E2"/>
    <w:rsid w:val="00417A54"/>
    <w:rsid w:val="00417A99"/>
    <w:rsid w:val="00417E60"/>
    <w:rsid w:val="004202E1"/>
    <w:rsid w:val="004203EF"/>
    <w:rsid w:val="00420435"/>
    <w:rsid w:val="0042094B"/>
    <w:rsid w:val="00420BDF"/>
    <w:rsid w:val="00420F04"/>
    <w:rsid w:val="004210BA"/>
    <w:rsid w:val="004213A2"/>
    <w:rsid w:val="004213A6"/>
    <w:rsid w:val="004214FC"/>
    <w:rsid w:val="00421870"/>
    <w:rsid w:val="004228C6"/>
    <w:rsid w:val="00422D03"/>
    <w:rsid w:val="00423099"/>
    <w:rsid w:val="0042313E"/>
    <w:rsid w:val="0042347C"/>
    <w:rsid w:val="00423728"/>
    <w:rsid w:val="004237D1"/>
    <w:rsid w:val="00423A75"/>
    <w:rsid w:val="00423CBD"/>
    <w:rsid w:val="004240A9"/>
    <w:rsid w:val="004241CE"/>
    <w:rsid w:val="00424200"/>
    <w:rsid w:val="00424564"/>
    <w:rsid w:val="00424A3E"/>
    <w:rsid w:val="00424CB7"/>
    <w:rsid w:val="00424D0A"/>
    <w:rsid w:val="00424E79"/>
    <w:rsid w:val="00424FA9"/>
    <w:rsid w:val="0042558E"/>
    <w:rsid w:val="00425BA1"/>
    <w:rsid w:val="00426178"/>
    <w:rsid w:val="00426515"/>
    <w:rsid w:val="0042661C"/>
    <w:rsid w:val="00426BEC"/>
    <w:rsid w:val="00426D98"/>
    <w:rsid w:val="00427271"/>
    <w:rsid w:val="004274B3"/>
    <w:rsid w:val="00427808"/>
    <w:rsid w:val="00427F27"/>
    <w:rsid w:val="0043009C"/>
    <w:rsid w:val="00430294"/>
    <w:rsid w:val="004303AB"/>
    <w:rsid w:val="0043044F"/>
    <w:rsid w:val="004305D1"/>
    <w:rsid w:val="0043062E"/>
    <w:rsid w:val="00430734"/>
    <w:rsid w:val="0043076A"/>
    <w:rsid w:val="004309F2"/>
    <w:rsid w:val="00430BDD"/>
    <w:rsid w:val="0043113F"/>
    <w:rsid w:val="00431785"/>
    <w:rsid w:val="00431B17"/>
    <w:rsid w:val="00432048"/>
    <w:rsid w:val="0043226B"/>
    <w:rsid w:val="004323EB"/>
    <w:rsid w:val="00432540"/>
    <w:rsid w:val="00432D78"/>
    <w:rsid w:val="00432E48"/>
    <w:rsid w:val="00432ED2"/>
    <w:rsid w:val="004332B3"/>
    <w:rsid w:val="00433469"/>
    <w:rsid w:val="00433529"/>
    <w:rsid w:val="0043362C"/>
    <w:rsid w:val="00433721"/>
    <w:rsid w:val="00433BAD"/>
    <w:rsid w:val="00433C2A"/>
    <w:rsid w:val="00433F36"/>
    <w:rsid w:val="00433FEE"/>
    <w:rsid w:val="004344BF"/>
    <w:rsid w:val="0043452F"/>
    <w:rsid w:val="004345D6"/>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836"/>
    <w:rsid w:val="0044097E"/>
    <w:rsid w:val="00440C8C"/>
    <w:rsid w:val="004412FA"/>
    <w:rsid w:val="0044167F"/>
    <w:rsid w:val="004418E1"/>
    <w:rsid w:val="00441CBC"/>
    <w:rsid w:val="00441F98"/>
    <w:rsid w:val="0044207C"/>
    <w:rsid w:val="00442E9B"/>
    <w:rsid w:val="004438E4"/>
    <w:rsid w:val="00443B94"/>
    <w:rsid w:val="00443E1F"/>
    <w:rsid w:val="00443EC1"/>
    <w:rsid w:val="0044403E"/>
    <w:rsid w:val="004441D6"/>
    <w:rsid w:val="00444240"/>
    <w:rsid w:val="004443E1"/>
    <w:rsid w:val="00444719"/>
    <w:rsid w:val="0044566E"/>
    <w:rsid w:val="00445871"/>
    <w:rsid w:val="00446754"/>
    <w:rsid w:val="00446A96"/>
    <w:rsid w:val="00446C68"/>
    <w:rsid w:val="00446D05"/>
    <w:rsid w:val="00446F26"/>
    <w:rsid w:val="004470B8"/>
    <w:rsid w:val="0044756C"/>
    <w:rsid w:val="00447666"/>
    <w:rsid w:val="00447725"/>
    <w:rsid w:val="004477FF"/>
    <w:rsid w:val="00447AC9"/>
    <w:rsid w:val="00447CE7"/>
    <w:rsid w:val="00447CF8"/>
    <w:rsid w:val="00447D1A"/>
    <w:rsid w:val="00447D60"/>
    <w:rsid w:val="004501D4"/>
    <w:rsid w:val="004502B2"/>
    <w:rsid w:val="00450452"/>
    <w:rsid w:val="0045047E"/>
    <w:rsid w:val="004504E9"/>
    <w:rsid w:val="00450CD9"/>
    <w:rsid w:val="00451433"/>
    <w:rsid w:val="00451970"/>
    <w:rsid w:val="00451AE0"/>
    <w:rsid w:val="00451E80"/>
    <w:rsid w:val="0045235E"/>
    <w:rsid w:val="00452434"/>
    <w:rsid w:val="00452631"/>
    <w:rsid w:val="00452EAE"/>
    <w:rsid w:val="00452EF2"/>
    <w:rsid w:val="00452FEC"/>
    <w:rsid w:val="00453264"/>
    <w:rsid w:val="0045350E"/>
    <w:rsid w:val="0045402E"/>
    <w:rsid w:val="004551F2"/>
    <w:rsid w:val="0045521A"/>
    <w:rsid w:val="0045526D"/>
    <w:rsid w:val="00455597"/>
    <w:rsid w:val="00455FF0"/>
    <w:rsid w:val="00456226"/>
    <w:rsid w:val="0045628F"/>
    <w:rsid w:val="004562B8"/>
    <w:rsid w:val="0045650E"/>
    <w:rsid w:val="004568D7"/>
    <w:rsid w:val="00456B79"/>
    <w:rsid w:val="00456E0B"/>
    <w:rsid w:val="00456E5D"/>
    <w:rsid w:val="00456EF1"/>
    <w:rsid w:val="004574E7"/>
    <w:rsid w:val="004575B3"/>
    <w:rsid w:val="00457981"/>
    <w:rsid w:val="00457990"/>
    <w:rsid w:val="00457A2D"/>
    <w:rsid w:val="00457C7C"/>
    <w:rsid w:val="00457E4D"/>
    <w:rsid w:val="00460114"/>
    <w:rsid w:val="0046147A"/>
    <w:rsid w:val="00461688"/>
    <w:rsid w:val="0046174C"/>
    <w:rsid w:val="004619E0"/>
    <w:rsid w:val="00461CDE"/>
    <w:rsid w:val="00462036"/>
    <w:rsid w:val="0046222A"/>
    <w:rsid w:val="00462499"/>
    <w:rsid w:val="00462914"/>
    <w:rsid w:val="00462B54"/>
    <w:rsid w:val="00462E94"/>
    <w:rsid w:val="00463064"/>
    <w:rsid w:val="0046334D"/>
    <w:rsid w:val="004633A5"/>
    <w:rsid w:val="004636C5"/>
    <w:rsid w:val="004637AF"/>
    <w:rsid w:val="00463DB5"/>
    <w:rsid w:val="004640FD"/>
    <w:rsid w:val="00464118"/>
    <w:rsid w:val="004649CD"/>
    <w:rsid w:val="00464C37"/>
    <w:rsid w:val="0046508C"/>
    <w:rsid w:val="004651AE"/>
    <w:rsid w:val="00465385"/>
    <w:rsid w:val="0046558A"/>
    <w:rsid w:val="004655EC"/>
    <w:rsid w:val="004656CF"/>
    <w:rsid w:val="00465B4D"/>
    <w:rsid w:val="00465D65"/>
    <w:rsid w:val="00465E91"/>
    <w:rsid w:val="0046651B"/>
    <w:rsid w:val="00466690"/>
    <w:rsid w:val="00466750"/>
    <w:rsid w:val="004667C3"/>
    <w:rsid w:val="00466805"/>
    <w:rsid w:val="0046685B"/>
    <w:rsid w:val="00466DBF"/>
    <w:rsid w:val="00466FC4"/>
    <w:rsid w:val="004670A0"/>
    <w:rsid w:val="0046770A"/>
    <w:rsid w:val="00467954"/>
    <w:rsid w:val="00467A5C"/>
    <w:rsid w:val="00467ABD"/>
    <w:rsid w:val="00467CEA"/>
    <w:rsid w:val="00467E2B"/>
    <w:rsid w:val="00470BAE"/>
    <w:rsid w:val="0047131C"/>
    <w:rsid w:val="00471411"/>
    <w:rsid w:val="00471956"/>
    <w:rsid w:val="00471D36"/>
    <w:rsid w:val="00471DEC"/>
    <w:rsid w:val="00471FC1"/>
    <w:rsid w:val="00471FF6"/>
    <w:rsid w:val="00472408"/>
    <w:rsid w:val="00472461"/>
    <w:rsid w:val="00472495"/>
    <w:rsid w:val="004724BE"/>
    <w:rsid w:val="004727AD"/>
    <w:rsid w:val="004728E2"/>
    <w:rsid w:val="00472B98"/>
    <w:rsid w:val="00472DEE"/>
    <w:rsid w:val="00473141"/>
    <w:rsid w:val="004732C2"/>
    <w:rsid w:val="004732CA"/>
    <w:rsid w:val="00473C3D"/>
    <w:rsid w:val="00473D92"/>
    <w:rsid w:val="00473EBA"/>
    <w:rsid w:val="004742A1"/>
    <w:rsid w:val="0047438A"/>
    <w:rsid w:val="00474445"/>
    <w:rsid w:val="004744AC"/>
    <w:rsid w:val="0047451E"/>
    <w:rsid w:val="00474835"/>
    <w:rsid w:val="00474EA2"/>
    <w:rsid w:val="00475B95"/>
    <w:rsid w:val="00475BFE"/>
    <w:rsid w:val="00475C23"/>
    <w:rsid w:val="00475C50"/>
    <w:rsid w:val="00476229"/>
    <w:rsid w:val="004762F3"/>
    <w:rsid w:val="004764E9"/>
    <w:rsid w:val="0047652C"/>
    <w:rsid w:val="00476CB2"/>
    <w:rsid w:val="00477042"/>
    <w:rsid w:val="0047711B"/>
    <w:rsid w:val="00477404"/>
    <w:rsid w:val="00477612"/>
    <w:rsid w:val="00477C42"/>
    <w:rsid w:val="00480065"/>
    <w:rsid w:val="00480562"/>
    <w:rsid w:val="00480564"/>
    <w:rsid w:val="004808B8"/>
    <w:rsid w:val="004809B8"/>
    <w:rsid w:val="00480DD9"/>
    <w:rsid w:val="00480EFF"/>
    <w:rsid w:val="0048119A"/>
    <w:rsid w:val="0048143C"/>
    <w:rsid w:val="00481708"/>
    <w:rsid w:val="004817E9"/>
    <w:rsid w:val="00481813"/>
    <w:rsid w:val="00481CFE"/>
    <w:rsid w:val="00481E29"/>
    <w:rsid w:val="00481F10"/>
    <w:rsid w:val="004820FA"/>
    <w:rsid w:val="004821B9"/>
    <w:rsid w:val="004824F0"/>
    <w:rsid w:val="00482758"/>
    <w:rsid w:val="004828B1"/>
    <w:rsid w:val="0048302C"/>
    <w:rsid w:val="00483217"/>
    <w:rsid w:val="00483341"/>
    <w:rsid w:val="0048347E"/>
    <w:rsid w:val="00483A69"/>
    <w:rsid w:val="00484AA6"/>
    <w:rsid w:val="00484D05"/>
    <w:rsid w:val="00485301"/>
    <w:rsid w:val="00485601"/>
    <w:rsid w:val="00485612"/>
    <w:rsid w:val="00485A0F"/>
    <w:rsid w:val="00485DD4"/>
    <w:rsid w:val="00485F13"/>
    <w:rsid w:val="00486093"/>
    <w:rsid w:val="0048632D"/>
    <w:rsid w:val="004865A0"/>
    <w:rsid w:val="00486D8F"/>
    <w:rsid w:val="00486DA3"/>
    <w:rsid w:val="00486E2E"/>
    <w:rsid w:val="0048701F"/>
    <w:rsid w:val="00487170"/>
    <w:rsid w:val="00487498"/>
    <w:rsid w:val="00487D40"/>
    <w:rsid w:val="004902A7"/>
    <w:rsid w:val="00490742"/>
    <w:rsid w:val="004908BF"/>
    <w:rsid w:val="00490A31"/>
    <w:rsid w:val="004910A6"/>
    <w:rsid w:val="00491575"/>
    <w:rsid w:val="004916CB"/>
    <w:rsid w:val="0049183D"/>
    <w:rsid w:val="00491880"/>
    <w:rsid w:val="00491D88"/>
    <w:rsid w:val="00491FDF"/>
    <w:rsid w:val="00492271"/>
    <w:rsid w:val="004925BF"/>
    <w:rsid w:val="00492669"/>
    <w:rsid w:val="004926AE"/>
    <w:rsid w:val="004927D8"/>
    <w:rsid w:val="004928BF"/>
    <w:rsid w:val="00493021"/>
    <w:rsid w:val="00493277"/>
    <w:rsid w:val="004935ED"/>
    <w:rsid w:val="00493631"/>
    <w:rsid w:val="00493708"/>
    <w:rsid w:val="00493BE7"/>
    <w:rsid w:val="00493ED9"/>
    <w:rsid w:val="004942B5"/>
    <w:rsid w:val="0049430E"/>
    <w:rsid w:val="00494989"/>
    <w:rsid w:val="00494BE5"/>
    <w:rsid w:val="00494E80"/>
    <w:rsid w:val="0049508D"/>
    <w:rsid w:val="004958AC"/>
    <w:rsid w:val="00495FD4"/>
    <w:rsid w:val="0049605C"/>
    <w:rsid w:val="004963D5"/>
    <w:rsid w:val="004965C1"/>
    <w:rsid w:val="004965F7"/>
    <w:rsid w:val="00496605"/>
    <w:rsid w:val="004966F6"/>
    <w:rsid w:val="0049687E"/>
    <w:rsid w:val="004969AF"/>
    <w:rsid w:val="00496BE5"/>
    <w:rsid w:val="00496DA4"/>
    <w:rsid w:val="00496FB1"/>
    <w:rsid w:val="004970F8"/>
    <w:rsid w:val="0049723C"/>
    <w:rsid w:val="00497552"/>
    <w:rsid w:val="004975AD"/>
    <w:rsid w:val="00497950"/>
    <w:rsid w:val="00497A33"/>
    <w:rsid w:val="00497BFA"/>
    <w:rsid w:val="00497FBF"/>
    <w:rsid w:val="004A0172"/>
    <w:rsid w:val="004A053D"/>
    <w:rsid w:val="004A06F9"/>
    <w:rsid w:val="004A134B"/>
    <w:rsid w:val="004A1635"/>
    <w:rsid w:val="004A1D47"/>
    <w:rsid w:val="004A1FCC"/>
    <w:rsid w:val="004A2565"/>
    <w:rsid w:val="004A267A"/>
    <w:rsid w:val="004A29BD"/>
    <w:rsid w:val="004A2F18"/>
    <w:rsid w:val="004A2FFD"/>
    <w:rsid w:val="004A3183"/>
    <w:rsid w:val="004A325C"/>
    <w:rsid w:val="004A363F"/>
    <w:rsid w:val="004A3873"/>
    <w:rsid w:val="004A3974"/>
    <w:rsid w:val="004A39C9"/>
    <w:rsid w:val="004A3B78"/>
    <w:rsid w:val="004A3D3A"/>
    <w:rsid w:val="004A4036"/>
    <w:rsid w:val="004A40B0"/>
    <w:rsid w:val="004A41FB"/>
    <w:rsid w:val="004A4309"/>
    <w:rsid w:val="004A46FF"/>
    <w:rsid w:val="004A4A56"/>
    <w:rsid w:val="004A4BFA"/>
    <w:rsid w:val="004A4CBD"/>
    <w:rsid w:val="004A5552"/>
    <w:rsid w:val="004A56B1"/>
    <w:rsid w:val="004A5A65"/>
    <w:rsid w:val="004A5F4C"/>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BCE"/>
    <w:rsid w:val="004A7C06"/>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55C"/>
    <w:rsid w:val="004B370E"/>
    <w:rsid w:val="004B37D3"/>
    <w:rsid w:val="004B3804"/>
    <w:rsid w:val="004B3B67"/>
    <w:rsid w:val="004B3BF2"/>
    <w:rsid w:val="004B3E57"/>
    <w:rsid w:val="004B4507"/>
    <w:rsid w:val="004B46BB"/>
    <w:rsid w:val="004B4928"/>
    <w:rsid w:val="004B4BD6"/>
    <w:rsid w:val="004B5014"/>
    <w:rsid w:val="004B545E"/>
    <w:rsid w:val="004B5772"/>
    <w:rsid w:val="004B5C07"/>
    <w:rsid w:val="004B60CB"/>
    <w:rsid w:val="004B63F5"/>
    <w:rsid w:val="004B6673"/>
    <w:rsid w:val="004B6784"/>
    <w:rsid w:val="004B6894"/>
    <w:rsid w:val="004B6BAA"/>
    <w:rsid w:val="004B6E81"/>
    <w:rsid w:val="004B6E89"/>
    <w:rsid w:val="004B7153"/>
    <w:rsid w:val="004B7591"/>
    <w:rsid w:val="004B75AD"/>
    <w:rsid w:val="004B7652"/>
    <w:rsid w:val="004B77DF"/>
    <w:rsid w:val="004B7B95"/>
    <w:rsid w:val="004C0650"/>
    <w:rsid w:val="004C07D9"/>
    <w:rsid w:val="004C10FE"/>
    <w:rsid w:val="004C12D1"/>
    <w:rsid w:val="004C14AA"/>
    <w:rsid w:val="004C17C6"/>
    <w:rsid w:val="004C1CB5"/>
    <w:rsid w:val="004C217F"/>
    <w:rsid w:val="004C228B"/>
    <w:rsid w:val="004C29CF"/>
    <w:rsid w:val="004C2B4C"/>
    <w:rsid w:val="004C2DEE"/>
    <w:rsid w:val="004C30EF"/>
    <w:rsid w:val="004C37DA"/>
    <w:rsid w:val="004C3B79"/>
    <w:rsid w:val="004C4088"/>
    <w:rsid w:val="004C484D"/>
    <w:rsid w:val="004C4C21"/>
    <w:rsid w:val="004C507A"/>
    <w:rsid w:val="004C50F1"/>
    <w:rsid w:val="004C5141"/>
    <w:rsid w:val="004C5197"/>
    <w:rsid w:val="004C5366"/>
    <w:rsid w:val="004C5579"/>
    <w:rsid w:val="004C5665"/>
    <w:rsid w:val="004C5C5F"/>
    <w:rsid w:val="004C5F4F"/>
    <w:rsid w:val="004C63BB"/>
    <w:rsid w:val="004C641F"/>
    <w:rsid w:val="004C6639"/>
    <w:rsid w:val="004C6876"/>
    <w:rsid w:val="004C6ADB"/>
    <w:rsid w:val="004C6BEB"/>
    <w:rsid w:val="004C7143"/>
    <w:rsid w:val="004C7962"/>
    <w:rsid w:val="004C7986"/>
    <w:rsid w:val="004C7B3B"/>
    <w:rsid w:val="004C7D58"/>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DE0"/>
    <w:rsid w:val="004D2E82"/>
    <w:rsid w:val="004D2F55"/>
    <w:rsid w:val="004D3041"/>
    <w:rsid w:val="004D30D2"/>
    <w:rsid w:val="004D31E0"/>
    <w:rsid w:val="004D3287"/>
    <w:rsid w:val="004D34A9"/>
    <w:rsid w:val="004D3571"/>
    <w:rsid w:val="004D3F61"/>
    <w:rsid w:val="004D3F94"/>
    <w:rsid w:val="004D479B"/>
    <w:rsid w:val="004D48FD"/>
    <w:rsid w:val="004D4CF4"/>
    <w:rsid w:val="004D4E8E"/>
    <w:rsid w:val="004D55D1"/>
    <w:rsid w:val="004D56AB"/>
    <w:rsid w:val="004D5FFF"/>
    <w:rsid w:val="004D6797"/>
    <w:rsid w:val="004D693C"/>
    <w:rsid w:val="004D6EF5"/>
    <w:rsid w:val="004D7100"/>
    <w:rsid w:val="004D7660"/>
    <w:rsid w:val="004D76E1"/>
    <w:rsid w:val="004D7E55"/>
    <w:rsid w:val="004E00E7"/>
    <w:rsid w:val="004E094F"/>
    <w:rsid w:val="004E0B48"/>
    <w:rsid w:val="004E0E5A"/>
    <w:rsid w:val="004E10E4"/>
    <w:rsid w:val="004E1204"/>
    <w:rsid w:val="004E1357"/>
    <w:rsid w:val="004E186D"/>
    <w:rsid w:val="004E1F97"/>
    <w:rsid w:val="004E269F"/>
    <w:rsid w:val="004E26C0"/>
    <w:rsid w:val="004E2879"/>
    <w:rsid w:val="004E28A7"/>
    <w:rsid w:val="004E3A95"/>
    <w:rsid w:val="004E3B79"/>
    <w:rsid w:val="004E406C"/>
    <w:rsid w:val="004E420A"/>
    <w:rsid w:val="004E4363"/>
    <w:rsid w:val="004E4825"/>
    <w:rsid w:val="004E4899"/>
    <w:rsid w:val="004E4AAD"/>
    <w:rsid w:val="004E513E"/>
    <w:rsid w:val="004E55D2"/>
    <w:rsid w:val="004E58F1"/>
    <w:rsid w:val="004E59E1"/>
    <w:rsid w:val="004E6073"/>
    <w:rsid w:val="004E6318"/>
    <w:rsid w:val="004E6499"/>
    <w:rsid w:val="004E6719"/>
    <w:rsid w:val="004E6B7D"/>
    <w:rsid w:val="004E6DD8"/>
    <w:rsid w:val="004E7071"/>
    <w:rsid w:val="004E7076"/>
    <w:rsid w:val="004E7104"/>
    <w:rsid w:val="004E7517"/>
    <w:rsid w:val="004E7519"/>
    <w:rsid w:val="004E769A"/>
    <w:rsid w:val="004E7AEB"/>
    <w:rsid w:val="004E7C01"/>
    <w:rsid w:val="004F03D5"/>
    <w:rsid w:val="004F0684"/>
    <w:rsid w:val="004F06A5"/>
    <w:rsid w:val="004F07A1"/>
    <w:rsid w:val="004F10A7"/>
    <w:rsid w:val="004F1173"/>
    <w:rsid w:val="004F148C"/>
    <w:rsid w:val="004F1ACF"/>
    <w:rsid w:val="004F1B50"/>
    <w:rsid w:val="004F1BA7"/>
    <w:rsid w:val="004F2A15"/>
    <w:rsid w:val="004F2A1B"/>
    <w:rsid w:val="004F2C66"/>
    <w:rsid w:val="004F2CB7"/>
    <w:rsid w:val="004F2D6F"/>
    <w:rsid w:val="004F2F39"/>
    <w:rsid w:val="004F2F52"/>
    <w:rsid w:val="004F3156"/>
    <w:rsid w:val="004F31AE"/>
    <w:rsid w:val="004F31D2"/>
    <w:rsid w:val="004F32DC"/>
    <w:rsid w:val="004F341F"/>
    <w:rsid w:val="004F383C"/>
    <w:rsid w:val="004F3850"/>
    <w:rsid w:val="004F3A8E"/>
    <w:rsid w:val="004F3B60"/>
    <w:rsid w:val="004F3C63"/>
    <w:rsid w:val="004F3EEB"/>
    <w:rsid w:val="004F3F7A"/>
    <w:rsid w:val="004F4244"/>
    <w:rsid w:val="004F4389"/>
    <w:rsid w:val="004F491F"/>
    <w:rsid w:val="004F4A13"/>
    <w:rsid w:val="004F4D10"/>
    <w:rsid w:val="004F502A"/>
    <w:rsid w:val="004F5098"/>
    <w:rsid w:val="004F53E2"/>
    <w:rsid w:val="004F585C"/>
    <w:rsid w:val="004F58D3"/>
    <w:rsid w:val="004F5CEF"/>
    <w:rsid w:val="004F5D2B"/>
    <w:rsid w:val="004F5F48"/>
    <w:rsid w:val="004F5F61"/>
    <w:rsid w:val="004F6230"/>
    <w:rsid w:val="004F628E"/>
    <w:rsid w:val="004F6439"/>
    <w:rsid w:val="004F65C1"/>
    <w:rsid w:val="004F6794"/>
    <w:rsid w:val="004F6B4D"/>
    <w:rsid w:val="004F750C"/>
    <w:rsid w:val="004F7531"/>
    <w:rsid w:val="004F7F0B"/>
    <w:rsid w:val="004F7F2F"/>
    <w:rsid w:val="0050005E"/>
    <w:rsid w:val="00500160"/>
    <w:rsid w:val="005003BB"/>
    <w:rsid w:val="00500586"/>
    <w:rsid w:val="005007A5"/>
    <w:rsid w:val="005007BA"/>
    <w:rsid w:val="00500A3C"/>
    <w:rsid w:val="00500ACD"/>
    <w:rsid w:val="00500BE1"/>
    <w:rsid w:val="00500D49"/>
    <w:rsid w:val="00500FC1"/>
    <w:rsid w:val="00500FCE"/>
    <w:rsid w:val="00501138"/>
    <w:rsid w:val="00501181"/>
    <w:rsid w:val="005012C0"/>
    <w:rsid w:val="005015C6"/>
    <w:rsid w:val="005017F8"/>
    <w:rsid w:val="00501A5D"/>
    <w:rsid w:val="00501B3A"/>
    <w:rsid w:val="00501C81"/>
    <w:rsid w:val="00501CF6"/>
    <w:rsid w:val="00501F21"/>
    <w:rsid w:val="00501F36"/>
    <w:rsid w:val="00501F68"/>
    <w:rsid w:val="00501F6F"/>
    <w:rsid w:val="00501FFE"/>
    <w:rsid w:val="00502C17"/>
    <w:rsid w:val="00502C52"/>
    <w:rsid w:val="0050331A"/>
    <w:rsid w:val="00503344"/>
    <w:rsid w:val="0050371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2B9"/>
    <w:rsid w:val="00511662"/>
    <w:rsid w:val="005117F7"/>
    <w:rsid w:val="00511C48"/>
    <w:rsid w:val="00511CE8"/>
    <w:rsid w:val="00511D3F"/>
    <w:rsid w:val="00511D63"/>
    <w:rsid w:val="00512025"/>
    <w:rsid w:val="00512684"/>
    <w:rsid w:val="005127C1"/>
    <w:rsid w:val="0051299B"/>
    <w:rsid w:val="00512B7C"/>
    <w:rsid w:val="00512BD8"/>
    <w:rsid w:val="00512CC3"/>
    <w:rsid w:val="0051339F"/>
    <w:rsid w:val="00513553"/>
    <w:rsid w:val="005138B1"/>
    <w:rsid w:val="00513DC7"/>
    <w:rsid w:val="00513E6D"/>
    <w:rsid w:val="00513F21"/>
    <w:rsid w:val="00514161"/>
    <w:rsid w:val="00514559"/>
    <w:rsid w:val="00514685"/>
    <w:rsid w:val="00514A33"/>
    <w:rsid w:val="00514B25"/>
    <w:rsid w:val="00515380"/>
    <w:rsid w:val="005153F3"/>
    <w:rsid w:val="0051549E"/>
    <w:rsid w:val="005155DD"/>
    <w:rsid w:val="005155F1"/>
    <w:rsid w:val="00515B60"/>
    <w:rsid w:val="00515DC1"/>
    <w:rsid w:val="00516118"/>
    <w:rsid w:val="0051639F"/>
    <w:rsid w:val="00516651"/>
    <w:rsid w:val="00516C18"/>
    <w:rsid w:val="005171F2"/>
    <w:rsid w:val="00517280"/>
    <w:rsid w:val="005176CA"/>
    <w:rsid w:val="0051783F"/>
    <w:rsid w:val="00517A74"/>
    <w:rsid w:val="00517B22"/>
    <w:rsid w:val="00520091"/>
    <w:rsid w:val="00520372"/>
    <w:rsid w:val="00520495"/>
    <w:rsid w:val="00520530"/>
    <w:rsid w:val="005205F3"/>
    <w:rsid w:val="005206F3"/>
    <w:rsid w:val="00520D09"/>
    <w:rsid w:val="00520FFC"/>
    <w:rsid w:val="0052116B"/>
    <w:rsid w:val="00521244"/>
    <w:rsid w:val="005213EB"/>
    <w:rsid w:val="00521758"/>
    <w:rsid w:val="00521D13"/>
    <w:rsid w:val="00521F7D"/>
    <w:rsid w:val="00522656"/>
    <w:rsid w:val="00522660"/>
    <w:rsid w:val="005227A8"/>
    <w:rsid w:val="00522967"/>
    <w:rsid w:val="005235D1"/>
    <w:rsid w:val="005236C0"/>
    <w:rsid w:val="00523C7A"/>
    <w:rsid w:val="00523DCF"/>
    <w:rsid w:val="00524457"/>
    <w:rsid w:val="0052445F"/>
    <w:rsid w:val="005244E9"/>
    <w:rsid w:val="00524A7D"/>
    <w:rsid w:val="00524E4E"/>
    <w:rsid w:val="00525147"/>
    <w:rsid w:val="00525268"/>
    <w:rsid w:val="00525367"/>
    <w:rsid w:val="005253CA"/>
    <w:rsid w:val="005253FC"/>
    <w:rsid w:val="005256A7"/>
    <w:rsid w:val="00525867"/>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A1C"/>
    <w:rsid w:val="00527F6D"/>
    <w:rsid w:val="00530736"/>
    <w:rsid w:val="00530C32"/>
    <w:rsid w:val="00530D37"/>
    <w:rsid w:val="00530D5C"/>
    <w:rsid w:val="00530DB1"/>
    <w:rsid w:val="005312A7"/>
    <w:rsid w:val="00531B3F"/>
    <w:rsid w:val="00531FA2"/>
    <w:rsid w:val="00532494"/>
    <w:rsid w:val="00532B13"/>
    <w:rsid w:val="00532CB2"/>
    <w:rsid w:val="00532D10"/>
    <w:rsid w:val="00533149"/>
    <w:rsid w:val="0053352F"/>
    <w:rsid w:val="0053371D"/>
    <w:rsid w:val="00533B84"/>
    <w:rsid w:val="00534131"/>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6ED4"/>
    <w:rsid w:val="00537146"/>
    <w:rsid w:val="00537904"/>
    <w:rsid w:val="00537A77"/>
    <w:rsid w:val="00537A7E"/>
    <w:rsid w:val="00537C63"/>
    <w:rsid w:val="00537D09"/>
    <w:rsid w:val="00540020"/>
    <w:rsid w:val="00540310"/>
    <w:rsid w:val="005408E1"/>
    <w:rsid w:val="00540EB6"/>
    <w:rsid w:val="00540F9D"/>
    <w:rsid w:val="0054154D"/>
    <w:rsid w:val="00541A14"/>
    <w:rsid w:val="005420F8"/>
    <w:rsid w:val="0054211F"/>
    <w:rsid w:val="005422EE"/>
    <w:rsid w:val="00542B38"/>
    <w:rsid w:val="00542D62"/>
    <w:rsid w:val="00542E34"/>
    <w:rsid w:val="005431F6"/>
    <w:rsid w:val="00543419"/>
    <w:rsid w:val="00543462"/>
    <w:rsid w:val="00543834"/>
    <w:rsid w:val="0054390B"/>
    <w:rsid w:val="00543A5B"/>
    <w:rsid w:val="00543ABD"/>
    <w:rsid w:val="00543F9C"/>
    <w:rsid w:val="005442F4"/>
    <w:rsid w:val="00544300"/>
    <w:rsid w:val="00544405"/>
    <w:rsid w:val="005446DF"/>
    <w:rsid w:val="00544774"/>
    <w:rsid w:val="005449F8"/>
    <w:rsid w:val="00544BF1"/>
    <w:rsid w:val="00545290"/>
    <w:rsid w:val="00545C42"/>
    <w:rsid w:val="00545D06"/>
    <w:rsid w:val="00545DB7"/>
    <w:rsid w:val="00545DDB"/>
    <w:rsid w:val="00545F2D"/>
    <w:rsid w:val="005461AA"/>
    <w:rsid w:val="005462D0"/>
    <w:rsid w:val="00546ACD"/>
    <w:rsid w:val="00546AD0"/>
    <w:rsid w:val="00546C79"/>
    <w:rsid w:val="00546D15"/>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1F01"/>
    <w:rsid w:val="005524B0"/>
    <w:rsid w:val="00552B0F"/>
    <w:rsid w:val="00552C3B"/>
    <w:rsid w:val="00552CD2"/>
    <w:rsid w:val="00552F7C"/>
    <w:rsid w:val="00552FCC"/>
    <w:rsid w:val="0055344F"/>
    <w:rsid w:val="00553893"/>
    <w:rsid w:val="00553964"/>
    <w:rsid w:val="00553D16"/>
    <w:rsid w:val="00553DFB"/>
    <w:rsid w:val="00554139"/>
    <w:rsid w:val="00554316"/>
    <w:rsid w:val="00554894"/>
    <w:rsid w:val="00554A84"/>
    <w:rsid w:val="00554F08"/>
    <w:rsid w:val="00554FFD"/>
    <w:rsid w:val="005551EB"/>
    <w:rsid w:val="00555219"/>
    <w:rsid w:val="005555DB"/>
    <w:rsid w:val="0055584F"/>
    <w:rsid w:val="0055587F"/>
    <w:rsid w:val="00555AE0"/>
    <w:rsid w:val="00555AEC"/>
    <w:rsid w:val="00555B16"/>
    <w:rsid w:val="00555CD7"/>
    <w:rsid w:val="00555F09"/>
    <w:rsid w:val="00555F1C"/>
    <w:rsid w:val="00556028"/>
    <w:rsid w:val="00556EFB"/>
    <w:rsid w:val="00557296"/>
    <w:rsid w:val="005575B2"/>
    <w:rsid w:val="005577B0"/>
    <w:rsid w:val="00557B39"/>
    <w:rsid w:val="0056013B"/>
    <w:rsid w:val="00560192"/>
    <w:rsid w:val="00560EEC"/>
    <w:rsid w:val="00560FFF"/>
    <w:rsid w:val="005611CE"/>
    <w:rsid w:val="00561241"/>
    <w:rsid w:val="00561AB3"/>
    <w:rsid w:val="00562084"/>
    <w:rsid w:val="005621E5"/>
    <w:rsid w:val="005623EA"/>
    <w:rsid w:val="005626AD"/>
    <w:rsid w:val="005629E7"/>
    <w:rsid w:val="00562EA1"/>
    <w:rsid w:val="005630B7"/>
    <w:rsid w:val="005632E4"/>
    <w:rsid w:val="0056375B"/>
    <w:rsid w:val="005638BF"/>
    <w:rsid w:val="00563DF2"/>
    <w:rsid w:val="00564369"/>
    <w:rsid w:val="00564B82"/>
    <w:rsid w:val="00564C58"/>
    <w:rsid w:val="005652D7"/>
    <w:rsid w:val="00565333"/>
    <w:rsid w:val="0056574F"/>
    <w:rsid w:val="005658BD"/>
    <w:rsid w:val="00565AA0"/>
    <w:rsid w:val="00565BB7"/>
    <w:rsid w:val="00565DB9"/>
    <w:rsid w:val="00565FDA"/>
    <w:rsid w:val="0056644A"/>
    <w:rsid w:val="0056644C"/>
    <w:rsid w:val="005669BC"/>
    <w:rsid w:val="00566AD4"/>
    <w:rsid w:val="00566D15"/>
    <w:rsid w:val="00567154"/>
    <w:rsid w:val="00567562"/>
    <w:rsid w:val="005675DF"/>
    <w:rsid w:val="005679ED"/>
    <w:rsid w:val="00567BDA"/>
    <w:rsid w:val="00567BE3"/>
    <w:rsid w:val="00567DE1"/>
    <w:rsid w:val="0057088F"/>
    <w:rsid w:val="00570EED"/>
    <w:rsid w:val="00570F18"/>
    <w:rsid w:val="00570FFA"/>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2F7A"/>
    <w:rsid w:val="00573587"/>
    <w:rsid w:val="00573B54"/>
    <w:rsid w:val="00573F56"/>
    <w:rsid w:val="005744F6"/>
    <w:rsid w:val="00574B37"/>
    <w:rsid w:val="00575129"/>
    <w:rsid w:val="00575440"/>
    <w:rsid w:val="005754ED"/>
    <w:rsid w:val="005759D1"/>
    <w:rsid w:val="00575AE0"/>
    <w:rsid w:val="00575B15"/>
    <w:rsid w:val="00575B53"/>
    <w:rsid w:val="00575CAC"/>
    <w:rsid w:val="00575DEF"/>
    <w:rsid w:val="00575F16"/>
    <w:rsid w:val="00576956"/>
    <w:rsid w:val="00576C43"/>
    <w:rsid w:val="00576C5F"/>
    <w:rsid w:val="00576CAE"/>
    <w:rsid w:val="00576FB7"/>
    <w:rsid w:val="00577004"/>
    <w:rsid w:val="00577192"/>
    <w:rsid w:val="005771F0"/>
    <w:rsid w:val="0057740D"/>
    <w:rsid w:val="005774BA"/>
    <w:rsid w:val="0057758E"/>
    <w:rsid w:val="005778C8"/>
    <w:rsid w:val="005778EF"/>
    <w:rsid w:val="00577A25"/>
    <w:rsid w:val="00577A7F"/>
    <w:rsid w:val="0058013F"/>
    <w:rsid w:val="005801A4"/>
    <w:rsid w:val="00580A06"/>
    <w:rsid w:val="00581130"/>
    <w:rsid w:val="0058131B"/>
    <w:rsid w:val="005816FA"/>
    <w:rsid w:val="005818C7"/>
    <w:rsid w:val="0058211D"/>
    <w:rsid w:val="005822B7"/>
    <w:rsid w:val="0058248A"/>
    <w:rsid w:val="005826EA"/>
    <w:rsid w:val="00582E24"/>
    <w:rsid w:val="0058358D"/>
    <w:rsid w:val="00583690"/>
    <w:rsid w:val="0058385F"/>
    <w:rsid w:val="00583A33"/>
    <w:rsid w:val="00583DAA"/>
    <w:rsid w:val="00583E24"/>
    <w:rsid w:val="00583EAD"/>
    <w:rsid w:val="00583F94"/>
    <w:rsid w:val="0058453E"/>
    <w:rsid w:val="00584619"/>
    <w:rsid w:val="00584BE4"/>
    <w:rsid w:val="00584BFC"/>
    <w:rsid w:val="00584C91"/>
    <w:rsid w:val="005852F7"/>
    <w:rsid w:val="0058546C"/>
    <w:rsid w:val="005854C4"/>
    <w:rsid w:val="00585A79"/>
    <w:rsid w:val="00585D6F"/>
    <w:rsid w:val="005860AF"/>
    <w:rsid w:val="00586485"/>
    <w:rsid w:val="005867D2"/>
    <w:rsid w:val="0058687D"/>
    <w:rsid w:val="005869CB"/>
    <w:rsid w:val="005870E2"/>
    <w:rsid w:val="00587143"/>
    <w:rsid w:val="0058724E"/>
    <w:rsid w:val="005875A5"/>
    <w:rsid w:val="00587876"/>
    <w:rsid w:val="0058798E"/>
    <w:rsid w:val="0059013D"/>
    <w:rsid w:val="00590781"/>
    <w:rsid w:val="00590862"/>
    <w:rsid w:val="005908A6"/>
    <w:rsid w:val="005909A8"/>
    <w:rsid w:val="00590D4E"/>
    <w:rsid w:val="00590E3D"/>
    <w:rsid w:val="00590E89"/>
    <w:rsid w:val="005910E0"/>
    <w:rsid w:val="00591A8B"/>
    <w:rsid w:val="00591C16"/>
    <w:rsid w:val="00592808"/>
    <w:rsid w:val="005929C0"/>
    <w:rsid w:val="00592A0D"/>
    <w:rsid w:val="00592A8E"/>
    <w:rsid w:val="00592B45"/>
    <w:rsid w:val="00592FC4"/>
    <w:rsid w:val="0059338D"/>
    <w:rsid w:val="00593FA4"/>
    <w:rsid w:val="00594376"/>
    <w:rsid w:val="005944B6"/>
    <w:rsid w:val="00594A61"/>
    <w:rsid w:val="00594F1D"/>
    <w:rsid w:val="00594F6F"/>
    <w:rsid w:val="005953AD"/>
    <w:rsid w:val="00595590"/>
    <w:rsid w:val="005956B6"/>
    <w:rsid w:val="005956E3"/>
    <w:rsid w:val="00595894"/>
    <w:rsid w:val="00595996"/>
    <w:rsid w:val="00595D51"/>
    <w:rsid w:val="00596154"/>
    <w:rsid w:val="00596185"/>
    <w:rsid w:val="005963CC"/>
    <w:rsid w:val="0059683D"/>
    <w:rsid w:val="00596841"/>
    <w:rsid w:val="00596861"/>
    <w:rsid w:val="00596C9B"/>
    <w:rsid w:val="00596E19"/>
    <w:rsid w:val="00596E80"/>
    <w:rsid w:val="00597740"/>
    <w:rsid w:val="005978AA"/>
    <w:rsid w:val="0059794D"/>
    <w:rsid w:val="00597AA8"/>
    <w:rsid w:val="005A02D7"/>
    <w:rsid w:val="005A07F1"/>
    <w:rsid w:val="005A0E45"/>
    <w:rsid w:val="005A1113"/>
    <w:rsid w:val="005A1369"/>
    <w:rsid w:val="005A16FB"/>
    <w:rsid w:val="005A1986"/>
    <w:rsid w:val="005A1C6F"/>
    <w:rsid w:val="005A1C71"/>
    <w:rsid w:val="005A1F59"/>
    <w:rsid w:val="005A2049"/>
    <w:rsid w:val="005A241E"/>
    <w:rsid w:val="005A27FB"/>
    <w:rsid w:val="005A284F"/>
    <w:rsid w:val="005A28B4"/>
    <w:rsid w:val="005A2FEF"/>
    <w:rsid w:val="005A3072"/>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5789"/>
    <w:rsid w:val="005A61A7"/>
    <w:rsid w:val="005A61F3"/>
    <w:rsid w:val="005A627D"/>
    <w:rsid w:val="005A6656"/>
    <w:rsid w:val="005A6675"/>
    <w:rsid w:val="005A6AB9"/>
    <w:rsid w:val="005A6F61"/>
    <w:rsid w:val="005A6F92"/>
    <w:rsid w:val="005A6FED"/>
    <w:rsid w:val="005A70C2"/>
    <w:rsid w:val="005A70E5"/>
    <w:rsid w:val="005A71D2"/>
    <w:rsid w:val="005A7323"/>
    <w:rsid w:val="005A777A"/>
    <w:rsid w:val="005A78B2"/>
    <w:rsid w:val="005A78D8"/>
    <w:rsid w:val="005A7A57"/>
    <w:rsid w:val="005A7AA4"/>
    <w:rsid w:val="005B05E7"/>
    <w:rsid w:val="005B0AE8"/>
    <w:rsid w:val="005B0B39"/>
    <w:rsid w:val="005B0DEB"/>
    <w:rsid w:val="005B10EF"/>
    <w:rsid w:val="005B13CE"/>
    <w:rsid w:val="005B166A"/>
    <w:rsid w:val="005B18F9"/>
    <w:rsid w:val="005B1910"/>
    <w:rsid w:val="005B1A25"/>
    <w:rsid w:val="005B1B3E"/>
    <w:rsid w:val="005B1BC4"/>
    <w:rsid w:val="005B1D50"/>
    <w:rsid w:val="005B2836"/>
    <w:rsid w:val="005B2C40"/>
    <w:rsid w:val="005B2D3D"/>
    <w:rsid w:val="005B2D65"/>
    <w:rsid w:val="005B3A67"/>
    <w:rsid w:val="005B3B14"/>
    <w:rsid w:val="005B3C66"/>
    <w:rsid w:val="005B3D11"/>
    <w:rsid w:val="005B3E83"/>
    <w:rsid w:val="005B411C"/>
    <w:rsid w:val="005B4BA3"/>
    <w:rsid w:val="005B4E4D"/>
    <w:rsid w:val="005B5538"/>
    <w:rsid w:val="005B5D5F"/>
    <w:rsid w:val="005B63BD"/>
    <w:rsid w:val="005B63CD"/>
    <w:rsid w:val="005B6661"/>
    <w:rsid w:val="005B668D"/>
    <w:rsid w:val="005B6894"/>
    <w:rsid w:val="005B6B61"/>
    <w:rsid w:val="005B6C18"/>
    <w:rsid w:val="005B6E5D"/>
    <w:rsid w:val="005B6ED8"/>
    <w:rsid w:val="005B6F74"/>
    <w:rsid w:val="005B6FEC"/>
    <w:rsid w:val="005B6FF5"/>
    <w:rsid w:val="005B7121"/>
    <w:rsid w:val="005B7243"/>
    <w:rsid w:val="005B74BF"/>
    <w:rsid w:val="005B74DB"/>
    <w:rsid w:val="005B779C"/>
    <w:rsid w:val="005B7B2E"/>
    <w:rsid w:val="005B7B47"/>
    <w:rsid w:val="005C01A8"/>
    <w:rsid w:val="005C06F8"/>
    <w:rsid w:val="005C072C"/>
    <w:rsid w:val="005C0E15"/>
    <w:rsid w:val="005C1023"/>
    <w:rsid w:val="005C1384"/>
    <w:rsid w:val="005C13B2"/>
    <w:rsid w:val="005C17A1"/>
    <w:rsid w:val="005C1815"/>
    <w:rsid w:val="005C185E"/>
    <w:rsid w:val="005C1AEC"/>
    <w:rsid w:val="005C1B19"/>
    <w:rsid w:val="005C1FC1"/>
    <w:rsid w:val="005C27E3"/>
    <w:rsid w:val="005C3136"/>
    <w:rsid w:val="005C3267"/>
    <w:rsid w:val="005C33AA"/>
    <w:rsid w:val="005C37CB"/>
    <w:rsid w:val="005C38B6"/>
    <w:rsid w:val="005C3BE8"/>
    <w:rsid w:val="005C3EF8"/>
    <w:rsid w:val="005C3FE3"/>
    <w:rsid w:val="005C4100"/>
    <w:rsid w:val="005C43CC"/>
    <w:rsid w:val="005C459C"/>
    <w:rsid w:val="005C475A"/>
    <w:rsid w:val="005C5131"/>
    <w:rsid w:val="005C56D6"/>
    <w:rsid w:val="005C5AB2"/>
    <w:rsid w:val="005C5C95"/>
    <w:rsid w:val="005C6030"/>
    <w:rsid w:val="005C614F"/>
    <w:rsid w:val="005C6E26"/>
    <w:rsid w:val="005C71FB"/>
    <w:rsid w:val="005C74C5"/>
    <w:rsid w:val="005C76CC"/>
    <w:rsid w:val="005C7775"/>
    <w:rsid w:val="005C7FCF"/>
    <w:rsid w:val="005D02FB"/>
    <w:rsid w:val="005D1457"/>
    <w:rsid w:val="005D14B9"/>
    <w:rsid w:val="005D162C"/>
    <w:rsid w:val="005D1A9F"/>
    <w:rsid w:val="005D1C71"/>
    <w:rsid w:val="005D1D91"/>
    <w:rsid w:val="005D2729"/>
    <w:rsid w:val="005D28CC"/>
    <w:rsid w:val="005D292F"/>
    <w:rsid w:val="005D2A87"/>
    <w:rsid w:val="005D3264"/>
    <w:rsid w:val="005D3310"/>
    <w:rsid w:val="005D34EA"/>
    <w:rsid w:val="005D3593"/>
    <w:rsid w:val="005D368B"/>
    <w:rsid w:val="005D3E8E"/>
    <w:rsid w:val="005D40A9"/>
    <w:rsid w:val="005D42BD"/>
    <w:rsid w:val="005D45B5"/>
    <w:rsid w:val="005D4661"/>
    <w:rsid w:val="005D4C57"/>
    <w:rsid w:val="005D4FE1"/>
    <w:rsid w:val="005D5075"/>
    <w:rsid w:val="005D50C0"/>
    <w:rsid w:val="005D5151"/>
    <w:rsid w:val="005D52FA"/>
    <w:rsid w:val="005D5403"/>
    <w:rsid w:val="005D600F"/>
    <w:rsid w:val="005D6013"/>
    <w:rsid w:val="005D6612"/>
    <w:rsid w:val="005D66F5"/>
    <w:rsid w:val="005D697E"/>
    <w:rsid w:val="005D7088"/>
    <w:rsid w:val="005D76AE"/>
    <w:rsid w:val="005D76DE"/>
    <w:rsid w:val="005D7713"/>
    <w:rsid w:val="005D777B"/>
    <w:rsid w:val="005D77DE"/>
    <w:rsid w:val="005D7A66"/>
    <w:rsid w:val="005D7D18"/>
    <w:rsid w:val="005D7D29"/>
    <w:rsid w:val="005D7EBF"/>
    <w:rsid w:val="005E010D"/>
    <w:rsid w:val="005E041E"/>
    <w:rsid w:val="005E05A1"/>
    <w:rsid w:val="005E09E4"/>
    <w:rsid w:val="005E0D78"/>
    <w:rsid w:val="005E1577"/>
    <w:rsid w:val="005E1726"/>
    <w:rsid w:val="005E198C"/>
    <w:rsid w:val="005E214C"/>
    <w:rsid w:val="005E235A"/>
    <w:rsid w:val="005E2513"/>
    <w:rsid w:val="005E25C0"/>
    <w:rsid w:val="005E266F"/>
    <w:rsid w:val="005E2BCF"/>
    <w:rsid w:val="005E2FA1"/>
    <w:rsid w:val="005E38DE"/>
    <w:rsid w:val="005E392B"/>
    <w:rsid w:val="005E3AEB"/>
    <w:rsid w:val="005E3B4C"/>
    <w:rsid w:val="005E3BB8"/>
    <w:rsid w:val="005E3D89"/>
    <w:rsid w:val="005E3F34"/>
    <w:rsid w:val="005E421C"/>
    <w:rsid w:val="005E4241"/>
    <w:rsid w:val="005E44ED"/>
    <w:rsid w:val="005E4544"/>
    <w:rsid w:val="005E4D1D"/>
    <w:rsid w:val="005E4EF0"/>
    <w:rsid w:val="005E50E8"/>
    <w:rsid w:val="005E5734"/>
    <w:rsid w:val="005E5741"/>
    <w:rsid w:val="005E5EC3"/>
    <w:rsid w:val="005E602B"/>
    <w:rsid w:val="005E6150"/>
    <w:rsid w:val="005E61B6"/>
    <w:rsid w:val="005E633D"/>
    <w:rsid w:val="005E6487"/>
    <w:rsid w:val="005E651F"/>
    <w:rsid w:val="005E664C"/>
    <w:rsid w:val="005E6971"/>
    <w:rsid w:val="005E6C23"/>
    <w:rsid w:val="005E6D4E"/>
    <w:rsid w:val="005E72B5"/>
    <w:rsid w:val="005E73CE"/>
    <w:rsid w:val="005E77E3"/>
    <w:rsid w:val="005F042B"/>
    <w:rsid w:val="005F0616"/>
    <w:rsid w:val="005F0727"/>
    <w:rsid w:val="005F07DC"/>
    <w:rsid w:val="005F089A"/>
    <w:rsid w:val="005F0B90"/>
    <w:rsid w:val="005F0C34"/>
    <w:rsid w:val="005F0EAB"/>
    <w:rsid w:val="005F0FB4"/>
    <w:rsid w:val="005F13BD"/>
    <w:rsid w:val="005F1859"/>
    <w:rsid w:val="005F1AC8"/>
    <w:rsid w:val="005F1B25"/>
    <w:rsid w:val="005F2055"/>
    <w:rsid w:val="005F21AF"/>
    <w:rsid w:val="005F21FB"/>
    <w:rsid w:val="005F257C"/>
    <w:rsid w:val="005F25E2"/>
    <w:rsid w:val="005F27E3"/>
    <w:rsid w:val="005F2B4F"/>
    <w:rsid w:val="005F3449"/>
    <w:rsid w:val="005F347F"/>
    <w:rsid w:val="005F35AA"/>
    <w:rsid w:val="005F38CE"/>
    <w:rsid w:val="005F40DE"/>
    <w:rsid w:val="005F4420"/>
    <w:rsid w:val="005F4421"/>
    <w:rsid w:val="005F4927"/>
    <w:rsid w:val="005F49F4"/>
    <w:rsid w:val="005F4ABD"/>
    <w:rsid w:val="005F4B7D"/>
    <w:rsid w:val="005F4B98"/>
    <w:rsid w:val="005F4D34"/>
    <w:rsid w:val="005F4DB6"/>
    <w:rsid w:val="005F4E65"/>
    <w:rsid w:val="005F4E9E"/>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7E"/>
    <w:rsid w:val="005F789F"/>
    <w:rsid w:val="006000CD"/>
    <w:rsid w:val="006000FB"/>
    <w:rsid w:val="00600265"/>
    <w:rsid w:val="006006E4"/>
    <w:rsid w:val="00600754"/>
    <w:rsid w:val="0060119A"/>
    <w:rsid w:val="006022D0"/>
    <w:rsid w:val="0060251E"/>
    <w:rsid w:val="00602A68"/>
    <w:rsid w:val="00602DDE"/>
    <w:rsid w:val="00602E0C"/>
    <w:rsid w:val="0060339B"/>
    <w:rsid w:val="0060351D"/>
    <w:rsid w:val="00603552"/>
    <w:rsid w:val="00603A1B"/>
    <w:rsid w:val="00603A55"/>
    <w:rsid w:val="006046E4"/>
    <w:rsid w:val="00604AB4"/>
    <w:rsid w:val="00604BC5"/>
    <w:rsid w:val="00604D85"/>
    <w:rsid w:val="00605037"/>
    <w:rsid w:val="0060550D"/>
    <w:rsid w:val="0060577C"/>
    <w:rsid w:val="006058B4"/>
    <w:rsid w:val="006059B6"/>
    <w:rsid w:val="00605E04"/>
    <w:rsid w:val="00605E0D"/>
    <w:rsid w:val="00605FFE"/>
    <w:rsid w:val="006063F2"/>
    <w:rsid w:val="0060650C"/>
    <w:rsid w:val="00606B37"/>
    <w:rsid w:val="00606FF6"/>
    <w:rsid w:val="00607252"/>
    <w:rsid w:val="00607624"/>
    <w:rsid w:val="00607C2E"/>
    <w:rsid w:val="00607FD3"/>
    <w:rsid w:val="00610137"/>
    <w:rsid w:val="0061018E"/>
    <w:rsid w:val="0061038C"/>
    <w:rsid w:val="006106C1"/>
    <w:rsid w:val="006106F4"/>
    <w:rsid w:val="0061099E"/>
    <w:rsid w:val="00610B28"/>
    <w:rsid w:val="00610F52"/>
    <w:rsid w:val="00611100"/>
    <w:rsid w:val="0061124A"/>
    <w:rsid w:val="006112D0"/>
    <w:rsid w:val="0061167D"/>
    <w:rsid w:val="0061169D"/>
    <w:rsid w:val="00611737"/>
    <w:rsid w:val="00611752"/>
    <w:rsid w:val="00611B07"/>
    <w:rsid w:val="00611C1D"/>
    <w:rsid w:val="00611C60"/>
    <w:rsid w:val="00611F0D"/>
    <w:rsid w:val="00612019"/>
    <w:rsid w:val="00612388"/>
    <w:rsid w:val="00612904"/>
    <w:rsid w:val="00612E25"/>
    <w:rsid w:val="00612E32"/>
    <w:rsid w:val="00612FDD"/>
    <w:rsid w:val="006133A6"/>
    <w:rsid w:val="006134CA"/>
    <w:rsid w:val="006136FB"/>
    <w:rsid w:val="00613846"/>
    <w:rsid w:val="00613ECE"/>
    <w:rsid w:val="0061461E"/>
    <w:rsid w:val="00614646"/>
    <w:rsid w:val="006146DE"/>
    <w:rsid w:val="006148C3"/>
    <w:rsid w:val="006148E3"/>
    <w:rsid w:val="00614932"/>
    <w:rsid w:val="0061494C"/>
    <w:rsid w:val="00614B35"/>
    <w:rsid w:val="00614DE8"/>
    <w:rsid w:val="006152D6"/>
    <w:rsid w:val="006154EE"/>
    <w:rsid w:val="00615531"/>
    <w:rsid w:val="00615A35"/>
    <w:rsid w:val="00616164"/>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0CCF"/>
    <w:rsid w:val="0062140E"/>
    <w:rsid w:val="00622143"/>
    <w:rsid w:val="00622388"/>
    <w:rsid w:val="00622669"/>
    <w:rsid w:val="0062286A"/>
    <w:rsid w:val="0062293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DB5"/>
    <w:rsid w:val="00624F4E"/>
    <w:rsid w:val="00624F7C"/>
    <w:rsid w:val="00624FDC"/>
    <w:rsid w:val="006253B7"/>
    <w:rsid w:val="00625C1A"/>
    <w:rsid w:val="00625C77"/>
    <w:rsid w:val="00625CE5"/>
    <w:rsid w:val="00625EE9"/>
    <w:rsid w:val="00626071"/>
    <w:rsid w:val="00626216"/>
    <w:rsid w:val="00626652"/>
    <w:rsid w:val="0062674E"/>
    <w:rsid w:val="006267E9"/>
    <w:rsid w:val="00626BC6"/>
    <w:rsid w:val="00626C37"/>
    <w:rsid w:val="00626C39"/>
    <w:rsid w:val="00626F07"/>
    <w:rsid w:val="00626FCF"/>
    <w:rsid w:val="0062707D"/>
    <w:rsid w:val="0062723D"/>
    <w:rsid w:val="00627378"/>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346"/>
    <w:rsid w:val="00633535"/>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6B8"/>
    <w:rsid w:val="00636EBB"/>
    <w:rsid w:val="00637170"/>
    <w:rsid w:val="00637208"/>
    <w:rsid w:val="006374E0"/>
    <w:rsid w:val="0063757E"/>
    <w:rsid w:val="00637764"/>
    <w:rsid w:val="00637C38"/>
    <w:rsid w:val="00637CBA"/>
    <w:rsid w:val="0064029A"/>
    <w:rsid w:val="00640576"/>
    <w:rsid w:val="0064059A"/>
    <w:rsid w:val="00640962"/>
    <w:rsid w:val="00640AC5"/>
    <w:rsid w:val="0064126C"/>
    <w:rsid w:val="006413AA"/>
    <w:rsid w:val="006416D2"/>
    <w:rsid w:val="00641A83"/>
    <w:rsid w:val="00641D62"/>
    <w:rsid w:val="00641D96"/>
    <w:rsid w:val="006423AA"/>
    <w:rsid w:val="00642E37"/>
    <w:rsid w:val="00642F08"/>
    <w:rsid w:val="0064319B"/>
    <w:rsid w:val="006431C8"/>
    <w:rsid w:val="006435A9"/>
    <w:rsid w:val="00643AF4"/>
    <w:rsid w:val="00643E35"/>
    <w:rsid w:val="006440CF"/>
    <w:rsid w:val="00644178"/>
    <w:rsid w:val="006441F6"/>
    <w:rsid w:val="0064422A"/>
    <w:rsid w:val="00644A7B"/>
    <w:rsid w:val="00644D3A"/>
    <w:rsid w:val="00644DE9"/>
    <w:rsid w:val="00644E76"/>
    <w:rsid w:val="00644FC4"/>
    <w:rsid w:val="0064513F"/>
    <w:rsid w:val="0064516B"/>
    <w:rsid w:val="006455AF"/>
    <w:rsid w:val="00645747"/>
    <w:rsid w:val="00645BDE"/>
    <w:rsid w:val="00645E59"/>
    <w:rsid w:val="00645F5B"/>
    <w:rsid w:val="006465C3"/>
    <w:rsid w:val="0064669D"/>
    <w:rsid w:val="00646C6F"/>
    <w:rsid w:val="006470C4"/>
    <w:rsid w:val="00647163"/>
    <w:rsid w:val="0064720C"/>
    <w:rsid w:val="0064722E"/>
    <w:rsid w:val="006478DF"/>
    <w:rsid w:val="00647934"/>
    <w:rsid w:val="00647A7F"/>
    <w:rsid w:val="006500E7"/>
    <w:rsid w:val="00650360"/>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4B3"/>
    <w:rsid w:val="0065394F"/>
    <w:rsid w:val="00653A6A"/>
    <w:rsid w:val="00653B1B"/>
    <w:rsid w:val="006541F5"/>
    <w:rsid w:val="006543BA"/>
    <w:rsid w:val="00654926"/>
    <w:rsid w:val="00654D72"/>
    <w:rsid w:val="006553F3"/>
    <w:rsid w:val="006556D1"/>
    <w:rsid w:val="006556D9"/>
    <w:rsid w:val="00655AEE"/>
    <w:rsid w:val="00655BB2"/>
    <w:rsid w:val="00655EF5"/>
    <w:rsid w:val="0065607A"/>
    <w:rsid w:val="006560C5"/>
    <w:rsid w:val="006564CB"/>
    <w:rsid w:val="006565F7"/>
    <w:rsid w:val="006566BF"/>
    <w:rsid w:val="00656CDB"/>
    <w:rsid w:val="00656D89"/>
    <w:rsid w:val="00656DA0"/>
    <w:rsid w:val="0065709E"/>
    <w:rsid w:val="00657123"/>
    <w:rsid w:val="00657189"/>
    <w:rsid w:val="0065724E"/>
    <w:rsid w:val="006576EC"/>
    <w:rsid w:val="00657F90"/>
    <w:rsid w:val="006600DB"/>
    <w:rsid w:val="006613C0"/>
    <w:rsid w:val="0066194E"/>
    <w:rsid w:val="00661C46"/>
    <w:rsid w:val="0066202F"/>
    <w:rsid w:val="006622A8"/>
    <w:rsid w:val="006626BE"/>
    <w:rsid w:val="00662AE4"/>
    <w:rsid w:val="006630FC"/>
    <w:rsid w:val="00663147"/>
    <w:rsid w:val="00663344"/>
    <w:rsid w:val="00663C93"/>
    <w:rsid w:val="00663DFB"/>
    <w:rsid w:val="00663F1D"/>
    <w:rsid w:val="006640D0"/>
    <w:rsid w:val="00664416"/>
    <w:rsid w:val="006644E1"/>
    <w:rsid w:val="006645EC"/>
    <w:rsid w:val="00664642"/>
    <w:rsid w:val="00664674"/>
    <w:rsid w:val="00664C0C"/>
    <w:rsid w:val="0066506E"/>
    <w:rsid w:val="00665285"/>
    <w:rsid w:val="006652D3"/>
    <w:rsid w:val="0066540D"/>
    <w:rsid w:val="00665561"/>
    <w:rsid w:val="00665888"/>
    <w:rsid w:val="00665FCB"/>
    <w:rsid w:val="00666CBE"/>
    <w:rsid w:val="00666DEF"/>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0A2"/>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8D0"/>
    <w:rsid w:val="006819A3"/>
    <w:rsid w:val="00681D51"/>
    <w:rsid w:val="00681E2F"/>
    <w:rsid w:val="00682129"/>
    <w:rsid w:val="006825B5"/>
    <w:rsid w:val="0068266C"/>
    <w:rsid w:val="006826C4"/>
    <w:rsid w:val="0068295D"/>
    <w:rsid w:val="00682E55"/>
    <w:rsid w:val="0068340E"/>
    <w:rsid w:val="00683528"/>
    <w:rsid w:val="00683722"/>
    <w:rsid w:val="00683D2F"/>
    <w:rsid w:val="00683F2A"/>
    <w:rsid w:val="0068403E"/>
    <w:rsid w:val="00684044"/>
    <w:rsid w:val="006840B2"/>
    <w:rsid w:val="006843F6"/>
    <w:rsid w:val="0068491F"/>
    <w:rsid w:val="00684F4C"/>
    <w:rsid w:val="006851A2"/>
    <w:rsid w:val="0068563E"/>
    <w:rsid w:val="00685DE4"/>
    <w:rsid w:val="00686118"/>
    <w:rsid w:val="006861C0"/>
    <w:rsid w:val="00686596"/>
    <w:rsid w:val="006867C7"/>
    <w:rsid w:val="00686CC2"/>
    <w:rsid w:val="00686D2A"/>
    <w:rsid w:val="00686F00"/>
    <w:rsid w:val="00687C97"/>
    <w:rsid w:val="00687D5A"/>
    <w:rsid w:val="0069000B"/>
    <w:rsid w:val="00690324"/>
    <w:rsid w:val="006904C2"/>
    <w:rsid w:val="006904DD"/>
    <w:rsid w:val="00690524"/>
    <w:rsid w:val="00690E71"/>
    <w:rsid w:val="006911C8"/>
    <w:rsid w:val="00691459"/>
    <w:rsid w:val="00692D12"/>
    <w:rsid w:val="00692E87"/>
    <w:rsid w:val="00693137"/>
    <w:rsid w:val="00693531"/>
    <w:rsid w:val="00693842"/>
    <w:rsid w:val="00693888"/>
    <w:rsid w:val="00693C87"/>
    <w:rsid w:val="00693D3E"/>
    <w:rsid w:val="0069457A"/>
    <w:rsid w:val="006949A7"/>
    <w:rsid w:val="00694B65"/>
    <w:rsid w:val="00694C69"/>
    <w:rsid w:val="00694C83"/>
    <w:rsid w:val="00694D53"/>
    <w:rsid w:val="00694E58"/>
    <w:rsid w:val="00694FD4"/>
    <w:rsid w:val="006951CE"/>
    <w:rsid w:val="006951E5"/>
    <w:rsid w:val="006951FF"/>
    <w:rsid w:val="00695741"/>
    <w:rsid w:val="00695961"/>
    <w:rsid w:val="00695B5A"/>
    <w:rsid w:val="00695D1E"/>
    <w:rsid w:val="00695FCA"/>
    <w:rsid w:val="00696335"/>
    <w:rsid w:val="00696457"/>
    <w:rsid w:val="00696A4D"/>
    <w:rsid w:val="00696C70"/>
    <w:rsid w:val="00697AC9"/>
    <w:rsid w:val="00697D19"/>
    <w:rsid w:val="006A0052"/>
    <w:rsid w:val="006A05C7"/>
    <w:rsid w:val="006A08CA"/>
    <w:rsid w:val="006A0E43"/>
    <w:rsid w:val="006A102D"/>
    <w:rsid w:val="006A11E4"/>
    <w:rsid w:val="006A15CF"/>
    <w:rsid w:val="006A16F0"/>
    <w:rsid w:val="006A20A4"/>
    <w:rsid w:val="006A2762"/>
    <w:rsid w:val="006A29FF"/>
    <w:rsid w:val="006A2AB9"/>
    <w:rsid w:val="006A2DB4"/>
    <w:rsid w:val="006A2F09"/>
    <w:rsid w:val="006A350E"/>
    <w:rsid w:val="006A4020"/>
    <w:rsid w:val="006A414D"/>
    <w:rsid w:val="006A41F8"/>
    <w:rsid w:val="006A42A5"/>
    <w:rsid w:val="006A451E"/>
    <w:rsid w:val="006A45BB"/>
    <w:rsid w:val="006A4E52"/>
    <w:rsid w:val="006A4F7E"/>
    <w:rsid w:val="006A4FC8"/>
    <w:rsid w:val="006A50F1"/>
    <w:rsid w:val="006A517B"/>
    <w:rsid w:val="006A55E1"/>
    <w:rsid w:val="006A603D"/>
    <w:rsid w:val="006A607B"/>
    <w:rsid w:val="006A60D6"/>
    <w:rsid w:val="006A61EC"/>
    <w:rsid w:val="006A6296"/>
    <w:rsid w:val="006A6D8B"/>
    <w:rsid w:val="006A6E27"/>
    <w:rsid w:val="006A6EAC"/>
    <w:rsid w:val="006A6FB8"/>
    <w:rsid w:val="006A72B0"/>
    <w:rsid w:val="006A74E5"/>
    <w:rsid w:val="006A7885"/>
    <w:rsid w:val="006A7AB4"/>
    <w:rsid w:val="006B02C4"/>
    <w:rsid w:val="006B04FE"/>
    <w:rsid w:val="006B05D4"/>
    <w:rsid w:val="006B075C"/>
    <w:rsid w:val="006B0856"/>
    <w:rsid w:val="006B0894"/>
    <w:rsid w:val="006B18C5"/>
    <w:rsid w:val="006B1932"/>
    <w:rsid w:val="006B1B85"/>
    <w:rsid w:val="006B1F47"/>
    <w:rsid w:val="006B1FDA"/>
    <w:rsid w:val="006B2237"/>
    <w:rsid w:val="006B26C2"/>
    <w:rsid w:val="006B2D79"/>
    <w:rsid w:val="006B36AE"/>
    <w:rsid w:val="006B3980"/>
    <w:rsid w:val="006B3E4D"/>
    <w:rsid w:val="006B3F42"/>
    <w:rsid w:val="006B4120"/>
    <w:rsid w:val="006B417B"/>
    <w:rsid w:val="006B4449"/>
    <w:rsid w:val="006B474F"/>
    <w:rsid w:val="006B4C0C"/>
    <w:rsid w:val="006B4E85"/>
    <w:rsid w:val="006B4EAB"/>
    <w:rsid w:val="006B5091"/>
    <w:rsid w:val="006B50B8"/>
    <w:rsid w:val="006B50F9"/>
    <w:rsid w:val="006B52DD"/>
    <w:rsid w:val="006B5756"/>
    <w:rsid w:val="006B589B"/>
    <w:rsid w:val="006B5A61"/>
    <w:rsid w:val="006B5C4C"/>
    <w:rsid w:val="006B5D79"/>
    <w:rsid w:val="006B5FBC"/>
    <w:rsid w:val="006B64E8"/>
    <w:rsid w:val="006B654C"/>
    <w:rsid w:val="006B6AEF"/>
    <w:rsid w:val="006B6DA1"/>
    <w:rsid w:val="006B73C8"/>
    <w:rsid w:val="006B76C2"/>
    <w:rsid w:val="006B7877"/>
    <w:rsid w:val="006B7AEC"/>
    <w:rsid w:val="006B7CBC"/>
    <w:rsid w:val="006C02CD"/>
    <w:rsid w:val="006C06A9"/>
    <w:rsid w:val="006C0AA0"/>
    <w:rsid w:val="006C1145"/>
    <w:rsid w:val="006C132E"/>
    <w:rsid w:val="006C13A3"/>
    <w:rsid w:val="006C157B"/>
    <w:rsid w:val="006C1822"/>
    <w:rsid w:val="006C1A0E"/>
    <w:rsid w:val="006C21F1"/>
    <w:rsid w:val="006C225F"/>
    <w:rsid w:val="006C2630"/>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CC4"/>
    <w:rsid w:val="006C4F0A"/>
    <w:rsid w:val="006C4FBE"/>
    <w:rsid w:val="006C52B9"/>
    <w:rsid w:val="006C54DC"/>
    <w:rsid w:val="006C559A"/>
    <w:rsid w:val="006C58E3"/>
    <w:rsid w:val="006C5A8D"/>
    <w:rsid w:val="006C5BC6"/>
    <w:rsid w:val="006C5CDD"/>
    <w:rsid w:val="006C5D0C"/>
    <w:rsid w:val="006C5EDE"/>
    <w:rsid w:val="006C6346"/>
    <w:rsid w:val="006C6ED1"/>
    <w:rsid w:val="006C6F64"/>
    <w:rsid w:val="006C6F68"/>
    <w:rsid w:val="006C7BCC"/>
    <w:rsid w:val="006C7FB8"/>
    <w:rsid w:val="006C7FF1"/>
    <w:rsid w:val="006D02AA"/>
    <w:rsid w:val="006D0BC9"/>
    <w:rsid w:val="006D0F89"/>
    <w:rsid w:val="006D1A50"/>
    <w:rsid w:val="006D1C8D"/>
    <w:rsid w:val="006D1DFE"/>
    <w:rsid w:val="006D20A4"/>
    <w:rsid w:val="006D2255"/>
    <w:rsid w:val="006D2560"/>
    <w:rsid w:val="006D2D69"/>
    <w:rsid w:val="006D328B"/>
    <w:rsid w:val="006D35E0"/>
    <w:rsid w:val="006D3620"/>
    <w:rsid w:val="006D41CE"/>
    <w:rsid w:val="006D460E"/>
    <w:rsid w:val="006D472A"/>
    <w:rsid w:val="006D4CA2"/>
    <w:rsid w:val="006D5176"/>
    <w:rsid w:val="006D5201"/>
    <w:rsid w:val="006D5313"/>
    <w:rsid w:val="006D535C"/>
    <w:rsid w:val="006D5510"/>
    <w:rsid w:val="006D55C0"/>
    <w:rsid w:val="006D5820"/>
    <w:rsid w:val="006D5886"/>
    <w:rsid w:val="006D5934"/>
    <w:rsid w:val="006D5F9A"/>
    <w:rsid w:val="006D6476"/>
    <w:rsid w:val="006D661F"/>
    <w:rsid w:val="006D6703"/>
    <w:rsid w:val="006D6944"/>
    <w:rsid w:val="006D6989"/>
    <w:rsid w:val="006D6AA0"/>
    <w:rsid w:val="006D6C58"/>
    <w:rsid w:val="006D6CB6"/>
    <w:rsid w:val="006D6F24"/>
    <w:rsid w:val="006D74ED"/>
    <w:rsid w:val="006D78EB"/>
    <w:rsid w:val="006D7C6D"/>
    <w:rsid w:val="006E058C"/>
    <w:rsid w:val="006E0922"/>
    <w:rsid w:val="006E0B0D"/>
    <w:rsid w:val="006E0D09"/>
    <w:rsid w:val="006E0ED9"/>
    <w:rsid w:val="006E0EF4"/>
    <w:rsid w:val="006E0F5D"/>
    <w:rsid w:val="006E0FA4"/>
    <w:rsid w:val="006E13A6"/>
    <w:rsid w:val="006E13C3"/>
    <w:rsid w:val="006E1629"/>
    <w:rsid w:val="006E16F2"/>
    <w:rsid w:val="006E1C83"/>
    <w:rsid w:val="006E1C98"/>
    <w:rsid w:val="006E2008"/>
    <w:rsid w:val="006E2429"/>
    <w:rsid w:val="006E2656"/>
    <w:rsid w:val="006E2736"/>
    <w:rsid w:val="006E28FF"/>
    <w:rsid w:val="006E2BB3"/>
    <w:rsid w:val="006E3848"/>
    <w:rsid w:val="006E38A2"/>
    <w:rsid w:val="006E3B6C"/>
    <w:rsid w:val="006E3D01"/>
    <w:rsid w:val="006E3DA4"/>
    <w:rsid w:val="006E4021"/>
    <w:rsid w:val="006E402D"/>
    <w:rsid w:val="006E42CD"/>
    <w:rsid w:val="006E4654"/>
    <w:rsid w:val="006E4690"/>
    <w:rsid w:val="006E48EE"/>
    <w:rsid w:val="006E4A43"/>
    <w:rsid w:val="006E4B4C"/>
    <w:rsid w:val="006E50E1"/>
    <w:rsid w:val="006E5147"/>
    <w:rsid w:val="006E5269"/>
    <w:rsid w:val="006E5764"/>
    <w:rsid w:val="006E5934"/>
    <w:rsid w:val="006E5BC2"/>
    <w:rsid w:val="006E5C57"/>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39"/>
    <w:rsid w:val="006F1488"/>
    <w:rsid w:val="006F150F"/>
    <w:rsid w:val="006F1EE3"/>
    <w:rsid w:val="006F1F36"/>
    <w:rsid w:val="006F26B4"/>
    <w:rsid w:val="006F2A0D"/>
    <w:rsid w:val="006F2D0A"/>
    <w:rsid w:val="006F2D7F"/>
    <w:rsid w:val="006F2E12"/>
    <w:rsid w:val="006F319D"/>
    <w:rsid w:val="006F3549"/>
    <w:rsid w:val="006F3ABE"/>
    <w:rsid w:val="006F3C1F"/>
    <w:rsid w:val="006F41A1"/>
    <w:rsid w:val="006F41F0"/>
    <w:rsid w:val="006F45A4"/>
    <w:rsid w:val="006F460D"/>
    <w:rsid w:val="006F474D"/>
    <w:rsid w:val="006F4C65"/>
    <w:rsid w:val="006F4CC9"/>
    <w:rsid w:val="006F4FB4"/>
    <w:rsid w:val="006F524A"/>
    <w:rsid w:val="006F5874"/>
    <w:rsid w:val="006F5A7C"/>
    <w:rsid w:val="006F5CC2"/>
    <w:rsid w:val="006F604A"/>
    <w:rsid w:val="006F6303"/>
    <w:rsid w:val="006F6316"/>
    <w:rsid w:val="006F646C"/>
    <w:rsid w:val="006F65A2"/>
    <w:rsid w:val="006F6885"/>
    <w:rsid w:val="006F6C31"/>
    <w:rsid w:val="006F74B5"/>
    <w:rsid w:val="006F7A56"/>
    <w:rsid w:val="006F7C16"/>
    <w:rsid w:val="006F7DEF"/>
    <w:rsid w:val="0070006B"/>
    <w:rsid w:val="00700735"/>
    <w:rsid w:val="00700CF2"/>
    <w:rsid w:val="00700F78"/>
    <w:rsid w:val="007011CC"/>
    <w:rsid w:val="007012BA"/>
    <w:rsid w:val="0070150E"/>
    <w:rsid w:val="007016DD"/>
    <w:rsid w:val="00701735"/>
    <w:rsid w:val="00701CC3"/>
    <w:rsid w:val="0070205C"/>
    <w:rsid w:val="00702381"/>
    <w:rsid w:val="007024FB"/>
    <w:rsid w:val="00702577"/>
    <w:rsid w:val="00702F8D"/>
    <w:rsid w:val="00703238"/>
    <w:rsid w:val="00703253"/>
    <w:rsid w:val="007032EF"/>
    <w:rsid w:val="0070396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5FC"/>
    <w:rsid w:val="007076A2"/>
    <w:rsid w:val="0070795B"/>
    <w:rsid w:val="00707A4C"/>
    <w:rsid w:val="00707A98"/>
    <w:rsid w:val="00707B0D"/>
    <w:rsid w:val="00707E5B"/>
    <w:rsid w:val="00707F9C"/>
    <w:rsid w:val="00707FE1"/>
    <w:rsid w:val="00710349"/>
    <w:rsid w:val="0071035A"/>
    <w:rsid w:val="0071049B"/>
    <w:rsid w:val="00711412"/>
    <w:rsid w:val="00711738"/>
    <w:rsid w:val="0071179B"/>
    <w:rsid w:val="007117D1"/>
    <w:rsid w:val="00711C71"/>
    <w:rsid w:val="00711D57"/>
    <w:rsid w:val="00713225"/>
    <w:rsid w:val="007134A6"/>
    <w:rsid w:val="00713B79"/>
    <w:rsid w:val="00713BB3"/>
    <w:rsid w:val="00713D0F"/>
    <w:rsid w:val="00713D5F"/>
    <w:rsid w:val="007140E8"/>
    <w:rsid w:val="0071419E"/>
    <w:rsid w:val="007141F4"/>
    <w:rsid w:val="007148F3"/>
    <w:rsid w:val="00714972"/>
    <w:rsid w:val="00714F97"/>
    <w:rsid w:val="0071529D"/>
    <w:rsid w:val="0071548F"/>
    <w:rsid w:val="007161C1"/>
    <w:rsid w:val="0071682C"/>
    <w:rsid w:val="00716B03"/>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B6D"/>
    <w:rsid w:val="00721C77"/>
    <w:rsid w:val="00721D90"/>
    <w:rsid w:val="007223D1"/>
    <w:rsid w:val="0072299A"/>
    <w:rsid w:val="00722B70"/>
    <w:rsid w:val="00722D6F"/>
    <w:rsid w:val="00723062"/>
    <w:rsid w:val="007231DD"/>
    <w:rsid w:val="00723770"/>
    <w:rsid w:val="007239BA"/>
    <w:rsid w:val="00723C10"/>
    <w:rsid w:val="007241BE"/>
    <w:rsid w:val="007243EB"/>
    <w:rsid w:val="00724786"/>
    <w:rsid w:val="0072512A"/>
    <w:rsid w:val="00725356"/>
    <w:rsid w:val="00725966"/>
    <w:rsid w:val="007261CF"/>
    <w:rsid w:val="007262CE"/>
    <w:rsid w:val="00726384"/>
    <w:rsid w:val="007264B1"/>
    <w:rsid w:val="00726A23"/>
    <w:rsid w:val="00726B59"/>
    <w:rsid w:val="00726C80"/>
    <w:rsid w:val="00726F11"/>
    <w:rsid w:val="00726FDC"/>
    <w:rsid w:val="007273BB"/>
    <w:rsid w:val="00727529"/>
    <w:rsid w:val="00727701"/>
    <w:rsid w:val="00727930"/>
    <w:rsid w:val="00727941"/>
    <w:rsid w:val="007279F4"/>
    <w:rsid w:val="00727AAD"/>
    <w:rsid w:val="00730253"/>
    <w:rsid w:val="00730308"/>
    <w:rsid w:val="0073072C"/>
    <w:rsid w:val="0073130B"/>
    <w:rsid w:val="00731769"/>
    <w:rsid w:val="00731EE6"/>
    <w:rsid w:val="0073211A"/>
    <w:rsid w:val="0073271E"/>
    <w:rsid w:val="00732C26"/>
    <w:rsid w:val="00732C2F"/>
    <w:rsid w:val="00732D7D"/>
    <w:rsid w:val="00733081"/>
    <w:rsid w:val="0073347A"/>
    <w:rsid w:val="0073356D"/>
    <w:rsid w:val="0073359C"/>
    <w:rsid w:val="00734249"/>
    <w:rsid w:val="007343D5"/>
    <w:rsid w:val="00734420"/>
    <w:rsid w:val="00734A35"/>
    <w:rsid w:val="00734D16"/>
    <w:rsid w:val="00734F40"/>
    <w:rsid w:val="00734FA3"/>
    <w:rsid w:val="00735025"/>
    <w:rsid w:val="00735404"/>
    <w:rsid w:val="007355A6"/>
    <w:rsid w:val="00735AF5"/>
    <w:rsid w:val="00735C36"/>
    <w:rsid w:val="00735DF2"/>
    <w:rsid w:val="00735F43"/>
    <w:rsid w:val="00736093"/>
    <w:rsid w:val="00736675"/>
    <w:rsid w:val="007368D0"/>
    <w:rsid w:val="00736915"/>
    <w:rsid w:val="00736E5C"/>
    <w:rsid w:val="00737139"/>
    <w:rsid w:val="007371C6"/>
    <w:rsid w:val="007371D7"/>
    <w:rsid w:val="00737503"/>
    <w:rsid w:val="0073790C"/>
    <w:rsid w:val="00737E19"/>
    <w:rsid w:val="00737F87"/>
    <w:rsid w:val="00740368"/>
    <w:rsid w:val="007403DF"/>
    <w:rsid w:val="00740410"/>
    <w:rsid w:val="00740A71"/>
    <w:rsid w:val="00740E94"/>
    <w:rsid w:val="00740FA6"/>
    <w:rsid w:val="00741167"/>
    <w:rsid w:val="0074146C"/>
    <w:rsid w:val="00741B03"/>
    <w:rsid w:val="00741F5A"/>
    <w:rsid w:val="007420C7"/>
    <w:rsid w:val="0074223A"/>
    <w:rsid w:val="00742532"/>
    <w:rsid w:val="00742648"/>
    <w:rsid w:val="00742844"/>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66E3"/>
    <w:rsid w:val="00747126"/>
    <w:rsid w:val="007471F4"/>
    <w:rsid w:val="0074740E"/>
    <w:rsid w:val="007476A0"/>
    <w:rsid w:val="007477C5"/>
    <w:rsid w:val="0074792C"/>
    <w:rsid w:val="00747938"/>
    <w:rsid w:val="00750EC3"/>
    <w:rsid w:val="00750FCF"/>
    <w:rsid w:val="007512B3"/>
    <w:rsid w:val="00751551"/>
    <w:rsid w:val="007515D1"/>
    <w:rsid w:val="007517DA"/>
    <w:rsid w:val="00751B95"/>
    <w:rsid w:val="00751F05"/>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48E4"/>
    <w:rsid w:val="00755467"/>
    <w:rsid w:val="00755800"/>
    <w:rsid w:val="00755817"/>
    <w:rsid w:val="00755A84"/>
    <w:rsid w:val="00755B12"/>
    <w:rsid w:val="00755D93"/>
    <w:rsid w:val="00755DCB"/>
    <w:rsid w:val="00755E5C"/>
    <w:rsid w:val="007564DB"/>
    <w:rsid w:val="007567E1"/>
    <w:rsid w:val="00757035"/>
    <w:rsid w:val="00757186"/>
    <w:rsid w:val="007578E1"/>
    <w:rsid w:val="00757A6A"/>
    <w:rsid w:val="00757CF3"/>
    <w:rsid w:val="0076006D"/>
    <w:rsid w:val="00760768"/>
    <w:rsid w:val="00760BCC"/>
    <w:rsid w:val="0076106B"/>
    <w:rsid w:val="00761471"/>
    <w:rsid w:val="00761830"/>
    <w:rsid w:val="00761A7B"/>
    <w:rsid w:val="00761B62"/>
    <w:rsid w:val="00761D62"/>
    <w:rsid w:val="007621FF"/>
    <w:rsid w:val="007629F7"/>
    <w:rsid w:val="00762AFB"/>
    <w:rsid w:val="007630F5"/>
    <w:rsid w:val="00763275"/>
    <w:rsid w:val="00763388"/>
    <w:rsid w:val="0076342C"/>
    <w:rsid w:val="007637BC"/>
    <w:rsid w:val="007639D9"/>
    <w:rsid w:val="00763DBE"/>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56B"/>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A26"/>
    <w:rsid w:val="00773C3D"/>
    <w:rsid w:val="00773D2F"/>
    <w:rsid w:val="007741E7"/>
    <w:rsid w:val="00774215"/>
    <w:rsid w:val="007746ED"/>
    <w:rsid w:val="00774814"/>
    <w:rsid w:val="00774B93"/>
    <w:rsid w:val="00774EAF"/>
    <w:rsid w:val="00774FC7"/>
    <w:rsid w:val="00775231"/>
    <w:rsid w:val="007754C3"/>
    <w:rsid w:val="0077554D"/>
    <w:rsid w:val="00775567"/>
    <w:rsid w:val="007757C6"/>
    <w:rsid w:val="00775C40"/>
    <w:rsid w:val="00775C59"/>
    <w:rsid w:val="0077629F"/>
    <w:rsid w:val="00776379"/>
    <w:rsid w:val="0077645D"/>
    <w:rsid w:val="00776542"/>
    <w:rsid w:val="00776749"/>
    <w:rsid w:val="00776E2E"/>
    <w:rsid w:val="00777442"/>
    <w:rsid w:val="00777451"/>
    <w:rsid w:val="00777682"/>
    <w:rsid w:val="007779A3"/>
    <w:rsid w:val="00777ADC"/>
    <w:rsid w:val="007800B5"/>
    <w:rsid w:val="007802E7"/>
    <w:rsid w:val="007809AF"/>
    <w:rsid w:val="00780B1A"/>
    <w:rsid w:val="00780D45"/>
    <w:rsid w:val="00780F3F"/>
    <w:rsid w:val="007812E7"/>
    <w:rsid w:val="00781315"/>
    <w:rsid w:val="0078159F"/>
    <w:rsid w:val="00781A97"/>
    <w:rsid w:val="00781E7D"/>
    <w:rsid w:val="00782065"/>
    <w:rsid w:val="00782419"/>
    <w:rsid w:val="007824BC"/>
    <w:rsid w:val="00782D2D"/>
    <w:rsid w:val="00782DFC"/>
    <w:rsid w:val="00782EC4"/>
    <w:rsid w:val="00782EEE"/>
    <w:rsid w:val="00783153"/>
    <w:rsid w:val="00783A74"/>
    <w:rsid w:val="00783AE5"/>
    <w:rsid w:val="00784B98"/>
    <w:rsid w:val="00784BE4"/>
    <w:rsid w:val="0078539C"/>
    <w:rsid w:val="00785585"/>
    <w:rsid w:val="00785777"/>
    <w:rsid w:val="0078581B"/>
    <w:rsid w:val="00785C83"/>
    <w:rsid w:val="007864DA"/>
    <w:rsid w:val="00786BA3"/>
    <w:rsid w:val="00786DF5"/>
    <w:rsid w:val="00786ED8"/>
    <w:rsid w:val="00787491"/>
    <w:rsid w:val="00787588"/>
    <w:rsid w:val="0078759B"/>
    <w:rsid w:val="00787807"/>
    <w:rsid w:val="00787A15"/>
    <w:rsid w:val="00787CF3"/>
    <w:rsid w:val="00787D20"/>
    <w:rsid w:val="00787FD1"/>
    <w:rsid w:val="0079001F"/>
    <w:rsid w:val="00790362"/>
    <w:rsid w:val="007904EA"/>
    <w:rsid w:val="0079065C"/>
    <w:rsid w:val="00790767"/>
    <w:rsid w:val="00790B5F"/>
    <w:rsid w:val="00790BE4"/>
    <w:rsid w:val="0079108A"/>
    <w:rsid w:val="007911B6"/>
    <w:rsid w:val="0079126A"/>
    <w:rsid w:val="0079140B"/>
    <w:rsid w:val="00791BF5"/>
    <w:rsid w:val="007920FE"/>
    <w:rsid w:val="00792431"/>
    <w:rsid w:val="00792D1F"/>
    <w:rsid w:val="007930B7"/>
    <w:rsid w:val="00793237"/>
    <w:rsid w:val="00793541"/>
    <w:rsid w:val="00793ADF"/>
    <w:rsid w:val="007946AA"/>
    <w:rsid w:val="00794E6A"/>
    <w:rsid w:val="00794F5F"/>
    <w:rsid w:val="007953AE"/>
    <w:rsid w:val="007954CF"/>
    <w:rsid w:val="007956AF"/>
    <w:rsid w:val="00795730"/>
    <w:rsid w:val="007958E5"/>
    <w:rsid w:val="00795DF5"/>
    <w:rsid w:val="00795E2E"/>
    <w:rsid w:val="00795EA8"/>
    <w:rsid w:val="0079691E"/>
    <w:rsid w:val="007969E4"/>
    <w:rsid w:val="00796B41"/>
    <w:rsid w:val="00796CD0"/>
    <w:rsid w:val="00796DA7"/>
    <w:rsid w:val="00796E5B"/>
    <w:rsid w:val="00796E96"/>
    <w:rsid w:val="00797093"/>
    <w:rsid w:val="007970C0"/>
    <w:rsid w:val="00797717"/>
    <w:rsid w:val="0079776F"/>
    <w:rsid w:val="00797835"/>
    <w:rsid w:val="00797CD7"/>
    <w:rsid w:val="007A0003"/>
    <w:rsid w:val="007A0131"/>
    <w:rsid w:val="007A03BD"/>
    <w:rsid w:val="007A044D"/>
    <w:rsid w:val="007A04E1"/>
    <w:rsid w:val="007A064E"/>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C13"/>
    <w:rsid w:val="007A3FC1"/>
    <w:rsid w:val="007A4171"/>
    <w:rsid w:val="007A41A1"/>
    <w:rsid w:val="007A41B9"/>
    <w:rsid w:val="007A4377"/>
    <w:rsid w:val="007A4637"/>
    <w:rsid w:val="007A48CA"/>
    <w:rsid w:val="007A4AB2"/>
    <w:rsid w:val="007A4E13"/>
    <w:rsid w:val="007A5527"/>
    <w:rsid w:val="007A58DD"/>
    <w:rsid w:val="007A5E68"/>
    <w:rsid w:val="007A602B"/>
    <w:rsid w:val="007A6357"/>
    <w:rsid w:val="007A63C9"/>
    <w:rsid w:val="007A6CFC"/>
    <w:rsid w:val="007A71CE"/>
    <w:rsid w:val="007A7442"/>
    <w:rsid w:val="007A7825"/>
    <w:rsid w:val="007A7925"/>
    <w:rsid w:val="007A7E8C"/>
    <w:rsid w:val="007B08C9"/>
    <w:rsid w:val="007B0940"/>
    <w:rsid w:val="007B0A22"/>
    <w:rsid w:val="007B0CAC"/>
    <w:rsid w:val="007B0E20"/>
    <w:rsid w:val="007B0E4D"/>
    <w:rsid w:val="007B14FD"/>
    <w:rsid w:val="007B15A6"/>
    <w:rsid w:val="007B18D5"/>
    <w:rsid w:val="007B1B6D"/>
    <w:rsid w:val="007B1BF7"/>
    <w:rsid w:val="007B1BFD"/>
    <w:rsid w:val="007B1C5E"/>
    <w:rsid w:val="007B1DA8"/>
    <w:rsid w:val="007B216A"/>
    <w:rsid w:val="007B23F9"/>
    <w:rsid w:val="007B265A"/>
    <w:rsid w:val="007B27BE"/>
    <w:rsid w:val="007B2892"/>
    <w:rsid w:val="007B2FD6"/>
    <w:rsid w:val="007B321C"/>
    <w:rsid w:val="007B33E5"/>
    <w:rsid w:val="007B36BF"/>
    <w:rsid w:val="007B3C14"/>
    <w:rsid w:val="007B3D0B"/>
    <w:rsid w:val="007B454A"/>
    <w:rsid w:val="007B46A6"/>
    <w:rsid w:val="007B4A59"/>
    <w:rsid w:val="007B4D42"/>
    <w:rsid w:val="007B51AA"/>
    <w:rsid w:val="007B5502"/>
    <w:rsid w:val="007B5516"/>
    <w:rsid w:val="007B577C"/>
    <w:rsid w:val="007B598C"/>
    <w:rsid w:val="007B5A2F"/>
    <w:rsid w:val="007B5B27"/>
    <w:rsid w:val="007B5B32"/>
    <w:rsid w:val="007B5C75"/>
    <w:rsid w:val="007B610F"/>
    <w:rsid w:val="007B629E"/>
    <w:rsid w:val="007B63CF"/>
    <w:rsid w:val="007B6624"/>
    <w:rsid w:val="007B6815"/>
    <w:rsid w:val="007B6AEE"/>
    <w:rsid w:val="007B713D"/>
    <w:rsid w:val="007B745C"/>
    <w:rsid w:val="007B7472"/>
    <w:rsid w:val="007B7573"/>
    <w:rsid w:val="007B7A13"/>
    <w:rsid w:val="007B7A3D"/>
    <w:rsid w:val="007B7AAB"/>
    <w:rsid w:val="007C03BB"/>
    <w:rsid w:val="007C04D1"/>
    <w:rsid w:val="007C06B2"/>
    <w:rsid w:val="007C124F"/>
    <w:rsid w:val="007C14D1"/>
    <w:rsid w:val="007C1D9D"/>
    <w:rsid w:val="007C229C"/>
    <w:rsid w:val="007C28CF"/>
    <w:rsid w:val="007C2941"/>
    <w:rsid w:val="007C29D7"/>
    <w:rsid w:val="007C2A9E"/>
    <w:rsid w:val="007C2C4D"/>
    <w:rsid w:val="007C2DF0"/>
    <w:rsid w:val="007C2FC6"/>
    <w:rsid w:val="007C30B8"/>
    <w:rsid w:val="007C3215"/>
    <w:rsid w:val="007C3482"/>
    <w:rsid w:val="007C34DE"/>
    <w:rsid w:val="007C38B5"/>
    <w:rsid w:val="007C404B"/>
    <w:rsid w:val="007C4187"/>
    <w:rsid w:val="007C41A0"/>
    <w:rsid w:val="007C4361"/>
    <w:rsid w:val="007C45EC"/>
    <w:rsid w:val="007C4A68"/>
    <w:rsid w:val="007C4BAE"/>
    <w:rsid w:val="007C4BEE"/>
    <w:rsid w:val="007C4D64"/>
    <w:rsid w:val="007C4EF0"/>
    <w:rsid w:val="007C4FAE"/>
    <w:rsid w:val="007C55A4"/>
    <w:rsid w:val="007C5BA9"/>
    <w:rsid w:val="007C62AC"/>
    <w:rsid w:val="007C667A"/>
    <w:rsid w:val="007C6A89"/>
    <w:rsid w:val="007C6C93"/>
    <w:rsid w:val="007C6D50"/>
    <w:rsid w:val="007C6F2E"/>
    <w:rsid w:val="007C6F3F"/>
    <w:rsid w:val="007C6FAF"/>
    <w:rsid w:val="007C73CF"/>
    <w:rsid w:val="007C764E"/>
    <w:rsid w:val="007C77C5"/>
    <w:rsid w:val="007C7E37"/>
    <w:rsid w:val="007D000F"/>
    <w:rsid w:val="007D01AF"/>
    <w:rsid w:val="007D044C"/>
    <w:rsid w:val="007D064C"/>
    <w:rsid w:val="007D10C8"/>
    <w:rsid w:val="007D1269"/>
    <w:rsid w:val="007D1406"/>
    <w:rsid w:val="007D1D3B"/>
    <w:rsid w:val="007D1DF0"/>
    <w:rsid w:val="007D20B0"/>
    <w:rsid w:val="007D24CF"/>
    <w:rsid w:val="007D2A15"/>
    <w:rsid w:val="007D2A8F"/>
    <w:rsid w:val="007D3165"/>
    <w:rsid w:val="007D32B3"/>
    <w:rsid w:val="007D3560"/>
    <w:rsid w:val="007D3DF2"/>
    <w:rsid w:val="007D4068"/>
    <w:rsid w:val="007D41C8"/>
    <w:rsid w:val="007D4284"/>
    <w:rsid w:val="007D4621"/>
    <w:rsid w:val="007D47A8"/>
    <w:rsid w:val="007D489B"/>
    <w:rsid w:val="007D4982"/>
    <w:rsid w:val="007D4D87"/>
    <w:rsid w:val="007D4E55"/>
    <w:rsid w:val="007D5696"/>
    <w:rsid w:val="007D5787"/>
    <w:rsid w:val="007D5950"/>
    <w:rsid w:val="007D5960"/>
    <w:rsid w:val="007D5A97"/>
    <w:rsid w:val="007D5DDC"/>
    <w:rsid w:val="007D5F3F"/>
    <w:rsid w:val="007D6002"/>
    <w:rsid w:val="007D6019"/>
    <w:rsid w:val="007D606A"/>
    <w:rsid w:val="007D65F6"/>
    <w:rsid w:val="007D6C0C"/>
    <w:rsid w:val="007D7882"/>
    <w:rsid w:val="007D7952"/>
    <w:rsid w:val="007D7C3C"/>
    <w:rsid w:val="007D7D31"/>
    <w:rsid w:val="007E011F"/>
    <w:rsid w:val="007E025A"/>
    <w:rsid w:val="007E0333"/>
    <w:rsid w:val="007E0521"/>
    <w:rsid w:val="007E0D25"/>
    <w:rsid w:val="007E114E"/>
    <w:rsid w:val="007E15F0"/>
    <w:rsid w:val="007E17FA"/>
    <w:rsid w:val="007E2B82"/>
    <w:rsid w:val="007E2DD3"/>
    <w:rsid w:val="007E33B9"/>
    <w:rsid w:val="007E3460"/>
    <w:rsid w:val="007E3588"/>
    <w:rsid w:val="007E36ED"/>
    <w:rsid w:val="007E378E"/>
    <w:rsid w:val="007E37A9"/>
    <w:rsid w:val="007E403A"/>
    <w:rsid w:val="007E42E6"/>
    <w:rsid w:val="007E46BF"/>
    <w:rsid w:val="007E487F"/>
    <w:rsid w:val="007E4A0D"/>
    <w:rsid w:val="007E4B2D"/>
    <w:rsid w:val="007E4C3F"/>
    <w:rsid w:val="007E5388"/>
    <w:rsid w:val="007E54E0"/>
    <w:rsid w:val="007E587D"/>
    <w:rsid w:val="007E58C0"/>
    <w:rsid w:val="007E5C17"/>
    <w:rsid w:val="007E5CE8"/>
    <w:rsid w:val="007E6447"/>
    <w:rsid w:val="007E6757"/>
    <w:rsid w:val="007E68C0"/>
    <w:rsid w:val="007E6CD5"/>
    <w:rsid w:val="007E6D75"/>
    <w:rsid w:val="007E6D9B"/>
    <w:rsid w:val="007E6DE7"/>
    <w:rsid w:val="007E7124"/>
    <w:rsid w:val="007E71E9"/>
    <w:rsid w:val="007E74E3"/>
    <w:rsid w:val="007E76CB"/>
    <w:rsid w:val="007E7721"/>
    <w:rsid w:val="007E7B1C"/>
    <w:rsid w:val="007E7C5C"/>
    <w:rsid w:val="007E7CB2"/>
    <w:rsid w:val="007E7CF2"/>
    <w:rsid w:val="007E7F0F"/>
    <w:rsid w:val="007F02B2"/>
    <w:rsid w:val="007F02C7"/>
    <w:rsid w:val="007F032B"/>
    <w:rsid w:val="007F0CBE"/>
    <w:rsid w:val="007F0ED0"/>
    <w:rsid w:val="007F10CC"/>
    <w:rsid w:val="007F12E0"/>
    <w:rsid w:val="007F160D"/>
    <w:rsid w:val="007F166F"/>
    <w:rsid w:val="007F1873"/>
    <w:rsid w:val="007F1BFB"/>
    <w:rsid w:val="007F1D06"/>
    <w:rsid w:val="007F1E8B"/>
    <w:rsid w:val="007F1ECD"/>
    <w:rsid w:val="007F2C72"/>
    <w:rsid w:val="007F2EB2"/>
    <w:rsid w:val="007F2F7E"/>
    <w:rsid w:val="007F3034"/>
    <w:rsid w:val="007F3323"/>
    <w:rsid w:val="007F344C"/>
    <w:rsid w:val="007F3745"/>
    <w:rsid w:val="007F456B"/>
    <w:rsid w:val="007F4EF6"/>
    <w:rsid w:val="007F5287"/>
    <w:rsid w:val="007F5799"/>
    <w:rsid w:val="007F5A11"/>
    <w:rsid w:val="007F5BD8"/>
    <w:rsid w:val="007F5BF1"/>
    <w:rsid w:val="007F5EE9"/>
    <w:rsid w:val="007F619A"/>
    <w:rsid w:val="007F62F3"/>
    <w:rsid w:val="007F66F4"/>
    <w:rsid w:val="007F68DC"/>
    <w:rsid w:val="007F68DF"/>
    <w:rsid w:val="007F6B28"/>
    <w:rsid w:val="007F6D6C"/>
    <w:rsid w:val="007F70B9"/>
    <w:rsid w:val="007F7137"/>
    <w:rsid w:val="007F7A75"/>
    <w:rsid w:val="007F7C48"/>
    <w:rsid w:val="007F7ECC"/>
    <w:rsid w:val="0080006E"/>
    <w:rsid w:val="008001A2"/>
    <w:rsid w:val="00800462"/>
    <w:rsid w:val="0080048C"/>
    <w:rsid w:val="00800E62"/>
    <w:rsid w:val="00800F35"/>
    <w:rsid w:val="008010D7"/>
    <w:rsid w:val="0080128D"/>
    <w:rsid w:val="008012A1"/>
    <w:rsid w:val="0080147D"/>
    <w:rsid w:val="008016CA"/>
    <w:rsid w:val="008017B6"/>
    <w:rsid w:val="00801DB0"/>
    <w:rsid w:val="00801FC7"/>
    <w:rsid w:val="008025EE"/>
    <w:rsid w:val="008029FD"/>
    <w:rsid w:val="00802A65"/>
    <w:rsid w:val="00802DF1"/>
    <w:rsid w:val="008031D3"/>
    <w:rsid w:val="00803432"/>
    <w:rsid w:val="00803443"/>
    <w:rsid w:val="008036C0"/>
    <w:rsid w:val="0080375C"/>
    <w:rsid w:val="00804131"/>
    <w:rsid w:val="00804144"/>
    <w:rsid w:val="008041DE"/>
    <w:rsid w:val="0080450E"/>
    <w:rsid w:val="00804530"/>
    <w:rsid w:val="008048F5"/>
    <w:rsid w:val="00804A6F"/>
    <w:rsid w:val="00804B0D"/>
    <w:rsid w:val="00804B1E"/>
    <w:rsid w:val="00804D52"/>
    <w:rsid w:val="00805159"/>
    <w:rsid w:val="0080516A"/>
    <w:rsid w:val="00805809"/>
    <w:rsid w:val="00805930"/>
    <w:rsid w:val="00805D9C"/>
    <w:rsid w:val="008061D6"/>
    <w:rsid w:val="0080646D"/>
    <w:rsid w:val="0080680D"/>
    <w:rsid w:val="00807138"/>
    <w:rsid w:val="00807281"/>
    <w:rsid w:val="0080786A"/>
    <w:rsid w:val="00807AA3"/>
    <w:rsid w:val="00807F10"/>
    <w:rsid w:val="00810139"/>
    <w:rsid w:val="00810552"/>
    <w:rsid w:val="008105B3"/>
    <w:rsid w:val="008105B8"/>
    <w:rsid w:val="008111CF"/>
    <w:rsid w:val="00811CEA"/>
    <w:rsid w:val="00811D79"/>
    <w:rsid w:val="008127F9"/>
    <w:rsid w:val="00812A4B"/>
    <w:rsid w:val="00812C05"/>
    <w:rsid w:val="00812DF0"/>
    <w:rsid w:val="00812FA4"/>
    <w:rsid w:val="008130B3"/>
    <w:rsid w:val="008130C4"/>
    <w:rsid w:val="0081322A"/>
    <w:rsid w:val="0081360D"/>
    <w:rsid w:val="0081367C"/>
    <w:rsid w:val="008137B6"/>
    <w:rsid w:val="00813A02"/>
    <w:rsid w:val="00813B8D"/>
    <w:rsid w:val="00813C26"/>
    <w:rsid w:val="00813DC9"/>
    <w:rsid w:val="0081423C"/>
    <w:rsid w:val="00814693"/>
    <w:rsid w:val="00814746"/>
    <w:rsid w:val="008148C2"/>
    <w:rsid w:val="008149F1"/>
    <w:rsid w:val="00814D2B"/>
    <w:rsid w:val="00814FFC"/>
    <w:rsid w:val="00815055"/>
    <w:rsid w:val="008151CC"/>
    <w:rsid w:val="0081521F"/>
    <w:rsid w:val="008153C9"/>
    <w:rsid w:val="00815617"/>
    <w:rsid w:val="00815E12"/>
    <w:rsid w:val="008162AB"/>
    <w:rsid w:val="008164EB"/>
    <w:rsid w:val="008169C0"/>
    <w:rsid w:val="008169E7"/>
    <w:rsid w:val="00816E7C"/>
    <w:rsid w:val="0081746C"/>
    <w:rsid w:val="00817645"/>
    <w:rsid w:val="0081766B"/>
    <w:rsid w:val="00817A08"/>
    <w:rsid w:val="00817A68"/>
    <w:rsid w:val="00817C15"/>
    <w:rsid w:val="00820071"/>
    <w:rsid w:val="00820281"/>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58C"/>
    <w:rsid w:val="008246F1"/>
    <w:rsid w:val="008249A1"/>
    <w:rsid w:val="00824E21"/>
    <w:rsid w:val="008252C7"/>
    <w:rsid w:val="008253BF"/>
    <w:rsid w:val="00825737"/>
    <w:rsid w:val="00825933"/>
    <w:rsid w:val="0082604B"/>
    <w:rsid w:val="00826220"/>
    <w:rsid w:val="008264F4"/>
    <w:rsid w:val="00826747"/>
    <w:rsid w:val="008267DA"/>
    <w:rsid w:val="00826C83"/>
    <w:rsid w:val="00826D47"/>
    <w:rsid w:val="00826EBE"/>
    <w:rsid w:val="00826FA8"/>
    <w:rsid w:val="00827368"/>
    <w:rsid w:val="0082765C"/>
    <w:rsid w:val="00827770"/>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012"/>
    <w:rsid w:val="0083115E"/>
    <w:rsid w:val="00831279"/>
    <w:rsid w:val="00831864"/>
    <w:rsid w:val="0083186D"/>
    <w:rsid w:val="00831FC2"/>
    <w:rsid w:val="0083256E"/>
    <w:rsid w:val="00832656"/>
    <w:rsid w:val="0083269B"/>
    <w:rsid w:val="00832B42"/>
    <w:rsid w:val="00832BB0"/>
    <w:rsid w:val="00832BCA"/>
    <w:rsid w:val="00832D79"/>
    <w:rsid w:val="00832D93"/>
    <w:rsid w:val="00832F98"/>
    <w:rsid w:val="008330FE"/>
    <w:rsid w:val="008333AF"/>
    <w:rsid w:val="008337D2"/>
    <w:rsid w:val="00833B23"/>
    <w:rsid w:val="00833C56"/>
    <w:rsid w:val="00833DDB"/>
    <w:rsid w:val="00833E6F"/>
    <w:rsid w:val="00833F3F"/>
    <w:rsid w:val="00834221"/>
    <w:rsid w:val="0083438F"/>
    <w:rsid w:val="008343B2"/>
    <w:rsid w:val="008344C6"/>
    <w:rsid w:val="00834608"/>
    <w:rsid w:val="00834697"/>
    <w:rsid w:val="008346F0"/>
    <w:rsid w:val="008349B6"/>
    <w:rsid w:val="00834C54"/>
    <w:rsid w:val="0083508E"/>
    <w:rsid w:val="0083582D"/>
    <w:rsid w:val="00835B07"/>
    <w:rsid w:val="00835F6A"/>
    <w:rsid w:val="0083608A"/>
    <w:rsid w:val="0083639B"/>
    <w:rsid w:val="00836D98"/>
    <w:rsid w:val="00836EBE"/>
    <w:rsid w:val="0083793B"/>
    <w:rsid w:val="00837AA4"/>
    <w:rsid w:val="00840A83"/>
    <w:rsid w:val="00840CA5"/>
    <w:rsid w:val="00840FA7"/>
    <w:rsid w:val="00841533"/>
    <w:rsid w:val="008416C4"/>
    <w:rsid w:val="00841B13"/>
    <w:rsid w:val="00841E92"/>
    <w:rsid w:val="00842AB6"/>
    <w:rsid w:val="00842E09"/>
    <w:rsid w:val="00842E8F"/>
    <w:rsid w:val="00843016"/>
    <w:rsid w:val="00843577"/>
    <w:rsid w:val="00843E6F"/>
    <w:rsid w:val="008441CE"/>
    <w:rsid w:val="008443E7"/>
    <w:rsid w:val="00844890"/>
    <w:rsid w:val="00844A90"/>
    <w:rsid w:val="00844E7A"/>
    <w:rsid w:val="00844F83"/>
    <w:rsid w:val="00845200"/>
    <w:rsid w:val="0084524A"/>
    <w:rsid w:val="00845487"/>
    <w:rsid w:val="00845499"/>
    <w:rsid w:val="008456CE"/>
    <w:rsid w:val="00845881"/>
    <w:rsid w:val="008458EA"/>
    <w:rsid w:val="008460D6"/>
    <w:rsid w:val="00846374"/>
    <w:rsid w:val="008467D1"/>
    <w:rsid w:val="0084693A"/>
    <w:rsid w:val="00846C00"/>
    <w:rsid w:val="00846C0A"/>
    <w:rsid w:val="00846E05"/>
    <w:rsid w:val="00846E4A"/>
    <w:rsid w:val="00847C2B"/>
    <w:rsid w:val="00850128"/>
    <w:rsid w:val="008503D0"/>
    <w:rsid w:val="00850557"/>
    <w:rsid w:val="00850581"/>
    <w:rsid w:val="00850832"/>
    <w:rsid w:val="00850EEA"/>
    <w:rsid w:val="00851046"/>
    <w:rsid w:val="00851052"/>
    <w:rsid w:val="00851100"/>
    <w:rsid w:val="00851111"/>
    <w:rsid w:val="0085127C"/>
    <w:rsid w:val="00851654"/>
    <w:rsid w:val="00851AF5"/>
    <w:rsid w:val="00851B65"/>
    <w:rsid w:val="00851BF3"/>
    <w:rsid w:val="00851DAA"/>
    <w:rsid w:val="00851E3A"/>
    <w:rsid w:val="00851EA9"/>
    <w:rsid w:val="00851FB5"/>
    <w:rsid w:val="008521DB"/>
    <w:rsid w:val="008522D5"/>
    <w:rsid w:val="008523B5"/>
    <w:rsid w:val="008523D1"/>
    <w:rsid w:val="00852677"/>
    <w:rsid w:val="00852766"/>
    <w:rsid w:val="008527D1"/>
    <w:rsid w:val="00852A40"/>
    <w:rsid w:val="00852B97"/>
    <w:rsid w:val="00852DB9"/>
    <w:rsid w:val="00852EC6"/>
    <w:rsid w:val="00852FC4"/>
    <w:rsid w:val="008533EE"/>
    <w:rsid w:val="008538AC"/>
    <w:rsid w:val="0085404C"/>
    <w:rsid w:val="00854332"/>
    <w:rsid w:val="008543AB"/>
    <w:rsid w:val="00854670"/>
    <w:rsid w:val="00854724"/>
    <w:rsid w:val="00854DAA"/>
    <w:rsid w:val="00854F5C"/>
    <w:rsid w:val="0085508B"/>
    <w:rsid w:val="008550CB"/>
    <w:rsid w:val="00855513"/>
    <w:rsid w:val="00855761"/>
    <w:rsid w:val="00855B60"/>
    <w:rsid w:val="00855E0B"/>
    <w:rsid w:val="008560B9"/>
    <w:rsid w:val="008561E8"/>
    <w:rsid w:val="00856A20"/>
    <w:rsid w:val="00856D81"/>
    <w:rsid w:val="008570DB"/>
    <w:rsid w:val="0085710F"/>
    <w:rsid w:val="0085718B"/>
    <w:rsid w:val="008572B3"/>
    <w:rsid w:val="008572E4"/>
    <w:rsid w:val="00857897"/>
    <w:rsid w:val="00857A69"/>
    <w:rsid w:val="00857FBD"/>
    <w:rsid w:val="008603CB"/>
    <w:rsid w:val="00860644"/>
    <w:rsid w:val="00860793"/>
    <w:rsid w:val="008608A3"/>
    <w:rsid w:val="0086091D"/>
    <w:rsid w:val="0086092E"/>
    <w:rsid w:val="00860B4C"/>
    <w:rsid w:val="00860D6C"/>
    <w:rsid w:val="008612B7"/>
    <w:rsid w:val="008614E4"/>
    <w:rsid w:val="0086169D"/>
    <w:rsid w:val="008619DF"/>
    <w:rsid w:val="00861B3D"/>
    <w:rsid w:val="00861B8D"/>
    <w:rsid w:val="00862196"/>
    <w:rsid w:val="008622FB"/>
    <w:rsid w:val="0086242C"/>
    <w:rsid w:val="008626B9"/>
    <w:rsid w:val="00862721"/>
    <w:rsid w:val="00862B40"/>
    <w:rsid w:val="008631B7"/>
    <w:rsid w:val="0086362C"/>
    <w:rsid w:val="0086396F"/>
    <w:rsid w:val="00863A17"/>
    <w:rsid w:val="0086447F"/>
    <w:rsid w:val="008647DE"/>
    <w:rsid w:val="00864A8A"/>
    <w:rsid w:val="00864B95"/>
    <w:rsid w:val="00864DEB"/>
    <w:rsid w:val="00864E48"/>
    <w:rsid w:val="00864E91"/>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925"/>
    <w:rsid w:val="00870BFB"/>
    <w:rsid w:val="00870C2B"/>
    <w:rsid w:val="008712E0"/>
    <w:rsid w:val="008713BA"/>
    <w:rsid w:val="008716EC"/>
    <w:rsid w:val="00871C23"/>
    <w:rsid w:val="00871C8A"/>
    <w:rsid w:val="00871C95"/>
    <w:rsid w:val="00871DC4"/>
    <w:rsid w:val="00871DDA"/>
    <w:rsid w:val="00872175"/>
    <w:rsid w:val="00872295"/>
    <w:rsid w:val="008723B7"/>
    <w:rsid w:val="008727F1"/>
    <w:rsid w:val="00872893"/>
    <w:rsid w:val="00872CB9"/>
    <w:rsid w:val="00872D6F"/>
    <w:rsid w:val="00872EB5"/>
    <w:rsid w:val="00873620"/>
    <w:rsid w:val="00873BDE"/>
    <w:rsid w:val="00873C67"/>
    <w:rsid w:val="00873EFF"/>
    <w:rsid w:val="00874159"/>
    <w:rsid w:val="0087423C"/>
    <w:rsid w:val="0087476B"/>
    <w:rsid w:val="008747A6"/>
    <w:rsid w:val="00874ABD"/>
    <w:rsid w:val="00874DB0"/>
    <w:rsid w:val="00874E64"/>
    <w:rsid w:val="00875A5A"/>
    <w:rsid w:val="00875A72"/>
    <w:rsid w:val="00875F93"/>
    <w:rsid w:val="008760EF"/>
    <w:rsid w:val="00876567"/>
    <w:rsid w:val="00876A06"/>
    <w:rsid w:val="00876B8D"/>
    <w:rsid w:val="00876F19"/>
    <w:rsid w:val="00876F85"/>
    <w:rsid w:val="00877051"/>
    <w:rsid w:val="008771EA"/>
    <w:rsid w:val="00877277"/>
    <w:rsid w:val="008773A1"/>
    <w:rsid w:val="00877727"/>
    <w:rsid w:val="00877B1A"/>
    <w:rsid w:val="00877E7E"/>
    <w:rsid w:val="00877E9C"/>
    <w:rsid w:val="008800D3"/>
    <w:rsid w:val="00880159"/>
    <w:rsid w:val="0088030E"/>
    <w:rsid w:val="00880C56"/>
    <w:rsid w:val="00880D8E"/>
    <w:rsid w:val="00880F1A"/>
    <w:rsid w:val="008811F0"/>
    <w:rsid w:val="0088141F"/>
    <w:rsid w:val="008816A8"/>
    <w:rsid w:val="00881ADB"/>
    <w:rsid w:val="00881B11"/>
    <w:rsid w:val="00881B16"/>
    <w:rsid w:val="00881C85"/>
    <w:rsid w:val="00882114"/>
    <w:rsid w:val="00882181"/>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6030"/>
    <w:rsid w:val="0088620B"/>
    <w:rsid w:val="00886501"/>
    <w:rsid w:val="00886531"/>
    <w:rsid w:val="00886581"/>
    <w:rsid w:val="008865E0"/>
    <w:rsid w:val="00886CDD"/>
    <w:rsid w:val="00886F36"/>
    <w:rsid w:val="00886F38"/>
    <w:rsid w:val="00886FF6"/>
    <w:rsid w:val="00887462"/>
    <w:rsid w:val="008879A9"/>
    <w:rsid w:val="00887A37"/>
    <w:rsid w:val="00887E1E"/>
    <w:rsid w:val="00887EC2"/>
    <w:rsid w:val="008902C2"/>
    <w:rsid w:val="008914E6"/>
    <w:rsid w:val="008914FB"/>
    <w:rsid w:val="008915B6"/>
    <w:rsid w:val="00891C3F"/>
    <w:rsid w:val="00891D47"/>
    <w:rsid w:val="008920CA"/>
    <w:rsid w:val="0089214D"/>
    <w:rsid w:val="00892221"/>
    <w:rsid w:val="008922AD"/>
    <w:rsid w:val="00892B2D"/>
    <w:rsid w:val="00893C0D"/>
    <w:rsid w:val="00893D72"/>
    <w:rsid w:val="00894081"/>
    <w:rsid w:val="00894125"/>
    <w:rsid w:val="00894143"/>
    <w:rsid w:val="008942D5"/>
    <w:rsid w:val="0089435A"/>
    <w:rsid w:val="00894781"/>
    <w:rsid w:val="008947F2"/>
    <w:rsid w:val="0089485F"/>
    <w:rsid w:val="008949C9"/>
    <w:rsid w:val="00894A50"/>
    <w:rsid w:val="00894E3A"/>
    <w:rsid w:val="008950EF"/>
    <w:rsid w:val="008954F9"/>
    <w:rsid w:val="00895644"/>
    <w:rsid w:val="00895653"/>
    <w:rsid w:val="008957DD"/>
    <w:rsid w:val="00896449"/>
    <w:rsid w:val="00897194"/>
    <w:rsid w:val="0089724F"/>
    <w:rsid w:val="0089754C"/>
    <w:rsid w:val="00897B5E"/>
    <w:rsid w:val="00897BC6"/>
    <w:rsid w:val="00897D8B"/>
    <w:rsid w:val="00897DC3"/>
    <w:rsid w:val="008A002A"/>
    <w:rsid w:val="008A014D"/>
    <w:rsid w:val="008A02EC"/>
    <w:rsid w:val="008A0E11"/>
    <w:rsid w:val="008A12ED"/>
    <w:rsid w:val="008A1B0F"/>
    <w:rsid w:val="008A20DA"/>
    <w:rsid w:val="008A21C0"/>
    <w:rsid w:val="008A28B1"/>
    <w:rsid w:val="008A298B"/>
    <w:rsid w:val="008A2D0B"/>
    <w:rsid w:val="008A2D18"/>
    <w:rsid w:val="008A3163"/>
    <w:rsid w:val="008A36C1"/>
    <w:rsid w:val="008A3B00"/>
    <w:rsid w:val="008A3CC4"/>
    <w:rsid w:val="008A4019"/>
    <w:rsid w:val="008A436D"/>
    <w:rsid w:val="008A4424"/>
    <w:rsid w:val="008A4D27"/>
    <w:rsid w:val="008A534C"/>
    <w:rsid w:val="008A5616"/>
    <w:rsid w:val="008A581A"/>
    <w:rsid w:val="008A5D2F"/>
    <w:rsid w:val="008A5FB5"/>
    <w:rsid w:val="008A612D"/>
    <w:rsid w:val="008A6395"/>
    <w:rsid w:val="008A68D0"/>
    <w:rsid w:val="008A6B2C"/>
    <w:rsid w:val="008A6B43"/>
    <w:rsid w:val="008A6D58"/>
    <w:rsid w:val="008A71FC"/>
    <w:rsid w:val="008A7878"/>
    <w:rsid w:val="008A7C16"/>
    <w:rsid w:val="008A7CA8"/>
    <w:rsid w:val="008A7FE2"/>
    <w:rsid w:val="008B00CE"/>
    <w:rsid w:val="008B0164"/>
    <w:rsid w:val="008B0225"/>
    <w:rsid w:val="008B0254"/>
    <w:rsid w:val="008B044E"/>
    <w:rsid w:val="008B0526"/>
    <w:rsid w:val="008B0F41"/>
    <w:rsid w:val="008B1ABF"/>
    <w:rsid w:val="008B1F63"/>
    <w:rsid w:val="008B20E3"/>
    <w:rsid w:val="008B2277"/>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4EBB"/>
    <w:rsid w:val="008B5C00"/>
    <w:rsid w:val="008B5C8F"/>
    <w:rsid w:val="008B5DD6"/>
    <w:rsid w:val="008B5DF0"/>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06F"/>
    <w:rsid w:val="008C184B"/>
    <w:rsid w:val="008C18BC"/>
    <w:rsid w:val="008C1ADE"/>
    <w:rsid w:val="008C1B45"/>
    <w:rsid w:val="008C1E2C"/>
    <w:rsid w:val="008C26ED"/>
    <w:rsid w:val="008C28D0"/>
    <w:rsid w:val="008C2BB5"/>
    <w:rsid w:val="008C2FD5"/>
    <w:rsid w:val="008C343F"/>
    <w:rsid w:val="008C36BD"/>
    <w:rsid w:val="008C39E1"/>
    <w:rsid w:val="008C3A0C"/>
    <w:rsid w:val="008C3B3A"/>
    <w:rsid w:val="008C3C63"/>
    <w:rsid w:val="008C4206"/>
    <w:rsid w:val="008C43E2"/>
    <w:rsid w:val="008C4581"/>
    <w:rsid w:val="008C489E"/>
    <w:rsid w:val="008C49F5"/>
    <w:rsid w:val="008C4FA9"/>
    <w:rsid w:val="008C504D"/>
    <w:rsid w:val="008C56CC"/>
    <w:rsid w:val="008C59DF"/>
    <w:rsid w:val="008C5D76"/>
    <w:rsid w:val="008C5EE3"/>
    <w:rsid w:val="008C6829"/>
    <w:rsid w:val="008C6B26"/>
    <w:rsid w:val="008C6B32"/>
    <w:rsid w:val="008C6E40"/>
    <w:rsid w:val="008C6F52"/>
    <w:rsid w:val="008C7138"/>
    <w:rsid w:val="008C73B9"/>
    <w:rsid w:val="008C7516"/>
    <w:rsid w:val="008C7584"/>
    <w:rsid w:val="008C79A1"/>
    <w:rsid w:val="008C7C57"/>
    <w:rsid w:val="008D02E9"/>
    <w:rsid w:val="008D0369"/>
    <w:rsid w:val="008D0519"/>
    <w:rsid w:val="008D05E0"/>
    <w:rsid w:val="008D0902"/>
    <w:rsid w:val="008D0ED4"/>
    <w:rsid w:val="008D100D"/>
    <w:rsid w:val="008D1056"/>
    <w:rsid w:val="008D1497"/>
    <w:rsid w:val="008D1C1A"/>
    <w:rsid w:val="008D1FB9"/>
    <w:rsid w:val="008D2099"/>
    <w:rsid w:val="008D248E"/>
    <w:rsid w:val="008D264B"/>
    <w:rsid w:val="008D29C3"/>
    <w:rsid w:val="008D32FC"/>
    <w:rsid w:val="008D335A"/>
    <w:rsid w:val="008D348B"/>
    <w:rsid w:val="008D3C3F"/>
    <w:rsid w:val="008D3C94"/>
    <w:rsid w:val="008D4269"/>
    <w:rsid w:val="008D440B"/>
    <w:rsid w:val="008D4629"/>
    <w:rsid w:val="008D4658"/>
    <w:rsid w:val="008D46EE"/>
    <w:rsid w:val="008D4A17"/>
    <w:rsid w:val="008D4E5B"/>
    <w:rsid w:val="008D55D1"/>
    <w:rsid w:val="008D5705"/>
    <w:rsid w:val="008D635F"/>
    <w:rsid w:val="008D6600"/>
    <w:rsid w:val="008D6782"/>
    <w:rsid w:val="008D6C04"/>
    <w:rsid w:val="008D6D34"/>
    <w:rsid w:val="008D7AD4"/>
    <w:rsid w:val="008D7CD8"/>
    <w:rsid w:val="008D7EE9"/>
    <w:rsid w:val="008E006C"/>
    <w:rsid w:val="008E027A"/>
    <w:rsid w:val="008E0629"/>
    <w:rsid w:val="008E07EB"/>
    <w:rsid w:val="008E097D"/>
    <w:rsid w:val="008E0B8A"/>
    <w:rsid w:val="008E14F9"/>
    <w:rsid w:val="008E1619"/>
    <w:rsid w:val="008E19E3"/>
    <w:rsid w:val="008E1B8E"/>
    <w:rsid w:val="008E1BF5"/>
    <w:rsid w:val="008E1E3A"/>
    <w:rsid w:val="008E1FC2"/>
    <w:rsid w:val="008E2136"/>
    <w:rsid w:val="008E230B"/>
    <w:rsid w:val="008E27A2"/>
    <w:rsid w:val="008E2B8B"/>
    <w:rsid w:val="008E2BE4"/>
    <w:rsid w:val="008E2CBC"/>
    <w:rsid w:val="008E2D39"/>
    <w:rsid w:val="008E2D87"/>
    <w:rsid w:val="008E3191"/>
    <w:rsid w:val="008E345C"/>
    <w:rsid w:val="008E3B97"/>
    <w:rsid w:val="008E3ED5"/>
    <w:rsid w:val="008E41BE"/>
    <w:rsid w:val="008E423A"/>
    <w:rsid w:val="008E4254"/>
    <w:rsid w:val="008E456A"/>
    <w:rsid w:val="008E49F3"/>
    <w:rsid w:val="008E4A5B"/>
    <w:rsid w:val="008E4FAE"/>
    <w:rsid w:val="008E5047"/>
    <w:rsid w:val="008E5175"/>
    <w:rsid w:val="008E53A2"/>
    <w:rsid w:val="008E5786"/>
    <w:rsid w:val="008E585F"/>
    <w:rsid w:val="008E58F0"/>
    <w:rsid w:val="008E5B20"/>
    <w:rsid w:val="008E62D2"/>
    <w:rsid w:val="008E63EF"/>
    <w:rsid w:val="008E66B3"/>
    <w:rsid w:val="008E68E5"/>
    <w:rsid w:val="008E6B4E"/>
    <w:rsid w:val="008E6B79"/>
    <w:rsid w:val="008E6CE6"/>
    <w:rsid w:val="008E6DC0"/>
    <w:rsid w:val="008E72EE"/>
    <w:rsid w:val="008E7455"/>
    <w:rsid w:val="008E78F8"/>
    <w:rsid w:val="008E7970"/>
    <w:rsid w:val="008E7B40"/>
    <w:rsid w:val="008E7BAC"/>
    <w:rsid w:val="008E7BF6"/>
    <w:rsid w:val="008E7C34"/>
    <w:rsid w:val="008E7F4A"/>
    <w:rsid w:val="008F0155"/>
    <w:rsid w:val="008F02C6"/>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D0F"/>
    <w:rsid w:val="008F2D3C"/>
    <w:rsid w:val="008F2D49"/>
    <w:rsid w:val="008F2F7D"/>
    <w:rsid w:val="008F328D"/>
    <w:rsid w:val="008F344E"/>
    <w:rsid w:val="008F36E2"/>
    <w:rsid w:val="008F377B"/>
    <w:rsid w:val="008F3866"/>
    <w:rsid w:val="008F3C4B"/>
    <w:rsid w:val="008F43F5"/>
    <w:rsid w:val="008F4823"/>
    <w:rsid w:val="008F4835"/>
    <w:rsid w:val="008F48F6"/>
    <w:rsid w:val="008F4E23"/>
    <w:rsid w:val="008F4FC9"/>
    <w:rsid w:val="008F50A6"/>
    <w:rsid w:val="008F51DA"/>
    <w:rsid w:val="008F5477"/>
    <w:rsid w:val="008F56DE"/>
    <w:rsid w:val="008F5D89"/>
    <w:rsid w:val="008F5E4C"/>
    <w:rsid w:val="008F61A0"/>
    <w:rsid w:val="008F621C"/>
    <w:rsid w:val="008F6242"/>
    <w:rsid w:val="008F63B2"/>
    <w:rsid w:val="008F67CC"/>
    <w:rsid w:val="008F6AD6"/>
    <w:rsid w:val="00900259"/>
    <w:rsid w:val="0090033B"/>
    <w:rsid w:val="009007FC"/>
    <w:rsid w:val="00900B47"/>
    <w:rsid w:val="00900C35"/>
    <w:rsid w:val="00901012"/>
    <w:rsid w:val="00901160"/>
    <w:rsid w:val="009011CE"/>
    <w:rsid w:val="009017A1"/>
    <w:rsid w:val="00901D41"/>
    <w:rsid w:val="0090222B"/>
    <w:rsid w:val="0090252A"/>
    <w:rsid w:val="0090258C"/>
    <w:rsid w:val="009025AB"/>
    <w:rsid w:val="00902C00"/>
    <w:rsid w:val="00902CA5"/>
    <w:rsid w:val="00902D4F"/>
    <w:rsid w:val="009030E3"/>
    <w:rsid w:val="009034B9"/>
    <w:rsid w:val="00903500"/>
    <w:rsid w:val="00903FB3"/>
    <w:rsid w:val="00904690"/>
    <w:rsid w:val="00904832"/>
    <w:rsid w:val="00905336"/>
    <w:rsid w:val="00905704"/>
    <w:rsid w:val="009060FF"/>
    <w:rsid w:val="009066DC"/>
    <w:rsid w:val="00906E22"/>
    <w:rsid w:val="0090728D"/>
    <w:rsid w:val="00907441"/>
    <w:rsid w:val="00907583"/>
    <w:rsid w:val="0090758F"/>
    <w:rsid w:val="0090766F"/>
    <w:rsid w:val="0090773E"/>
    <w:rsid w:val="0090779A"/>
    <w:rsid w:val="0090780A"/>
    <w:rsid w:val="00907C8A"/>
    <w:rsid w:val="009102B4"/>
    <w:rsid w:val="0091052B"/>
    <w:rsid w:val="00910715"/>
    <w:rsid w:val="009107FF"/>
    <w:rsid w:val="0091091D"/>
    <w:rsid w:val="00910A3A"/>
    <w:rsid w:val="00911327"/>
    <w:rsid w:val="00911BFA"/>
    <w:rsid w:val="00911EB8"/>
    <w:rsid w:val="00911F7E"/>
    <w:rsid w:val="009122DB"/>
    <w:rsid w:val="00912507"/>
    <w:rsid w:val="00912848"/>
    <w:rsid w:val="009129AA"/>
    <w:rsid w:val="00912B56"/>
    <w:rsid w:val="00912C6F"/>
    <w:rsid w:val="00912E6B"/>
    <w:rsid w:val="009133D4"/>
    <w:rsid w:val="009136D9"/>
    <w:rsid w:val="00913F98"/>
    <w:rsid w:val="00914D25"/>
    <w:rsid w:val="00914D48"/>
    <w:rsid w:val="009150BA"/>
    <w:rsid w:val="00915512"/>
    <w:rsid w:val="00915725"/>
    <w:rsid w:val="00916223"/>
    <w:rsid w:val="00916287"/>
    <w:rsid w:val="009163A0"/>
    <w:rsid w:val="009165A9"/>
    <w:rsid w:val="0091696F"/>
    <w:rsid w:val="00916C99"/>
    <w:rsid w:val="00916EE9"/>
    <w:rsid w:val="00917159"/>
    <w:rsid w:val="00917C84"/>
    <w:rsid w:val="00917CC1"/>
    <w:rsid w:val="00917D6B"/>
    <w:rsid w:val="009208C0"/>
    <w:rsid w:val="00920BA7"/>
    <w:rsid w:val="00920FCF"/>
    <w:rsid w:val="0092119F"/>
    <w:rsid w:val="00921528"/>
    <w:rsid w:val="009218A2"/>
    <w:rsid w:val="0092191B"/>
    <w:rsid w:val="00921D86"/>
    <w:rsid w:val="00921FE8"/>
    <w:rsid w:val="00922061"/>
    <w:rsid w:val="0092241F"/>
    <w:rsid w:val="009224A3"/>
    <w:rsid w:val="009224B7"/>
    <w:rsid w:val="0092261B"/>
    <w:rsid w:val="00922BD6"/>
    <w:rsid w:val="00922E3B"/>
    <w:rsid w:val="00922FD8"/>
    <w:rsid w:val="009230B4"/>
    <w:rsid w:val="00923261"/>
    <w:rsid w:val="009233CC"/>
    <w:rsid w:val="00923492"/>
    <w:rsid w:val="00923509"/>
    <w:rsid w:val="00923551"/>
    <w:rsid w:val="00923633"/>
    <w:rsid w:val="00923651"/>
    <w:rsid w:val="009238EA"/>
    <w:rsid w:val="00923C11"/>
    <w:rsid w:val="009240D8"/>
    <w:rsid w:val="009240FF"/>
    <w:rsid w:val="00924502"/>
    <w:rsid w:val="009245AE"/>
    <w:rsid w:val="0092486A"/>
    <w:rsid w:val="00924AA7"/>
    <w:rsid w:val="00924CF6"/>
    <w:rsid w:val="00924EC9"/>
    <w:rsid w:val="0092518C"/>
    <w:rsid w:val="0092522E"/>
    <w:rsid w:val="0092523D"/>
    <w:rsid w:val="0092571D"/>
    <w:rsid w:val="0092586A"/>
    <w:rsid w:val="009259B7"/>
    <w:rsid w:val="00925EF6"/>
    <w:rsid w:val="00925F7F"/>
    <w:rsid w:val="009260FB"/>
    <w:rsid w:val="00926288"/>
    <w:rsid w:val="00926354"/>
    <w:rsid w:val="009264CA"/>
    <w:rsid w:val="00926F34"/>
    <w:rsid w:val="00927038"/>
    <w:rsid w:val="009271EC"/>
    <w:rsid w:val="00927637"/>
    <w:rsid w:val="009277C9"/>
    <w:rsid w:val="0092785A"/>
    <w:rsid w:val="0092789F"/>
    <w:rsid w:val="00927A08"/>
    <w:rsid w:val="00927F26"/>
    <w:rsid w:val="00927FCB"/>
    <w:rsid w:val="009303C3"/>
    <w:rsid w:val="0093066B"/>
    <w:rsid w:val="0093069F"/>
    <w:rsid w:val="00930745"/>
    <w:rsid w:val="0093077E"/>
    <w:rsid w:val="00930812"/>
    <w:rsid w:val="00930948"/>
    <w:rsid w:val="00930A00"/>
    <w:rsid w:val="00930A39"/>
    <w:rsid w:val="00930A74"/>
    <w:rsid w:val="00930E1C"/>
    <w:rsid w:val="00930EA1"/>
    <w:rsid w:val="009310EB"/>
    <w:rsid w:val="00931112"/>
    <w:rsid w:val="00931338"/>
    <w:rsid w:val="009316A4"/>
    <w:rsid w:val="0093176E"/>
    <w:rsid w:val="00931852"/>
    <w:rsid w:val="00931B5E"/>
    <w:rsid w:val="00932100"/>
    <w:rsid w:val="009322D2"/>
    <w:rsid w:val="00932509"/>
    <w:rsid w:val="00932929"/>
    <w:rsid w:val="00932983"/>
    <w:rsid w:val="009329B0"/>
    <w:rsid w:val="009329B2"/>
    <w:rsid w:val="009332E2"/>
    <w:rsid w:val="00933817"/>
    <w:rsid w:val="00933A35"/>
    <w:rsid w:val="00933F5D"/>
    <w:rsid w:val="00933FE3"/>
    <w:rsid w:val="009349B8"/>
    <w:rsid w:val="00934B9E"/>
    <w:rsid w:val="00934EAC"/>
    <w:rsid w:val="009350E4"/>
    <w:rsid w:val="009354E5"/>
    <w:rsid w:val="00935753"/>
    <w:rsid w:val="009359DF"/>
    <w:rsid w:val="00935A5A"/>
    <w:rsid w:val="00935ED6"/>
    <w:rsid w:val="0093603E"/>
    <w:rsid w:val="009360D7"/>
    <w:rsid w:val="009362C9"/>
    <w:rsid w:val="0093743C"/>
    <w:rsid w:val="00937498"/>
    <w:rsid w:val="00937509"/>
    <w:rsid w:val="0093753F"/>
    <w:rsid w:val="00937935"/>
    <w:rsid w:val="00937E54"/>
    <w:rsid w:val="009404D7"/>
    <w:rsid w:val="009405A4"/>
    <w:rsid w:val="009407AA"/>
    <w:rsid w:val="00940AD1"/>
    <w:rsid w:val="00940C53"/>
    <w:rsid w:val="00940E50"/>
    <w:rsid w:val="00941026"/>
    <w:rsid w:val="00941536"/>
    <w:rsid w:val="00941754"/>
    <w:rsid w:val="00941769"/>
    <w:rsid w:val="00941B91"/>
    <w:rsid w:val="00941D13"/>
    <w:rsid w:val="00942058"/>
    <w:rsid w:val="0094218A"/>
    <w:rsid w:val="00942226"/>
    <w:rsid w:val="00942387"/>
    <w:rsid w:val="00942674"/>
    <w:rsid w:val="00942A1E"/>
    <w:rsid w:val="0094337F"/>
    <w:rsid w:val="009434BB"/>
    <w:rsid w:val="0094380C"/>
    <w:rsid w:val="0094385A"/>
    <w:rsid w:val="009438FE"/>
    <w:rsid w:val="00943AD9"/>
    <w:rsid w:val="00943AE3"/>
    <w:rsid w:val="00943EB2"/>
    <w:rsid w:val="00944223"/>
    <w:rsid w:val="00944236"/>
    <w:rsid w:val="00944614"/>
    <w:rsid w:val="00944959"/>
    <w:rsid w:val="00944EAE"/>
    <w:rsid w:val="00944FB1"/>
    <w:rsid w:val="0094517F"/>
    <w:rsid w:val="009451A4"/>
    <w:rsid w:val="0094553C"/>
    <w:rsid w:val="00945613"/>
    <w:rsid w:val="009457B0"/>
    <w:rsid w:val="00945D86"/>
    <w:rsid w:val="00945EF3"/>
    <w:rsid w:val="00946019"/>
    <w:rsid w:val="0094626F"/>
    <w:rsid w:val="009462D2"/>
    <w:rsid w:val="0094692B"/>
    <w:rsid w:val="00946A1D"/>
    <w:rsid w:val="0094746A"/>
    <w:rsid w:val="009476AB"/>
    <w:rsid w:val="009479A6"/>
    <w:rsid w:val="00947E56"/>
    <w:rsid w:val="009502BF"/>
    <w:rsid w:val="00950A20"/>
    <w:rsid w:val="00950CD5"/>
    <w:rsid w:val="00950D16"/>
    <w:rsid w:val="0095118D"/>
    <w:rsid w:val="0095144C"/>
    <w:rsid w:val="009515F4"/>
    <w:rsid w:val="0095165B"/>
    <w:rsid w:val="0095168E"/>
    <w:rsid w:val="00951BD0"/>
    <w:rsid w:val="00952548"/>
    <w:rsid w:val="00952844"/>
    <w:rsid w:val="00952E09"/>
    <w:rsid w:val="009531B5"/>
    <w:rsid w:val="00953825"/>
    <w:rsid w:val="009538C2"/>
    <w:rsid w:val="00953D79"/>
    <w:rsid w:val="00953D8D"/>
    <w:rsid w:val="00953D91"/>
    <w:rsid w:val="00954003"/>
    <w:rsid w:val="00954148"/>
    <w:rsid w:val="009542ED"/>
    <w:rsid w:val="0095434A"/>
    <w:rsid w:val="009546AF"/>
    <w:rsid w:val="00954939"/>
    <w:rsid w:val="0095493F"/>
    <w:rsid w:val="00955226"/>
    <w:rsid w:val="009553DD"/>
    <w:rsid w:val="0095554D"/>
    <w:rsid w:val="0095572F"/>
    <w:rsid w:val="00955943"/>
    <w:rsid w:val="009559B8"/>
    <w:rsid w:val="00955AC4"/>
    <w:rsid w:val="00955DF3"/>
    <w:rsid w:val="0095607D"/>
    <w:rsid w:val="0095654C"/>
    <w:rsid w:val="0095686C"/>
    <w:rsid w:val="00956C4E"/>
    <w:rsid w:val="0095751D"/>
    <w:rsid w:val="00957569"/>
    <w:rsid w:val="00957A77"/>
    <w:rsid w:val="00957B6B"/>
    <w:rsid w:val="00957D5D"/>
    <w:rsid w:val="0096002A"/>
    <w:rsid w:val="009608B3"/>
    <w:rsid w:val="00961502"/>
    <w:rsid w:val="00961623"/>
    <w:rsid w:val="009619B3"/>
    <w:rsid w:val="00961F98"/>
    <w:rsid w:val="00961F9F"/>
    <w:rsid w:val="00961FCA"/>
    <w:rsid w:val="00961FF0"/>
    <w:rsid w:val="00962323"/>
    <w:rsid w:val="009626AC"/>
    <w:rsid w:val="00962897"/>
    <w:rsid w:val="0096297B"/>
    <w:rsid w:val="009631B4"/>
    <w:rsid w:val="009633D7"/>
    <w:rsid w:val="009637F5"/>
    <w:rsid w:val="0096395E"/>
    <w:rsid w:val="00963ACD"/>
    <w:rsid w:val="00963B85"/>
    <w:rsid w:val="00964723"/>
    <w:rsid w:val="00964A1C"/>
    <w:rsid w:val="00964A79"/>
    <w:rsid w:val="00964C14"/>
    <w:rsid w:val="00964CF1"/>
    <w:rsid w:val="009652D5"/>
    <w:rsid w:val="00966C16"/>
    <w:rsid w:val="00966D01"/>
    <w:rsid w:val="009673BF"/>
    <w:rsid w:val="0096761A"/>
    <w:rsid w:val="009677F8"/>
    <w:rsid w:val="0097036B"/>
    <w:rsid w:val="0097054C"/>
    <w:rsid w:val="009705FE"/>
    <w:rsid w:val="00970910"/>
    <w:rsid w:val="00970B6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1F79"/>
    <w:rsid w:val="00972278"/>
    <w:rsid w:val="009723EC"/>
    <w:rsid w:val="009725F2"/>
    <w:rsid w:val="00972636"/>
    <w:rsid w:val="00972847"/>
    <w:rsid w:val="00972916"/>
    <w:rsid w:val="00972A9A"/>
    <w:rsid w:val="00972AFF"/>
    <w:rsid w:val="00972B99"/>
    <w:rsid w:val="009735FB"/>
    <w:rsid w:val="0097374B"/>
    <w:rsid w:val="00973C85"/>
    <w:rsid w:val="00974160"/>
    <w:rsid w:val="0097429B"/>
    <w:rsid w:val="009746C6"/>
    <w:rsid w:val="009746F0"/>
    <w:rsid w:val="009749F7"/>
    <w:rsid w:val="0097545D"/>
    <w:rsid w:val="009757B3"/>
    <w:rsid w:val="00975B8C"/>
    <w:rsid w:val="0097600B"/>
    <w:rsid w:val="0097691F"/>
    <w:rsid w:val="009769C3"/>
    <w:rsid w:val="00976D08"/>
    <w:rsid w:val="00977263"/>
    <w:rsid w:val="00977A34"/>
    <w:rsid w:val="00977D75"/>
    <w:rsid w:val="0098001E"/>
    <w:rsid w:val="009809DC"/>
    <w:rsid w:val="00981126"/>
    <w:rsid w:val="0098193C"/>
    <w:rsid w:val="00981C05"/>
    <w:rsid w:val="00981E75"/>
    <w:rsid w:val="009821F9"/>
    <w:rsid w:val="00982428"/>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44E"/>
    <w:rsid w:val="00985E04"/>
    <w:rsid w:val="009865DA"/>
    <w:rsid w:val="009866A4"/>
    <w:rsid w:val="00987008"/>
    <w:rsid w:val="009871E6"/>
    <w:rsid w:val="00987264"/>
    <w:rsid w:val="00987347"/>
    <w:rsid w:val="009874D7"/>
    <w:rsid w:val="0098765E"/>
    <w:rsid w:val="009878D7"/>
    <w:rsid w:val="00987A6D"/>
    <w:rsid w:val="00987BAC"/>
    <w:rsid w:val="00987BB1"/>
    <w:rsid w:val="00987C50"/>
    <w:rsid w:val="00987E49"/>
    <w:rsid w:val="00990169"/>
    <w:rsid w:val="009902F9"/>
    <w:rsid w:val="009903B2"/>
    <w:rsid w:val="009905FF"/>
    <w:rsid w:val="00990672"/>
    <w:rsid w:val="00990CF1"/>
    <w:rsid w:val="00990D40"/>
    <w:rsid w:val="00990F98"/>
    <w:rsid w:val="00991675"/>
    <w:rsid w:val="00991750"/>
    <w:rsid w:val="00992008"/>
    <w:rsid w:val="009928FE"/>
    <w:rsid w:val="00992A0D"/>
    <w:rsid w:val="00992B05"/>
    <w:rsid w:val="00992BBD"/>
    <w:rsid w:val="00992BC7"/>
    <w:rsid w:val="00993387"/>
    <w:rsid w:val="00993B46"/>
    <w:rsid w:val="00993D88"/>
    <w:rsid w:val="00993DD8"/>
    <w:rsid w:val="00993EC9"/>
    <w:rsid w:val="00993F9C"/>
    <w:rsid w:val="00994540"/>
    <w:rsid w:val="0099478E"/>
    <w:rsid w:val="0099499F"/>
    <w:rsid w:val="00994B8D"/>
    <w:rsid w:val="0099513F"/>
    <w:rsid w:val="00995261"/>
    <w:rsid w:val="00995563"/>
    <w:rsid w:val="0099566F"/>
    <w:rsid w:val="00995D8B"/>
    <w:rsid w:val="00995F67"/>
    <w:rsid w:val="0099606C"/>
    <w:rsid w:val="00996409"/>
    <w:rsid w:val="00996499"/>
    <w:rsid w:val="009965BC"/>
    <w:rsid w:val="00996750"/>
    <w:rsid w:val="0099699D"/>
    <w:rsid w:val="009969D4"/>
    <w:rsid w:val="00996ACD"/>
    <w:rsid w:val="00996BA8"/>
    <w:rsid w:val="00996BB0"/>
    <w:rsid w:val="00996CD2"/>
    <w:rsid w:val="00996D00"/>
    <w:rsid w:val="00996D57"/>
    <w:rsid w:val="0099752F"/>
    <w:rsid w:val="00997B48"/>
    <w:rsid w:val="009A0382"/>
    <w:rsid w:val="009A03DC"/>
    <w:rsid w:val="009A0481"/>
    <w:rsid w:val="009A058D"/>
    <w:rsid w:val="009A0A1A"/>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6CF3"/>
    <w:rsid w:val="009A7015"/>
    <w:rsid w:val="009A7199"/>
    <w:rsid w:val="009A74E4"/>
    <w:rsid w:val="009A76F7"/>
    <w:rsid w:val="009A7999"/>
    <w:rsid w:val="009A7EBD"/>
    <w:rsid w:val="009B0134"/>
    <w:rsid w:val="009B062E"/>
    <w:rsid w:val="009B0655"/>
    <w:rsid w:val="009B08A0"/>
    <w:rsid w:val="009B0E88"/>
    <w:rsid w:val="009B1A42"/>
    <w:rsid w:val="009B1A57"/>
    <w:rsid w:val="009B1C9A"/>
    <w:rsid w:val="009B2020"/>
    <w:rsid w:val="009B24F2"/>
    <w:rsid w:val="009B252F"/>
    <w:rsid w:val="009B2785"/>
    <w:rsid w:val="009B28F0"/>
    <w:rsid w:val="009B2DBA"/>
    <w:rsid w:val="009B3133"/>
    <w:rsid w:val="009B3504"/>
    <w:rsid w:val="009B352E"/>
    <w:rsid w:val="009B366F"/>
    <w:rsid w:val="009B38BC"/>
    <w:rsid w:val="009B3EBE"/>
    <w:rsid w:val="009B42DD"/>
    <w:rsid w:val="009B43BF"/>
    <w:rsid w:val="009B449D"/>
    <w:rsid w:val="009B4617"/>
    <w:rsid w:val="009B4693"/>
    <w:rsid w:val="009B4A2D"/>
    <w:rsid w:val="009B4A90"/>
    <w:rsid w:val="009B540B"/>
    <w:rsid w:val="009B54E0"/>
    <w:rsid w:val="009B56F9"/>
    <w:rsid w:val="009B591D"/>
    <w:rsid w:val="009B5A07"/>
    <w:rsid w:val="009B5CD6"/>
    <w:rsid w:val="009B60C4"/>
    <w:rsid w:val="009B64D1"/>
    <w:rsid w:val="009B655D"/>
    <w:rsid w:val="009B6884"/>
    <w:rsid w:val="009B6BC6"/>
    <w:rsid w:val="009B6EAB"/>
    <w:rsid w:val="009B74D3"/>
    <w:rsid w:val="009B757A"/>
    <w:rsid w:val="009C013E"/>
    <w:rsid w:val="009C065D"/>
    <w:rsid w:val="009C09C4"/>
    <w:rsid w:val="009C0D78"/>
    <w:rsid w:val="009C111D"/>
    <w:rsid w:val="009C1363"/>
    <w:rsid w:val="009C14A4"/>
    <w:rsid w:val="009C1545"/>
    <w:rsid w:val="009C16B9"/>
    <w:rsid w:val="009C18B8"/>
    <w:rsid w:val="009C1B3C"/>
    <w:rsid w:val="009C1B99"/>
    <w:rsid w:val="009C1E01"/>
    <w:rsid w:val="009C1E0B"/>
    <w:rsid w:val="009C2259"/>
    <w:rsid w:val="009C26C9"/>
    <w:rsid w:val="009C2871"/>
    <w:rsid w:val="009C29E4"/>
    <w:rsid w:val="009C2B76"/>
    <w:rsid w:val="009C2EC7"/>
    <w:rsid w:val="009C2F02"/>
    <w:rsid w:val="009C442C"/>
    <w:rsid w:val="009C45D8"/>
    <w:rsid w:val="009C4620"/>
    <w:rsid w:val="009C4851"/>
    <w:rsid w:val="009C4884"/>
    <w:rsid w:val="009C4A9D"/>
    <w:rsid w:val="009C4AD3"/>
    <w:rsid w:val="009C50FC"/>
    <w:rsid w:val="009C52A7"/>
    <w:rsid w:val="009C5421"/>
    <w:rsid w:val="009C56C2"/>
    <w:rsid w:val="009C57A4"/>
    <w:rsid w:val="009C5AFF"/>
    <w:rsid w:val="009C5CA6"/>
    <w:rsid w:val="009C601F"/>
    <w:rsid w:val="009C62F8"/>
    <w:rsid w:val="009C6476"/>
    <w:rsid w:val="009C72B9"/>
    <w:rsid w:val="009C73CB"/>
    <w:rsid w:val="009C7951"/>
    <w:rsid w:val="009C7B7D"/>
    <w:rsid w:val="009D03E1"/>
    <w:rsid w:val="009D051D"/>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1DF"/>
    <w:rsid w:val="009D38F7"/>
    <w:rsid w:val="009D3DD0"/>
    <w:rsid w:val="009D406F"/>
    <w:rsid w:val="009D40D9"/>
    <w:rsid w:val="009D4AC1"/>
    <w:rsid w:val="009D545A"/>
    <w:rsid w:val="009D558A"/>
    <w:rsid w:val="009D5BCD"/>
    <w:rsid w:val="009D5BF0"/>
    <w:rsid w:val="009D5E81"/>
    <w:rsid w:val="009D6321"/>
    <w:rsid w:val="009D6606"/>
    <w:rsid w:val="009D669A"/>
    <w:rsid w:val="009D672F"/>
    <w:rsid w:val="009D6B83"/>
    <w:rsid w:val="009D6B9B"/>
    <w:rsid w:val="009D6CDA"/>
    <w:rsid w:val="009D6D44"/>
    <w:rsid w:val="009D7225"/>
    <w:rsid w:val="009D7B41"/>
    <w:rsid w:val="009D7F99"/>
    <w:rsid w:val="009E00EA"/>
    <w:rsid w:val="009E01D7"/>
    <w:rsid w:val="009E02E3"/>
    <w:rsid w:val="009E037D"/>
    <w:rsid w:val="009E0593"/>
    <w:rsid w:val="009E0CC9"/>
    <w:rsid w:val="009E0F4D"/>
    <w:rsid w:val="009E100C"/>
    <w:rsid w:val="009E10D6"/>
    <w:rsid w:val="009E11F6"/>
    <w:rsid w:val="009E165F"/>
    <w:rsid w:val="009E1A9E"/>
    <w:rsid w:val="009E1CCF"/>
    <w:rsid w:val="009E1F4C"/>
    <w:rsid w:val="009E1F85"/>
    <w:rsid w:val="009E223E"/>
    <w:rsid w:val="009E22FA"/>
    <w:rsid w:val="009E2960"/>
    <w:rsid w:val="009E2C7A"/>
    <w:rsid w:val="009E2D9C"/>
    <w:rsid w:val="009E2E6B"/>
    <w:rsid w:val="009E3257"/>
    <w:rsid w:val="009E35A4"/>
    <w:rsid w:val="009E3744"/>
    <w:rsid w:val="009E39F5"/>
    <w:rsid w:val="009E3C33"/>
    <w:rsid w:val="009E3CD5"/>
    <w:rsid w:val="009E3F46"/>
    <w:rsid w:val="009E3FA9"/>
    <w:rsid w:val="009E431D"/>
    <w:rsid w:val="009E44DA"/>
    <w:rsid w:val="009E4744"/>
    <w:rsid w:val="009E47E0"/>
    <w:rsid w:val="009E4878"/>
    <w:rsid w:val="009E48C0"/>
    <w:rsid w:val="009E4BDD"/>
    <w:rsid w:val="009E4CB5"/>
    <w:rsid w:val="009E4CBA"/>
    <w:rsid w:val="009E4EC9"/>
    <w:rsid w:val="009E4FA3"/>
    <w:rsid w:val="009E5542"/>
    <w:rsid w:val="009E58B0"/>
    <w:rsid w:val="009E5D00"/>
    <w:rsid w:val="009E5D5A"/>
    <w:rsid w:val="009E5FAF"/>
    <w:rsid w:val="009E67F6"/>
    <w:rsid w:val="009E6876"/>
    <w:rsid w:val="009E6A04"/>
    <w:rsid w:val="009E6D30"/>
    <w:rsid w:val="009E6DB6"/>
    <w:rsid w:val="009E6E49"/>
    <w:rsid w:val="009E6E94"/>
    <w:rsid w:val="009E784E"/>
    <w:rsid w:val="009E7F68"/>
    <w:rsid w:val="009F014B"/>
    <w:rsid w:val="009F0630"/>
    <w:rsid w:val="009F0984"/>
    <w:rsid w:val="009F0B36"/>
    <w:rsid w:val="009F1180"/>
    <w:rsid w:val="009F1758"/>
    <w:rsid w:val="009F1AB7"/>
    <w:rsid w:val="009F1C84"/>
    <w:rsid w:val="009F2114"/>
    <w:rsid w:val="009F2262"/>
    <w:rsid w:val="009F28E2"/>
    <w:rsid w:val="009F299F"/>
    <w:rsid w:val="009F2C2D"/>
    <w:rsid w:val="009F3315"/>
    <w:rsid w:val="009F3377"/>
    <w:rsid w:val="009F385D"/>
    <w:rsid w:val="009F3BCC"/>
    <w:rsid w:val="009F4171"/>
    <w:rsid w:val="009F42E8"/>
    <w:rsid w:val="009F441E"/>
    <w:rsid w:val="009F4583"/>
    <w:rsid w:val="009F47CE"/>
    <w:rsid w:val="009F4A66"/>
    <w:rsid w:val="009F4ADA"/>
    <w:rsid w:val="009F4BA8"/>
    <w:rsid w:val="009F5858"/>
    <w:rsid w:val="009F6239"/>
    <w:rsid w:val="009F6411"/>
    <w:rsid w:val="009F6658"/>
    <w:rsid w:val="009F6A0D"/>
    <w:rsid w:val="009F6BF2"/>
    <w:rsid w:val="009F6C05"/>
    <w:rsid w:val="009F704B"/>
    <w:rsid w:val="009F7100"/>
    <w:rsid w:val="009F7294"/>
    <w:rsid w:val="009F734C"/>
    <w:rsid w:val="009F746A"/>
    <w:rsid w:val="009F7C9B"/>
    <w:rsid w:val="009F7E8C"/>
    <w:rsid w:val="009F7FB3"/>
    <w:rsid w:val="00A00BA5"/>
    <w:rsid w:val="00A017A8"/>
    <w:rsid w:val="00A01AAD"/>
    <w:rsid w:val="00A01B15"/>
    <w:rsid w:val="00A01BA3"/>
    <w:rsid w:val="00A01DCD"/>
    <w:rsid w:val="00A01EAA"/>
    <w:rsid w:val="00A0213D"/>
    <w:rsid w:val="00A028E5"/>
    <w:rsid w:val="00A02F04"/>
    <w:rsid w:val="00A02FD1"/>
    <w:rsid w:val="00A0313B"/>
    <w:rsid w:val="00A0359B"/>
    <w:rsid w:val="00A03D76"/>
    <w:rsid w:val="00A03F67"/>
    <w:rsid w:val="00A04712"/>
    <w:rsid w:val="00A04CFA"/>
    <w:rsid w:val="00A04D9F"/>
    <w:rsid w:val="00A05069"/>
    <w:rsid w:val="00A050D7"/>
    <w:rsid w:val="00A052D4"/>
    <w:rsid w:val="00A0534B"/>
    <w:rsid w:val="00A0638A"/>
    <w:rsid w:val="00A069D1"/>
    <w:rsid w:val="00A06E2E"/>
    <w:rsid w:val="00A070B7"/>
    <w:rsid w:val="00A074B7"/>
    <w:rsid w:val="00A0774D"/>
    <w:rsid w:val="00A07991"/>
    <w:rsid w:val="00A079A5"/>
    <w:rsid w:val="00A07ACD"/>
    <w:rsid w:val="00A07B27"/>
    <w:rsid w:val="00A07F1F"/>
    <w:rsid w:val="00A1008B"/>
    <w:rsid w:val="00A104CE"/>
    <w:rsid w:val="00A10560"/>
    <w:rsid w:val="00A106AC"/>
    <w:rsid w:val="00A1092B"/>
    <w:rsid w:val="00A10CDE"/>
    <w:rsid w:val="00A1135A"/>
    <w:rsid w:val="00A11545"/>
    <w:rsid w:val="00A11741"/>
    <w:rsid w:val="00A11EAA"/>
    <w:rsid w:val="00A12DE8"/>
    <w:rsid w:val="00A12F1D"/>
    <w:rsid w:val="00A12FE0"/>
    <w:rsid w:val="00A13318"/>
    <w:rsid w:val="00A133EA"/>
    <w:rsid w:val="00A139FC"/>
    <w:rsid w:val="00A13A89"/>
    <w:rsid w:val="00A13AE8"/>
    <w:rsid w:val="00A13E76"/>
    <w:rsid w:val="00A13F75"/>
    <w:rsid w:val="00A143E1"/>
    <w:rsid w:val="00A143F0"/>
    <w:rsid w:val="00A14598"/>
    <w:rsid w:val="00A14748"/>
    <w:rsid w:val="00A14887"/>
    <w:rsid w:val="00A14DE8"/>
    <w:rsid w:val="00A150BE"/>
    <w:rsid w:val="00A152E5"/>
    <w:rsid w:val="00A1555B"/>
    <w:rsid w:val="00A15BD1"/>
    <w:rsid w:val="00A15F04"/>
    <w:rsid w:val="00A15F6E"/>
    <w:rsid w:val="00A160A9"/>
    <w:rsid w:val="00A1680D"/>
    <w:rsid w:val="00A168D9"/>
    <w:rsid w:val="00A16CA1"/>
    <w:rsid w:val="00A16EA7"/>
    <w:rsid w:val="00A1716C"/>
    <w:rsid w:val="00A1749D"/>
    <w:rsid w:val="00A176FF"/>
    <w:rsid w:val="00A17CC1"/>
    <w:rsid w:val="00A20358"/>
    <w:rsid w:val="00A2190F"/>
    <w:rsid w:val="00A21962"/>
    <w:rsid w:val="00A21B20"/>
    <w:rsid w:val="00A21D6F"/>
    <w:rsid w:val="00A21DA9"/>
    <w:rsid w:val="00A21DDD"/>
    <w:rsid w:val="00A21E4E"/>
    <w:rsid w:val="00A21EDD"/>
    <w:rsid w:val="00A22037"/>
    <w:rsid w:val="00A22213"/>
    <w:rsid w:val="00A222CC"/>
    <w:rsid w:val="00A2298D"/>
    <w:rsid w:val="00A22BA1"/>
    <w:rsid w:val="00A234ED"/>
    <w:rsid w:val="00A23718"/>
    <w:rsid w:val="00A23764"/>
    <w:rsid w:val="00A2379D"/>
    <w:rsid w:val="00A238F3"/>
    <w:rsid w:val="00A23AB0"/>
    <w:rsid w:val="00A241A2"/>
    <w:rsid w:val="00A24949"/>
    <w:rsid w:val="00A2507A"/>
    <w:rsid w:val="00A25C4C"/>
    <w:rsid w:val="00A25D3B"/>
    <w:rsid w:val="00A26153"/>
    <w:rsid w:val="00A266C5"/>
    <w:rsid w:val="00A26704"/>
    <w:rsid w:val="00A26A5E"/>
    <w:rsid w:val="00A26B02"/>
    <w:rsid w:val="00A26B03"/>
    <w:rsid w:val="00A26B22"/>
    <w:rsid w:val="00A26C43"/>
    <w:rsid w:val="00A26CB0"/>
    <w:rsid w:val="00A26D60"/>
    <w:rsid w:val="00A26E70"/>
    <w:rsid w:val="00A2712F"/>
    <w:rsid w:val="00A27303"/>
    <w:rsid w:val="00A27448"/>
    <w:rsid w:val="00A278DB"/>
    <w:rsid w:val="00A279AC"/>
    <w:rsid w:val="00A30014"/>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359"/>
    <w:rsid w:val="00A40754"/>
    <w:rsid w:val="00A4089E"/>
    <w:rsid w:val="00A40FE5"/>
    <w:rsid w:val="00A4103C"/>
    <w:rsid w:val="00A4109C"/>
    <w:rsid w:val="00A411C9"/>
    <w:rsid w:val="00A415E6"/>
    <w:rsid w:val="00A41726"/>
    <w:rsid w:val="00A41B00"/>
    <w:rsid w:val="00A41D03"/>
    <w:rsid w:val="00A42026"/>
    <w:rsid w:val="00A427D6"/>
    <w:rsid w:val="00A42801"/>
    <w:rsid w:val="00A42AF7"/>
    <w:rsid w:val="00A42BED"/>
    <w:rsid w:val="00A42D88"/>
    <w:rsid w:val="00A42EFE"/>
    <w:rsid w:val="00A42F3C"/>
    <w:rsid w:val="00A4304F"/>
    <w:rsid w:val="00A4327B"/>
    <w:rsid w:val="00A43E0B"/>
    <w:rsid w:val="00A43EF4"/>
    <w:rsid w:val="00A44066"/>
    <w:rsid w:val="00A445E5"/>
    <w:rsid w:val="00A44625"/>
    <w:rsid w:val="00A44C91"/>
    <w:rsid w:val="00A44D57"/>
    <w:rsid w:val="00A44EA7"/>
    <w:rsid w:val="00A451A0"/>
    <w:rsid w:val="00A4523C"/>
    <w:rsid w:val="00A4542B"/>
    <w:rsid w:val="00A45D01"/>
    <w:rsid w:val="00A45D10"/>
    <w:rsid w:val="00A45FF3"/>
    <w:rsid w:val="00A464C8"/>
    <w:rsid w:val="00A46638"/>
    <w:rsid w:val="00A4691D"/>
    <w:rsid w:val="00A46B28"/>
    <w:rsid w:val="00A47281"/>
    <w:rsid w:val="00A4765F"/>
    <w:rsid w:val="00A47868"/>
    <w:rsid w:val="00A47B26"/>
    <w:rsid w:val="00A47D63"/>
    <w:rsid w:val="00A47ECE"/>
    <w:rsid w:val="00A47ED1"/>
    <w:rsid w:val="00A500BE"/>
    <w:rsid w:val="00A50328"/>
    <w:rsid w:val="00A50478"/>
    <w:rsid w:val="00A504C0"/>
    <w:rsid w:val="00A505DE"/>
    <w:rsid w:val="00A50CDF"/>
    <w:rsid w:val="00A50D3F"/>
    <w:rsid w:val="00A50D81"/>
    <w:rsid w:val="00A50D97"/>
    <w:rsid w:val="00A50DBB"/>
    <w:rsid w:val="00A5102B"/>
    <w:rsid w:val="00A51164"/>
    <w:rsid w:val="00A514F4"/>
    <w:rsid w:val="00A51818"/>
    <w:rsid w:val="00A51A3F"/>
    <w:rsid w:val="00A51F97"/>
    <w:rsid w:val="00A525F4"/>
    <w:rsid w:val="00A52857"/>
    <w:rsid w:val="00A529E8"/>
    <w:rsid w:val="00A5314F"/>
    <w:rsid w:val="00A531BB"/>
    <w:rsid w:val="00A5327C"/>
    <w:rsid w:val="00A53A7F"/>
    <w:rsid w:val="00A53AE7"/>
    <w:rsid w:val="00A53B7F"/>
    <w:rsid w:val="00A53F6A"/>
    <w:rsid w:val="00A54056"/>
    <w:rsid w:val="00A54439"/>
    <w:rsid w:val="00A549DA"/>
    <w:rsid w:val="00A558BE"/>
    <w:rsid w:val="00A558F9"/>
    <w:rsid w:val="00A55B2C"/>
    <w:rsid w:val="00A55BE6"/>
    <w:rsid w:val="00A56062"/>
    <w:rsid w:val="00A567B0"/>
    <w:rsid w:val="00A56AB3"/>
    <w:rsid w:val="00A56AC9"/>
    <w:rsid w:val="00A56C71"/>
    <w:rsid w:val="00A56EE0"/>
    <w:rsid w:val="00A5721C"/>
    <w:rsid w:val="00A57434"/>
    <w:rsid w:val="00A574FA"/>
    <w:rsid w:val="00A57EB4"/>
    <w:rsid w:val="00A60563"/>
    <w:rsid w:val="00A60A26"/>
    <w:rsid w:val="00A60BB9"/>
    <w:rsid w:val="00A60CF4"/>
    <w:rsid w:val="00A611D9"/>
    <w:rsid w:val="00A61239"/>
    <w:rsid w:val="00A613CC"/>
    <w:rsid w:val="00A6142F"/>
    <w:rsid w:val="00A61446"/>
    <w:rsid w:val="00A6146C"/>
    <w:rsid w:val="00A614EB"/>
    <w:rsid w:val="00A614EC"/>
    <w:rsid w:val="00A6165A"/>
    <w:rsid w:val="00A61705"/>
    <w:rsid w:val="00A61C92"/>
    <w:rsid w:val="00A61E6C"/>
    <w:rsid w:val="00A61F47"/>
    <w:rsid w:val="00A62293"/>
    <w:rsid w:val="00A62781"/>
    <w:rsid w:val="00A62D5D"/>
    <w:rsid w:val="00A62FC9"/>
    <w:rsid w:val="00A6304E"/>
    <w:rsid w:val="00A63152"/>
    <w:rsid w:val="00A63410"/>
    <w:rsid w:val="00A63D22"/>
    <w:rsid w:val="00A63F85"/>
    <w:rsid w:val="00A64769"/>
    <w:rsid w:val="00A65106"/>
    <w:rsid w:val="00A654E7"/>
    <w:rsid w:val="00A65651"/>
    <w:rsid w:val="00A6591E"/>
    <w:rsid w:val="00A65C97"/>
    <w:rsid w:val="00A65DAD"/>
    <w:rsid w:val="00A65E23"/>
    <w:rsid w:val="00A6608F"/>
    <w:rsid w:val="00A661CC"/>
    <w:rsid w:val="00A661D7"/>
    <w:rsid w:val="00A66234"/>
    <w:rsid w:val="00A6633A"/>
    <w:rsid w:val="00A66909"/>
    <w:rsid w:val="00A66C65"/>
    <w:rsid w:val="00A66D34"/>
    <w:rsid w:val="00A66DE4"/>
    <w:rsid w:val="00A671D4"/>
    <w:rsid w:val="00A67215"/>
    <w:rsid w:val="00A67913"/>
    <w:rsid w:val="00A67969"/>
    <w:rsid w:val="00A67A73"/>
    <w:rsid w:val="00A67B22"/>
    <w:rsid w:val="00A67DAB"/>
    <w:rsid w:val="00A70AB7"/>
    <w:rsid w:val="00A70D18"/>
    <w:rsid w:val="00A70DED"/>
    <w:rsid w:val="00A7113E"/>
    <w:rsid w:val="00A7137A"/>
    <w:rsid w:val="00A713C5"/>
    <w:rsid w:val="00A714FB"/>
    <w:rsid w:val="00A716BA"/>
    <w:rsid w:val="00A71A6C"/>
    <w:rsid w:val="00A71B3A"/>
    <w:rsid w:val="00A722A2"/>
    <w:rsid w:val="00A72432"/>
    <w:rsid w:val="00A7246A"/>
    <w:rsid w:val="00A73704"/>
    <w:rsid w:val="00A73A5A"/>
    <w:rsid w:val="00A73E86"/>
    <w:rsid w:val="00A74064"/>
    <w:rsid w:val="00A74260"/>
    <w:rsid w:val="00A743F8"/>
    <w:rsid w:val="00A74599"/>
    <w:rsid w:val="00A7483E"/>
    <w:rsid w:val="00A748F0"/>
    <w:rsid w:val="00A74934"/>
    <w:rsid w:val="00A74B9B"/>
    <w:rsid w:val="00A74BC4"/>
    <w:rsid w:val="00A74C45"/>
    <w:rsid w:val="00A74EE1"/>
    <w:rsid w:val="00A74F50"/>
    <w:rsid w:val="00A750EE"/>
    <w:rsid w:val="00A75842"/>
    <w:rsid w:val="00A75892"/>
    <w:rsid w:val="00A759D5"/>
    <w:rsid w:val="00A75A1F"/>
    <w:rsid w:val="00A76014"/>
    <w:rsid w:val="00A766E4"/>
    <w:rsid w:val="00A766FF"/>
    <w:rsid w:val="00A7698F"/>
    <w:rsid w:val="00A76BFF"/>
    <w:rsid w:val="00A7747B"/>
    <w:rsid w:val="00A777C0"/>
    <w:rsid w:val="00A77A35"/>
    <w:rsid w:val="00A77C21"/>
    <w:rsid w:val="00A77D6D"/>
    <w:rsid w:val="00A80023"/>
    <w:rsid w:val="00A8014C"/>
    <w:rsid w:val="00A80352"/>
    <w:rsid w:val="00A808DB"/>
    <w:rsid w:val="00A80B2C"/>
    <w:rsid w:val="00A80B3C"/>
    <w:rsid w:val="00A80C6A"/>
    <w:rsid w:val="00A80CFE"/>
    <w:rsid w:val="00A80FB1"/>
    <w:rsid w:val="00A80FF2"/>
    <w:rsid w:val="00A81252"/>
    <w:rsid w:val="00A81A94"/>
    <w:rsid w:val="00A81D28"/>
    <w:rsid w:val="00A81D45"/>
    <w:rsid w:val="00A8223B"/>
    <w:rsid w:val="00A8250C"/>
    <w:rsid w:val="00A82534"/>
    <w:rsid w:val="00A82948"/>
    <w:rsid w:val="00A82AFF"/>
    <w:rsid w:val="00A82BA1"/>
    <w:rsid w:val="00A82C5B"/>
    <w:rsid w:val="00A8329D"/>
    <w:rsid w:val="00A8364E"/>
    <w:rsid w:val="00A83ACF"/>
    <w:rsid w:val="00A83DDA"/>
    <w:rsid w:val="00A843C4"/>
    <w:rsid w:val="00A845F6"/>
    <w:rsid w:val="00A849A0"/>
    <w:rsid w:val="00A84D50"/>
    <w:rsid w:val="00A84E12"/>
    <w:rsid w:val="00A8529E"/>
    <w:rsid w:val="00A85346"/>
    <w:rsid w:val="00A8553F"/>
    <w:rsid w:val="00A85924"/>
    <w:rsid w:val="00A85D0F"/>
    <w:rsid w:val="00A85EDA"/>
    <w:rsid w:val="00A86039"/>
    <w:rsid w:val="00A860BF"/>
    <w:rsid w:val="00A860F3"/>
    <w:rsid w:val="00A86C7B"/>
    <w:rsid w:val="00A86E2E"/>
    <w:rsid w:val="00A87332"/>
    <w:rsid w:val="00A877B4"/>
    <w:rsid w:val="00A878B9"/>
    <w:rsid w:val="00A87DD8"/>
    <w:rsid w:val="00A87FF6"/>
    <w:rsid w:val="00A90503"/>
    <w:rsid w:val="00A90B83"/>
    <w:rsid w:val="00A90F49"/>
    <w:rsid w:val="00A9108B"/>
    <w:rsid w:val="00A9119A"/>
    <w:rsid w:val="00A911F3"/>
    <w:rsid w:val="00A9121B"/>
    <w:rsid w:val="00A92037"/>
    <w:rsid w:val="00A92500"/>
    <w:rsid w:val="00A927C2"/>
    <w:rsid w:val="00A9289F"/>
    <w:rsid w:val="00A92A30"/>
    <w:rsid w:val="00A92D44"/>
    <w:rsid w:val="00A93036"/>
    <w:rsid w:val="00A93412"/>
    <w:rsid w:val="00A93636"/>
    <w:rsid w:val="00A93749"/>
    <w:rsid w:val="00A9396C"/>
    <w:rsid w:val="00A93DAA"/>
    <w:rsid w:val="00A9453E"/>
    <w:rsid w:val="00A949AE"/>
    <w:rsid w:val="00A94C15"/>
    <w:rsid w:val="00A94F3E"/>
    <w:rsid w:val="00A9501B"/>
    <w:rsid w:val="00A95156"/>
    <w:rsid w:val="00A951CD"/>
    <w:rsid w:val="00A9522D"/>
    <w:rsid w:val="00A95300"/>
    <w:rsid w:val="00A956B1"/>
    <w:rsid w:val="00A958CC"/>
    <w:rsid w:val="00A95932"/>
    <w:rsid w:val="00A95A19"/>
    <w:rsid w:val="00A95C59"/>
    <w:rsid w:val="00A95D13"/>
    <w:rsid w:val="00A95DED"/>
    <w:rsid w:val="00A95EF7"/>
    <w:rsid w:val="00A961B1"/>
    <w:rsid w:val="00A961DE"/>
    <w:rsid w:val="00A962F1"/>
    <w:rsid w:val="00A9663C"/>
    <w:rsid w:val="00A9681E"/>
    <w:rsid w:val="00A96A38"/>
    <w:rsid w:val="00A96E4B"/>
    <w:rsid w:val="00A97162"/>
    <w:rsid w:val="00A97670"/>
    <w:rsid w:val="00A97948"/>
    <w:rsid w:val="00A97B74"/>
    <w:rsid w:val="00A97C18"/>
    <w:rsid w:val="00A97E96"/>
    <w:rsid w:val="00AA007A"/>
    <w:rsid w:val="00AA0235"/>
    <w:rsid w:val="00AA02FE"/>
    <w:rsid w:val="00AA0D6A"/>
    <w:rsid w:val="00AA0E8A"/>
    <w:rsid w:val="00AA12B3"/>
    <w:rsid w:val="00AA12C5"/>
    <w:rsid w:val="00AA1C89"/>
    <w:rsid w:val="00AA1E89"/>
    <w:rsid w:val="00AA255D"/>
    <w:rsid w:val="00AA274B"/>
    <w:rsid w:val="00AA274F"/>
    <w:rsid w:val="00AA353F"/>
    <w:rsid w:val="00AA35B4"/>
    <w:rsid w:val="00AA3603"/>
    <w:rsid w:val="00AA3B49"/>
    <w:rsid w:val="00AA3B57"/>
    <w:rsid w:val="00AA43A1"/>
    <w:rsid w:val="00AA46F0"/>
    <w:rsid w:val="00AA4801"/>
    <w:rsid w:val="00AA4CAA"/>
    <w:rsid w:val="00AA4DB7"/>
    <w:rsid w:val="00AA4DD2"/>
    <w:rsid w:val="00AA4E64"/>
    <w:rsid w:val="00AA5069"/>
    <w:rsid w:val="00AA5443"/>
    <w:rsid w:val="00AA5802"/>
    <w:rsid w:val="00AA5A2B"/>
    <w:rsid w:val="00AA5CF6"/>
    <w:rsid w:val="00AA5F1A"/>
    <w:rsid w:val="00AA607B"/>
    <w:rsid w:val="00AA6586"/>
    <w:rsid w:val="00AA685A"/>
    <w:rsid w:val="00AA6C3C"/>
    <w:rsid w:val="00AA7225"/>
    <w:rsid w:val="00AA73C3"/>
    <w:rsid w:val="00AA756E"/>
    <w:rsid w:val="00AA75F7"/>
    <w:rsid w:val="00AA7713"/>
    <w:rsid w:val="00AA7A64"/>
    <w:rsid w:val="00AA7DB5"/>
    <w:rsid w:val="00AA7DEE"/>
    <w:rsid w:val="00AA7E3A"/>
    <w:rsid w:val="00AB067C"/>
    <w:rsid w:val="00AB073E"/>
    <w:rsid w:val="00AB0950"/>
    <w:rsid w:val="00AB0989"/>
    <w:rsid w:val="00AB0AAB"/>
    <w:rsid w:val="00AB0EF7"/>
    <w:rsid w:val="00AB13AF"/>
    <w:rsid w:val="00AB147B"/>
    <w:rsid w:val="00AB14AE"/>
    <w:rsid w:val="00AB14D7"/>
    <w:rsid w:val="00AB164D"/>
    <w:rsid w:val="00AB16B0"/>
    <w:rsid w:val="00AB1A13"/>
    <w:rsid w:val="00AB1BF8"/>
    <w:rsid w:val="00AB1D66"/>
    <w:rsid w:val="00AB240C"/>
    <w:rsid w:val="00AB24C5"/>
    <w:rsid w:val="00AB252B"/>
    <w:rsid w:val="00AB25BF"/>
    <w:rsid w:val="00AB28F6"/>
    <w:rsid w:val="00AB29E8"/>
    <w:rsid w:val="00AB2E87"/>
    <w:rsid w:val="00AB2E94"/>
    <w:rsid w:val="00AB30C8"/>
    <w:rsid w:val="00AB3173"/>
    <w:rsid w:val="00AB31BC"/>
    <w:rsid w:val="00AB3D7C"/>
    <w:rsid w:val="00AB3FBA"/>
    <w:rsid w:val="00AB424B"/>
    <w:rsid w:val="00AB42CE"/>
    <w:rsid w:val="00AB47DC"/>
    <w:rsid w:val="00AB4E79"/>
    <w:rsid w:val="00AB4E9F"/>
    <w:rsid w:val="00AB506E"/>
    <w:rsid w:val="00AB52AA"/>
    <w:rsid w:val="00AB5493"/>
    <w:rsid w:val="00AB54D6"/>
    <w:rsid w:val="00AB5567"/>
    <w:rsid w:val="00AB5666"/>
    <w:rsid w:val="00AB5CDF"/>
    <w:rsid w:val="00AB60E2"/>
    <w:rsid w:val="00AB63B3"/>
    <w:rsid w:val="00AB656E"/>
    <w:rsid w:val="00AB6B3F"/>
    <w:rsid w:val="00AB6E87"/>
    <w:rsid w:val="00AB6FFE"/>
    <w:rsid w:val="00AB7A2F"/>
    <w:rsid w:val="00AB7D93"/>
    <w:rsid w:val="00AC00C4"/>
    <w:rsid w:val="00AC04E0"/>
    <w:rsid w:val="00AC0529"/>
    <w:rsid w:val="00AC07DD"/>
    <w:rsid w:val="00AC0A1D"/>
    <w:rsid w:val="00AC0B0B"/>
    <w:rsid w:val="00AC0CE2"/>
    <w:rsid w:val="00AC126F"/>
    <w:rsid w:val="00AC1736"/>
    <w:rsid w:val="00AC17D4"/>
    <w:rsid w:val="00AC190C"/>
    <w:rsid w:val="00AC1C55"/>
    <w:rsid w:val="00AC1D2B"/>
    <w:rsid w:val="00AC20B0"/>
    <w:rsid w:val="00AC210F"/>
    <w:rsid w:val="00AC27FF"/>
    <w:rsid w:val="00AC2843"/>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72D"/>
    <w:rsid w:val="00AC48B8"/>
    <w:rsid w:val="00AC4BB9"/>
    <w:rsid w:val="00AC5B1B"/>
    <w:rsid w:val="00AC5C61"/>
    <w:rsid w:val="00AC5D5A"/>
    <w:rsid w:val="00AC5D6E"/>
    <w:rsid w:val="00AC6100"/>
    <w:rsid w:val="00AC624F"/>
    <w:rsid w:val="00AC6415"/>
    <w:rsid w:val="00AC6600"/>
    <w:rsid w:val="00AC6AA0"/>
    <w:rsid w:val="00AC6BCD"/>
    <w:rsid w:val="00AC6C7E"/>
    <w:rsid w:val="00AC6F02"/>
    <w:rsid w:val="00AC6F7A"/>
    <w:rsid w:val="00AC6FAA"/>
    <w:rsid w:val="00AC6FCE"/>
    <w:rsid w:val="00AC71D8"/>
    <w:rsid w:val="00AC7665"/>
    <w:rsid w:val="00AC7812"/>
    <w:rsid w:val="00AC79CC"/>
    <w:rsid w:val="00AC7D5E"/>
    <w:rsid w:val="00AC7D89"/>
    <w:rsid w:val="00AC7DCC"/>
    <w:rsid w:val="00AD0326"/>
    <w:rsid w:val="00AD0487"/>
    <w:rsid w:val="00AD06BC"/>
    <w:rsid w:val="00AD09B3"/>
    <w:rsid w:val="00AD0BAE"/>
    <w:rsid w:val="00AD0CF7"/>
    <w:rsid w:val="00AD129A"/>
    <w:rsid w:val="00AD1C47"/>
    <w:rsid w:val="00AD1D7E"/>
    <w:rsid w:val="00AD21A1"/>
    <w:rsid w:val="00AD222C"/>
    <w:rsid w:val="00AD2294"/>
    <w:rsid w:val="00AD2AC9"/>
    <w:rsid w:val="00AD30A0"/>
    <w:rsid w:val="00AD32DD"/>
    <w:rsid w:val="00AD348A"/>
    <w:rsid w:val="00AD34F4"/>
    <w:rsid w:val="00AD353F"/>
    <w:rsid w:val="00AD386C"/>
    <w:rsid w:val="00AD3F2C"/>
    <w:rsid w:val="00AD3F5E"/>
    <w:rsid w:val="00AD3FC6"/>
    <w:rsid w:val="00AD4110"/>
    <w:rsid w:val="00AD4308"/>
    <w:rsid w:val="00AD45EF"/>
    <w:rsid w:val="00AD47E6"/>
    <w:rsid w:val="00AD494E"/>
    <w:rsid w:val="00AD4BE5"/>
    <w:rsid w:val="00AD4C5E"/>
    <w:rsid w:val="00AD4ED4"/>
    <w:rsid w:val="00AD50AD"/>
    <w:rsid w:val="00AD544A"/>
    <w:rsid w:val="00AD5497"/>
    <w:rsid w:val="00AD59F4"/>
    <w:rsid w:val="00AD5A30"/>
    <w:rsid w:val="00AD5EEC"/>
    <w:rsid w:val="00AD5F24"/>
    <w:rsid w:val="00AD5FE2"/>
    <w:rsid w:val="00AD6131"/>
    <w:rsid w:val="00AD657A"/>
    <w:rsid w:val="00AD66BE"/>
    <w:rsid w:val="00AD675E"/>
    <w:rsid w:val="00AD691F"/>
    <w:rsid w:val="00AD6A14"/>
    <w:rsid w:val="00AD6AD3"/>
    <w:rsid w:val="00AD6C9E"/>
    <w:rsid w:val="00AD6D52"/>
    <w:rsid w:val="00AD6E42"/>
    <w:rsid w:val="00AD6FE9"/>
    <w:rsid w:val="00AD722A"/>
    <w:rsid w:val="00AD7286"/>
    <w:rsid w:val="00AD7D94"/>
    <w:rsid w:val="00AD7F4A"/>
    <w:rsid w:val="00AD7FE9"/>
    <w:rsid w:val="00AE0356"/>
    <w:rsid w:val="00AE04BC"/>
    <w:rsid w:val="00AE059B"/>
    <w:rsid w:val="00AE071E"/>
    <w:rsid w:val="00AE0961"/>
    <w:rsid w:val="00AE09FB"/>
    <w:rsid w:val="00AE0A2D"/>
    <w:rsid w:val="00AE0B90"/>
    <w:rsid w:val="00AE0D96"/>
    <w:rsid w:val="00AE118A"/>
    <w:rsid w:val="00AE1529"/>
    <w:rsid w:val="00AE1B01"/>
    <w:rsid w:val="00AE1F4D"/>
    <w:rsid w:val="00AE2764"/>
    <w:rsid w:val="00AE277A"/>
    <w:rsid w:val="00AE28E4"/>
    <w:rsid w:val="00AE2AF7"/>
    <w:rsid w:val="00AE2B5B"/>
    <w:rsid w:val="00AE309D"/>
    <w:rsid w:val="00AE313D"/>
    <w:rsid w:val="00AE3455"/>
    <w:rsid w:val="00AE3739"/>
    <w:rsid w:val="00AE3A1E"/>
    <w:rsid w:val="00AE3AA3"/>
    <w:rsid w:val="00AE3D37"/>
    <w:rsid w:val="00AE4395"/>
    <w:rsid w:val="00AE4673"/>
    <w:rsid w:val="00AE480C"/>
    <w:rsid w:val="00AE4AC3"/>
    <w:rsid w:val="00AE578C"/>
    <w:rsid w:val="00AE5DA2"/>
    <w:rsid w:val="00AE5F32"/>
    <w:rsid w:val="00AE5F4E"/>
    <w:rsid w:val="00AE66D1"/>
    <w:rsid w:val="00AE6898"/>
    <w:rsid w:val="00AE68F7"/>
    <w:rsid w:val="00AE69A7"/>
    <w:rsid w:val="00AE69E3"/>
    <w:rsid w:val="00AE6CD0"/>
    <w:rsid w:val="00AE734F"/>
    <w:rsid w:val="00AE7661"/>
    <w:rsid w:val="00AE7884"/>
    <w:rsid w:val="00AE7B44"/>
    <w:rsid w:val="00AE7F77"/>
    <w:rsid w:val="00AE7FF4"/>
    <w:rsid w:val="00AF0308"/>
    <w:rsid w:val="00AF0361"/>
    <w:rsid w:val="00AF067A"/>
    <w:rsid w:val="00AF07B2"/>
    <w:rsid w:val="00AF098C"/>
    <w:rsid w:val="00AF109E"/>
    <w:rsid w:val="00AF12C6"/>
    <w:rsid w:val="00AF15F4"/>
    <w:rsid w:val="00AF1660"/>
    <w:rsid w:val="00AF18AB"/>
    <w:rsid w:val="00AF1A2D"/>
    <w:rsid w:val="00AF207E"/>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6110"/>
    <w:rsid w:val="00AF61CB"/>
    <w:rsid w:val="00AF6226"/>
    <w:rsid w:val="00AF63E9"/>
    <w:rsid w:val="00AF6425"/>
    <w:rsid w:val="00AF646E"/>
    <w:rsid w:val="00AF685D"/>
    <w:rsid w:val="00AF6AC6"/>
    <w:rsid w:val="00AF7095"/>
    <w:rsid w:val="00AF70D8"/>
    <w:rsid w:val="00AF719C"/>
    <w:rsid w:val="00AF71C9"/>
    <w:rsid w:val="00AF72B2"/>
    <w:rsid w:val="00AF72E9"/>
    <w:rsid w:val="00AF7D99"/>
    <w:rsid w:val="00AF7E82"/>
    <w:rsid w:val="00B00014"/>
    <w:rsid w:val="00B00611"/>
    <w:rsid w:val="00B013E3"/>
    <w:rsid w:val="00B01CDC"/>
    <w:rsid w:val="00B01F1F"/>
    <w:rsid w:val="00B02141"/>
    <w:rsid w:val="00B02327"/>
    <w:rsid w:val="00B0243F"/>
    <w:rsid w:val="00B02B88"/>
    <w:rsid w:val="00B02DD8"/>
    <w:rsid w:val="00B03037"/>
    <w:rsid w:val="00B0334E"/>
    <w:rsid w:val="00B03484"/>
    <w:rsid w:val="00B03719"/>
    <w:rsid w:val="00B0394F"/>
    <w:rsid w:val="00B03A5A"/>
    <w:rsid w:val="00B03A82"/>
    <w:rsid w:val="00B03CE9"/>
    <w:rsid w:val="00B03CED"/>
    <w:rsid w:val="00B03DBD"/>
    <w:rsid w:val="00B03DDE"/>
    <w:rsid w:val="00B03F93"/>
    <w:rsid w:val="00B0418A"/>
    <w:rsid w:val="00B04354"/>
    <w:rsid w:val="00B0461C"/>
    <w:rsid w:val="00B04663"/>
    <w:rsid w:val="00B048DB"/>
    <w:rsid w:val="00B049C5"/>
    <w:rsid w:val="00B04A52"/>
    <w:rsid w:val="00B04FD7"/>
    <w:rsid w:val="00B05162"/>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5F6"/>
    <w:rsid w:val="00B10737"/>
    <w:rsid w:val="00B10D0C"/>
    <w:rsid w:val="00B10D51"/>
    <w:rsid w:val="00B10D6B"/>
    <w:rsid w:val="00B11706"/>
    <w:rsid w:val="00B11B7E"/>
    <w:rsid w:val="00B11BAA"/>
    <w:rsid w:val="00B11BCB"/>
    <w:rsid w:val="00B11D09"/>
    <w:rsid w:val="00B11E11"/>
    <w:rsid w:val="00B11E5A"/>
    <w:rsid w:val="00B1232A"/>
    <w:rsid w:val="00B12FFF"/>
    <w:rsid w:val="00B13013"/>
    <w:rsid w:val="00B130FC"/>
    <w:rsid w:val="00B1325A"/>
    <w:rsid w:val="00B1332B"/>
    <w:rsid w:val="00B13464"/>
    <w:rsid w:val="00B1372B"/>
    <w:rsid w:val="00B13BDC"/>
    <w:rsid w:val="00B13C94"/>
    <w:rsid w:val="00B13DCB"/>
    <w:rsid w:val="00B14BB1"/>
    <w:rsid w:val="00B15005"/>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405"/>
    <w:rsid w:val="00B17D28"/>
    <w:rsid w:val="00B17FBC"/>
    <w:rsid w:val="00B20351"/>
    <w:rsid w:val="00B2081F"/>
    <w:rsid w:val="00B20C13"/>
    <w:rsid w:val="00B20CCB"/>
    <w:rsid w:val="00B22173"/>
    <w:rsid w:val="00B221B5"/>
    <w:rsid w:val="00B2234B"/>
    <w:rsid w:val="00B223EF"/>
    <w:rsid w:val="00B2256E"/>
    <w:rsid w:val="00B2283A"/>
    <w:rsid w:val="00B2324E"/>
    <w:rsid w:val="00B235FA"/>
    <w:rsid w:val="00B236AB"/>
    <w:rsid w:val="00B238E4"/>
    <w:rsid w:val="00B23A31"/>
    <w:rsid w:val="00B23A6B"/>
    <w:rsid w:val="00B23C92"/>
    <w:rsid w:val="00B241ED"/>
    <w:rsid w:val="00B243B0"/>
    <w:rsid w:val="00B2444C"/>
    <w:rsid w:val="00B2462E"/>
    <w:rsid w:val="00B2484E"/>
    <w:rsid w:val="00B249FC"/>
    <w:rsid w:val="00B24AF1"/>
    <w:rsid w:val="00B24CE9"/>
    <w:rsid w:val="00B25147"/>
    <w:rsid w:val="00B251E2"/>
    <w:rsid w:val="00B254B8"/>
    <w:rsid w:val="00B2592B"/>
    <w:rsid w:val="00B259DE"/>
    <w:rsid w:val="00B25C8C"/>
    <w:rsid w:val="00B268A9"/>
    <w:rsid w:val="00B27212"/>
    <w:rsid w:val="00B27740"/>
    <w:rsid w:val="00B27880"/>
    <w:rsid w:val="00B27975"/>
    <w:rsid w:val="00B27B46"/>
    <w:rsid w:val="00B27FC2"/>
    <w:rsid w:val="00B3012F"/>
    <w:rsid w:val="00B30453"/>
    <w:rsid w:val="00B3073F"/>
    <w:rsid w:val="00B30ECA"/>
    <w:rsid w:val="00B31035"/>
    <w:rsid w:val="00B312B0"/>
    <w:rsid w:val="00B31552"/>
    <w:rsid w:val="00B317E7"/>
    <w:rsid w:val="00B31A41"/>
    <w:rsid w:val="00B31A96"/>
    <w:rsid w:val="00B31AAD"/>
    <w:rsid w:val="00B31C0F"/>
    <w:rsid w:val="00B328AA"/>
    <w:rsid w:val="00B32B64"/>
    <w:rsid w:val="00B32BF6"/>
    <w:rsid w:val="00B32C31"/>
    <w:rsid w:val="00B32DCE"/>
    <w:rsid w:val="00B32FB1"/>
    <w:rsid w:val="00B33194"/>
    <w:rsid w:val="00B338FB"/>
    <w:rsid w:val="00B33909"/>
    <w:rsid w:val="00B33A0F"/>
    <w:rsid w:val="00B33A57"/>
    <w:rsid w:val="00B34083"/>
    <w:rsid w:val="00B34226"/>
    <w:rsid w:val="00B34744"/>
    <w:rsid w:val="00B34BD6"/>
    <w:rsid w:val="00B34C57"/>
    <w:rsid w:val="00B34F90"/>
    <w:rsid w:val="00B34FFF"/>
    <w:rsid w:val="00B35056"/>
    <w:rsid w:val="00B3514C"/>
    <w:rsid w:val="00B35384"/>
    <w:rsid w:val="00B35392"/>
    <w:rsid w:val="00B35BC4"/>
    <w:rsid w:val="00B36704"/>
    <w:rsid w:val="00B3678D"/>
    <w:rsid w:val="00B3693B"/>
    <w:rsid w:val="00B36C36"/>
    <w:rsid w:val="00B37349"/>
    <w:rsid w:val="00B37514"/>
    <w:rsid w:val="00B37728"/>
    <w:rsid w:val="00B3780D"/>
    <w:rsid w:val="00B37935"/>
    <w:rsid w:val="00B37E37"/>
    <w:rsid w:val="00B37E88"/>
    <w:rsid w:val="00B4020A"/>
    <w:rsid w:val="00B404C4"/>
    <w:rsid w:val="00B40949"/>
    <w:rsid w:val="00B41288"/>
    <w:rsid w:val="00B4195A"/>
    <w:rsid w:val="00B41B52"/>
    <w:rsid w:val="00B41B96"/>
    <w:rsid w:val="00B4291E"/>
    <w:rsid w:val="00B42ADE"/>
    <w:rsid w:val="00B42EA7"/>
    <w:rsid w:val="00B432C6"/>
    <w:rsid w:val="00B4338B"/>
    <w:rsid w:val="00B435E3"/>
    <w:rsid w:val="00B43827"/>
    <w:rsid w:val="00B43C7F"/>
    <w:rsid w:val="00B43E60"/>
    <w:rsid w:val="00B43EEA"/>
    <w:rsid w:val="00B44205"/>
    <w:rsid w:val="00B4435B"/>
    <w:rsid w:val="00B444AF"/>
    <w:rsid w:val="00B449E9"/>
    <w:rsid w:val="00B44F50"/>
    <w:rsid w:val="00B44F9C"/>
    <w:rsid w:val="00B450AB"/>
    <w:rsid w:val="00B45373"/>
    <w:rsid w:val="00B4541C"/>
    <w:rsid w:val="00B45702"/>
    <w:rsid w:val="00B458B0"/>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47D14"/>
    <w:rsid w:val="00B50008"/>
    <w:rsid w:val="00B50765"/>
    <w:rsid w:val="00B50A40"/>
    <w:rsid w:val="00B50E9E"/>
    <w:rsid w:val="00B51177"/>
    <w:rsid w:val="00B51227"/>
    <w:rsid w:val="00B51B18"/>
    <w:rsid w:val="00B51D59"/>
    <w:rsid w:val="00B5230B"/>
    <w:rsid w:val="00B528DF"/>
    <w:rsid w:val="00B5299D"/>
    <w:rsid w:val="00B529FF"/>
    <w:rsid w:val="00B52ABC"/>
    <w:rsid w:val="00B52BE4"/>
    <w:rsid w:val="00B52E18"/>
    <w:rsid w:val="00B532C3"/>
    <w:rsid w:val="00B53547"/>
    <w:rsid w:val="00B53597"/>
    <w:rsid w:val="00B53784"/>
    <w:rsid w:val="00B537EF"/>
    <w:rsid w:val="00B53B25"/>
    <w:rsid w:val="00B53CD9"/>
    <w:rsid w:val="00B54690"/>
    <w:rsid w:val="00B5494B"/>
    <w:rsid w:val="00B54A2D"/>
    <w:rsid w:val="00B54C75"/>
    <w:rsid w:val="00B550D8"/>
    <w:rsid w:val="00B55114"/>
    <w:rsid w:val="00B5524F"/>
    <w:rsid w:val="00B55322"/>
    <w:rsid w:val="00B55D3E"/>
    <w:rsid w:val="00B56F38"/>
    <w:rsid w:val="00B5711C"/>
    <w:rsid w:val="00B57642"/>
    <w:rsid w:val="00B5791A"/>
    <w:rsid w:val="00B57921"/>
    <w:rsid w:val="00B57938"/>
    <w:rsid w:val="00B57B8D"/>
    <w:rsid w:val="00B60122"/>
    <w:rsid w:val="00B60BF9"/>
    <w:rsid w:val="00B610F4"/>
    <w:rsid w:val="00B613CC"/>
    <w:rsid w:val="00B6141E"/>
    <w:rsid w:val="00B61619"/>
    <w:rsid w:val="00B619F4"/>
    <w:rsid w:val="00B61A01"/>
    <w:rsid w:val="00B61F4E"/>
    <w:rsid w:val="00B623A8"/>
    <w:rsid w:val="00B62590"/>
    <w:rsid w:val="00B626C0"/>
    <w:rsid w:val="00B62700"/>
    <w:rsid w:val="00B62D44"/>
    <w:rsid w:val="00B62F20"/>
    <w:rsid w:val="00B6311D"/>
    <w:rsid w:val="00B6327D"/>
    <w:rsid w:val="00B632FF"/>
    <w:rsid w:val="00B6393A"/>
    <w:rsid w:val="00B63970"/>
    <w:rsid w:val="00B646A9"/>
    <w:rsid w:val="00B64AA0"/>
    <w:rsid w:val="00B64C7F"/>
    <w:rsid w:val="00B651B5"/>
    <w:rsid w:val="00B65AF3"/>
    <w:rsid w:val="00B6634B"/>
    <w:rsid w:val="00B66381"/>
    <w:rsid w:val="00B663F1"/>
    <w:rsid w:val="00B6684C"/>
    <w:rsid w:val="00B66B10"/>
    <w:rsid w:val="00B670BA"/>
    <w:rsid w:val="00B67271"/>
    <w:rsid w:val="00B6729F"/>
    <w:rsid w:val="00B676E1"/>
    <w:rsid w:val="00B7006C"/>
    <w:rsid w:val="00B706E2"/>
    <w:rsid w:val="00B708FC"/>
    <w:rsid w:val="00B70A8C"/>
    <w:rsid w:val="00B713E5"/>
    <w:rsid w:val="00B720D4"/>
    <w:rsid w:val="00B720F9"/>
    <w:rsid w:val="00B721B4"/>
    <w:rsid w:val="00B721F1"/>
    <w:rsid w:val="00B7222D"/>
    <w:rsid w:val="00B7267A"/>
    <w:rsid w:val="00B72988"/>
    <w:rsid w:val="00B72E02"/>
    <w:rsid w:val="00B730C2"/>
    <w:rsid w:val="00B73363"/>
    <w:rsid w:val="00B7361F"/>
    <w:rsid w:val="00B73788"/>
    <w:rsid w:val="00B7403D"/>
    <w:rsid w:val="00B74074"/>
    <w:rsid w:val="00B742DF"/>
    <w:rsid w:val="00B74BA0"/>
    <w:rsid w:val="00B74E9A"/>
    <w:rsid w:val="00B752B3"/>
    <w:rsid w:val="00B754A4"/>
    <w:rsid w:val="00B755ED"/>
    <w:rsid w:val="00B755F2"/>
    <w:rsid w:val="00B75608"/>
    <w:rsid w:val="00B75682"/>
    <w:rsid w:val="00B757F1"/>
    <w:rsid w:val="00B759AA"/>
    <w:rsid w:val="00B75B4F"/>
    <w:rsid w:val="00B75DB8"/>
    <w:rsid w:val="00B760B4"/>
    <w:rsid w:val="00B76292"/>
    <w:rsid w:val="00B768C2"/>
    <w:rsid w:val="00B76BDD"/>
    <w:rsid w:val="00B76C7B"/>
    <w:rsid w:val="00B76D3B"/>
    <w:rsid w:val="00B76DBB"/>
    <w:rsid w:val="00B76ED5"/>
    <w:rsid w:val="00B77357"/>
    <w:rsid w:val="00B77B49"/>
    <w:rsid w:val="00B77BBF"/>
    <w:rsid w:val="00B77D2C"/>
    <w:rsid w:val="00B77DD0"/>
    <w:rsid w:val="00B77F1D"/>
    <w:rsid w:val="00B77F57"/>
    <w:rsid w:val="00B80772"/>
    <w:rsid w:val="00B807BE"/>
    <w:rsid w:val="00B80B50"/>
    <w:rsid w:val="00B80CC4"/>
    <w:rsid w:val="00B812BB"/>
    <w:rsid w:val="00B81389"/>
    <w:rsid w:val="00B81710"/>
    <w:rsid w:val="00B81AA6"/>
    <w:rsid w:val="00B81AE5"/>
    <w:rsid w:val="00B81C48"/>
    <w:rsid w:val="00B81F24"/>
    <w:rsid w:val="00B823A7"/>
    <w:rsid w:val="00B82567"/>
    <w:rsid w:val="00B82627"/>
    <w:rsid w:val="00B82D02"/>
    <w:rsid w:val="00B83298"/>
    <w:rsid w:val="00B83403"/>
    <w:rsid w:val="00B8358F"/>
    <w:rsid w:val="00B83855"/>
    <w:rsid w:val="00B83A4B"/>
    <w:rsid w:val="00B83CB5"/>
    <w:rsid w:val="00B84331"/>
    <w:rsid w:val="00B84913"/>
    <w:rsid w:val="00B849CA"/>
    <w:rsid w:val="00B84A8E"/>
    <w:rsid w:val="00B84B30"/>
    <w:rsid w:val="00B84B6C"/>
    <w:rsid w:val="00B84DB6"/>
    <w:rsid w:val="00B84EED"/>
    <w:rsid w:val="00B84F29"/>
    <w:rsid w:val="00B85271"/>
    <w:rsid w:val="00B8528E"/>
    <w:rsid w:val="00B852E8"/>
    <w:rsid w:val="00B85419"/>
    <w:rsid w:val="00B856F0"/>
    <w:rsid w:val="00B85CAF"/>
    <w:rsid w:val="00B85D0E"/>
    <w:rsid w:val="00B8624B"/>
    <w:rsid w:val="00B86804"/>
    <w:rsid w:val="00B8693B"/>
    <w:rsid w:val="00B86978"/>
    <w:rsid w:val="00B86AF9"/>
    <w:rsid w:val="00B871F0"/>
    <w:rsid w:val="00B87403"/>
    <w:rsid w:val="00B8751C"/>
    <w:rsid w:val="00B87802"/>
    <w:rsid w:val="00B878BC"/>
    <w:rsid w:val="00B87951"/>
    <w:rsid w:val="00B879CE"/>
    <w:rsid w:val="00B87BCE"/>
    <w:rsid w:val="00B909C6"/>
    <w:rsid w:val="00B90A0B"/>
    <w:rsid w:val="00B90AA7"/>
    <w:rsid w:val="00B90D03"/>
    <w:rsid w:val="00B9137B"/>
    <w:rsid w:val="00B91453"/>
    <w:rsid w:val="00B915DD"/>
    <w:rsid w:val="00B91A26"/>
    <w:rsid w:val="00B92005"/>
    <w:rsid w:val="00B9230F"/>
    <w:rsid w:val="00B923CA"/>
    <w:rsid w:val="00B925CD"/>
    <w:rsid w:val="00B92825"/>
    <w:rsid w:val="00B92B39"/>
    <w:rsid w:val="00B93115"/>
    <w:rsid w:val="00B93311"/>
    <w:rsid w:val="00B93798"/>
    <w:rsid w:val="00B937BA"/>
    <w:rsid w:val="00B937EE"/>
    <w:rsid w:val="00B93809"/>
    <w:rsid w:val="00B938DC"/>
    <w:rsid w:val="00B940D0"/>
    <w:rsid w:val="00B941ED"/>
    <w:rsid w:val="00B94335"/>
    <w:rsid w:val="00B944A0"/>
    <w:rsid w:val="00B94569"/>
    <w:rsid w:val="00B94879"/>
    <w:rsid w:val="00B94887"/>
    <w:rsid w:val="00B94B96"/>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377"/>
    <w:rsid w:val="00BA0B59"/>
    <w:rsid w:val="00BA0D13"/>
    <w:rsid w:val="00BA0E89"/>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CD7"/>
    <w:rsid w:val="00BA2DCA"/>
    <w:rsid w:val="00BA2F9B"/>
    <w:rsid w:val="00BA303A"/>
    <w:rsid w:val="00BA32B2"/>
    <w:rsid w:val="00BA3359"/>
    <w:rsid w:val="00BA35C7"/>
    <w:rsid w:val="00BA3717"/>
    <w:rsid w:val="00BA386D"/>
    <w:rsid w:val="00BA38F6"/>
    <w:rsid w:val="00BA3DA3"/>
    <w:rsid w:val="00BA40EA"/>
    <w:rsid w:val="00BA47A7"/>
    <w:rsid w:val="00BA4C59"/>
    <w:rsid w:val="00BA4C9E"/>
    <w:rsid w:val="00BA4EC4"/>
    <w:rsid w:val="00BA55A6"/>
    <w:rsid w:val="00BA56C3"/>
    <w:rsid w:val="00BA60C8"/>
    <w:rsid w:val="00BA659D"/>
    <w:rsid w:val="00BA65E5"/>
    <w:rsid w:val="00BA68D1"/>
    <w:rsid w:val="00BA6CEE"/>
    <w:rsid w:val="00BA6D15"/>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8FF"/>
    <w:rsid w:val="00BB29A2"/>
    <w:rsid w:val="00BB2ACB"/>
    <w:rsid w:val="00BB2B29"/>
    <w:rsid w:val="00BB2BBC"/>
    <w:rsid w:val="00BB36E3"/>
    <w:rsid w:val="00BB3FC5"/>
    <w:rsid w:val="00BB4226"/>
    <w:rsid w:val="00BB4456"/>
    <w:rsid w:val="00BB4627"/>
    <w:rsid w:val="00BB48D2"/>
    <w:rsid w:val="00BB4A61"/>
    <w:rsid w:val="00BB4BCA"/>
    <w:rsid w:val="00BB4C11"/>
    <w:rsid w:val="00BB51CA"/>
    <w:rsid w:val="00BB551D"/>
    <w:rsid w:val="00BB5D8E"/>
    <w:rsid w:val="00BB60A2"/>
    <w:rsid w:val="00BB6281"/>
    <w:rsid w:val="00BB64D6"/>
    <w:rsid w:val="00BB685C"/>
    <w:rsid w:val="00BB6B54"/>
    <w:rsid w:val="00BB702E"/>
    <w:rsid w:val="00BB7751"/>
    <w:rsid w:val="00BB7B9C"/>
    <w:rsid w:val="00BC09FB"/>
    <w:rsid w:val="00BC0A2C"/>
    <w:rsid w:val="00BC0A61"/>
    <w:rsid w:val="00BC0D1E"/>
    <w:rsid w:val="00BC17E1"/>
    <w:rsid w:val="00BC19AE"/>
    <w:rsid w:val="00BC1D7E"/>
    <w:rsid w:val="00BC1E27"/>
    <w:rsid w:val="00BC2098"/>
    <w:rsid w:val="00BC20C8"/>
    <w:rsid w:val="00BC2260"/>
    <w:rsid w:val="00BC2456"/>
    <w:rsid w:val="00BC24D8"/>
    <w:rsid w:val="00BC2605"/>
    <w:rsid w:val="00BC2790"/>
    <w:rsid w:val="00BC28D1"/>
    <w:rsid w:val="00BC2B3B"/>
    <w:rsid w:val="00BC2B7D"/>
    <w:rsid w:val="00BC2EFC"/>
    <w:rsid w:val="00BC2F6C"/>
    <w:rsid w:val="00BC31AA"/>
    <w:rsid w:val="00BC3232"/>
    <w:rsid w:val="00BC36A7"/>
    <w:rsid w:val="00BC39FC"/>
    <w:rsid w:val="00BC3A6A"/>
    <w:rsid w:val="00BC4008"/>
    <w:rsid w:val="00BC407F"/>
    <w:rsid w:val="00BC40A3"/>
    <w:rsid w:val="00BC4198"/>
    <w:rsid w:val="00BC4331"/>
    <w:rsid w:val="00BC44C1"/>
    <w:rsid w:val="00BC4579"/>
    <w:rsid w:val="00BC463D"/>
    <w:rsid w:val="00BC4661"/>
    <w:rsid w:val="00BC47AE"/>
    <w:rsid w:val="00BC49B1"/>
    <w:rsid w:val="00BC4ACA"/>
    <w:rsid w:val="00BC4F8B"/>
    <w:rsid w:val="00BC4F91"/>
    <w:rsid w:val="00BC5799"/>
    <w:rsid w:val="00BC5FC0"/>
    <w:rsid w:val="00BC6254"/>
    <w:rsid w:val="00BC65C6"/>
    <w:rsid w:val="00BC695E"/>
    <w:rsid w:val="00BC6E8B"/>
    <w:rsid w:val="00BC6EBC"/>
    <w:rsid w:val="00BC70E5"/>
    <w:rsid w:val="00BC72DD"/>
    <w:rsid w:val="00BC7606"/>
    <w:rsid w:val="00BC79D1"/>
    <w:rsid w:val="00BC7D96"/>
    <w:rsid w:val="00BD01BF"/>
    <w:rsid w:val="00BD0896"/>
    <w:rsid w:val="00BD0B1B"/>
    <w:rsid w:val="00BD0BB6"/>
    <w:rsid w:val="00BD0E9F"/>
    <w:rsid w:val="00BD11D4"/>
    <w:rsid w:val="00BD13E7"/>
    <w:rsid w:val="00BD1464"/>
    <w:rsid w:val="00BD1604"/>
    <w:rsid w:val="00BD165F"/>
    <w:rsid w:val="00BD1894"/>
    <w:rsid w:val="00BD1940"/>
    <w:rsid w:val="00BD1BDE"/>
    <w:rsid w:val="00BD21B0"/>
    <w:rsid w:val="00BD2853"/>
    <w:rsid w:val="00BD2F79"/>
    <w:rsid w:val="00BD3937"/>
    <w:rsid w:val="00BD3D24"/>
    <w:rsid w:val="00BD4005"/>
    <w:rsid w:val="00BD4483"/>
    <w:rsid w:val="00BD469D"/>
    <w:rsid w:val="00BD48D4"/>
    <w:rsid w:val="00BD49FD"/>
    <w:rsid w:val="00BD4A85"/>
    <w:rsid w:val="00BD4B1A"/>
    <w:rsid w:val="00BD5C5C"/>
    <w:rsid w:val="00BD62E0"/>
    <w:rsid w:val="00BD640F"/>
    <w:rsid w:val="00BD6551"/>
    <w:rsid w:val="00BD67FF"/>
    <w:rsid w:val="00BD6A77"/>
    <w:rsid w:val="00BD6C77"/>
    <w:rsid w:val="00BD6C86"/>
    <w:rsid w:val="00BD6E29"/>
    <w:rsid w:val="00BD6E93"/>
    <w:rsid w:val="00BD6EEE"/>
    <w:rsid w:val="00BD71EA"/>
    <w:rsid w:val="00BD7B2F"/>
    <w:rsid w:val="00BD7B3E"/>
    <w:rsid w:val="00BD7C26"/>
    <w:rsid w:val="00BD7DD8"/>
    <w:rsid w:val="00BE0854"/>
    <w:rsid w:val="00BE0C60"/>
    <w:rsid w:val="00BE0CA9"/>
    <w:rsid w:val="00BE0D2E"/>
    <w:rsid w:val="00BE122E"/>
    <w:rsid w:val="00BE1650"/>
    <w:rsid w:val="00BE1FDD"/>
    <w:rsid w:val="00BE206D"/>
    <w:rsid w:val="00BE24E5"/>
    <w:rsid w:val="00BE27F2"/>
    <w:rsid w:val="00BE2855"/>
    <w:rsid w:val="00BE2ACF"/>
    <w:rsid w:val="00BE2FE9"/>
    <w:rsid w:val="00BE355F"/>
    <w:rsid w:val="00BE3563"/>
    <w:rsid w:val="00BE36E0"/>
    <w:rsid w:val="00BE3CCE"/>
    <w:rsid w:val="00BE3E27"/>
    <w:rsid w:val="00BE3E6B"/>
    <w:rsid w:val="00BE409A"/>
    <w:rsid w:val="00BE43E4"/>
    <w:rsid w:val="00BE4768"/>
    <w:rsid w:val="00BE48AD"/>
    <w:rsid w:val="00BE4903"/>
    <w:rsid w:val="00BE491C"/>
    <w:rsid w:val="00BE4B44"/>
    <w:rsid w:val="00BE4D48"/>
    <w:rsid w:val="00BE5447"/>
    <w:rsid w:val="00BE55AE"/>
    <w:rsid w:val="00BE59A1"/>
    <w:rsid w:val="00BE5A5F"/>
    <w:rsid w:val="00BE6000"/>
    <w:rsid w:val="00BE60AF"/>
    <w:rsid w:val="00BE63AF"/>
    <w:rsid w:val="00BE65D2"/>
    <w:rsid w:val="00BE67BC"/>
    <w:rsid w:val="00BE6EC8"/>
    <w:rsid w:val="00BE6FA7"/>
    <w:rsid w:val="00BE71AE"/>
    <w:rsid w:val="00BE7238"/>
    <w:rsid w:val="00BE7398"/>
    <w:rsid w:val="00BE7465"/>
    <w:rsid w:val="00BE769B"/>
    <w:rsid w:val="00BE78D2"/>
    <w:rsid w:val="00BE7C40"/>
    <w:rsid w:val="00BE7DDC"/>
    <w:rsid w:val="00BF01CB"/>
    <w:rsid w:val="00BF02A3"/>
    <w:rsid w:val="00BF0BA7"/>
    <w:rsid w:val="00BF0BD7"/>
    <w:rsid w:val="00BF0C46"/>
    <w:rsid w:val="00BF0CD1"/>
    <w:rsid w:val="00BF0D9D"/>
    <w:rsid w:val="00BF1AF1"/>
    <w:rsid w:val="00BF1CBD"/>
    <w:rsid w:val="00BF1FD8"/>
    <w:rsid w:val="00BF20E8"/>
    <w:rsid w:val="00BF27B9"/>
    <w:rsid w:val="00BF2C44"/>
    <w:rsid w:val="00BF2CD7"/>
    <w:rsid w:val="00BF2D81"/>
    <w:rsid w:val="00BF2F9B"/>
    <w:rsid w:val="00BF3782"/>
    <w:rsid w:val="00BF38CD"/>
    <w:rsid w:val="00BF38DC"/>
    <w:rsid w:val="00BF3BCA"/>
    <w:rsid w:val="00BF5997"/>
    <w:rsid w:val="00BF59CA"/>
    <w:rsid w:val="00BF5BDD"/>
    <w:rsid w:val="00BF5C35"/>
    <w:rsid w:val="00BF5C7E"/>
    <w:rsid w:val="00BF6050"/>
    <w:rsid w:val="00BF63B6"/>
    <w:rsid w:val="00BF66EE"/>
    <w:rsid w:val="00BF71A3"/>
    <w:rsid w:val="00BF75A1"/>
    <w:rsid w:val="00BF7680"/>
    <w:rsid w:val="00BF77CA"/>
    <w:rsid w:val="00BF78D8"/>
    <w:rsid w:val="00BF796C"/>
    <w:rsid w:val="00BF7A2C"/>
    <w:rsid w:val="00BF7A2E"/>
    <w:rsid w:val="00BF7A78"/>
    <w:rsid w:val="00BF7E8C"/>
    <w:rsid w:val="00BF7F5F"/>
    <w:rsid w:val="00C0018A"/>
    <w:rsid w:val="00C0037D"/>
    <w:rsid w:val="00C003B9"/>
    <w:rsid w:val="00C00905"/>
    <w:rsid w:val="00C00A7C"/>
    <w:rsid w:val="00C00D61"/>
    <w:rsid w:val="00C00F52"/>
    <w:rsid w:val="00C0102F"/>
    <w:rsid w:val="00C0104C"/>
    <w:rsid w:val="00C01170"/>
    <w:rsid w:val="00C0156D"/>
    <w:rsid w:val="00C01844"/>
    <w:rsid w:val="00C01892"/>
    <w:rsid w:val="00C01BBB"/>
    <w:rsid w:val="00C01FD1"/>
    <w:rsid w:val="00C024A5"/>
    <w:rsid w:val="00C02683"/>
    <w:rsid w:val="00C02859"/>
    <w:rsid w:val="00C02CE1"/>
    <w:rsid w:val="00C02D1E"/>
    <w:rsid w:val="00C03008"/>
    <w:rsid w:val="00C030FD"/>
    <w:rsid w:val="00C0314D"/>
    <w:rsid w:val="00C0331F"/>
    <w:rsid w:val="00C035B5"/>
    <w:rsid w:val="00C036AC"/>
    <w:rsid w:val="00C03757"/>
    <w:rsid w:val="00C03865"/>
    <w:rsid w:val="00C03A31"/>
    <w:rsid w:val="00C03D5A"/>
    <w:rsid w:val="00C048F6"/>
    <w:rsid w:val="00C04A19"/>
    <w:rsid w:val="00C04D66"/>
    <w:rsid w:val="00C04DEC"/>
    <w:rsid w:val="00C05276"/>
    <w:rsid w:val="00C054A3"/>
    <w:rsid w:val="00C05622"/>
    <w:rsid w:val="00C056C1"/>
    <w:rsid w:val="00C05851"/>
    <w:rsid w:val="00C05ECD"/>
    <w:rsid w:val="00C06727"/>
    <w:rsid w:val="00C06834"/>
    <w:rsid w:val="00C06BEC"/>
    <w:rsid w:val="00C06E6C"/>
    <w:rsid w:val="00C07620"/>
    <w:rsid w:val="00C07AB6"/>
    <w:rsid w:val="00C07ACB"/>
    <w:rsid w:val="00C102F3"/>
    <w:rsid w:val="00C106B8"/>
    <w:rsid w:val="00C10AFD"/>
    <w:rsid w:val="00C10B22"/>
    <w:rsid w:val="00C10C3F"/>
    <w:rsid w:val="00C10C52"/>
    <w:rsid w:val="00C11134"/>
    <w:rsid w:val="00C11623"/>
    <w:rsid w:val="00C1172F"/>
    <w:rsid w:val="00C119A0"/>
    <w:rsid w:val="00C11A92"/>
    <w:rsid w:val="00C11ABD"/>
    <w:rsid w:val="00C129D9"/>
    <w:rsid w:val="00C12BE2"/>
    <w:rsid w:val="00C13089"/>
    <w:rsid w:val="00C131AB"/>
    <w:rsid w:val="00C134DA"/>
    <w:rsid w:val="00C13C06"/>
    <w:rsid w:val="00C13C90"/>
    <w:rsid w:val="00C13CF2"/>
    <w:rsid w:val="00C143CE"/>
    <w:rsid w:val="00C14F19"/>
    <w:rsid w:val="00C14FB2"/>
    <w:rsid w:val="00C15205"/>
    <w:rsid w:val="00C1575F"/>
    <w:rsid w:val="00C15B0C"/>
    <w:rsid w:val="00C15DE5"/>
    <w:rsid w:val="00C16621"/>
    <w:rsid w:val="00C168CF"/>
    <w:rsid w:val="00C16912"/>
    <w:rsid w:val="00C16BE3"/>
    <w:rsid w:val="00C17007"/>
    <w:rsid w:val="00C17204"/>
    <w:rsid w:val="00C17304"/>
    <w:rsid w:val="00C1748F"/>
    <w:rsid w:val="00C176AC"/>
    <w:rsid w:val="00C17CE1"/>
    <w:rsid w:val="00C20335"/>
    <w:rsid w:val="00C2058B"/>
    <w:rsid w:val="00C20668"/>
    <w:rsid w:val="00C208B8"/>
    <w:rsid w:val="00C209AD"/>
    <w:rsid w:val="00C20B13"/>
    <w:rsid w:val="00C20E6B"/>
    <w:rsid w:val="00C2103A"/>
    <w:rsid w:val="00C2164B"/>
    <w:rsid w:val="00C21DA3"/>
    <w:rsid w:val="00C21EF9"/>
    <w:rsid w:val="00C21FE6"/>
    <w:rsid w:val="00C221C0"/>
    <w:rsid w:val="00C222A1"/>
    <w:rsid w:val="00C222F7"/>
    <w:rsid w:val="00C22397"/>
    <w:rsid w:val="00C223AB"/>
    <w:rsid w:val="00C224E3"/>
    <w:rsid w:val="00C227B7"/>
    <w:rsid w:val="00C22AAB"/>
    <w:rsid w:val="00C22ECB"/>
    <w:rsid w:val="00C23BB4"/>
    <w:rsid w:val="00C23F47"/>
    <w:rsid w:val="00C24259"/>
    <w:rsid w:val="00C242C1"/>
    <w:rsid w:val="00C24589"/>
    <w:rsid w:val="00C24707"/>
    <w:rsid w:val="00C24792"/>
    <w:rsid w:val="00C24839"/>
    <w:rsid w:val="00C24D35"/>
    <w:rsid w:val="00C2525E"/>
    <w:rsid w:val="00C2584D"/>
    <w:rsid w:val="00C25F77"/>
    <w:rsid w:val="00C26159"/>
    <w:rsid w:val="00C2629C"/>
    <w:rsid w:val="00C262ED"/>
    <w:rsid w:val="00C26537"/>
    <w:rsid w:val="00C265C9"/>
    <w:rsid w:val="00C26968"/>
    <w:rsid w:val="00C26A69"/>
    <w:rsid w:val="00C27037"/>
    <w:rsid w:val="00C27920"/>
    <w:rsid w:val="00C27C23"/>
    <w:rsid w:val="00C30019"/>
    <w:rsid w:val="00C301CF"/>
    <w:rsid w:val="00C3075E"/>
    <w:rsid w:val="00C309E6"/>
    <w:rsid w:val="00C30B6D"/>
    <w:rsid w:val="00C30C3F"/>
    <w:rsid w:val="00C30C46"/>
    <w:rsid w:val="00C311E2"/>
    <w:rsid w:val="00C31310"/>
    <w:rsid w:val="00C31439"/>
    <w:rsid w:val="00C31460"/>
    <w:rsid w:val="00C3154A"/>
    <w:rsid w:val="00C3176D"/>
    <w:rsid w:val="00C31808"/>
    <w:rsid w:val="00C31ACA"/>
    <w:rsid w:val="00C31D03"/>
    <w:rsid w:val="00C31D26"/>
    <w:rsid w:val="00C31E1D"/>
    <w:rsid w:val="00C31F1F"/>
    <w:rsid w:val="00C32064"/>
    <w:rsid w:val="00C3223A"/>
    <w:rsid w:val="00C3272D"/>
    <w:rsid w:val="00C32CA7"/>
    <w:rsid w:val="00C32E58"/>
    <w:rsid w:val="00C330B7"/>
    <w:rsid w:val="00C33183"/>
    <w:rsid w:val="00C33706"/>
    <w:rsid w:val="00C33A05"/>
    <w:rsid w:val="00C33B39"/>
    <w:rsid w:val="00C33E85"/>
    <w:rsid w:val="00C33F14"/>
    <w:rsid w:val="00C3427A"/>
    <w:rsid w:val="00C34294"/>
    <w:rsid w:val="00C34760"/>
    <w:rsid w:val="00C34A8D"/>
    <w:rsid w:val="00C34D0A"/>
    <w:rsid w:val="00C35028"/>
    <w:rsid w:val="00C357EA"/>
    <w:rsid w:val="00C35941"/>
    <w:rsid w:val="00C35A3D"/>
    <w:rsid w:val="00C35BCA"/>
    <w:rsid w:val="00C3616F"/>
    <w:rsid w:val="00C361F7"/>
    <w:rsid w:val="00C36691"/>
    <w:rsid w:val="00C366C6"/>
    <w:rsid w:val="00C36968"/>
    <w:rsid w:val="00C36A9F"/>
    <w:rsid w:val="00C374C1"/>
    <w:rsid w:val="00C37611"/>
    <w:rsid w:val="00C37666"/>
    <w:rsid w:val="00C37B9E"/>
    <w:rsid w:val="00C37CF3"/>
    <w:rsid w:val="00C40013"/>
    <w:rsid w:val="00C411E9"/>
    <w:rsid w:val="00C412E9"/>
    <w:rsid w:val="00C41685"/>
    <w:rsid w:val="00C416FD"/>
    <w:rsid w:val="00C417CC"/>
    <w:rsid w:val="00C417F5"/>
    <w:rsid w:val="00C41AFB"/>
    <w:rsid w:val="00C41C84"/>
    <w:rsid w:val="00C41DF7"/>
    <w:rsid w:val="00C41E33"/>
    <w:rsid w:val="00C41F79"/>
    <w:rsid w:val="00C42448"/>
    <w:rsid w:val="00C424DF"/>
    <w:rsid w:val="00C426CE"/>
    <w:rsid w:val="00C428FF"/>
    <w:rsid w:val="00C42C84"/>
    <w:rsid w:val="00C42CC4"/>
    <w:rsid w:val="00C42FAA"/>
    <w:rsid w:val="00C43051"/>
    <w:rsid w:val="00C43314"/>
    <w:rsid w:val="00C4370F"/>
    <w:rsid w:val="00C43EA9"/>
    <w:rsid w:val="00C443D5"/>
    <w:rsid w:val="00C4473A"/>
    <w:rsid w:val="00C44D46"/>
    <w:rsid w:val="00C44DED"/>
    <w:rsid w:val="00C45289"/>
    <w:rsid w:val="00C45340"/>
    <w:rsid w:val="00C45367"/>
    <w:rsid w:val="00C454D9"/>
    <w:rsid w:val="00C45525"/>
    <w:rsid w:val="00C45537"/>
    <w:rsid w:val="00C45779"/>
    <w:rsid w:val="00C45C60"/>
    <w:rsid w:val="00C46090"/>
    <w:rsid w:val="00C4684C"/>
    <w:rsid w:val="00C469F2"/>
    <w:rsid w:val="00C46D29"/>
    <w:rsid w:val="00C46E19"/>
    <w:rsid w:val="00C47541"/>
    <w:rsid w:val="00C475C7"/>
    <w:rsid w:val="00C47601"/>
    <w:rsid w:val="00C47DF2"/>
    <w:rsid w:val="00C47F97"/>
    <w:rsid w:val="00C506F2"/>
    <w:rsid w:val="00C50AAE"/>
    <w:rsid w:val="00C5119C"/>
    <w:rsid w:val="00C51591"/>
    <w:rsid w:val="00C515B0"/>
    <w:rsid w:val="00C51702"/>
    <w:rsid w:val="00C5171D"/>
    <w:rsid w:val="00C517ED"/>
    <w:rsid w:val="00C51808"/>
    <w:rsid w:val="00C51B08"/>
    <w:rsid w:val="00C51BA8"/>
    <w:rsid w:val="00C51C23"/>
    <w:rsid w:val="00C51C57"/>
    <w:rsid w:val="00C51DB8"/>
    <w:rsid w:val="00C51FF9"/>
    <w:rsid w:val="00C5298A"/>
    <w:rsid w:val="00C5304F"/>
    <w:rsid w:val="00C53175"/>
    <w:rsid w:val="00C53513"/>
    <w:rsid w:val="00C53730"/>
    <w:rsid w:val="00C53B31"/>
    <w:rsid w:val="00C53E49"/>
    <w:rsid w:val="00C540B9"/>
    <w:rsid w:val="00C54398"/>
    <w:rsid w:val="00C54411"/>
    <w:rsid w:val="00C546FE"/>
    <w:rsid w:val="00C54CC3"/>
    <w:rsid w:val="00C54D6E"/>
    <w:rsid w:val="00C54E07"/>
    <w:rsid w:val="00C54EE3"/>
    <w:rsid w:val="00C552F9"/>
    <w:rsid w:val="00C554D4"/>
    <w:rsid w:val="00C554D9"/>
    <w:rsid w:val="00C56081"/>
    <w:rsid w:val="00C560DB"/>
    <w:rsid w:val="00C56532"/>
    <w:rsid w:val="00C56D39"/>
    <w:rsid w:val="00C57155"/>
    <w:rsid w:val="00C5715C"/>
    <w:rsid w:val="00C571B5"/>
    <w:rsid w:val="00C57A92"/>
    <w:rsid w:val="00C57C0D"/>
    <w:rsid w:val="00C57E63"/>
    <w:rsid w:val="00C6069B"/>
    <w:rsid w:val="00C607D1"/>
    <w:rsid w:val="00C60A86"/>
    <w:rsid w:val="00C60CB5"/>
    <w:rsid w:val="00C60D11"/>
    <w:rsid w:val="00C60FBF"/>
    <w:rsid w:val="00C61109"/>
    <w:rsid w:val="00C61324"/>
    <w:rsid w:val="00C61445"/>
    <w:rsid w:val="00C6183D"/>
    <w:rsid w:val="00C61AB2"/>
    <w:rsid w:val="00C61B02"/>
    <w:rsid w:val="00C61E90"/>
    <w:rsid w:val="00C61F1C"/>
    <w:rsid w:val="00C61F66"/>
    <w:rsid w:val="00C61FD2"/>
    <w:rsid w:val="00C620D4"/>
    <w:rsid w:val="00C6222B"/>
    <w:rsid w:val="00C6276A"/>
    <w:rsid w:val="00C62798"/>
    <w:rsid w:val="00C6297B"/>
    <w:rsid w:val="00C62AB4"/>
    <w:rsid w:val="00C63BFA"/>
    <w:rsid w:val="00C64208"/>
    <w:rsid w:val="00C643EB"/>
    <w:rsid w:val="00C644C4"/>
    <w:rsid w:val="00C644F2"/>
    <w:rsid w:val="00C64544"/>
    <w:rsid w:val="00C645F3"/>
    <w:rsid w:val="00C645FD"/>
    <w:rsid w:val="00C64868"/>
    <w:rsid w:val="00C64DA3"/>
    <w:rsid w:val="00C64E8C"/>
    <w:rsid w:val="00C6539B"/>
    <w:rsid w:val="00C6540F"/>
    <w:rsid w:val="00C65840"/>
    <w:rsid w:val="00C65D6D"/>
    <w:rsid w:val="00C65FF3"/>
    <w:rsid w:val="00C6642E"/>
    <w:rsid w:val="00C66494"/>
    <w:rsid w:val="00C66676"/>
    <w:rsid w:val="00C666B9"/>
    <w:rsid w:val="00C66E38"/>
    <w:rsid w:val="00C66E98"/>
    <w:rsid w:val="00C670FC"/>
    <w:rsid w:val="00C67959"/>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8FC"/>
    <w:rsid w:val="00C72A19"/>
    <w:rsid w:val="00C72B8E"/>
    <w:rsid w:val="00C72D7B"/>
    <w:rsid w:val="00C73AB0"/>
    <w:rsid w:val="00C73D66"/>
    <w:rsid w:val="00C74113"/>
    <w:rsid w:val="00C74167"/>
    <w:rsid w:val="00C741D2"/>
    <w:rsid w:val="00C7486E"/>
    <w:rsid w:val="00C74929"/>
    <w:rsid w:val="00C74D98"/>
    <w:rsid w:val="00C75357"/>
    <w:rsid w:val="00C7574B"/>
    <w:rsid w:val="00C757AE"/>
    <w:rsid w:val="00C758BD"/>
    <w:rsid w:val="00C75A6D"/>
    <w:rsid w:val="00C75CEB"/>
    <w:rsid w:val="00C7620E"/>
    <w:rsid w:val="00C76268"/>
    <w:rsid w:val="00C76624"/>
    <w:rsid w:val="00C76661"/>
    <w:rsid w:val="00C7692D"/>
    <w:rsid w:val="00C76AAF"/>
    <w:rsid w:val="00C76C46"/>
    <w:rsid w:val="00C76E35"/>
    <w:rsid w:val="00C77478"/>
    <w:rsid w:val="00C774A1"/>
    <w:rsid w:val="00C775A0"/>
    <w:rsid w:val="00C80C41"/>
    <w:rsid w:val="00C80CEF"/>
    <w:rsid w:val="00C80E40"/>
    <w:rsid w:val="00C8105F"/>
    <w:rsid w:val="00C81120"/>
    <w:rsid w:val="00C81432"/>
    <w:rsid w:val="00C824CA"/>
    <w:rsid w:val="00C828B8"/>
    <w:rsid w:val="00C82994"/>
    <w:rsid w:val="00C82B1F"/>
    <w:rsid w:val="00C82E07"/>
    <w:rsid w:val="00C82EC5"/>
    <w:rsid w:val="00C83041"/>
    <w:rsid w:val="00C838C3"/>
    <w:rsid w:val="00C84500"/>
    <w:rsid w:val="00C8452A"/>
    <w:rsid w:val="00C848A7"/>
    <w:rsid w:val="00C8492E"/>
    <w:rsid w:val="00C84970"/>
    <w:rsid w:val="00C849C0"/>
    <w:rsid w:val="00C84F2E"/>
    <w:rsid w:val="00C84F50"/>
    <w:rsid w:val="00C85035"/>
    <w:rsid w:val="00C851F6"/>
    <w:rsid w:val="00C858FF"/>
    <w:rsid w:val="00C85AE0"/>
    <w:rsid w:val="00C85E30"/>
    <w:rsid w:val="00C86424"/>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1E0"/>
    <w:rsid w:val="00C9250D"/>
    <w:rsid w:val="00C9255D"/>
    <w:rsid w:val="00C9296C"/>
    <w:rsid w:val="00C92DFF"/>
    <w:rsid w:val="00C93384"/>
    <w:rsid w:val="00C93FD8"/>
    <w:rsid w:val="00C94170"/>
    <w:rsid w:val="00C945C2"/>
    <w:rsid w:val="00C946B2"/>
    <w:rsid w:val="00C946F6"/>
    <w:rsid w:val="00C9475D"/>
    <w:rsid w:val="00C947B1"/>
    <w:rsid w:val="00C94B1E"/>
    <w:rsid w:val="00C95056"/>
    <w:rsid w:val="00C95115"/>
    <w:rsid w:val="00C951FD"/>
    <w:rsid w:val="00C952C3"/>
    <w:rsid w:val="00C9536E"/>
    <w:rsid w:val="00C95A15"/>
    <w:rsid w:val="00C95A37"/>
    <w:rsid w:val="00C95D21"/>
    <w:rsid w:val="00C95F9F"/>
    <w:rsid w:val="00C961DD"/>
    <w:rsid w:val="00C962F3"/>
    <w:rsid w:val="00C9637B"/>
    <w:rsid w:val="00C963BF"/>
    <w:rsid w:val="00C96516"/>
    <w:rsid w:val="00C97064"/>
    <w:rsid w:val="00C970A1"/>
    <w:rsid w:val="00C9714F"/>
    <w:rsid w:val="00C97312"/>
    <w:rsid w:val="00C97397"/>
    <w:rsid w:val="00C975E6"/>
    <w:rsid w:val="00C977C7"/>
    <w:rsid w:val="00C978FE"/>
    <w:rsid w:val="00C97D48"/>
    <w:rsid w:val="00C97D76"/>
    <w:rsid w:val="00C97EAC"/>
    <w:rsid w:val="00CA0C2D"/>
    <w:rsid w:val="00CA0CC9"/>
    <w:rsid w:val="00CA0E9B"/>
    <w:rsid w:val="00CA10D0"/>
    <w:rsid w:val="00CA1333"/>
    <w:rsid w:val="00CA13DE"/>
    <w:rsid w:val="00CA1458"/>
    <w:rsid w:val="00CA175E"/>
    <w:rsid w:val="00CA18D3"/>
    <w:rsid w:val="00CA19A1"/>
    <w:rsid w:val="00CA19A9"/>
    <w:rsid w:val="00CA1B16"/>
    <w:rsid w:val="00CA1E51"/>
    <w:rsid w:val="00CA21A9"/>
    <w:rsid w:val="00CA22CF"/>
    <w:rsid w:val="00CA25ED"/>
    <w:rsid w:val="00CA2E12"/>
    <w:rsid w:val="00CA4045"/>
    <w:rsid w:val="00CA4353"/>
    <w:rsid w:val="00CA43F9"/>
    <w:rsid w:val="00CA4458"/>
    <w:rsid w:val="00CA45FC"/>
    <w:rsid w:val="00CA481F"/>
    <w:rsid w:val="00CA487E"/>
    <w:rsid w:val="00CA516C"/>
    <w:rsid w:val="00CA52B2"/>
    <w:rsid w:val="00CA56C5"/>
    <w:rsid w:val="00CA584E"/>
    <w:rsid w:val="00CA59C2"/>
    <w:rsid w:val="00CA5C47"/>
    <w:rsid w:val="00CA5C82"/>
    <w:rsid w:val="00CA62EE"/>
    <w:rsid w:val="00CA65EF"/>
    <w:rsid w:val="00CA6647"/>
    <w:rsid w:val="00CA679A"/>
    <w:rsid w:val="00CA6C55"/>
    <w:rsid w:val="00CA71CC"/>
    <w:rsid w:val="00CA7414"/>
    <w:rsid w:val="00CA7632"/>
    <w:rsid w:val="00CA7682"/>
    <w:rsid w:val="00CA7854"/>
    <w:rsid w:val="00CA7A75"/>
    <w:rsid w:val="00CA7E03"/>
    <w:rsid w:val="00CA7F28"/>
    <w:rsid w:val="00CA7F39"/>
    <w:rsid w:val="00CB00EA"/>
    <w:rsid w:val="00CB0125"/>
    <w:rsid w:val="00CB013B"/>
    <w:rsid w:val="00CB01EF"/>
    <w:rsid w:val="00CB01F6"/>
    <w:rsid w:val="00CB029E"/>
    <w:rsid w:val="00CB0768"/>
    <w:rsid w:val="00CB0A1F"/>
    <w:rsid w:val="00CB0CE9"/>
    <w:rsid w:val="00CB1288"/>
    <w:rsid w:val="00CB131F"/>
    <w:rsid w:val="00CB1320"/>
    <w:rsid w:val="00CB13E1"/>
    <w:rsid w:val="00CB16C4"/>
    <w:rsid w:val="00CB1A00"/>
    <w:rsid w:val="00CB2121"/>
    <w:rsid w:val="00CB21AF"/>
    <w:rsid w:val="00CB221C"/>
    <w:rsid w:val="00CB2476"/>
    <w:rsid w:val="00CB2E15"/>
    <w:rsid w:val="00CB33D0"/>
    <w:rsid w:val="00CB3555"/>
    <w:rsid w:val="00CB3693"/>
    <w:rsid w:val="00CB372C"/>
    <w:rsid w:val="00CB39BF"/>
    <w:rsid w:val="00CB3E69"/>
    <w:rsid w:val="00CB434C"/>
    <w:rsid w:val="00CB439C"/>
    <w:rsid w:val="00CB452B"/>
    <w:rsid w:val="00CB4900"/>
    <w:rsid w:val="00CB4DC2"/>
    <w:rsid w:val="00CB4DCD"/>
    <w:rsid w:val="00CB4E4B"/>
    <w:rsid w:val="00CB4EA9"/>
    <w:rsid w:val="00CB4F2D"/>
    <w:rsid w:val="00CB509B"/>
    <w:rsid w:val="00CB53F8"/>
    <w:rsid w:val="00CB544A"/>
    <w:rsid w:val="00CB5E59"/>
    <w:rsid w:val="00CB5FD0"/>
    <w:rsid w:val="00CB5FE7"/>
    <w:rsid w:val="00CB5FF4"/>
    <w:rsid w:val="00CB603C"/>
    <w:rsid w:val="00CB61FD"/>
    <w:rsid w:val="00CB6272"/>
    <w:rsid w:val="00CB6B3F"/>
    <w:rsid w:val="00CB6C9D"/>
    <w:rsid w:val="00CB6CAA"/>
    <w:rsid w:val="00CB6FD7"/>
    <w:rsid w:val="00CB7418"/>
    <w:rsid w:val="00CB7A7D"/>
    <w:rsid w:val="00CB7C49"/>
    <w:rsid w:val="00CB7DD5"/>
    <w:rsid w:val="00CB7EC4"/>
    <w:rsid w:val="00CC01EB"/>
    <w:rsid w:val="00CC0549"/>
    <w:rsid w:val="00CC0670"/>
    <w:rsid w:val="00CC072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3E4C"/>
    <w:rsid w:val="00CC4210"/>
    <w:rsid w:val="00CC4238"/>
    <w:rsid w:val="00CC44F1"/>
    <w:rsid w:val="00CC44FE"/>
    <w:rsid w:val="00CC4921"/>
    <w:rsid w:val="00CC5431"/>
    <w:rsid w:val="00CC563E"/>
    <w:rsid w:val="00CC644D"/>
    <w:rsid w:val="00CC658D"/>
    <w:rsid w:val="00CC665A"/>
    <w:rsid w:val="00CC67EC"/>
    <w:rsid w:val="00CC6876"/>
    <w:rsid w:val="00CC6FB8"/>
    <w:rsid w:val="00CC718D"/>
    <w:rsid w:val="00CC7210"/>
    <w:rsid w:val="00CC74A2"/>
    <w:rsid w:val="00CC778D"/>
    <w:rsid w:val="00CC779C"/>
    <w:rsid w:val="00CC7F36"/>
    <w:rsid w:val="00CC7F5D"/>
    <w:rsid w:val="00CD0492"/>
    <w:rsid w:val="00CD0518"/>
    <w:rsid w:val="00CD0593"/>
    <w:rsid w:val="00CD07CA"/>
    <w:rsid w:val="00CD07DE"/>
    <w:rsid w:val="00CD0D8A"/>
    <w:rsid w:val="00CD0E75"/>
    <w:rsid w:val="00CD103D"/>
    <w:rsid w:val="00CD107A"/>
    <w:rsid w:val="00CD1184"/>
    <w:rsid w:val="00CD1311"/>
    <w:rsid w:val="00CD13A6"/>
    <w:rsid w:val="00CD146B"/>
    <w:rsid w:val="00CD155B"/>
    <w:rsid w:val="00CD1A3E"/>
    <w:rsid w:val="00CD1FD1"/>
    <w:rsid w:val="00CD20D4"/>
    <w:rsid w:val="00CD2187"/>
    <w:rsid w:val="00CD246B"/>
    <w:rsid w:val="00CD24D9"/>
    <w:rsid w:val="00CD2519"/>
    <w:rsid w:val="00CD251C"/>
    <w:rsid w:val="00CD2C94"/>
    <w:rsid w:val="00CD2CDC"/>
    <w:rsid w:val="00CD2F34"/>
    <w:rsid w:val="00CD318C"/>
    <w:rsid w:val="00CD3B66"/>
    <w:rsid w:val="00CD4817"/>
    <w:rsid w:val="00CD4CB3"/>
    <w:rsid w:val="00CD4F23"/>
    <w:rsid w:val="00CD4FC6"/>
    <w:rsid w:val="00CD520E"/>
    <w:rsid w:val="00CD5217"/>
    <w:rsid w:val="00CD54B7"/>
    <w:rsid w:val="00CD5562"/>
    <w:rsid w:val="00CD558B"/>
    <w:rsid w:val="00CD55B3"/>
    <w:rsid w:val="00CD5649"/>
    <w:rsid w:val="00CD59D9"/>
    <w:rsid w:val="00CD5A05"/>
    <w:rsid w:val="00CD5B7D"/>
    <w:rsid w:val="00CD5D9A"/>
    <w:rsid w:val="00CD5F3B"/>
    <w:rsid w:val="00CD68BA"/>
    <w:rsid w:val="00CD6ABC"/>
    <w:rsid w:val="00CD6DDE"/>
    <w:rsid w:val="00CD750A"/>
    <w:rsid w:val="00CD7CD0"/>
    <w:rsid w:val="00CD7E16"/>
    <w:rsid w:val="00CD7EE5"/>
    <w:rsid w:val="00CD7FD7"/>
    <w:rsid w:val="00CE0097"/>
    <w:rsid w:val="00CE04A0"/>
    <w:rsid w:val="00CE04BA"/>
    <w:rsid w:val="00CE06BD"/>
    <w:rsid w:val="00CE07A2"/>
    <w:rsid w:val="00CE0854"/>
    <w:rsid w:val="00CE0855"/>
    <w:rsid w:val="00CE16F1"/>
    <w:rsid w:val="00CE1AAD"/>
    <w:rsid w:val="00CE23B9"/>
    <w:rsid w:val="00CE3042"/>
    <w:rsid w:val="00CE30A7"/>
    <w:rsid w:val="00CE30B0"/>
    <w:rsid w:val="00CE30E6"/>
    <w:rsid w:val="00CE31A0"/>
    <w:rsid w:val="00CE333D"/>
    <w:rsid w:val="00CE341F"/>
    <w:rsid w:val="00CE345F"/>
    <w:rsid w:val="00CE34DC"/>
    <w:rsid w:val="00CE368B"/>
    <w:rsid w:val="00CE36DD"/>
    <w:rsid w:val="00CE38AD"/>
    <w:rsid w:val="00CE3BF2"/>
    <w:rsid w:val="00CE3F11"/>
    <w:rsid w:val="00CE4BBB"/>
    <w:rsid w:val="00CE4D3C"/>
    <w:rsid w:val="00CE5392"/>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CCB"/>
    <w:rsid w:val="00CF0FC4"/>
    <w:rsid w:val="00CF1089"/>
    <w:rsid w:val="00CF1C79"/>
    <w:rsid w:val="00CF1D89"/>
    <w:rsid w:val="00CF2157"/>
    <w:rsid w:val="00CF2457"/>
    <w:rsid w:val="00CF26C2"/>
    <w:rsid w:val="00CF2708"/>
    <w:rsid w:val="00CF2C08"/>
    <w:rsid w:val="00CF2C97"/>
    <w:rsid w:val="00CF2F64"/>
    <w:rsid w:val="00CF311A"/>
    <w:rsid w:val="00CF3359"/>
    <w:rsid w:val="00CF3400"/>
    <w:rsid w:val="00CF366B"/>
    <w:rsid w:val="00CF379F"/>
    <w:rsid w:val="00CF3FFF"/>
    <w:rsid w:val="00CF42DF"/>
    <w:rsid w:val="00CF4307"/>
    <w:rsid w:val="00CF4D98"/>
    <w:rsid w:val="00CF4DC0"/>
    <w:rsid w:val="00CF570D"/>
    <w:rsid w:val="00CF7ED9"/>
    <w:rsid w:val="00CF7FAF"/>
    <w:rsid w:val="00D0008E"/>
    <w:rsid w:val="00D005AD"/>
    <w:rsid w:val="00D007CD"/>
    <w:rsid w:val="00D009E6"/>
    <w:rsid w:val="00D00DF4"/>
    <w:rsid w:val="00D00EEC"/>
    <w:rsid w:val="00D01453"/>
    <w:rsid w:val="00D0183C"/>
    <w:rsid w:val="00D018FE"/>
    <w:rsid w:val="00D01954"/>
    <w:rsid w:val="00D01ED5"/>
    <w:rsid w:val="00D021F0"/>
    <w:rsid w:val="00D02271"/>
    <w:rsid w:val="00D02456"/>
    <w:rsid w:val="00D026BC"/>
    <w:rsid w:val="00D02AD7"/>
    <w:rsid w:val="00D02B5C"/>
    <w:rsid w:val="00D02C47"/>
    <w:rsid w:val="00D03458"/>
    <w:rsid w:val="00D03E5A"/>
    <w:rsid w:val="00D03E7A"/>
    <w:rsid w:val="00D04827"/>
    <w:rsid w:val="00D04EFF"/>
    <w:rsid w:val="00D051A6"/>
    <w:rsid w:val="00D051E5"/>
    <w:rsid w:val="00D05245"/>
    <w:rsid w:val="00D05307"/>
    <w:rsid w:val="00D054CA"/>
    <w:rsid w:val="00D0557D"/>
    <w:rsid w:val="00D05669"/>
    <w:rsid w:val="00D05C95"/>
    <w:rsid w:val="00D0604B"/>
    <w:rsid w:val="00D06878"/>
    <w:rsid w:val="00D06A55"/>
    <w:rsid w:val="00D06CBF"/>
    <w:rsid w:val="00D07078"/>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B7"/>
    <w:rsid w:val="00D132D5"/>
    <w:rsid w:val="00D13621"/>
    <w:rsid w:val="00D13E53"/>
    <w:rsid w:val="00D13EB4"/>
    <w:rsid w:val="00D14CF4"/>
    <w:rsid w:val="00D151EA"/>
    <w:rsid w:val="00D152C8"/>
    <w:rsid w:val="00D15303"/>
    <w:rsid w:val="00D156F6"/>
    <w:rsid w:val="00D16051"/>
    <w:rsid w:val="00D160F7"/>
    <w:rsid w:val="00D16297"/>
    <w:rsid w:val="00D168DB"/>
    <w:rsid w:val="00D16EF2"/>
    <w:rsid w:val="00D1701A"/>
    <w:rsid w:val="00D17788"/>
    <w:rsid w:val="00D17E05"/>
    <w:rsid w:val="00D20039"/>
    <w:rsid w:val="00D20048"/>
    <w:rsid w:val="00D20461"/>
    <w:rsid w:val="00D20B75"/>
    <w:rsid w:val="00D20EB0"/>
    <w:rsid w:val="00D21163"/>
    <w:rsid w:val="00D2148E"/>
    <w:rsid w:val="00D2157D"/>
    <w:rsid w:val="00D218BB"/>
    <w:rsid w:val="00D21A6E"/>
    <w:rsid w:val="00D21FA8"/>
    <w:rsid w:val="00D220EF"/>
    <w:rsid w:val="00D22166"/>
    <w:rsid w:val="00D22201"/>
    <w:rsid w:val="00D22675"/>
    <w:rsid w:val="00D22B80"/>
    <w:rsid w:val="00D22B8A"/>
    <w:rsid w:val="00D23109"/>
    <w:rsid w:val="00D236B7"/>
    <w:rsid w:val="00D23BE3"/>
    <w:rsid w:val="00D23E2C"/>
    <w:rsid w:val="00D23E48"/>
    <w:rsid w:val="00D240ED"/>
    <w:rsid w:val="00D244BE"/>
    <w:rsid w:val="00D244CE"/>
    <w:rsid w:val="00D24537"/>
    <w:rsid w:val="00D24640"/>
    <w:rsid w:val="00D2482F"/>
    <w:rsid w:val="00D24A8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6FE"/>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172"/>
    <w:rsid w:val="00D323F9"/>
    <w:rsid w:val="00D32449"/>
    <w:rsid w:val="00D32664"/>
    <w:rsid w:val="00D326D0"/>
    <w:rsid w:val="00D32D36"/>
    <w:rsid w:val="00D32FA5"/>
    <w:rsid w:val="00D3300B"/>
    <w:rsid w:val="00D333D8"/>
    <w:rsid w:val="00D336AD"/>
    <w:rsid w:val="00D33ACB"/>
    <w:rsid w:val="00D33C32"/>
    <w:rsid w:val="00D33EBE"/>
    <w:rsid w:val="00D34058"/>
    <w:rsid w:val="00D34376"/>
    <w:rsid w:val="00D34615"/>
    <w:rsid w:val="00D34747"/>
    <w:rsid w:val="00D34F60"/>
    <w:rsid w:val="00D35357"/>
    <w:rsid w:val="00D353B4"/>
    <w:rsid w:val="00D35755"/>
    <w:rsid w:val="00D35E91"/>
    <w:rsid w:val="00D35FE9"/>
    <w:rsid w:val="00D361D9"/>
    <w:rsid w:val="00D36325"/>
    <w:rsid w:val="00D36CB6"/>
    <w:rsid w:val="00D36CCB"/>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AB6"/>
    <w:rsid w:val="00D42B97"/>
    <w:rsid w:val="00D42EB5"/>
    <w:rsid w:val="00D43096"/>
    <w:rsid w:val="00D43B5E"/>
    <w:rsid w:val="00D43BC4"/>
    <w:rsid w:val="00D43D89"/>
    <w:rsid w:val="00D43DE4"/>
    <w:rsid w:val="00D43E5C"/>
    <w:rsid w:val="00D43F83"/>
    <w:rsid w:val="00D44538"/>
    <w:rsid w:val="00D44715"/>
    <w:rsid w:val="00D44DEF"/>
    <w:rsid w:val="00D44FC7"/>
    <w:rsid w:val="00D45001"/>
    <w:rsid w:val="00D458E5"/>
    <w:rsid w:val="00D45A7A"/>
    <w:rsid w:val="00D45DA9"/>
    <w:rsid w:val="00D45DEB"/>
    <w:rsid w:val="00D4610D"/>
    <w:rsid w:val="00D463A2"/>
    <w:rsid w:val="00D46593"/>
    <w:rsid w:val="00D46802"/>
    <w:rsid w:val="00D46852"/>
    <w:rsid w:val="00D469D9"/>
    <w:rsid w:val="00D46AB2"/>
    <w:rsid w:val="00D46C90"/>
    <w:rsid w:val="00D46D50"/>
    <w:rsid w:val="00D471ED"/>
    <w:rsid w:val="00D472D9"/>
    <w:rsid w:val="00D47331"/>
    <w:rsid w:val="00D47372"/>
    <w:rsid w:val="00D47815"/>
    <w:rsid w:val="00D47A4F"/>
    <w:rsid w:val="00D47AEA"/>
    <w:rsid w:val="00D47D2C"/>
    <w:rsid w:val="00D500D3"/>
    <w:rsid w:val="00D501AA"/>
    <w:rsid w:val="00D501FA"/>
    <w:rsid w:val="00D50344"/>
    <w:rsid w:val="00D503A5"/>
    <w:rsid w:val="00D504B2"/>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E6A"/>
    <w:rsid w:val="00D530CB"/>
    <w:rsid w:val="00D53328"/>
    <w:rsid w:val="00D53509"/>
    <w:rsid w:val="00D53637"/>
    <w:rsid w:val="00D5376F"/>
    <w:rsid w:val="00D5392D"/>
    <w:rsid w:val="00D53953"/>
    <w:rsid w:val="00D5396D"/>
    <w:rsid w:val="00D53B7A"/>
    <w:rsid w:val="00D53BC0"/>
    <w:rsid w:val="00D53CE6"/>
    <w:rsid w:val="00D547A4"/>
    <w:rsid w:val="00D54840"/>
    <w:rsid w:val="00D54B50"/>
    <w:rsid w:val="00D552EE"/>
    <w:rsid w:val="00D5567E"/>
    <w:rsid w:val="00D557F0"/>
    <w:rsid w:val="00D55928"/>
    <w:rsid w:val="00D55AF0"/>
    <w:rsid w:val="00D55F0F"/>
    <w:rsid w:val="00D5648E"/>
    <w:rsid w:val="00D565D4"/>
    <w:rsid w:val="00D56628"/>
    <w:rsid w:val="00D567A6"/>
    <w:rsid w:val="00D5699B"/>
    <w:rsid w:val="00D56B70"/>
    <w:rsid w:val="00D56F15"/>
    <w:rsid w:val="00D5713D"/>
    <w:rsid w:val="00D57180"/>
    <w:rsid w:val="00D573EC"/>
    <w:rsid w:val="00D577B7"/>
    <w:rsid w:val="00D578F0"/>
    <w:rsid w:val="00D57959"/>
    <w:rsid w:val="00D57AB1"/>
    <w:rsid w:val="00D57B11"/>
    <w:rsid w:val="00D57B31"/>
    <w:rsid w:val="00D57D79"/>
    <w:rsid w:val="00D57DCC"/>
    <w:rsid w:val="00D57FBF"/>
    <w:rsid w:val="00D6002D"/>
    <w:rsid w:val="00D60157"/>
    <w:rsid w:val="00D60805"/>
    <w:rsid w:val="00D60A87"/>
    <w:rsid w:val="00D60B49"/>
    <w:rsid w:val="00D61217"/>
    <w:rsid w:val="00D614B7"/>
    <w:rsid w:val="00D61538"/>
    <w:rsid w:val="00D6173B"/>
    <w:rsid w:val="00D617CC"/>
    <w:rsid w:val="00D61981"/>
    <w:rsid w:val="00D619FD"/>
    <w:rsid w:val="00D62DB6"/>
    <w:rsid w:val="00D62F7C"/>
    <w:rsid w:val="00D6335B"/>
    <w:rsid w:val="00D63447"/>
    <w:rsid w:val="00D6347A"/>
    <w:rsid w:val="00D6356D"/>
    <w:rsid w:val="00D635CE"/>
    <w:rsid w:val="00D63664"/>
    <w:rsid w:val="00D636D3"/>
    <w:rsid w:val="00D63934"/>
    <w:rsid w:val="00D63947"/>
    <w:rsid w:val="00D63B98"/>
    <w:rsid w:val="00D63E85"/>
    <w:rsid w:val="00D64059"/>
    <w:rsid w:val="00D6428D"/>
    <w:rsid w:val="00D6437F"/>
    <w:rsid w:val="00D644C2"/>
    <w:rsid w:val="00D64667"/>
    <w:rsid w:val="00D64833"/>
    <w:rsid w:val="00D65425"/>
    <w:rsid w:val="00D6553D"/>
    <w:rsid w:val="00D655E5"/>
    <w:rsid w:val="00D6569A"/>
    <w:rsid w:val="00D656EB"/>
    <w:rsid w:val="00D65D96"/>
    <w:rsid w:val="00D65DB6"/>
    <w:rsid w:val="00D65F20"/>
    <w:rsid w:val="00D66181"/>
    <w:rsid w:val="00D662BC"/>
    <w:rsid w:val="00D6686E"/>
    <w:rsid w:val="00D66BA4"/>
    <w:rsid w:val="00D66CFF"/>
    <w:rsid w:val="00D6776C"/>
    <w:rsid w:val="00D679FD"/>
    <w:rsid w:val="00D70116"/>
    <w:rsid w:val="00D701E8"/>
    <w:rsid w:val="00D70222"/>
    <w:rsid w:val="00D703B9"/>
    <w:rsid w:val="00D70760"/>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394"/>
    <w:rsid w:val="00D73744"/>
    <w:rsid w:val="00D747BA"/>
    <w:rsid w:val="00D749C1"/>
    <w:rsid w:val="00D74A57"/>
    <w:rsid w:val="00D74D67"/>
    <w:rsid w:val="00D7506D"/>
    <w:rsid w:val="00D7527A"/>
    <w:rsid w:val="00D7563F"/>
    <w:rsid w:val="00D75B70"/>
    <w:rsid w:val="00D7608F"/>
    <w:rsid w:val="00D7621B"/>
    <w:rsid w:val="00D76269"/>
    <w:rsid w:val="00D764E1"/>
    <w:rsid w:val="00D764FA"/>
    <w:rsid w:val="00D765A0"/>
    <w:rsid w:val="00D76684"/>
    <w:rsid w:val="00D766AA"/>
    <w:rsid w:val="00D7694E"/>
    <w:rsid w:val="00D76998"/>
    <w:rsid w:val="00D76AB5"/>
    <w:rsid w:val="00D771FD"/>
    <w:rsid w:val="00D7796D"/>
    <w:rsid w:val="00D77FDB"/>
    <w:rsid w:val="00D800F7"/>
    <w:rsid w:val="00D805B2"/>
    <w:rsid w:val="00D80800"/>
    <w:rsid w:val="00D80855"/>
    <w:rsid w:val="00D80B1A"/>
    <w:rsid w:val="00D80C06"/>
    <w:rsid w:val="00D8111F"/>
    <w:rsid w:val="00D812C7"/>
    <w:rsid w:val="00D816D6"/>
    <w:rsid w:val="00D81B18"/>
    <w:rsid w:val="00D82253"/>
    <w:rsid w:val="00D82664"/>
    <w:rsid w:val="00D82666"/>
    <w:rsid w:val="00D831DB"/>
    <w:rsid w:val="00D8327F"/>
    <w:rsid w:val="00D83541"/>
    <w:rsid w:val="00D836EA"/>
    <w:rsid w:val="00D836F8"/>
    <w:rsid w:val="00D83768"/>
    <w:rsid w:val="00D83889"/>
    <w:rsid w:val="00D83EB3"/>
    <w:rsid w:val="00D8435E"/>
    <w:rsid w:val="00D84561"/>
    <w:rsid w:val="00D8466B"/>
    <w:rsid w:val="00D8487E"/>
    <w:rsid w:val="00D84933"/>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513"/>
    <w:rsid w:val="00D87659"/>
    <w:rsid w:val="00D87925"/>
    <w:rsid w:val="00D8794E"/>
    <w:rsid w:val="00D87C14"/>
    <w:rsid w:val="00D901AD"/>
    <w:rsid w:val="00D903DE"/>
    <w:rsid w:val="00D906D9"/>
    <w:rsid w:val="00D90E3A"/>
    <w:rsid w:val="00D911BD"/>
    <w:rsid w:val="00D91390"/>
    <w:rsid w:val="00D91540"/>
    <w:rsid w:val="00D9183D"/>
    <w:rsid w:val="00D91B3E"/>
    <w:rsid w:val="00D91F6E"/>
    <w:rsid w:val="00D92148"/>
    <w:rsid w:val="00D9223B"/>
    <w:rsid w:val="00D922E4"/>
    <w:rsid w:val="00D927AC"/>
    <w:rsid w:val="00D92832"/>
    <w:rsid w:val="00D92A3A"/>
    <w:rsid w:val="00D92FB3"/>
    <w:rsid w:val="00D933B5"/>
    <w:rsid w:val="00D9355C"/>
    <w:rsid w:val="00D939A2"/>
    <w:rsid w:val="00D93A16"/>
    <w:rsid w:val="00D93B28"/>
    <w:rsid w:val="00D93B29"/>
    <w:rsid w:val="00D93B89"/>
    <w:rsid w:val="00D93C1B"/>
    <w:rsid w:val="00D93CD5"/>
    <w:rsid w:val="00D93D55"/>
    <w:rsid w:val="00D93E19"/>
    <w:rsid w:val="00D94187"/>
    <w:rsid w:val="00D945AB"/>
    <w:rsid w:val="00D9496D"/>
    <w:rsid w:val="00D94B27"/>
    <w:rsid w:val="00D94E49"/>
    <w:rsid w:val="00D94FDF"/>
    <w:rsid w:val="00D9500A"/>
    <w:rsid w:val="00D96288"/>
    <w:rsid w:val="00D96356"/>
    <w:rsid w:val="00D96699"/>
    <w:rsid w:val="00D96C09"/>
    <w:rsid w:val="00D96DBC"/>
    <w:rsid w:val="00D96DCC"/>
    <w:rsid w:val="00D96E5F"/>
    <w:rsid w:val="00D96ED8"/>
    <w:rsid w:val="00D97252"/>
    <w:rsid w:val="00D97564"/>
    <w:rsid w:val="00D975AB"/>
    <w:rsid w:val="00D97BEF"/>
    <w:rsid w:val="00D97CAF"/>
    <w:rsid w:val="00D97F9A"/>
    <w:rsid w:val="00DA004C"/>
    <w:rsid w:val="00DA008F"/>
    <w:rsid w:val="00DA0558"/>
    <w:rsid w:val="00DA05D8"/>
    <w:rsid w:val="00DA068F"/>
    <w:rsid w:val="00DA0768"/>
    <w:rsid w:val="00DA076C"/>
    <w:rsid w:val="00DA0E91"/>
    <w:rsid w:val="00DA161A"/>
    <w:rsid w:val="00DA1CD0"/>
    <w:rsid w:val="00DA20A3"/>
    <w:rsid w:val="00DA2220"/>
    <w:rsid w:val="00DA24A9"/>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A1D"/>
    <w:rsid w:val="00DA4F7F"/>
    <w:rsid w:val="00DA52A7"/>
    <w:rsid w:val="00DA536A"/>
    <w:rsid w:val="00DA5A94"/>
    <w:rsid w:val="00DA5F7F"/>
    <w:rsid w:val="00DA603E"/>
    <w:rsid w:val="00DA6448"/>
    <w:rsid w:val="00DA6514"/>
    <w:rsid w:val="00DA653C"/>
    <w:rsid w:val="00DA6824"/>
    <w:rsid w:val="00DA682B"/>
    <w:rsid w:val="00DA6A04"/>
    <w:rsid w:val="00DA6C16"/>
    <w:rsid w:val="00DA6E45"/>
    <w:rsid w:val="00DA7191"/>
    <w:rsid w:val="00DA7513"/>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73A"/>
    <w:rsid w:val="00DB1B4A"/>
    <w:rsid w:val="00DB1C73"/>
    <w:rsid w:val="00DB1FCF"/>
    <w:rsid w:val="00DB2355"/>
    <w:rsid w:val="00DB2914"/>
    <w:rsid w:val="00DB2CF9"/>
    <w:rsid w:val="00DB2E7C"/>
    <w:rsid w:val="00DB2ED6"/>
    <w:rsid w:val="00DB316D"/>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A51"/>
    <w:rsid w:val="00DB6F15"/>
    <w:rsid w:val="00DB74B3"/>
    <w:rsid w:val="00DB762B"/>
    <w:rsid w:val="00DB7A2E"/>
    <w:rsid w:val="00DB7CF1"/>
    <w:rsid w:val="00DB7FDD"/>
    <w:rsid w:val="00DC0015"/>
    <w:rsid w:val="00DC023A"/>
    <w:rsid w:val="00DC0700"/>
    <w:rsid w:val="00DC07A1"/>
    <w:rsid w:val="00DC0BFE"/>
    <w:rsid w:val="00DC0DB1"/>
    <w:rsid w:val="00DC0F02"/>
    <w:rsid w:val="00DC0F8D"/>
    <w:rsid w:val="00DC11B4"/>
    <w:rsid w:val="00DC1325"/>
    <w:rsid w:val="00DC1EAA"/>
    <w:rsid w:val="00DC1FBF"/>
    <w:rsid w:val="00DC2132"/>
    <w:rsid w:val="00DC2284"/>
    <w:rsid w:val="00DC2483"/>
    <w:rsid w:val="00DC24F1"/>
    <w:rsid w:val="00DC2956"/>
    <w:rsid w:val="00DC2BFE"/>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C8E"/>
    <w:rsid w:val="00DC4FAF"/>
    <w:rsid w:val="00DC508C"/>
    <w:rsid w:val="00DC5201"/>
    <w:rsid w:val="00DC53B8"/>
    <w:rsid w:val="00DC556C"/>
    <w:rsid w:val="00DC5AD1"/>
    <w:rsid w:val="00DC5B96"/>
    <w:rsid w:val="00DC5BA7"/>
    <w:rsid w:val="00DC5BFD"/>
    <w:rsid w:val="00DC5C0D"/>
    <w:rsid w:val="00DC6158"/>
    <w:rsid w:val="00DC7032"/>
    <w:rsid w:val="00DC72A4"/>
    <w:rsid w:val="00DC72D1"/>
    <w:rsid w:val="00DC746E"/>
    <w:rsid w:val="00DC762B"/>
    <w:rsid w:val="00DC76EE"/>
    <w:rsid w:val="00DC7B0B"/>
    <w:rsid w:val="00DC7D95"/>
    <w:rsid w:val="00DC7EBB"/>
    <w:rsid w:val="00DD01CA"/>
    <w:rsid w:val="00DD02F4"/>
    <w:rsid w:val="00DD043A"/>
    <w:rsid w:val="00DD069E"/>
    <w:rsid w:val="00DD06BC"/>
    <w:rsid w:val="00DD0B5B"/>
    <w:rsid w:val="00DD1053"/>
    <w:rsid w:val="00DD1176"/>
    <w:rsid w:val="00DD1A7E"/>
    <w:rsid w:val="00DD1B4E"/>
    <w:rsid w:val="00DD245C"/>
    <w:rsid w:val="00DD2484"/>
    <w:rsid w:val="00DD295D"/>
    <w:rsid w:val="00DD2E0D"/>
    <w:rsid w:val="00DD2F7A"/>
    <w:rsid w:val="00DD304A"/>
    <w:rsid w:val="00DD3517"/>
    <w:rsid w:val="00DD399A"/>
    <w:rsid w:val="00DD3A13"/>
    <w:rsid w:val="00DD3BDC"/>
    <w:rsid w:val="00DD3CA5"/>
    <w:rsid w:val="00DD3EF2"/>
    <w:rsid w:val="00DD4D92"/>
    <w:rsid w:val="00DD552F"/>
    <w:rsid w:val="00DD573D"/>
    <w:rsid w:val="00DD5A48"/>
    <w:rsid w:val="00DD5A72"/>
    <w:rsid w:val="00DD5BF3"/>
    <w:rsid w:val="00DD6621"/>
    <w:rsid w:val="00DD6705"/>
    <w:rsid w:val="00DD6B1E"/>
    <w:rsid w:val="00DD6D1F"/>
    <w:rsid w:val="00DD6E9C"/>
    <w:rsid w:val="00DD742C"/>
    <w:rsid w:val="00DD75C0"/>
    <w:rsid w:val="00DD75EF"/>
    <w:rsid w:val="00DD7B45"/>
    <w:rsid w:val="00DD7CB3"/>
    <w:rsid w:val="00DD7D9F"/>
    <w:rsid w:val="00DD7F8A"/>
    <w:rsid w:val="00DE035A"/>
    <w:rsid w:val="00DE0381"/>
    <w:rsid w:val="00DE03A0"/>
    <w:rsid w:val="00DE077F"/>
    <w:rsid w:val="00DE095D"/>
    <w:rsid w:val="00DE09B0"/>
    <w:rsid w:val="00DE0B17"/>
    <w:rsid w:val="00DE1255"/>
    <w:rsid w:val="00DE1376"/>
    <w:rsid w:val="00DE1C0E"/>
    <w:rsid w:val="00DE1CF4"/>
    <w:rsid w:val="00DE2193"/>
    <w:rsid w:val="00DE228D"/>
    <w:rsid w:val="00DE2293"/>
    <w:rsid w:val="00DE2417"/>
    <w:rsid w:val="00DE246B"/>
    <w:rsid w:val="00DE2953"/>
    <w:rsid w:val="00DE2B4D"/>
    <w:rsid w:val="00DE2B9D"/>
    <w:rsid w:val="00DE2D56"/>
    <w:rsid w:val="00DE2DB1"/>
    <w:rsid w:val="00DE2E9D"/>
    <w:rsid w:val="00DE3440"/>
    <w:rsid w:val="00DE36A9"/>
    <w:rsid w:val="00DE374E"/>
    <w:rsid w:val="00DE37BE"/>
    <w:rsid w:val="00DE40D4"/>
    <w:rsid w:val="00DE4103"/>
    <w:rsid w:val="00DE4210"/>
    <w:rsid w:val="00DE42F6"/>
    <w:rsid w:val="00DE4578"/>
    <w:rsid w:val="00DE4812"/>
    <w:rsid w:val="00DE4C5E"/>
    <w:rsid w:val="00DE4CB7"/>
    <w:rsid w:val="00DE4CD1"/>
    <w:rsid w:val="00DE4DA8"/>
    <w:rsid w:val="00DE51B4"/>
    <w:rsid w:val="00DE5403"/>
    <w:rsid w:val="00DE55CB"/>
    <w:rsid w:val="00DE57C5"/>
    <w:rsid w:val="00DE58E6"/>
    <w:rsid w:val="00DE591A"/>
    <w:rsid w:val="00DE5E6A"/>
    <w:rsid w:val="00DE70FC"/>
    <w:rsid w:val="00DE7353"/>
    <w:rsid w:val="00DE7615"/>
    <w:rsid w:val="00DE7B41"/>
    <w:rsid w:val="00DF005A"/>
    <w:rsid w:val="00DF010F"/>
    <w:rsid w:val="00DF0155"/>
    <w:rsid w:val="00DF017D"/>
    <w:rsid w:val="00DF04EE"/>
    <w:rsid w:val="00DF08AE"/>
    <w:rsid w:val="00DF0D44"/>
    <w:rsid w:val="00DF0D8B"/>
    <w:rsid w:val="00DF1879"/>
    <w:rsid w:val="00DF198F"/>
    <w:rsid w:val="00DF1B7E"/>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AB4"/>
    <w:rsid w:val="00DF3BD2"/>
    <w:rsid w:val="00DF3E35"/>
    <w:rsid w:val="00DF40FE"/>
    <w:rsid w:val="00DF4197"/>
    <w:rsid w:val="00DF42E0"/>
    <w:rsid w:val="00DF441A"/>
    <w:rsid w:val="00DF4742"/>
    <w:rsid w:val="00DF53A0"/>
    <w:rsid w:val="00DF5B56"/>
    <w:rsid w:val="00DF6076"/>
    <w:rsid w:val="00DF620E"/>
    <w:rsid w:val="00DF6326"/>
    <w:rsid w:val="00DF6457"/>
    <w:rsid w:val="00DF66E4"/>
    <w:rsid w:val="00DF6AFE"/>
    <w:rsid w:val="00DF718E"/>
    <w:rsid w:val="00DF7249"/>
    <w:rsid w:val="00DF73FE"/>
    <w:rsid w:val="00DF7CF3"/>
    <w:rsid w:val="00DF7D84"/>
    <w:rsid w:val="00DF7FC3"/>
    <w:rsid w:val="00E00460"/>
    <w:rsid w:val="00E0048A"/>
    <w:rsid w:val="00E004BA"/>
    <w:rsid w:val="00E006C4"/>
    <w:rsid w:val="00E006E9"/>
    <w:rsid w:val="00E00844"/>
    <w:rsid w:val="00E0091B"/>
    <w:rsid w:val="00E00C71"/>
    <w:rsid w:val="00E00EAA"/>
    <w:rsid w:val="00E01034"/>
    <w:rsid w:val="00E0103C"/>
    <w:rsid w:val="00E01110"/>
    <w:rsid w:val="00E01934"/>
    <w:rsid w:val="00E01ECD"/>
    <w:rsid w:val="00E01ED6"/>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918"/>
    <w:rsid w:val="00E04AE7"/>
    <w:rsid w:val="00E04C97"/>
    <w:rsid w:val="00E04D2E"/>
    <w:rsid w:val="00E05508"/>
    <w:rsid w:val="00E05A10"/>
    <w:rsid w:val="00E0623D"/>
    <w:rsid w:val="00E06243"/>
    <w:rsid w:val="00E062B6"/>
    <w:rsid w:val="00E0632A"/>
    <w:rsid w:val="00E065DF"/>
    <w:rsid w:val="00E06853"/>
    <w:rsid w:val="00E068D6"/>
    <w:rsid w:val="00E068ED"/>
    <w:rsid w:val="00E06956"/>
    <w:rsid w:val="00E06E3E"/>
    <w:rsid w:val="00E07169"/>
    <w:rsid w:val="00E071D5"/>
    <w:rsid w:val="00E0722D"/>
    <w:rsid w:val="00E07358"/>
    <w:rsid w:val="00E0748A"/>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1BA"/>
    <w:rsid w:val="00E12378"/>
    <w:rsid w:val="00E124AF"/>
    <w:rsid w:val="00E128FF"/>
    <w:rsid w:val="00E12BFF"/>
    <w:rsid w:val="00E12F0C"/>
    <w:rsid w:val="00E130AD"/>
    <w:rsid w:val="00E13601"/>
    <w:rsid w:val="00E136BF"/>
    <w:rsid w:val="00E13958"/>
    <w:rsid w:val="00E13C52"/>
    <w:rsid w:val="00E13FCA"/>
    <w:rsid w:val="00E14070"/>
    <w:rsid w:val="00E14586"/>
    <w:rsid w:val="00E14E5F"/>
    <w:rsid w:val="00E15026"/>
    <w:rsid w:val="00E157D3"/>
    <w:rsid w:val="00E15A4F"/>
    <w:rsid w:val="00E15D54"/>
    <w:rsid w:val="00E15E7A"/>
    <w:rsid w:val="00E15FCB"/>
    <w:rsid w:val="00E162A4"/>
    <w:rsid w:val="00E162D7"/>
    <w:rsid w:val="00E16569"/>
    <w:rsid w:val="00E16575"/>
    <w:rsid w:val="00E16717"/>
    <w:rsid w:val="00E16869"/>
    <w:rsid w:val="00E16888"/>
    <w:rsid w:val="00E1688C"/>
    <w:rsid w:val="00E1725C"/>
    <w:rsid w:val="00E172C5"/>
    <w:rsid w:val="00E17CFF"/>
    <w:rsid w:val="00E17E8E"/>
    <w:rsid w:val="00E2006F"/>
    <w:rsid w:val="00E208FF"/>
    <w:rsid w:val="00E20955"/>
    <w:rsid w:val="00E20995"/>
    <w:rsid w:val="00E20DCA"/>
    <w:rsid w:val="00E20E33"/>
    <w:rsid w:val="00E21877"/>
    <w:rsid w:val="00E219B4"/>
    <w:rsid w:val="00E21AD0"/>
    <w:rsid w:val="00E220C6"/>
    <w:rsid w:val="00E2261B"/>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5D8"/>
    <w:rsid w:val="00E25B2A"/>
    <w:rsid w:val="00E25E05"/>
    <w:rsid w:val="00E26810"/>
    <w:rsid w:val="00E2682C"/>
    <w:rsid w:val="00E269D9"/>
    <w:rsid w:val="00E26B4E"/>
    <w:rsid w:val="00E276A9"/>
    <w:rsid w:val="00E30029"/>
    <w:rsid w:val="00E30037"/>
    <w:rsid w:val="00E30499"/>
    <w:rsid w:val="00E30B51"/>
    <w:rsid w:val="00E30B8E"/>
    <w:rsid w:val="00E3102A"/>
    <w:rsid w:val="00E31116"/>
    <w:rsid w:val="00E31290"/>
    <w:rsid w:val="00E31767"/>
    <w:rsid w:val="00E324BB"/>
    <w:rsid w:val="00E325AA"/>
    <w:rsid w:val="00E32A7A"/>
    <w:rsid w:val="00E32ECD"/>
    <w:rsid w:val="00E338C4"/>
    <w:rsid w:val="00E339F0"/>
    <w:rsid w:val="00E33F02"/>
    <w:rsid w:val="00E341F5"/>
    <w:rsid w:val="00E34287"/>
    <w:rsid w:val="00E34324"/>
    <w:rsid w:val="00E344CB"/>
    <w:rsid w:val="00E345EC"/>
    <w:rsid w:val="00E34796"/>
    <w:rsid w:val="00E347A0"/>
    <w:rsid w:val="00E34884"/>
    <w:rsid w:val="00E34B1D"/>
    <w:rsid w:val="00E34D8C"/>
    <w:rsid w:val="00E35427"/>
    <w:rsid w:val="00E354D3"/>
    <w:rsid w:val="00E35718"/>
    <w:rsid w:val="00E35E8B"/>
    <w:rsid w:val="00E36CE6"/>
    <w:rsid w:val="00E37017"/>
    <w:rsid w:val="00E373AC"/>
    <w:rsid w:val="00E37424"/>
    <w:rsid w:val="00E375C1"/>
    <w:rsid w:val="00E377E8"/>
    <w:rsid w:val="00E37821"/>
    <w:rsid w:val="00E37B7F"/>
    <w:rsid w:val="00E37C98"/>
    <w:rsid w:val="00E37E42"/>
    <w:rsid w:val="00E37E88"/>
    <w:rsid w:val="00E37ED8"/>
    <w:rsid w:val="00E40283"/>
    <w:rsid w:val="00E40444"/>
    <w:rsid w:val="00E40986"/>
    <w:rsid w:val="00E40F22"/>
    <w:rsid w:val="00E415B1"/>
    <w:rsid w:val="00E416FC"/>
    <w:rsid w:val="00E41711"/>
    <w:rsid w:val="00E41C42"/>
    <w:rsid w:val="00E41C77"/>
    <w:rsid w:val="00E41CA3"/>
    <w:rsid w:val="00E41D93"/>
    <w:rsid w:val="00E41E0A"/>
    <w:rsid w:val="00E41FB9"/>
    <w:rsid w:val="00E4228E"/>
    <w:rsid w:val="00E427F0"/>
    <w:rsid w:val="00E42BE9"/>
    <w:rsid w:val="00E42C72"/>
    <w:rsid w:val="00E42EDF"/>
    <w:rsid w:val="00E43055"/>
    <w:rsid w:val="00E43464"/>
    <w:rsid w:val="00E43542"/>
    <w:rsid w:val="00E43662"/>
    <w:rsid w:val="00E43908"/>
    <w:rsid w:val="00E4394A"/>
    <w:rsid w:val="00E43A9B"/>
    <w:rsid w:val="00E43AED"/>
    <w:rsid w:val="00E43C11"/>
    <w:rsid w:val="00E43D44"/>
    <w:rsid w:val="00E44270"/>
    <w:rsid w:val="00E4433F"/>
    <w:rsid w:val="00E44414"/>
    <w:rsid w:val="00E44472"/>
    <w:rsid w:val="00E446D3"/>
    <w:rsid w:val="00E44AD2"/>
    <w:rsid w:val="00E451BE"/>
    <w:rsid w:val="00E4564D"/>
    <w:rsid w:val="00E456B4"/>
    <w:rsid w:val="00E45D80"/>
    <w:rsid w:val="00E45EF9"/>
    <w:rsid w:val="00E46181"/>
    <w:rsid w:val="00E46186"/>
    <w:rsid w:val="00E466AA"/>
    <w:rsid w:val="00E46944"/>
    <w:rsid w:val="00E46FD3"/>
    <w:rsid w:val="00E471D4"/>
    <w:rsid w:val="00E4767B"/>
    <w:rsid w:val="00E477EE"/>
    <w:rsid w:val="00E47A69"/>
    <w:rsid w:val="00E47C85"/>
    <w:rsid w:val="00E47ED5"/>
    <w:rsid w:val="00E501F9"/>
    <w:rsid w:val="00E5022C"/>
    <w:rsid w:val="00E502D2"/>
    <w:rsid w:val="00E50A52"/>
    <w:rsid w:val="00E50B87"/>
    <w:rsid w:val="00E50C35"/>
    <w:rsid w:val="00E51472"/>
    <w:rsid w:val="00E518D2"/>
    <w:rsid w:val="00E51917"/>
    <w:rsid w:val="00E51919"/>
    <w:rsid w:val="00E51AB6"/>
    <w:rsid w:val="00E51E3A"/>
    <w:rsid w:val="00E51EAD"/>
    <w:rsid w:val="00E521A6"/>
    <w:rsid w:val="00E523E2"/>
    <w:rsid w:val="00E52CF0"/>
    <w:rsid w:val="00E5322D"/>
    <w:rsid w:val="00E532C7"/>
    <w:rsid w:val="00E5330C"/>
    <w:rsid w:val="00E534C6"/>
    <w:rsid w:val="00E53967"/>
    <w:rsid w:val="00E53F73"/>
    <w:rsid w:val="00E541F3"/>
    <w:rsid w:val="00E546C6"/>
    <w:rsid w:val="00E546DA"/>
    <w:rsid w:val="00E548C7"/>
    <w:rsid w:val="00E54A37"/>
    <w:rsid w:val="00E54B1E"/>
    <w:rsid w:val="00E54C45"/>
    <w:rsid w:val="00E5545A"/>
    <w:rsid w:val="00E55696"/>
    <w:rsid w:val="00E556F7"/>
    <w:rsid w:val="00E5578F"/>
    <w:rsid w:val="00E55D5A"/>
    <w:rsid w:val="00E561DE"/>
    <w:rsid w:val="00E56347"/>
    <w:rsid w:val="00E56410"/>
    <w:rsid w:val="00E564DD"/>
    <w:rsid w:val="00E5650C"/>
    <w:rsid w:val="00E56DAC"/>
    <w:rsid w:val="00E56DCC"/>
    <w:rsid w:val="00E571BB"/>
    <w:rsid w:val="00E577C9"/>
    <w:rsid w:val="00E60147"/>
    <w:rsid w:val="00E603B9"/>
    <w:rsid w:val="00E6042B"/>
    <w:rsid w:val="00E60430"/>
    <w:rsid w:val="00E60774"/>
    <w:rsid w:val="00E6086D"/>
    <w:rsid w:val="00E6092E"/>
    <w:rsid w:val="00E60A84"/>
    <w:rsid w:val="00E60B92"/>
    <w:rsid w:val="00E61404"/>
    <w:rsid w:val="00E615CB"/>
    <w:rsid w:val="00E61990"/>
    <w:rsid w:val="00E61F08"/>
    <w:rsid w:val="00E620F9"/>
    <w:rsid w:val="00E62187"/>
    <w:rsid w:val="00E62740"/>
    <w:rsid w:val="00E62C15"/>
    <w:rsid w:val="00E62DFB"/>
    <w:rsid w:val="00E631AB"/>
    <w:rsid w:val="00E63760"/>
    <w:rsid w:val="00E637D7"/>
    <w:rsid w:val="00E6383D"/>
    <w:rsid w:val="00E638A3"/>
    <w:rsid w:val="00E63E86"/>
    <w:rsid w:val="00E6435E"/>
    <w:rsid w:val="00E643C6"/>
    <w:rsid w:val="00E64548"/>
    <w:rsid w:val="00E64B24"/>
    <w:rsid w:val="00E64D19"/>
    <w:rsid w:val="00E64DF4"/>
    <w:rsid w:val="00E65145"/>
    <w:rsid w:val="00E652D3"/>
    <w:rsid w:val="00E65370"/>
    <w:rsid w:val="00E655E8"/>
    <w:rsid w:val="00E65D52"/>
    <w:rsid w:val="00E6657E"/>
    <w:rsid w:val="00E665F9"/>
    <w:rsid w:val="00E666B9"/>
    <w:rsid w:val="00E6697E"/>
    <w:rsid w:val="00E669F6"/>
    <w:rsid w:val="00E66F79"/>
    <w:rsid w:val="00E67050"/>
    <w:rsid w:val="00E670C0"/>
    <w:rsid w:val="00E67128"/>
    <w:rsid w:val="00E675E0"/>
    <w:rsid w:val="00E67A21"/>
    <w:rsid w:val="00E67D88"/>
    <w:rsid w:val="00E70318"/>
    <w:rsid w:val="00E706CF"/>
    <w:rsid w:val="00E70957"/>
    <w:rsid w:val="00E70BF2"/>
    <w:rsid w:val="00E71C50"/>
    <w:rsid w:val="00E71D0A"/>
    <w:rsid w:val="00E71DDF"/>
    <w:rsid w:val="00E7229E"/>
    <w:rsid w:val="00E72538"/>
    <w:rsid w:val="00E72A82"/>
    <w:rsid w:val="00E73434"/>
    <w:rsid w:val="00E734C2"/>
    <w:rsid w:val="00E73B44"/>
    <w:rsid w:val="00E73BE1"/>
    <w:rsid w:val="00E74142"/>
    <w:rsid w:val="00E742D4"/>
    <w:rsid w:val="00E742F5"/>
    <w:rsid w:val="00E74435"/>
    <w:rsid w:val="00E7444B"/>
    <w:rsid w:val="00E746C7"/>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6ED1"/>
    <w:rsid w:val="00E774A2"/>
    <w:rsid w:val="00E77A79"/>
    <w:rsid w:val="00E77D4E"/>
    <w:rsid w:val="00E801BC"/>
    <w:rsid w:val="00E8079D"/>
    <w:rsid w:val="00E80898"/>
    <w:rsid w:val="00E80AF8"/>
    <w:rsid w:val="00E80EDA"/>
    <w:rsid w:val="00E810AC"/>
    <w:rsid w:val="00E81119"/>
    <w:rsid w:val="00E81149"/>
    <w:rsid w:val="00E816B3"/>
    <w:rsid w:val="00E817E4"/>
    <w:rsid w:val="00E81B1A"/>
    <w:rsid w:val="00E81CAE"/>
    <w:rsid w:val="00E82880"/>
    <w:rsid w:val="00E82958"/>
    <w:rsid w:val="00E829CA"/>
    <w:rsid w:val="00E82B73"/>
    <w:rsid w:val="00E831E5"/>
    <w:rsid w:val="00E83650"/>
    <w:rsid w:val="00E83E43"/>
    <w:rsid w:val="00E848C5"/>
    <w:rsid w:val="00E849C7"/>
    <w:rsid w:val="00E84B9A"/>
    <w:rsid w:val="00E8509A"/>
    <w:rsid w:val="00E8529E"/>
    <w:rsid w:val="00E858D1"/>
    <w:rsid w:val="00E85A30"/>
    <w:rsid w:val="00E85A5D"/>
    <w:rsid w:val="00E85EF5"/>
    <w:rsid w:val="00E860BF"/>
    <w:rsid w:val="00E864A7"/>
    <w:rsid w:val="00E86B7B"/>
    <w:rsid w:val="00E87496"/>
    <w:rsid w:val="00E874B0"/>
    <w:rsid w:val="00E874FA"/>
    <w:rsid w:val="00E87908"/>
    <w:rsid w:val="00E87AF3"/>
    <w:rsid w:val="00E900F1"/>
    <w:rsid w:val="00E9032F"/>
    <w:rsid w:val="00E9035E"/>
    <w:rsid w:val="00E90457"/>
    <w:rsid w:val="00E90533"/>
    <w:rsid w:val="00E90685"/>
    <w:rsid w:val="00E90744"/>
    <w:rsid w:val="00E90B49"/>
    <w:rsid w:val="00E90B9C"/>
    <w:rsid w:val="00E90D4C"/>
    <w:rsid w:val="00E91860"/>
    <w:rsid w:val="00E91C12"/>
    <w:rsid w:val="00E91E5B"/>
    <w:rsid w:val="00E92395"/>
    <w:rsid w:val="00E9256D"/>
    <w:rsid w:val="00E9283C"/>
    <w:rsid w:val="00E92AC9"/>
    <w:rsid w:val="00E92B67"/>
    <w:rsid w:val="00E92C15"/>
    <w:rsid w:val="00E932AE"/>
    <w:rsid w:val="00E937DD"/>
    <w:rsid w:val="00E93D55"/>
    <w:rsid w:val="00E9431A"/>
    <w:rsid w:val="00E9460B"/>
    <w:rsid w:val="00E9498C"/>
    <w:rsid w:val="00E9505D"/>
    <w:rsid w:val="00E9527E"/>
    <w:rsid w:val="00E954B7"/>
    <w:rsid w:val="00E95CEB"/>
    <w:rsid w:val="00E9627C"/>
    <w:rsid w:val="00E96768"/>
    <w:rsid w:val="00E96CCA"/>
    <w:rsid w:val="00E96E58"/>
    <w:rsid w:val="00E96FDB"/>
    <w:rsid w:val="00E976AC"/>
    <w:rsid w:val="00E9794E"/>
    <w:rsid w:val="00E97C19"/>
    <w:rsid w:val="00E97C3D"/>
    <w:rsid w:val="00E97CF8"/>
    <w:rsid w:val="00E97E43"/>
    <w:rsid w:val="00EA0075"/>
    <w:rsid w:val="00EA00F9"/>
    <w:rsid w:val="00EA031F"/>
    <w:rsid w:val="00EA032A"/>
    <w:rsid w:val="00EA033C"/>
    <w:rsid w:val="00EA059C"/>
    <w:rsid w:val="00EA074A"/>
    <w:rsid w:val="00EA0D29"/>
    <w:rsid w:val="00EA0E58"/>
    <w:rsid w:val="00EA107B"/>
    <w:rsid w:val="00EA1186"/>
    <w:rsid w:val="00EA1EA4"/>
    <w:rsid w:val="00EA1F7C"/>
    <w:rsid w:val="00EA2328"/>
    <w:rsid w:val="00EA23F6"/>
    <w:rsid w:val="00EA2662"/>
    <w:rsid w:val="00EA27FA"/>
    <w:rsid w:val="00EA2A96"/>
    <w:rsid w:val="00EA2E80"/>
    <w:rsid w:val="00EA34D0"/>
    <w:rsid w:val="00EA3575"/>
    <w:rsid w:val="00EA370F"/>
    <w:rsid w:val="00EA3CF7"/>
    <w:rsid w:val="00EA3ED8"/>
    <w:rsid w:val="00EA40A6"/>
    <w:rsid w:val="00EA4232"/>
    <w:rsid w:val="00EA43AA"/>
    <w:rsid w:val="00EA43EE"/>
    <w:rsid w:val="00EA44D4"/>
    <w:rsid w:val="00EA4645"/>
    <w:rsid w:val="00EA478E"/>
    <w:rsid w:val="00EA4D40"/>
    <w:rsid w:val="00EA595F"/>
    <w:rsid w:val="00EA59C6"/>
    <w:rsid w:val="00EA63C3"/>
    <w:rsid w:val="00EA64A8"/>
    <w:rsid w:val="00EA67B4"/>
    <w:rsid w:val="00EA6BA8"/>
    <w:rsid w:val="00EA6D62"/>
    <w:rsid w:val="00EA75E0"/>
    <w:rsid w:val="00EA76EE"/>
    <w:rsid w:val="00EA773D"/>
    <w:rsid w:val="00EA79F7"/>
    <w:rsid w:val="00EA7A27"/>
    <w:rsid w:val="00EA7AEE"/>
    <w:rsid w:val="00EA7F09"/>
    <w:rsid w:val="00EA7F9C"/>
    <w:rsid w:val="00EB0B21"/>
    <w:rsid w:val="00EB0BE2"/>
    <w:rsid w:val="00EB0E5A"/>
    <w:rsid w:val="00EB1029"/>
    <w:rsid w:val="00EB1098"/>
    <w:rsid w:val="00EB10AC"/>
    <w:rsid w:val="00EB13D5"/>
    <w:rsid w:val="00EB196D"/>
    <w:rsid w:val="00EB196F"/>
    <w:rsid w:val="00EB1ADA"/>
    <w:rsid w:val="00EB2100"/>
    <w:rsid w:val="00EB3295"/>
    <w:rsid w:val="00EB356D"/>
    <w:rsid w:val="00EB3CE5"/>
    <w:rsid w:val="00EB3D5C"/>
    <w:rsid w:val="00EB3F40"/>
    <w:rsid w:val="00EB404C"/>
    <w:rsid w:val="00EB47C0"/>
    <w:rsid w:val="00EB499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B03"/>
    <w:rsid w:val="00EC0DFD"/>
    <w:rsid w:val="00EC10A0"/>
    <w:rsid w:val="00EC1195"/>
    <w:rsid w:val="00EC1383"/>
    <w:rsid w:val="00EC13D0"/>
    <w:rsid w:val="00EC1591"/>
    <w:rsid w:val="00EC16C6"/>
    <w:rsid w:val="00EC16F1"/>
    <w:rsid w:val="00EC1A07"/>
    <w:rsid w:val="00EC1C8A"/>
    <w:rsid w:val="00EC1DFD"/>
    <w:rsid w:val="00EC20D8"/>
    <w:rsid w:val="00EC282D"/>
    <w:rsid w:val="00EC2840"/>
    <w:rsid w:val="00EC2B0D"/>
    <w:rsid w:val="00EC2E11"/>
    <w:rsid w:val="00EC3573"/>
    <w:rsid w:val="00EC3A28"/>
    <w:rsid w:val="00EC3F55"/>
    <w:rsid w:val="00EC419F"/>
    <w:rsid w:val="00EC44F6"/>
    <w:rsid w:val="00EC4AC8"/>
    <w:rsid w:val="00EC50A2"/>
    <w:rsid w:val="00EC518D"/>
    <w:rsid w:val="00EC52B8"/>
    <w:rsid w:val="00EC538C"/>
    <w:rsid w:val="00EC54F8"/>
    <w:rsid w:val="00EC5791"/>
    <w:rsid w:val="00EC57C6"/>
    <w:rsid w:val="00EC5FB8"/>
    <w:rsid w:val="00EC628D"/>
    <w:rsid w:val="00EC6763"/>
    <w:rsid w:val="00EC6A4E"/>
    <w:rsid w:val="00EC6C28"/>
    <w:rsid w:val="00EC6D0E"/>
    <w:rsid w:val="00EC6DFD"/>
    <w:rsid w:val="00EC6E10"/>
    <w:rsid w:val="00EC6E44"/>
    <w:rsid w:val="00EC6EF3"/>
    <w:rsid w:val="00EC7048"/>
    <w:rsid w:val="00EC71CB"/>
    <w:rsid w:val="00EC71D1"/>
    <w:rsid w:val="00EC769C"/>
    <w:rsid w:val="00EC76F3"/>
    <w:rsid w:val="00EC7797"/>
    <w:rsid w:val="00EC78BC"/>
    <w:rsid w:val="00EC7AD4"/>
    <w:rsid w:val="00EC7B10"/>
    <w:rsid w:val="00EC7D87"/>
    <w:rsid w:val="00EC7E17"/>
    <w:rsid w:val="00EC7F8F"/>
    <w:rsid w:val="00ED05D6"/>
    <w:rsid w:val="00ED060E"/>
    <w:rsid w:val="00ED06AB"/>
    <w:rsid w:val="00ED08C4"/>
    <w:rsid w:val="00ED0C6F"/>
    <w:rsid w:val="00ED0D88"/>
    <w:rsid w:val="00ED13D1"/>
    <w:rsid w:val="00ED1514"/>
    <w:rsid w:val="00ED1788"/>
    <w:rsid w:val="00ED1AA8"/>
    <w:rsid w:val="00ED233E"/>
    <w:rsid w:val="00ED272C"/>
    <w:rsid w:val="00ED29F2"/>
    <w:rsid w:val="00ED2D3B"/>
    <w:rsid w:val="00ED2FCC"/>
    <w:rsid w:val="00ED3028"/>
    <w:rsid w:val="00ED3191"/>
    <w:rsid w:val="00ED31F2"/>
    <w:rsid w:val="00ED3A81"/>
    <w:rsid w:val="00ED3F32"/>
    <w:rsid w:val="00ED4967"/>
    <w:rsid w:val="00ED4C12"/>
    <w:rsid w:val="00ED4E12"/>
    <w:rsid w:val="00ED50D8"/>
    <w:rsid w:val="00ED53B0"/>
    <w:rsid w:val="00ED5646"/>
    <w:rsid w:val="00ED585F"/>
    <w:rsid w:val="00ED5C64"/>
    <w:rsid w:val="00ED67CE"/>
    <w:rsid w:val="00ED751C"/>
    <w:rsid w:val="00ED7559"/>
    <w:rsid w:val="00ED7637"/>
    <w:rsid w:val="00ED7A84"/>
    <w:rsid w:val="00ED7B00"/>
    <w:rsid w:val="00ED7F3F"/>
    <w:rsid w:val="00EE0279"/>
    <w:rsid w:val="00EE0538"/>
    <w:rsid w:val="00EE05EC"/>
    <w:rsid w:val="00EE0625"/>
    <w:rsid w:val="00EE0A4C"/>
    <w:rsid w:val="00EE0B6E"/>
    <w:rsid w:val="00EE0DD6"/>
    <w:rsid w:val="00EE0F57"/>
    <w:rsid w:val="00EE0F97"/>
    <w:rsid w:val="00EE1046"/>
    <w:rsid w:val="00EE1B10"/>
    <w:rsid w:val="00EE1F65"/>
    <w:rsid w:val="00EE208C"/>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052"/>
    <w:rsid w:val="00EE53A1"/>
    <w:rsid w:val="00EE5A6B"/>
    <w:rsid w:val="00EE5B3C"/>
    <w:rsid w:val="00EE5F75"/>
    <w:rsid w:val="00EE63BE"/>
    <w:rsid w:val="00EE6972"/>
    <w:rsid w:val="00EE6A2B"/>
    <w:rsid w:val="00EE6B04"/>
    <w:rsid w:val="00EE6B89"/>
    <w:rsid w:val="00EE712F"/>
    <w:rsid w:val="00EE73B5"/>
    <w:rsid w:val="00EE79AF"/>
    <w:rsid w:val="00EF0024"/>
    <w:rsid w:val="00EF015A"/>
    <w:rsid w:val="00EF0799"/>
    <w:rsid w:val="00EF09CD"/>
    <w:rsid w:val="00EF1072"/>
    <w:rsid w:val="00EF10CC"/>
    <w:rsid w:val="00EF12C5"/>
    <w:rsid w:val="00EF15F5"/>
    <w:rsid w:val="00EF1C75"/>
    <w:rsid w:val="00EF1EB2"/>
    <w:rsid w:val="00EF2006"/>
    <w:rsid w:val="00EF21AF"/>
    <w:rsid w:val="00EF24F7"/>
    <w:rsid w:val="00EF2722"/>
    <w:rsid w:val="00EF2A35"/>
    <w:rsid w:val="00EF2B93"/>
    <w:rsid w:val="00EF2D81"/>
    <w:rsid w:val="00EF2DB3"/>
    <w:rsid w:val="00EF32AB"/>
    <w:rsid w:val="00EF363D"/>
    <w:rsid w:val="00EF375B"/>
    <w:rsid w:val="00EF377E"/>
    <w:rsid w:val="00EF3850"/>
    <w:rsid w:val="00EF40A5"/>
    <w:rsid w:val="00EF40BE"/>
    <w:rsid w:val="00EF416B"/>
    <w:rsid w:val="00EF41D3"/>
    <w:rsid w:val="00EF4469"/>
    <w:rsid w:val="00EF4AE4"/>
    <w:rsid w:val="00EF5107"/>
    <w:rsid w:val="00EF55E7"/>
    <w:rsid w:val="00EF5B55"/>
    <w:rsid w:val="00EF5CE4"/>
    <w:rsid w:val="00EF5E9A"/>
    <w:rsid w:val="00EF5EEA"/>
    <w:rsid w:val="00EF6294"/>
    <w:rsid w:val="00EF6601"/>
    <w:rsid w:val="00EF6805"/>
    <w:rsid w:val="00EF696D"/>
    <w:rsid w:val="00EF6BA9"/>
    <w:rsid w:val="00EF6D9B"/>
    <w:rsid w:val="00EF6EAE"/>
    <w:rsid w:val="00EF711F"/>
    <w:rsid w:val="00EF730B"/>
    <w:rsid w:val="00EF768F"/>
    <w:rsid w:val="00EF77A2"/>
    <w:rsid w:val="00EF78A0"/>
    <w:rsid w:val="00EF7CF2"/>
    <w:rsid w:val="00EF7D85"/>
    <w:rsid w:val="00EF7F1C"/>
    <w:rsid w:val="00EF7F31"/>
    <w:rsid w:val="00F00508"/>
    <w:rsid w:val="00F00B2E"/>
    <w:rsid w:val="00F00C93"/>
    <w:rsid w:val="00F00F59"/>
    <w:rsid w:val="00F01490"/>
    <w:rsid w:val="00F01820"/>
    <w:rsid w:val="00F0193F"/>
    <w:rsid w:val="00F01C5B"/>
    <w:rsid w:val="00F01CB6"/>
    <w:rsid w:val="00F01CD1"/>
    <w:rsid w:val="00F01E52"/>
    <w:rsid w:val="00F02473"/>
    <w:rsid w:val="00F0256E"/>
    <w:rsid w:val="00F02872"/>
    <w:rsid w:val="00F02DCB"/>
    <w:rsid w:val="00F0319D"/>
    <w:rsid w:val="00F0389E"/>
    <w:rsid w:val="00F04078"/>
    <w:rsid w:val="00F04286"/>
    <w:rsid w:val="00F042DC"/>
    <w:rsid w:val="00F04309"/>
    <w:rsid w:val="00F0448B"/>
    <w:rsid w:val="00F0463B"/>
    <w:rsid w:val="00F046BD"/>
    <w:rsid w:val="00F0486E"/>
    <w:rsid w:val="00F048EB"/>
    <w:rsid w:val="00F04D63"/>
    <w:rsid w:val="00F04E40"/>
    <w:rsid w:val="00F04E72"/>
    <w:rsid w:val="00F0526B"/>
    <w:rsid w:val="00F0576E"/>
    <w:rsid w:val="00F057C2"/>
    <w:rsid w:val="00F0584D"/>
    <w:rsid w:val="00F05999"/>
    <w:rsid w:val="00F059AB"/>
    <w:rsid w:val="00F05AEE"/>
    <w:rsid w:val="00F05B05"/>
    <w:rsid w:val="00F06322"/>
    <w:rsid w:val="00F06894"/>
    <w:rsid w:val="00F06906"/>
    <w:rsid w:val="00F06C35"/>
    <w:rsid w:val="00F06DDD"/>
    <w:rsid w:val="00F07099"/>
    <w:rsid w:val="00F070E3"/>
    <w:rsid w:val="00F074FA"/>
    <w:rsid w:val="00F07A90"/>
    <w:rsid w:val="00F07B75"/>
    <w:rsid w:val="00F102A7"/>
    <w:rsid w:val="00F105EA"/>
    <w:rsid w:val="00F107E1"/>
    <w:rsid w:val="00F10918"/>
    <w:rsid w:val="00F10A2F"/>
    <w:rsid w:val="00F10B8A"/>
    <w:rsid w:val="00F10DCF"/>
    <w:rsid w:val="00F10F10"/>
    <w:rsid w:val="00F1106A"/>
    <w:rsid w:val="00F1109A"/>
    <w:rsid w:val="00F11117"/>
    <w:rsid w:val="00F111B8"/>
    <w:rsid w:val="00F112B0"/>
    <w:rsid w:val="00F11304"/>
    <w:rsid w:val="00F11768"/>
    <w:rsid w:val="00F11D55"/>
    <w:rsid w:val="00F11DC7"/>
    <w:rsid w:val="00F11E7B"/>
    <w:rsid w:val="00F11FA7"/>
    <w:rsid w:val="00F12541"/>
    <w:rsid w:val="00F13580"/>
    <w:rsid w:val="00F13586"/>
    <w:rsid w:val="00F13C6E"/>
    <w:rsid w:val="00F14271"/>
    <w:rsid w:val="00F143EE"/>
    <w:rsid w:val="00F14435"/>
    <w:rsid w:val="00F14C45"/>
    <w:rsid w:val="00F14F2C"/>
    <w:rsid w:val="00F1510D"/>
    <w:rsid w:val="00F15233"/>
    <w:rsid w:val="00F15618"/>
    <w:rsid w:val="00F15819"/>
    <w:rsid w:val="00F15E91"/>
    <w:rsid w:val="00F161FF"/>
    <w:rsid w:val="00F164D2"/>
    <w:rsid w:val="00F16E72"/>
    <w:rsid w:val="00F16F98"/>
    <w:rsid w:val="00F1701F"/>
    <w:rsid w:val="00F1735C"/>
    <w:rsid w:val="00F17473"/>
    <w:rsid w:val="00F178FF"/>
    <w:rsid w:val="00F1792A"/>
    <w:rsid w:val="00F17C97"/>
    <w:rsid w:val="00F17F93"/>
    <w:rsid w:val="00F203F0"/>
    <w:rsid w:val="00F20442"/>
    <w:rsid w:val="00F204E3"/>
    <w:rsid w:val="00F2064C"/>
    <w:rsid w:val="00F20AC9"/>
    <w:rsid w:val="00F20B53"/>
    <w:rsid w:val="00F20B5F"/>
    <w:rsid w:val="00F21056"/>
    <w:rsid w:val="00F21961"/>
    <w:rsid w:val="00F21A42"/>
    <w:rsid w:val="00F21BA6"/>
    <w:rsid w:val="00F21C71"/>
    <w:rsid w:val="00F21C8A"/>
    <w:rsid w:val="00F21D12"/>
    <w:rsid w:val="00F21FB3"/>
    <w:rsid w:val="00F22035"/>
    <w:rsid w:val="00F22547"/>
    <w:rsid w:val="00F2291C"/>
    <w:rsid w:val="00F22A18"/>
    <w:rsid w:val="00F22C19"/>
    <w:rsid w:val="00F22D18"/>
    <w:rsid w:val="00F22FD6"/>
    <w:rsid w:val="00F2300F"/>
    <w:rsid w:val="00F23350"/>
    <w:rsid w:val="00F23434"/>
    <w:rsid w:val="00F235FB"/>
    <w:rsid w:val="00F23664"/>
    <w:rsid w:val="00F2367A"/>
    <w:rsid w:val="00F23880"/>
    <w:rsid w:val="00F23F3C"/>
    <w:rsid w:val="00F24351"/>
    <w:rsid w:val="00F24450"/>
    <w:rsid w:val="00F24B44"/>
    <w:rsid w:val="00F2521E"/>
    <w:rsid w:val="00F25642"/>
    <w:rsid w:val="00F259E8"/>
    <w:rsid w:val="00F25B50"/>
    <w:rsid w:val="00F25D28"/>
    <w:rsid w:val="00F26073"/>
    <w:rsid w:val="00F26137"/>
    <w:rsid w:val="00F26270"/>
    <w:rsid w:val="00F26385"/>
    <w:rsid w:val="00F2678A"/>
    <w:rsid w:val="00F267AE"/>
    <w:rsid w:val="00F26AA8"/>
    <w:rsid w:val="00F26AF2"/>
    <w:rsid w:val="00F26B6B"/>
    <w:rsid w:val="00F26C5E"/>
    <w:rsid w:val="00F2771B"/>
    <w:rsid w:val="00F27CC4"/>
    <w:rsid w:val="00F27D48"/>
    <w:rsid w:val="00F27F2A"/>
    <w:rsid w:val="00F3026A"/>
    <w:rsid w:val="00F3039A"/>
    <w:rsid w:val="00F304E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AF4"/>
    <w:rsid w:val="00F32F13"/>
    <w:rsid w:val="00F33242"/>
    <w:rsid w:val="00F33F9F"/>
    <w:rsid w:val="00F34042"/>
    <w:rsid w:val="00F34216"/>
    <w:rsid w:val="00F34FC3"/>
    <w:rsid w:val="00F357BC"/>
    <w:rsid w:val="00F361D0"/>
    <w:rsid w:val="00F368E6"/>
    <w:rsid w:val="00F369C2"/>
    <w:rsid w:val="00F36C87"/>
    <w:rsid w:val="00F36E5C"/>
    <w:rsid w:val="00F376F4"/>
    <w:rsid w:val="00F37AAC"/>
    <w:rsid w:val="00F37C04"/>
    <w:rsid w:val="00F37C68"/>
    <w:rsid w:val="00F37D6F"/>
    <w:rsid w:val="00F40432"/>
    <w:rsid w:val="00F40460"/>
    <w:rsid w:val="00F40485"/>
    <w:rsid w:val="00F406CC"/>
    <w:rsid w:val="00F407C7"/>
    <w:rsid w:val="00F40D7D"/>
    <w:rsid w:val="00F4165C"/>
    <w:rsid w:val="00F41869"/>
    <w:rsid w:val="00F41A52"/>
    <w:rsid w:val="00F41E2A"/>
    <w:rsid w:val="00F41E31"/>
    <w:rsid w:val="00F420C8"/>
    <w:rsid w:val="00F424B2"/>
    <w:rsid w:val="00F4256F"/>
    <w:rsid w:val="00F42627"/>
    <w:rsid w:val="00F42688"/>
    <w:rsid w:val="00F427F0"/>
    <w:rsid w:val="00F42C4B"/>
    <w:rsid w:val="00F4325B"/>
    <w:rsid w:val="00F4348E"/>
    <w:rsid w:val="00F439C9"/>
    <w:rsid w:val="00F43DE0"/>
    <w:rsid w:val="00F44339"/>
    <w:rsid w:val="00F4433B"/>
    <w:rsid w:val="00F44A07"/>
    <w:rsid w:val="00F44CA3"/>
    <w:rsid w:val="00F44EC9"/>
    <w:rsid w:val="00F45135"/>
    <w:rsid w:val="00F45218"/>
    <w:rsid w:val="00F468D3"/>
    <w:rsid w:val="00F46927"/>
    <w:rsid w:val="00F47062"/>
    <w:rsid w:val="00F4771A"/>
    <w:rsid w:val="00F504F3"/>
    <w:rsid w:val="00F50999"/>
    <w:rsid w:val="00F50EDF"/>
    <w:rsid w:val="00F51129"/>
    <w:rsid w:val="00F51302"/>
    <w:rsid w:val="00F51396"/>
    <w:rsid w:val="00F51529"/>
    <w:rsid w:val="00F516DA"/>
    <w:rsid w:val="00F51AA5"/>
    <w:rsid w:val="00F51C6A"/>
    <w:rsid w:val="00F51C8A"/>
    <w:rsid w:val="00F51C95"/>
    <w:rsid w:val="00F51D13"/>
    <w:rsid w:val="00F52108"/>
    <w:rsid w:val="00F52406"/>
    <w:rsid w:val="00F5247A"/>
    <w:rsid w:val="00F5270A"/>
    <w:rsid w:val="00F53237"/>
    <w:rsid w:val="00F5385F"/>
    <w:rsid w:val="00F538BE"/>
    <w:rsid w:val="00F53CC4"/>
    <w:rsid w:val="00F53EC8"/>
    <w:rsid w:val="00F53EDE"/>
    <w:rsid w:val="00F543CC"/>
    <w:rsid w:val="00F54498"/>
    <w:rsid w:val="00F5493B"/>
    <w:rsid w:val="00F54E50"/>
    <w:rsid w:val="00F5507D"/>
    <w:rsid w:val="00F55097"/>
    <w:rsid w:val="00F556E3"/>
    <w:rsid w:val="00F55854"/>
    <w:rsid w:val="00F55A50"/>
    <w:rsid w:val="00F55A97"/>
    <w:rsid w:val="00F55CEC"/>
    <w:rsid w:val="00F5609A"/>
    <w:rsid w:val="00F5634E"/>
    <w:rsid w:val="00F56813"/>
    <w:rsid w:val="00F5686F"/>
    <w:rsid w:val="00F56FAE"/>
    <w:rsid w:val="00F57BEC"/>
    <w:rsid w:val="00F57F4B"/>
    <w:rsid w:val="00F600BC"/>
    <w:rsid w:val="00F60257"/>
    <w:rsid w:val="00F60B3A"/>
    <w:rsid w:val="00F60B8D"/>
    <w:rsid w:val="00F60CA1"/>
    <w:rsid w:val="00F60F15"/>
    <w:rsid w:val="00F6101D"/>
    <w:rsid w:val="00F6180A"/>
    <w:rsid w:val="00F621EF"/>
    <w:rsid w:val="00F625F4"/>
    <w:rsid w:val="00F6279C"/>
    <w:rsid w:val="00F627EF"/>
    <w:rsid w:val="00F62D42"/>
    <w:rsid w:val="00F62DDB"/>
    <w:rsid w:val="00F62EDF"/>
    <w:rsid w:val="00F63515"/>
    <w:rsid w:val="00F63565"/>
    <w:rsid w:val="00F636AC"/>
    <w:rsid w:val="00F63B8F"/>
    <w:rsid w:val="00F63DC4"/>
    <w:rsid w:val="00F63F59"/>
    <w:rsid w:val="00F6422C"/>
    <w:rsid w:val="00F642DE"/>
    <w:rsid w:val="00F64584"/>
    <w:rsid w:val="00F64905"/>
    <w:rsid w:val="00F64A79"/>
    <w:rsid w:val="00F64B3B"/>
    <w:rsid w:val="00F64FA9"/>
    <w:rsid w:val="00F6534F"/>
    <w:rsid w:val="00F65413"/>
    <w:rsid w:val="00F656A6"/>
    <w:rsid w:val="00F656E3"/>
    <w:rsid w:val="00F65A32"/>
    <w:rsid w:val="00F65CFF"/>
    <w:rsid w:val="00F66298"/>
    <w:rsid w:val="00F663EB"/>
    <w:rsid w:val="00F66556"/>
    <w:rsid w:val="00F66617"/>
    <w:rsid w:val="00F66EFB"/>
    <w:rsid w:val="00F67053"/>
    <w:rsid w:val="00F67450"/>
    <w:rsid w:val="00F70110"/>
    <w:rsid w:val="00F7011F"/>
    <w:rsid w:val="00F707C2"/>
    <w:rsid w:val="00F711DA"/>
    <w:rsid w:val="00F718A1"/>
    <w:rsid w:val="00F71A2D"/>
    <w:rsid w:val="00F71B9E"/>
    <w:rsid w:val="00F71E9A"/>
    <w:rsid w:val="00F720F4"/>
    <w:rsid w:val="00F721A0"/>
    <w:rsid w:val="00F7233D"/>
    <w:rsid w:val="00F723EF"/>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388"/>
    <w:rsid w:val="00F754C2"/>
    <w:rsid w:val="00F75843"/>
    <w:rsid w:val="00F75A5A"/>
    <w:rsid w:val="00F77475"/>
    <w:rsid w:val="00F77498"/>
    <w:rsid w:val="00F80037"/>
    <w:rsid w:val="00F800B8"/>
    <w:rsid w:val="00F80131"/>
    <w:rsid w:val="00F8031E"/>
    <w:rsid w:val="00F80496"/>
    <w:rsid w:val="00F80662"/>
    <w:rsid w:val="00F80866"/>
    <w:rsid w:val="00F80A88"/>
    <w:rsid w:val="00F80B4E"/>
    <w:rsid w:val="00F80F5A"/>
    <w:rsid w:val="00F80F6B"/>
    <w:rsid w:val="00F81498"/>
    <w:rsid w:val="00F817CB"/>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59A"/>
    <w:rsid w:val="00F848F9"/>
    <w:rsid w:val="00F85721"/>
    <w:rsid w:val="00F85B1B"/>
    <w:rsid w:val="00F85EB7"/>
    <w:rsid w:val="00F85F5C"/>
    <w:rsid w:val="00F85F71"/>
    <w:rsid w:val="00F86028"/>
    <w:rsid w:val="00F860DC"/>
    <w:rsid w:val="00F8626D"/>
    <w:rsid w:val="00F863A8"/>
    <w:rsid w:val="00F86519"/>
    <w:rsid w:val="00F86636"/>
    <w:rsid w:val="00F86799"/>
    <w:rsid w:val="00F86903"/>
    <w:rsid w:val="00F86928"/>
    <w:rsid w:val="00F86B66"/>
    <w:rsid w:val="00F86F78"/>
    <w:rsid w:val="00F877FF"/>
    <w:rsid w:val="00F878B4"/>
    <w:rsid w:val="00F879DA"/>
    <w:rsid w:val="00F87AC6"/>
    <w:rsid w:val="00F87CB2"/>
    <w:rsid w:val="00F87CCC"/>
    <w:rsid w:val="00F902DB"/>
    <w:rsid w:val="00F90311"/>
    <w:rsid w:val="00F90C41"/>
    <w:rsid w:val="00F91011"/>
    <w:rsid w:val="00F9134C"/>
    <w:rsid w:val="00F9170D"/>
    <w:rsid w:val="00F91AD1"/>
    <w:rsid w:val="00F920C9"/>
    <w:rsid w:val="00F926E2"/>
    <w:rsid w:val="00F92734"/>
    <w:rsid w:val="00F932D3"/>
    <w:rsid w:val="00F935A7"/>
    <w:rsid w:val="00F93824"/>
    <w:rsid w:val="00F93B52"/>
    <w:rsid w:val="00F93D18"/>
    <w:rsid w:val="00F93D70"/>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88E"/>
    <w:rsid w:val="00F96E89"/>
    <w:rsid w:val="00F971B0"/>
    <w:rsid w:val="00F9733D"/>
    <w:rsid w:val="00F97691"/>
    <w:rsid w:val="00F97A46"/>
    <w:rsid w:val="00F97A61"/>
    <w:rsid w:val="00F97CB8"/>
    <w:rsid w:val="00F97F1E"/>
    <w:rsid w:val="00FA0597"/>
    <w:rsid w:val="00FA07D3"/>
    <w:rsid w:val="00FA0840"/>
    <w:rsid w:val="00FA0B4B"/>
    <w:rsid w:val="00FA15C8"/>
    <w:rsid w:val="00FA1640"/>
    <w:rsid w:val="00FA16FC"/>
    <w:rsid w:val="00FA1B7A"/>
    <w:rsid w:val="00FA1E1C"/>
    <w:rsid w:val="00FA21D5"/>
    <w:rsid w:val="00FA2A68"/>
    <w:rsid w:val="00FA2C5D"/>
    <w:rsid w:val="00FA2D86"/>
    <w:rsid w:val="00FA348C"/>
    <w:rsid w:val="00FA39D5"/>
    <w:rsid w:val="00FA3D87"/>
    <w:rsid w:val="00FA3EBD"/>
    <w:rsid w:val="00FA463F"/>
    <w:rsid w:val="00FA4AED"/>
    <w:rsid w:val="00FA4C57"/>
    <w:rsid w:val="00FA4F25"/>
    <w:rsid w:val="00FA515B"/>
    <w:rsid w:val="00FA53D8"/>
    <w:rsid w:val="00FA5721"/>
    <w:rsid w:val="00FA6201"/>
    <w:rsid w:val="00FA645E"/>
    <w:rsid w:val="00FA6674"/>
    <w:rsid w:val="00FA6792"/>
    <w:rsid w:val="00FA679E"/>
    <w:rsid w:val="00FA6961"/>
    <w:rsid w:val="00FA6A7C"/>
    <w:rsid w:val="00FA733D"/>
    <w:rsid w:val="00FA7542"/>
    <w:rsid w:val="00FA7EB1"/>
    <w:rsid w:val="00FB0185"/>
    <w:rsid w:val="00FB01D3"/>
    <w:rsid w:val="00FB0276"/>
    <w:rsid w:val="00FB027A"/>
    <w:rsid w:val="00FB045F"/>
    <w:rsid w:val="00FB0A85"/>
    <w:rsid w:val="00FB0AD8"/>
    <w:rsid w:val="00FB0C38"/>
    <w:rsid w:val="00FB0E05"/>
    <w:rsid w:val="00FB12DE"/>
    <w:rsid w:val="00FB16A9"/>
    <w:rsid w:val="00FB1A3B"/>
    <w:rsid w:val="00FB20E7"/>
    <w:rsid w:val="00FB298A"/>
    <w:rsid w:val="00FB2AC3"/>
    <w:rsid w:val="00FB2C77"/>
    <w:rsid w:val="00FB2DBD"/>
    <w:rsid w:val="00FB2E17"/>
    <w:rsid w:val="00FB2E47"/>
    <w:rsid w:val="00FB363C"/>
    <w:rsid w:val="00FB37EA"/>
    <w:rsid w:val="00FB3802"/>
    <w:rsid w:val="00FB39F1"/>
    <w:rsid w:val="00FB39FC"/>
    <w:rsid w:val="00FB3B48"/>
    <w:rsid w:val="00FB3D71"/>
    <w:rsid w:val="00FB404B"/>
    <w:rsid w:val="00FB45E7"/>
    <w:rsid w:val="00FB4A29"/>
    <w:rsid w:val="00FB4C1F"/>
    <w:rsid w:val="00FB4C99"/>
    <w:rsid w:val="00FB4D6C"/>
    <w:rsid w:val="00FB4DBB"/>
    <w:rsid w:val="00FB4E94"/>
    <w:rsid w:val="00FB5526"/>
    <w:rsid w:val="00FB552F"/>
    <w:rsid w:val="00FB5753"/>
    <w:rsid w:val="00FB58C0"/>
    <w:rsid w:val="00FB599B"/>
    <w:rsid w:val="00FB59C2"/>
    <w:rsid w:val="00FB5A94"/>
    <w:rsid w:val="00FB5E1E"/>
    <w:rsid w:val="00FB5F97"/>
    <w:rsid w:val="00FB64FC"/>
    <w:rsid w:val="00FB66E4"/>
    <w:rsid w:val="00FB6C5B"/>
    <w:rsid w:val="00FB6E68"/>
    <w:rsid w:val="00FB7274"/>
    <w:rsid w:val="00FB7337"/>
    <w:rsid w:val="00FB7453"/>
    <w:rsid w:val="00FB748F"/>
    <w:rsid w:val="00FB7622"/>
    <w:rsid w:val="00FB792A"/>
    <w:rsid w:val="00FB7A57"/>
    <w:rsid w:val="00FB7B0F"/>
    <w:rsid w:val="00FB7D3F"/>
    <w:rsid w:val="00FC023D"/>
    <w:rsid w:val="00FC0BFA"/>
    <w:rsid w:val="00FC13AD"/>
    <w:rsid w:val="00FC13CD"/>
    <w:rsid w:val="00FC13E5"/>
    <w:rsid w:val="00FC1510"/>
    <w:rsid w:val="00FC1717"/>
    <w:rsid w:val="00FC195C"/>
    <w:rsid w:val="00FC1A06"/>
    <w:rsid w:val="00FC1B86"/>
    <w:rsid w:val="00FC1D33"/>
    <w:rsid w:val="00FC1FFE"/>
    <w:rsid w:val="00FC2007"/>
    <w:rsid w:val="00FC21E3"/>
    <w:rsid w:val="00FC244B"/>
    <w:rsid w:val="00FC28B1"/>
    <w:rsid w:val="00FC2910"/>
    <w:rsid w:val="00FC2974"/>
    <w:rsid w:val="00FC2F43"/>
    <w:rsid w:val="00FC3557"/>
    <w:rsid w:val="00FC36EE"/>
    <w:rsid w:val="00FC3A39"/>
    <w:rsid w:val="00FC3BED"/>
    <w:rsid w:val="00FC43D1"/>
    <w:rsid w:val="00FC45A5"/>
    <w:rsid w:val="00FC46CA"/>
    <w:rsid w:val="00FC4C42"/>
    <w:rsid w:val="00FC4CF8"/>
    <w:rsid w:val="00FC531B"/>
    <w:rsid w:val="00FC5701"/>
    <w:rsid w:val="00FC5757"/>
    <w:rsid w:val="00FC59AD"/>
    <w:rsid w:val="00FC6E35"/>
    <w:rsid w:val="00FC7206"/>
    <w:rsid w:val="00FC7740"/>
    <w:rsid w:val="00FC791C"/>
    <w:rsid w:val="00FC7D7A"/>
    <w:rsid w:val="00FD00AA"/>
    <w:rsid w:val="00FD0147"/>
    <w:rsid w:val="00FD019D"/>
    <w:rsid w:val="00FD0423"/>
    <w:rsid w:val="00FD05BA"/>
    <w:rsid w:val="00FD08D4"/>
    <w:rsid w:val="00FD0C68"/>
    <w:rsid w:val="00FD1065"/>
    <w:rsid w:val="00FD10FE"/>
    <w:rsid w:val="00FD1749"/>
    <w:rsid w:val="00FD1954"/>
    <w:rsid w:val="00FD1C19"/>
    <w:rsid w:val="00FD1C2B"/>
    <w:rsid w:val="00FD2050"/>
    <w:rsid w:val="00FD2393"/>
    <w:rsid w:val="00FD2457"/>
    <w:rsid w:val="00FD24DE"/>
    <w:rsid w:val="00FD260F"/>
    <w:rsid w:val="00FD2A4F"/>
    <w:rsid w:val="00FD2E37"/>
    <w:rsid w:val="00FD3108"/>
    <w:rsid w:val="00FD370D"/>
    <w:rsid w:val="00FD3927"/>
    <w:rsid w:val="00FD3B01"/>
    <w:rsid w:val="00FD45BD"/>
    <w:rsid w:val="00FD4DD6"/>
    <w:rsid w:val="00FD51F3"/>
    <w:rsid w:val="00FD5358"/>
    <w:rsid w:val="00FD5907"/>
    <w:rsid w:val="00FD592E"/>
    <w:rsid w:val="00FD5A75"/>
    <w:rsid w:val="00FD5F63"/>
    <w:rsid w:val="00FD639B"/>
    <w:rsid w:val="00FD6476"/>
    <w:rsid w:val="00FD6AEB"/>
    <w:rsid w:val="00FD6B8A"/>
    <w:rsid w:val="00FD6C12"/>
    <w:rsid w:val="00FD6DE4"/>
    <w:rsid w:val="00FD717A"/>
    <w:rsid w:val="00FD71EB"/>
    <w:rsid w:val="00FD7374"/>
    <w:rsid w:val="00FD74B9"/>
    <w:rsid w:val="00FD7546"/>
    <w:rsid w:val="00FD777D"/>
    <w:rsid w:val="00FD795A"/>
    <w:rsid w:val="00FD79E4"/>
    <w:rsid w:val="00FD7DAB"/>
    <w:rsid w:val="00FD7FC7"/>
    <w:rsid w:val="00FE0249"/>
    <w:rsid w:val="00FE030E"/>
    <w:rsid w:val="00FE032C"/>
    <w:rsid w:val="00FE040A"/>
    <w:rsid w:val="00FE0471"/>
    <w:rsid w:val="00FE09B1"/>
    <w:rsid w:val="00FE0C45"/>
    <w:rsid w:val="00FE0C87"/>
    <w:rsid w:val="00FE0D40"/>
    <w:rsid w:val="00FE0DAB"/>
    <w:rsid w:val="00FE136C"/>
    <w:rsid w:val="00FE1406"/>
    <w:rsid w:val="00FE1A7F"/>
    <w:rsid w:val="00FE1AC3"/>
    <w:rsid w:val="00FE1EC3"/>
    <w:rsid w:val="00FE21B4"/>
    <w:rsid w:val="00FE23E4"/>
    <w:rsid w:val="00FE2459"/>
    <w:rsid w:val="00FE24FF"/>
    <w:rsid w:val="00FE253B"/>
    <w:rsid w:val="00FE27C2"/>
    <w:rsid w:val="00FE28F2"/>
    <w:rsid w:val="00FE2C17"/>
    <w:rsid w:val="00FE32D6"/>
    <w:rsid w:val="00FE346D"/>
    <w:rsid w:val="00FE3496"/>
    <w:rsid w:val="00FE39C8"/>
    <w:rsid w:val="00FE3E6C"/>
    <w:rsid w:val="00FE434D"/>
    <w:rsid w:val="00FE47AE"/>
    <w:rsid w:val="00FE48E8"/>
    <w:rsid w:val="00FE4955"/>
    <w:rsid w:val="00FE4B98"/>
    <w:rsid w:val="00FE4D0B"/>
    <w:rsid w:val="00FE5131"/>
    <w:rsid w:val="00FE518B"/>
    <w:rsid w:val="00FE5705"/>
    <w:rsid w:val="00FE5C60"/>
    <w:rsid w:val="00FE699F"/>
    <w:rsid w:val="00FE69B9"/>
    <w:rsid w:val="00FE6DFE"/>
    <w:rsid w:val="00FE71D5"/>
    <w:rsid w:val="00FE736A"/>
    <w:rsid w:val="00FE7446"/>
    <w:rsid w:val="00FE7449"/>
    <w:rsid w:val="00FE7E05"/>
    <w:rsid w:val="00FE7E4E"/>
    <w:rsid w:val="00FE7FAF"/>
    <w:rsid w:val="00FE7FE0"/>
    <w:rsid w:val="00FF00DA"/>
    <w:rsid w:val="00FF01D7"/>
    <w:rsid w:val="00FF02CF"/>
    <w:rsid w:val="00FF03BD"/>
    <w:rsid w:val="00FF0402"/>
    <w:rsid w:val="00FF0406"/>
    <w:rsid w:val="00FF050E"/>
    <w:rsid w:val="00FF072F"/>
    <w:rsid w:val="00FF0841"/>
    <w:rsid w:val="00FF0941"/>
    <w:rsid w:val="00FF09C7"/>
    <w:rsid w:val="00FF0A81"/>
    <w:rsid w:val="00FF0B6F"/>
    <w:rsid w:val="00FF0DA3"/>
    <w:rsid w:val="00FF0DF0"/>
    <w:rsid w:val="00FF1027"/>
    <w:rsid w:val="00FF1589"/>
    <w:rsid w:val="00FF15AE"/>
    <w:rsid w:val="00FF15B5"/>
    <w:rsid w:val="00FF18DF"/>
    <w:rsid w:val="00FF1A4E"/>
    <w:rsid w:val="00FF1A6F"/>
    <w:rsid w:val="00FF1CBE"/>
    <w:rsid w:val="00FF1D48"/>
    <w:rsid w:val="00FF1F04"/>
    <w:rsid w:val="00FF20D7"/>
    <w:rsid w:val="00FF246E"/>
    <w:rsid w:val="00FF24DC"/>
    <w:rsid w:val="00FF296F"/>
    <w:rsid w:val="00FF2B14"/>
    <w:rsid w:val="00FF2D85"/>
    <w:rsid w:val="00FF35B8"/>
    <w:rsid w:val="00FF3733"/>
    <w:rsid w:val="00FF3ED1"/>
    <w:rsid w:val="00FF3FF2"/>
    <w:rsid w:val="00FF4613"/>
    <w:rsid w:val="00FF477B"/>
    <w:rsid w:val="00FF4882"/>
    <w:rsid w:val="00FF489E"/>
    <w:rsid w:val="00FF534A"/>
    <w:rsid w:val="00FF5373"/>
    <w:rsid w:val="00FF55B1"/>
    <w:rsid w:val="00FF5937"/>
    <w:rsid w:val="00FF6658"/>
    <w:rsid w:val="00FF763C"/>
    <w:rsid w:val="00FF7707"/>
    <w:rsid w:val="00FF7DFE"/>
    <w:rsid w:val="00FF7F6A"/>
    <w:rsid w:val="0110E7F4"/>
    <w:rsid w:val="015AFC1F"/>
    <w:rsid w:val="0164045A"/>
    <w:rsid w:val="0184CE6E"/>
    <w:rsid w:val="0191D4D8"/>
    <w:rsid w:val="01C74067"/>
    <w:rsid w:val="01CBF334"/>
    <w:rsid w:val="02047142"/>
    <w:rsid w:val="021A85B8"/>
    <w:rsid w:val="02484B81"/>
    <w:rsid w:val="027AE8C6"/>
    <w:rsid w:val="02B0DC94"/>
    <w:rsid w:val="02E401F0"/>
    <w:rsid w:val="03082504"/>
    <w:rsid w:val="03116516"/>
    <w:rsid w:val="031239E4"/>
    <w:rsid w:val="031D29E5"/>
    <w:rsid w:val="033BAECB"/>
    <w:rsid w:val="03CC7CBF"/>
    <w:rsid w:val="03FDA9EA"/>
    <w:rsid w:val="0434C993"/>
    <w:rsid w:val="046B21F2"/>
    <w:rsid w:val="0482584C"/>
    <w:rsid w:val="04A53EB9"/>
    <w:rsid w:val="04B8132F"/>
    <w:rsid w:val="04DC5985"/>
    <w:rsid w:val="04E86FEB"/>
    <w:rsid w:val="04F325A4"/>
    <w:rsid w:val="0508E4E6"/>
    <w:rsid w:val="052EAC96"/>
    <w:rsid w:val="05348E09"/>
    <w:rsid w:val="0536C873"/>
    <w:rsid w:val="053733D3"/>
    <w:rsid w:val="0552D6DF"/>
    <w:rsid w:val="0574406B"/>
    <w:rsid w:val="057A4EFD"/>
    <w:rsid w:val="058931D9"/>
    <w:rsid w:val="059CF5BA"/>
    <w:rsid w:val="0697B80C"/>
    <w:rsid w:val="069B63A1"/>
    <w:rsid w:val="06B02511"/>
    <w:rsid w:val="06C47FAC"/>
    <w:rsid w:val="06C8DCEF"/>
    <w:rsid w:val="06CF02DE"/>
    <w:rsid w:val="06D12C32"/>
    <w:rsid w:val="07192543"/>
    <w:rsid w:val="071C9071"/>
    <w:rsid w:val="071D0C25"/>
    <w:rsid w:val="07593A35"/>
    <w:rsid w:val="07A70374"/>
    <w:rsid w:val="07CD677E"/>
    <w:rsid w:val="07E3F405"/>
    <w:rsid w:val="07E96041"/>
    <w:rsid w:val="07FBC52D"/>
    <w:rsid w:val="0813BD10"/>
    <w:rsid w:val="083C204C"/>
    <w:rsid w:val="0843A845"/>
    <w:rsid w:val="08502B7F"/>
    <w:rsid w:val="0889D962"/>
    <w:rsid w:val="0896E372"/>
    <w:rsid w:val="089C836F"/>
    <w:rsid w:val="08AC99F3"/>
    <w:rsid w:val="08C95C96"/>
    <w:rsid w:val="08F8F208"/>
    <w:rsid w:val="0913D3A9"/>
    <w:rsid w:val="091A30D3"/>
    <w:rsid w:val="092EF7AB"/>
    <w:rsid w:val="09831B47"/>
    <w:rsid w:val="09901391"/>
    <w:rsid w:val="099DC187"/>
    <w:rsid w:val="09B8C5CE"/>
    <w:rsid w:val="09D71636"/>
    <w:rsid w:val="0A1F8E93"/>
    <w:rsid w:val="0A733506"/>
    <w:rsid w:val="0A785503"/>
    <w:rsid w:val="0A85ACC0"/>
    <w:rsid w:val="0AAE582E"/>
    <w:rsid w:val="0ABB79E3"/>
    <w:rsid w:val="0ACAC80C"/>
    <w:rsid w:val="0ADB729C"/>
    <w:rsid w:val="0AE74B15"/>
    <w:rsid w:val="0B07636E"/>
    <w:rsid w:val="0B27743F"/>
    <w:rsid w:val="0B6E855A"/>
    <w:rsid w:val="0BB3411F"/>
    <w:rsid w:val="0BC3809F"/>
    <w:rsid w:val="0BCDAC9A"/>
    <w:rsid w:val="0BD7E38A"/>
    <w:rsid w:val="0BE79971"/>
    <w:rsid w:val="0BE7F6FC"/>
    <w:rsid w:val="0C0A571E"/>
    <w:rsid w:val="0CA3AE72"/>
    <w:rsid w:val="0CC10C0E"/>
    <w:rsid w:val="0CD8D10F"/>
    <w:rsid w:val="0CF32AE6"/>
    <w:rsid w:val="0CFA8DDC"/>
    <w:rsid w:val="0D4545F7"/>
    <w:rsid w:val="0D6C273B"/>
    <w:rsid w:val="0D891671"/>
    <w:rsid w:val="0E12A79D"/>
    <w:rsid w:val="0E32F337"/>
    <w:rsid w:val="0E41AC5A"/>
    <w:rsid w:val="0E4EF8B2"/>
    <w:rsid w:val="0E77786B"/>
    <w:rsid w:val="0E85DF5A"/>
    <w:rsid w:val="0EA575E6"/>
    <w:rsid w:val="0EAF6ED8"/>
    <w:rsid w:val="0EE3E809"/>
    <w:rsid w:val="0EED88BE"/>
    <w:rsid w:val="0EF3016F"/>
    <w:rsid w:val="0F06EFEE"/>
    <w:rsid w:val="0F3A04E9"/>
    <w:rsid w:val="0F5469B6"/>
    <w:rsid w:val="0F5F0320"/>
    <w:rsid w:val="0F6AFFC9"/>
    <w:rsid w:val="0F79BEEA"/>
    <w:rsid w:val="0FE40404"/>
    <w:rsid w:val="1020C6FB"/>
    <w:rsid w:val="105C0248"/>
    <w:rsid w:val="10A3A2D1"/>
    <w:rsid w:val="10B4D4D2"/>
    <w:rsid w:val="10DD67DC"/>
    <w:rsid w:val="10FF6835"/>
    <w:rsid w:val="117DC119"/>
    <w:rsid w:val="1198FE6A"/>
    <w:rsid w:val="11CCF5E3"/>
    <w:rsid w:val="11DF0949"/>
    <w:rsid w:val="11EF7662"/>
    <w:rsid w:val="123FA603"/>
    <w:rsid w:val="126A55A4"/>
    <w:rsid w:val="12A84087"/>
    <w:rsid w:val="12B1739E"/>
    <w:rsid w:val="12E5CFB0"/>
    <w:rsid w:val="12FF6143"/>
    <w:rsid w:val="1301666B"/>
    <w:rsid w:val="133874F0"/>
    <w:rsid w:val="13672A90"/>
    <w:rsid w:val="138F2348"/>
    <w:rsid w:val="13A7D3ED"/>
    <w:rsid w:val="13C59298"/>
    <w:rsid w:val="145A8250"/>
    <w:rsid w:val="147023C6"/>
    <w:rsid w:val="148A8F4F"/>
    <w:rsid w:val="149C401C"/>
    <w:rsid w:val="14FE0F8A"/>
    <w:rsid w:val="153C6C5F"/>
    <w:rsid w:val="157FBB81"/>
    <w:rsid w:val="15C2491C"/>
    <w:rsid w:val="15C84DA0"/>
    <w:rsid w:val="15D4D23F"/>
    <w:rsid w:val="15E593C4"/>
    <w:rsid w:val="1601A05F"/>
    <w:rsid w:val="164AD98B"/>
    <w:rsid w:val="165CF620"/>
    <w:rsid w:val="1663E02B"/>
    <w:rsid w:val="1669D35F"/>
    <w:rsid w:val="16A5F6CC"/>
    <w:rsid w:val="16ADE3CD"/>
    <w:rsid w:val="16AF79F4"/>
    <w:rsid w:val="16DC498A"/>
    <w:rsid w:val="16E7D86C"/>
    <w:rsid w:val="17088F20"/>
    <w:rsid w:val="1736D44C"/>
    <w:rsid w:val="17414BD2"/>
    <w:rsid w:val="174290C9"/>
    <w:rsid w:val="174AD433"/>
    <w:rsid w:val="178243E8"/>
    <w:rsid w:val="17CB3157"/>
    <w:rsid w:val="17DDEF30"/>
    <w:rsid w:val="1846BB73"/>
    <w:rsid w:val="184A46CE"/>
    <w:rsid w:val="184E0B3E"/>
    <w:rsid w:val="1851B076"/>
    <w:rsid w:val="1858955E"/>
    <w:rsid w:val="188C385E"/>
    <w:rsid w:val="189F10DD"/>
    <w:rsid w:val="18B512C1"/>
    <w:rsid w:val="18DD2B7F"/>
    <w:rsid w:val="192DD7B8"/>
    <w:rsid w:val="19708C8B"/>
    <w:rsid w:val="199002C5"/>
    <w:rsid w:val="19A14D57"/>
    <w:rsid w:val="19C58836"/>
    <w:rsid w:val="19C6424C"/>
    <w:rsid w:val="19CF178B"/>
    <w:rsid w:val="19D32BA9"/>
    <w:rsid w:val="19F2C061"/>
    <w:rsid w:val="1A10DA79"/>
    <w:rsid w:val="1A16A788"/>
    <w:rsid w:val="1A1D351C"/>
    <w:rsid w:val="1A94A809"/>
    <w:rsid w:val="1AD00981"/>
    <w:rsid w:val="1B13CA34"/>
    <w:rsid w:val="1B586D92"/>
    <w:rsid w:val="1B90014B"/>
    <w:rsid w:val="1B9914C2"/>
    <w:rsid w:val="1B9BFF7C"/>
    <w:rsid w:val="1BC7EBDE"/>
    <w:rsid w:val="1BFE45FA"/>
    <w:rsid w:val="1C2E39E5"/>
    <w:rsid w:val="1C8CD037"/>
    <w:rsid w:val="1CE59C6B"/>
    <w:rsid w:val="1D3483D9"/>
    <w:rsid w:val="1D4877B4"/>
    <w:rsid w:val="1D6915CE"/>
    <w:rsid w:val="1D7BE25B"/>
    <w:rsid w:val="1DA0F6B8"/>
    <w:rsid w:val="1DFF7A7A"/>
    <w:rsid w:val="1E01A12C"/>
    <w:rsid w:val="1E500E87"/>
    <w:rsid w:val="1E5382BC"/>
    <w:rsid w:val="1E8D7DA3"/>
    <w:rsid w:val="1EEE43CD"/>
    <w:rsid w:val="1EF0E371"/>
    <w:rsid w:val="1F2190BF"/>
    <w:rsid w:val="1F251AAF"/>
    <w:rsid w:val="1F92E60F"/>
    <w:rsid w:val="1FD612D2"/>
    <w:rsid w:val="1FE32CB1"/>
    <w:rsid w:val="200DBACC"/>
    <w:rsid w:val="200FD3A0"/>
    <w:rsid w:val="201FCB29"/>
    <w:rsid w:val="20429859"/>
    <w:rsid w:val="207B86D8"/>
    <w:rsid w:val="20971111"/>
    <w:rsid w:val="20A931D3"/>
    <w:rsid w:val="20C322D3"/>
    <w:rsid w:val="20CF5F2F"/>
    <w:rsid w:val="20D67E90"/>
    <w:rsid w:val="2121A448"/>
    <w:rsid w:val="21AC1CC8"/>
    <w:rsid w:val="21B061EC"/>
    <w:rsid w:val="21FB156B"/>
    <w:rsid w:val="2217F61B"/>
    <w:rsid w:val="2218EFF8"/>
    <w:rsid w:val="2253E60C"/>
    <w:rsid w:val="226EC2C0"/>
    <w:rsid w:val="22A1E3F9"/>
    <w:rsid w:val="22AEAE92"/>
    <w:rsid w:val="22CD6FEA"/>
    <w:rsid w:val="22D91C65"/>
    <w:rsid w:val="22DFFD95"/>
    <w:rsid w:val="233946E4"/>
    <w:rsid w:val="237EA99E"/>
    <w:rsid w:val="23B22024"/>
    <w:rsid w:val="23F5316A"/>
    <w:rsid w:val="23FD5396"/>
    <w:rsid w:val="240329A2"/>
    <w:rsid w:val="242AB497"/>
    <w:rsid w:val="24520957"/>
    <w:rsid w:val="24769345"/>
    <w:rsid w:val="24D4FF33"/>
    <w:rsid w:val="24D9B45C"/>
    <w:rsid w:val="24DEDCFE"/>
    <w:rsid w:val="24F50054"/>
    <w:rsid w:val="253DF56C"/>
    <w:rsid w:val="25568749"/>
    <w:rsid w:val="256C181E"/>
    <w:rsid w:val="256FDB41"/>
    <w:rsid w:val="257924F7"/>
    <w:rsid w:val="259CBBE5"/>
    <w:rsid w:val="25EE91EC"/>
    <w:rsid w:val="25EFDFB0"/>
    <w:rsid w:val="26078196"/>
    <w:rsid w:val="263BD0F1"/>
    <w:rsid w:val="26B7BA14"/>
    <w:rsid w:val="26DC27AC"/>
    <w:rsid w:val="26EBA88A"/>
    <w:rsid w:val="2713BB94"/>
    <w:rsid w:val="2730B621"/>
    <w:rsid w:val="27754A52"/>
    <w:rsid w:val="27A663AC"/>
    <w:rsid w:val="27BFE299"/>
    <w:rsid w:val="281A6D32"/>
    <w:rsid w:val="282BD4BB"/>
    <w:rsid w:val="289711B0"/>
    <w:rsid w:val="28A56AB4"/>
    <w:rsid w:val="28A79B35"/>
    <w:rsid w:val="28AEF5C9"/>
    <w:rsid w:val="28E79869"/>
    <w:rsid w:val="2903C009"/>
    <w:rsid w:val="2907D5DF"/>
    <w:rsid w:val="2941A87D"/>
    <w:rsid w:val="29736CEC"/>
    <w:rsid w:val="298F52A2"/>
    <w:rsid w:val="29AFB6B4"/>
    <w:rsid w:val="29C27ED5"/>
    <w:rsid w:val="29C9C40A"/>
    <w:rsid w:val="29D689C2"/>
    <w:rsid w:val="29E4D924"/>
    <w:rsid w:val="29F8DEEC"/>
    <w:rsid w:val="2A044AE5"/>
    <w:rsid w:val="2A08316A"/>
    <w:rsid w:val="2A18BD95"/>
    <w:rsid w:val="2A2ECB23"/>
    <w:rsid w:val="2A449CE1"/>
    <w:rsid w:val="2A6DE07B"/>
    <w:rsid w:val="2A8671C2"/>
    <w:rsid w:val="2B364973"/>
    <w:rsid w:val="2B57E395"/>
    <w:rsid w:val="2B7EC2C2"/>
    <w:rsid w:val="2B9BAEB0"/>
    <w:rsid w:val="2BAD2FF1"/>
    <w:rsid w:val="2BB62456"/>
    <w:rsid w:val="2BCCFF2D"/>
    <w:rsid w:val="2BE4D207"/>
    <w:rsid w:val="2C2A77EA"/>
    <w:rsid w:val="2C4B2B41"/>
    <w:rsid w:val="2C64D891"/>
    <w:rsid w:val="2C65E9B0"/>
    <w:rsid w:val="2CFC9453"/>
    <w:rsid w:val="2D51FDBF"/>
    <w:rsid w:val="2D77F732"/>
    <w:rsid w:val="2D927CCF"/>
    <w:rsid w:val="2DAAD96F"/>
    <w:rsid w:val="2DC42242"/>
    <w:rsid w:val="2DCD66D3"/>
    <w:rsid w:val="2E103D07"/>
    <w:rsid w:val="2E3388AA"/>
    <w:rsid w:val="2EE33D5F"/>
    <w:rsid w:val="2EE805E7"/>
    <w:rsid w:val="2F22C4F0"/>
    <w:rsid w:val="2F3920A4"/>
    <w:rsid w:val="2F74787D"/>
    <w:rsid w:val="2F86404A"/>
    <w:rsid w:val="2F9A523A"/>
    <w:rsid w:val="2FA932F4"/>
    <w:rsid w:val="2FB8CEC6"/>
    <w:rsid w:val="2FCBF2F5"/>
    <w:rsid w:val="2FE95F4F"/>
    <w:rsid w:val="3001208B"/>
    <w:rsid w:val="3006D252"/>
    <w:rsid w:val="3048F14F"/>
    <w:rsid w:val="305DCB31"/>
    <w:rsid w:val="307DC073"/>
    <w:rsid w:val="30B81F4B"/>
    <w:rsid w:val="30BAF386"/>
    <w:rsid w:val="30BD809E"/>
    <w:rsid w:val="31259C82"/>
    <w:rsid w:val="31319A35"/>
    <w:rsid w:val="3141AC01"/>
    <w:rsid w:val="31421CE0"/>
    <w:rsid w:val="314C9D56"/>
    <w:rsid w:val="31738B4C"/>
    <w:rsid w:val="3181EDCD"/>
    <w:rsid w:val="31950915"/>
    <w:rsid w:val="319611E8"/>
    <w:rsid w:val="319E3887"/>
    <w:rsid w:val="31BA9522"/>
    <w:rsid w:val="31E6BA16"/>
    <w:rsid w:val="3204AB91"/>
    <w:rsid w:val="32082CDF"/>
    <w:rsid w:val="320C309F"/>
    <w:rsid w:val="320E8CA5"/>
    <w:rsid w:val="322ED841"/>
    <w:rsid w:val="323E0A46"/>
    <w:rsid w:val="32403EEB"/>
    <w:rsid w:val="324A6CEE"/>
    <w:rsid w:val="3260E9A0"/>
    <w:rsid w:val="327E4A92"/>
    <w:rsid w:val="3291EC10"/>
    <w:rsid w:val="32BC4A65"/>
    <w:rsid w:val="334770DA"/>
    <w:rsid w:val="3368F11A"/>
    <w:rsid w:val="33892A9B"/>
    <w:rsid w:val="3399B9FB"/>
    <w:rsid w:val="3409535E"/>
    <w:rsid w:val="34362DD7"/>
    <w:rsid w:val="344A8CF7"/>
    <w:rsid w:val="344CBF20"/>
    <w:rsid w:val="3454C41C"/>
    <w:rsid w:val="3462C00C"/>
    <w:rsid w:val="346F0357"/>
    <w:rsid w:val="3495AE98"/>
    <w:rsid w:val="34D503DC"/>
    <w:rsid w:val="3507E734"/>
    <w:rsid w:val="3567A2DB"/>
    <w:rsid w:val="359234DA"/>
    <w:rsid w:val="35B05E7E"/>
    <w:rsid w:val="35B5D688"/>
    <w:rsid w:val="35D68AF8"/>
    <w:rsid w:val="362606B5"/>
    <w:rsid w:val="364C4C57"/>
    <w:rsid w:val="3661EC49"/>
    <w:rsid w:val="3682CFB0"/>
    <w:rsid w:val="368B68A4"/>
    <w:rsid w:val="36DA54B0"/>
    <w:rsid w:val="36F06548"/>
    <w:rsid w:val="36F815A3"/>
    <w:rsid w:val="37A37CBB"/>
    <w:rsid w:val="3817C320"/>
    <w:rsid w:val="387F10CD"/>
    <w:rsid w:val="3898A547"/>
    <w:rsid w:val="38A475E9"/>
    <w:rsid w:val="38B7E70E"/>
    <w:rsid w:val="38C05B80"/>
    <w:rsid w:val="38D9C1B6"/>
    <w:rsid w:val="38E106FB"/>
    <w:rsid w:val="38E1891B"/>
    <w:rsid w:val="38F4BB91"/>
    <w:rsid w:val="390D135C"/>
    <w:rsid w:val="392BC7EF"/>
    <w:rsid w:val="3937D701"/>
    <w:rsid w:val="398FF7EA"/>
    <w:rsid w:val="39B07C24"/>
    <w:rsid w:val="39BE4335"/>
    <w:rsid w:val="39F4E6C2"/>
    <w:rsid w:val="3A69544A"/>
    <w:rsid w:val="3A89539E"/>
    <w:rsid w:val="3AA418C9"/>
    <w:rsid w:val="3AB351F9"/>
    <w:rsid w:val="3AB87008"/>
    <w:rsid w:val="3AC85153"/>
    <w:rsid w:val="3AD8B91D"/>
    <w:rsid w:val="3B4324B3"/>
    <w:rsid w:val="3B998388"/>
    <w:rsid w:val="3BBEF1B2"/>
    <w:rsid w:val="3BC65632"/>
    <w:rsid w:val="3BD89298"/>
    <w:rsid w:val="3BF9BAC4"/>
    <w:rsid w:val="3BFC409C"/>
    <w:rsid w:val="3C2AEDCE"/>
    <w:rsid w:val="3C849451"/>
    <w:rsid w:val="3CE00186"/>
    <w:rsid w:val="3D121DDA"/>
    <w:rsid w:val="3D3B3B06"/>
    <w:rsid w:val="3D670255"/>
    <w:rsid w:val="3DDBDA01"/>
    <w:rsid w:val="3E32360B"/>
    <w:rsid w:val="3E3845A6"/>
    <w:rsid w:val="3E3B41E7"/>
    <w:rsid w:val="3E644906"/>
    <w:rsid w:val="3E978867"/>
    <w:rsid w:val="3EAA8399"/>
    <w:rsid w:val="3EECE9D7"/>
    <w:rsid w:val="3EEEC718"/>
    <w:rsid w:val="3F05092A"/>
    <w:rsid w:val="3F3040B4"/>
    <w:rsid w:val="3F3D6F67"/>
    <w:rsid w:val="3F522EBB"/>
    <w:rsid w:val="3FE62162"/>
    <w:rsid w:val="400E212B"/>
    <w:rsid w:val="4036AE1A"/>
    <w:rsid w:val="40496B34"/>
    <w:rsid w:val="405B3F3A"/>
    <w:rsid w:val="40728B0A"/>
    <w:rsid w:val="40D9A6FA"/>
    <w:rsid w:val="40E77F2B"/>
    <w:rsid w:val="41596C44"/>
    <w:rsid w:val="415E16C0"/>
    <w:rsid w:val="416820F1"/>
    <w:rsid w:val="418BDF2C"/>
    <w:rsid w:val="41C812D2"/>
    <w:rsid w:val="41EEC64A"/>
    <w:rsid w:val="4228DB9D"/>
    <w:rsid w:val="4265EA0A"/>
    <w:rsid w:val="427CC6A0"/>
    <w:rsid w:val="429DFFC3"/>
    <w:rsid w:val="42A2ADB7"/>
    <w:rsid w:val="431CC1E0"/>
    <w:rsid w:val="433580C1"/>
    <w:rsid w:val="43B8F3D9"/>
    <w:rsid w:val="4400AF33"/>
    <w:rsid w:val="44499A15"/>
    <w:rsid w:val="448D1BF6"/>
    <w:rsid w:val="4498A0FA"/>
    <w:rsid w:val="449BF8B3"/>
    <w:rsid w:val="449E6582"/>
    <w:rsid w:val="452E035B"/>
    <w:rsid w:val="456E2746"/>
    <w:rsid w:val="4590209E"/>
    <w:rsid w:val="45A6AE15"/>
    <w:rsid w:val="45F3FA00"/>
    <w:rsid w:val="45FE66FD"/>
    <w:rsid w:val="460D8C84"/>
    <w:rsid w:val="466BA00F"/>
    <w:rsid w:val="46885AB6"/>
    <w:rsid w:val="46AB4CC9"/>
    <w:rsid w:val="46C063A6"/>
    <w:rsid w:val="46F25864"/>
    <w:rsid w:val="46FB6A86"/>
    <w:rsid w:val="4734F556"/>
    <w:rsid w:val="473AFED1"/>
    <w:rsid w:val="47705657"/>
    <w:rsid w:val="477855AB"/>
    <w:rsid w:val="478F6FE1"/>
    <w:rsid w:val="47A678EC"/>
    <w:rsid w:val="47DAB5F9"/>
    <w:rsid w:val="47E72CF0"/>
    <w:rsid w:val="47F5DB1C"/>
    <w:rsid w:val="484175B9"/>
    <w:rsid w:val="486241C7"/>
    <w:rsid w:val="4870979A"/>
    <w:rsid w:val="487A4E0E"/>
    <w:rsid w:val="48B7C7AE"/>
    <w:rsid w:val="48C93C8C"/>
    <w:rsid w:val="49098774"/>
    <w:rsid w:val="4917E216"/>
    <w:rsid w:val="4935A5A7"/>
    <w:rsid w:val="49BC46E6"/>
    <w:rsid w:val="49ED3E5F"/>
    <w:rsid w:val="4A1B7D18"/>
    <w:rsid w:val="4A22AD76"/>
    <w:rsid w:val="4A3B05A7"/>
    <w:rsid w:val="4A54519F"/>
    <w:rsid w:val="4A8A828B"/>
    <w:rsid w:val="4A93424A"/>
    <w:rsid w:val="4B3A3E70"/>
    <w:rsid w:val="4B5DDF8B"/>
    <w:rsid w:val="4B81C5FE"/>
    <w:rsid w:val="4B8F7810"/>
    <w:rsid w:val="4B977502"/>
    <w:rsid w:val="4C23BAB9"/>
    <w:rsid w:val="4C6D1043"/>
    <w:rsid w:val="4CA5DD80"/>
    <w:rsid w:val="4CBE9667"/>
    <w:rsid w:val="4CFF6B43"/>
    <w:rsid w:val="4D567A46"/>
    <w:rsid w:val="4D760EF6"/>
    <w:rsid w:val="4DC9CC7D"/>
    <w:rsid w:val="4E1EE268"/>
    <w:rsid w:val="4E601689"/>
    <w:rsid w:val="4E91D76B"/>
    <w:rsid w:val="4E940D90"/>
    <w:rsid w:val="4EF2FCE9"/>
    <w:rsid w:val="4F157E3F"/>
    <w:rsid w:val="4F470DE7"/>
    <w:rsid w:val="4F704DCD"/>
    <w:rsid w:val="4F791F3E"/>
    <w:rsid w:val="4F7A96AE"/>
    <w:rsid w:val="4FA0265A"/>
    <w:rsid w:val="50274945"/>
    <w:rsid w:val="502E9B14"/>
    <w:rsid w:val="50A6FFB9"/>
    <w:rsid w:val="50BE66AC"/>
    <w:rsid w:val="50F423F3"/>
    <w:rsid w:val="511FB9F8"/>
    <w:rsid w:val="512A003F"/>
    <w:rsid w:val="512D7440"/>
    <w:rsid w:val="515E59CC"/>
    <w:rsid w:val="516A6D5B"/>
    <w:rsid w:val="5177348D"/>
    <w:rsid w:val="51958E7E"/>
    <w:rsid w:val="51A94997"/>
    <w:rsid w:val="51CBBC34"/>
    <w:rsid w:val="5213EA37"/>
    <w:rsid w:val="5255AA66"/>
    <w:rsid w:val="5270CB0F"/>
    <w:rsid w:val="5280316E"/>
    <w:rsid w:val="5291EB2B"/>
    <w:rsid w:val="5292E63A"/>
    <w:rsid w:val="52CB8068"/>
    <w:rsid w:val="531BA588"/>
    <w:rsid w:val="5331D061"/>
    <w:rsid w:val="5352D93B"/>
    <w:rsid w:val="536776F8"/>
    <w:rsid w:val="5369F98B"/>
    <w:rsid w:val="538729A2"/>
    <w:rsid w:val="53A7A6C3"/>
    <w:rsid w:val="53C3CF4F"/>
    <w:rsid w:val="53C8126B"/>
    <w:rsid w:val="53E368D9"/>
    <w:rsid w:val="53FD2670"/>
    <w:rsid w:val="541A5EF7"/>
    <w:rsid w:val="5475C132"/>
    <w:rsid w:val="547724C9"/>
    <w:rsid w:val="54BEF2F3"/>
    <w:rsid w:val="55332690"/>
    <w:rsid w:val="555AB45A"/>
    <w:rsid w:val="55ACEF39"/>
    <w:rsid w:val="55AEC21E"/>
    <w:rsid w:val="55F79C1F"/>
    <w:rsid w:val="56285A11"/>
    <w:rsid w:val="564AEC63"/>
    <w:rsid w:val="5664E328"/>
    <w:rsid w:val="568687DF"/>
    <w:rsid w:val="5695E3A3"/>
    <w:rsid w:val="569D8BAC"/>
    <w:rsid w:val="56BB1002"/>
    <w:rsid w:val="56C400EE"/>
    <w:rsid w:val="56FAC812"/>
    <w:rsid w:val="578E0FCF"/>
    <w:rsid w:val="57E196CE"/>
    <w:rsid w:val="57F12D09"/>
    <w:rsid w:val="57F48B41"/>
    <w:rsid w:val="57FA4D9A"/>
    <w:rsid w:val="58283498"/>
    <w:rsid w:val="585FD14F"/>
    <w:rsid w:val="58608B65"/>
    <w:rsid w:val="5884DCF1"/>
    <w:rsid w:val="58D526F0"/>
    <w:rsid w:val="590B4D12"/>
    <w:rsid w:val="59128556"/>
    <w:rsid w:val="5913F0D9"/>
    <w:rsid w:val="592CFF12"/>
    <w:rsid w:val="5999B741"/>
    <w:rsid w:val="59A1926B"/>
    <w:rsid w:val="59AF6349"/>
    <w:rsid w:val="59BA98DA"/>
    <w:rsid w:val="59E44BFD"/>
    <w:rsid w:val="59EA521F"/>
    <w:rsid w:val="59F70394"/>
    <w:rsid w:val="5A220E55"/>
    <w:rsid w:val="5A5C418B"/>
    <w:rsid w:val="5A692D1B"/>
    <w:rsid w:val="5A89B436"/>
    <w:rsid w:val="5A922645"/>
    <w:rsid w:val="5A98BB66"/>
    <w:rsid w:val="5AD0D706"/>
    <w:rsid w:val="5AE84BFE"/>
    <w:rsid w:val="5B44B90D"/>
    <w:rsid w:val="5B5760B0"/>
    <w:rsid w:val="5B5A5F24"/>
    <w:rsid w:val="5B6D2EEC"/>
    <w:rsid w:val="5B788B4C"/>
    <w:rsid w:val="5B802672"/>
    <w:rsid w:val="5B89FCB5"/>
    <w:rsid w:val="5BA72081"/>
    <w:rsid w:val="5BC5CA1A"/>
    <w:rsid w:val="5BF7EC3B"/>
    <w:rsid w:val="5C25D8D1"/>
    <w:rsid w:val="5C42B14B"/>
    <w:rsid w:val="5C509318"/>
    <w:rsid w:val="5C7C9192"/>
    <w:rsid w:val="5CFFE715"/>
    <w:rsid w:val="5D18A7CE"/>
    <w:rsid w:val="5D3C852E"/>
    <w:rsid w:val="5D9EF08B"/>
    <w:rsid w:val="5DB35B9C"/>
    <w:rsid w:val="5DB41314"/>
    <w:rsid w:val="5DD88F2D"/>
    <w:rsid w:val="5DF7D74B"/>
    <w:rsid w:val="5E7A02A2"/>
    <w:rsid w:val="5E7A0382"/>
    <w:rsid w:val="5E9ED382"/>
    <w:rsid w:val="5EA0E690"/>
    <w:rsid w:val="5EAF31F4"/>
    <w:rsid w:val="5ED00C2C"/>
    <w:rsid w:val="5EDB68F3"/>
    <w:rsid w:val="5EF898F6"/>
    <w:rsid w:val="5F0172F8"/>
    <w:rsid w:val="5F78555D"/>
    <w:rsid w:val="5FA98849"/>
    <w:rsid w:val="5FB58BFF"/>
    <w:rsid w:val="5FC587D7"/>
    <w:rsid w:val="5FCAEF79"/>
    <w:rsid w:val="5FCB35F0"/>
    <w:rsid w:val="5FD6CA79"/>
    <w:rsid w:val="5FD88AFF"/>
    <w:rsid w:val="60220299"/>
    <w:rsid w:val="603699B0"/>
    <w:rsid w:val="60405BC0"/>
    <w:rsid w:val="6094056B"/>
    <w:rsid w:val="60B4593E"/>
    <w:rsid w:val="60C8594C"/>
    <w:rsid w:val="60D5C8A1"/>
    <w:rsid w:val="6122DE13"/>
    <w:rsid w:val="617009D0"/>
    <w:rsid w:val="61AE2194"/>
    <w:rsid w:val="61CB2AA9"/>
    <w:rsid w:val="62041326"/>
    <w:rsid w:val="627A5F86"/>
    <w:rsid w:val="628328F5"/>
    <w:rsid w:val="62BF530B"/>
    <w:rsid w:val="62D5506F"/>
    <w:rsid w:val="62EFC7DC"/>
    <w:rsid w:val="63039934"/>
    <w:rsid w:val="63365415"/>
    <w:rsid w:val="638278BD"/>
    <w:rsid w:val="63881B68"/>
    <w:rsid w:val="638AC086"/>
    <w:rsid w:val="638D173D"/>
    <w:rsid w:val="63A52E21"/>
    <w:rsid w:val="63F84288"/>
    <w:rsid w:val="64089E22"/>
    <w:rsid w:val="6460D2B3"/>
    <w:rsid w:val="6464AE2E"/>
    <w:rsid w:val="64AAEFCD"/>
    <w:rsid w:val="64BBACFA"/>
    <w:rsid w:val="64E2B631"/>
    <w:rsid w:val="64E9423F"/>
    <w:rsid w:val="6506FC37"/>
    <w:rsid w:val="65338A1A"/>
    <w:rsid w:val="657D4C5F"/>
    <w:rsid w:val="65973A30"/>
    <w:rsid w:val="65C1BDA1"/>
    <w:rsid w:val="65DC4A2B"/>
    <w:rsid w:val="661442A0"/>
    <w:rsid w:val="6620261C"/>
    <w:rsid w:val="66396AB5"/>
    <w:rsid w:val="665E9A24"/>
    <w:rsid w:val="66875C0A"/>
    <w:rsid w:val="66AFCFA2"/>
    <w:rsid w:val="66C52841"/>
    <w:rsid w:val="676FDE07"/>
    <w:rsid w:val="67A7A40A"/>
    <w:rsid w:val="67B4ABDD"/>
    <w:rsid w:val="67E024E6"/>
    <w:rsid w:val="67FDB655"/>
    <w:rsid w:val="68228D0B"/>
    <w:rsid w:val="682E238E"/>
    <w:rsid w:val="683A1AB7"/>
    <w:rsid w:val="68401822"/>
    <w:rsid w:val="68881D66"/>
    <w:rsid w:val="6893C217"/>
    <w:rsid w:val="68D624A1"/>
    <w:rsid w:val="68E495CA"/>
    <w:rsid w:val="68FF8C69"/>
    <w:rsid w:val="691AEFE6"/>
    <w:rsid w:val="69D4B0EE"/>
    <w:rsid w:val="6A358FFD"/>
    <w:rsid w:val="6A47790A"/>
    <w:rsid w:val="6A537F53"/>
    <w:rsid w:val="6AA482F2"/>
    <w:rsid w:val="6AB4870A"/>
    <w:rsid w:val="6ACFFB70"/>
    <w:rsid w:val="6B1EEBE9"/>
    <w:rsid w:val="6B35EE1B"/>
    <w:rsid w:val="6B7A62BD"/>
    <w:rsid w:val="6B843E34"/>
    <w:rsid w:val="6B99827C"/>
    <w:rsid w:val="6BA6ACA0"/>
    <w:rsid w:val="6BB5887A"/>
    <w:rsid w:val="6C09FD54"/>
    <w:rsid w:val="6C0A35CB"/>
    <w:rsid w:val="6C27570D"/>
    <w:rsid w:val="6C495E45"/>
    <w:rsid w:val="6C58B316"/>
    <w:rsid w:val="6C6A043F"/>
    <w:rsid w:val="6C992BF2"/>
    <w:rsid w:val="6CD2FDED"/>
    <w:rsid w:val="6CD538FC"/>
    <w:rsid w:val="6CDF3A53"/>
    <w:rsid w:val="6D21B33A"/>
    <w:rsid w:val="6D30F7F5"/>
    <w:rsid w:val="6D536AE7"/>
    <w:rsid w:val="6D757224"/>
    <w:rsid w:val="6D7DDEAF"/>
    <w:rsid w:val="6DBEE462"/>
    <w:rsid w:val="6DDE86A7"/>
    <w:rsid w:val="6DE75C10"/>
    <w:rsid w:val="6DF32723"/>
    <w:rsid w:val="6DF638B4"/>
    <w:rsid w:val="6DF7C6D0"/>
    <w:rsid w:val="6E3B6B59"/>
    <w:rsid w:val="6E587758"/>
    <w:rsid w:val="6E5B9ADB"/>
    <w:rsid w:val="6E8561C1"/>
    <w:rsid w:val="6EA7225F"/>
    <w:rsid w:val="6EA955F6"/>
    <w:rsid w:val="6EAA8EAD"/>
    <w:rsid w:val="6EED6EDD"/>
    <w:rsid w:val="6F59E4A8"/>
    <w:rsid w:val="6F859E0B"/>
    <w:rsid w:val="6FBD73A7"/>
    <w:rsid w:val="6FD0D50C"/>
    <w:rsid w:val="6FD341B1"/>
    <w:rsid w:val="6FD777EA"/>
    <w:rsid w:val="6FEFC01D"/>
    <w:rsid w:val="700E8246"/>
    <w:rsid w:val="700ED5F4"/>
    <w:rsid w:val="7027861E"/>
    <w:rsid w:val="7031FE34"/>
    <w:rsid w:val="709A001F"/>
    <w:rsid w:val="70C505FC"/>
    <w:rsid w:val="70E92047"/>
    <w:rsid w:val="711058E2"/>
    <w:rsid w:val="715AE5DB"/>
    <w:rsid w:val="716E455D"/>
    <w:rsid w:val="71A3208F"/>
    <w:rsid w:val="71A541E9"/>
    <w:rsid w:val="71AEB938"/>
    <w:rsid w:val="71FE6F43"/>
    <w:rsid w:val="7208CBD4"/>
    <w:rsid w:val="72233293"/>
    <w:rsid w:val="722CD2D8"/>
    <w:rsid w:val="723777AC"/>
    <w:rsid w:val="724C4D71"/>
    <w:rsid w:val="725D2366"/>
    <w:rsid w:val="731BE179"/>
    <w:rsid w:val="73458B90"/>
    <w:rsid w:val="73608ED6"/>
    <w:rsid w:val="736CE2EA"/>
    <w:rsid w:val="7387A34A"/>
    <w:rsid w:val="7398E6EB"/>
    <w:rsid w:val="73B22ADA"/>
    <w:rsid w:val="73D4379A"/>
    <w:rsid w:val="73DB7C24"/>
    <w:rsid w:val="74062A19"/>
    <w:rsid w:val="741BAC7A"/>
    <w:rsid w:val="743A2F06"/>
    <w:rsid w:val="744E16F7"/>
    <w:rsid w:val="74674824"/>
    <w:rsid w:val="747630F1"/>
    <w:rsid w:val="74824A2D"/>
    <w:rsid w:val="7486A27A"/>
    <w:rsid w:val="749E62C6"/>
    <w:rsid w:val="74A24652"/>
    <w:rsid w:val="74A2C37A"/>
    <w:rsid w:val="74A66958"/>
    <w:rsid w:val="74AA0008"/>
    <w:rsid w:val="74E3C146"/>
    <w:rsid w:val="750E74E8"/>
    <w:rsid w:val="7511AF6B"/>
    <w:rsid w:val="7537FF72"/>
    <w:rsid w:val="756C1418"/>
    <w:rsid w:val="75D948AC"/>
    <w:rsid w:val="75F4B92B"/>
    <w:rsid w:val="76010CEF"/>
    <w:rsid w:val="76152157"/>
    <w:rsid w:val="7624D60C"/>
    <w:rsid w:val="763F58A0"/>
    <w:rsid w:val="76706965"/>
    <w:rsid w:val="769554B8"/>
    <w:rsid w:val="76B1C24A"/>
    <w:rsid w:val="76B87C08"/>
    <w:rsid w:val="76DDD8D2"/>
    <w:rsid w:val="76F60A51"/>
    <w:rsid w:val="7713EBEC"/>
    <w:rsid w:val="7734BD5C"/>
    <w:rsid w:val="77716E3F"/>
    <w:rsid w:val="777925B1"/>
    <w:rsid w:val="777EBBCE"/>
    <w:rsid w:val="7791FDAD"/>
    <w:rsid w:val="779E5D24"/>
    <w:rsid w:val="77A3D99A"/>
    <w:rsid w:val="77CB9D2E"/>
    <w:rsid w:val="78394C23"/>
    <w:rsid w:val="783AE129"/>
    <w:rsid w:val="784D964F"/>
    <w:rsid w:val="78CDB521"/>
    <w:rsid w:val="78DBA783"/>
    <w:rsid w:val="79413762"/>
    <w:rsid w:val="7946E1B3"/>
    <w:rsid w:val="7964DBD5"/>
    <w:rsid w:val="79685FC6"/>
    <w:rsid w:val="796D5C75"/>
    <w:rsid w:val="797E8EC4"/>
    <w:rsid w:val="79C0E14E"/>
    <w:rsid w:val="7A67747F"/>
    <w:rsid w:val="7A68D1F0"/>
    <w:rsid w:val="7A85E744"/>
    <w:rsid w:val="7AD7AFCC"/>
    <w:rsid w:val="7AEF108F"/>
    <w:rsid w:val="7AEF3840"/>
    <w:rsid w:val="7B2AF8F2"/>
    <w:rsid w:val="7B45C130"/>
    <w:rsid w:val="7C09F932"/>
    <w:rsid w:val="7C0C5413"/>
    <w:rsid w:val="7C1FFD9E"/>
    <w:rsid w:val="7C948DD7"/>
    <w:rsid w:val="7CC810D0"/>
    <w:rsid w:val="7CFFAB45"/>
    <w:rsid w:val="7D4792F9"/>
    <w:rsid w:val="7D636571"/>
    <w:rsid w:val="7DA19229"/>
    <w:rsid w:val="7DB7EC70"/>
    <w:rsid w:val="7E99F035"/>
    <w:rsid w:val="7ED316C2"/>
    <w:rsid w:val="7EF3624C"/>
    <w:rsid w:val="7F3638BC"/>
    <w:rsid w:val="7F36C260"/>
    <w:rsid w:val="7F6E4063"/>
    <w:rsid w:val="7F9800D2"/>
    <w:rsid w:val="7FD780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E59C9"/>
  <w15:docId w15:val="{C512E5B7-1A70-4C7E-BEA4-48EEC1EF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8BA"/>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094C4B"/>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uiPriority w:val="99"/>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094C4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uiPriority w:val="99"/>
    <w:semiHidden/>
    <w:unhideWhenUsed/>
    <w:rsid w:val="00CA7A75"/>
    <w:rPr>
      <w:sz w:val="16"/>
      <w:szCs w:val="16"/>
    </w:rPr>
  </w:style>
  <w:style w:type="paragraph" w:styleId="CommentText">
    <w:name w:val="annotation text"/>
    <w:basedOn w:val="Normal"/>
    <w:link w:val="CommentTextChar"/>
    <w:uiPriority w:val="99"/>
    <w:unhideWhenUsed/>
    <w:rsid w:val="00CA7A75"/>
    <w:pPr>
      <w:spacing w:line="240" w:lineRule="auto"/>
    </w:pPr>
    <w:rPr>
      <w:szCs w:val="20"/>
    </w:rPr>
  </w:style>
  <w:style w:type="character" w:customStyle="1" w:styleId="CommentTextChar">
    <w:name w:val="Comment Text Char"/>
    <w:basedOn w:val="DefaultParagraphFont"/>
    <w:link w:val="CommentText"/>
    <w:uiPriority w:val="99"/>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9"/>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CD68BA"/>
    <w:pPr>
      <w:numPr>
        <w:numId w:val="27"/>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878D7"/>
    <w:pPr>
      <w:ind w:left="927" w:hanging="360"/>
    </w:pPr>
    <w:rPr>
      <w:rFonts w:ascii="Work Sans" w:hAnsi="Work Sans"/>
    </w:rPr>
  </w:style>
  <w:style w:type="paragraph" w:customStyle="1" w:styleId="CGCBodyPara">
    <w:name w:val="CGC Body Para"/>
    <w:basedOn w:val="CGCParaNumber"/>
    <w:rsid w:val="009878D7"/>
    <w:pPr>
      <w:numPr>
        <w:numId w:val="0"/>
      </w:numPr>
      <w:tabs>
        <w:tab w:val="clear" w:pos="567"/>
      </w:tabs>
      <w:ind w:left="567" w:right="-121" w:hanging="425"/>
    </w:pPr>
  </w:style>
  <w:style w:type="character" w:styleId="PlaceholderText">
    <w:name w:val="Placeholder Text"/>
    <w:basedOn w:val="DefaultParagraphFont"/>
    <w:uiPriority w:val="99"/>
    <w:semiHidden/>
    <w:rsid w:val="009878D7"/>
    <w:rPr>
      <w:color w:val="808080"/>
    </w:rPr>
  </w:style>
  <w:style w:type="paragraph" w:styleId="NormalWeb">
    <w:name w:val="Normal (Web)"/>
    <w:basedOn w:val="Normal"/>
    <w:uiPriority w:val="99"/>
    <w:semiHidden/>
    <w:unhideWhenUsed/>
    <w:rsid w:val="009878D7"/>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5Dark-Accent1">
    <w:name w:val="List Table 5 Dark Accent 1"/>
    <w:basedOn w:val="TableNormal"/>
    <w:uiPriority w:val="50"/>
    <w:rsid w:val="009878D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96135823">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Lock@cgc.gov.au" TargetMode="External"/><Relationship Id="rId18" Type="http://schemas.openxmlformats.org/officeDocument/2006/relationships/hyperlink" Target="https://www.cgc.gov.au/reports-for-government/2020-revi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gc.gov.au/sites/default/files/2023-03/New%20Issues%20in%20the%202023%20Update%20%20%281%2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hyperlink" Target="https://www.cgc.gov.au/reports-for-government/2020-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2.xm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Philippa\Commonwealth%20Grants%20Commission\Communications%20-%20Office%20Templates\CGC%20Word%20Templates\Assessment%20Consultation%20paper%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gcgovau-my.sharepoint.com/personal/peter_lock_cgc_gov_au/Documents/Estimate%20of%20changing%20the%20measure%20of%20economic%20environmen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cgcgovau-my.sharepoint.com/personal/peter_lock_cgc_gov_au/Documents/Estimate%20of%20changing%20the%20measure%20of%20economic%20environmen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cgcgovau-my.sharepoint.com/personal/peter_lock_cgc_gov_au/Documents/Estimate%20of%20changing%20the%20measure%20of%20economic%20environment.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58267716535433"/>
          <c:y val="0.15277777777777779"/>
          <c:w val="0.8031189851268592"/>
          <c:h val="0.6700324438611841"/>
        </c:manualLayout>
      </c:layout>
      <c:barChart>
        <c:barDir val="col"/>
        <c:grouping val="clustered"/>
        <c:varyColors val="0"/>
        <c:ser>
          <c:idx val="0"/>
          <c:order val="0"/>
          <c:tx>
            <c:strRef>
              <c:f>Sheet1!$M$5</c:f>
              <c:strCache>
                <c:ptCount val="1"/>
                <c:pt idx="0">
                  <c:v>2016–17</c:v>
                </c:pt>
              </c:strCache>
            </c:strRef>
          </c:tx>
          <c:spPr>
            <a:solidFill>
              <a:srgbClr val="004563"/>
            </a:solidFill>
            <a:ln>
              <a:noFill/>
            </a:ln>
          </c:spPr>
          <c:invertIfNegative val="0"/>
          <c:cat>
            <c:strRef>
              <c:f>(Sheet1!$B$2,Sheet1!$N$2)</c:f>
              <c:strCache>
                <c:ptCount val="2"/>
                <c:pt idx="0">
                  <c:v>Total factor income</c:v>
                </c:pt>
                <c:pt idx="1">
                  <c:v>Gross industry value added — Chain volume </c:v>
                </c:pt>
              </c:strCache>
            </c:strRef>
          </c:cat>
          <c:val>
            <c:numRef>
              <c:f>(Sheet1!$J$5,Sheet1!$V$5)</c:f>
              <c:numCache>
                <c:formatCode>0;\-0;0;@</c:formatCode>
                <c:ptCount val="2"/>
                <c:pt idx="0">
                  <c:v>46515</c:v>
                </c:pt>
                <c:pt idx="1">
                  <c:v>49576</c:v>
                </c:pt>
              </c:numCache>
            </c:numRef>
          </c:val>
          <c:extLst>
            <c:ext xmlns:c16="http://schemas.microsoft.com/office/drawing/2014/chart" uri="{C3380CC4-5D6E-409C-BE32-E72D297353CC}">
              <c16:uniqueId val="{00000000-D470-4DBA-8F5C-617960B7E766}"/>
            </c:ext>
          </c:extLst>
        </c:ser>
        <c:ser>
          <c:idx val="1"/>
          <c:order val="1"/>
          <c:tx>
            <c:strRef>
              <c:f>Sheet1!$M$6</c:f>
              <c:strCache>
                <c:ptCount val="1"/>
                <c:pt idx="0">
                  <c:v>2017–18</c:v>
                </c:pt>
              </c:strCache>
            </c:strRef>
          </c:tx>
          <c:spPr>
            <a:solidFill>
              <a:srgbClr val="006991"/>
            </a:solidFill>
            <a:ln>
              <a:noFill/>
            </a:ln>
          </c:spPr>
          <c:invertIfNegative val="0"/>
          <c:cat>
            <c:strRef>
              <c:f>(Sheet1!$B$2,Sheet1!$N$2)</c:f>
              <c:strCache>
                <c:ptCount val="2"/>
                <c:pt idx="0">
                  <c:v>Total factor income</c:v>
                </c:pt>
                <c:pt idx="1">
                  <c:v>Gross industry value added — Chain volume </c:v>
                </c:pt>
              </c:strCache>
            </c:strRef>
          </c:cat>
          <c:val>
            <c:numRef>
              <c:f>(Sheet1!$J$6,Sheet1!$V$6)</c:f>
              <c:numCache>
                <c:formatCode>0;\-0;0;@</c:formatCode>
                <c:ptCount val="2"/>
                <c:pt idx="0">
                  <c:v>44170</c:v>
                </c:pt>
                <c:pt idx="1">
                  <c:v>48241</c:v>
                </c:pt>
              </c:numCache>
            </c:numRef>
          </c:val>
          <c:extLst>
            <c:ext xmlns:c16="http://schemas.microsoft.com/office/drawing/2014/chart" uri="{C3380CC4-5D6E-409C-BE32-E72D297353CC}">
              <c16:uniqueId val="{00000001-D470-4DBA-8F5C-617960B7E766}"/>
            </c:ext>
          </c:extLst>
        </c:ser>
        <c:ser>
          <c:idx val="2"/>
          <c:order val="2"/>
          <c:tx>
            <c:strRef>
              <c:f>Sheet1!$M$7</c:f>
              <c:strCache>
                <c:ptCount val="1"/>
                <c:pt idx="0">
                  <c:v>2018–19</c:v>
                </c:pt>
              </c:strCache>
            </c:strRef>
          </c:tx>
          <c:spPr>
            <a:solidFill>
              <a:srgbClr val="0092C8"/>
            </a:solidFill>
            <a:ln>
              <a:noFill/>
            </a:ln>
          </c:spPr>
          <c:invertIfNegative val="0"/>
          <c:cat>
            <c:strRef>
              <c:f>(Sheet1!$B$2,Sheet1!$N$2)</c:f>
              <c:strCache>
                <c:ptCount val="2"/>
                <c:pt idx="0">
                  <c:v>Total factor income</c:v>
                </c:pt>
                <c:pt idx="1">
                  <c:v>Gross industry value added — Chain volume </c:v>
                </c:pt>
              </c:strCache>
            </c:strRef>
          </c:cat>
          <c:val>
            <c:numRef>
              <c:f>(Sheet1!$J$7,Sheet1!$V$7)</c:f>
              <c:numCache>
                <c:formatCode>0;\-0;0;@</c:formatCode>
                <c:ptCount val="2"/>
                <c:pt idx="0">
                  <c:v>40031</c:v>
                </c:pt>
                <c:pt idx="1">
                  <c:v>43132</c:v>
                </c:pt>
              </c:numCache>
            </c:numRef>
          </c:val>
          <c:extLst>
            <c:ext xmlns:c16="http://schemas.microsoft.com/office/drawing/2014/chart" uri="{C3380CC4-5D6E-409C-BE32-E72D297353CC}">
              <c16:uniqueId val="{00000002-D470-4DBA-8F5C-617960B7E766}"/>
            </c:ext>
          </c:extLst>
        </c:ser>
        <c:ser>
          <c:idx val="3"/>
          <c:order val="3"/>
          <c:tx>
            <c:strRef>
              <c:f>Sheet1!$M$8</c:f>
              <c:strCache>
                <c:ptCount val="1"/>
                <c:pt idx="0">
                  <c:v>2019–20</c:v>
                </c:pt>
              </c:strCache>
            </c:strRef>
          </c:tx>
          <c:spPr>
            <a:solidFill>
              <a:srgbClr val="5FB5D7"/>
            </a:solidFill>
          </c:spPr>
          <c:invertIfNegative val="0"/>
          <c:cat>
            <c:strRef>
              <c:f>(Sheet1!$B$2,Sheet1!$N$2)</c:f>
              <c:strCache>
                <c:ptCount val="2"/>
                <c:pt idx="0">
                  <c:v>Total factor income</c:v>
                </c:pt>
                <c:pt idx="1">
                  <c:v>Gross industry value added — Chain volume </c:v>
                </c:pt>
              </c:strCache>
            </c:strRef>
          </c:cat>
          <c:val>
            <c:numRef>
              <c:f>(Sheet1!$J$8,Sheet1!$V$8)</c:f>
              <c:numCache>
                <c:formatCode>0;\-0;0;@</c:formatCode>
                <c:ptCount val="2"/>
                <c:pt idx="0">
                  <c:v>39802</c:v>
                </c:pt>
                <c:pt idx="1">
                  <c:v>39035</c:v>
                </c:pt>
              </c:numCache>
            </c:numRef>
          </c:val>
          <c:extLst>
            <c:ext xmlns:c16="http://schemas.microsoft.com/office/drawing/2014/chart" uri="{C3380CC4-5D6E-409C-BE32-E72D297353CC}">
              <c16:uniqueId val="{00000003-D470-4DBA-8F5C-617960B7E766}"/>
            </c:ext>
          </c:extLst>
        </c:ser>
        <c:ser>
          <c:idx val="4"/>
          <c:order val="4"/>
          <c:tx>
            <c:strRef>
              <c:f>Sheet1!$M$9</c:f>
              <c:strCache>
                <c:ptCount val="1"/>
                <c:pt idx="0">
                  <c:v>2020–21</c:v>
                </c:pt>
              </c:strCache>
            </c:strRef>
          </c:tx>
          <c:spPr>
            <a:solidFill>
              <a:srgbClr val="ADD6EA"/>
            </a:solidFill>
          </c:spPr>
          <c:invertIfNegative val="0"/>
          <c:cat>
            <c:strRef>
              <c:f>(Sheet1!$B$2,Sheet1!$N$2)</c:f>
              <c:strCache>
                <c:ptCount val="2"/>
                <c:pt idx="0">
                  <c:v>Total factor income</c:v>
                </c:pt>
                <c:pt idx="1">
                  <c:v>Gross industry value added — Chain volume </c:v>
                </c:pt>
              </c:strCache>
            </c:strRef>
          </c:cat>
          <c:val>
            <c:numRef>
              <c:f>(Sheet1!$J$9,Sheet1!$V$9)</c:f>
              <c:numCache>
                <c:formatCode>0;\-0;0;@</c:formatCode>
                <c:ptCount val="2"/>
                <c:pt idx="0">
                  <c:v>48967</c:v>
                </c:pt>
                <c:pt idx="1">
                  <c:v>47986</c:v>
                </c:pt>
              </c:numCache>
            </c:numRef>
          </c:val>
          <c:extLst>
            <c:ext xmlns:c16="http://schemas.microsoft.com/office/drawing/2014/chart" uri="{C3380CC4-5D6E-409C-BE32-E72D297353CC}">
              <c16:uniqueId val="{00000004-D470-4DBA-8F5C-617960B7E766}"/>
            </c:ext>
          </c:extLst>
        </c:ser>
        <c:ser>
          <c:idx val="5"/>
          <c:order val="5"/>
          <c:tx>
            <c:strRef>
              <c:f>Sheet1!$M$10</c:f>
              <c:strCache>
                <c:ptCount val="1"/>
                <c:pt idx="0">
                  <c:v>2021–22</c:v>
                </c:pt>
              </c:strCache>
            </c:strRef>
          </c:tx>
          <c:spPr>
            <a:solidFill>
              <a:srgbClr val="D6E7F0"/>
            </a:solidFill>
          </c:spPr>
          <c:invertIfNegative val="0"/>
          <c:cat>
            <c:strRef>
              <c:f>(Sheet1!$B$2,Sheet1!$N$2)</c:f>
              <c:strCache>
                <c:ptCount val="2"/>
                <c:pt idx="0">
                  <c:v>Total factor income</c:v>
                </c:pt>
                <c:pt idx="1">
                  <c:v>Gross industry value added — Chain volume </c:v>
                </c:pt>
              </c:strCache>
            </c:strRef>
          </c:cat>
          <c:val>
            <c:numRef>
              <c:f>(Sheet1!$J$10,Sheet1!$V$10)</c:f>
              <c:numCache>
                <c:formatCode>0;\-0;0;@</c:formatCode>
                <c:ptCount val="2"/>
                <c:pt idx="0">
                  <c:v>72179</c:v>
                </c:pt>
                <c:pt idx="1">
                  <c:v>59215</c:v>
                </c:pt>
              </c:numCache>
            </c:numRef>
          </c:val>
          <c:extLst>
            <c:ext xmlns:c16="http://schemas.microsoft.com/office/drawing/2014/chart" uri="{C3380CC4-5D6E-409C-BE32-E72D297353CC}">
              <c16:uniqueId val="{00000005-D470-4DBA-8F5C-617960B7E766}"/>
            </c:ext>
          </c:extLst>
        </c:ser>
        <c:dLbls>
          <c:showLegendKey val="0"/>
          <c:showVal val="0"/>
          <c:showCatName val="0"/>
          <c:showSerName val="0"/>
          <c:showPercent val="0"/>
          <c:showBubbleSize val="0"/>
        </c:dLbls>
        <c:gapWidth val="150"/>
        <c:axId val="243968640"/>
        <c:axId val="263656192"/>
      </c:barChart>
      <c:catAx>
        <c:axId val="243968640"/>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56192"/>
        <c:crosses val="autoZero"/>
        <c:auto val="1"/>
        <c:lblAlgn val="ctr"/>
        <c:lblOffset val="100"/>
        <c:noMultiLvlLbl val="0"/>
      </c:catAx>
      <c:valAx>
        <c:axId val="26365619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 millions</a:t>
                </a:r>
              </a:p>
            </c:rich>
          </c:tx>
          <c:layout>
            <c:manualLayout>
              <c:xMode val="edge"/>
              <c:yMode val="edge"/>
              <c:x val="1.6666666666666701E-2"/>
              <c:y val="0.35567620650953985"/>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3968640"/>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58267716535433"/>
          <c:y val="0.15277777777777779"/>
          <c:w val="0.8031189851268592"/>
          <c:h val="0.6700324438611841"/>
        </c:manualLayout>
      </c:layout>
      <c:barChart>
        <c:barDir val="col"/>
        <c:grouping val="clustered"/>
        <c:varyColors val="0"/>
        <c:ser>
          <c:idx val="0"/>
          <c:order val="0"/>
          <c:tx>
            <c:strRef>
              <c:f>Sheet1!$M$5</c:f>
              <c:strCache>
                <c:ptCount val="1"/>
                <c:pt idx="0">
                  <c:v>2016–17</c:v>
                </c:pt>
              </c:strCache>
            </c:strRef>
          </c:tx>
          <c:spPr>
            <a:solidFill>
              <a:srgbClr val="004563"/>
            </a:solidFill>
          </c:spPr>
          <c:invertIfNegative val="0"/>
          <c:cat>
            <c:strRef>
              <c:f>(Sheet1!$B$2,Sheet1!$N$2)</c:f>
              <c:strCache>
                <c:ptCount val="2"/>
                <c:pt idx="0">
                  <c:v>Total factor income</c:v>
                </c:pt>
                <c:pt idx="1">
                  <c:v>Gross industry value added — Chain volume </c:v>
                </c:pt>
              </c:strCache>
            </c:strRef>
          </c:cat>
          <c:val>
            <c:numRef>
              <c:f>(Sheet1!$J$19,Sheet1!$V$19)</c:f>
              <c:numCache>
                <c:formatCode>0;\-0;0;@</c:formatCode>
                <c:ptCount val="2"/>
                <c:pt idx="0">
                  <c:v>131813</c:v>
                </c:pt>
                <c:pt idx="1">
                  <c:v>196830</c:v>
                </c:pt>
              </c:numCache>
            </c:numRef>
          </c:val>
          <c:extLst>
            <c:ext xmlns:c16="http://schemas.microsoft.com/office/drawing/2014/chart" uri="{C3380CC4-5D6E-409C-BE32-E72D297353CC}">
              <c16:uniqueId val="{00000000-9C5B-4D56-95CA-2E3DF519320B}"/>
            </c:ext>
          </c:extLst>
        </c:ser>
        <c:ser>
          <c:idx val="1"/>
          <c:order val="1"/>
          <c:tx>
            <c:strRef>
              <c:f>Sheet1!$M$6</c:f>
              <c:strCache>
                <c:ptCount val="1"/>
                <c:pt idx="0">
                  <c:v>2017–18</c:v>
                </c:pt>
              </c:strCache>
            </c:strRef>
          </c:tx>
          <c:spPr>
            <a:solidFill>
              <a:srgbClr val="006991"/>
            </a:solidFill>
          </c:spPr>
          <c:invertIfNegative val="0"/>
          <c:cat>
            <c:strRef>
              <c:f>(Sheet1!$B$2,Sheet1!$N$2)</c:f>
              <c:strCache>
                <c:ptCount val="2"/>
                <c:pt idx="0">
                  <c:v>Total factor income</c:v>
                </c:pt>
                <c:pt idx="1">
                  <c:v>Gross industry value added — Chain volume </c:v>
                </c:pt>
              </c:strCache>
            </c:strRef>
          </c:cat>
          <c:val>
            <c:numRef>
              <c:f>(Sheet1!$J$20,Sheet1!$V$20)</c:f>
              <c:numCache>
                <c:formatCode>0;\-0;0;@</c:formatCode>
                <c:ptCount val="2"/>
                <c:pt idx="0">
                  <c:v>148578</c:v>
                </c:pt>
                <c:pt idx="1">
                  <c:v>207716</c:v>
                </c:pt>
              </c:numCache>
            </c:numRef>
          </c:val>
          <c:extLst>
            <c:ext xmlns:c16="http://schemas.microsoft.com/office/drawing/2014/chart" uri="{C3380CC4-5D6E-409C-BE32-E72D297353CC}">
              <c16:uniqueId val="{00000001-9C5B-4D56-95CA-2E3DF519320B}"/>
            </c:ext>
          </c:extLst>
        </c:ser>
        <c:ser>
          <c:idx val="2"/>
          <c:order val="2"/>
          <c:tx>
            <c:strRef>
              <c:f>Sheet1!$M$7</c:f>
              <c:strCache>
                <c:ptCount val="1"/>
                <c:pt idx="0">
                  <c:v>2018–19</c:v>
                </c:pt>
              </c:strCache>
            </c:strRef>
          </c:tx>
          <c:spPr>
            <a:solidFill>
              <a:srgbClr val="0092C8"/>
            </a:solidFill>
          </c:spPr>
          <c:invertIfNegative val="0"/>
          <c:cat>
            <c:strRef>
              <c:f>(Sheet1!$B$2,Sheet1!$N$2)</c:f>
              <c:strCache>
                <c:ptCount val="2"/>
                <c:pt idx="0">
                  <c:v>Total factor income</c:v>
                </c:pt>
                <c:pt idx="1">
                  <c:v>Gross industry value added — Chain volume </c:v>
                </c:pt>
              </c:strCache>
            </c:strRef>
          </c:cat>
          <c:val>
            <c:numRef>
              <c:f>(Sheet1!$J$21,Sheet1!$V$21)</c:f>
              <c:numCache>
                <c:formatCode>0;\-0;0;@</c:formatCode>
                <c:ptCount val="2"/>
                <c:pt idx="0">
                  <c:v>190055</c:v>
                </c:pt>
                <c:pt idx="1">
                  <c:v>219429</c:v>
                </c:pt>
              </c:numCache>
            </c:numRef>
          </c:val>
          <c:extLst>
            <c:ext xmlns:c16="http://schemas.microsoft.com/office/drawing/2014/chart" uri="{C3380CC4-5D6E-409C-BE32-E72D297353CC}">
              <c16:uniqueId val="{00000002-9C5B-4D56-95CA-2E3DF519320B}"/>
            </c:ext>
          </c:extLst>
        </c:ser>
        <c:ser>
          <c:idx val="3"/>
          <c:order val="3"/>
          <c:tx>
            <c:strRef>
              <c:f>Sheet1!$M$8</c:f>
              <c:strCache>
                <c:ptCount val="1"/>
                <c:pt idx="0">
                  <c:v>2019–20</c:v>
                </c:pt>
              </c:strCache>
            </c:strRef>
          </c:tx>
          <c:spPr>
            <a:solidFill>
              <a:srgbClr val="5FB5D7"/>
            </a:solidFill>
          </c:spPr>
          <c:invertIfNegative val="0"/>
          <c:cat>
            <c:strRef>
              <c:f>(Sheet1!$B$2,Sheet1!$N$2)</c:f>
              <c:strCache>
                <c:ptCount val="2"/>
                <c:pt idx="0">
                  <c:v>Total factor income</c:v>
                </c:pt>
                <c:pt idx="1">
                  <c:v>Gross industry value added — Chain volume </c:v>
                </c:pt>
              </c:strCache>
            </c:strRef>
          </c:cat>
          <c:val>
            <c:numRef>
              <c:f>(Sheet1!$J$22,Sheet1!$V$22)</c:f>
              <c:numCache>
                <c:formatCode>0;\-0;0;@</c:formatCode>
                <c:ptCount val="2"/>
                <c:pt idx="0">
                  <c:v>201331</c:v>
                </c:pt>
                <c:pt idx="1">
                  <c:v>228670</c:v>
                </c:pt>
              </c:numCache>
            </c:numRef>
          </c:val>
          <c:extLst>
            <c:ext xmlns:c16="http://schemas.microsoft.com/office/drawing/2014/chart" uri="{C3380CC4-5D6E-409C-BE32-E72D297353CC}">
              <c16:uniqueId val="{00000003-9C5B-4D56-95CA-2E3DF519320B}"/>
            </c:ext>
          </c:extLst>
        </c:ser>
        <c:ser>
          <c:idx val="4"/>
          <c:order val="4"/>
          <c:tx>
            <c:strRef>
              <c:f>Sheet1!$M$9</c:f>
              <c:strCache>
                <c:ptCount val="1"/>
                <c:pt idx="0">
                  <c:v>2020–21</c:v>
                </c:pt>
              </c:strCache>
            </c:strRef>
          </c:tx>
          <c:spPr>
            <a:solidFill>
              <a:srgbClr val="ADD6EA"/>
            </a:solidFill>
          </c:spPr>
          <c:invertIfNegative val="0"/>
          <c:cat>
            <c:strRef>
              <c:f>(Sheet1!$B$2,Sheet1!$N$2)</c:f>
              <c:strCache>
                <c:ptCount val="2"/>
                <c:pt idx="0">
                  <c:v>Total factor income</c:v>
                </c:pt>
                <c:pt idx="1">
                  <c:v>Gross industry value added — Chain volume </c:v>
                </c:pt>
              </c:strCache>
            </c:strRef>
          </c:cat>
          <c:val>
            <c:numRef>
              <c:f>(Sheet1!$J$23,Sheet1!$V$23)</c:f>
              <c:numCache>
                <c:formatCode>0;\-0;0;@</c:formatCode>
                <c:ptCount val="2"/>
                <c:pt idx="0">
                  <c:v>222980</c:v>
                </c:pt>
                <c:pt idx="1">
                  <c:v>224352</c:v>
                </c:pt>
              </c:numCache>
            </c:numRef>
          </c:val>
          <c:extLst>
            <c:ext xmlns:c16="http://schemas.microsoft.com/office/drawing/2014/chart" uri="{C3380CC4-5D6E-409C-BE32-E72D297353CC}">
              <c16:uniqueId val="{00000004-9C5B-4D56-95CA-2E3DF519320B}"/>
            </c:ext>
          </c:extLst>
        </c:ser>
        <c:ser>
          <c:idx val="5"/>
          <c:order val="5"/>
          <c:tx>
            <c:strRef>
              <c:f>Sheet1!$M$10</c:f>
              <c:strCache>
                <c:ptCount val="1"/>
                <c:pt idx="0">
                  <c:v>2021–22</c:v>
                </c:pt>
              </c:strCache>
            </c:strRef>
          </c:tx>
          <c:spPr>
            <a:solidFill>
              <a:srgbClr val="D6E7F0"/>
            </a:solidFill>
          </c:spPr>
          <c:invertIfNegative val="0"/>
          <c:cat>
            <c:strRef>
              <c:f>(Sheet1!$B$2,Sheet1!$N$2)</c:f>
              <c:strCache>
                <c:ptCount val="2"/>
                <c:pt idx="0">
                  <c:v>Total factor income</c:v>
                </c:pt>
                <c:pt idx="1">
                  <c:v>Gross industry value added — Chain volume </c:v>
                </c:pt>
              </c:strCache>
            </c:strRef>
          </c:cat>
          <c:val>
            <c:numRef>
              <c:f>(Sheet1!$J$24,Sheet1!$V$24)</c:f>
              <c:numCache>
                <c:formatCode>0;\-0;0;@</c:formatCode>
                <c:ptCount val="2"/>
                <c:pt idx="0">
                  <c:v>313926</c:v>
                </c:pt>
                <c:pt idx="1">
                  <c:v>221513</c:v>
                </c:pt>
              </c:numCache>
            </c:numRef>
          </c:val>
          <c:extLst>
            <c:ext xmlns:c16="http://schemas.microsoft.com/office/drawing/2014/chart" uri="{C3380CC4-5D6E-409C-BE32-E72D297353CC}">
              <c16:uniqueId val="{00000005-9C5B-4D56-95CA-2E3DF519320B}"/>
            </c:ext>
          </c:extLst>
        </c:ser>
        <c:dLbls>
          <c:showLegendKey val="0"/>
          <c:showVal val="0"/>
          <c:showCatName val="0"/>
          <c:showSerName val="0"/>
          <c:showPercent val="0"/>
          <c:showBubbleSize val="0"/>
        </c:dLbls>
        <c:gapWidth val="150"/>
        <c:axId val="243968640"/>
        <c:axId val="263656192"/>
      </c:barChart>
      <c:catAx>
        <c:axId val="243968640"/>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56192"/>
        <c:crosses val="autoZero"/>
        <c:auto val="1"/>
        <c:lblAlgn val="ctr"/>
        <c:lblOffset val="100"/>
        <c:noMultiLvlLbl val="0"/>
      </c:catAx>
      <c:valAx>
        <c:axId val="26365619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 millions</a:t>
                </a:r>
              </a:p>
            </c:rich>
          </c:tx>
          <c:layout>
            <c:manualLayout>
              <c:xMode val="edge"/>
              <c:yMode val="edge"/>
              <c:x val="1.6666666666666701E-2"/>
              <c:y val="0.35567620650953985"/>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3968640"/>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58267716535433"/>
          <c:y val="0.15277777777777779"/>
          <c:w val="0.8031189851268592"/>
          <c:h val="0.6700324438611841"/>
        </c:manualLayout>
      </c:layout>
      <c:barChart>
        <c:barDir val="col"/>
        <c:grouping val="clustered"/>
        <c:varyColors val="0"/>
        <c:ser>
          <c:idx val="0"/>
          <c:order val="0"/>
          <c:tx>
            <c:strRef>
              <c:f>Sheet1!$M$5</c:f>
              <c:strCache>
                <c:ptCount val="1"/>
                <c:pt idx="0">
                  <c:v>2016–17</c:v>
                </c:pt>
              </c:strCache>
            </c:strRef>
          </c:tx>
          <c:spPr>
            <a:solidFill>
              <a:srgbClr val="004563"/>
            </a:solidFill>
          </c:spPr>
          <c:invertIfNegative val="0"/>
          <c:cat>
            <c:strRef>
              <c:f>(Sheet1!$B$2,Sheet1!$N$2)</c:f>
              <c:strCache>
                <c:ptCount val="2"/>
                <c:pt idx="0">
                  <c:v>Total factor income</c:v>
                </c:pt>
                <c:pt idx="1">
                  <c:v>Gross industry value added — Chain volume </c:v>
                </c:pt>
              </c:strCache>
            </c:strRef>
          </c:cat>
          <c:val>
            <c:numRef>
              <c:f>(Sheet1!$J$31,Sheet1!$V$31)</c:f>
              <c:numCache>
                <c:formatCode>0;\-0;0;@</c:formatCode>
                <c:ptCount val="2"/>
                <c:pt idx="0">
                  <c:v>1184507</c:v>
                </c:pt>
                <c:pt idx="1">
                  <c:v>1299808</c:v>
                </c:pt>
              </c:numCache>
            </c:numRef>
          </c:val>
          <c:extLst>
            <c:ext xmlns:c16="http://schemas.microsoft.com/office/drawing/2014/chart" uri="{C3380CC4-5D6E-409C-BE32-E72D297353CC}">
              <c16:uniqueId val="{00000000-CDF4-4524-85D0-1400A0C61DE9}"/>
            </c:ext>
          </c:extLst>
        </c:ser>
        <c:ser>
          <c:idx val="1"/>
          <c:order val="1"/>
          <c:tx>
            <c:strRef>
              <c:f>Sheet1!$M$6</c:f>
              <c:strCache>
                <c:ptCount val="1"/>
                <c:pt idx="0">
                  <c:v>2017–18</c:v>
                </c:pt>
              </c:strCache>
            </c:strRef>
          </c:tx>
          <c:spPr>
            <a:solidFill>
              <a:srgbClr val="006991"/>
            </a:solidFill>
          </c:spPr>
          <c:invertIfNegative val="0"/>
          <c:cat>
            <c:strRef>
              <c:f>(Sheet1!$B$2,Sheet1!$N$2)</c:f>
              <c:strCache>
                <c:ptCount val="2"/>
                <c:pt idx="0">
                  <c:v>Total factor income</c:v>
                </c:pt>
                <c:pt idx="1">
                  <c:v>Gross industry value added — Chain volume </c:v>
                </c:pt>
              </c:strCache>
            </c:strRef>
          </c:cat>
          <c:val>
            <c:numRef>
              <c:f>(Sheet1!$J$32,Sheet1!$V$32)</c:f>
              <c:numCache>
                <c:formatCode>0;\-0;0;@</c:formatCode>
                <c:ptCount val="2"/>
                <c:pt idx="0">
                  <c:v>1236028</c:v>
                </c:pt>
                <c:pt idx="1">
                  <c:v>1339073</c:v>
                </c:pt>
              </c:numCache>
            </c:numRef>
          </c:val>
          <c:extLst>
            <c:ext xmlns:c16="http://schemas.microsoft.com/office/drawing/2014/chart" uri="{C3380CC4-5D6E-409C-BE32-E72D297353CC}">
              <c16:uniqueId val="{00000001-CDF4-4524-85D0-1400A0C61DE9}"/>
            </c:ext>
          </c:extLst>
        </c:ser>
        <c:ser>
          <c:idx val="2"/>
          <c:order val="2"/>
          <c:tx>
            <c:strRef>
              <c:f>Sheet1!$M$7</c:f>
              <c:strCache>
                <c:ptCount val="1"/>
                <c:pt idx="0">
                  <c:v>2018–19</c:v>
                </c:pt>
              </c:strCache>
            </c:strRef>
          </c:tx>
          <c:spPr>
            <a:solidFill>
              <a:srgbClr val="0092C8"/>
            </a:solidFill>
          </c:spPr>
          <c:invertIfNegative val="0"/>
          <c:cat>
            <c:strRef>
              <c:f>(Sheet1!$B$2,Sheet1!$N$2)</c:f>
              <c:strCache>
                <c:ptCount val="2"/>
                <c:pt idx="0">
                  <c:v>Total factor income</c:v>
                </c:pt>
                <c:pt idx="1">
                  <c:v>Gross industry value added — Chain volume </c:v>
                </c:pt>
              </c:strCache>
            </c:strRef>
          </c:cat>
          <c:val>
            <c:numRef>
              <c:f>(Sheet1!$J$33,Sheet1!$V$33)</c:f>
              <c:numCache>
                <c:formatCode>0;\-0;0;@</c:formatCode>
                <c:ptCount val="2"/>
                <c:pt idx="0">
                  <c:v>1286445</c:v>
                </c:pt>
                <c:pt idx="1">
                  <c:v>1368275</c:v>
                </c:pt>
              </c:numCache>
            </c:numRef>
          </c:val>
          <c:extLst>
            <c:ext xmlns:c16="http://schemas.microsoft.com/office/drawing/2014/chart" uri="{C3380CC4-5D6E-409C-BE32-E72D297353CC}">
              <c16:uniqueId val="{00000002-CDF4-4524-85D0-1400A0C61DE9}"/>
            </c:ext>
          </c:extLst>
        </c:ser>
        <c:ser>
          <c:idx val="3"/>
          <c:order val="3"/>
          <c:tx>
            <c:strRef>
              <c:f>Sheet1!$M$8</c:f>
              <c:strCache>
                <c:ptCount val="1"/>
                <c:pt idx="0">
                  <c:v>2019–20</c:v>
                </c:pt>
              </c:strCache>
            </c:strRef>
          </c:tx>
          <c:spPr>
            <a:solidFill>
              <a:srgbClr val="5FB5D7"/>
            </a:solidFill>
          </c:spPr>
          <c:invertIfNegative val="0"/>
          <c:cat>
            <c:strRef>
              <c:f>(Sheet1!$B$2,Sheet1!$N$2)</c:f>
              <c:strCache>
                <c:ptCount val="2"/>
                <c:pt idx="0">
                  <c:v>Total factor income</c:v>
                </c:pt>
                <c:pt idx="1">
                  <c:v>Gross industry value added — Chain volume </c:v>
                </c:pt>
              </c:strCache>
            </c:strRef>
          </c:cat>
          <c:val>
            <c:numRef>
              <c:f>(Sheet1!$J$34,Sheet1!$V$34)</c:f>
              <c:numCache>
                <c:formatCode>0;\-0;0;@</c:formatCode>
                <c:ptCount val="2"/>
                <c:pt idx="0">
                  <c:v>1354046</c:v>
                </c:pt>
                <c:pt idx="1">
                  <c:v>1358391</c:v>
                </c:pt>
              </c:numCache>
            </c:numRef>
          </c:val>
          <c:extLst>
            <c:ext xmlns:c16="http://schemas.microsoft.com/office/drawing/2014/chart" uri="{C3380CC4-5D6E-409C-BE32-E72D297353CC}">
              <c16:uniqueId val="{00000003-CDF4-4524-85D0-1400A0C61DE9}"/>
            </c:ext>
          </c:extLst>
        </c:ser>
        <c:ser>
          <c:idx val="4"/>
          <c:order val="4"/>
          <c:tx>
            <c:strRef>
              <c:f>Sheet1!$M$9</c:f>
              <c:strCache>
                <c:ptCount val="1"/>
                <c:pt idx="0">
                  <c:v>2020–21</c:v>
                </c:pt>
              </c:strCache>
            </c:strRef>
          </c:tx>
          <c:spPr>
            <a:solidFill>
              <a:srgbClr val="ADD6EA"/>
            </a:solidFill>
          </c:spPr>
          <c:invertIfNegative val="0"/>
          <c:cat>
            <c:strRef>
              <c:f>(Sheet1!$B$2,Sheet1!$N$2)</c:f>
              <c:strCache>
                <c:ptCount val="2"/>
                <c:pt idx="0">
                  <c:v>Total factor income</c:v>
                </c:pt>
                <c:pt idx="1">
                  <c:v>Gross industry value added — Chain volume </c:v>
                </c:pt>
              </c:strCache>
            </c:strRef>
          </c:cat>
          <c:val>
            <c:numRef>
              <c:f>(Sheet1!$J$35,Sheet1!$V$35)</c:f>
              <c:numCache>
                <c:formatCode>0;\-0;0;@</c:formatCode>
                <c:ptCount val="2"/>
                <c:pt idx="0">
                  <c:v>1435805</c:v>
                </c:pt>
                <c:pt idx="1">
                  <c:v>1385960</c:v>
                </c:pt>
              </c:numCache>
            </c:numRef>
          </c:val>
          <c:extLst>
            <c:ext xmlns:c16="http://schemas.microsoft.com/office/drawing/2014/chart" uri="{C3380CC4-5D6E-409C-BE32-E72D297353CC}">
              <c16:uniqueId val="{00000004-CDF4-4524-85D0-1400A0C61DE9}"/>
            </c:ext>
          </c:extLst>
        </c:ser>
        <c:ser>
          <c:idx val="5"/>
          <c:order val="5"/>
          <c:tx>
            <c:strRef>
              <c:f>Sheet1!$M$10</c:f>
              <c:strCache>
                <c:ptCount val="1"/>
                <c:pt idx="0">
                  <c:v>2021–22</c:v>
                </c:pt>
              </c:strCache>
            </c:strRef>
          </c:tx>
          <c:spPr>
            <a:solidFill>
              <a:srgbClr val="D6E7F0"/>
            </a:solidFill>
          </c:spPr>
          <c:invertIfNegative val="0"/>
          <c:cat>
            <c:strRef>
              <c:f>(Sheet1!$B$2,Sheet1!$N$2)</c:f>
              <c:strCache>
                <c:ptCount val="2"/>
                <c:pt idx="0">
                  <c:v>Total factor income</c:v>
                </c:pt>
                <c:pt idx="1">
                  <c:v>Gross industry value added — Chain volume </c:v>
                </c:pt>
              </c:strCache>
            </c:strRef>
          </c:cat>
          <c:val>
            <c:numRef>
              <c:f>(Sheet1!$J$36,Sheet1!$V$36)</c:f>
              <c:numCache>
                <c:formatCode>0;\-0;0;@</c:formatCode>
                <c:ptCount val="2"/>
                <c:pt idx="0">
                  <c:v>1462432</c:v>
                </c:pt>
                <c:pt idx="1">
                  <c:v>1451869</c:v>
                </c:pt>
              </c:numCache>
            </c:numRef>
          </c:val>
          <c:extLst>
            <c:ext xmlns:c16="http://schemas.microsoft.com/office/drawing/2014/chart" uri="{C3380CC4-5D6E-409C-BE32-E72D297353CC}">
              <c16:uniqueId val="{00000005-CDF4-4524-85D0-1400A0C61DE9}"/>
            </c:ext>
          </c:extLst>
        </c:ser>
        <c:dLbls>
          <c:showLegendKey val="0"/>
          <c:showVal val="0"/>
          <c:showCatName val="0"/>
          <c:showSerName val="0"/>
          <c:showPercent val="0"/>
          <c:showBubbleSize val="0"/>
        </c:dLbls>
        <c:gapWidth val="150"/>
        <c:axId val="243968640"/>
        <c:axId val="263656192"/>
      </c:barChart>
      <c:catAx>
        <c:axId val="243968640"/>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56192"/>
        <c:crosses val="autoZero"/>
        <c:auto val="1"/>
        <c:lblAlgn val="ctr"/>
        <c:lblOffset val="100"/>
        <c:noMultiLvlLbl val="0"/>
      </c:catAx>
      <c:valAx>
        <c:axId val="26365619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 millions</a:t>
                </a:r>
              </a:p>
            </c:rich>
          </c:tx>
          <c:layout>
            <c:manualLayout>
              <c:xMode val="edge"/>
              <c:yMode val="edge"/>
              <c:x val="1.6666666666666701E-2"/>
              <c:y val="0.35567620650953985"/>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3968640"/>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Dermot Doherty</DisplayName>
        <AccountId>30</AccountId>
        <AccountType/>
      </UserInfo>
      <UserInfo>
        <DisplayName>Ben Crabb</DisplayName>
        <AccountId>48</AccountId>
        <AccountType/>
      </UserInfo>
      <UserInfo>
        <DisplayName>Peter Lock</DisplayName>
        <AccountId>259</AccountId>
        <AccountType/>
      </UserInfo>
      <UserInfo>
        <DisplayName>Jonathan Rollings</DisplayName>
        <AccountId>73</AccountId>
        <AccountType/>
      </UserInfo>
      <UserInfo>
        <DisplayName>Rose Verspaandonk</DisplayName>
        <AccountId>62</AccountId>
        <AccountType/>
      </UserInfo>
      <UserInfo>
        <DisplayName>Therese Maher</DisplayName>
        <AccountId>126</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922C-D7F1-47E2-AF99-5DF5CAC7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49</TotalTime>
  <Pages>16</Pages>
  <Words>4301</Words>
  <Characters>24520</Characters>
  <Application>Microsoft Office Word</Application>
  <DocSecurity>0</DocSecurity>
  <Lines>204</Lines>
  <Paragraphs>57</Paragraphs>
  <ScaleCrop>false</ScaleCrop>
  <Company>Hewlett-Packard Company</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Peter Philippa</dc:creator>
  <cp:keywords/>
  <cp:lastModifiedBy>Katrina Baldock</cp:lastModifiedBy>
  <cp:revision>1099</cp:revision>
  <cp:lastPrinted>2023-10-05T00:19:00Z</cp:lastPrinted>
  <dcterms:created xsi:type="dcterms:W3CDTF">2023-09-26T08:36:00Z</dcterms:created>
  <dcterms:modified xsi:type="dcterms:W3CDTF">2023-10-05T04:07:00Z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