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body>
    <w:p w:rsidR="00A4496C" w:rsidRDefault="00B10CE1" w14:paraId="24D1A985" w14:textId="1B63D1AC">
      <w:r>
        <w:rPr>
          <w:noProof/>
        </w:rPr>
        <w:drawing>
          <wp:anchor distT="0" distB="0" distL="114300" distR="114300" simplePos="0" relativeHeight="251658240" behindDoc="1" locked="0" layoutInCell="1" allowOverlap="1" wp14:anchorId="56AE32A1" wp14:editId="223E5368">
            <wp:simplePos x="0" y="0"/>
            <wp:positionH relativeFrom="margin">
              <wp:posOffset>-998220</wp:posOffset>
            </wp:positionH>
            <wp:positionV relativeFrom="paragraph">
              <wp:posOffset>-914400</wp:posOffset>
            </wp:positionV>
            <wp:extent cx="7725317" cy="11188700"/>
            <wp:effectExtent l="0" t="0" r="9525" b="0"/>
            <wp:wrapNone/>
            <wp:docPr id="9" name="Picture 9" descr="A picture containing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fis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078" cy="11202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0294B" w:rsidR="00A4496C" w:rsidP="00A4496C" w:rsidRDefault="00A4496C" w14:paraId="1CB90CF0" w14:textId="0539F475">
      <w:pPr>
        <w:rPr>
          <w:rFonts w:ascii="Work Sans" w:hAnsi="Work Sans"/>
          <w:sz w:val="24"/>
          <w:szCs w:val="24"/>
        </w:rPr>
      </w:pPr>
      <w:r>
        <w:rPr>
          <w:noProof/>
        </w:rPr>
        <w:drawing>
          <wp:inline distT="0" distB="0" distL="0" distR="0" wp14:anchorId="6F4A5A0B" wp14:editId="126D4A1D">
            <wp:extent cx="2441749" cy="460926"/>
            <wp:effectExtent l="0" t="0" r="4445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749" cy="46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0686F" w:rsidR="00A4496C" w:rsidP="00A4496C" w:rsidRDefault="00A4496C" w14:paraId="02320BEA" w14:textId="77777777">
      <w:pPr>
        <w:rPr>
          <w:rFonts w:ascii="Work Sans" w:hAnsi="Work Sans"/>
          <w:sz w:val="24"/>
          <w:szCs w:val="24"/>
        </w:rPr>
      </w:pPr>
    </w:p>
    <w:p w:rsidRPr="00F0686F" w:rsidR="00A4496C" w:rsidP="00A4496C" w:rsidRDefault="00A4496C" w14:paraId="54FFB060" w14:textId="77777777">
      <w:pPr>
        <w:rPr>
          <w:rFonts w:ascii="Work Sans" w:hAnsi="Work Sans"/>
          <w:sz w:val="24"/>
          <w:szCs w:val="24"/>
        </w:rPr>
      </w:pPr>
    </w:p>
    <w:p w:rsidR="00A4496C" w:rsidP="00A4496C" w:rsidRDefault="00A4496C" w14:paraId="701E3EB2" w14:textId="77777777">
      <w:pPr>
        <w:pStyle w:val="CGCNumberedPara"/>
        <w:numPr>
          <w:ilvl w:val="0"/>
          <w:numId w:val="0"/>
        </w:numPr>
        <w:ind w:left="567" w:hanging="567"/>
      </w:pPr>
    </w:p>
    <w:p w:rsidR="00A4496C" w:rsidP="00A4496C" w:rsidRDefault="00A4496C" w14:paraId="5358321E" w14:textId="77777777">
      <w:pPr>
        <w:tabs>
          <w:tab w:val="clear" w:pos="567"/>
          <w:tab w:val="left" w:pos="2515"/>
        </w:tabs>
        <w:rPr>
          <w:rFonts w:ascii="Work Sans" w:hAnsi="Work Sans"/>
          <w:sz w:val="24"/>
          <w:szCs w:val="24"/>
        </w:rPr>
      </w:pPr>
    </w:p>
    <w:p w:rsidRPr="00F2521E" w:rsidR="00A4496C" w:rsidP="00A4496C" w:rsidRDefault="00A4496C" w14:paraId="798781AF" w14:textId="77777777">
      <w:pPr>
        <w:rPr>
          <w:rFonts w:ascii="Work Sans" w:hAnsi="Work Sans"/>
          <w:sz w:val="24"/>
          <w:szCs w:val="24"/>
        </w:rPr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C10697" wp14:editId="59269057">
                <wp:simplePos x="0" y="0"/>
                <wp:positionH relativeFrom="margin">
                  <wp:posOffset>0</wp:posOffset>
                </wp:positionH>
                <wp:positionV relativeFrom="page">
                  <wp:posOffset>2618513</wp:posOffset>
                </wp:positionV>
                <wp:extent cx="6000750" cy="776975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7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F656E3" w:rsidR="00A4496C" w:rsidP="00A4496C" w:rsidRDefault="00A4496C" w14:paraId="50F89180" w14:textId="77777777">
                            <w:pPr>
                              <w:jc w:val="center"/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F656E3"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2025 </w:t>
                            </w:r>
                            <w:r w:rsidRPr="00F656E3">
                              <w:rPr>
                                <w:rFonts w:ascii="Work Sans" w:hAnsi="Work Sans" w:cs="Open Sans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Methodology </w:t>
                            </w:r>
                            <w:r w:rsidRPr="00F656E3"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  <w:t>Review</w:t>
                            </w:r>
                          </w:p>
                          <w:p w:rsidRPr="00EB24B1" w:rsidR="00A4496C" w:rsidP="00A4496C" w:rsidRDefault="00A4496C" w14:paraId="6AF2C812" w14:textId="77777777">
                            <w:pPr>
                              <w:jc w:val="center"/>
                              <w:rPr>
                                <w:rFonts w:cs="Open Sans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Open Sans"/>
                                <w:color w:val="FFFFFF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346AE48">
              <v:shapetype id="_x0000_t202" coordsize="21600,21600" o:spt="202" path="m,l,21600r21600,l21600,xe" w14:anchorId="05C10697">
                <v:stroke joinstyle="miter"/>
                <v:path gradientshapeok="t" o:connecttype="rect"/>
              </v:shapetype>
              <v:shape id="Text Box 31" style="position:absolute;margin-left:0;margin-top:206.2pt;width:472.5pt;height:61.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wYFQIAACwEAAAOAAAAZHJzL2Uyb0RvYy54bWysU8lu2zAQvRfoPxC815JdL4lgOXATuChg&#10;JAGcImeaIi0BFIclaUvu13dIyUuTnIpeqBm+0SxvHud3ba3IQVhXgc7pcJBSIjSHotK7nP58WX25&#10;ocR5pgumQIucHoWjd4vPn+aNycQISlCFsASTaJc1Jqel9yZLEsdLUTM3ACM0ghJszTy6dpcUljWY&#10;vVbJKE2nSQO2MBa4cA5vHzqQLmJ+KQX3T1I64YnKKfbm42njuQ1nspizbGeZKSvet8H+oYuaVRqL&#10;nlM9MM/I3lbvUtUVt+BA+gGHOgEpKy7iDDjNMH0zzaZkRsRZkBxnzjS5/5eWPx425tkS336DFhcY&#10;CGmMyxxehnlaaevwxU4J4kjh8UybaD3heDlN03Q2QYgjNptNb2eTkCa5/G2s898F1CQYObW4lsgW&#10;O6yd70JPIaGYhlWlVFyN0qTBCl8x/V8IJlcaa1x6DZZvt20/wBaKI85loVu5M3xVYfE1c/6ZWdwx&#10;9ou69U94SAVYBHqLkhLs74/uQzxSjyglDWomp+7XnllBifqhcSm3w/E4iCw648lshI69RrbXiN7X&#10;94CyHOILMTyaId6rkykt1K8o72WoihDTHGvn1J/Me98pGZ8HF8tlDEJZGebXemN4SB1IC9S+tK/M&#10;mp5/j5t7hJO6WPZmDV1sR/dy70FWcUeB4I7VnneUZNxy/3yC5q/9GHV55Is/AAAA//8DAFBLAwQU&#10;AAYACAAAACEA9Lk6q+AAAAAIAQAADwAAAGRycy9kb3ducmV2LnhtbEyPQU+DQBCF7yb+h82YeLNL&#10;EQwiQ9OQNCZGD629eFvYKRDZWWS3LfrrXU/1+OZN3vtesZrNIE40ud4ywnIRgSBurO65Rdi/b+4y&#10;EM4r1mqwTAjf5GBVXl8VKtf2zFs67XwrQgi7XCF03o+5lK7pyCi3sCNx8A52MsoHObVST+ocws0g&#10;4yh6kEb1HBo6NVLVUfO5OxqEl2rzprZ1bLKfoXp+PazHr/1Hinh7M6+fQHia/eUZ/vADOpSBqbZH&#10;1k4MCGGIR0iWcQIi2I9JGi41QnqfZCDLQv4fUP4CAAD//wMAUEsBAi0AFAAGAAgAAAAhALaDOJL+&#10;AAAA4QEAABMAAAAAAAAAAAAAAAAAAAAAAFtDb250ZW50X1R5cGVzXS54bWxQSwECLQAUAAYACAAA&#10;ACEAOP0h/9YAAACUAQAACwAAAAAAAAAAAAAAAAAvAQAAX3JlbHMvLnJlbHNQSwECLQAUAAYACAAA&#10;ACEABv18GBUCAAAsBAAADgAAAAAAAAAAAAAAAAAuAgAAZHJzL2Uyb0RvYy54bWxQSwECLQAUAAYA&#10;CAAAACEA9Lk6q+AAAAAIAQAADwAAAAAAAAAAAAAAAABvBAAAZHJzL2Rvd25yZXYueG1sUEsFBgAA&#10;AAAEAAQA8wAAAHwFAAAAAA==&#10;">
                <v:textbox>
                  <w:txbxContent>
                    <w:p w:rsidRPr="00F656E3" w:rsidR="00A4496C" w:rsidP="00A4496C" w:rsidRDefault="00A4496C" w14:paraId="03C8979B" w14:textId="77777777">
                      <w:pPr>
                        <w:jc w:val="center"/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F656E3"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  <w:t xml:space="preserve">2025 </w:t>
                      </w:r>
                      <w:r w:rsidRPr="00F656E3">
                        <w:rPr>
                          <w:rFonts w:ascii="Work Sans" w:hAnsi="Work Sans" w:cs="Open Sans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Methodology </w:t>
                      </w:r>
                      <w:r w:rsidRPr="00F656E3"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  <w:t>Review</w:t>
                      </w:r>
                    </w:p>
                    <w:p w:rsidRPr="00EB24B1" w:rsidR="00A4496C" w:rsidP="00A4496C" w:rsidRDefault="00A4496C" w14:paraId="672A6659" w14:textId="77777777">
                      <w:pPr>
                        <w:jc w:val="center"/>
                        <w:rPr>
                          <w:rFonts w:cs="Open Sans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cs="Open Sans"/>
                          <w:color w:val="FFFFFF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Pr="00F0686F" w:rsidR="00A4496C" w:rsidP="00A4496C" w:rsidRDefault="00A4496C" w14:paraId="5E872024" w14:textId="77777777">
      <w:pPr>
        <w:rPr>
          <w:rFonts w:ascii="Work Sans" w:hAnsi="Work Sans"/>
          <w:sz w:val="24"/>
          <w:szCs w:val="24"/>
        </w:rPr>
      </w:pPr>
    </w:p>
    <w:p w:rsidR="00A4496C" w:rsidP="00A4496C" w:rsidRDefault="00A4496C" w14:paraId="00E8F1CE" w14:textId="77777777">
      <w:pPr>
        <w:rPr>
          <w:rFonts w:ascii="Work Sans" w:hAnsi="Work Sans"/>
          <w:sz w:val="24"/>
          <w:szCs w:val="24"/>
        </w:rPr>
      </w:pPr>
    </w:p>
    <w:p w:rsidR="00A4496C" w:rsidP="00A4496C" w:rsidRDefault="00A4496C" w14:paraId="03910E75" w14:textId="77777777">
      <w:pPr>
        <w:rPr>
          <w:rFonts w:ascii="Work Sans" w:hAnsi="Work Sans"/>
          <w:sz w:val="24"/>
          <w:szCs w:val="24"/>
        </w:rPr>
      </w:pPr>
    </w:p>
    <w:p w:rsidR="00A4496C" w:rsidP="00A4496C" w:rsidRDefault="00A4496C" w14:paraId="6EE44ED5" w14:textId="77777777">
      <w:pPr>
        <w:rPr>
          <w:rFonts w:ascii="Work Sans" w:hAnsi="Work Sans"/>
          <w:sz w:val="24"/>
          <w:szCs w:val="24"/>
        </w:rPr>
      </w:pPr>
    </w:p>
    <w:p w:rsidR="00A4496C" w:rsidP="00A4496C" w:rsidRDefault="00A4496C" w14:paraId="47B12CC9" w14:textId="77777777">
      <w:pPr>
        <w:rPr>
          <w:rFonts w:ascii="Work Sans" w:hAnsi="Work Sans"/>
          <w:sz w:val="24"/>
          <w:szCs w:val="24"/>
        </w:rPr>
      </w:pPr>
    </w:p>
    <w:p w:rsidR="00A4496C" w:rsidP="00A4496C" w:rsidRDefault="00A4496C" w14:paraId="730FE8B8" w14:textId="77777777">
      <w:pPr>
        <w:rPr>
          <w:rFonts w:ascii="Work Sans" w:hAnsi="Work Sans"/>
          <w:sz w:val="24"/>
          <w:szCs w:val="24"/>
        </w:rPr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7C505E" wp14:editId="3723FC2B">
                <wp:simplePos x="0" y="0"/>
                <wp:positionH relativeFrom="margin">
                  <wp:posOffset>0</wp:posOffset>
                </wp:positionH>
                <wp:positionV relativeFrom="page">
                  <wp:posOffset>4203043</wp:posOffset>
                </wp:positionV>
                <wp:extent cx="6000750" cy="19710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97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C10B1" w:rsidR="00A4496C" w:rsidP="00A4496C" w:rsidRDefault="00A4496C" w14:paraId="4DD21111" w14:textId="791ACB3E">
                            <w:pPr>
                              <w:jc w:val="center"/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>Other revenue consultation paper</w:t>
                            </w:r>
                            <w:r w:rsidR="00836B9B"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7971E0">
              <v:shape id="Text Box 29" style="position:absolute;margin-left:0;margin-top:330.95pt;width:472.5pt;height:155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t7FwIAADQEAAAOAAAAZHJzL2Uyb0RvYy54bWysU9uO2yAQfa/Uf0C8N7bT7M2Ks0p3lapS&#10;tLtSttpngiG2BAwFEjv9+g44t277VPUFBs4wl3OG6X2vFdkJ51swFS1GOSXCcKhbs6no99fFp1tK&#10;fGCmZgqMqOheeHo/+/hh2tlSjKEBVQtHMIjxZWcr2oRgyyzzvBGa+RFYYRCU4DQLeHSbrHasw+ha&#10;ZeM8v846cLV1wIX3ePs4gHSW4kspeHiW0otAVEWxtpBWl9Z1XLPZlJUbx2zT8kMZ7B+q0Kw1mPQU&#10;6pEFRrau/SOUbrkDDzKMOOgMpGy5SD1gN0X+rptVw6xIvSA53p5o8v8vLH/areyLI6H/Aj0KGAnp&#10;rC89XsZ+eul03LFSgjhSuD/RJvpAOF5e53l+c4UQR6y4uynySSI2Oz+3zoevAjSJRkUd6pLoYrul&#10;D5gSXY8uMZuBRatU0kYZ0mGKzxj/NwRfKIMPz8VGK/TrnrT1RSNrqPfYn4NBem/5osUalsyHF+ZQ&#10;a6wb5zc84yIVYC44WJQ04H7+7T76owSIUtLh7FTU/9gyJyhR3wyKc1dMkAES0mFydTPGg7tE1peI&#10;2eoHwPEs8KdYnszoH9TRlA70G475PGZFiBmOuSsajuZDGCYavwkX83lywvGyLCzNyvIYOnIXGX7t&#10;35izBxkCKvgExylj5Ts1Bt+B9fk2gGyTVJHngdUD/TiaScHDN4qzf3lOXufPPvsFAAD//wMAUEsD&#10;BBQABgAIAAAAIQDe9C664QAAAAgBAAAPAAAAZHJzL2Rvd25yZXYueG1sTI9BT8JAEIXvJv6HzZh4&#10;ky1VKpRuCWlCTIwcQC7ctt2hbezO1u4C1V/veNLbzLyXN9/LVqPtxAUH3zpSMJ1EIJAqZ1qqFRze&#10;Nw9zED5oMrpzhAq+0MMqv73JdGrclXZ42YdacAj5VCtoQuhTKX3VoNV+4nok1k5usDrwOtTSDPrK&#10;4baTcRQl0uqW+EOjeywarD72Z6vgtdhs9a6M7fy7K17eTuv+83CcKXV/N66XIAKO4c8Mv/iMDjkz&#10;le5MxotOARcJCpJkugDB8uJpxpeSh+f4EWSeyf8F8h8AAAD//wMAUEsBAi0AFAAGAAgAAAAhALaD&#10;OJL+AAAA4QEAABMAAAAAAAAAAAAAAAAAAAAAAFtDb250ZW50X1R5cGVzXS54bWxQSwECLQAUAAYA&#10;CAAAACEAOP0h/9YAAACUAQAACwAAAAAAAAAAAAAAAAAvAQAAX3JlbHMvLnJlbHNQSwECLQAUAAYA&#10;CAAAACEAQQdLexcCAAA0BAAADgAAAAAAAAAAAAAAAAAuAgAAZHJzL2Uyb0RvYy54bWxQSwECLQAU&#10;AAYACAAAACEA3vQuuuEAAAAIAQAADwAAAAAAAAAAAAAAAABxBAAAZHJzL2Rvd25yZXYueG1sUEsF&#10;BgAAAAAEAAQA8wAAAH8FAAAAAA==&#10;" w14:anchorId="377C505E">
                <v:textbox>
                  <w:txbxContent>
                    <w:p w:rsidRPr="00DC10B1" w:rsidR="00A4496C" w:rsidP="00A4496C" w:rsidRDefault="00A4496C" w14:paraId="43A2FC48" w14:textId="791ACB3E">
                      <w:pPr>
                        <w:jc w:val="center"/>
                        <w:rPr>
                          <w:rFonts w:ascii="Work Sans" w:hAnsi="Work Sans" w:cs="Open Sans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>Other revenue consultation paper</w:t>
                      </w:r>
                      <w:r w:rsidR="00836B9B"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4496C" w:rsidP="00A4496C" w:rsidRDefault="00A4496C" w14:paraId="445FC28B" w14:textId="77777777">
      <w:pPr>
        <w:jc w:val="center"/>
        <w:rPr>
          <w:rFonts w:ascii="Work Sans" w:hAnsi="Work Sans"/>
          <w:sz w:val="24"/>
          <w:szCs w:val="24"/>
        </w:rPr>
      </w:pPr>
    </w:p>
    <w:p w:rsidR="00A4496C" w:rsidP="00A4496C" w:rsidRDefault="00A4496C" w14:paraId="28B73753" w14:textId="77777777">
      <w:pPr>
        <w:rPr>
          <w:rFonts w:ascii="Work Sans" w:hAnsi="Work Sans" w:cs="Open Sans"/>
          <w:color w:val="FFFFFF"/>
          <w:sz w:val="28"/>
          <w:szCs w:val="28"/>
        </w:rPr>
      </w:pPr>
    </w:p>
    <w:p w:rsidR="00A4496C" w:rsidP="00A4496C" w:rsidRDefault="00A4496C" w14:paraId="17D2230D" w14:textId="77777777">
      <w:pPr>
        <w:rPr>
          <w:rFonts w:ascii="Work Sans" w:hAnsi="Work Sans" w:cs="Open Sans"/>
          <w:color w:val="FFFFFF"/>
          <w:sz w:val="28"/>
          <w:szCs w:val="28"/>
        </w:rPr>
      </w:pPr>
    </w:p>
    <w:p w:rsidR="00A4496C" w:rsidP="00A4496C" w:rsidRDefault="00A4496C" w14:paraId="73977087" w14:textId="77777777">
      <w:pPr>
        <w:rPr>
          <w:rFonts w:ascii="Work Sans" w:hAnsi="Work Sans" w:cs="Open Sans"/>
          <w:color w:val="FFFFFF"/>
          <w:sz w:val="28"/>
          <w:szCs w:val="28"/>
        </w:rPr>
      </w:pPr>
    </w:p>
    <w:p w:rsidR="00A4496C" w:rsidP="00A4496C" w:rsidRDefault="00A4496C" w14:paraId="13C4DDD6" w14:textId="77777777">
      <w:pPr>
        <w:rPr>
          <w:rFonts w:ascii="Work Sans" w:hAnsi="Work Sans" w:cs="Open Sans"/>
          <w:color w:val="FFFFFF"/>
          <w:sz w:val="28"/>
          <w:szCs w:val="28"/>
        </w:rPr>
      </w:pPr>
    </w:p>
    <w:p w:rsidR="00A4496C" w:rsidP="00A4496C" w:rsidRDefault="00A4496C" w14:paraId="027F18B6" w14:textId="77777777">
      <w:pPr>
        <w:rPr>
          <w:rFonts w:ascii="Work Sans" w:hAnsi="Work Sans" w:cs="Open Sans"/>
          <w:color w:val="FFFFFF"/>
          <w:sz w:val="28"/>
          <w:szCs w:val="28"/>
        </w:rPr>
      </w:pPr>
    </w:p>
    <w:p w:rsidR="00A4496C" w:rsidP="00A4496C" w:rsidRDefault="00A4496C" w14:paraId="60E3B9E9" w14:textId="77777777">
      <w:pPr>
        <w:rPr>
          <w:rFonts w:ascii="Work Sans" w:hAnsi="Work Sans" w:cs="Open Sans"/>
          <w:color w:val="FFFFFF"/>
          <w:sz w:val="28"/>
          <w:szCs w:val="28"/>
        </w:rPr>
      </w:pPr>
    </w:p>
    <w:p w:rsidR="00A4496C" w:rsidP="00A4496C" w:rsidRDefault="00A4496C" w14:paraId="1B5FF78A" w14:textId="77777777">
      <w:pPr>
        <w:jc w:val="center"/>
        <w:rPr>
          <w:rFonts w:ascii="Work Sans" w:hAnsi="Work Sans" w:cs="Open Sans"/>
          <w:color w:val="FFFFFF"/>
          <w:sz w:val="28"/>
          <w:szCs w:val="28"/>
        </w:rPr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8DC52D" wp14:editId="2BD23B19">
                <wp:simplePos x="0" y="0"/>
                <wp:positionH relativeFrom="margin">
                  <wp:align>center</wp:align>
                </wp:positionH>
                <wp:positionV relativeFrom="page">
                  <wp:posOffset>6528021</wp:posOffset>
                </wp:positionV>
                <wp:extent cx="1704975" cy="43878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A4C59" w:rsidR="00A4496C" w:rsidP="00A4496C" w:rsidRDefault="006C6F16" w14:paraId="177F7B0D" w14:textId="4F4600C9">
                            <w:pPr>
                              <w:jc w:val="center"/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  <w:t>October</w:t>
                            </w:r>
                            <w:r w:rsidR="00A4496C"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C59" w:rsidR="00A4496C"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3A29E94">
              <v:shape id="Text Box 30" style="position:absolute;left:0;text-align:left;margin-left:0;margin-top:514pt;width:134.25pt;height:34.5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tWGwIAADMEAAAOAAAAZHJzL2Uyb0RvYy54bWysU01vGyEQvVfqf0Dc6107duysvI7cRK4q&#10;RUkkp8oZs+BdCRgK2Lvur+/A+ktpT1UvMDDDfLz3mN93WpG9cL4BU9LhIKdEGA5VY7Yl/fG2+jKj&#10;xAdmKqbAiJIehKf3i8+f5q0txAhqUJVwBJMYX7S2pHUItsgyz2uhmR+AFQadEpxmAY9um1WOtZhd&#10;q2yU57dZC66yDrjwHm8feyddpPxSCh5epPQiEFVS7C2k1aV1E9dsMWfF1jFbN/zYBvuHLjRrDBY9&#10;p3pkgZGda/5IpRvuwIMMAw46AykbLtIMOM0w/zDNumZWpFkQHG/PMPn/l5Y/79f21ZHQfYUOCYyA&#10;tNYXHi/jPJ10Ou7YKUE/Qng4wya6QHh8NM3Hd9MJJRx945vZdDaJabLLa+t8+CZAk2iU1CEtCS22&#10;f/KhDz2FxGIGVo1SiRplSFvS25tJnh6cPZhcGaxx6TVaodt0pKlKOjrNsYHqgOM56Jn3lq8a7OGJ&#10;+fDKHFKNE6F8wwsuUgHWgqNFSQ3u19/uYzwygF5KWpROSf3PHXOCEvXdIDd3w/E4ai0dxpPpCA/u&#10;2rO59pidfgBU5xA/iuXJjPFBnUzpQL+jypexKrqY4Vi7pOFkPoRe0PhLuFguUxCqy7LwZNaWx9QR&#10;1YjwW/fOnD3SEJDAZziJjBUf2Ohjez6WuwCySVRFnHtUj/CjMhPZx18UpX99TlGXv774DQAA//8D&#10;AFBLAwQUAAYACAAAACEAvEKyjuAAAAAKAQAADwAAAGRycy9kb3ducmV2LnhtbEyPQU/DMAyF70j8&#10;h8hI3Fi6ShulNJ2mShMSgsPGLtzSxmsrEqc02Vb49XgndrPfs56/V6wmZ8UJx9B7UjCfJSCQGm96&#10;ahXsPzYPGYgQNRltPaGCHwywKm9vCp0bf6YtnnaxFRxCIdcKuhiHXMrQdOh0mPkBib2DH52OvI6t&#10;NKM+c7izMk2SpXS6J/7Q6QGrDpuv3dEpeK0273pbpy77tdXL22E9fO8/F0rd303rZxARp/h/DBd8&#10;RoeSmWp/JBOEVcBFIqtJmvHEfrrMFiDqi/T0OAdZFvK6QvkHAAD//wMAUEsBAi0AFAAGAAgAAAAh&#10;ALaDOJL+AAAA4QEAABMAAAAAAAAAAAAAAAAAAAAAAFtDb250ZW50X1R5cGVzXS54bWxQSwECLQAU&#10;AAYACAAAACEAOP0h/9YAAACUAQAACwAAAAAAAAAAAAAAAAAvAQAAX3JlbHMvLnJlbHNQSwECLQAU&#10;AAYACAAAACEADVl7VhsCAAAzBAAADgAAAAAAAAAAAAAAAAAuAgAAZHJzL2Uyb0RvYy54bWxQSwEC&#10;LQAUAAYACAAAACEAvEKyjuAAAAAKAQAADwAAAAAAAAAAAAAAAAB1BAAAZHJzL2Rvd25yZXYueG1s&#10;UEsFBgAAAAAEAAQA8wAAAIIFAAAAAA==&#10;" w14:anchorId="7A8DC52D">
                <v:textbox>
                  <w:txbxContent>
                    <w:p w:rsidRPr="00BA4C59" w:rsidR="00A4496C" w:rsidP="00A4496C" w:rsidRDefault="006C6F16" w14:paraId="4F093188" w14:textId="4F4600C9">
                      <w:pPr>
                        <w:jc w:val="center"/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  <w:t>October</w:t>
                      </w:r>
                      <w:r w:rsidR="00A4496C"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BA4C59" w:rsidR="00A4496C"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  <w:t>2023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A4496C" w:rsidP="00A4496C" w:rsidRDefault="00A4496C" w14:paraId="4BA83615" w14:textId="77777777">
      <w:pPr>
        <w:rPr>
          <w:rFonts w:ascii="Work Sans" w:hAnsi="Work Sans" w:cs="Open Sans"/>
          <w:color w:val="FFFFFF"/>
          <w:sz w:val="28"/>
          <w:szCs w:val="28"/>
        </w:rPr>
      </w:pPr>
    </w:p>
    <w:p w:rsidRPr="00704788" w:rsidR="00A4496C" w:rsidP="00A4496C" w:rsidRDefault="00A4496C" w14:paraId="0F2FB260" w14:textId="77777777">
      <w:pPr>
        <w:rPr>
          <w:rFonts w:ascii="Work Sans" w:hAnsi="Work Sans" w:cs="Open Sans"/>
          <w:color w:val="FFFFFF"/>
          <w:sz w:val="28"/>
          <w:szCs w:val="28"/>
        </w:rPr>
      </w:pPr>
    </w:p>
    <w:p w:rsidR="00A4496C" w:rsidP="00A4496C" w:rsidRDefault="00A4496C" w14:paraId="33DAD22F" w14:textId="77777777">
      <w:pPr>
        <w:pStyle w:val="Heading1"/>
        <w:jc w:val="center"/>
        <w:sectPr w:rsidR="00A4496C"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Pr="005B6B61" w:rsidR="00A4496C" w:rsidP="00A4496C" w:rsidRDefault="00A4496C" w14:paraId="6CBE2F96" w14:textId="77777777"/>
    <w:p w:rsidRPr="005B6B61" w:rsidR="00A4496C" w:rsidP="00A4496C" w:rsidRDefault="00A4496C" w14:paraId="57347784" w14:textId="77777777"/>
    <w:p w:rsidRPr="005B6B61" w:rsidR="00A4496C" w:rsidP="00A4496C" w:rsidRDefault="00A4496C" w14:paraId="12D9DDB2" w14:textId="77777777"/>
    <w:p w:rsidRPr="005B6B61" w:rsidR="00A4496C" w:rsidP="00A4496C" w:rsidRDefault="00A4496C" w14:paraId="4B1AA7DE" w14:textId="77777777"/>
    <w:p w:rsidRPr="005B6B61" w:rsidR="00A4496C" w:rsidP="00A4496C" w:rsidRDefault="00A4496C" w14:paraId="58A6BDF3" w14:textId="77777777"/>
    <w:p w:rsidRPr="005B6B61" w:rsidR="00A4496C" w:rsidP="00A4496C" w:rsidRDefault="00A4496C" w14:paraId="0FD1E600" w14:textId="77777777"/>
    <w:p w:rsidRPr="005B6B61" w:rsidR="00A4496C" w:rsidP="00A4496C" w:rsidRDefault="00A4496C" w14:paraId="027155DC" w14:textId="77777777"/>
    <w:p w:rsidR="00A4496C" w:rsidP="00A4496C" w:rsidRDefault="00A4496C" w14:paraId="50F793D1" w14:textId="77777777"/>
    <w:p w:rsidR="00A4496C" w:rsidP="00A4496C" w:rsidRDefault="00A4496C" w14:paraId="44EE89ED" w14:textId="77777777"/>
    <w:p w:rsidR="00A4496C" w:rsidP="00A4496C" w:rsidRDefault="00A4496C" w14:paraId="0E2E2124" w14:textId="77777777"/>
    <w:p w:rsidR="00A4496C" w:rsidP="00A4496C" w:rsidRDefault="00A4496C" w14:paraId="1ABA25F7" w14:textId="77777777"/>
    <w:p w:rsidR="00A4496C" w:rsidP="00A4496C" w:rsidRDefault="00A4496C" w14:paraId="724F3DEF" w14:textId="77777777"/>
    <w:p w:rsidRPr="005B6B61" w:rsidR="00A4496C" w:rsidP="00A4496C" w:rsidRDefault="00A4496C" w14:paraId="6507E56B" w14:textId="77777777"/>
    <w:p w:rsidRPr="005B6B61" w:rsidR="00A4496C" w:rsidP="00A4496C" w:rsidRDefault="00A4496C" w14:paraId="7AF933C7" w14:textId="77777777"/>
    <w:p w:rsidRPr="005B6B61" w:rsidR="00A4496C" w:rsidP="00A4496C" w:rsidRDefault="00A4496C" w14:paraId="45444770" w14:textId="77777777"/>
    <w:p w:rsidRPr="005B6B61" w:rsidR="00A4496C" w:rsidP="00A4496C" w:rsidRDefault="00A4496C" w14:paraId="67756E20" w14:textId="77777777"/>
    <w:p w:rsidRPr="005B6B61" w:rsidR="00A4496C" w:rsidP="00A4496C" w:rsidRDefault="00A4496C" w14:paraId="1F0EA4AF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4496C" w14:paraId="27AAC5DE" w14:textId="77777777">
        <w:tc>
          <w:tcPr>
            <w:tcW w:w="2972" w:type="dxa"/>
          </w:tcPr>
          <w:p w:rsidRPr="003119A7" w:rsidR="00A4496C" w:rsidP="002F79FE" w:rsidRDefault="00A4496C" w14:paraId="0FD08600" w14:textId="3DA7FF5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Paper issued</w:t>
            </w:r>
          </w:p>
        </w:tc>
        <w:tc>
          <w:tcPr>
            <w:tcW w:w="6044" w:type="dxa"/>
          </w:tcPr>
          <w:p w:rsidRPr="003119A7" w:rsidR="00A4496C" w:rsidRDefault="002F79FE" w14:paraId="4DB158DC" w14:textId="06DEBD91">
            <w:pPr>
              <w:rPr>
                <w:rFonts w:ascii="Work Sans" w:hAnsi="Work Sans"/>
                <w:szCs w:val="20"/>
              </w:rPr>
            </w:pPr>
            <w:r w:rsidRPr="002F79FE">
              <w:rPr>
                <w:rFonts w:ascii="Work Sans" w:hAnsi="Work Sans"/>
                <w:szCs w:val="20"/>
              </w:rPr>
              <w:t>6</w:t>
            </w:r>
            <w:r w:rsidR="00A4496C">
              <w:rPr>
                <w:rFonts w:ascii="Work Sans" w:hAnsi="Work Sans"/>
                <w:szCs w:val="20"/>
              </w:rPr>
              <w:t xml:space="preserve"> </w:t>
            </w:r>
            <w:r w:rsidR="006C6F16">
              <w:rPr>
                <w:rFonts w:ascii="Work Sans" w:hAnsi="Work Sans"/>
                <w:szCs w:val="20"/>
              </w:rPr>
              <w:t>October</w:t>
            </w:r>
            <w:r w:rsidR="00A4496C">
              <w:rPr>
                <w:rFonts w:ascii="Work Sans" w:hAnsi="Work Sans"/>
                <w:szCs w:val="20"/>
              </w:rPr>
              <w:t xml:space="preserve"> 2023</w:t>
            </w:r>
          </w:p>
        </w:tc>
      </w:tr>
      <w:tr w:rsidR="00A4496C" w14:paraId="4E5C39DD" w14:textId="77777777">
        <w:tc>
          <w:tcPr>
            <w:tcW w:w="2972" w:type="dxa"/>
          </w:tcPr>
          <w:p w:rsidRPr="003119A7" w:rsidR="00A4496C" w:rsidRDefault="00A4496C" w14:paraId="5D75963C" w14:textId="77777777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Commission contact officer</w:t>
            </w:r>
          </w:p>
        </w:tc>
        <w:tc>
          <w:tcPr>
            <w:tcW w:w="6044" w:type="dxa"/>
          </w:tcPr>
          <w:p w:rsidRPr="003119A7" w:rsidR="00A4496C" w:rsidRDefault="00A4496C" w14:paraId="03116BAB" w14:textId="77777777">
            <w:pPr>
              <w:rPr>
                <w:rFonts w:ascii="Work Sans" w:hAnsi="Work Sans"/>
                <w:szCs w:val="20"/>
              </w:rPr>
            </w:pPr>
            <w:r w:rsidRPr="002240A6">
              <w:rPr>
                <w:rFonts w:ascii="Work Sans" w:hAnsi="Work Sans"/>
                <w:szCs w:val="20"/>
              </w:rPr>
              <w:t>Dermot Doherty, 02 6218</w:t>
            </w:r>
            <w:r>
              <w:rPr>
                <w:rFonts w:ascii="Work Sans" w:hAnsi="Work Sans"/>
                <w:szCs w:val="20"/>
              </w:rPr>
              <w:t xml:space="preserve"> </w:t>
            </w:r>
            <w:r w:rsidRPr="002240A6">
              <w:rPr>
                <w:rFonts w:ascii="Work Sans" w:hAnsi="Work Sans"/>
                <w:szCs w:val="20"/>
              </w:rPr>
              <w:t xml:space="preserve">5717, </w:t>
            </w:r>
            <w:r>
              <w:rPr>
                <w:rFonts w:ascii="Work Sans" w:hAnsi="Work Sans"/>
                <w:szCs w:val="20"/>
              </w:rPr>
              <w:t>Dermot.Doherty@cgc.gov.au</w:t>
            </w:r>
            <w:r w:rsidRPr="003119A7">
              <w:rPr>
                <w:rFonts w:ascii="Work Sans" w:hAnsi="Work Sans"/>
                <w:szCs w:val="20"/>
              </w:rPr>
              <w:t xml:space="preserve"> </w:t>
            </w:r>
          </w:p>
        </w:tc>
      </w:tr>
      <w:tr w:rsidR="00A4496C" w14:paraId="3E20B0D3" w14:textId="77777777">
        <w:tc>
          <w:tcPr>
            <w:tcW w:w="2972" w:type="dxa"/>
          </w:tcPr>
          <w:p w:rsidRPr="003119A7" w:rsidR="00A4496C" w:rsidRDefault="00A4496C" w14:paraId="4324BCB6" w14:textId="77777777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Submissions sought by</w:t>
            </w:r>
          </w:p>
        </w:tc>
        <w:tc>
          <w:tcPr>
            <w:tcW w:w="6044" w:type="dxa"/>
          </w:tcPr>
          <w:p w:rsidR="00A4496C" w:rsidRDefault="0048247E" w14:paraId="73687266" w14:textId="2EAFFF41">
            <w:pPr>
              <w:rPr>
                <w:rFonts w:ascii="Work Sans" w:hAnsi="Work Sans"/>
                <w:szCs w:val="20"/>
              </w:rPr>
            </w:pPr>
            <w:r>
              <w:rPr>
                <w:rFonts w:ascii="Work Sans" w:hAnsi="Work Sans"/>
                <w:szCs w:val="20"/>
              </w:rPr>
              <w:t>1 March 2024</w:t>
            </w:r>
          </w:p>
          <w:p w:rsidRPr="003119A7" w:rsidR="00A4496C" w:rsidRDefault="00A4496C" w14:paraId="08F99C8F" w14:textId="7BE0F502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Submissions should be placed in your private state channel in CGC Engagement Teams, with a post notifying </w:t>
            </w:r>
            <w:r w:rsidR="0048247E">
              <w:rPr>
                <w:rFonts w:ascii="Work Sans" w:hAnsi="Work Sans"/>
                <w:szCs w:val="20"/>
              </w:rPr>
              <w:t>Katrina Baldock</w:t>
            </w:r>
            <w:r w:rsidRPr="003119A7">
              <w:rPr>
                <w:rFonts w:ascii="Work Sans" w:hAnsi="Work Sans"/>
                <w:szCs w:val="20"/>
              </w:rPr>
              <w:t>.</w:t>
            </w:r>
          </w:p>
          <w:p w:rsidRPr="003119A7" w:rsidR="00A4496C" w:rsidRDefault="00A4496C" w14:paraId="6AF7C3D5" w14:textId="2F58C825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Submissions </w:t>
            </w:r>
            <w:r>
              <w:rPr>
                <w:rFonts w:ascii="Work Sans" w:hAnsi="Work Sans"/>
                <w:szCs w:val="20"/>
              </w:rPr>
              <w:t xml:space="preserve">should be in Word format and posted in the relevant state channel of the CGC engagement Team. Submissions </w:t>
            </w:r>
            <w:r w:rsidRPr="003119A7">
              <w:rPr>
                <w:rFonts w:ascii="Work Sans" w:hAnsi="Work Sans"/>
                <w:szCs w:val="20"/>
              </w:rPr>
              <w:t>more than 10 pages in length should include a summary section.</w:t>
            </w:r>
          </w:p>
        </w:tc>
      </w:tr>
      <w:tr w:rsidR="00A4496C" w14:paraId="4D1EBA01" w14:textId="77777777">
        <w:tc>
          <w:tcPr>
            <w:tcW w:w="2972" w:type="dxa"/>
          </w:tcPr>
          <w:p w:rsidRPr="003119A7" w:rsidR="00A4496C" w:rsidRDefault="00A4496C" w14:paraId="072C5E9B" w14:textId="77777777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Confidential material</w:t>
            </w:r>
          </w:p>
        </w:tc>
        <w:tc>
          <w:tcPr>
            <w:tcW w:w="6044" w:type="dxa"/>
          </w:tcPr>
          <w:p w:rsidRPr="003119A7" w:rsidR="00A4496C" w:rsidRDefault="00A4496C" w14:paraId="4C360C84" w14:textId="3635EE63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It is the </w:t>
            </w:r>
            <w:r>
              <w:rPr>
                <w:rFonts w:ascii="Work Sans" w:hAnsi="Work Sans"/>
                <w:szCs w:val="20"/>
              </w:rPr>
              <w:t>C</w:t>
            </w:r>
            <w:r w:rsidRPr="003119A7">
              <w:rPr>
                <w:rFonts w:ascii="Work Sans" w:hAnsi="Work Sans"/>
                <w:szCs w:val="20"/>
              </w:rPr>
              <w:t xml:space="preserve">ommission’s normal practice to make state submissions available on its website under the CC BY licence, allowing free use of content by third parties. </w:t>
            </w:r>
          </w:p>
          <w:p w:rsidRPr="003119A7" w:rsidR="00A4496C" w:rsidRDefault="00A4496C" w14:paraId="508B043C" w14:textId="77777777">
            <w:pPr>
              <w:rPr>
                <w:rFonts w:ascii="Work Sans" w:hAnsi="Work Sans"/>
                <w:szCs w:val="20"/>
              </w:rPr>
            </w:pPr>
            <w:r w:rsidRPr="003119A7">
              <w:rPr>
                <w:noProof/>
                <w:szCs w:val="20"/>
                <w:lang w:eastAsia="en-AU"/>
              </w:rPr>
              <w:drawing>
                <wp:inline distT="0" distB="0" distL="0" distR="0" wp14:anchorId="3B31E95A" wp14:editId="04D1EF2D">
                  <wp:extent cx="828675" cy="295275"/>
                  <wp:effectExtent l="19050" t="0" r="9525" b="0"/>
                  <wp:docPr id="3" name="Picture 3" descr="Creative Commons - CC BY Attrib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- Attrib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3119A7" w:rsidR="00A4496C" w:rsidRDefault="00A4496C" w14:paraId="002E5B4D" w14:textId="6F6B2615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Further information on the CC BY licence can be found on the Creative Commons website (http://creativecommons.org). </w:t>
            </w:r>
          </w:p>
          <w:p w:rsidRPr="003119A7" w:rsidR="00A4496C" w:rsidRDefault="00A4496C" w14:paraId="0D7142DC" w14:textId="5DB05F28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Confidential material contained in submissions must be clearly identified or included in separate attachment/s, and details provided in the covering email. Identified confidential material will not be published on the </w:t>
            </w:r>
            <w:r>
              <w:rPr>
                <w:rFonts w:ascii="Work Sans" w:hAnsi="Work Sans"/>
                <w:szCs w:val="20"/>
              </w:rPr>
              <w:t>C</w:t>
            </w:r>
            <w:r w:rsidRPr="003119A7">
              <w:rPr>
                <w:rFonts w:ascii="Work Sans" w:hAnsi="Work Sans"/>
                <w:szCs w:val="20"/>
              </w:rPr>
              <w:t>ommission’s website.</w:t>
            </w:r>
          </w:p>
        </w:tc>
      </w:tr>
    </w:tbl>
    <w:p w:rsidR="00A4496C" w:rsidP="00A4496C" w:rsidRDefault="00A4496C" w14:paraId="2ED29688" w14:textId="77777777">
      <w:pPr>
        <w:sectPr w:rsidR="00A4496C">
          <w:headerReference w:type="default" r:id="rId15"/>
          <w:footerReference w:type="first" r:id="rId16"/>
          <w:pgSz w:w="11906" w:h="16838" w:code="9"/>
          <w:pgMar w:top="1440" w:right="1440" w:bottom="1440" w:left="1440" w:header="720" w:footer="720" w:gutter="0"/>
          <w:cols w:space="720"/>
          <w:docGrid w:linePitch="272"/>
        </w:sectPr>
      </w:pPr>
    </w:p>
    <w:sdt>
      <w:sdtPr>
        <w:rPr>
          <w:rFonts w:ascii="Open Sans Light" w:hAnsi="Open Sans Light" w:eastAsiaTheme="minorHAnsi" w:cstheme="minorBidi"/>
          <w:b w:val="0"/>
          <w:bCs w:val="0"/>
          <w:caps w:val="0"/>
          <w:color w:val="auto"/>
          <w:sz w:val="20"/>
          <w:szCs w:val="22"/>
        </w:rPr>
        <w:id w:val="20286645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A4496C" w:rsidP="00A4496C" w:rsidRDefault="00A4496C" w14:paraId="5FE5A71C" w14:textId="77777777">
          <w:pPr>
            <w:pStyle w:val="TOCHeading"/>
          </w:pPr>
          <w:r>
            <w:t>Contents</w:t>
          </w:r>
        </w:p>
        <w:p w:rsidR="006026B0" w:rsidRDefault="00A4496C" w14:paraId="230124E8" w14:textId="2DD28D52">
          <w:pPr>
            <w:pStyle w:val="TOC2"/>
            <w:rPr>
              <w:rFonts w:asciiTheme="minorHAnsi" w:hAnsiTheme="minorHAnsi" w:eastAsiaTheme="minorEastAsia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47402555">
            <w:r w:rsidRPr="003B669F" w:rsidR="006026B0">
              <w:rPr>
                <w:rStyle w:val="Hyperlink"/>
                <w:rFonts w:eastAsia="Times New Roman" w:cs="Open Sans"/>
                <w:noProof/>
              </w:rPr>
              <w:t>Overview of category</w:t>
            </w:r>
            <w:r w:rsidR="006026B0">
              <w:rPr>
                <w:noProof/>
                <w:webHidden/>
              </w:rPr>
              <w:tab/>
            </w:r>
            <w:r w:rsidR="006026B0">
              <w:rPr>
                <w:noProof/>
                <w:webHidden/>
              </w:rPr>
              <w:fldChar w:fldCharType="begin"/>
            </w:r>
            <w:r w:rsidR="006026B0">
              <w:rPr>
                <w:noProof/>
                <w:webHidden/>
              </w:rPr>
              <w:instrText xml:space="preserve"> PAGEREF _Toc147402555 \h </w:instrText>
            </w:r>
            <w:r w:rsidR="006026B0">
              <w:rPr>
                <w:noProof/>
                <w:webHidden/>
              </w:rPr>
            </w:r>
            <w:r w:rsidR="006026B0">
              <w:rPr>
                <w:noProof/>
                <w:webHidden/>
              </w:rPr>
              <w:fldChar w:fldCharType="separate"/>
            </w:r>
            <w:r w:rsidR="006026B0">
              <w:rPr>
                <w:noProof/>
                <w:webHidden/>
              </w:rPr>
              <w:t>4</w:t>
            </w:r>
            <w:r w:rsidR="006026B0">
              <w:rPr>
                <w:noProof/>
                <w:webHidden/>
              </w:rPr>
              <w:fldChar w:fldCharType="end"/>
            </w:r>
          </w:hyperlink>
        </w:p>
        <w:p w:rsidR="006026B0" w:rsidRDefault="00000000" w14:paraId="7DF1A5D4" w14:textId="65455411">
          <w:pPr>
            <w:pStyle w:val="TOC2"/>
            <w:rPr>
              <w:rFonts w:asciiTheme="minorHAnsi" w:hAnsiTheme="minorHAnsi" w:eastAsiaTheme="minorEastAsia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history="1" w:anchor="_Toc147402556">
            <w:r w:rsidRPr="003B669F" w:rsidR="006026B0">
              <w:rPr>
                <w:rStyle w:val="Hyperlink"/>
                <w:rFonts w:eastAsia="Times New Roman" w:cs="Open Sans"/>
                <w:noProof/>
              </w:rPr>
              <w:t>Current assessment method – 2020 Review</w:t>
            </w:r>
            <w:r w:rsidR="006026B0">
              <w:rPr>
                <w:noProof/>
                <w:webHidden/>
              </w:rPr>
              <w:tab/>
            </w:r>
            <w:r w:rsidR="006026B0">
              <w:rPr>
                <w:noProof/>
                <w:webHidden/>
              </w:rPr>
              <w:fldChar w:fldCharType="begin"/>
            </w:r>
            <w:r w:rsidR="006026B0">
              <w:rPr>
                <w:noProof/>
                <w:webHidden/>
              </w:rPr>
              <w:instrText xml:space="preserve"> PAGEREF _Toc147402556 \h </w:instrText>
            </w:r>
            <w:r w:rsidR="006026B0">
              <w:rPr>
                <w:noProof/>
                <w:webHidden/>
              </w:rPr>
            </w:r>
            <w:r w:rsidR="006026B0">
              <w:rPr>
                <w:noProof/>
                <w:webHidden/>
              </w:rPr>
              <w:fldChar w:fldCharType="separate"/>
            </w:r>
            <w:r w:rsidR="006026B0">
              <w:rPr>
                <w:noProof/>
                <w:webHidden/>
              </w:rPr>
              <w:t>4</w:t>
            </w:r>
            <w:r w:rsidR="006026B0">
              <w:rPr>
                <w:noProof/>
                <w:webHidden/>
              </w:rPr>
              <w:fldChar w:fldCharType="end"/>
            </w:r>
          </w:hyperlink>
        </w:p>
        <w:p w:rsidRPr="00B43E52" w:rsidR="006026B0" w:rsidRDefault="00000000" w14:paraId="3A73B625" w14:textId="5400793C">
          <w:pPr>
            <w:pStyle w:val="TOC3"/>
            <w:rPr>
              <w:rFonts w:asciiTheme="minorHAnsi" w:hAnsiTheme="minorHAnsi" w:eastAsiaTheme="minorEastAsia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history="1" w:anchor="_Toc147402557">
            <w:r w:rsidRPr="00B43E52" w:rsidR="006026B0">
              <w:rPr>
                <w:rStyle w:val="Hyperlink"/>
                <w:rFonts w:ascii="Work Sans" w:hAnsi="Work Sans" w:eastAsia="Times New Roman" w:cs="Open Sans"/>
                <w:noProof/>
              </w:rPr>
              <w:t>Data used in the assessment</w:t>
            </w:r>
            <w:r w:rsidRPr="00B43E52" w:rsidR="006026B0">
              <w:rPr>
                <w:noProof/>
                <w:webHidden/>
              </w:rPr>
              <w:tab/>
            </w:r>
            <w:r w:rsidRPr="00B43E52" w:rsidR="006026B0">
              <w:rPr>
                <w:noProof/>
                <w:webHidden/>
              </w:rPr>
              <w:fldChar w:fldCharType="begin"/>
            </w:r>
            <w:r w:rsidRPr="00B43E52" w:rsidR="006026B0">
              <w:rPr>
                <w:noProof/>
                <w:webHidden/>
              </w:rPr>
              <w:instrText xml:space="preserve"> PAGEREF _Toc147402557 \h </w:instrText>
            </w:r>
            <w:r w:rsidRPr="00B43E52" w:rsidR="006026B0">
              <w:rPr>
                <w:noProof/>
                <w:webHidden/>
              </w:rPr>
            </w:r>
            <w:r w:rsidRPr="00B43E52" w:rsidR="006026B0">
              <w:rPr>
                <w:noProof/>
                <w:webHidden/>
              </w:rPr>
              <w:fldChar w:fldCharType="separate"/>
            </w:r>
            <w:r w:rsidRPr="00B43E52" w:rsidR="006026B0">
              <w:rPr>
                <w:noProof/>
                <w:webHidden/>
              </w:rPr>
              <w:t>5</w:t>
            </w:r>
            <w:r w:rsidRPr="00B43E52" w:rsidR="006026B0">
              <w:rPr>
                <w:noProof/>
                <w:webHidden/>
              </w:rPr>
              <w:fldChar w:fldCharType="end"/>
            </w:r>
          </w:hyperlink>
        </w:p>
        <w:p w:rsidRPr="00B43E52" w:rsidR="006026B0" w:rsidRDefault="00000000" w14:paraId="041F744C" w14:textId="20667AD6">
          <w:pPr>
            <w:pStyle w:val="TOC3"/>
            <w:rPr>
              <w:rFonts w:asciiTheme="minorHAnsi" w:hAnsiTheme="minorHAnsi" w:eastAsiaTheme="minorEastAsia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history="1" w:anchor="_Toc147402558">
            <w:r w:rsidRPr="00B43E52" w:rsidR="006026B0">
              <w:rPr>
                <w:rStyle w:val="Hyperlink"/>
                <w:rFonts w:ascii="Work Sans" w:hAnsi="Work Sans" w:eastAsia="Times New Roman" w:cs="Open Sans"/>
                <w:noProof/>
              </w:rPr>
              <w:t>Category and component revenue</w:t>
            </w:r>
            <w:r w:rsidRPr="00B43E52" w:rsidR="006026B0">
              <w:rPr>
                <w:noProof/>
                <w:webHidden/>
              </w:rPr>
              <w:tab/>
            </w:r>
            <w:r w:rsidRPr="00B43E52" w:rsidR="006026B0">
              <w:rPr>
                <w:noProof/>
                <w:webHidden/>
              </w:rPr>
              <w:fldChar w:fldCharType="begin"/>
            </w:r>
            <w:r w:rsidRPr="00B43E52" w:rsidR="006026B0">
              <w:rPr>
                <w:noProof/>
                <w:webHidden/>
              </w:rPr>
              <w:instrText xml:space="preserve"> PAGEREF _Toc147402558 \h </w:instrText>
            </w:r>
            <w:r w:rsidRPr="00B43E52" w:rsidR="006026B0">
              <w:rPr>
                <w:noProof/>
                <w:webHidden/>
              </w:rPr>
            </w:r>
            <w:r w:rsidRPr="00B43E52" w:rsidR="006026B0">
              <w:rPr>
                <w:noProof/>
                <w:webHidden/>
              </w:rPr>
              <w:fldChar w:fldCharType="separate"/>
            </w:r>
            <w:r w:rsidRPr="00B43E52" w:rsidR="006026B0">
              <w:rPr>
                <w:noProof/>
                <w:webHidden/>
              </w:rPr>
              <w:t>5</w:t>
            </w:r>
            <w:r w:rsidRPr="00B43E52" w:rsidR="006026B0">
              <w:rPr>
                <w:noProof/>
                <w:webHidden/>
              </w:rPr>
              <w:fldChar w:fldCharType="end"/>
            </w:r>
          </w:hyperlink>
        </w:p>
        <w:p w:rsidRPr="00B43E52" w:rsidR="006026B0" w:rsidRDefault="00000000" w14:paraId="45BD4CB1" w14:textId="4AB909A7">
          <w:pPr>
            <w:pStyle w:val="TOC3"/>
            <w:rPr>
              <w:rFonts w:asciiTheme="minorHAnsi" w:hAnsiTheme="minorHAnsi" w:eastAsiaTheme="minorEastAsia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history="1" w:anchor="_Toc147402559">
            <w:r w:rsidRPr="00B43E52" w:rsidR="006026B0">
              <w:rPr>
                <w:rStyle w:val="Hyperlink"/>
                <w:rFonts w:ascii="Work Sans" w:hAnsi="Work Sans" w:eastAsia="Times New Roman" w:cs="Open Sans"/>
                <w:noProof/>
              </w:rPr>
              <w:t>GST distribution in the 2023 Update</w:t>
            </w:r>
            <w:r w:rsidRPr="00B43E52" w:rsidR="006026B0">
              <w:rPr>
                <w:noProof/>
                <w:webHidden/>
              </w:rPr>
              <w:tab/>
            </w:r>
            <w:r w:rsidRPr="00B43E52" w:rsidR="006026B0">
              <w:rPr>
                <w:noProof/>
                <w:webHidden/>
              </w:rPr>
              <w:fldChar w:fldCharType="begin"/>
            </w:r>
            <w:r w:rsidRPr="00B43E52" w:rsidR="006026B0">
              <w:rPr>
                <w:noProof/>
                <w:webHidden/>
              </w:rPr>
              <w:instrText xml:space="preserve"> PAGEREF _Toc147402559 \h </w:instrText>
            </w:r>
            <w:r w:rsidRPr="00B43E52" w:rsidR="006026B0">
              <w:rPr>
                <w:noProof/>
                <w:webHidden/>
              </w:rPr>
            </w:r>
            <w:r w:rsidRPr="00B43E52" w:rsidR="006026B0">
              <w:rPr>
                <w:noProof/>
                <w:webHidden/>
              </w:rPr>
              <w:fldChar w:fldCharType="separate"/>
            </w:r>
            <w:r w:rsidRPr="00B43E52" w:rsidR="006026B0">
              <w:rPr>
                <w:noProof/>
                <w:webHidden/>
              </w:rPr>
              <w:t>6</w:t>
            </w:r>
            <w:r w:rsidRPr="00B43E52" w:rsidR="006026B0">
              <w:rPr>
                <w:noProof/>
                <w:webHidden/>
              </w:rPr>
              <w:fldChar w:fldCharType="end"/>
            </w:r>
          </w:hyperlink>
        </w:p>
        <w:p w:rsidR="006026B0" w:rsidRDefault="00000000" w14:paraId="0A340E47" w14:textId="160E15E2">
          <w:pPr>
            <w:pStyle w:val="TOC2"/>
            <w:rPr>
              <w:rFonts w:asciiTheme="minorHAnsi" w:hAnsiTheme="minorHAnsi" w:eastAsiaTheme="minorEastAsia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history="1" w:anchor="_Toc147402560">
            <w:r w:rsidRPr="003B669F" w:rsidR="006026B0">
              <w:rPr>
                <w:rStyle w:val="Hyperlink"/>
                <w:rFonts w:eastAsia="Times New Roman" w:cs="Open Sans"/>
                <w:noProof/>
              </w:rPr>
              <w:t>What has changed since the 2020 Review?</w:t>
            </w:r>
            <w:r w:rsidR="006026B0">
              <w:rPr>
                <w:noProof/>
                <w:webHidden/>
              </w:rPr>
              <w:tab/>
            </w:r>
            <w:r w:rsidR="006026B0">
              <w:rPr>
                <w:noProof/>
                <w:webHidden/>
              </w:rPr>
              <w:fldChar w:fldCharType="begin"/>
            </w:r>
            <w:r w:rsidR="006026B0">
              <w:rPr>
                <w:noProof/>
                <w:webHidden/>
              </w:rPr>
              <w:instrText xml:space="preserve"> PAGEREF _Toc147402560 \h </w:instrText>
            </w:r>
            <w:r w:rsidR="006026B0">
              <w:rPr>
                <w:noProof/>
                <w:webHidden/>
              </w:rPr>
            </w:r>
            <w:r w:rsidR="006026B0">
              <w:rPr>
                <w:noProof/>
                <w:webHidden/>
              </w:rPr>
              <w:fldChar w:fldCharType="separate"/>
            </w:r>
            <w:r w:rsidR="006026B0">
              <w:rPr>
                <w:noProof/>
                <w:webHidden/>
              </w:rPr>
              <w:t>6</w:t>
            </w:r>
            <w:r w:rsidR="006026B0">
              <w:rPr>
                <w:noProof/>
                <w:webHidden/>
              </w:rPr>
              <w:fldChar w:fldCharType="end"/>
            </w:r>
          </w:hyperlink>
        </w:p>
        <w:p w:rsidRPr="00B43E52" w:rsidR="006026B0" w:rsidRDefault="00000000" w14:paraId="0A146375" w14:textId="0CA8BDBA">
          <w:pPr>
            <w:pStyle w:val="TOC3"/>
            <w:rPr>
              <w:rFonts w:asciiTheme="minorHAnsi" w:hAnsiTheme="minorHAnsi" w:eastAsiaTheme="minorEastAsia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history="1" w:anchor="_Toc147402561">
            <w:r w:rsidRPr="00B43E52" w:rsidR="006026B0">
              <w:rPr>
                <w:rStyle w:val="Hyperlink"/>
                <w:rFonts w:ascii="Work Sans" w:hAnsi="Work Sans" w:eastAsia="Times New Roman" w:cs="Open Sans"/>
                <w:noProof/>
              </w:rPr>
              <w:t>Composition of the category</w:t>
            </w:r>
            <w:r w:rsidRPr="00B43E52" w:rsidR="006026B0">
              <w:rPr>
                <w:noProof/>
                <w:webHidden/>
              </w:rPr>
              <w:tab/>
            </w:r>
            <w:r w:rsidRPr="00B43E52" w:rsidR="006026B0">
              <w:rPr>
                <w:noProof/>
                <w:webHidden/>
              </w:rPr>
              <w:fldChar w:fldCharType="begin"/>
            </w:r>
            <w:r w:rsidRPr="00B43E52" w:rsidR="006026B0">
              <w:rPr>
                <w:noProof/>
                <w:webHidden/>
              </w:rPr>
              <w:instrText xml:space="preserve"> PAGEREF _Toc147402561 \h </w:instrText>
            </w:r>
            <w:r w:rsidRPr="00B43E52" w:rsidR="006026B0">
              <w:rPr>
                <w:noProof/>
                <w:webHidden/>
              </w:rPr>
            </w:r>
            <w:r w:rsidRPr="00B43E52" w:rsidR="006026B0">
              <w:rPr>
                <w:noProof/>
                <w:webHidden/>
              </w:rPr>
              <w:fldChar w:fldCharType="separate"/>
            </w:r>
            <w:r w:rsidRPr="00B43E52" w:rsidR="006026B0">
              <w:rPr>
                <w:noProof/>
                <w:webHidden/>
              </w:rPr>
              <w:t>6</w:t>
            </w:r>
            <w:r w:rsidRPr="00B43E52" w:rsidR="006026B0">
              <w:rPr>
                <w:noProof/>
                <w:webHidden/>
              </w:rPr>
              <w:fldChar w:fldCharType="end"/>
            </w:r>
          </w:hyperlink>
        </w:p>
        <w:p w:rsidRPr="00B43E52" w:rsidR="006026B0" w:rsidRDefault="00000000" w14:paraId="4B3832AE" w14:textId="511DBA76">
          <w:pPr>
            <w:pStyle w:val="TOC3"/>
            <w:rPr>
              <w:rFonts w:asciiTheme="minorHAnsi" w:hAnsiTheme="minorHAnsi" w:eastAsiaTheme="minorEastAsia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history="1" w:anchor="_Toc147402562">
            <w:r w:rsidRPr="00B43E52" w:rsidR="006026B0">
              <w:rPr>
                <w:rStyle w:val="Hyperlink"/>
                <w:rFonts w:ascii="Work Sans" w:hAnsi="Work Sans" w:eastAsia="Times New Roman" w:cs="Open Sans"/>
                <w:noProof/>
              </w:rPr>
              <w:t>Assessment of the category</w:t>
            </w:r>
            <w:r w:rsidRPr="00B43E52" w:rsidR="006026B0">
              <w:rPr>
                <w:noProof/>
                <w:webHidden/>
              </w:rPr>
              <w:tab/>
            </w:r>
            <w:r w:rsidRPr="00B43E52" w:rsidR="006026B0">
              <w:rPr>
                <w:noProof/>
                <w:webHidden/>
              </w:rPr>
              <w:fldChar w:fldCharType="begin"/>
            </w:r>
            <w:r w:rsidRPr="00B43E52" w:rsidR="006026B0">
              <w:rPr>
                <w:noProof/>
                <w:webHidden/>
              </w:rPr>
              <w:instrText xml:space="preserve"> PAGEREF _Toc147402562 \h </w:instrText>
            </w:r>
            <w:r w:rsidRPr="00B43E52" w:rsidR="006026B0">
              <w:rPr>
                <w:noProof/>
                <w:webHidden/>
              </w:rPr>
            </w:r>
            <w:r w:rsidRPr="00B43E52" w:rsidR="006026B0">
              <w:rPr>
                <w:noProof/>
                <w:webHidden/>
              </w:rPr>
              <w:fldChar w:fldCharType="separate"/>
            </w:r>
            <w:r w:rsidRPr="00B43E52" w:rsidR="006026B0">
              <w:rPr>
                <w:noProof/>
                <w:webHidden/>
              </w:rPr>
              <w:t>7</w:t>
            </w:r>
            <w:r w:rsidRPr="00B43E52" w:rsidR="006026B0">
              <w:rPr>
                <w:noProof/>
                <w:webHidden/>
              </w:rPr>
              <w:fldChar w:fldCharType="end"/>
            </w:r>
          </w:hyperlink>
        </w:p>
        <w:p w:rsidR="006026B0" w:rsidRDefault="00000000" w14:paraId="45FD195F" w14:textId="7A3055CA">
          <w:pPr>
            <w:pStyle w:val="TOC2"/>
            <w:rPr>
              <w:rFonts w:asciiTheme="minorHAnsi" w:hAnsiTheme="minorHAnsi" w:eastAsiaTheme="minorEastAsia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history="1" w:anchor="_Toc147402563">
            <w:r w:rsidRPr="003B669F" w:rsidR="006026B0">
              <w:rPr>
                <w:rStyle w:val="Hyperlink"/>
                <w:rFonts w:eastAsia="Times New Roman" w:cs="Open Sans"/>
                <w:noProof/>
              </w:rPr>
              <w:t>Proposed assessment</w:t>
            </w:r>
            <w:r w:rsidR="006026B0">
              <w:rPr>
                <w:noProof/>
                <w:webHidden/>
              </w:rPr>
              <w:tab/>
            </w:r>
            <w:r w:rsidR="006026B0">
              <w:rPr>
                <w:noProof/>
                <w:webHidden/>
              </w:rPr>
              <w:fldChar w:fldCharType="begin"/>
            </w:r>
            <w:r w:rsidR="006026B0">
              <w:rPr>
                <w:noProof/>
                <w:webHidden/>
              </w:rPr>
              <w:instrText xml:space="preserve"> PAGEREF _Toc147402563 \h </w:instrText>
            </w:r>
            <w:r w:rsidR="006026B0">
              <w:rPr>
                <w:noProof/>
                <w:webHidden/>
              </w:rPr>
            </w:r>
            <w:r w:rsidR="006026B0">
              <w:rPr>
                <w:noProof/>
                <w:webHidden/>
              </w:rPr>
              <w:fldChar w:fldCharType="separate"/>
            </w:r>
            <w:r w:rsidR="006026B0">
              <w:rPr>
                <w:noProof/>
                <w:webHidden/>
              </w:rPr>
              <w:t>7</w:t>
            </w:r>
            <w:r w:rsidR="006026B0">
              <w:rPr>
                <w:noProof/>
                <w:webHidden/>
              </w:rPr>
              <w:fldChar w:fldCharType="end"/>
            </w:r>
          </w:hyperlink>
        </w:p>
        <w:p w:rsidRPr="00B43E52" w:rsidR="006026B0" w:rsidRDefault="00000000" w14:paraId="19C33B63" w14:textId="51D1A81A">
          <w:pPr>
            <w:pStyle w:val="TOC3"/>
            <w:rPr>
              <w:rFonts w:asciiTheme="minorHAnsi" w:hAnsiTheme="minorHAnsi" w:eastAsiaTheme="minorEastAsia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history="1" w:anchor="_Toc147402564">
            <w:r w:rsidRPr="00B43E52" w:rsidR="006026B0">
              <w:rPr>
                <w:rStyle w:val="Hyperlink"/>
                <w:rFonts w:ascii="Work Sans" w:hAnsi="Work Sans" w:eastAsia="Times New Roman" w:cs="Open Sans"/>
                <w:noProof/>
              </w:rPr>
              <w:t>Differences from the 2020 Review approach</w:t>
            </w:r>
            <w:r w:rsidRPr="00B43E52" w:rsidR="006026B0">
              <w:rPr>
                <w:noProof/>
                <w:webHidden/>
              </w:rPr>
              <w:tab/>
            </w:r>
            <w:r w:rsidRPr="00B43E52" w:rsidR="006026B0">
              <w:rPr>
                <w:noProof/>
                <w:webHidden/>
              </w:rPr>
              <w:fldChar w:fldCharType="begin"/>
            </w:r>
            <w:r w:rsidRPr="00B43E52" w:rsidR="006026B0">
              <w:rPr>
                <w:noProof/>
                <w:webHidden/>
              </w:rPr>
              <w:instrText xml:space="preserve"> PAGEREF _Toc147402564 \h </w:instrText>
            </w:r>
            <w:r w:rsidRPr="00B43E52" w:rsidR="006026B0">
              <w:rPr>
                <w:noProof/>
                <w:webHidden/>
              </w:rPr>
            </w:r>
            <w:r w:rsidRPr="00B43E52" w:rsidR="006026B0">
              <w:rPr>
                <w:noProof/>
                <w:webHidden/>
              </w:rPr>
              <w:fldChar w:fldCharType="separate"/>
            </w:r>
            <w:r w:rsidRPr="00B43E52" w:rsidR="006026B0">
              <w:rPr>
                <w:noProof/>
                <w:webHidden/>
              </w:rPr>
              <w:t>7</w:t>
            </w:r>
            <w:r w:rsidRPr="00B43E52" w:rsidR="006026B0">
              <w:rPr>
                <w:noProof/>
                <w:webHidden/>
              </w:rPr>
              <w:fldChar w:fldCharType="end"/>
            </w:r>
          </w:hyperlink>
        </w:p>
        <w:p w:rsidRPr="00B43E52" w:rsidR="006026B0" w:rsidRDefault="00000000" w14:paraId="71CA11B0" w14:textId="50CDF856">
          <w:pPr>
            <w:pStyle w:val="TOC3"/>
            <w:rPr>
              <w:rFonts w:asciiTheme="minorHAnsi" w:hAnsiTheme="minorHAnsi" w:eastAsiaTheme="minorEastAsia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history="1" w:anchor="_Toc147402565">
            <w:r w:rsidRPr="00B43E52" w:rsidR="006026B0">
              <w:rPr>
                <w:rStyle w:val="Hyperlink"/>
                <w:rFonts w:ascii="Work Sans" w:hAnsi="Work Sans" w:eastAsia="Times New Roman" w:cs="Open Sans"/>
                <w:noProof/>
              </w:rPr>
              <w:t>Proposed assessment structure</w:t>
            </w:r>
            <w:r w:rsidRPr="00B43E52" w:rsidR="006026B0">
              <w:rPr>
                <w:noProof/>
                <w:webHidden/>
              </w:rPr>
              <w:tab/>
            </w:r>
            <w:r w:rsidRPr="00B43E52" w:rsidR="006026B0">
              <w:rPr>
                <w:noProof/>
                <w:webHidden/>
              </w:rPr>
              <w:fldChar w:fldCharType="begin"/>
            </w:r>
            <w:r w:rsidRPr="00B43E52" w:rsidR="006026B0">
              <w:rPr>
                <w:noProof/>
                <w:webHidden/>
              </w:rPr>
              <w:instrText xml:space="preserve"> PAGEREF _Toc147402565 \h </w:instrText>
            </w:r>
            <w:r w:rsidRPr="00B43E52" w:rsidR="006026B0">
              <w:rPr>
                <w:noProof/>
                <w:webHidden/>
              </w:rPr>
            </w:r>
            <w:r w:rsidRPr="00B43E52" w:rsidR="006026B0">
              <w:rPr>
                <w:noProof/>
                <w:webHidden/>
              </w:rPr>
              <w:fldChar w:fldCharType="separate"/>
            </w:r>
            <w:r w:rsidRPr="00B43E52" w:rsidR="006026B0">
              <w:rPr>
                <w:noProof/>
                <w:webHidden/>
              </w:rPr>
              <w:t>7</w:t>
            </w:r>
            <w:r w:rsidRPr="00B43E52" w:rsidR="006026B0">
              <w:rPr>
                <w:noProof/>
                <w:webHidden/>
              </w:rPr>
              <w:fldChar w:fldCharType="end"/>
            </w:r>
          </w:hyperlink>
        </w:p>
        <w:p w:rsidR="006026B0" w:rsidRDefault="00000000" w14:paraId="70158D23" w14:textId="36653BF8">
          <w:pPr>
            <w:pStyle w:val="TOC2"/>
            <w:rPr>
              <w:rFonts w:asciiTheme="minorHAnsi" w:hAnsiTheme="minorHAnsi" w:eastAsiaTheme="minorEastAsia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history="1" w:anchor="_Toc147402566">
            <w:r w:rsidRPr="003B669F" w:rsidR="006026B0">
              <w:rPr>
                <w:rStyle w:val="Hyperlink"/>
                <w:rFonts w:eastAsia="Times New Roman" w:cs="Open Sans"/>
                <w:noProof/>
              </w:rPr>
              <w:t>Consultation</w:t>
            </w:r>
            <w:r w:rsidR="006026B0">
              <w:rPr>
                <w:noProof/>
                <w:webHidden/>
              </w:rPr>
              <w:tab/>
            </w:r>
            <w:r w:rsidR="006026B0">
              <w:rPr>
                <w:noProof/>
                <w:webHidden/>
              </w:rPr>
              <w:fldChar w:fldCharType="begin"/>
            </w:r>
            <w:r w:rsidR="006026B0">
              <w:rPr>
                <w:noProof/>
                <w:webHidden/>
              </w:rPr>
              <w:instrText xml:space="preserve"> PAGEREF _Toc147402566 \h </w:instrText>
            </w:r>
            <w:r w:rsidR="006026B0">
              <w:rPr>
                <w:noProof/>
                <w:webHidden/>
              </w:rPr>
            </w:r>
            <w:r w:rsidR="006026B0">
              <w:rPr>
                <w:noProof/>
                <w:webHidden/>
              </w:rPr>
              <w:fldChar w:fldCharType="separate"/>
            </w:r>
            <w:r w:rsidR="006026B0">
              <w:rPr>
                <w:noProof/>
                <w:webHidden/>
              </w:rPr>
              <w:t>8</w:t>
            </w:r>
            <w:r w:rsidR="006026B0">
              <w:rPr>
                <w:noProof/>
                <w:webHidden/>
              </w:rPr>
              <w:fldChar w:fldCharType="end"/>
            </w:r>
          </w:hyperlink>
        </w:p>
        <w:p w:rsidR="00A4496C" w:rsidP="00A4496C" w:rsidRDefault="00A4496C" w14:paraId="33BC6EB6" w14:textId="05D46FD4">
          <w:r>
            <w:rPr>
              <w:b/>
              <w:bCs/>
              <w:noProof/>
            </w:rPr>
            <w:fldChar w:fldCharType="end"/>
          </w:r>
        </w:p>
      </w:sdtContent>
    </w:sdt>
    <w:p w:rsidR="00A4496C" w:rsidP="00A4496C" w:rsidRDefault="00A4496C" w14:paraId="5EF00FA9" w14:textId="77777777">
      <w:pPr>
        <w:sectPr w:rsidR="00A4496C">
          <w:footerReference w:type="default" r:id="rId17"/>
          <w:pgSz w:w="11906" w:h="16838" w:code="9"/>
          <w:pgMar w:top="1440" w:right="1440" w:bottom="1440" w:left="1440" w:header="720" w:footer="720" w:gutter="0"/>
          <w:pgNumType w:start="3"/>
          <w:cols w:space="720"/>
          <w:docGrid w:linePitch="272"/>
        </w:sectPr>
      </w:pPr>
    </w:p>
    <w:p w:rsidRPr="000261A3" w:rsidR="00A4496C" w:rsidP="000261A3" w:rsidRDefault="00A4496C" w14:paraId="3A95B48A" w14:textId="77777777">
      <w:pPr>
        <w:pStyle w:val="Heading2"/>
        <w:keepNext w:val="0"/>
        <w:widowControl/>
        <w:tabs>
          <w:tab w:val="clear" w:pos="567"/>
        </w:tabs>
        <w:spacing w:before="360" w:after="200" w:line="276" w:lineRule="auto"/>
        <w:rPr>
          <w:rFonts w:eastAsia="Times New Roman" w:cs="Open Sans"/>
          <w:color w:val="006991"/>
          <w:sz w:val="36"/>
          <w:szCs w:val="36"/>
        </w:rPr>
      </w:pPr>
      <w:bookmarkStart w:name="_Toc133236145" w:id="0"/>
      <w:bookmarkStart w:name="_Toc133236171" w:id="1"/>
      <w:bookmarkStart w:name="_Toc147402555" w:id="2"/>
      <w:r w:rsidRPr="000261A3">
        <w:rPr>
          <w:rFonts w:eastAsia="Times New Roman" w:cs="Open Sans"/>
          <w:color w:val="006991"/>
          <w:sz w:val="36"/>
          <w:szCs w:val="36"/>
        </w:rPr>
        <w:t>Overview of category</w:t>
      </w:r>
      <w:bookmarkEnd w:id="0"/>
      <w:bookmarkEnd w:id="1"/>
      <w:bookmarkEnd w:id="2"/>
    </w:p>
    <w:p w:rsidR="000D2A43" w:rsidP="00A4496C" w:rsidRDefault="00A4496C" w14:paraId="461690B6" w14:textId="5883324A">
      <w:pPr>
        <w:pStyle w:val="CGC2025ParaNumbers"/>
      </w:pPr>
      <w:bookmarkStart w:name="_Toc116563445" w:id="3"/>
      <w:bookmarkStart w:name="_Toc117241705" w:id="4"/>
      <w:bookmarkStart w:name="_Toc133236146" w:id="5"/>
      <w:bookmarkStart w:name="_Toc133236172" w:id="6"/>
      <w:r>
        <w:t xml:space="preserve">The </w:t>
      </w:r>
      <w:r w:rsidR="00C9254F">
        <w:t>other revenue</w:t>
      </w:r>
      <w:r>
        <w:t xml:space="preserve"> </w:t>
      </w:r>
      <w:r w:rsidRPr="00A4496C">
        <w:t xml:space="preserve">category </w:t>
      </w:r>
      <w:r w:rsidR="00941910">
        <w:t>comprises</w:t>
      </w:r>
      <w:r w:rsidR="00C11FBE">
        <w:t xml:space="preserve"> </w:t>
      </w:r>
      <w:r w:rsidR="008D5477">
        <w:t xml:space="preserve">the residual of state </w:t>
      </w:r>
      <w:r w:rsidRPr="00A4496C">
        <w:t xml:space="preserve">revenues </w:t>
      </w:r>
      <w:r w:rsidR="00AE44BF">
        <w:t>remaining</w:t>
      </w:r>
      <w:r w:rsidRPr="00A4496C">
        <w:t xml:space="preserve"> after those which the Commission has decided to </w:t>
      </w:r>
      <w:r w:rsidRPr="00A4496C" w:rsidR="00941910">
        <w:t xml:space="preserve">differentially </w:t>
      </w:r>
      <w:r w:rsidRPr="00A4496C">
        <w:t xml:space="preserve">assess have been identified and classified to </w:t>
      </w:r>
      <w:r w:rsidR="004635B0">
        <w:t>individual</w:t>
      </w:r>
      <w:r w:rsidRPr="00A4496C">
        <w:t xml:space="preserve"> revenue categories</w:t>
      </w:r>
      <w:r>
        <w:t>.</w:t>
      </w:r>
    </w:p>
    <w:p w:rsidR="00A31A0F" w:rsidP="00A31A0F" w:rsidRDefault="00A31A0F" w14:paraId="2BB1D161" w14:textId="77777777">
      <w:pPr>
        <w:pStyle w:val="CGC2025ParaNumbers"/>
      </w:pPr>
      <w:r>
        <w:t>The category includes:</w:t>
      </w:r>
    </w:p>
    <w:p w:rsidRPr="00B35E14" w:rsidR="00A31A0F" w:rsidP="00A31A0F" w:rsidRDefault="00A31A0F" w14:paraId="5FBA4A4E" w14:textId="77777777">
      <w:pPr>
        <w:pStyle w:val="CGC2025Bullet1"/>
        <w:numPr>
          <w:ilvl w:val="0"/>
          <w:numId w:val="2"/>
        </w:numPr>
      </w:pPr>
      <w:r>
        <w:t>gambling taxes</w:t>
      </w:r>
    </w:p>
    <w:p w:rsidRPr="00B35E14" w:rsidR="00A31A0F" w:rsidP="00A31A0F" w:rsidRDefault="00A31A0F" w14:paraId="08C18AE6" w14:textId="77777777">
      <w:pPr>
        <w:pStyle w:val="CGC2025Bullet1"/>
        <w:numPr>
          <w:ilvl w:val="0"/>
          <w:numId w:val="2"/>
        </w:numPr>
      </w:pPr>
      <w:r>
        <w:t xml:space="preserve">fees, </w:t>
      </w:r>
      <w:proofErr w:type="gramStart"/>
      <w:r>
        <w:t>fines</w:t>
      </w:r>
      <w:proofErr w:type="gramEnd"/>
      <w:r>
        <w:t xml:space="preserve"> and forfeits</w:t>
      </w:r>
    </w:p>
    <w:p w:rsidR="00A31A0F" w:rsidP="00A31A0F" w:rsidRDefault="00A31A0F" w14:paraId="03FA5700" w14:textId="77777777">
      <w:pPr>
        <w:pStyle w:val="CGC2025Bullet1"/>
        <w:numPr>
          <w:ilvl w:val="0"/>
          <w:numId w:val="2"/>
        </w:numPr>
      </w:pPr>
      <w:r>
        <w:t>interest income</w:t>
      </w:r>
    </w:p>
    <w:p w:rsidRPr="00B35E14" w:rsidR="00A31A0F" w:rsidP="00A31A0F" w:rsidRDefault="00A31A0F" w14:paraId="35E84C61" w14:textId="77777777">
      <w:pPr>
        <w:pStyle w:val="CGC2025Bullet1"/>
        <w:numPr>
          <w:ilvl w:val="0"/>
          <w:numId w:val="2"/>
        </w:numPr>
      </w:pPr>
      <w:r>
        <w:t>dividend income</w:t>
      </w:r>
    </w:p>
    <w:p w:rsidRPr="00B35E14" w:rsidR="00A31A0F" w:rsidP="00A31A0F" w:rsidRDefault="00A31A0F" w14:paraId="2BC6F39D" w14:textId="3B22E3D9">
      <w:pPr>
        <w:pStyle w:val="CGC2025Bullet1"/>
        <w:numPr>
          <w:ilvl w:val="0"/>
          <w:numId w:val="2"/>
        </w:numPr>
      </w:pPr>
      <w:r>
        <w:t>for the ACT only, municipal rates</w:t>
      </w:r>
      <w:r w:rsidR="009F026A">
        <w:rPr>
          <w:rStyle w:val="FootnoteReference"/>
        </w:rPr>
        <w:footnoteReference w:id="2"/>
      </w:r>
      <w:r>
        <w:t xml:space="preserve"> </w:t>
      </w:r>
    </w:p>
    <w:p w:rsidR="00A31A0F" w:rsidP="00A31A0F" w:rsidRDefault="00A31A0F" w14:paraId="0A7CA7BA" w14:textId="77777777">
      <w:pPr>
        <w:pStyle w:val="CGC2025Bullet1"/>
        <w:numPr>
          <w:ilvl w:val="0"/>
          <w:numId w:val="2"/>
        </w:numPr>
      </w:pPr>
      <w:r>
        <w:t xml:space="preserve">user </w:t>
      </w:r>
      <w:r w:rsidRPr="00A4496C">
        <w:t>charges the Commission has decided to assess equal per capita</w:t>
      </w:r>
      <w:r w:rsidRPr="00B35E14">
        <w:t>.</w:t>
      </w:r>
    </w:p>
    <w:p w:rsidRPr="00BE2E10" w:rsidR="00A4496C" w:rsidP="00A4496C" w:rsidRDefault="000D2A43" w14:paraId="1C3BEC6D" w14:textId="6E3875BD">
      <w:pPr>
        <w:pStyle w:val="CGC2025ParaNumbers"/>
      </w:pPr>
      <w:r w:rsidRPr="00BE2E10">
        <w:t>T</w:t>
      </w:r>
      <w:r w:rsidRPr="00BE2E10" w:rsidR="004504B0">
        <w:t>he Commission</w:t>
      </w:r>
      <w:r w:rsidRPr="00BE2E10" w:rsidR="00C30106">
        <w:t xml:space="preserve"> has issued a separate consultation paper on gambling. It</w:t>
      </w:r>
      <w:r w:rsidRPr="00BE2E10" w:rsidR="004504B0">
        <w:t xml:space="preserve">s </w:t>
      </w:r>
      <w:r w:rsidRPr="00BE2E10">
        <w:t xml:space="preserve">preliminary </w:t>
      </w:r>
      <w:r w:rsidRPr="00BE2E10" w:rsidR="004504B0">
        <w:t xml:space="preserve">view is </w:t>
      </w:r>
      <w:r w:rsidRPr="00BE2E10">
        <w:t xml:space="preserve">to continue to assess gambling </w:t>
      </w:r>
      <w:r w:rsidRPr="00BE2E10" w:rsidR="00FF19CF">
        <w:t xml:space="preserve">in </w:t>
      </w:r>
      <w:r w:rsidRPr="00BE2E10" w:rsidR="005A79C8">
        <w:t xml:space="preserve">the </w:t>
      </w:r>
      <w:r w:rsidRPr="00BE2E10" w:rsidR="008C5C9A">
        <w:t>other</w:t>
      </w:r>
      <w:r w:rsidRPr="00BE2E10" w:rsidR="00FF19CF">
        <w:t xml:space="preserve"> revenue</w:t>
      </w:r>
      <w:r w:rsidRPr="00BE2E10">
        <w:t xml:space="preserve"> category.</w:t>
      </w:r>
    </w:p>
    <w:p w:rsidRPr="00C222EC" w:rsidR="00A4496C" w:rsidP="00C222EC" w:rsidRDefault="00A4496C" w14:paraId="71B840AD" w14:textId="77777777">
      <w:pPr>
        <w:pStyle w:val="Heading2"/>
        <w:keepNext w:val="0"/>
        <w:widowControl/>
        <w:tabs>
          <w:tab w:val="clear" w:pos="567"/>
        </w:tabs>
        <w:spacing w:before="360" w:after="200" w:line="276" w:lineRule="auto"/>
        <w:rPr>
          <w:rFonts w:eastAsia="Times New Roman" w:cs="Open Sans"/>
          <w:color w:val="006991"/>
          <w:sz w:val="36"/>
          <w:szCs w:val="36"/>
        </w:rPr>
      </w:pPr>
      <w:bookmarkStart w:name="_Toc147402556" w:id="7"/>
      <w:bookmarkEnd w:id="3"/>
      <w:bookmarkEnd w:id="4"/>
      <w:r w:rsidRPr="00C222EC">
        <w:rPr>
          <w:rFonts w:eastAsia="Times New Roman" w:cs="Open Sans"/>
          <w:color w:val="006991"/>
          <w:sz w:val="36"/>
          <w:szCs w:val="36"/>
        </w:rPr>
        <w:t>Current assessment method – 2020 Review</w:t>
      </w:r>
      <w:bookmarkEnd w:id="5"/>
      <w:bookmarkEnd w:id="6"/>
      <w:bookmarkEnd w:id="7"/>
    </w:p>
    <w:p w:rsidR="00A4496C" w:rsidP="0039023C" w:rsidRDefault="00F840A4" w14:paraId="722D1A76" w14:textId="68D62A90">
      <w:pPr>
        <w:pStyle w:val="CGC2025ParaNumbers"/>
      </w:pPr>
      <w:bookmarkStart w:name="_Toc133236147" w:id="8"/>
      <w:bookmarkStart w:name="_Toc133236173" w:id="9"/>
      <w:r>
        <w:t xml:space="preserve">Under the 2020 Review method </w:t>
      </w:r>
      <w:r w:rsidR="008D5477">
        <w:t xml:space="preserve">‘other </w:t>
      </w:r>
      <w:r>
        <w:t>r</w:t>
      </w:r>
      <w:r w:rsidRPr="00A4496C" w:rsidR="00A4496C">
        <w:t>evenues</w:t>
      </w:r>
      <w:r w:rsidR="008D5477">
        <w:t>’</w:t>
      </w:r>
      <w:r w:rsidRPr="00A4496C" w:rsidR="00A4496C">
        <w:t xml:space="preserve"> </w:t>
      </w:r>
      <w:r w:rsidR="00BC4308">
        <w:t xml:space="preserve">are </w:t>
      </w:r>
      <w:r w:rsidR="00110B60">
        <w:t>assessed</w:t>
      </w:r>
      <w:r w:rsidR="00A04C14">
        <w:t xml:space="preserve"> </w:t>
      </w:r>
      <w:bookmarkStart w:name="_Hlk144213573" w:id="10"/>
      <w:r w:rsidRPr="00A4496C" w:rsidR="00A4496C">
        <w:t>equal per capita</w:t>
      </w:r>
      <w:bookmarkEnd w:id="10"/>
      <w:r w:rsidRPr="00A4496C" w:rsidR="00A4496C">
        <w:t xml:space="preserve">. This </w:t>
      </w:r>
      <w:r w:rsidR="008D5477">
        <w:t xml:space="preserve">approach </w:t>
      </w:r>
      <w:r w:rsidR="00D50E42">
        <w:t>means</w:t>
      </w:r>
      <w:r w:rsidRPr="00A4496C" w:rsidR="00A4496C">
        <w:t xml:space="preserve"> the</w:t>
      </w:r>
      <w:r w:rsidR="008D5477">
        <w:t xml:space="preserve"> assessment does </w:t>
      </w:r>
      <w:r w:rsidRPr="00A4496C" w:rsidR="00A4496C">
        <w:t xml:space="preserve">not </w:t>
      </w:r>
      <w:r w:rsidRPr="0039023C" w:rsidR="0039023C">
        <w:t>affect states’ relative fiscal capacities</w:t>
      </w:r>
      <w:r w:rsidR="008A5095">
        <w:t xml:space="preserve"> and</w:t>
      </w:r>
      <w:r w:rsidR="00E350A4">
        <w:t xml:space="preserve"> </w:t>
      </w:r>
      <w:r w:rsidR="008A5095">
        <w:t>does not affect the GST distribution</w:t>
      </w:r>
      <w:r w:rsidR="00A4496C">
        <w:t>.</w:t>
      </w:r>
    </w:p>
    <w:p w:rsidR="00A4496C" w:rsidP="00A4496C" w:rsidRDefault="00A4496C" w14:paraId="44963032" w14:textId="0A1CB047">
      <w:pPr>
        <w:pStyle w:val="CGC2025ParaNumbers"/>
      </w:pPr>
      <w:r>
        <w:t xml:space="preserve">In </w:t>
      </w:r>
      <w:r w:rsidRPr="00A4496C">
        <w:t>the 2020</w:t>
      </w:r>
      <w:r>
        <w:t> </w:t>
      </w:r>
      <w:r w:rsidRPr="00A4496C">
        <w:t>Review, the Commission said it consider</w:t>
      </w:r>
      <w:r>
        <w:t>ed</w:t>
      </w:r>
      <w:r w:rsidRPr="00A4496C">
        <w:t xml:space="preserve"> this </w:t>
      </w:r>
      <w:r w:rsidR="00243C7E">
        <w:t xml:space="preserve">to be </w:t>
      </w:r>
      <w:r w:rsidRPr="00A4496C">
        <w:t>the appropriate treatment for revenues where</w:t>
      </w:r>
      <w:r>
        <w:t>:</w:t>
      </w:r>
    </w:p>
    <w:p w:rsidRPr="00B35E14" w:rsidR="00A4496C" w:rsidP="00A4496C" w:rsidRDefault="00A4496C" w14:paraId="50C3D809" w14:textId="6123D582">
      <w:pPr>
        <w:pStyle w:val="CGC2025Bullet1"/>
        <w:numPr>
          <w:ilvl w:val="0"/>
          <w:numId w:val="2"/>
        </w:numPr>
      </w:pPr>
      <w:r>
        <w:t>states</w:t>
      </w:r>
      <w:r w:rsidRPr="00A4496C">
        <w:t xml:space="preserve"> </w:t>
      </w:r>
      <w:r w:rsidR="0010004D">
        <w:t xml:space="preserve">are assessed </w:t>
      </w:r>
      <w:r w:rsidRPr="00A4496C">
        <w:t>to have the same per capita capacity to raise revenue</w:t>
      </w:r>
      <w:r w:rsidR="00EA6CFB">
        <w:rPr>
          <w:rStyle w:val="FootnoteReference"/>
        </w:rPr>
        <w:footnoteReference w:id="3"/>
      </w:r>
    </w:p>
    <w:p w:rsidRPr="007C404C" w:rsidR="00A4496C" w:rsidP="00A4496C" w:rsidRDefault="00A4496C" w14:paraId="04DEF704" w14:textId="784EDA11">
      <w:pPr>
        <w:pStyle w:val="CGC2025Bullet1"/>
        <w:numPr>
          <w:ilvl w:val="0"/>
          <w:numId w:val="2"/>
        </w:numPr>
      </w:pPr>
      <w:r w:rsidRPr="007C404C">
        <w:t xml:space="preserve">reliable data cannot be found to make an </w:t>
      </w:r>
      <w:proofErr w:type="gramStart"/>
      <w:r w:rsidRPr="007C404C">
        <w:t>assessment</w:t>
      </w:r>
      <w:proofErr w:type="gramEnd"/>
      <w:r w:rsidRPr="007C404C">
        <w:t xml:space="preserve"> or an assessment method cannot be developed</w:t>
      </w:r>
      <w:r w:rsidR="00EA6CFB">
        <w:rPr>
          <w:rStyle w:val="FootnoteReference"/>
        </w:rPr>
        <w:footnoteReference w:id="4"/>
      </w:r>
      <w:r w:rsidRPr="007C404C">
        <w:t xml:space="preserve"> </w:t>
      </w:r>
    </w:p>
    <w:p w:rsidR="00A4496C" w:rsidP="00A4496C" w:rsidRDefault="00A4496C" w14:paraId="39500166" w14:textId="3B10385B">
      <w:pPr>
        <w:pStyle w:val="CGC2025Bullet1"/>
        <w:numPr>
          <w:ilvl w:val="0"/>
          <w:numId w:val="2"/>
        </w:numPr>
      </w:pPr>
      <w:r>
        <w:t xml:space="preserve">a </w:t>
      </w:r>
      <w:r w:rsidRPr="00A4496C">
        <w:t>differential assessment of the revenue would not be material</w:t>
      </w:r>
      <w:r w:rsidR="00EA6CFB">
        <w:t>.</w:t>
      </w:r>
      <w:r w:rsidR="00EA6CFB">
        <w:rPr>
          <w:rStyle w:val="FootnoteReference"/>
        </w:rPr>
        <w:footnoteReference w:id="5"/>
      </w:r>
    </w:p>
    <w:bookmarkEnd w:id="8"/>
    <w:bookmarkEnd w:id="9"/>
    <w:p w:rsidR="00F60EF0" w:rsidP="00A4496C" w:rsidRDefault="00F60EF0" w14:paraId="5692F631" w14:textId="6DBB2FE5">
      <w:pPr>
        <w:pStyle w:val="CGC2025ParaNumbers"/>
      </w:pPr>
      <w:r>
        <w:t xml:space="preserve">Revenue </w:t>
      </w:r>
      <w:r w:rsidRPr="003D6906">
        <w:t xml:space="preserve">from municipal rates in the ACT, which are </w:t>
      </w:r>
      <w:r>
        <w:t xml:space="preserve">treated as </w:t>
      </w:r>
      <w:r w:rsidRPr="003D6906">
        <w:t xml:space="preserve">local government </w:t>
      </w:r>
      <w:r>
        <w:t>revenue</w:t>
      </w:r>
      <w:r w:rsidRPr="003D6906">
        <w:t xml:space="preserve"> </w:t>
      </w:r>
      <w:r>
        <w:t>for</w:t>
      </w:r>
      <w:r w:rsidRPr="003D6906">
        <w:t xml:space="preserve"> other states, are included in the scope of </w:t>
      </w:r>
      <w:r>
        <w:t xml:space="preserve">the Commission’s other </w:t>
      </w:r>
      <w:r w:rsidRPr="003D6906">
        <w:t xml:space="preserve">revenue </w:t>
      </w:r>
      <w:r>
        <w:t xml:space="preserve">category </w:t>
      </w:r>
      <w:r w:rsidRPr="003D6906">
        <w:t xml:space="preserve">for simplicity. </w:t>
      </w:r>
      <w:r>
        <w:t>The equal</w:t>
      </w:r>
      <w:r w:rsidRPr="002D1947">
        <w:t xml:space="preserve"> </w:t>
      </w:r>
      <w:r w:rsidRPr="00A4496C">
        <w:t>per capita</w:t>
      </w:r>
      <w:r>
        <w:t xml:space="preserve"> assessment method means th</w:t>
      </w:r>
      <w:r w:rsidR="00B9390D">
        <w:t xml:space="preserve">is has no </w:t>
      </w:r>
      <w:r>
        <w:t xml:space="preserve">impact on </w:t>
      </w:r>
      <w:r w:rsidR="00B9390D">
        <w:t>GST distribution.</w:t>
      </w:r>
      <w:r w:rsidR="00300E3A">
        <w:t xml:space="preserve"> </w:t>
      </w:r>
    </w:p>
    <w:p w:rsidRPr="00B3033B" w:rsidR="00F60EF0" w:rsidP="00B3033B" w:rsidRDefault="00F60EF0" w14:paraId="45D204CB" w14:textId="77777777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hAnsi="Work Sans" w:eastAsia="Times New Roman" w:cs="Open Sans"/>
          <w:b/>
          <w:color w:val="006991"/>
          <w:sz w:val="28"/>
          <w:szCs w:val="28"/>
        </w:rPr>
      </w:pPr>
      <w:bookmarkStart w:name="_Toc147402557" w:id="11"/>
      <w:r w:rsidRPr="00B3033B">
        <w:rPr>
          <w:rFonts w:ascii="Work Sans" w:hAnsi="Work Sans" w:eastAsia="Times New Roman" w:cs="Open Sans"/>
          <w:b/>
          <w:color w:val="006991"/>
          <w:sz w:val="28"/>
          <w:szCs w:val="28"/>
        </w:rPr>
        <w:t xml:space="preserve">Data used in the </w:t>
      </w:r>
      <w:proofErr w:type="gramStart"/>
      <w:r w:rsidRPr="00B3033B">
        <w:rPr>
          <w:rFonts w:ascii="Work Sans" w:hAnsi="Work Sans" w:eastAsia="Times New Roman" w:cs="Open Sans"/>
          <w:b/>
          <w:color w:val="006991"/>
          <w:sz w:val="28"/>
          <w:szCs w:val="28"/>
        </w:rPr>
        <w:t>assessment</w:t>
      </w:r>
      <w:bookmarkEnd w:id="11"/>
      <w:proofErr w:type="gramEnd"/>
    </w:p>
    <w:p w:rsidR="00A4496C" w:rsidP="00A4496C" w:rsidRDefault="00D50E42" w14:paraId="511FBD7C" w14:textId="45FE73D8">
      <w:pPr>
        <w:pStyle w:val="CGC2025ParaNumbers"/>
      </w:pPr>
      <w:r>
        <w:t xml:space="preserve">The Commission obtains revenue data from the </w:t>
      </w:r>
      <w:r w:rsidRPr="00A4496C" w:rsidR="00A4496C">
        <w:t xml:space="preserve">Australian Bureau of Statistics’ </w:t>
      </w:r>
      <w:r w:rsidR="00BC4308">
        <w:t xml:space="preserve">(ABS) </w:t>
      </w:r>
      <w:r w:rsidRPr="00A4496C" w:rsidR="00A4496C">
        <w:t xml:space="preserve">Government Finance Statistics </w:t>
      </w:r>
      <w:r w:rsidDel="004C0FB6" w:rsidR="007F7D37">
        <w:t xml:space="preserve">publication </w:t>
      </w:r>
      <w:r w:rsidRPr="00A4496C" w:rsidR="00A4496C">
        <w:t>and</w:t>
      </w:r>
      <w:r w:rsidR="004C0FB6">
        <w:t xml:space="preserve">, </w:t>
      </w:r>
      <w:r w:rsidRPr="00A4496C" w:rsidR="009C2181">
        <w:t xml:space="preserve">for the </w:t>
      </w:r>
      <w:r w:rsidR="009C2181">
        <w:t>last assessment</w:t>
      </w:r>
      <w:r w:rsidRPr="00A4496C" w:rsidR="009C2181">
        <w:t xml:space="preserve"> year</w:t>
      </w:r>
      <w:r w:rsidR="009C2181">
        <w:t>, from State Revenue Offices</w:t>
      </w:r>
      <w:r w:rsidR="00180E03">
        <w:t xml:space="preserve">. </w:t>
      </w:r>
    </w:p>
    <w:p w:rsidRPr="009D4A65" w:rsidR="00A4496C" w:rsidP="00A4496C" w:rsidRDefault="00A4496C" w14:paraId="49B52333" w14:textId="554673C9">
      <w:pPr>
        <w:pStyle w:val="CGC2025ParaNumbers"/>
      </w:pPr>
      <w:r>
        <w:t xml:space="preserve">Data </w:t>
      </w:r>
      <w:r w:rsidRPr="00A4496C">
        <w:t xml:space="preserve">on estimated resident populations are also obtained from the </w:t>
      </w:r>
      <w:r w:rsidR="00BC4308">
        <w:t>ABS</w:t>
      </w:r>
      <w:r>
        <w:t>.</w:t>
      </w:r>
    </w:p>
    <w:p w:rsidRPr="00BE00E6" w:rsidR="00A4496C" w:rsidP="00BE00E6" w:rsidRDefault="00A4496C" w14:paraId="45143D9C" w14:textId="77777777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hAnsi="Work Sans" w:eastAsia="Times New Roman" w:cs="Open Sans"/>
          <w:b/>
          <w:color w:val="006991"/>
          <w:sz w:val="28"/>
          <w:szCs w:val="28"/>
        </w:rPr>
      </w:pPr>
      <w:bookmarkStart w:name="_Toc132729100" w:id="12"/>
      <w:bookmarkStart w:name="_Toc133236148" w:id="13"/>
      <w:bookmarkStart w:name="_Toc133236174" w:id="14"/>
      <w:bookmarkStart w:name="_Toc147402558" w:id="15"/>
      <w:r w:rsidRPr="00BE00E6">
        <w:rPr>
          <w:rFonts w:ascii="Work Sans" w:hAnsi="Work Sans" w:eastAsia="Times New Roman" w:cs="Open Sans"/>
          <w:b/>
          <w:color w:val="006991"/>
          <w:sz w:val="28"/>
          <w:szCs w:val="28"/>
        </w:rPr>
        <w:t xml:space="preserve">Category and component </w:t>
      </w:r>
      <w:bookmarkEnd w:id="12"/>
      <w:bookmarkEnd w:id="13"/>
      <w:bookmarkEnd w:id="14"/>
      <w:r w:rsidRPr="00BE00E6">
        <w:rPr>
          <w:rFonts w:ascii="Work Sans" w:hAnsi="Work Sans" w:eastAsia="Times New Roman" w:cs="Open Sans"/>
          <w:b/>
          <w:color w:val="006991"/>
          <w:sz w:val="28"/>
          <w:szCs w:val="28"/>
        </w:rPr>
        <w:t>revenue</w:t>
      </w:r>
      <w:bookmarkEnd w:id="15"/>
    </w:p>
    <w:p w:rsidR="00A4496C" w:rsidP="00A4496C" w:rsidRDefault="00A4496C" w14:paraId="348C5A98" w14:textId="3B017998">
      <w:pPr>
        <w:pStyle w:val="CGC2025ParaNumbers"/>
      </w:pPr>
      <w:r w:rsidRPr="00AE23DB">
        <w:t>States raised $</w:t>
      </w:r>
      <w:r w:rsidR="00E33485">
        <w:t>49.1</w:t>
      </w:r>
      <w:r>
        <w:t xml:space="preserve"> </w:t>
      </w:r>
      <w:r w:rsidRPr="00AE23DB">
        <w:t xml:space="preserve">billion in </w:t>
      </w:r>
      <w:r w:rsidR="00E33485">
        <w:t>other</w:t>
      </w:r>
      <w:r w:rsidRPr="00AE23DB">
        <w:t xml:space="preserve"> revenue in 20</w:t>
      </w:r>
      <w:r>
        <w:t>21–22</w:t>
      </w:r>
      <w:r w:rsidRPr="00AE23DB">
        <w:t xml:space="preserve">, representing </w:t>
      </w:r>
      <w:r w:rsidR="00E33485">
        <w:t>29.8</w:t>
      </w:r>
      <w:r w:rsidRPr="00AE23DB">
        <w:t>% of total own-source</w:t>
      </w:r>
      <w:r>
        <w:t xml:space="preserve"> </w:t>
      </w:r>
      <w:r w:rsidRPr="00AE23DB">
        <w:t>revenue (</w:t>
      </w:r>
      <w:r>
        <w:fldChar w:fldCharType="begin"/>
      </w:r>
      <w:r>
        <w:instrText xml:space="preserve"> REF _Ref136425757 \h </w:instrText>
      </w:r>
      <w:r>
        <w:fldChar w:fldCharType="separate"/>
      </w:r>
      <w:r w:rsidRPr="00F2332F" w:rsidR="004B14E1">
        <w:t>Table</w:t>
      </w:r>
      <w:r w:rsidR="004B14E1">
        <w:t> </w:t>
      </w:r>
      <w:r w:rsidR="004B14E1">
        <w:rPr>
          <w:noProof/>
        </w:rPr>
        <w:t>1</w:t>
      </w:r>
      <w:r>
        <w:fldChar w:fldCharType="end"/>
      </w:r>
      <w:r w:rsidRPr="00AE23DB">
        <w:t>).</w:t>
      </w:r>
    </w:p>
    <w:p w:rsidRPr="00F2332F" w:rsidR="00A4496C" w:rsidP="00A4496C" w:rsidRDefault="00A4496C" w14:paraId="077C59A8" w14:textId="319B2A6A">
      <w:pPr>
        <w:pStyle w:val="Caption"/>
        <w:rPr>
          <w:rFonts w:ascii="Work Sans" w:hAnsi="Work Sans"/>
        </w:rPr>
      </w:pPr>
      <w:bookmarkStart w:name="_Ref136425757" w:id="16"/>
      <w:r w:rsidRPr="00F2332F">
        <w:rPr>
          <w:rFonts w:ascii="Work Sans" w:hAnsi="Work Sans"/>
        </w:rPr>
        <w:t>Table</w:t>
      </w:r>
      <w:r>
        <w:rPr>
          <w:rFonts w:ascii="Work Sans" w:hAnsi="Work Sans"/>
        </w:rPr>
        <w:t> </w:t>
      </w:r>
      <w:r w:rsidRPr="00F2332F">
        <w:rPr>
          <w:rFonts w:ascii="Work Sans" w:hAnsi="Work Sans"/>
        </w:rPr>
        <w:fldChar w:fldCharType="begin"/>
      </w:r>
      <w:r w:rsidRPr="00F2332F">
        <w:rPr>
          <w:rFonts w:ascii="Work Sans" w:hAnsi="Work Sans"/>
        </w:rPr>
        <w:instrText xml:space="preserve"> SEQ Table \* ARABIC </w:instrText>
      </w:r>
      <w:r w:rsidRPr="00F2332F">
        <w:rPr>
          <w:rFonts w:ascii="Work Sans" w:hAnsi="Work Sans"/>
        </w:rPr>
        <w:fldChar w:fldCharType="separate"/>
      </w:r>
      <w:r w:rsidR="004B14E1">
        <w:rPr>
          <w:rFonts w:ascii="Work Sans" w:hAnsi="Work Sans"/>
          <w:noProof/>
        </w:rPr>
        <w:t>1</w:t>
      </w:r>
      <w:r w:rsidRPr="00F2332F">
        <w:rPr>
          <w:rFonts w:ascii="Work Sans" w:hAnsi="Work Sans"/>
        </w:rPr>
        <w:fldChar w:fldCharType="end"/>
      </w:r>
      <w:bookmarkEnd w:id="16"/>
      <w:r>
        <w:rPr>
          <w:rFonts w:ascii="Work Sans" w:hAnsi="Work Sans"/>
        </w:rPr>
        <w:tab/>
      </w:r>
      <w:r w:rsidR="00E33485">
        <w:rPr>
          <w:rFonts w:ascii="Work Sans" w:hAnsi="Work Sans"/>
        </w:rPr>
        <w:t>Other</w:t>
      </w:r>
      <w:r w:rsidRPr="00F2332F">
        <w:rPr>
          <w:rFonts w:ascii="Work Sans" w:hAnsi="Work Sans"/>
        </w:rPr>
        <w:t xml:space="preserve"> revenue by state, 2021</w:t>
      </w:r>
      <w:r>
        <w:rPr>
          <w:rFonts w:ascii="Work Sans" w:hAnsi="Work Sans"/>
        </w:rPr>
        <w:t>–</w:t>
      </w:r>
      <w:r w:rsidRPr="00F2332F">
        <w:rPr>
          <w:rFonts w:ascii="Work Sans" w:hAnsi="Work Sans"/>
        </w:rPr>
        <w:t>22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23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Pr="0022488F" w:rsidR="00E33485" w14:paraId="6E1FFBBA" w14:textId="77777777">
        <w:trPr>
          <w:trHeight w:val="375"/>
        </w:trPr>
        <w:tc>
          <w:tcPr>
            <w:tcW w:w="23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22488F" w:rsidR="00E33485" w:rsidP="007E1148" w:rsidRDefault="00E33485" w14:paraId="7C5888B8" w14:textId="77777777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22488F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22488F" w:rsidR="00E33485" w:rsidP="007E1148" w:rsidRDefault="00E33485" w14:paraId="6B81F49A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22488F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22488F" w:rsidR="00E33485" w:rsidP="007E1148" w:rsidRDefault="00E33485" w14:paraId="7391983A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22488F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22488F" w:rsidR="00E33485" w:rsidP="007E1148" w:rsidRDefault="00E33485" w14:paraId="3389D2A5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22488F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22488F" w:rsidR="00E33485" w:rsidP="007E1148" w:rsidRDefault="00E33485" w14:paraId="4962DB3C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22488F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22488F" w:rsidR="00E33485" w:rsidP="007E1148" w:rsidRDefault="00E33485" w14:paraId="708157B9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22488F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22488F" w:rsidR="00E33485" w:rsidP="007E1148" w:rsidRDefault="00E33485" w14:paraId="2D0F46A0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22488F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22488F" w:rsidR="00E33485" w:rsidP="007E1148" w:rsidRDefault="00E33485" w14:paraId="3E1529B0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22488F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22488F" w:rsidR="00E33485" w:rsidP="007E1148" w:rsidRDefault="00E33485" w14:paraId="4CED1C4E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22488F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22488F" w:rsidR="00E33485" w:rsidP="007E1148" w:rsidRDefault="00E33485" w14:paraId="3F63AE3C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22488F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Pr="0022488F" w:rsidR="00E33485" w14:paraId="2F408DCC" w14:textId="77777777">
        <w:trPr>
          <w:trHeight w:val="315"/>
        </w:trPr>
        <w:tc>
          <w:tcPr>
            <w:tcW w:w="23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5C08F6CB" w14:textId="77777777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Total revenue ($m)</w:t>
            </w:r>
          </w:p>
        </w:tc>
        <w:tc>
          <w:tcPr>
            <w:tcW w:w="8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5EF0BD0F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13,134</w:t>
            </w:r>
          </w:p>
        </w:tc>
        <w:tc>
          <w:tcPr>
            <w:tcW w:w="8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5491D731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11,699</w:t>
            </w:r>
          </w:p>
        </w:tc>
        <w:tc>
          <w:tcPr>
            <w:tcW w:w="8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79F95E78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10,742</w:t>
            </w:r>
          </w:p>
        </w:tc>
        <w:tc>
          <w:tcPr>
            <w:tcW w:w="8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6EAA2278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5,237</w:t>
            </w:r>
          </w:p>
        </w:tc>
        <w:tc>
          <w:tcPr>
            <w:tcW w:w="8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0FF93F9F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4,214</w:t>
            </w:r>
          </w:p>
        </w:tc>
        <w:tc>
          <w:tcPr>
            <w:tcW w:w="8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680A6B22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1,449</w:t>
            </w:r>
          </w:p>
        </w:tc>
        <w:tc>
          <w:tcPr>
            <w:tcW w:w="8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72BCF647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2,022</w:t>
            </w:r>
          </w:p>
        </w:tc>
        <w:tc>
          <w:tcPr>
            <w:tcW w:w="8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5640F675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637</w:t>
            </w:r>
          </w:p>
        </w:tc>
        <w:tc>
          <w:tcPr>
            <w:tcW w:w="8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153BB94D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49,133</w:t>
            </w:r>
          </w:p>
        </w:tc>
      </w:tr>
      <w:tr w:rsidRPr="0022488F" w:rsidR="00E33485" w14:paraId="6303C7A5" w14:textId="77777777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5A8CA83E" w14:textId="77777777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Total revenue ($pc)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611F4A42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1,622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0870A9DC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1,783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65311544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2,040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2709C252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1,896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3C709DDA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2,332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47649AC6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2,543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79926AF4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4,460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011E085B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2,556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78334C51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1,907</w:t>
            </w:r>
          </w:p>
        </w:tc>
      </w:tr>
      <w:tr w:rsidRPr="0022488F" w:rsidR="00E33485" w14:paraId="23B5B084" w14:textId="77777777">
        <w:trPr>
          <w:trHeight w:val="555"/>
        </w:trPr>
        <w:tc>
          <w:tcPr>
            <w:tcW w:w="23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vAlign w:val="bottom"/>
            <w:hideMark/>
          </w:tcPr>
          <w:p w:rsidRPr="0022488F" w:rsidR="00E33485" w:rsidP="007E1148" w:rsidRDefault="00E33485" w14:paraId="230EF2DD" w14:textId="77777777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Share of state </w:t>
            </w: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br/>
            </w: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own-source revenue (%)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0F87CDAC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26.3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67E9FA9A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31.7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163FCBDA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31.2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287C1EDF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19.5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3CB91F16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47.3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24EA732C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51.3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51513334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58.5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33263206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37.8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22488F" w:rsidR="00E33485" w:rsidP="007E1148" w:rsidRDefault="00E33485" w14:paraId="5B59EBBE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22488F">
              <w:rPr>
                <w:rFonts w:eastAsia="Times New Roman" w:cs="Open Sans Light"/>
                <w:sz w:val="16"/>
                <w:szCs w:val="16"/>
                <w:lang w:eastAsia="en-AU"/>
              </w:rPr>
              <w:t>29.8</w:t>
            </w:r>
          </w:p>
        </w:tc>
      </w:tr>
    </w:tbl>
    <w:p w:rsidRPr="0094405D" w:rsidR="00A4496C" w:rsidP="00A4496C" w:rsidRDefault="00A4496C" w14:paraId="54195BEE" w14:textId="6BEFB7D7">
      <w:pPr>
        <w:pStyle w:val="CGC2025Tablenote"/>
      </w:pPr>
      <w:r w:rsidRPr="0094405D">
        <w:t>Source: Commission calculation.</w:t>
      </w:r>
    </w:p>
    <w:p w:rsidR="00E33485" w:rsidP="00E33485" w:rsidRDefault="00E33485" w14:paraId="44E21E6A" w14:textId="4DAF036E">
      <w:pPr>
        <w:pStyle w:val="CGC2025ParaNumbers"/>
      </w:pPr>
      <w:r>
        <w:t xml:space="preserve">The </w:t>
      </w:r>
      <w:r w:rsidRPr="00E33485">
        <w:t xml:space="preserve">different proportions in </w:t>
      </w:r>
      <w:r>
        <w:fldChar w:fldCharType="begin"/>
      </w:r>
      <w:r>
        <w:instrText xml:space="preserve"> REF _Ref136425757 \h </w:instrText>
      </w:r>
      <w:r>
        <w:fldChar w:fldCharType="separate"/>
      </w:r>
      <w:r w:rsidRPr="00F2332F" w:rsidR="004B14E1">
        <w:t>Table</w:t>
      </w:r>
      <w:r w:rsidR="004B14E1">
        <w:t> </w:t>
      </w:r>
      <w:r w:rsidR="004B14E1">
        <w:rPr>
          <w:noProof/>
        </w:rPr>
        <w:t>1</w:t>
      </w:r>
      <w:r>
        <w:fldChar w:fldCharType="end"/>
      </w:r>
      <w:r w:rsidRPr="00E33485">
        <w:t xml:space="preserve"> reflect differences in the revenue structure of each state’s budget. The lower proportions for New South Wales and Western</w:t>
      </w:r>
      <w:r w:rsidR="00672D32">
        <w:t> </w:t>
      </w:r>
      <w:r w:rsidRPr="00E33485">
        <w:t xml:space="preserve">Australia reflect the former’s higher property transfer revenues and the latter’s higher mining revenues. </w:t>
      </w:r>
      <w:r w:rsidR="00C011D3">
        <w:t xml:space="preserve">Lower mining revenue in </w:t>
      </w:r>
      <w:r w:rsidRPr="00623FA9">
        <w:t xml:space="preserve">Victoria and </w:t>
      </w:r>
      <w:r w:rsidRPr="00623FA9" w:rsidR="001A597F">
        <w:t xml:space="preserve">lower property transfer revenues </w:t>
      </w:r>
      <w:r w:rsidRPr="00623FA9" w:rsidR="00AD3FB8">
        <w:t xml:space="preserve">in </w:t>
      </w:r>
      <w:r w:rsidRPr="00623FA9">
        <w:t>Queensland and the Northern Territory contribute to their higher proportions.</w:t>
      </w:r>
      <w:r w:rsidRPr="00E33485">
        <w:t xml:space="preserve"> South Australia and Tasmania have higher proportions because they tend to have </w:t>
      </w:r>
      <w:r w:rsidR="00F61A26">
        <w:t>relatively smaller</w:t>
      </w:r>
      <w:r w:rsidRPr="00E33485" w:rsidR="00F61A26">
        <w:t xml:space="preserve"> </w:t>
      </w:r>
      <w:r w:rsidRPr="00E33485">
        <w:t>tax bases. The ACT’s high proportion reflects the inclusion of its municipal rate</w:t>
      </w:r>
      <w:r w:rsidR="008F519A">
        <w:t>s</w:t>
      </w:r>
      <w:r w:rsidRPr="00E33485">
        <w:t xml:space="preserve"> revenue</w:t>
      </w:r>
      <w:r>
        <w:t>.</w:t>
      </w:r>
    </w:p>
    <w:p w:rsidR="00A4496C" w:rsidP="00E33485" w:rsidRDefault="00E33485" w14:paraId="6BE8A44E" w14:textId="364A7C5D">
      <w:pPr>
        <w:pStyle w:val="CGC2025ParaNumbers"/>
      </w:pPr>
      <w:r>
        <w:t>Other</w:t>
      </w:r>
      <w:r w:rsidR="00A4496C">
        <w:t xml:space="preserve"> revenue </w:t>
      </w:r>
      <w:r w:rsidR="00957189">
        <w:t xml:space="preserve">has </w:t>
      </w:r>
      <w:r w:rsidRPr="00E33485">
        <w:t>declined as a share of total own</w:t>
      </w:r>
      <w:r w:rsidR="00957189">
        <w:t>-</w:t>
      </w:r>
      <w:r w:rsidRPr="00E33485">
        <w:t xml:space="preserve">source revenue in recent years </w:t>
      </w:r>
      <w:r w:rsidR="00A4496C">
        <w:t>(</w:t>
      </w:r>
      <w:r w:rsidR="00A4496C">
        <w:fldChar w:fldCharType="begin"/>
      </w:r>
      <w:r w:rsidR="00A4496C">
        <w:instrText xml:space="preserve"> REF _Ref136426153 \h </w:instrText>
      </w:r>
      <w:r w:rsidR="00A4496C">
        <w:fldChar w:fldCharType="separate"/>
      </w:r>
      <w:r w:rsidRPr="00FE712E" w:rsidR="004B14E1">
        <w:t>Table</w:t>
      </w:r>
      <w:r w:rsidR="004B14E1">
        <w:t> </w:t>
      </w:r>
      <w:r w:rsidR="004B14E1">
        <w:rPr>
          <w:noProof/>
        </w:rPr>
        <w:t>2</w:t>
      </w:r>
      <w:r w:rsidR="00A4496C">
        <w:fldChar w:fldCharType="end"/>
      </w:r>
      <w:r w:rsidR="00A4496C">
        <w:t>).</w:t>
      </w:r>
    </w:p>
    <w:p w:rsidRPr="00FE712E" w:rsidR="00A4496C" w:rsidP="00A4496C" w:rsidRDefault="00A4496C" w14:paraId="56F44549" w14:textId="754F25A6">
      <w:pPr>
        <w:pStyle w:val="Caption"/>
        <w:rPr>
          <w:rFonts w:ascii="Work Sans" w:hAnsi="Work Sans"/>
        </w:rPr>
      </w:pPr>
      <w:bookmarkStart w:name="_Ref136426153" w:id="17"/>
      <w:r w:rsidRPr="00FE712E">
        <w:rPr>
          <w:rFonts w:ascii="Work Sans" w:hAnsi="Work Sans"/>
        </w:rPr>
        <w:t>Table</w:t>
      </w:r>
      <w:r>
        <w:rPr>
          <w:rFonts w:ascii="Work Sans" w:hAnsi="Work Sans"/>
        </w:rPr>
        <w:t> </w:t>
      </w:r>
      <w:r w:rsidRPr="00FE712E">
        <w:rPr>
          <w:rFonts w:ascii="Work Sans" w:hAnsi="Work Sans"/>
        </w:rPr>
        <w:fldChar w:fldCharType="begin"/>
      </w:r>
      <w:r w:rsidRPr="00FE712E">
        <w:rPr>
          <w:rFonts w:ascii="Work Sans" w:hAnsi="Work Sans"/>
        </w:rPr>
        <w:instrText xml:space="preserve"> SEQ Table \* ARABIC </w:instrText>
      </w:r>
      <w:r w:rsidRPr="00FE712E">
        <w:rPr>
          <w:rFonts w:ascii="Work Sans" w:hAnsi="Work Sans"/>
        </w:rPr>
        <w:fldChar w:fldCharType="separate"/>
      </w:r>
      <w:r w:rsidR="004B14E1">
        <w:rPr>
          <w:rFonts w:ascii="Work Sans" w:hAnsi="Work Sans"/>
          <w:noProof/>
        </w:rPr>
        <w:t>2</w:t>
      </w:r>
      <w:r w:rsidRPr="00FE712E">
        <w:rPr>
          <w:rFonts w:ascii="Work Sans" w:hAnsi="Work Sans"/>
        </w:rPr>
        <w:fldChar w:fldCharType="end"/>
      </w:r>
      <w:bookmarkEnd w:id="17"/>
      <w:r>
        <w:rPr>
          <w:rFonts w:ascii="Work Sans" w:hAnsi="Work Sans"/>
        </w:rPr>
        <w:tab/>
      </w:r>
      <w:r>
        <w:rPr>
          <w:rFonts w:ascii="Work Sans" w:hAnsi="Work Sans"/>
        </w:rPr>
        <w:t>T</w:t>
      </w:r>
      <w:r w:rsidRPr="00FE712E">
        <w:rPr>
          <w:rFonts w:ascii="Work Sans" w:hAnsi="Work Sans"/>
        </w:rPr>
        <w:t xml:space="preserve">otal </w:t>
      </w:r>
      <w:r w:rsidR="00E33485">
        <w:rPr>
          <w:rFonts w:ascii="Work Sans" w:hAnsi="Work Sans"/>
        </w:rPr>
        <w:t>other</w:t>
      </w:r>
      <w:r w:rsidRPr="00FE712E">
        <w:rPr>
          <w:rFonts w:ascii="Work Sans" w:hAnsi="Work Sans"/>
        </w:rPr>
        <w:t xml:space="preserve"> revenue, 2018</w:t>
      </w:r>
      <w:r>
        <w:rPr>
          <w:rFonts w:ascii="Work Sans" w:hAnsi="Work Sans"/>
        </w:rPr>
        <w:t>–</w:t>
      </w:r>
      <w:r w:rsidRPr="00FE712E">
        <w:rPr>
          <w:rFonts w:ascii="Work Sans" w:hAnsi="Work Sans"/>
        </w:rPr>
        <w:t>19 to 2021</w:t>
      </w:r>
      <w:r>
        <w:rPr>
          <w:rFonts w:ascii="Work Sans" w:hAnsi="Work Sans"/>
        </w:rPr>
        <w:t>–</w:t>
      </w:r>
      <w:r w:rsidRPr="00FE712E">
        <w:rPr>
          <w:rFonts w:ascii="Work Sans" w:hAnsi="Work Sans"/>
        </w:rPr>
        <w:t>22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3080"/>
        <w:gridCol w:w="1580"/>
        <w:gridCol w:w="1580"/>
        <w:gridCol w:w="1580"/>
        <w:gridCol w:w="1580"/>
      </w:tblGrid>
      <w:tr w:rsidRPr="006225A2" w:rsidR="00E33485" w14:paraId="3F5610B4" w14:textId="77777777">
        <w:trPr>
          <w:trHeight w:val="375"/>
        </w:trPr>
        <w:tc>
          <w:tcPr>
            <w:tcW w:w="30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225A2" w:rsidR="00E33485" w:rsidRDefault="00E33485" w14:paraId="23CC8165" w14:textId="77777777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225A2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225A2" w:rsidR="00E33485" w:rsidRDefault="00E33485" w14:paraId="778CD003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225A2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2018-19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225A2" w:rsidR="00E33485" w:rsidRDefault="00E33485" w14:paraId="7014F880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225A2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2019-20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225A2" w:rsidR="00E33485" w:rsidRDefault="00E33485" w14:paraId="6F8E389D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225A2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225A2" w:rsidR="00E33485" w:rsidRDefault="00E33485" w14:paraId="3E1ED173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225A2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</w:tr>
      <w:tr w:rsidRPr="006225A2" w:rsidR="00E33485" w14:paraId="64ACC6B6" w14:textId="77777777">
        <w:trPr>
          <w:trHeight w:val="315"/>
        </w:trPr>
        <w:tc>
          <w:tcPr>
            <w:tcW w:w="308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225A2" w:rsidR="00E33485" w:rsidRDefault="00E33485" w14:paraId="63CBA0C1" w14:textId="77777777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225A2">
              <w:rPr>
                <w:rFonts w:eastAsia="Times New Roman" w:cs="Open Sans Light"/>
                <w:sz w:val="16"/>
                <w:szCs w:val="16"/>
                <w:lang w:eastAsia="en-AU"/>
              </w:rPr>
              <w:t>Total revenue ($m)</w:t>
            </w:r>
          </w:p>
        </w:tc>
        <w:tc>
          <w:tcPr>
            <w:tcW w:w="158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225A2" w:rsidR="00E33485" w:rsidRDefault="00E33485" w14:paraId="15E30460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225A2">
              <w:rPr>
                <w:rFonts w:eastAsia="Times New Roman" w:cs="Open Sans Light"/>
                <w:sz w:val="16"/>
                <w:szCs w:val="16"/>
                <w:lang w:eastAsia="en-AU"/>
              </w:rPr>
              <w:t>48,453</w:t>
            </w:r>
          </w:p>
        </w:tc>
        <w:tc>
          <w:tcPr>
            <w:tcW w:w="158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225A2" w:rsidR="00E33485" w:rsidRDefault="00E33485" w14:paraId="412B9ECE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225A2">
              <w:rPr>
                <w:rFonts w:eastAsia="Times New Roman" w:cs="Open Sans Light"/>
                <w:sz w:val="16"/>
                <w:szCs w:val="16"/>
                <w:lang w:eastAsia="en-AU"/>
              </w:rPr>
              <w:t>43,103</w:t>
            </w:r>
          </w:p>
        </w:tc>
        <w:tc>
          <w:tcPr>
            <w:tcW w:w="158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225A2" w:rsidR="00E33485" w:rsidRDefault="00E33485" w14:paraId="41782D10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225A2">
              <w:rPr>
                <w:rFonts w:eastAsia="Times New Roman" w:cs="Open Sans Light"/>
                <w:sz w:val="16"/>
                <w:szCs w:val="16"/>
                <w:lang w:eastAsia="en-AU"/>
              </w:rPr>
              <w:t>46,837</w:t>
            </w:r>
          </w:p>
        </w:tc>
        <w:tc>
          <w:tcPr>
            <w:tcW w:w="158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225A2" w:rsidR="00E33485" w:rsidRDefault="00E33485" w14:paraId="3A658BB1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225A2">
              <w:rPr>
                <w:rFonts w:eastAsia="Times New Roman" w:cs="Open Sans Light"/>
                <w:sz w:val="16"/>
                <w:szCs w:val="16"/>
                <w:lang w:eastAsia="en-AU"/>
              </w:rPr>
              <w:t>49,133</w:t>
            </w:r>
          </w:p>
        </w:tc>
      </w:tr>
      <w:tr w:rsidRPr="006225A2" w:rsidR="00E33485" w14:paraId="57496068" w14:textId="77777777">
        <w:trPr>
          <w:trHeight w:val="315"/>
        </w:trPr>
        <w:tc>
          <w:tcPr>
            <w:tcW w:w="308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vAlign w:val="bottom"/>
            <w:hideMark/>
          </w:tcPr>
          <w:p w:rsidRPr="006225A2" w:rsidR="00E33485" w:rsidRDefault="00E33485" w14:paraId="535023E9" w14:textId="77777777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225A2">
              <w:rPr>
                <w:rFonts w:eastAsia="Times New Roman" w:cs="Open Sans Light"/>
                <w:sz w:val="16"/>
                <w:szCs w:val="16"/>
                <w:lang w:eastAsia="en-AU"/>
              </w:rPr>
              <w:t>Share of total own-source revenue (%)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225A2" w:rsidR="00E33485" w:rsidRDefault="00E33485" w14:paraId="447E7BC9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225A2">
              <w:rPr>
                <w:rFonts w:eastAsia="Times New Roman" w:cs="Open Sans Light"/>
                <w:sz w:val="16"/>
                <w:szCs w:val="16"/>
                <w:lang w:eastAsia="en-AU"/>
              </w:rPr>
              <w:t>36.8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225A2" w:rsidR="00E33485" w:rsidRDefault="00E33485" w14:paraId="435F9534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225A2">
              <w:rPr>
                <w:rFonts w:eastAsia="Times New Roman" w:cs="Open Sans Light"/>
                <w:sz w:val="16"/>
                <w:szCs w:val="16"/>
                <w:lang w:eastAsia="en-AU"/>
              </w:rPr>
              <w:t>33.9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225A2" w:rsidR="00E33485" w:rsidRDefault="00E33485" w14:paraId="44EBB4CC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225A2">
              <w:rPr>
                <w:rFonts w:eastAsia="Times New Roman" w:cs="Open Sans Light"/>
                <w:sz w:val="16"/>
                <w:szCs w:val="16"/>
                <w:lang w:eastAsia="en-AU"/>
              </w:rPr>
              <w:t>33.9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225A2" w:rsidR="00E33485" w:rsidRDefault="00E33485" w14:paraId="2183C5D6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225A2">
              <w:rPr>
                <w:rFonts w:eastAsia="Times New Roman" w:cs="Open Sans Light"/>
                <w:sz w:val="16"/>
                <w:szCs w:val="16"/>
                <w:lang w:eastAsia="en-AU"/>
              </w:rPr>
              <w:t>29.8</w:t>
            </w:r>
          </w:p>
        </w:tc>
      </w:tr>
    </w:tbl>
    <w:p w:rsidR="00A4496C" w:rsidP="00A4496C" w:rsidRDefault="00A4496C" w14:paraId="2473DD68" w14:textId="6535B770">
      <w:pPr>
        <w:pStyle w:val="CGC2025Tablenote"/>
      </w:pPr>
      <w:r>
        <w:t xml:space="preserve">Source: </w:t>
      </w:r>
      <w:r w:rsidRPr="00A33484">
        <w:t>Commission</w:t>
      </w:r>
      <w:r>
        <w:t xml:space="preserve"> calculation</w:t>
      </w:r>
      <w:r w:rsidR="004D1FD3">
        <w:t>.</w:t>
      </w:r>
    </w:p>
    <w:p w:rsidR="00E33485" w:rsidP="00E33485" w:rsidRDefault="00E33485" w14:paraId="14DC1D92" w14:textId="6D56AF24">
      <w:pPr>
        <w:pStyle w:val="CGC2025ParaNumbers"/>
      </w:pPr>
      <w:r>
        <w:fldChar w:fldCharType="begin"/>
      </w:r>
      <w:r>
        <w:instrText xml:space="preserve"> REF _Ref140040664 \h </w:instrText>
      </w:r>
      <w:r>
        <w:fldChar w:fldCharType="separate"/>
      </w:r>
      <w:r w:rsidRPr="00D52CDF" w:rsidR="004B14E1">
        <w:t>Table</w:t>
      </w:r>
      <w:r w:rsidR="004B14E1">
        <w:t> </w:t>
      </w:r>
      <w:r w:rsidR="004B14E1">
        <w:rPr>
          <w:noProof/>
        </w:rPr>
        <w:t>3</w:t>
      </w:r>
      <w:r>
        <w:fldChar w:fldCharType="end"/>
      </w:r>
      <w:r>
        <w:t xml:space="preserve"> </w:t>
      </w:r>
      <w:r w:rsidRPr="00E33485">
        <w:t xml:space="preserve">sets out the capacity measure that applies to the other </w:t>
      </w:r>
      <w:r w:rsidR="00275B2E">
        <w:t xml:space="preserve">revenue </w:t>
      </w:r>
      <w:r w:rsidRPr="00E33485">
        <w:t>assessment</w:t>
      </w:r>
      <w:r w:rsidRPr="0081219B">
        <w:rPr>
          <w:noProof/>
        </w:rPr>
        <w:t>.</w:t>
      </w:r>
    </w:p>
    <w:p w:rsidRPr="00D52CDF" w:rsidR="00E33485" w:rsidP="00E33485" w:rsidRDefault="00E33485" w14:paraId="257D18FB" w14:textId="435ADD72">
      <w:pPr>
        <w:pStyle w:val="Caption"/>
        <w:rPr>
          <w:rFonts w:ascii="Work Sans" w:hAnsi="Work Sans"/>
        </w:rPr>
      </w:pPr>
      <w:bookmarkStart w:name="_Ref140040664" w:id="18"/>
      <w:r w:rsidRPr="00D52CDF">
        <w:rPr>
          <w:rFonts w:ascii="Work Sans" w:hAnsi="Work Sans"/>
        </w:rPr>
        <w:t>Table</w:t>
      </w:r>
      <w:r>
        <w:rPr>
          <w:rFonts w:ascii="Work Sans" w:hAnsi="Work Sans"/>
        </w:rPr>
        <w:t> </w:t>
      </w:r>
      <w:r w:rsidRPr="00D52CDF">
        <w:rPr>
          <w:rFonts w:ascii="Work Sans" w:hAnsi="Work Sans"/>
        </w:rPr>
        <w:fldChar w:fldCharType="begin"/>
      </w:r>
      <w:r w:rsidRPr="00D52CDF">
        <w:rPr>
          <w:rFonts w:ascii="Work Sans" w:hAnsi="Work Sans"/>
        </w:rPr>
        <w:instrText xml:space="preserve"> SEQ Table \* ARABIC </w:instrText>
      </w:r>
      <w:r w:rsidRPr="00D52CDF">
        <w:rPr>
          <w:rFonts w:ascii="Work Sans" w:hAnsi="Work Sans"/>
        </w:rPr>
        <w:fldChar w:fldCharType="separate"/>
      </w:r>
      <w:r w:rsidR="004B14E1">
        <w:rPr>
          <w:rFonts w:ascii="Work Sans" w:hAnsi="Work Sans"/>
          <w:noProof/>
        </w:rPr>
        <w:t>3</w:t>
      </w:r>
      <w:r w:rsidRPr="00D52CDF">
        <w:rPr>
          <w:rFonts w:ascii="Work Sans" w:hAnsi="Work Sans"/>
        </w:rPr>
        <w:fldChar w:fldCharType="end"/>
      </w:r>
      <w:bookmarkEnd w:id="18"/>
      <w:r>
        <w:rPr>
          <w:rFonts w:ascii="Work Sans" w:hAnsi="Work Sans"/>
        </w:rPr>
        <w:tab/>
      </w:r>
      <w:r>
        <w:rPr>
          <w:rFonts w:ascii="Work Sans" w:hAnsi="Work Sans"/>
        </w:rPr>
        <w:t>Structure</w:t>
      </w:r>
      <w:r w:rsidRPr="00D52CDF">
        <w:rPr>
          <w:rFonts w:ascii="Work Sans" w:hAnsi="Work Sans"/>
        </w:rPr>
        <w:t xml:space="preserve"> of the </w:t>
      </w:r>
      <w:r>
        <w:rPr>
          <w:rFonts w:ascii="Work Sans" w:hAnsi="Work Sans"/>
        </w:rPr>
        <w:t>other</w:t>
      </w:r>
      <w:r w:rsidRPr="00D52CDF">
        <w:rPr>
          <w:rFonts w:ascii="Work Sans" w:hAnsi="Work Sans"/>
        </w:rPr>
        <w:t xml:space="preserve"> revenue </w:t>
      </w:r>
      <w:r>
        <w:rPr>
          <w:rFonts w:ascii="Work Sans" w:hAnsi="Work Sans"/>
        </w:rPr>
        <w:t>category</w:t>
      </w:r>
    </w:p>
    <w:tbl>
      <w:tblPr>
        <w:tblW w:w="9578" w:type="dxa"/>
        <w:tblLook w:val="04A0" w:firstRow="1" w:lastRow="0" w:firstColumn="1" w:lastColumn="0" w:noHBand="0" w:noVBand="1"/>
      </w:tblPr>
      <w:tblGrid>
        <w:gridCol w:w="1660"/>
        <w:gridCol w:w="1260"/>
        <w:gridCol w:w="258"/>
        <w:gridCol w:w="1900"/>
        <w:gridCol w:w="4500"/>
      </w:tblGrid>
      <w:tr w:rsidRPr="00375CC4" w:rsidR="00E33485" w14:paraId="113231A2" w14:textId="77777777">
        <w:trPr>
          <w:trHeight w:val="480"/>
        </w:trPr>
        <w:tc>
          <w:tcPr>
            <w:tcW w:w="16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:rsidRPr="00375CC4" w:rsidR="00E33485" w:rsidRDefault="00E33485" w14:paraId="73EB427F" w14:textId="77777777">
            <w:pPr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:rsidRPr="00375CC4" w:rsidR="00E33485" w:rsidRDefault="00E33485" w14:paraId="2362F12F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Component revenue</w:t>
            </w:r>
          </w:p>
        </w:tc>
        <w:tc>
          <w:tcPr>
            <w:tcW w:w="2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:rsidRPr="00375CC4" w:rsidR="00E33485" w:rsidRDefault="00E33485" w14:paraId="25CB530B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:rsidRPr="00375CC4" w:rsidR="00E33485" w:rsidRDefault="00E33485" w14:paraId="043DA4F7" w14:textId="77777777">
            <w:pPr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Driver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:rsidRPr="00375CC4" w:rsidR="00E33485" w:rsidRDefault="00E33485" w14:paraId="4BEE54A6" w14:textId="77777777">
            <w:pPr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Influence measured by driver</w:t>
            </w:r>
          </w:p>
        </w:tc>
      </w:tr>
      <w:tr w:rsidRPr="00375CC4" w:rsidR="00E33485" w14:paraId="26E8D011" w14:textId="77777777">
        <w:trPr>
          <w:trHeight w:val="2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:rsidRPr="00375CC4" w:rsidR="00E33485" w:rsidRDefault="00E33485" w14:paraId="4DA6D8B6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:rsidRPr="00375CC4" w:rsidR="00E33485" w:rsidRDefault="00E33485" w14:paraId="14D49530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:rsidRPr="00375CC4" w:rsidR="00E33485" w:rsidRDefault="00E33485" w14:paraId="3A6C0876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:rsidRPr="00375CC4" w:rsidR="00E33485" w:rsidRDefault="00E33485" w14:paraId="5D8D6F48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:rsidRPr="00375CC4" w:rsidR="00E33485" w:rsidRDefault="00E33485" w14:paraId="15F303E3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375CC4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 </w:t>
            </w:r>
          </w:p>
        </w:tc>
      </w:tr>
      <w:tr w:rsidRPr="00375CC4" w:rsidR="00E33485" w14:paraId="661F5018" w14:textId="77777777">
        <w:trPr>
          <w:trHeight w:val="555"/>
        </w:trPr>
        <w:tc>
          <w:tcPr>
            <w:tcW w:w="16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hideMark/>
          </w:tcPr>
          <w:p w:rsidRPr="00674B6B" w:rsidR="00E33485" w:rsidRDefault="00E33485" w14:paraId="4C82E348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74B6B">
              <w:rPr>
                <w:rFonts w:eastAsia="Times New Roman" w:cs="Open Sans Light"/>
                <w:sz w:val="16"/>
                <w:szCs w:val="16"/>
                <w:lang w:eastAsia="en-AU"/>
              </w:rPr>
              <w:t>Other revenue</w:t>
            </w:r>
          </w:p>
        </w:tc>
        <w:tc>
          <w:tcPr>
            <w:tcW w:w="12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hideMark/>
          </w:tcPr>
          <w:p w:rsidRPr="00375CC4" w:rsidR="00E33485" w:rsidRDefault="00E33485" w14:paraId="54562975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49,133</w:t>
            </w:r>
          </w:p>
        </w:tc>
        <w:tc>
          <w:tcPr>
            <w:tcW w:w="258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hideMark/>
          </w:tcPr>
          <w:p w:rsidRPr="00375CC4" w:rsidR="00E33485" w:rsidRDefault="00E33485" w14:paraId="0881415A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375CC4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hideMark/>
          </w:tcPr>
          <w:p w:rsidRPr="00375CC4" w:rsidR="00E33485" w:rsidRDefault="00E33485" w14:paraId="61B4D6FC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Population</w:t>
            </w:r>
          </w:p>
        </w:tc>
        <w:tc>
          <w:tcPr>
            <w:tcW w:w="45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hideMark/>
          </w:tcPr>
          <w:p w:rsidRPr="00375CC4" w:rsidR="00E33485" w:rsidRDefault="00E33485" w14:paraId="71A871B6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These revenues are assessed equal per capita</w:t>
            </w:r>
            <w:r w:rsidRPr="00375CC4">
              <w:rPr>
                <w:rFonts w:eastAsia="Times New Roman" w:cs="Open Sans Light"/>
                <w:sz w:val="16"/>
                <w:szCs w:val="16"/>
                <w:lang w:eastAsia="en-AU"/>
              </w:rPr>
              <w:t>.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They do not differentially affect states’ relative fiscal capacities.</w:t>
            </w:r>
          </w:p>
        </w:tc>
      </w:tr>
    </w:tbl>
    <w:p w:rsidR="00E33485" w:rsidP="00E33485" w:rsidRDefault="00E33485" w14:paraId="20CD209A" w14:textId="6DA47472">
      <w:pPr>
        <w:pStyle w:val="CGC2025Tablenote"/>
      </w:pPr>
      <w:r>
        <w:t>Source:</w:t>
      </w:r>
      <w:r>
        <w:tab/>
      </w:r>
      <w:r>
        <w:t xml:space="preserve">Component revenue data provided by states for the 2023 Update. </w:t>
      </w:r>
    </w:p>
    <w:p w:rsidR="00E33485" w:rsidP="00E33485" w:rsidRDefault="00E33485" w14:paraId="1BBF459B" w14:textId="77777777">
      <w:pPr>
        <w:pStyle w:val="CGCBodyPara"/>
        <w:numPr>
          <w:ilvl w:val="0"/>
          <w:numId w:val="0"/>
        </w:numPr>
        <w:ind w:left="567" w:hanging="425"/>
      </w:pPr>
    </w:p>
    <w:p w:rsidRPr="004C5567" w:rsidR="00E33485" w:rsidP="004C5567" w:rsidRDefault="00E33485" w14:paraId="588A0B42" w14:textId="77777777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hAnsi="Work Sans" w:eastAsia="Times New Roman" w:cs="Open Sans"/>
          <w:b/>
          <w:color w:val="006991"/>
          <w:sz w:val="28"/>
          <w:szCs w:val="28"/>
        </w:rPr>
      </w:pPr>
      <w:bookmarkStart w:name="_Toc147402559" w:id="19"/>
      <w:r w:rsidRPr="004C5567">
        <w:rPr>
          <w:rFonts w:ascii="Work Sans" w:hAnsi="Work Sans" w:eastAsia="Times New Roman" w:cs="Open Sans"/>
          <w:b/>
          <w:color w:val="006991"/>
          <w:sz w:val="28"/>
          <w:szCs w:val="28"/>
        </w:rPr>
        <w:t>GST distribution in the 2023 Update</w:t>
      </w:r>
      <w:bookmarkEnd w:id="19"/>
    </w:p>
    <w:p w:rsidR="00E33485" w:rsidP="004D6441" w:rsidRDefault="00013B61" w14:paraId="42DED0E6" w14:textId="6B8E0E13">
      <w:pPr>
        <w:pStyle w:val="CGC2025ParaNumbers"/>
      </w:pPr>
      <w:r>
        <w:fldChar w:fldCharType="begin"/>
      </w:r>
      <w:r>
        <w:instrText xml:space="preserve"> REF _Ref136427121 \h </w:instrText>
      </w:r>
      <w:r>
        <w:fldChar w:fldCharType="separate"/>
      </w:r>
      <w:r w:rsidRPr="00587727" w:rsidR="004B14E1">
        <w:t>Table</w:t>
      </w:r>
      <w:r w:rsidR="004B14E1">
        <w:t> </w:t>
      </w:r>
      <w:r w:rsidR="004B14E1">
        <w:rPr>
          <w:noProof/>
        </w:rPr>
        <w:t>4</w:t>
      </w:r>
      <w:r>
        <w:fldChar w:fldCharType="end"/>
      </w:r>
      <w:r>
        <w:t xml:space="preserve"> </w:t>
      </w:r>
      <w:r w:rsidRPr="0DCB35A7" w:rsidR="00E33485">
        <w:t xml:space="preserve">shows </w:t>
      </w:r>
      <w:r w:rsidR="008F519A">
        <w:t xml:space="preserve">that </w:t>
      </w:r>
      <w:r w:rsidRPr="00013B61">
        <w:t xml:space="preserve">the </w:t>
      </w:r>
      <w:r w:rsidR="00337177">
        <w:t xml:space="preserve">equal per capita </w:t>
      </w:r>
      <w:r w:rsidRPr="00013B61">
        <w:t xml:space="preserve">assessment </w:t>
      </w:r>
      <w:r w:rsidRPr="00013B61" w:rsidR="00F54E39">
        <w:t>do</w:t>
      </w:r>
      <w:r w:rsidR="00F54E39">
        <w:t>es</w:t>
      </w:r>
      <w:r w:rsidRPr="00013B61" w:rsidR="00F54E39">
        <w:t xml:space="preserve"> not </w:t>
      </w:r>
      <w:r w:rsidRPr="004D6441" w:rsidR="00F54E39">
        <w:t>affect states’ relative fiscal capacities</w:t>
      </w:r>
      <w:r w:rsidR="00F54E39">
        <w:t xml:space="preserve">. Therefore, it </w:t>
      </w:r>
      <w:r w:rsidR="00F006F7">
        <w:t>does not affect the GST distribution</w:t>
      </w:r>
      <w:r w:rsidRPr="0DCB35A7" w:rsidR="00E33485">
        <w:t>.</w:t>
      </w:r>
    </w:p>
    <w:p w:rsidRPr="00587727" w:rsidR="00A4496C" w:rsidP="00A4496C" w:rsidRDefault="00A4496C" w14:paraId="70AB2D7C" w14:textId="7A5EC05C">
      <w:pPr>
        <w:pStyle w:val="Caption"/>
        <w:rPr>
          <w:rFonts w:ascii="Work Sans" w:hAnsi="Work Sans"/>
        </w:rPr>
      </w:pPr>
      <w:bookmarkStart w:name="_Ref136427121" w:id="20"/>
      <w:r w:rsidRPr="00587727">
        <w:rPr>
          <w:rFonts w:ascii="Work Sans" w:hAnsi="Work Sans"/>
        </w:rPr>
        <w:t>Table</w:t>
      </w:r>
      <w:r>
        <w:rPr>
          <w:rFonts w:ascii="Work Sans" w:hAnsi="Work Sans"/>
        </w:rPr>
        <w:t> </w:t>
      </w:r>
      <w:r w:rsidRPr="00587727">
        <w:rPr>
          <w:rFonts w:ascii="Work Sans" w:hAnsi="Work Sans"/>
        </w:rPr>
        <w:fldChar w:fldCharType="begin"/>
      </w:r>
      <w:r w:rsidRPr="00587727">
        <w:rPr>
          <w:rFonts w:ascii="Work Sans" w:hAnsi="Work Sans"/>
        </w:rPr>
        <w:instrText xml:space="preserve"> SEQ Table \* ARABIC </w:instrText>
      </w:r>
      <w:r w:rsidRPr="00587727">
        <w:rPr>
          <w:rFonts w:ascii="Work Sans" w:hAnsi="Work Sans"/>
        </w:rPr>
        <w:fldChar w:fldCharType="separate"/>
      </w:r>
      <w:r w:rsidR="004B14E1">
        <w:rPr>
          <w:rFonts w:ascii="Work Sans" w:hAnsi="Work Sans"/>
          <w:noProof/>
        </w:rPr>
        <w:t>4</w:t>
      </w:r>
      <w:r w:rsidRPr="00587727">
        <w:rPr>
          <w:rFonts w:ascii="Work Sans" w:hAnsi="Work Sans"/>
        </w:rPr>
        <w:fldChar w:fldCharType="end"/>
      </w:r>
      <w:bookmarkEnd w:id="20"/>
      <w:r>
        <w:rPr>
          <w:rFonts w:ascii="Work Sans" w:hAnsi="Work Sans"/>
        </w:rPr>
        <w:tab/>
      </w:r>
      <w:r w:rsidRPr="00587727">
        <w:rPr>
          <w:rFonts w:ascii="Work Sans" w:hAnsi="Work Sans"/>
        </w:rPr>
        <w:t xml:space="preserve">GST impact of the </w:t>
      </w:r>
      <w:r w:rsidR="00013B61">
        <w:rPr>
          <w:rFonts w:ascii="Work Sans" w:hAnsi="Work Sans"/>
        </w:rPr>
        <w:t>other</w:t>
      </w:r>
      <w:r w:rsidRPr="00587727">
        <w:rPr>
          <w:rFonts w:ascii="Work Sans" w:hAnsi="Work Sans"/>
        </w:rPr>
        <w:t xml:space="preserve"> revenue assessment, 2023 </w:t>
      </w:r>
      <w:proofErr w:type="gramStart"/>
      <w:r w:rsidRPr="00587727">
        <w:rPr>
          <w:rFonts w:ascii="Work Sans" w:hAnsi="Work Sans"/>
        </w:rPr>
        <w:t>Update</w:t>
      </w:r>
      <w:proofErr w:type="gramEnd"/>
    </w:p>
    <w:tbl>
      <w:tblPr>
        <w:tblW w:w="9340" w:type="dxa"/>
        <w:tblLook w:val="04A0" w:firstRow="1" w:lastRow="0" w:firstColumn="1" w:lastColumn="0" w:noHBand="0" w:noVBand="1"/>
      </w:tblPr>
      <w:tblGrid>
        <w:gridCol w:w="160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Pr="00647D14" w:rsidR="00013B61" w14:paraId="6EBAFF9E" w14:textId="77777777">
        <w:trPr>
          <w:trHeight w:val="375"/>
        </w:trPr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47D14" w:rsidR="00013B61" w:rsidRDefault="00013B61" w14:paraId="1E375E2C" w14:textId="77777777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47D14" w:rsidR="00013B61" w:rsidRDefault="00013B61" w14:paraId="4D2488D6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47D14" w:rsidR="00013B61" w:rsidRDefault="00013B61" w14:paraId="0DA26531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47D14" w:rsidR="00013B61" w:rsidRDefault="00013B61" w14:paraId="2A10CE69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47D14" w:rsidR="00013B61" w:rsidRDefault="00013B61" w14:paraId="61CB622B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47D14" w:rsidR="00013B61" w:rsidRDefault="00013B61" w14:paraId="5281E529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47D14" w:rsidR="00013B61" w:rsidRDefault="00013B61" w14:paraId="5C41320E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47D14" w:rsidR="00013B61" w:rsidRDefault="00013B61" w14:paraId="4C2A2CF6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47D14" w:rsidR="00013B61" w:rsidRDefault="00013B61" w14:paraId="090BA619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647D14" w:rsidR="00013B61" w:rsidRDefault="00013B61" w14:paraId="1EEFC08F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647D14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Pr="00647D14" w:rsidR="00013B61" w14:paraId="383415CF" w14:textId="77777777">
        <w:trPr>
          <w:trHeight w:val="315"/>
        </w:trPr>
        <w:tc>
          <w:tcPr>
            <w:tcW w:w="16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16ED5027" w14:textId="77777777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47D14">
              <w:rPr>
                <w:rFonts w:eastAsia="Times New Roman" w:cs="Open Sans Light"/>
                <w:sz w:val="16"/>
                <w:szCs w:val="16"/>
                <w:lang w:eastAsia="en-AU"/>
              </w:rPr>
              <w:t>Total ($m)</w:t>
            </w:r>
          </w:p>
        </w:tc>
        <w:tc>
          <w:tcPr>
            <w:tcW w:w="8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2928B678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19ECEC51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3132A749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7F485669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1527F182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3868C957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2700E287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67FF194D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407A8B05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</w:tr>
      <w:tr w:rsidRPr="00647D14" w:rsidR="00013B61" w14:paraId="0738C994" w14:textId="77777777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41357B9E" w14:textId="77777777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47D14">
              <w:rPr>
                <w:rFonts w:eastAsia="Times New Roman" w:cs="Open Sans Light"/>
                <w:sz w:val="16"/>
                <w:szCs w:val="16"/>
                <w:lang w:eastAsia="en-AU"/>
              </w:rPr>
              <w:t>Total ($pc)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3BD438EF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57990F2D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25E80FD6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52B43A17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67256AC8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217E601D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0839E9C4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30C9C4A5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647D14" w:rsidR="00013B61" w:rsidRDefault="00013B61" w14:paraId="4789A982" w14:textId="77777777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0</w:t>
            </w:r>
          </w:p>
        </w:tc>
      </w:tr>
    </w:tbl>
    <w:p w:rsidR="00A4496C" w:rsidP="00A4496C" w:rsidRDefault="00A4496C" w14:paraId="08C01652" w14:textId="7D27AFCE">
      <w:pPr>
        <w:pStyle w:val="CGC2025Tablenote"/>
        <w:keepNext/>
        <w:keepLines/>
        <w:widowControl w:val="0"/>
      </w:pPr>
      <w:r>
        <w:t>Source:</w:t>
      </w:r>
      <w:r>
        <w:tab/>
      </w:r>
      <w:r>
        <w:t xml:space="preserve">Commission calculation, 2023 Update. </w:t>
      </w:r>
    </w:p>
    <w:p w:rsidRPr="005522EA" w:rsidR="00A4496C" w:rsidP="00A4496C" w:rsidRDefault="00A4496C" w14:paraId="4C24FE69" w14:textId="04372CA4">
      <w:pPr>
        <w:pStyle w:val="CGC2025ParaNumbers"/>
      </w:pPr>
      <w:r>
        <w:t xml:space="preserve">Further detail on the </w:t>
      </w:r>
      <w:r w:rsidR="00013B61">
        <w:t>other</w:t>
      </w:r>
      <w:r>
        <w:t xml:space="preserve"> revenue assessment, the scope of the adjusted budget and the underlying conceptual cases for assessment methods are explained in volume 2, c</w:t>
      </w:r>
      <w:r w:rsidRPr="00306E29">
        <w:t>hapter 1</w:t>
      </w:r>
      <w:r w:rsidR="00013B61">
        <w:t>2</w:t>
      </w:r>
      <w:r>
        <w:t>,</w:t>
      </w:r>
      <w:r w:rsidRPr="00C036B0">
        <w:rPr>
          <w:i/>
          <w:iCs/>
        </w:rPr>
        <w:t> </w:t>
      </w:r>
      <w:hyperlink r:id="rId18">
        <w:r w:rsidRPr="3374507B">
          <w:rPr>
            <w:rStyle w:val="Hyperlink"/>
          </w:rPr>
          <w:t>Report on GST Revenue Sharing Relativities, 2020 Review.</w:t>
        </w:r>
      </w:hyperlink>
    </w:p>
    <w:p w:rsidRPr="00225196" w:rsidR="00A4496C" w:rsidP="00225196" w:rsidRDefault="00A4496C" w14:paraId="4240EBF2" w14:textId="77777777">
      <w:pPr>
        <w:pStyle w:val="Heading2"/>
        <w:keepNext w:val="0"/>
        <w:widowControl/>
        <w:tabs>
          <w:tab w:val="clear" w:pos="567"/>
        </w:tabs>
        <w:spacing w:before="360" w:after="200" w:line="276" w:lineRule="auto"/>
        <w:rPr>
          <w:rFonts w:eastAsia="Times New Roman" w:cs="Open Sans"/>
          <w:color w:val="006991"/>
          <w:sz w:val="36"/>
          <w:szCs w:val="36"/>
        </w:rPr>
      </w:pPr>
      <w:bookmarkStart w:name="_Toc121741486" w:id="21"/>
      <w:bookmarkStart w:name="_Toc132729102" w:id="22"/>
      <w:bookmarkStart w:name="_Toc133236149" w:id="23"/>
      <w:bookmarkStart w:name="_Toc133236175" w:id="24"/>
      <w:bookmarkStart w:name="_Toc147402560" w:id="25"/>
      <w:bookmarkStart w:name="_Toc127428352" w:id="26"/>
      <w:r w:rsidRPr="00225196">
        <w:rPr>
          <w:rFonts w:eastAsia="Times New Roman" w:cs="Open Sans"/>
          <w:color w:val="006991"/>
          <w:sz w:val="36"/>
          <w:szCs w:val="36"/>
        </w:rPr>
        <w:t>What has changed since the 2020 Review?</w:t>
      </w:r>
      <w:bookmarkEnd w:id="21"/>
      <w:bookmarkEnd w:id="22"/>
      <w:bookmarkEnd w:id="23"/>
      <w:bookmarkEnd w:id="24"/>
      <w:bookmarkEnd w:id="25"/>
      <w:r w:rsidRPr="00225196">
        <w:rPr>
          <w:rFonts w:eastAsia="Times New Roman" w:cs="Open Sans"/>
          <w:color w:val="006991"/>
          <w:sz w:val="36"/>
          <w:szCs w:val="36"/>
        </w:rPr>
        <w:t xml:space="preserve"> </w:t>
      </w:r>
      <w:bookmarkEnd w:id="26"/>
    </w:p>
    <w:p w:rsidRPr="00542224" w:rsidR="00ED3039" w:rsidP="00542224" w:rsidRDefault="0079244B" w14:paraId="5135D052" w14:textId="597C13B9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hAnsi="Work Sans" w:eastAsia="Times New Roman" w:cs="Open Sans"/>
          <w:b/>
          <w:color w:val="006991"/>
          <w:sz w:val="28"/>
          <w:szCs w:val="28"/>
        </w:rPr>
      </w:pPr>
      <w:bookmarkStart w:name="_Toc147402561" w:id="27"/>
      <w:bookmarkStart w:name="_Toc132729103" w:id="28"/>
      <w:bookmarkStart w:name="_Toc133236150" w:id="29"/>
      <w:bookmarkStart w:name="_Toc133236176" w:id="30"/>
      <w:r w:rsidRPr="00542224">
        <w:rPr>
          <w:rFonts w:ascii="Work Sans" w:hAnsi="Work Sans" w:eastAsia="Times New Roman" w:cs="Open Sans"/>
          <w:b/>
          <w:color w:val="006991"/>
          <w:sz w:val="28"/>
          <w:szCs w:val="28"/>
        </w:rPr>
        <w:t>Composition of the category</w:t>
      </w:r>
      <w:bookmarkEnd w:id="27"/>
    </w:p>
    <w:p w:rsidR="0079244B" w:rsidP="0079244B" w:rsidRDefault="0079244B" w14:paraId="16ECBDE0" w14:textId="0623EE1D">
      <w:pPr>
        <w:pStyle w:val="CGC2025ParaNumbers"/>
      </w:pPr>
      <w:r>
        <w:fldChar w:fldCharType="begin"/>
      </w:r>
      <w:r>
        <w:instrText xml:space="preserve"> REF _Ref136426894 \h </w:instrText>
      </w:r>
      <w:r>
        <w:fldChar w:fldCharType="separate"/>
      </w:r>
      <w:r w:rsidRPr="00D52CDF" w:rsidR="004B14E1">
        <w:t>Table</w:t>
      </w:r>
      <w:r w:rsidR="004B14E1">
        <w:t> </w:t>
      </w:r>
      <w:r w:rsidR="004B14E1">
        <w:rPr>
          <w:noProof/>
        </w:rPr>
        <w:t>5</w:t>
      </w:r>
      <w:r>
        <w:fldChar w:fldCharType="end"/>
      </w:r>
      <w:r>
        <w:t xml:space="preserve"> lists state revenues classified to the other revenue category</w:t>
      </w:r>
      <w:r w:rsidRPr="0081219B">
        <w:rPr>
          <w:noProof/>
        </w:rPr>
        <w:t>.</w:t>
      </w:r>
    </w:p>
    <w:p w:rsidRPr="00D52CDF" w:rsidR="0079244B" w:rsidP="0079244B" w:rsidRDefault="0079244B" w14:paraId="133CF3C6" w14:textId="765B5225">
      <w:pPr>
        <w:pStyle w:val="Caption"/>
        <w:rPr>
          <w:rFonts w:ascii="Work Sans" w:hAnsi="Work Sans"/>
        </w:rPr>
      </w:pPr>
      <w:bookmarkStart w:name="_Ref136426894" w:id="31"/>
      <w:r w:rsidRPr="00D52CDF">
        <w:rPr>
          <w:rFonts w:ascii="Work Sans" w:hAnsi="Work Sans"/>
        </w:rPr>
        <w:t>Table</w:t>
      </w:r>
      <w:r>
        <w:rPr>
          <w:rFonts w:ascii="Work Sans" w:hAnsi="Work Sans"/>
        </w:rPr>
        <w:t> </w:t>
      </w:r>
      <w:r w:rsidRPr="00D52CDF">
        <w:rPr>
          <w:rFonts w:ascii="Work Sans" w:hAnsi="Work Sans"/>
        </w:rPr>
        <w:fldChar w:fldCharType="begin"/>
      </w:r>
      <w:r w:rsidRPr="00D52CDF">
        <w:rPr>
          <w:rFonts w:ascii="Work Sans" w:hAnsi="Work Sans"/>
        </w:rPr>
        <w:instrText xml:space="preserve"> SEQ Table \* ARABIC </w:instrText>
      </w:r>
      <w:r w:rsidRPr="00D52CDF">
        <w:rPr>
          <w:rFonts w:ascii="Work Sans" w:hAnsi="Work Sans"/>
        </w:rPr>
        <w:fldChar w:fldCharType="separate"/>
      </w:r>
      <w:r w:rsidR="004B14E1">
        <w:rPr>
          <w:rFonts w:ascii="Work Sans" w:hAnsi="Work Sans"/>
          <w:noProof/>
        </w:rPr>
        <w:t>5</w:t>
      </w:r>
      <w:r w:rsidRPr="00D52CDF">
        <w:rPr>
          <w:rFonts w:ascii="Work Sans" w:hAnsi="Work Sans"/>
        </w:rPr>
        <w:fldChar w:fldCharType="end"/>
      </w:r>
      <w:bookmarkEnd w:id="31"/>
      <w:r>
        <w:rPr>
          <w:rFonts w:ascii="Work Sans" w:hAnsi="Work Sans"/>
        </w:rPr>
        <w:tab/>
      </w:r>
      <w:r>
        <w:rPr>
          <w:rFonts w:ascii="Work Sans" w:hAnsi="Work Sans"/>
        </w:rPr>
        <w:t>Composition</w:t>
      </w:r>
      <w:r w:rsidRPr="00D52CDF">
        <w:rPr>
          <w:rFonts w:ascii="Work Sans" w:hAnsi="Work Sans"/>
        </w:rPr>
        <w:t xml:space="preserve"> of the </w:t>
      </w:r>
      <w:r>
        <w:rPr>
          <w:rFonts w:ascii="Work Sans" w:hAnsi="Work Sans"/>
        </w:rPr>
        <w:t>other</w:t>
      </w:r>
      <w:r w:rsidRPr="00D52CDF">
        <w:rPr>
          <w:rFonts w:ascii="Work Sans" w:hAnsi="Work Sans"/>
        </w:rPr>
        <w:t xml:space="preserve"> revenue </w:t>
      </w:r>
      <w:r>
        <w:rPr>
          <w:rFonts w:ascii="Work Sans" w:hAnsi="Work Sans"/>
        </w:rPr>
        <w:t>category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2600"/>
        <w:gridCol w:w="2060"/>
        <w:gridCol w:w="2060"/>
        <w:gridCol w:w="2060"/>
      </w:tblGrid>
      <w:tr w:rsidRPr="0097326E" w:rsidR="0079244B" w14:paraId="472AE56F" w14:textId="77777777">
        <w:trPr>
          <w:trHeight w:val="375"/>
        </w:trPr>
        <w:tc>
          <w:tcPr>
            <w:tcW w:w="26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97326E" w:rsidR="0079244B" w:rsidRDefault="0079244B" w14:paraId="2460ABA7" w14:textId="77777777">
            <w:pPr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97326E" w:rsidR="0079244B" w:rsidRDefault="0079244B" w14:paraId="2BA5EC67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2019-20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97326E" w:rsidR="0079244B" w:rsidRDefault="0079244B" w14:paraId="176AF0E1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:rsidRPr="0097326E" w:rsidR="0079244B" w:rsidRDefault="0079244B" w14:paraId="7CA7A9D2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</w:tr>
      <w:tr w:rsidRPr="0097326E" w:rsidR="0079244B" w14:paraId="45501641" w14:textId="77777777">
        <w:trPr>
          <w:trHeight w:val="2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:rsidRPr="0097326E" w:rsidR="0079244B" w:rsidRDefault="0079244B" w14:paraId="53B0AED0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:rsidRPr="0097326E" w:rsidR="0079244B" w:rsidRDefault="0079244B" w14:paraId="3C2F3316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:rsidRPr="0097326E" w:rsidR="0079244B" w:rsidRDefault="0079244B" w14:paraId="79C79E71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noWrap/>
            <w:vAlign w:val="center"/>
            <w:hideMark/>
          </w:tcPr>
          <w:p w:rsidRPr="0097326E" w:rsidR="0079244B" w:rsidRDefault="0079244B" w14:paraId="7A1651E1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$m</w:t>
            </w:r>
          </w:p>
        </w:tc>
      </w:tr>
      <w:tr w:rsidRPr="0097326E" w:rsidR="0079244B" w14:paraId="48D2C1D3" w14:textId="77777777">
        <w:trPr>
          <w:trHeight w:val="315"/>
        </w:trPr>
        <w:tc>
          <w:tcPr>
            <w:tcW w:w="260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2C729CA6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User charges (a)</w:t>
            </w:r>
          </w:p>
        </w:tc>
        <w:tc>
          <w:tcPr>
            <w:tcW w:w="20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43F04866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4,602</w:t>
            </w:r>
          </w:p>
        </w:tc>
        <w:tc>
          <w:tcPr>
            <w:tcW w:w="20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74163E74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5,340</w:t>
            </w:r>
          </w:p>
        </w:tc>
        <w:tc>
          <w:tcPr>
            <w:tcW w:w="2060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1466DA56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7,467</w:t>
            </w:r>
          </w:p>
        </w:tc>
      </w:tr>
      <w:tr w:rsidRPr="0097326E" w:rsidR="0079244B" w14:paraId="3436DBF5" w14:textId="77777777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5862986A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Municipal rates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597DEF66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597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4F56148A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612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345ECEF8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674</w:t>
            </w:r>
          </w:p>
        </w:tc>
      </w:tr>
      <w:tr w:rsidRPr="0097326E" w:rsidR="0079244B" w14:paraId="6E6A49BD" w14:textId="77777777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C404C" w:rsidR="0079244B" w:rsidRDefault="0079244B" w14:paraId="37A11401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C404C">
              <w:rPr>
                <w:rFonts w:eastAsia="Times New Roman" w:cs="Open Sans Light"/>
                <w:sz w:val="16"/>
                <w:szCs w:val="16"/>
                <w:lang w:eastAsia="en-AU"/>
              </w:rPr>
              <w:t>Gambling taxes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C404C" w:rsidR="0079244B" w:rsidRDefault="0079244B" w14:paraId="39894793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C404C">
              <w:rPr>
                <w:rFonts w:eastAsia="Times New Roman" w:cs="Open Sans Light"/>
                <w:sz w:val="16"/>
                <w:szCs w:val="16"/>
                <w:lang w:eastAsia="en-AU"/>
              </w:rPr>
              <w:t>5,975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C404C" w:rsidR="0079244B" w:rsidRDefault="0079244B" w14:paraId="628BAABE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C404C">
              <w:rPr>
                <w:rFonts w:eastAsia="Times New Roman" w:cs="Open Sans Light"/>
                <w:sz w:val="16"/>
                <w:szCs w:val="16"/>
                <w:lang w:eastAsia="en-AU"/>
              </w:rPr>
              <w:t>6,999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C404C" w:rsidR="0079244B" w:rsidRDefault="0079244B" w14:paraId="23221AC9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7C404C">
              <w:rPr>
                <w:rFonts w:eastAsia="Times New Roman" w:cs="Open Sans Light"/>
                <w:sz w:val="16"/>
                <w:szCs w:val="16"/>
                <w:lang w:eastAsia="en-AU"/>
              </w:rPr>
              <w:t>7,267</w:t>
            </w:r>
          </w:p>
        </w:tc>
      </w:tr>
      <w:tr w:rsidRPr="0097326E" w:rsidR="0079244B" w14:paraId="279957EC" w14:textId="77777777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7E9BC4C1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Fines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,</w:t>
            </w: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</w:t>
            </w:r>
            <w:proofErr w:type="gramStart"/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fees</w:t>
            </w:r>
            <w:proofErr w:type="gramEnd"/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and forfeits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38D80BF0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7,346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534EB859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7,874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0E031716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8,294</w:t>
            </w:r>
          </w:p>
        </w:tc>
      </w:tr>
      <w:tr w:rsidRPr="0097326E" w:rsidR="0079244B" w14:paraId="7CBFF347" w14:textId="77777777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40CEC3AA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Other taxes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57351CCF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2,257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2B9F190D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2,286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1190D820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2,745</w:t>
            </w:r>
          </w:p>
        </w:tc>
      </w:tr>
      <w:tr w:rsidRPr="0097326E" w:rsidR="0079244B" w14:paraId="676A3616" w14:textId="77777777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6AE4D8B6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Interest income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685AA9F0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3,346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793644B6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3,157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31F6E2DE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3,770</w:t>
            </w:r>
          </w:p>
        </w:tc>
      </w:tr>
      <w:tr w:rsidRPr="0097326E" w:rsidR="0079244B" w14:paraId="1FA2199D" w14:textId="77777777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70A9E938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Dividend income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4164F384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8,756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58DEF7A0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9,154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7CCEABCF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4,891</w:t>
            </w:r>
          </w:p>
        </w:tc>
      </w:tr>
      <w:tr w:rsidRPr="0097326E" w:rsidR="0079244B" w14:paraId="6B508133" w14:textId="77777777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28BD67CA" w14:textId="201B326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Grants</w:t>
            </w:r>
            <w:r w:rsidR="00B22A00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from third parties</w:t>
            </w: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(b)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05437C5D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0906B64F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618CA2DA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2,151</w:t>
            </w:r>
          </w:p>
        </w:tc>
      </w:tr>
      <w:tr w:rsidRPr="0097326E" w:rsidR="0079244B" w14:paraId="1A7219D3" w14:textId="77777777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0A7972F9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Other income (c)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703C6E3B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10,170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595DBAFA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11,378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7326E" w:rsidR="0079244B" w:rsidRDefault="0079244B" w14:paraId="7BDAF83C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97326E">
              <w:rPr>
                <w:rFonts w:eastAsia="Times New Roman" w:cs="Open Sans Light"/>
                <w:sz w:val="16"/>
                <w:szCs w:val="16"/>
                <w:lang w:eastAsia="en-AU"/>
              </w:rPr>
              <w:t>11,875</w:t>
            </w:r>
          </w:p>
        </w:tc>
      </w:tr>
      <w:tr w:rsidRPr="0097326E" w:rsidR="0079244B" w14:paraId="0EC355F9" w14:textId="77777777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000000" w:fill="D6E7F0"/>
            <w:noWrap/>
            <w:vAlign w:val="bottom"/>
            <w:hideMark/>
          </w:tcPr>
          <w:p w:rsidRPr="0097326E" w:rsidR="0079244B" w:rsidRDefault="0079244B" w14:paraId="2655693A" w14:textId="77777777">
            <w:pPr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000000" w:fill="D6E7F0"/>
            <w:noWrap/>
            <w:vAlign w:val="bottom"/>
            <w:hideMark/>
          </w:tcPr>
          <w:p w:rsidRPr="0097326E" w:rsidR="0079244B" w:rsidRDefault="0079244B" w14:paraId="35B2AB0A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43,103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000000" w:fill="D6E7F0"/>
            <w:noWrap/>
            <w:vAlign w:val="bottom"/>
            <w:hideMark/>
          </w:tcPr>
          <w:p w:rsidRPr="0097326E" w:rsidR="0079244B" w:rsidRDefault="0079244B" w14:paraId="225877BA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46,837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DD6EA" w:sz="4" w:space="0"/>
              <w:right w:val="nil"/>
            </w:tcBorders>
            <w:shd w:val="clear" w:color="000000" w:fill="D6E7F0"/>
            <w:noWrap/>
            <w:vAlign w:val="bottom"/>
            <w:hideMark/>
          </w:tcPr>
          <w:p w:rsidRPr="0097326E" w:rsidR="0079244B" w:rsidRDefault="0079244B" w14:paraId="36F5CCEC" w14:textId="77777777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</w:pPr>
            <w:r w:rsidRPr="0097326E">
              <w:rPr>
                <w:rFonts w:ascii="Open Sans Semibold" w:hAnsi="Open Sans Semibold" w:eastAsia="Times New Roman" w:cs="Open Sans Semibold"/>
                <w:sz w:val="16"/>
                <w:szCs w:val="16"/>
                <w:lang w:eastAsia="en-AU"/>
              </w:rPr>
              <w:t>49,133</w:t>
            </w:r>
          </w:p>
        </w:tc>
      </w:tr>
    </w:tbl>
    <w:p w:rsidR="0079244B" w:rsidP="0079244B" w:rsidRDefault="0079244B" w14:paraId="76C5FBEF" w14:textId="77777777">
      <w:pPr>
        <w:pStyle w:val="CGC2025Tablenote"/>
        <w:numPr>
          <w:ilvl w:val="0"/>
          <w:numId w:val="31"/>
        </w:numPr>
      </w:pPr>
      <w:r>
        <w:t xml:space="preserve">Most </w:t>
      </w:r>
      <w:r w:rsidRPr="00E33485">
        <w:t xml:space="preserve">user charges are differentially assessed and offset against the relevant expense category. The user charges shown in this table are those </w:t>
      </w:r>
      <w:r>
        <w:t xml:space="preserve">the Commission has decided to </w:t>
      </w:r>
      <w:r w:rsidRPr="00E33485">
        <w:t>assess equal per capita</w:t>
      </w:r>
      <w:r>
        <w:t xml:space="preserve">. </w:t>
      </w:r>
    </w:p>
    <w:p w:rsidR="0079244B" w:rsidP="0079244B" w:rsidRDefault="0079244B" w14:paraId="245EEECC" w14:textId="77777777">
      <w:pPr>
        <w:pStyle w:val="CGC2025Tablenote"/>
        <w:numPr>
          <w:ilvl w:val="0"/>
          <w:numId w:val="31"/>
        </w:numPr>
      </w:pPr>
      <w:r>
        <w:t xml:space="preserve">These </w:t>
      </w:r>
      <w:r w:rsidRPr="00E33485">
        <w:t>are grants from parties other than the Commonwealth</w:t>
      </w:r>
      <w:r>
        <w:t xml:space="preserve">. </w:t>
      </w:r>
    </w:p>
    <w:p w:rsidR="0079244B" w:rsidP="0079244B" w:rsidRDefault="0079244B" w14:paraId="68FBBC08" w14:textId="4DEEF79A">
      <w:pPr>
        <w:pStyle w:val="CGC2025Tablenote"/>
        <w:numPr>
          <w:ilvl w:val="0"/>
          <w:numId w:val="31"/>
        </w:numPr>
      </w:pPr>
      <w:r>
        <w:t xml:space="preserve">These </w:t>
      </w:r>
      <w:r w:rsidRPr="00E33485">
        <w:t xml:space="preserve">figures also include the effect of Commission adjustments. For example, the Commission adjusts </w:t>
      </w:r>
      <w:r w:rsidR="00F34E42">
        <w:t xml:space="preserve">ABS </w:t>
      </w:r>
      <w:r w:rsidRPr="00E33485">
        <w:t>G</w:t>
      </w:r>
      <w:r w:rsidR="00F34E42">
        <w:t>overnment</w:t>
      </w:r>
      <w:r w:rsidR="00280A27">
        <w:t> </w:t>
      </w:r>
      <w:r w:rsidRPr="00E33485">
        <w:t>F</w:t>
      </w:r>
      <w:r w:rsidR="00F34E42">
        <w:t xml:space="preserve">inance </w:t>
      </w:r>
      <w:r w:rsidRPr="00E33485">
        <w:t>S</w:t>
      </w:r>
      <w:r w:rsidR="00F34E42">
        <w:t>tatistics</w:t>
      </w:r>
      <w:r w:rsidRPr="00E33485">
        <w:t xml:space="preserve"> data to include the activity of housing and urban transit public non-financial corporations</w:t>
      </w:r>
      <w:r>
        <w:t xml:space="preserve">. </w:t>
      </w:r>
    </w:p>
    <w:p w:rsidR="0079244B" w:rsidP="0079244B" w:rsidRDefault="0079244B" w14:paraId="1C697A64" w14:textId="77777777">
      <w:pPr>
        <w:pStyle w:val="CGC2025Tablenote"/>
      </w:pPr>
      <w:r>
        <w:t>Source:</w:t>
      </w:r>
      <w:r>
        <w:tab/>
      </w:r>
      <w:r>
        <w:t xml:space="preserve">Component revenue data provided by states for the 2023 Update. </w:t>
      </w:r>
    </w:p>
    <w:p w:rsidRPr="00145D8A" w:rsidR="00E61D50" w:rsidP="0076110B" w:rsidRDefault="006C5FF4" w14:paraId="62BC22D1" w14:textId="2AE813B7">
      <w:pPr>
        <w:pStyle w:val="CGC2025ParaNumbers"/>
        <w:keepNext/>
        <w:keepLines/>
      </w:pPr>
      <w:r w:rsidRPr="00145D8A">
        <w:t xml:space="preserve">There are long standing criticisms of the equal per capita assessment of </w:t>
      </w:r>
      <w:r w:rsidRPr="00145D8A" w:rsidR="006B2BAF">
        <w:t xml:space="preserve">capacity to raise revenue from </w:t>
      </w:r>
      <w:r w:rsidRPr="00145D8A">
        <w:t xml:space="preserve">gambling </w:t>
      </w:r>
      <w:r w:rsidRPr="00145D8A" w:rsidR="00E90FD8">
        <w:t>taxes</w:t>
      </w:r>
      <w:r w:rsidRPr="00145D8A">
        <w:t xml:space="preserve">. </w:t>
      </w:r>
      <w:r w:rsidRPr="00145D8A" w:rsidR="00280A27">
        <w:t>As part of the 2025 Review</w:t>
      </w:r>
      <w:r w:rsidRPr="00145D8A" w:rsidR="00F61A26">
        <w:t>,</w:t>
      </w:r>
      <w:r w:rsidRPr="00145D8A" w:rsidR="00280A27">
        <w:t xml:space="preserve"> the </w:t>
      </w:r>
      <w:r w:rsidRPr="00145D8A" w:rsidR="00F61A26">
        <w:t>Commission has issued a separate consultation paper on gambling</w:t>
      </w:r>
      <w:r w:rsidRPr="00145D8A" w:rsidR="00252828">
        <w:t xml:space="preserve">. </w:t>
      </w:r>
      <w:r w:rsidRPr="00145D8A">
        <w:t>That</w:t>
      </w:r>
      <w:r w:rsidRPr="00145D8A" w:rsidR="00494D1F">
        <w:t xml:space="preserve"> paper reviews the options </w:t>
      </w:r>
      <w:r w:rsidRPr="00145D8A" w:rsidR="00351072">
        <w:t xml:space="preserve">for a differential assessment of gambling </w:t>
      </w:r>
      <w:r w:rsidRPr="00145D8A" w:rsidR="0006293F">
        <w:t>tax</w:t>
      </w:r>
      <w:r w:rsidRPr="00145D8A" w:rsidR="00E90FD8">
        <w:t>es</w:t>
      </w:r>
      <w:r w:rsidRPr="00145D8A" w:rsidR="00351072">
        <w:t xml:space="preserve"> that </w:t>
      </w:r>
      <w:r w:rsidRPr="00145D8A">
        <w:t xml:space="preserve">have </w:t>
      </w:r>
      <w:r w:rsidRPr="00145D8A" w:rsidR="00351072">
        <w:t>been considered in past reviews</w:t>
      </w:r>
      <w:r w:rsidRPr="00145D8A" w:rsidR="000B7940">
        <w:t>.</w:t>
      </w:r>
      <w:r w:rsidRPr="00145D8A" w:rsidR="00351072">
        <w:t xml:space="preserve"> </w:t>
      </w:r>
      <w:r w:rsidRPr="00145D8A" w:rsidR="00874D38">
        <w:t xml:space="preserve">The Commission’s preliminary view </w:t>
      </w:r>
      <w:r w:rsidRPr="00145D8A" w:rsidR="002E03A9">
        <w:t xml:space="preserve">is that there have been </w:t>
      </w:r>
      <w:r w:rsidRPr="00145D8A" w:rsidR="00977391">
        <w:t xml:space="preserve">no developments that warrant </w:t>
      </w:r>
      <w:r w:rsidRPr="00145D8A" w:rsidR="0046299B">
        <w:t xml:space="preserve">changing </w:t>
      </w:r>
      <w:r w:rsidRPr="00145D8A" w:rsidR="00977391">
        <w:t>the gambling tax</w:t>
      </w:r>
      <w:r w:rsidRPr="00145D8A" w:rsidR="004133C2">
        <w:t>es</w:t>
      </w:r>
      <w:r w:rsidRPr="00145D8A" w:rsidR="00977391">
        <w:t xml:space="preserve"> assessment and it should </w:t>
      </w:r>
      <w:r w:rsidRPr="00145D8A" w:rsidR="0095235D">
        <w:t xml:space="preserve">continue to be assessed </w:t>
      </w:r>
      <w:r w:rsidRPr="00145D8A" w:rsidR="00A84B3C">
        <w:t>equal per capita in other revenue.</w:t>
      </w:r>
    </w:p>
    <w:p w:rsidRPr="005437FC" w:rsidR="00ED351F" w:rsidP="005437FC" w:rsidRDefault="00ED351F" w14:paraId="047201BD" w14:textId="77777777">
      <w:pPr>
        <w:pStyle w:val="Heading4"/>
        <w:keepLines w:val="0"/>
        <w:widowControl w:val="0"/>
        <w:spacing w:before="240" w:line="240" w:lineRule="auto"/>
        <w:rPr>
          <w:rFonts w:ascii="Work Sans" w:hAnsi="Work Sans"/>
          <w:b/>
          <w:i w:val="0"/>
          <w:color w:val="006991"/>
          <w:sz w:val="24"/>
        </w:rPr>
      </w:pPr>
      <w:r w:rsidRPr="005437FC">
        <w:rPr>
          <w:rFonts w:ascii="Work Sans" w:hAnsi="Work Sans"/>
          <w:b/>
          <w:i w:val="0"/>
          <w:color w:val="006991"/>
          <w:sz w:val="24"/>
        </w:rPr>
        <w:t>Consultation question</w:t>
      </w:r>
    </w:p>
    <w:p w:rsidR="00ED351F" w:rsidP="00ED351F" w:rsidRDefault="00ED351F" w14:paraId="24B963E3" w14:textId="77777777">
      <w:r w:rsidRPr="001C4DF3">
        <w:rPr>
          <w:noProof/>
        </w:rPr>
        <mc:AlternateContent>
          <mc:Choice Requires="wps">
            <w:drawing>
              <wp:inline distT="0" distB="0" distL="0" distR="0" wp14:anchorId="7739C617" wp14:editId="7E715D42">
                <wp:extent cx="5731510" cy="679999"/>
                <wp:effectExtent l="0" t="0" r="2540" b="6350"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679999"/>
                        </a:xfrm>
                        <a:prstGeom prst="rect">
                          <a:avLst/>
                        </a:prstGeom>
                        <a:solidFill>
                          <a:srgbClr val="EBF3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D351F" w:rsidP="00ED351F" w:rsidRDefault="00ED351F" w14:paraId="5903DE3F" w14:textId="5E9CCC68">
                            <w:pPr>
                              <w:pStyle w:val="CGC2025QuestionNumbers"/>
                              <w:rPr>
                                <w:rFonts w:cs="Open Sans" w:eastAsiaTheme="majorEastAsia"/>
                              </w:rPr>
                            </w:pPr>
                            <w:r>
                              <w:rPr>
                                <w:rFonts w:cs="Open Sans" w:eastAsiaTheme="majorEastAsia"/>
                              </w:rPr>
                              <w:t xml:space="preserve">Do </w:t>
                            </w:r>
                            <w:r>
                              <w:t>states agree with the revenues classified to the other revenue category</w:t>
                            </w:r>
                            <w:r>
                              <w:rPr>
                                <w:rFonts w:cs="Open Sans" w:eastAsiaTheme="majorEastAsi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EA954D3">
              <v:rect id="Rectangle 5" style="width:451.3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9" fillcolor="#ebf3f5" stroked="f" strokeweight="2pt" w14:anchorId="7739C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oUUAIAAJ0EAAAOAAAAZHJzL2Uyb0RvYy54bWysVEtv2zAMvg/YfxB0X5xnH0GcImuXYUDR&#10;BkiHnhVZig3IokYpsbNfP0p2m67baVgOCilSfHz86MVNWxt2VOgrsDkfDYacKSuhqOw+59+f1p+u&#10;OPNB2EIYsCrnJ+X5zfLjh0Xj5moMJZhCIaMg1s8bl/MyBDfPMi9LVQs/AKcsGTVgLQKpuM8KFA1F&#10;r002Hg4vsgawcAhSeU+3d52RL1N8rZUMj1p7FZjJOdUW0onp3MUzWy7EfI/ClZXsyxD/UEUtKktJ&#10;X0PdiSDYAas/QtWVRPCgw0BCnYHWlVSpB+pmNHzXzbYUTqVeCBzvXmHy/y+sfDhu3QYJhsb5uScx&#10;dtFqrOM/1cfaBNbpFSzVBibpcnY5Gc1GhKkk28XlNf0imtn5tUMfviqoWRRyjjSMhJE43vvQub64&#10;xGQeTFWsK2OSgvvdrUF2FDS4L5/Xk/Wsj/6bm7Gsyfl4Nh3GQgQRSBsRSKxdkXNv95wJsydmyoAp&#10;t4WYIU095r4TvuxypLB9CmNjCSrRpy/1jE6UQrtrWUUZJvFFvNlBcdogQ+gY5p1cVxT/XviwEUiU&#10;ovpoTcIjHdoAFQ29xFkJ+PNv99GfJk1WzhqiKDX04yBQcWa+WeLA9Wg6jZxOynR2OSYF31p2by32&#10;UN8CgTmihXQyidE/mBdRI9TPtE2rmJVMwkrK3UHXK7ehWx3aR6lWq+RGPHYi3NutkzF4RC4i+9Q+&#10;C3T96AOR5gFe6Czm7xjQ+caXFlaHALpK9DjjSrSKCu1AIli/r3HJ3urJ6/xVWf4CAAD//wMAUEsD&#10;BBQABgAIAAAAIQC166/O3AAAAAUBAAAPAAAAZHJzL2Rvd25yZXYueG1sTI/BTsMwEETvSPyDtUjc&#10;qN1KhDbEqWgFPSAqROkHbONtEjVeR7abhr/HcIHLSKsZzbwtlqPtxEA+tI41TCcKBHHlTMu1hv3n&#10;y90cRIjIBjvHpOGLAizL66sCc+Mu/EHDLtYilXDIUUMTY59LGaqGLIaJ64mTd3TeYkynr6XxeEnl&#10;tpMzpTJpseW00GBP64aq0+5sNWzeNh55sarqebZ63T+vt8P9+1br25vx6RFEpDH+heEHP6FDmZgO&#10;7swmiE5DeiT+avIWapaBOKSQepiCLAv5n778BgAA//8DAFBLAQItABQABgAIAAAAIQC2gziS/gAA&#10;AOEBAAATAAAAAAAAAAAAAAAAAAAAAABbQ29udGVudF9UeXBlc10ueG1sUEsBAi0AFAAGAAgAAAAh&#10;ADj9If/WAAAAlAEAAAsAAAAAAAAAAAAAAAAALwEAAF9yZWxzLy5yZWxzUEsBAi0AFAAGAAgAAAAh&#10;AMHC+hRQAgAAnQQAAA4AAAAAAAAAAAAAAAAALgIAAGRycy9lMm9Eb2MueG1sUEsBAi0AFAAGAAgA&#10;AAAhALXrr87cAAAABQEAAA8AAAAAAAAAAAAAAAAAqgQAAGRycy9kb3ducmV2LnhtbFBLBQYAAAAA&#10;BAAEAPMAAACzBQAAAAA=&#10;">
                <v:textbox>
                  <w:txbxContent>
                    <w:p w:rsidR="00ED351F" w:rsidP="00ED351F" w:rsidRDefault="00ED351F" w14:paraId="5EA94EB0" w14:textId="5E9CCC68">
                      <w:pPr>
                        <w:pStyle w:val="CGC2025QuestionNumbers"/>
                        <w:rPr>
                          <w:rFonts w:cs="Open Sans" w:eastAsiaTheme="majorEastAsia"/>
                        </w:rPr>
                      </w:pPr>
                      <w:r>
                        <w:rPr>
                          <w:rFonts w:cs="Open Sans" w:eastAsiaTheme="majorEastAsia"/>
                        </w:rPr>
                        <w:t xml:space="preserve">Do </w:t>
                      </w:r>
                      <w:r>
                        <w:t>states agree with the revenues classified to the other revenue category</w:t>
                      </w:r>
                      <w:r>
                        <w:rPr>
                          <w:rFonts w:cs="Open Sans" w:eastAsiaTheme="majorEastAsia"/>
                        </w:rPr>
                        <w:t>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Pr="00116FAC" w:rsidR="00ED351F" w:rsidP="00116FAC" w:rsidRDefault="00ED351F" w14:paraId="7C9CF346" w14:textId="1558BD69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hAnsi="Work Sans" w:eastAsia="Times New Roman" w:cs="Open Sans"/>
          <w:b/>
          <w:color w:val="006991"/>
          <w:sz w:val="28"/>
          <w:szCs w:val="28"/>
        </w:rPr>
      </w:pPr>
      <w:bookmarkStart w:name="_Toc147402562" w:id="32"/>
      <w:r w:rsidRPr="00116FAC">
        <w:rPr>
          <w:rFonts w:ascii="Work Sans" w:hAnsi="Work Sans" w:eastAsia="Times New Roman" w:cs="Open Sans"/>
          <w:b/>
          <w:color w:val="006991"/>
          <w:sz w:val="28"/>
          <w:szCs w:val="28"/>
        </w:rPr>
        <w:t>Assessment of the category</w:t>
      </w:r>
      <w:bookmarkEnd w:id="32"/>
    </w:p>
    <w:p w:rsidR="00395E58" w:rsidP="00A4496C" w:rsidRDefault="00A31159" w14:paraId="19F83511" w14:textId="11C4A872">
      <w:pPr>
        <w:pStyle w:val="CGC2025ParaNumbers"/>
      </w:pPr>
      <w:r>
        <w:t>Th</w:t>
      </w:r>
      <w:r w:rsidR="003C7E58">
        <w:t xml:space="preserve">is </w:t>
      </w:r>
      <w:r>
        <w:t xml:space="preserve">category </w:t>
      </w:r>
      <w:r w:rsidR="003C7E58">
        <w:t>is a r</w:t>
      </w:r>
      <w:r w:rsidR="00363B3D">
        <w:t xml:space="preserve">esidual </w:t>
      </w:r>
      <w:r w:rsidR="003C7E58">
        <w:t xml:space="preserve">revenue </w:t>
      </w:r>
      <w:r w:rsidR="00363B3D">
        <w:t>category</w:t>
      </w:r>
      <w:r w:rsidR="00403924">
        <w:t xml:space="preserve"> comprising revenues which the Commission has decided not to differentially assess</w:t>
      </w:r>
      <w:r w:rsidR="00363B3D">
        <w:t>.</w:t>
      </w:r>
    </w:p>
    <w:p w:rsidR="00A4496C" w:rsidP="00A4496C" w:rsidRDefault="001046BF" w14:paraId="0AC46C73" w14:textId="283525CF">
      <w:pPr>
        <w:pStyle w:val="CGC2025ParaNumbers"/>
      </w:pPr>
      <w:r>
        <w:t xml:space="preserve">The Commission’s </w:t>
      </w:r>
      <w:r w:rsidR="00230284">
        <w:t>preliminary view is that there have been no developments that warrant changing the other revenue assessment</w:t>
      </w:r>
      <w:r w:rsidR="00A4496C">
        <w:t>.</w:t>
      </w:r>
    </w:p>
    <w:p w:rsidRPr="005437FC" w:rsidR="00ED351F" w:rsidP="005437FC" w:rsidRDefault="00ED351F" w14:paraId="50820BA9" w14:textId="77777777">
      <w:pPr>
        <w:pStyle w:val="Heading4"/>
        <w:keepLines w:val="0"/>
        <w:widowControl w:val="0"/>
        <w:spacing w:before="240" w:line="240" w:lineRule="auto"/>
        <w:rPr>
          <w:rFonts w:ascii="Work Sans" w:hAnsi="Work Sans"/>
          <w:b/>
          <w:i w:val="0"/>
          <w:color w:val="006991"/>
          <w:sz w:val="24"/>
        </w:rPr>
      </w:pPr>
      <w:r w:rsidRPr="005437FC">
        <w:rPr>
          <w:rFonts w:ascii="Work Sans" w:hAnsi="Work Sans"/>
          <w:b/>
          <w:i w:val="0"/>
          <w:color w:val="006991"/>
          <w:sz w:val="24"/>
        </w:rPr>
        <w:t>Consultation question</w:t>
      </w:r>
    </w:p>
    <w:p w:rsidR="00ED351F" w:rsidP="00ED351F" w:rsidRDefault="00ED351F" w14:paraId="2806274A" w14:textId="77777777">
      <w:r w:rsidRPr="001C4DF3">
        <w:rPr>
          <w:noProof/>
        </w:rPr>
        <mc:AlternateContent>
          <mc:Choice Requires="wps">
            <w:drawing>
              <wp:inline distT="0" distB="0" distL="0" distR="0" wp14:anchorId="0F1E1402" wp14:editId="0FF24734">
                <wp:extent cx="5731510" cy="679999"/>
                <wp:effectExtent l="0" t="0" r="2540" b="6350"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679999"/>
                        </a:xfrm>
                        <a:prstGeom prst="rect">
                          <a:avLst/>
                        </a:prstGeom>
                        <a:solidFill>
                          <a:srgbClr val="EBF3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D351F" w:rsidP="00ED351F" w:rsidRDefault="00ED351F" w14:paraId="15F9B8BB" w14:textId="534E45E2">
                            <w:pPr>
                              <w:pStyle w:val="CGC2025QuestionNumbers"/>
                              <w:rPr>
                                <w:rFonts w:cs="Open Sans" w:eastAsiaTheme="majorEastAsia"/>
                              </w:rPr>
                            </w:pPr>
                            <w:r w:rsidRPr="00ED351F">
                              <w:rPr>
                                <w:rFonts w:cs="Open Sans" w:eastAsiaTheme="majorEastAsia"/>
                              </w:rPr>
                              <w:t xml:space="preserve">Do states agree that </w:t>
                            </w:r>
                            <w:r>
                              <w:t xml:space="preserve">other </w:t>
                            </w:r>
                            <w:r w:rsidR="003F703C">
                              <w:t xml:space="preserve">revenue </w:t>
                            </w:r>
                            <w:r w:rsidRPr="004C5F43">
                              <w:t>should be assessed equal per capita</w:t>
                            </w:r>
                            <w:r w:rsidRPr="00ED351F">
                              <w:rPr>
                                <w:rFonts w:cs="Open Sans" w:eastAsiaTheme="majorEastAsi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C572E2C">
              <v:rect id="Rectangle 4" style="width:451.3pt;height: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30" fillcolor="#ebf3f5" stroked="f" strokeweight="2pt" w14:anchorId="0F1E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EDUQIAAJ0EAAAOAAAAZHJzL2Uyb0RvYy54bWysVN9v2jAQfp+0/8Hy+xqgUFrUULF2TJNQ&#10;i0SnPhvHJpEcn3c2JOyv39lJoev2NI0Hc+c734/vvsvtXVsbdlDoK7A5H14MOFNWQlHZXc6/Py8/&#10;XXPmg7CFMGBVzo/K87v5xw+3jZupEZRgCoWMglg/a1zOyxDcLMu8LFUt/AU4ZcmoAWsRSMVdVqBo&#10;KHptstFgcJU1gIVDkMp7un3ojHye4mutZHjS2qvATM6ptpBOTOc2ntn8Vsx2KFxZyb4M8Q9V1KKy&#10;lPQU6kEEwfZY/RGqriSCBx0uJNQZaF1JlXqgboaDd91sSuFU6oXA8e4Ek/9/YeXjYePWSDA0zs88&#10;ibGLVmMd/6k+1iawjiewVBuYpMvJ9HI4GRKmkmxX0xv6RTSz82uHPnxVULMo5BxpGAkjcVj50Lm+&#10;usRkHkxVLCtjkoK77b1BdhA0uC+fl5fLSR/9NzdjWZPz0WQ8iIUIIpA2IpBYuyLn3u44E2ZHzJQB&#10;U24LMUOaesz9IHzZ5Uhh+xTGxhJUok9f6hmdKIV227KKMozji3izheK4RobQMcw7uawo/kr4sBZI&#10;lKL6aE3CEx3aABUNvcRZCfjzb/fRnyZNVs4aoig19GMvUHFmvlniwM1wPI6cTsp4Mh2Rgm8t27cW&#10;u6/vgcAc0kI6mcToH8yrqBHqF9qmRcxKJmEl5e6g65X70K0O7aNUi0VyIx47EVZ242QMHpGLyD63&#10;LwJdP/pApHmEVzqL2TsGdL7xpYXFPoCuEj3OuBKtokI7kAjW72tcsrd68jp/Vea/AAAA//8DAFBL&#10;AwQUAAYACAAAACEAteuvztwAAAAFAQAADwAAAGRycy9kb3ducmV2LnhtbEyPwU7DMBBE70j8g7VI&#10;3KjdSoQ2xKloBT0gKkTpB2zjbRI1Xke2m4a/x3CBy0irGc28LZaj7cRAPrSONUwnCgRx5UzLtYb9&#10;58vdHESIyAY7x6ThiwIsy+urAnPjLvxBwy7WIpVwyFFDE2OfSxmqhiyGieuJk3d03mJMp6+l8XhJ&#10;5baTM6UyabHltNBgT+uGqtPubDVs3jYeebGq6nm2et0/r7fD/ftW69ub8ekRRKQx/oXhBz+hQ5mY&#10;Du7MJohOQ3ok/mryFmqWgTikkHqYgiwL+Z++/AYAAP//AwBQSwECLQAUAAYACAAAACEAtoM4kv4A&#10;AADhAQAAEwAAAAAAAAAAAAAAAAAAAAAAW0NvbnRlbnRfVHlwZXNdLnhtbFBLAQItABQABgAIAAAA&#10;IQA4/SH/1gAAAJQBAAALAAAAAAAAAAAAAAAAAC8BAABfcmVscy8ucmVsc1BLAQItABQABgAIAAAA&#10;IQBh4mEDUQIAAJ0EAAAOAAAAAAAAAAAAAAAAAC4CAABkcnMvZTJvRG9jLnhtbFBLAQItABQABgAI&#10;AAAAIQC166/O3AAAAAUBAAAPAAAAAAAAAAAAAAAAAKsEAABkcnMvZG93bnJldi54bWxQSwUGAAAA&#10;AAQABADzAAAAtAUAAAAA&#10;">
                <v:textbox>
                  <w:txbxContent>
                    <w:p w:rsidR="00ED351F" w:rsidP="00ED351F" w:rsidRDefault="00ED351F" w14:paraId="5B067AF4" w14:textId="534E45E2">
                      <w:pPr>
                        <w:pStyle w:val="CGC2025QuestionNumbers"/>
                        <w:rPr>
                          <w:rFonts w:cs="Open Sans" w:eastAsiaTheme="majorEastAsia"/>
                        </w:rPr>
                      </w:pPr>
                      <w:r w:rsidRPr="00ED351F">
                        <w:rPr>
                          <w:rFonts w:cs="Open Sans" w:eastAsiaTheme="majorEastAsia"/>
                        </w:rPr>
                        <w:t xml:space="preserve">Do states agree that </w:t>
                      </w:r>
                      <w:r>
                        <w:t xml:space="preserve">other </w:t>
                      </w:r>
                      <w:r w:rsidR="003F703C">
                        <w:t xml:space="preserve">revenue </w:t>
                      </w:r>
                      <w:r w:rsidRPr="004C5F43">
                        <w:t>should be assessed equal per capita</w:t>
                      </w:r>
                      <w:r w:rsidRPr="00ED351F">
                        <w:rPr>
                          <w:rFonts w:cs="Open Sans" w:eastAsiaTheme="majorEastAsia"/>
                        </w:rPr>
                        <w:t>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Pr="00C41016" w:rsidR="00A4496C" w:rsidP="00C41016" w:rsidRDefault="00A4496C" w14:paraId="56C9B2B9" w14:textId="77777777">
      <w:pPr>
        <w:pStyle w:val="Heading2"/>
        <w:keepNext w:val="0"/>
        <w:widowControl/>
        <w:tabs>
          <w:tab w:val="clear" w:pos="567"/>
        </w:tabs>
        <w:spacing w:before="360" w:after="200" w:line="276" w:lineRule="auto"/>
        <w:rPr>
          <w:rFonts w:eastAsia="Times New Roman" w:cs="Open Sans"/>
          <w:color w:val="006991"/>
          <w:sz w:val="36"/>
          <w:szCs w:val="36"/>
        </w:rPr>
      </w:pPr>
      <w:bookmarkStart w:name="_Toc121741490" w:id="33"/>
      <w:bookmarkStart w:name="_Toc127428359" w:id="34"/>
      <w:bookmarkStart w:name="_Toc132729113" w:id="35"/>
      <w:bookmarkStart w:name="_Toc133236154" w:id="36"/>
      <w:bookmarkStart w:name="_Toc133236180" w:id="37"/>
      <w:bookmarkStart w:name="_Toc147402563" w:id="38"/>
      <w:bookmarkEnd w:id="28"/>
      <w:bookmarkEnd w:id="29"/>
      <w:bookmarkEnd w:id="30"/>
      <w:r w:rsidRPr="00C41016">
        <w:rPr>
          <w:rFonts w:eastAsia="Times New Roman" w:cs="Open Sans"/>
          <w:color w:val="006991"/>
          <w:sz w:val="36"/>
          <w:szCs w:val="36"/>
        </w:rPr>
        <w:t>Proposed assessment</w:t>
      </w:r>
      <w:bookmarkEnd w:id="33"/>
      <w:bookmarkEnd w:id="34"/>
      <w:bookmarkEnd w:id="35"/>
      <w:bookmarkEnd w:id="36"/>
      <w:bookmarkEnd w:id="37"/>
      <w:bookmarkEnd w:id="38"/>
    </w:p>
    <w:p w:rsidRPr="00D439D2" w:rsidR="00A4496C" w:rsidP="00D439D2" w:rsidRDefault="00A4496C" w14:paraId="12DA34BB" w14:textId="77777777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hAnsi="Work Sans" w:eastAsia="Times New Roman" w:cs="Open Sans"/>
          <w:b/>
          <w:color w:val="006991"/>
          <w:sz w:val="28"/>
          <w:szCs w:val="28"/>
        </w:rPr>
      </w:pPr>
      <w:bookmarkStart w:name="_Toc147402564" w:id="39"/>
      <w:bookmarkStart w:name="_Toc132729115" w:id="40"/>
      <w:bookmarkStart w:name="_Toc133236156" w:id="41"/>
      <w:bookmarkStart w:name="_Toc133236182" w:id="42"/>
      <w:r w:rsidRPr="00D439D2">
        <w:rPr>
          <w:rFonts w:ascii="Work Sans" w:hAnsi="Work Sans" w:eastAsia="Times New Roman" w:cs="Open Sans"/>
          <w:b/>
          <w:color w:val="006991"/>
          <w:sz w:val="28"/>
          <w:szCs w:val="28"/>
        </w:rPr>
        <w:t>Differences from the 2020 Review approach</w:t>
      </w:r>
      <w:bookmarkEnd w:id="39"/>
    </w:p>
    <w:p w:rsidRPr="00170D65" w:rsidR="00A4496C" w:rsidP="00A4496C" w:rsidRDefault="00A4496C" w14:paraId="5825B563" w14:textId="58F5E1C5">
      <w:pPr>
        <w:pStyle w:val="CGC2025ParaNumbers"/>
        <w:keepNext/>
        <w:keepLines/>
      </w:pPr>
      <w:r>
        <w:t xml:space="preserve">Subject to state comments, the </w:t>
      </w:r>
      <w:r w:rsidRPr="304D73AE">
        <w:t xml:space="preserve">Commission proposes to retain the 2020 Review assessment method. </w:t>
      </w:r>
      <w:r w:rsidR="00013B61">
        <w:t>Revenues in this category will be assessed</w:t>
      </w:r>
      <w:r w:rsidRPr="00170D65">
        <w:t xml:space="preserve"> equal per capita. </w:t>
      </w:r>
    </w:p>
    <w:p w:rsidRPr="00B173F8" w:rsidR="00A4496C" w:rsidP="00B173F8" w:rsidRDefault="00A4496C" w14:paraId="39AC6D6F" w14:textId="77777777">
      <w:pPr>
        <w:pStyle w:val="Heading3"/>
        <w:keepNext w:val="0"/>
        <w:keepLines w:val="0"/>
        <w:tabs>
          <w:tab w:val="clear" w:pos="567"/>
        </w:tabs>
        <w:spacing w:before="240" w:after="200" w:line="276" w:lineRule="auto"/>
        <w:rPr>
          <w:rFonts w:ascii="Work Sans" w:hAnsi="Work Sans" w:eastAsia="Times New Roman" w:cs="Open Sans"/>
          <w:b/>
          <w:color w:val="006991"/>
          <w:sz w:val="28"/>
          <w:szCs w:val="28"/>
        </w:rPr>
      </w:pPr>
      <w:bookmarkStart w:name="_Toc147402565" w:id="43"/>
      <w:r w:rsidRPr="00B173F8">
        <w:rPr>
          <w:rFonts w:ascii="Work Sans" w:hAnsi="Work Sans" w:eastAsia="Times New Roman" w:cs="Open Sans"/>
          <w:b/>
          <w:color w:val="006991"/>
          <w:sz w:val="28"/>
          <w:szCs w:val="28"/>
        </w:rPr>
        <w:t>Proposed assessment structure</w:t>
      </w:r>
      <w:bookmarkEnd w:id="40"/>
      <w:bookmarkEnd w:id="41"/>
      <w:bookmarkEnd w:id="42"/>
      <w:bookmarkEnd w:id="43"/>
    </w:p>
    <w:p w:rsidR="00A4496C" w:rsidP="00A4496C" w:rsidRDefault="00A4496C" w14:paraId="26EF0654" w14:textId="73B5D69B">
      <w:pPr>
        <w:pStyle w:val="CGC2025ParaNumbers"/>
      </w:pPr>
      <w:bookmarkStart w:name="_Toc132729116" w:id="44"/>
      <w:bookmarkStart w:name="_Toc133236157" w:id="45"/>
      <w:bookmarkStart w:name="_Toc133236183" w:id="46"/>
      <w:r>
        <w:t xml:space="preserve">Subject to state views, </w:t>
      </w:r>
      <w:r>
        <w:fldChar w:fldCharType="begin"/>
      </w:r>
      <w:r>
        <w:instrText xml:space="preserve"> REF _Ref136433368 \h </w:instrText>
      </w:r>
      <w:r>
        <w:fldChar w:fldCharType="separate"/>
      </w:r>
      <w:r w:rsidRPr="00750A52" w:rsidR="004B14E1">
        <w:t>Table</w:t>
      </w:r>
      <w:r w:rsidR="004B14E1">
        <w:t> </w:t>
      </w:r>
      <w:r w:rsidR="004B14E1">
        <w:rPr>
          <w:noProof/>
        </w:rPr>
        <w:t>6</w:t>
      </w:r>
      <w:r>
        <w:fldChar w:fldCharType="end"/>
      </w:r>
      <w:r>
        <w:t xml:space="preserve"> presents the proposed structure of the </w:t>
      </w:r>
      <w:r w:rsidR="00013B61">
        <w:t>other</w:t>
      </w:r>
      <w:r>
        <w:t xml:space="preserve"> </w:t>
      </w:r>
      <w:r w:rsidR="00A83CAE">
        <w:t xml:space="preserve">revenue </w:t>
      </w:r>
      <w:r>
        <w:t>assessment for the 2025 Review.</w:t>
      </w:r>
    </w:p>
    <w:p w:rsidRPr="00750A52" w:rsidR="00A4496C" w:rsidP="00A4496C" w:rsidRDefault="00A4496C" w14:paraId="3AD29789" w14:textId="6E357CA5">
      <w:pPr>
        <w:pStyle w:val="Caption"/>
        <w:rPr>
          <w:rFonts w:ascii="Work Sans" w:hAnsi="Work Sans"/>
        </w:rPr>
      </w:pPr>
      <w:bookmarkStart w:name="_Ref136433368" w:id="47"/>
      <w:r w:rsidRPr="00750A52">
        <w:rPr>
          <w:rFonts w:ascii="Work Sans" w:hAnsi="Work Sans"/>
        </w:rPr>
        <w:t>Table</w:t>
      </w:r>
      <w:r>
        <w:rPr>
          <w:rFonts w:ascii="Work Sans" w:hAnsi="Work Sans"/>
        </w:rPr>
        <w:t> </w:t>
      </w:r>
      <w:r w:rsidRPr="00750A52">
        <w:rPr>
          <w:rFonts w:ascii="Work Sans" w:hAnsi="Work Sans"/>
        </w:rPr>
        <w:fldChar w:fldCharType="begin"/>
      </w:r>
      <w:r w:rsidRPr="00750A52">
        <w:rPr>
          <w:rFonts w:ascii="Work Sans" w:hAnsi="Work Sans"/>
        </w:rPr>
        <w:instrText xml:space="preserve"> SEQ Table \* ARABIC </w:instrText>
      </w:r>
      <w:r w:rsidRPr="00750A52">
        <w:rPr>
          <w:rFonts w:ascii="Work Sans" w:hAnsi="Work Sans"/>
        </w:rPr>
        <w:fldChar w:fldCharType="separate"/>
      </w:r>
      <w:r w:rsidR="004B14E1">
        <w:rPr>
          <w:rFonts w:ascii="Work Sans" w:hAnsi="Work Sans"/>
          <w:noProof/>
        </w:rPr>
        <w:t>6</w:t>
      </w:r>
      <w:r w:rsidRPr="00750A52">
        <w:rPr>
          <w:rFonts w:ascii="Work Sans" w:hAnsi="Work Sans"/>
        </w:rPr>
        <w:fldChar w:fldCharType="end"/>
      </w:r>
      <w:bookmarkEnd w:id="47"/>
      <w:r>
        <w:rPr>
          <w:rFonts w:ascii="Work Sans" w:hAnsi="Work Sans"/>
        </w:rPr>
        <w:tab/>
      </w:r>
      <w:r w:rsidR="00013B61">
        <w:rPr>
          <w:rFonts w:ascii="Work Sans" w:hAnsi="Work Sans"/>
        </w:rPr>
        <w:t>Category</w:t>
      </w:r>
      <w:r w:rsidRPr="00750A52">
        <w:rPr>
          <w:rFonts w:ascii="Work Sans" w:hAnsi="Work Sans"/>
        </w:rPr>
        <w:t xml:space="preserve"> structure, </w:t>
      </w:r>
      <w:r w:rsidR="00013B61">
        <w:rPr>
          <w:rFonts w:ascii="Work Sans" w:hAnsi="Work Sans"/>
        </w:rPr>
        <w:t>other</w:t>
      </w:r>
      <w:r w:rsidRPr="00750A52">
        <w:rPr>
          <w:rFonts w:ascii="Work Sans" w:hAnsi="Work Sans"/>
        </w:rPr>
        <w:t xml:space="preserve"> revenue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418"/>
        <w:gridCol w:w="1701"/>
        <w:gridCol w:w="4678"/>
        <w:gridCol w:w="1275"/>
      </w:tblGrid>
      <w:tr w:rsidRPr="00417A83" w:rsidR="00013B61" w14:paraId="0E53A09F" w14:textId="77777777">
        <w:trPr>
          <w:trHeight w:val="570"/>
        </w:trPr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:rsidRPr="00417A83" w:rsidR="00013B61" w:rsidRDefault="00013B61" w14:paraId="66950563" w14:textId="39BFA726">
            <w:pPr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bookmarkStart w:name="_Toc121741493" w:id="48"/>
            <w:bookmarkStart w:name="_Toc127428362" w:id="49"/>
            <w:bookmarkStart w:name="_Toc132729117" w:id="50"/>
            <w:bookmarkStart w:name="_Toc133236158" w:id="51"/>
            <w:bookmarkStart w:name="_Toc133236184" w:id="52"/>
            <w:bookmarkEnd w:id="44"/>
            <w:bookmarkEnd w:id="45"/>
            <w:bookmarkEnd w:id="46"/>
            <w:r w:rsidRPr="00417A83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:rsidRPr="00417A83" w:rsidR="00013B61" w:rsidRDefault="00013B61" w14:paraId="7DFCA4B1" w14:textId="77777777">
            <w:pPr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417A83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Driver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:rsidRPr="00417A83" w:rsidR="00013B61" w:rsidRDefault="00013B61" w14:paraId="6047128F" w14:textId="77777777">
            <w:pPr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417A83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Influence measured by driver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:rsidRPr="00417A83" w:rsidR="00013B61" w:rsidRDefault="00013B61" w14:paraId="219FE652" w14:textId="77777777">
            <w:pPr>
              <w:tabs>
                <w:tab w:val="clear" w:pos="567"/>
              </w:tabs>
              <w:spacing w:before="0" w:line="240" w:lineRule="auto"/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</w:pPr>
            <w:r w:rsidRPr="00417A83">
              <w:rPr>
                <w:rFonts w:ascii="Open Sans Semibold" w:hAnsi="Open Sans Semibold" w:eastAsia="Times New Roman" w:cs="Open Sans Semibold"/>
                <w:color w:val="FFFFFF"/>
                <w:sz w:val="16"/>
                <w:szCs w:val="16"/>
                <w:lang w:eastAsia="en-AU"/>
              </w:rPr>
              <w:t>Change since 2020 Review</w:t>
            </w:r>
          </w:p>
        </w:tc>
      </w:tr>
      <w:tr w:rsidRPr="00417A83" w:rsidR="00013B61" w14:paraId="010A4F4C" w14:textId="77777777">
        <w:trPr>
          <w:trHeight w:val="555"/>
        </w:trPr>
        <w:tc>
          <w:tcPr>
            <w:tcW w:w="1418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hideMark/>
          </w:tcPr>
          <w:p w:rsidRPr="00674B6B" w:rsidR="00013B61" w:rsidRDefault="00013B61" w14:paraId="3945BC85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74B6B">
              <w:rPr>
                <w:rFonts w:eastAsia="Times New Roman" w:cs="Open Sans Light"/>
                <w:sz w:val="16"/>
                <w:szCs w:val="16"/>
                <w:lang w:eastAsia="en-AU"/>
              </w:rPr>
              <w:t>Other revenue</w:t>
            </w:r>
          </w:p>
        </w:tc>
        <w:tc>
          <w:tcPr>
            <w:tcW w:w="1701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hideMark/>
          </w:tcPr>
          <w:p w:rsidRPr="00417A83" w:rsidR="00013B61" w:rsidRDefault="00013B61" w14:paraId="435DFC1B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Population</w:t>
            </w:r>
          </w:p>
        </w:tc>
        <w:tc>
          <w:tcPr>
            <w:tcW w:w="4678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hideMark/>
          </w:tcPr>
          <w:p w:rsidRPr="00417A83" w:rsidR="00013B61" w:rsidRDefault="00013B61" w14:paraId="079D5DB8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>These revenues are assessed equal per capita</w:t>
            </w:r>
            <w:r w:rsidRPr="00375CC4">
              <w:rPr>
                <w:rFonts w:eastAsia="Times New Roman" w:cs="Open Sans Light"/>
                <w:sz w:val="16"/>
                <w:szCs w:val="16"/>
                <w:lang w:eastAsia="en-AU"/>
              </w:rPr>
              <w:t>.</w:t>
            </w:r>
            <w:r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They do not differentially affect states’ relative fiscal capacities</w:t>
            </w:r>
            <w:r w:rsidRPr="00417A83">
              <w:rPr>
                <w:rFonts w:eastAsia="Times New Roman" w:cs="Open Sans Light"/>
                <w:sz w:val="16"/>
                <w:szCs w:val="16"/>
                <w:lang w:eastAsia="en-AU"/>
              </w:rPr>
              <w:t>.</w:t>
            </w:r>
          </w:p>
        </w:tc>
        <w:tc>
          <w:tcPr>
            <w:tcW w:w="1275" w:type="dxa"/>
            <w:tcBorders>
              <w:top w:val="single" w:color="ADD6EA" w:sz="4" w:space="0"/>
              <w:left w:val="nil"/>
              <w:bottom w:val="single" w:color="ADD6EA" w:sz="4" w:space="0"/>
              <w:right w:val="nil"/>
            </w:tcBorders>
            <w:shd w:val="clear" w:color="auto" w:fill="auto"/>
            <w:hideMark/>
          </w:tcPr>
          <w:p w:rsidRPr="00417A83" w:rsidR="00013B61" w:rsidRDefault="00013B61" w14:paraId="3B212161" w14:textId="77777777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417A83">
              <w:rPr>
                <w:rFonts w:eastAsia="Times New Roman" w:cs="Open Sans Light"/>
                <w:sz w:val="16"/>
                <w:szCs w:val="16"/>
                <w:lang w:eastAsia="en-AU"/>
              </w:rPr>
              <w:t>No</w:t>
            </w:r>
          </w:p>
        </w:tc>
      </w:tr>
    </w:tbl>
    <w:p w:rsidR="00A43065" w:rsidP="00145D8A" w:rsidRDefault="00A43065" w14:paraId="69F07428" w14:textId="26E74ED0">
      <w:pPr>
        <w:pStyle w:val="CGC2025Tablenote"/>
      </w:pPr>
      <w:r>
        <w:t xml:space="preserve">Source: </w:t>
      </w:r>
      <w:r w:rsidR="002644F2">
        <w:t>Commission Calculation.</w:t>
      </w:r>
    </w:p>
    <w:p w:rsidRPr="007B4FA1" w:rsidR="00A4496C" w:rsidP="00615591" w:rsidRDefault="00A4496C" w14:paraId="2FE72EEC" w14:textId="20C613C0">
      <w:pPr>
        <w:pStyle w:val="Heading2"/>
        <w:keepLines/>
        <w:widowControl/>
        <w:tabs>
          <w:tab w:val="clear" w:pos="567"/>
        </w:tabs>
        <w:spacing w:before="360" w:after="200" w:line="276" w:lineRule="auto"/>
        <w:rPr>
          <w:rFonts w:eastAsia="Times New Roman" w:cs="Open Sans"/>
          <w:color w:val="006991"/>
          <w:sz w:val="36"/>
          <w:szCs w:val="36"/>
        </w:rPr>
      </w:pPr>
      <w:bookmarkStart w:name="_Toc147402566" w:id="53"/>
      <w:r w:rsidRPr="007B4FA1">
        <w:rPr>
          <w:rFonts w:eastAsia="Times New Roman" w:cs="Open Sans"/>
          <w:color w:val="006991"/>
          <w:sz w:val="36"/>
          <w:szCs w:val="36"/>
        </w:rPr>
        <w:t>Consultation</w:t>
      </w:r>
      <w:bookmarkEnd w:id="48"/>
      <w:bookmarkEnd w:id="49"/>
      <w:bookmarkEnd w:id="50"/>
      <w:bookmarkEnd w:id="51"/>
      <w:bookmarkEnd w:id="52"/>
      <w:bookmarkEnd w:id="53"/>
    </w:p>
    <w:p w:rsidR="00A4496C" w:rsidP="00A4496C" w:rsidRDefault="00A4496C" w14:paraId="52FFD598" w14:textId="6A1401AD">
      <w:pPr>
        <w:pStyle w:val="CGC2025ParaNumbers"/>
      </w:pPr>
      <w:r>
        <w:t xml:space="preserve">The Commission </w:t>
      </w:r>
      <w:r w:rsidRPr="00505A01">
        <w:t>welcome</w:t>
      </w:r>
      <w:r>
        <w:t>s</w:t>
      </w:r>
      <w:r w:rsidRPr="00505A01">
        <w:t xml:space="preserve"> state views</w:t>
      </w:r>
      <w:r>
        <w:t xml:space="preserve"> on the consultation questions identified in this paper (outlined below) and the proposed assessment. State submissions should accord with the 2025</w:t>
      </w:r>
      <w:r w:rsidR="00135798">
        <w:t> </w:t>
      </w:r>
      <w:r>
        <w:t>Review framework. States</w:t>
      </w:r>
      <w:r w:rsidRPr="001B2348">
        <w:t xml:space="preserve"> </w:t>
      </w:r>
      <w:r w:rsidRPr="0020009F">
        <w:t xml:space="preserve">are welcome to raise other </w:t>
      </w:r>
      <w:r>
        <w:t xml:space="preserve">relevant </w:t>
      </w:r>
      <w:r w:rsidRPr="0020009F">
        <w:t>issues with the Commission</w:t>
      </w:r>
      <w:r>
        <w:t>.</w:t>
      </w:r>
    </w:p>
    <w:p w:rsidR="00A4496C" w:rsidP="00A4496C" w:rsidRDefault="00A4496C" w14:paraId="3AD43F48" w14:textId="77777777">
      <w:pPr>
        <w:rPr>
          <w:rFonts w:ascii="Work Sans" w:hAnsi="Work Sans"/>
          <w:szCs w:val="20"/>
        </w:rPr>
      </w:pPr>
      <w:r w:rsidRPr="001C4DF3">
        <w:rPr>
          <w:noProof/>
        </w:rPr>
        <mc:AlternateContent>
          <mc:Choice Requires="wps">
            <w:drawing>
              <wp:inline distT="0" distB="0" distL="0" distR="0" wp14:anchorId="483CFFAC" wp14:editId="366F7E80">
                <wp:extent cx="5648325" cy="697692"/>
                <wp:effectExtent l="0" t="0" r="9525" b="762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697692"/>
                        </a:xfrm>
                        <a:prstGeom prst="rect">
                          <a:avLst/>
                        </a:prstGeom>
                        <a:solidFill>
                          <a:srgbClr val="EBF3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4496C" w:rsidP="00A4496C" w:rsidRDefault="00A4496C" w14:paraId="6543E65B" w14:textId="31ECBF44">
                            <w:pPr>
                              <w:pStyle w:val="CGC2025Questionsnumbers2"/>
                            </w:pPr>
                            <w:r>
                              <w:t xml:space="preserve">Do states agree </w:t>
                            </w:r>
                            <w:r w:rsidR="009002BC">
                              <w:t>with the revenues classified to the other revenue category</w:t>
                            </w:r>
                            <w:r>
                              <w:t>?</w:t>
                            </w:r>
                          </w:p>
                          <w:p w:rsidR="009002BC" w:rsidP="009002BC" w:rsidRDefault="009002BC" w14:paraId="758FE20A" w14:textId="77777777">
                            <w:pPr>
                              <w:pStyle w:val="CGC2025Questionsnumbers2"/>
                            </w:pPr>
                            <w:r>
                              <w:t>Do states agree that other revenue</w:t>
                            </w:r>
                            <w:r w:rsidRPr="004C5F43">
                              <w:t xml:space="preserve"> should be assessed equal per capita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2DBE68D">
              <v:rect id="Rectangle 1" style="width:444.75pt;height: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31" fillcolor="#ebf3f5" stroked="f" strokeweight="2pt" w14:anchorId="483CFF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3daUgIAAJ0EAAAOAAAAZHJzL2Uyb0RvYy54bWysVE1v2zAMvQ/YfxB0X5y4SdoGdYqsXYYB&#10;RRugHXpWZCk2IIsapcTOfv0o2W26bqdhF5kUKX48PvrqumsMOyj0NdiCT0ZjzpSVUNZ2V/DvT+tP&#10;F5z5IGwpDFhV8KPy/Hr58cNV6xYqhwpMqZBREOsXrSt4FYJbZJmXlWqEH4FTlowasBGBVNxlJYqW&#10;ojcmy8fjedYClg5BKu/p9rY38mWKr7WS4UFrrwIzBafaQjoxndt4ZssrsdihcFUthzLEP1TRiNpS&#10;0tdQtyIItsf6j1BNLRE86DCS0GSgdS1V6oG6mYzfdfNYCadSLwSOd68w+f8XVt4fHt0GCYbW+YUn&#10;MXbRaWzil+pjXQLr+AqW6gKTdDmbTy/O8hlnkmzzy/P5ZR7RzE6vHfrwVUHDolBwpGEkjMThzofe&#10;9cUlJvNg6nJdG5MU3G1vDLKDoMF9+bw+W8+G6L+5Gcvaguez6ZiGKwURSBsRSGxcWXBvd5wJsyNm&#10;yoApt4WYIU095r4VvupzpLBDCmNjCSrRZyj1hE6UQrftWE0ZUlHxZgvlcYMMoWeYd3JdU/w74cNG&#10;IFGK6qM1CQ90aANUNAwSZxXgz7/dR3+aNFk5a4mi1NCPvUDFmflmiQOXk+k0cjop09l5Tgq+tWzf&#10;Wuy+uQECc0IL6WQSo38wL6JGaJ5pm1YxK5mElZS7h25QbkK/OrSPUq1WyY147ES4s49OxuARuYjs&#10;U/cs0A2jD0Sae3ihs1i8Y0DvG19aWO0D6DrR44Qr0SoqtAOJYMO+xiV7qyev019l+QsAAP//AwBQ&#10;SwMEFAAGAAgAAAAhAG7ibeHcAAAABQEAAA8AAABkcnMvZG93bnJldi54bWxMj0FLw0AQhe+C/2EZ&#10;wZvdKLQkMZtii/YgFrH2B0yz0yQ0Oxuy2zT+e0cvenkwvMd73xTLyXVqpCG0ng3czxJQxJW3LdcG&#10;9p8vdymoEJEtdp7JwBcFWJbXVwXm1l/4g8ZdrJWUcMjRQBNjn2sdqoYchpnvicU7+sFhlHOotR3w&#10;IuWu0w9JstAOW5aFBntaN1SddmdnYPO2GZCzVVWni9Xr/nm9HefvW2Nub6anR1CRpvgXhh98QYdS&#10;mA7+zDaozoA8En9VvDTN5qAOEkqyDHRZ6P/05TcAAAD//wMAUEsBAi0AFAAGAAgAAAAhALaDOJL+&#10;AAAA4QEAABMAAAAAAAAAAAAAAAAAAAAAAFtDb250ZW50X1R5cGVzXS54bWxQSwECLQAUAAYACAAA&#10;ACEAOP0h/9YAAACUAQAACwAAAAAAAAAAAAAAAAAvAQAAX3JlbHMvLnJlbHNQSwECLQAUAAYACAAA&#10;ACEAyq93WlICAACdBAAADgAAAAAAAAAAAAAAAAAuAgAAZHJzL2Uyb0RvYy54bWxQSwECLQAUAAYA&#10;CAAAACEAbuJt4dwAAAAFAQAADwAAAAAAAAAAAAAAAACsBAAAZHJzL2Rvd25yZXYueG1sUEsFBgAA&#10;AAAEAAQA8wAAALUFAAAAAA==&#10;">
                <v:textbox>
                  <w:txbxContent>
                    <w:p w:rsidR="00A4496C" w:rsidP="00A4496C" w:rsidRDefault="00A4496C" w14:paraId="20D47541" w14:textId="31ECBF44">
                      <w:pPr>
                        <w:pStyle w:val="CGC2025Questionsnumbers2"/>
                      </w:pPr>
                      <w:r>
                        <w:t xml:space="preserve">Do states agree </w:t>
                      </w:r>
                      <w:r w:rsidR="009002BC">
                        <w:t>with the revenues classified to the other revenue category</w:t>
                      </w:r>
                      <w:r>
                        <w:t>?</w:t>
                      </w:r>
                    </w:p>
                    <w:p w:rsidR="009002BC" w:rsidP="009002BC" w:rsidRDefault="009002BC" w14:paraId="4D6C80EE" w14:textId="77777777">
                      <w:pPr>
                        <w:pStyle w:val="CGC2025Questionsnumbers2"/>
                      </w:pPr>
                      <w:r>
                        <w:t>Do states agree that other revenue</w:t>
                      </w:r>
                      <w:r w:rsidRPr="004C5F43">
                        <w:t xml:space="preserve"> should be assessed equal per capita</w:t>
                      </w:r>
                      <w:r>
                        <w:t>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4496C" w:rsidP="00A4496C" w:rsidRDefault="00A4496C" w14:paraId="7B8C7695" w14:textId="77777777">
      <w:pPr>
        <w:rPr>
          <w:rFonts w:ascii="Work Sans" w:hAnsi="Work Sans"/>
          <w:szCs w:val="20"/>
        </w:rPr>
      </w:pPr>
    </w:p>
    <w:p w:rsidR="00A4496C" w:rsidRDefault="00A4496C" w14:paraId="6ADF1386" w14:textId="77777777"/>
    <w:sectPr w:rsidR="00A4496C" w:rsidSect="00117099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ADE" w:rsidP="00A4496C" w:rsidRDefault="00B05ADE" w14:paraId="011A43DC" w14:textId="77777777">
      <w:pPr>
        <w:spacing w:before="0" w:line="240" w:lineRule="auto"/>
      </w:pPr>
      <w:r>
        <w:separator/>
      </w:r>
    </w:p>
  </w:endnote>
  <w:endnote w:type="continuationSeparator" w:id="0">
    <w:p w:rsidR="00B05ADE" w:rsidP="00A4496C" w:rsidRDefault="00B05ADE" w14:paraId="7DA411D3" w14:textId="77777777">
      <w:pPr>
        <w:spacing w:before="0" w:line="240" w:lineRule="auto"/>
      </w:pPr>
      <w:r>
        <w:continuationSeparator/>
      </w:r>
    </w:p>
  </w:endnote>
  <w:endnote w:type="continuationNotice" w:id="1">
    <w:p w:rsidR="00B05ADE" w:rsidRDefault="00B05ADE" w14:paraId="0C164643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altName w:val="Calibri"/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C1AC5" w:rsidR="0003028E" w:rsidRDefault="00193E8A" w14:paraId="251D8594" w14:textId="77777777">
    <w:pPr>
      <w:pStyle w:val="Footer"/>
      <w:tabs>
        <w:tab w:val="right" w:pos="8931"/>
      </w:tabs>
      <w:rPr>
        <w:szCs w:val="20"/>
      </w:rPr>
    </w:pPr>
    <w:r>
      <w:rPr>
        <w:szCs w:val="20"/>
      </w:rPr>
      <w:tab/>
    </w:r>
    <w:r>
      <w:rPr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96C" w:rsidRDefault="00A4496C" w14:paraId="587E1278" w14:textId="7777777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96C" w:rsidRDefault="00EE0C3E" w14:paraId="06518A32" w14:textId="6B4433C3">
    <w:pPr>
      <w:pStyle w:val="Footer"/>
    </w:pPr>
    <w:r>
      <w:t>3</w:t>
    </w:r>
  </w:p>
  <w:p w:rsidR="00A4496C" w:rsidRDefault="00A4496C" w14:paraId="012F6148" w14:textId="777777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97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D43" w:rsidRDefault="00B54D43" w14:paraId="2225D9CC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D43" w:rsidRDefault="00B54D43" w14:paraId="21212B4C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ADE" w:rsidP="00A4496C" w:rsidRDefault="00B05ADE" w14:paraId="4EAC48D2" w14:textId="77777777">
      <w:pPr>
        <w:spacing w:before="0" w:line="240" w:lineRule="auto"/>
      </w:pPr>
      <w:r>
        <w:separator/>
      </w:r>
    </w:p>
  </w:footnote>
  <w:footnote w:type="continuationSeparator" w:id="0">
    <w:p w:rsidR="00B05ADE" w:rsidP="00A4496C" w:rsidRDefault="00B05ADE" w14:paraId="3FFD108B" w14:textId="77777777">
      <w:pPr>
        <w:spacing w:before="0" w:line="240" w:lineRule="auto"/>
      </w:pPr>
      <w:r>
        <w:continuationSeparator/>
      </w:r>
    </w:p>
  </w:footnote>
  <w:footnote w:type="continuationNotice" w:id="1">
    <w:p w:rsidR="00B05ADE" w:rsidRDefault="00B05ADE" w14:paraId="7994506F" w14:textId="77777777">
      <w:pPr>
        <w:spacing w:before="0" w:line="240" w:lineRule="auto"/>
      </w:pPr>
    </w:p>
  </w:footnote>
  <w:footnote w:id="2">
    <w:p w:rsidR="009F026A" w:rsidP="00B86CF7" w:rsidRDefault="009F026A" w14:paraId="448BDFC9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The </w:t>
      </w:r>
      <w:r w:rsidRPr="00A4496C">
        <w:t>ACT does not have a local government sector. The A</w:t>
      </w:r>
      <w:r>
        <w:t xml:space="preserve">ustralian Bureau of </w:t>
      </w:r>
      <w:r w:rsidRPr="00A4496C">
        <w:t>S</w:t>
      </w:r>
      <w:r>
        <w:t>tatistics</w:t>
      </w:r>
      <w:r w:rsidRPr="00A4496C">
        <w:t>’ Government Finance Statistics publication includes the ACT’s local government type revenue with its state type revenue</w:t>
      </w:r>
      <w:r>
        <w:t>.</w:t>
      </w:r>
    </w:p>
  </w:footnote>
  <w:footnote w:id="3">
    <w:p w:rsidR="00EA6CFB" w:rsidP="00B86CF7" w:rsidRDefault="00EA6CFB" w14:paraId="1FCEC223" w14:textId="6394D6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This is </w:t>
      </w:r>
      <w:r w:rsidR="0003028E">
        <w:t>justification</w:t>
      </w:r>
      <w:r>
        <w:t xml:space="preserve"> for </w:t>
      </w:r>
      <w:r w:rsidR="00432B65">
        <w:t>applying an</w:t>
      </w:r>
      <w:r>
        <w:t xml:space="preserve"> equal per capita assessment </w:t>
      </w:r>
      <w:r w:rsidR="00432B65">
        <w:t>to</w:t>
      </w:r>
      <w:r>
        <w:t xml:space="preserve"> </w:t>
      </w:r>
      <w:r w:rsidRPr="00EA6CFB">
        <w:t>user charges, municipal rates, fines, fees and forfeits, interest income and dividend</w:t>
      </w:r>
      <w:r w:rsidR="00B86CF7">
        <w:t xml:space="preserve"> income</w:t>
      </w:r>
      <w:r w:rsidR="00190C45">
        <w:t xml:space="preserve">, </w:t>
      </w:r>
      <w:r w:rsidRPr="00EA6CFB">
        <w:t>grants from third parties and most of the revenue streams in other taxes and other income</w:t>
      </w:r>
      <w:r>
        <w:t xml:space="preserve">. As </w:t>
      </w:r>
      <w:r w:rsidRPr="00A4496C">
        <w:t xml:space="preserve">part of the Net borrowing assessment, states are assessed to have equal net financial worth per capita. Consequently, revenue derived from financial holdings (interest income, dividend </w:t>
      </w:r>
      <w:r w:rsidR="00B86CF7">
        <w:t xml:space="preserve">income </w:t>
      </w:r>
      <w:r w:rsidRPr="00A4496C">
        <w:t xml:space="preserve">and contributions from trading enterprises) </w:t>
      </w:r>
      <w:r w:rsidR="004B2491">
        <w:t>are</w:t>
      </w:r>
      <w:r w:rsidRPr="00A4496C">
        <w:t xml:space="preserve"> assessed </w:t>
      </w:r>
      <w:r>
        <w:t>equal</w:t>
      </w:r>
      <w:r w:rsidR="00523EE2">
        <w:t> </w:t>
      </w:r>
      <w:r>
        <w:t>per capita.</w:t>
      </w:r>
    </w:p>
  </w:footnote>
  <w:footnote w:id="4">
    <w:p w:rsidR="00EA6CFB" w:rsidP="00B86CF7" w:rsidRDefault="00EA6CFB" w14:paraId="5F587C34" w14:textId="417050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This is </w:t>
      </w:r>
      <w:r w:rsidR="0003028E">
        <w:t xml:space="preserve">justification </w:t>
      </w:r>
      <w:r>
        <w:t xml:space="preserve">for </w:t>
      </w:r>
      <w:r w:rsidR="00432B65">
        <w:t>applying an</w:t>
      </w:r>
      <w:r>
        <w:t xml:space="preserve"> equal per capita assessment </w:t>
      </w:r>
      <w:r w:rsidR="002A4F6B">
        <w:t>to</w:t>
      </w:r>
      <w:r>
        <w:t xml:space="preserve"> gambling taxes.</w:t>
      </w:r>
    </w:p>
  </w:footnote>
  <w:footnote w:id="5">
    <w:p w:rsidR="00EA6CFB" w:rsidP="00B86CF7" w:rsidRDefault="00EA6CFB" w14:paraId="004109A0" w14:textId="100D91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This is </w:t>
      </w:r>
      <w:r w:rsidR="0003028E">
        <w:t xml:space="preserve">justification </w:t>
      </w:r>
      <w:r>
        <w:t xml:space="preserve">for </w:t>
      </w:r>
      <w:r w:rsidR="00432B65">
        <w:t>applying an</w:t>
      </w:r>
      <w:r>
        <w:t xml:space="preserve"> equal per capita assessment </w:t>
      </w:r>
      <w:r w:rsidR="00432B65">
        <w:t>to</w:t>
      </w:r>
      <w:r>
        <w:t xml:space="preserve"> </w:t>
      </w:r>
      <w:r w:rsidRPr="00EA6CFB">
        <w:t>some of the revenue streams in other taxes and other income</w:t>
      </w:r>
      <w:r w:rsidR="002A4F6B">
        <w:t>,</w:t>
      </w:r>
      <w:r w:rsidRPr="00EA6CFB">
        <w:t xml:space="preserve"> such as assets acquired below fair value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96C" w:rsidRDefault="00A4496C" w14:paraId="757EA02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36018"/>
    <w:multiLevelType w:val="hybridMultilevel"/>
    <w:tmpl w:val="63E83296"/>
    <w:lvl w:ilvl="0" w:tplc="FFFFFFFF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5C03A3A"/>
    <w:multiLevelType w:val="multilevel"/>
    <w:tmpl w:val="A310237C"/>
    <w:numStyleLink w:val="CGCConsultQuestion"/>
  </w:abstractNum>
  <w:abstractNum w:abstractNumId="3" w15:restartNumberingAfterBreak="0">
    <w:nsid w:val="0F2D71BA"/>
    <w:multiLevelType w:val="hybridMultilevel"/>
    <w:tmpl w:val="5D88B44C"/>
    <w:lvl w:ilvl="0" w:tplc="389064B4">
      <w:start w:val="1"/>
      <w:numFmt w:val="decimal"/>
      <w:lvlText w:val="%1"/>
      <w:lvlJc w:val="left"/>
      <w:pPr>
        <w:ind w:left="360" w:hanging="360"/>
      </w:pPr>
      <w:rPr>
        <w:rFonts w:hint="default" w:ascii="Open Sans Light" w:hAnsi="Open Sans Ligh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D7BB4"/>
    <w:multiLevelType w:val="multilevel"/>
    <w:tmpl w:val="254084B6"/>
    <w:lvl w:ilvl="0">
      <w:start w:val="1"/>
      <w:numFmt w:val="decimal"/>
      <w:pStyle w:val="CGCBodyPara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hint="default" w:ascii="Symbol" w:hAnsi="Symbol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E71B9C"/>
    <w:multiLevelType w:val="hybridMultilevel"/>
    <w:tmpl w:val="AC642BC0"/>
    <w:lvl w:ilvl="0" w:tplc="C0A63236">
      <w:start w:val="1"/>
      <w:numFmt w:val="bullet"/>
      <w:pStyle w:val="CGCBullet1"/>
      <w:lvlText w:val=""/>
      <w:lvlJc w:val="left"/>
      <w:pPr>
        <w:ind w:left="927" w:hanging="360"/>
      </w:pPr>
      <w:rPr>
        <w:rFonts w:hint="default" w:ascii="Symbol" w:hAnsi="Symbol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2F29"/>
    <w:multiLevelType w:val="hybridMultilevel"/>
    <w:tmpl w:val="01125F14"/>
    <w:lvl w:ilvl="0" w:tplc="158035BC">
      <w:start w:val="1"/>
      <w:numFmt w:val="decimal"/>
      <w:pStyle w:val="CGCParaNumber"/>
      <w:lvlText w:val="%1"/>
      <w:lvlJc w:val="left"/>
      <w:pPr>
        <w:ind w:left="360" w:hanging="360"/>
      </w:pPr>
      <w:rPr>
        <w:rFonts w:hint="default" w:ascii="Work Sans" w:hAnsi="Work Sans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03D8D"/>
    <w:multiLevelType w:val="hybridMultilevel"/>
    <w:tmpl w:val="63E83296"/>
    <w:lvl w:ilvl="0" w:tplc="FFFFFFFF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3CF83CF7"/>
    <w:multiLevelType w:val="hybridMultilevel"/>
    <w:tmpl w:val="63E83296"/>
    <w:lvl w:ilvl="0" w:tplc="9FA4EF92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4511CFA"/>
    <w:multiLevelType w:val="hybridMultilevel"/>
    <w:tmpl w:val="68BC51BA"/>
    <w:lvl w:ilvl="0" w:tplc="A4FE0E9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hint="default" w:ascii="Work Sans" w:hAnsi="Work Sans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hint="default" w:ascii="Work Sans" w:hAnsi="Work Sans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E974B00"/>
    <w:multiLevelType w:val="multilevel"/>
    <w:tmpl w:val="A310237C"/>
    <w:numStyleLink w:val="CGCConsultQuestion"/>
  </w:abstractNum>
  <w:abstractNum w:abstractNumId="16" w15:restartNumberingAfterBreak="0">
    <w:nsid w:val="500F1895"/>
    <w:multiLevelType w:val="multilevel"/>
    <w:tmpl w:val="A310237C"/>
    <w:numStyleLink w:val="CGCConsultQuestion"/>
  </w:abstractNum>
  <w:abstractNum w:abstractNumId="17" w15:restartNumberingAfterBreak="0">
    <w:nsid w:val="599C7CCD"/>
    <w:multiLevelType w:val="hybridMultilevel"/>
    <w:tmpl w:val="803A974C"/>
    <w:lvl w:ilvl="0" w:tplc="31FC1F20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hint="default" w:ascii="Symbol" w:hAnsi="Symbol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hint="default" w:ascii="Wingdings" w:hAnsi="Wingdings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0" w15:restartNumberingAfterBreak="0">
    <w:nsid w:val="740F2EC8"/>
    <w:multiLevelType w:val="hybridMultilevel"/>
    <w:tmpl w:val="047C7B74"/>
    <w:lvl w:ilvl="0" w:tplc="04A6C9BE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2F0C5C"/>
    <w:multiLevelType w:val="hybridMultilevel"/>
    <w:tmpl w:val="B1708846"/>
    <w:lvl w:ilvl="0" w:tplc="FFFFFFFF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411192121">
    <w:abstractNumId w:val="9"/>
  </w:num>
  <w:num w:numId="2" w16cid:durableId="1677540368">
    <w:abstractNumId w:val="6"/>
  </w:num>
  <w:num w:numId="3" w16cid:durableId="1635018664">
    <w:abstractNumId w:val="7"/>
  </w:num>
  <w:num w:numId="4" w16cid:durableId="2019114645">
    <w:abstractNumId w:val="21"/>
  </w:num>
  <w:num w:numId="5" w16cid:durableId="619917730">
    <w:abstractNumId w:val="5"/>
  </w:num>
  <w:num w:numId="6" w16cid:durableId="1638022673">
    <w:abstractNumId w:val="0"/>
  </w:num>
  <w:num w:numId="7" w16cid:durableId="1698002436">
    <w:abstractNumId w:val="18"/>
  </w:num>
  <w:num w:numId="8" w16cid:durableId="1161434358">
    <w:abstractNumId w:val="19"/>
  </w:num>
  <w:num w:numId="9" w16cid:durableId="1207790672">
    <w:abstractNumId w:val="4"/>
  </w:num>
  <w:num w:numId="10" w16cid:durableId="145897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4953454">
    <w:abstractNumId w:val="12"/>
  </w:num>
  <w:num w:numId="12" w16cid:durableId="1771046321">
    <w:abstractNumId w:val="0"/>
    <w:lvlOverride w:ilvl="0">
      <w:startOverride w:val="1"/>
    </w:lvlOverride>
  </w:num>
  <w:num w:numId="13" w16cid:durableId="2071230275">
    <w:abstractNumId w:val="3"/>
  </w:num>
  <w:num w:numId="14" w16cid:durableId="146821968">
    <w:abstractNumId w:val="3"/>
    <w:lvlOverride w:ilvl="0">
      <w:startOverride w:val="1"/>
    </w:lvlOverride>
  </w:num>
  <w:num w:numId="15" w16cid:durableId="861553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186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7374591">
    <w:abstractNumId w:val="9"/>
    <w:lvlOverride w:ilvl="0">
      <w:startOverride w:val="1"/>
    </w:lvlOverride>
  </w:num>
  <w:num w:numId="18" w16cid:durableId="62026035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7537804">
    <w:abstractNumId w:val="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1261251">
    <w:abstractNumId w:val="4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9618378">
    <w:abstractNumId w:val="13"/>
  </w:num>
  <w:num w:numId="22" w16cid:durableId="458305309">
    <w:abstractNumId w:val="2"/>
  </w:num>
  <w:num w:numId="23" w16cid:durableId="711228942">
    <w:abstractNumId w:val="16"/>
  </w:num>
  <w:num w:numId="24" w16cid:durableId="940720303">
    <w:abstractNumId w:val="14"/>
  </w:num>
  <w:num w:numId="25" w16cid:durableId="740566132">
    <w:abstractNumId w:val="15"/>
  </w:num>
  <w:num w:numId="26" w16cid:durableId="888036243">
    <w:abstractNumId w:val="8"/>
  </w:num>
  <w:num w:numId="27" w16cid:durableId="1862082783">
    <w:abstractNumId w:val="20"/>
  </w:num>
  <w:num w:numId="28" w16cid:durableId="913978566">
    <w:abstractNumId w:val="11"/>
  </w:num>
  <w:num w:numId="29" w16cid:durableId="990017812">
    <w:abstractNumId w:val="17"/>
  </w:num>
  <w:num w:numId="30" w16cid:durableId="1422222294">
    <w:abstractNumId w:val="22"/>
  </w:num>
  <w:num w:numId="31" w16cid:durableId="2050372242">
    <w:abstractNumId w:val="10"/>
  </w:num>
  <w:num w:numId="32" w16cid:durableId="1331830833">
    <w:abstractNumId w:val="1"/>
  </w:num>
  <w:num w:numId="33" w16cid:durableId="120667763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6C"/>
    <w:rsid w:val="00013B61"/>
    <w:rsid w:val="000261A3"/>
    <w:rsid w:val="0003028E"/>
    <w:rsid w:val="00035605"/>
    <w:rsid w:val="00036934"/>
    <w:rsid w:val="00042C65"/>
    <w:rsid w:val="0006293F"/>
    <w:rsid w:val="00070B18"/>
    <w:rsid w:val="0007135F"/>
    <w:rsid w:val="0008342B"/>
    <w:rsid w:val="000A07CE"/>
    <w:rsid w:val="000A4611"/>
    <w:rsid w:val="000B4C54"/>
    <w:rsid w:val="000B7940"/>
    <w:rsid w:val="000C28F1"/>
    <w:rsid w:val="000C4233"/>
    <w:rsid w:val="000C6BA5"/>
    <w:rsid w:val="000D2A43"/>
    <w:rsid w:val="000F31BE"/>
    <w:rsid w:val="0010004D"/>
    <w:rsid w:val="001046BF"/>
    <w:rsid w:val="001077D8"/>
    <w:rsid w:val="00110B60"/>
    <w:rsid w:val="00116FAC"/>
    <w:rsid w:val="00117099"/>
    <w:rsid w:val="00132FDC"/>
    <w:rsid w:val="00133A78"/>
    <w:rsid w:val="00135798"/>
    <w:rsid w:val="00145D8A"/>
    <w:rsid w:val="001768E0"/>
    <w:rsid w:val="00180E03"/>
    <w:rsid w:val="00182D44"/>
    <w:rsid w:val="00190C45"/>
    <w:rsid w:val="00193E8A"/>
    <w:rsid w:val="001952E6"/>
    <w:rsid w:val="001A45A9"/>
    <w:rsid w:val="001A597F"/>
    <w:rsid w:val="001A7B1B"/>
    <w:rsid w:val="001B34B2"/>
    <w:rsid w:val="001C27DC"/>
    <w:rsid w:val="001C526B"/>
    <w:rsid w:val="001D4795"/>
    <w:rsid w:val="001D53F6"/>
    <w:rsid w:val="001F2282"/>
    <w:rsid w:val="001F3117"/>
    <w:rsid w:val="002054D9"/>
    <w:rsid w:val="00216544"/>
    <w:rsid w:val="00225196"/>
    <w:rsid w:val="00226FF6"/>
    <w:rsid w:val="00230284"/>
    <w:rsid w:val="00243C7E"/>
    <w:rsid w:val="00250595"/>
    <w:rsid w:val="002516F2"/>
    <w:rsid w:val="00252828"/>
    <w:rsid w:val="00260B28"/>
    <w:rsid w:val="002641CA"/>
    <w:rsid w:val="002644F2"/>
    <w:rsid w:val="00270D49"/>
    <w:rsid w:val="00272DE0"/>
    <w:rsid w:val="00274088"/>
    <w:rsid w:val="00275B2E"/>
    <w:rsid w:val="00280A27"/>
    <w:rsid w:val="0028299D"/>
    <w:rsid w:val="002A4F6B"/>
    <w:rsid w:val="002A6D2F"/>
    <w:rsid w:val="002C1DA0"/>
    <w:rsid w:val="002D1947"/>
    <w:rsid w:val="002D1A0D"/>
    <w:rsid w:val="002D1F6F"/>
    <w:rsid w:val="002E03A9"/>
    <w:rsid w:val="002E2C29"/>
    <w:rsid w:val="002F12E7"/>
    <w:rsid w:val="002F5FB3"/>
    <w:rsid w:val="002F79FE"/>
    <w:rsid w:val="00300E3A"/>
    <w:rsid w:val="003231D0"/>
    <w:rsid w:val="00323E2E"/>
    <w:rsid w:val="00337177"/>
    <w:rsid w:val="0034589E"/>
    <w:rsid w:val="003503E9"/>
    <w:rsid w:val="00351072"/>
    <w:rsid w:val="00363B3D"/>
    <w:rsid w:val="003666BF"/>
    <w:rsid w:val="00384DCF"/>
    <w:rsid w:val="0039023C"/>
    <w:rsid w:val="00395E58"/>
    <w:rsid w:val="003C7E58"/>
    <w:rsid w:val="003D6906"/>
    <w:rsid w:val="003D6C96"/>
    <w:rsid w:val="003F5493"/>
    <w:rsid w:val="003F703C"/>
    <w:rsid w:val="00403924"/>
    <w:rsid w:val="00405422"/>
    <w:rsid w:val="004133C2"/>
    <w:rsid w:val="00417081"/>
    <w:rsid w:val="004230EE"/>
    <w:rsid w:val="00432B65"/>
    <w:rsid w:val="00444026"/>
    <w:rsid w:val="004504B0"/>
    <w:rsid w:val="0046299B"/>
    <w:rsid w:val="004635B0"/>
    <w:rsid w:val="00473209"/>
    <w:rsid w:val="00473EA4"/>
    <w:rsid w:val="004779A1"/>
    <w:rsid w:val="0048247E"/>
    <w:rsid w:val="0048351B"/>
    <w:rsid w:val="00490877"/>
    <w:rsid w:val="00494D1F"/>
    <w:rsid w:val="004B14E1"/>
    <w:rsid w:val="004B2491"/>
    <w:rsid w:val="004C0FB6"/>
    <w:rsid w:val="004C5567"/>
    <w:rsid w:val="004D1FD3"/>
    <w:rsid w:val="004D330E"/>
    <w:rsid w:val="004D6441"/>
    <w:rsid w:val="004F17A8"/>
    <w:rsid w:val="004F52C7"/>
    <w:rsid w:val="00513543"/>
    <w:rsid w:val="00515388"/>
    <w:rsid w:val="00523EE2"/>
    <w:rsid w:val="0052469D"/>
    <w:rsid w:val="0053143D"/>
    <w:rsid w:val="00534156"/>
    <w:rsid w:val="00542224"/>
    <w:rsid w:val="005437FC"/>
    <w:rsid w:val="00546246"/>
    <w:rsid w:val="005655EA"/>
    <w:rsid w:val="00567CB9"/>
    <w:rsid w:val="0057788D"/>
    <w:rsid w:val="00591D81"/>
    <w:rsid w:val="00592889"/>
    <w:rsid w:val="00595D0A"/>
    <w:rsid w:val="005A79C8"/>
    <w:rsid w:val="005B549D"/>
    <w:rsid w:val="005B7D4F"/>
    <w:rsid w:val="005C62E7"/>
    <w:rsid w:val="005C6A6D"/>
    <w:rsid w:val="005D061A"/>
    <w:rsid w:val="005D6D6D"/>
    <w:rsid w:val="005F41DD"/>
    <w:rsid w:val="005F71C4"/>
    <w:rsid w:val="006026B0"/>
    <w:rsid w:val="00615591"/>
    <w:rsid w:val="00623FA9"/>
    <w:rsid w:val="00625A53"/>
    <w:rsid w:val="00632E33"/>
    <w:rsid w:val="00640C90"/>
    <w:rsid w:val="00653ECA"/>
    <w:rsid w:val="00664056"/>
    <w:rsid w:val="00672D32"/>
    <w:rsid w:val="00674B6B"/>
    <w:rsid w:val="00675E6D"/>
    <w:rsid w:val="006B2BAF"/>
    <w:rsid w:val="006B7B88"/>
    <w:rsid w:val="006C3984"/>
    <w:rsid w:val="006C52DB"/>
    <w:rsid w:val="006C5FF4"/>
    <w:rsid w:val="006C6F16"/>
    <w:rsid w:val="006F1954"/>
    <w:rsid w:val="006F49E7"/>
    <w:rsid w:val="006F60D6"/>
    <w:rsid w:val="00732EC0"/>
    <w:rsid w:val="00736412"/>
    <w:rsid w:val="007444BB"/>
    <w:rsid w:val="00756959"/>
    <w:rsid w:val="0076110B"/>
    <w:rsid w:val="007619F5"/>
    <w:rsid w:val="00773F6A"/>
    <w:rsid w:val="0078364F"/>
    <w:rsid w:val="00792169"/>
    <w:rsid w:val="0079244B"/>
    <w:rsid w:val="007A512F"/>
    <w:rsid w:val="007B3A83"/>
    <w:rsid w:val="007B4FA1"/>
    <w:rsid w:val="007C404C"/>
    <w:rsid w:val="007D4428"/>
    <w:rsid w:val="007E1148"/>
    <w:rsid w:val="007E3C6E"/>
    <w:rsid w:val="007F2759"/>
    <w:rsid w:val="007F5A33"/>
    <w:rsid w:val="007F7D37"/>
    <w:rsid w:val="007F7E4A"/>
    <w:rsid w:val="008050D3"/>
    <w:rsid w:val="00815BBF"/>
    <w:rsid w:val="008309F1"/>
    <w:rsid w:val="00835A1A"/>
    <w:rsid w:val="00836B9B"/>
    <w:rsid w:val="008426EF"/>
    <w:rsid w:val="008426F8"/>
    <w:rsid w:val="00850F9E"/>
    <w:rsid w:val="00856EE7"/>
    <w:rsid w:val="008614AB"/>
    <w:rsid w:val="00874D38"/>
    <w:rsid w:val="00881F85"/>
    <w:rsid w:val="008A022F"/>
    <w:rsid w:val="008A5095"/>
    <w:rsid w:val="008B5EA5"/>
    <w:rsid w:val="008C54C3"/>
    <w:rsid w:val="008C5C9A"/>
    <w:rsid w:val="008D41AB"/>
    <w:rsid w:val="008D53BA"/>
    <w:rsid w:val="008D5477"/>
    <w:rsid w:val="008D62D4"/>
    <w:rsid w:val="008E0547"/>
    <w:rsid w:val="008E3E8C"/>
    <w:rsid w:val="008F09A3"/>
    <w:rsid w:val="008F3ECF"/>
    <w:rsid w:val="008F519A"/>
    <w:rsid w:val="008F55E1"/>
    <w:rsid w:val="009002BC"/>
    <w:rsid w:val="0090519F"/>
    <w:rsid w:val="0090542C"/>
    <w:rsid w:val="00926642"/>
    <w:rsid w:val="009308E4"/>
    <w:rsid w:val="009315ED"/>
    <w:rsid w:val="00941910"/>
    <w:rsid w:val="00951F00"/>
    <w:rsid w:val="0095235D"/>
    <w:rsid w:val="00957189"/>
    <w:rsid w:val="00960BE7"/>
    <w:rsid w:val="009624BF"/>
    <w:rsid w:val="00973E43"/>
    <w:rsid w:val="00977391"/>
    <w:rsid w:val="0099466C"/>
    <w:rsid w:val="009A4349"/>
    <w:rsid w:val="009A4431"/>
    <w:rsid w:val="009C1F50"/>
    <w:rsid w:val="009C2181"/>
    <w:rsid w:val="009C4531"/>
    <w:rsid w:val="009D1A88"/>
    <w:rsid w:val="009D2D4C"/>
    <w:rsid w:val="009D2F10"/>
    <w:rsid w:val="009D4A79"/>
    <w:rsid w:val="009E20BE"/>
    <w:rsid w:val="009F026A"/>
    <w:rsid w:val="009F040D"/>
    <w:rsid w:val="00A04C14"/>
    <w:rsid w:val="00A055B0"/>
    <w:rsid w:val="00A06F65"/>
    <w:rsid w:val="00A118D7"/>
    <w:rsid w:val="00A23745"/>
    <w:rsid w:val="00A23937"/>
    <w:rsid w:val="00A25C68"/>
    <w:rsid w:val="00A31159"/>
    <w:rsid w:val="00A31A0F"/>
    <w:rsid w:val="00A31D38"/>
    <w:rsid w:val="00A34492"/>
    <w:rsid w:val="00A43065"/>
    <w:rsid w:val="00A4496C"/>
    <w:rsid w:val="00A51C63"/>
    <w:rsid w:val="00A64F02"/>
    <w:rsid w:val="00A765A4"/>
    <w:rsid w:val="00A83CAE"/>
    <w:rsid w:val="00A84B3C"/>
    <w:rsid w:val="00A979DB"/>
    <w:rsid w:val="00AA5B8B"/>
    <w:rsid w:val="00AB78CB"/>
    <w:rsid w:val="00AC1049"/>
    <w:rsid w:val="00AD080E"/>
    <w:rsid w:val="00AD3FB8"/>
    <w:rsid w:val="00AE44BF"/>
    <w:rsid w:val="00AE651A"/>
    <w:rsid w:val="00B010DF"/>
    <w:rsid w:val="00B04125"/>
    <w:rsid w:val="00B0437C"/>
    <w:rsid w:val="00B05ADE"/>
    <w:rsid w:val="00B10CE1"/>
    <w:rsid w:val="00B10EA8"/>
    <w:rsid w:val="00B173F8"/>
    <w:rsid w:val="00B22A00"/>
    <w:rsid w:val="00B2493D"/>
    <w:rsid w:val="00B2673E"/>
    <w:rsid w:val="00B268C7"/>
    <w:rsid w:val="00B271EE"/>
    <w:rsid w:val="00B3033B"/>
    <w:rsid w:val="00B3539F"/>
    <w:rsid w:val="00B43E52"/>
    <w:rsid w:val="00B54D43"/>
    <w:rsid w:val="00B57383"/>
    <w:rsid w:val="00B86CF7"/>
    <w:rsid w:val="00B9390D"/>
    <w:rsid w:val="00BA7F92"/>
    <w:rsid w:val="00BB6159"/>
    <w:rsid w:val="00BB755A"/>
    <w:rsid w:val="00BC1F36"/>
    <w:rsid w:val="00BC4308"/>
    <w:rsid w:val="00BD3C4B"/>
    <w:rsid w:val="00BE00E6"/>
    <w:rsid w:val="00BE0B10"/>
    <w:rsid w:val="00BE2E10"/>
    <w:rsid w:val="00BE37F8"/>
    <w:rsid w:val="00BE57F0"/>
    <w:rsid w:val="00C011D3"/>
    <w:rsid w:val="00C03980"/>
    <w:rsid w:val="00C07FC4"/>
    <w:rsid w:val="00C11FBE"/>
    <w:rsid w:val="00C222EC"/>
    <w:rsid w:val="00C30106"/>
    <w:rsid w:val="00C41016"/>
    <w:rsid w:val="00C43B40"/>
    <w:rsid w:val="00C43BF8"/>
    <w:rsid w:val="00C5041A"/>
    <w:rsid w:val="00C53AD0"/>
    <w:rsid w:val="00C77802"/>
    <w:rsid w:val="00C9254F"/>
    <w:rsid w:val="00C9527F"/>
    <w:rsid w:val="00CA319C"/>
    <w:rsid w:val="00CC78EB"/>
    <w:rsid w:val="00CE70E7"/>
    <w:rsid w:val="00CF16C0"/>
    <w:rsid w:val="00CF59A2"/>
    <w:rsid w:val="00CF717B"/>
    <w:rsid w:val="00D13031"/>
    <w:rsid w:val="00D23E13"/>
    <w:rsid w:val="00D3184D"/>
    <w:rsid w:val="00D439D2"/>
    <w:rsid w:val="00D50E42"/>
    <w:rsid w:val="00D630DD"/>
    <w:rsid w:val="00D73365"/>
    <w:rsid w:val="00D767C1"/>
    <w:rsid w:val="00D843F3"/>
    <w:rsid w:val="00D85055"/>
    <w:rsid w:val="00D967F1"/>
    <w:rsid w:val="00DA292B"/>
    <w:rsid w:val="00DB03E3"/>
    <w:rsid w:val="00DB138C"/>
    <w:rsid w:val="00DC1F79"/>
    <w:rsid w:val="00DC276F"/>
    <w:rsid w:val="00DC7F5F"/>
    <w:rsid w:val="00DD374D"/>
    <w:rsid w:val="00DD788C"/>
    <w:rsid w:val="00DE3D17"/>
    <w:rsid w:val="00DF0314"/>
    <w:rsid w:val="00E039DF"/>
    <w:rsid w:val="00E0683B"/>
    <w:rsid w:val="00E13BF5"/>
    <w:rsid w:val="00E25BE3"/>
    <w:rsid w:val="00E30BBB"/>
    <w:rsid w:val="00E33485"/>
    <w:rsid w:val="00E350A4"/>
    <w:rsid w:val="00E40DE5"/>
    <w:rsid w:val="00E61D50"/>
    <w:rsid w:val="00E642B9"/>
    <w:rsid w:val="00E67DFC"/>
    <w:rsid w:val="00E7457D"/>
    <w:rsid w:val="00E805DA"/>
    <w:rsid w:val="00E8291A"/>
    <w:rsid w:val="00E84FEA"/>
    <w:rsid w:val="00E90FD8"/>
    <w:rsid w:val="00E97DD5"/>
    <w:rsid w:val="00EA6CFB"/>
    <w:rsid w:val="00EC134D"/>
    <w:rsid w:val="00ED2C43"/>
    <w:rsid w:val="00ED3039"/>
    <w:rsid w:val="00ED351F"/>
    <w:rsid w:val="00ED5D7C"/>
    <w:rsid w:val="00EE0C3E"/>
    <w:rsid w:val="00EE22E4"/>
    <w:rsid w:val="00F006F7"/>
    <w:rsid w:val="00F009A5"/>
    <w:rsid w:val="00F021F0"/>
    <w:rsid w:val="00F023FE"/>
    <w:rsid w:val="00F05414"/>
    <w:rsid w:val="00F076EC"/>
    <w:rsid w:val="00F11050"/>
    <w:rsid w:val="00F165CA"/>
    <w:rsid w:val="00F3467F"/>
    <w:rsid w:val="00F34E42"/>
    <w:rsid w:val="00F424F6"/>
    <w:rsid w:val="00F44D01"/>
    <w:rsid w:val="00F54E39"/>
    <w:rsid w:val="00F57825"/>
    <w:rsid w:val="00F60EF0"/>
    <w:rsid w:val="00F61A26"/>
    <w:rsid w:val="00F821C2"/>
    <w:rsid w:val="00F840A4"/>
    <w:rsid w:val="00F87D1D"/>
    <w:rsid w:val="00FB1D46"/>
    <w:rsid w:val="00FB2012"/>
    <w:rsid w:val="00FB2DD4"/>
    <w:rsid w:val="00FD4A7F"/>
    <w:rsid w:val="00FD7159"/>
    <w:rsid w:val="00FF19CF"/>
    <w:rsid w:val="00FF47E3"/>
    <w:rsid w:val="00FF547D"/>
    <w:rsid w:val="11272606"/>
    <w:rsid w:val="1A78AE91"/>
    <w:rsid w:val="39DC1F91"/>
    <w:rsid w:val="422AF975"/>
    <w:rsid w:val="427FCD28"/>
    <w:rsid w:val="4BD9D369"/>
    <w:rsid w:val="507DC985"/>
    <w:rsid w:val="5AF4EF47"/>
    <w:rsid w:val="68BD3F64"/>
    <w:rsid w:val="7F6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DF4D"/>
  <w15:chartTrackingRefBased/>
  <w15:docId w15:val="{812FB795-ADEB-4724-81E9-4A33550977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4496C"/>
    <w:pPr>
      <w:tabs>
        <w:tab w:val="left" w:pos="567"/>
      </w:tabs>
      <w:spacing w:before="120" w:after="0" w:line="254" w:lineRule="auto"/>
    </w:pPr>
    <w:rPr>
      <w:rFonts w:ascii="Open Sans Light" w:hAnsi="Open Sans Light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6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A4496C"/>
    <w:pPr>
      <w:keepNext/>
      <w:widowControl w:val="0"/>
      <w:spacing w:after="120" w:line="240" w:lineRule="auto"/>
      <w:outlineLvl w:val="1"/>
    </w:pPr>
    <w:rPr>
      <w:rFonts w:ascii="Work Sans" w:hAnsi="Work Sans" w:eastAsiaTheme="majorEastAsia" w:cstheme="majorBidi"/>
      <w:b/>
      <w:color w:val="004563"/>
      <w:sz w:val="40"/>
      <w:szCs w:val="40"/>
    </w:rPr>
  </w:style>
  <w:style w:type="paragraph" w:styleId="Heading3">
    <w:name w:val="heading 3"/>
    <w:aliases w:val="CGC 2025 Heading 3"/>
    <w:basedOn w:val="Normal"/>
    <w:next w:val="Normal"/>
    <w:link w:val="Heading3Char"/>
    <w:uiPriority w:val="9"/>
    <w:unhideWhenUsed/>
    <w:qFormat/>
    <w:rsid w:val="00A4496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CGC 2025 Heading 4"/>
    <w:basedOn w:val="Normal"/>
    <w:next w:val="Normal"/>
    <w:link w:val="Heading4Char"/>
    <w:uiPriority w:val="9"/>
    <w:unhideWhenUsed/>
    <w:qFormat/>
    <w:rsid w:val="00A4496C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A4496C"/>
    <w:pPr>
      <w:keepNext/>
      <w:tabs>
        <w:tab w:val="clear" w:pos="567"/>
      </w:tabs>
      <w:outlineLvl w:val="4"/>
    </w:pPr>
    <w:rPr>
      <w:rFonts w:ascii="Montserrat Semi Bold" w:hAnsi="Montserrat Semi Bold" w:eastAsiaTheme="majorEastAsia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496C"/>
    <w:pPr>
      <w:keepNext/>
      <w:keepLines/>
      <w:outlineLvl w:val="5"/>
    </w:pPr>
    <w:rPr>
      <w:rFonts w:ascii="Montserrat Semi Bold" w:hAnsi="Montserrat Semi Bold" w:eastAsiaTheme="majorEastAsia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4496C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semiHidden/>
    <w:rsid w:val="00A4496C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semiHidden/>
    <w:rsid w:val="00A4496C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aliases w:val="CGC 2025 Heading 2 Char"/>
    <w:basedOn w:val="DefaultParagraphFont"/>
    <w:link w:val="Heading2"/>
    <w:uiPriority w:val="9"/>
    <w:rsid w:val="00A4496C"/>
    <w:rPr>
      <w:rFonts w:ascii="Work Sans" w:hAnsi="Work Sans" w:eastAsiaTheme="majorEastAsia" w:cstheme="majorBidi"/>
      <w:b/>
      <w:color w:val="004563"/>
      <w:kern w:val="0"/>
      <w:sz w:val="40"/>
      <w:szCs w:val="40"/>
      <w14:ligatures w14:val="none"/>
    </w:rPr>
  </w:style>
  <w:style w:type="character" w:styleId="Heading6Char" w:customStyle="1">
    <w:name w:val="Heading 6 Char"/>
    <w:basedOn w:val="DefaultParagraphFont"/>
    <w:link w:val="Heading6"/>
    <w:uiPriority w:val="9"/>
    <w:rsid w:val="00A4496C"/>
    <w:rPr>
      <w:rFonts w:ascii="Montserrat Semi Bold" w:hAnsi="Montserrat Semi Bold" w:eastAsiaTheme="majorEastAsia" w:cstheme="majorBidi"/>
      <w:i/>
      <w:iCs/>
      <w:color w:val="636466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496C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erChar" w:customStyle="1">
    <w:name w:val="Footer Char"/>
    <w:basedOn w:val="DefaultParagraphFont"/>
    <w:link w:val="Footer"/>
    <w:uiPriority w:val="99"/>
    <w:rsid w:val="00A4496C"/>
    <w:rPr>
      <w:rFonts w:ascii="Montserrat Ultra Light" w:hAnsi="Montserrat Ultra Light"/>
      <w:b/>
      <w:color w:val="004563"/>
      <w:kern w:val="0"/>
      <w:sz w:val="20"/>
      <w14:ligatures w14:val="none"/>
    </w:rPr>
  </w:style>
  <w:style w:type="paragraph" w:styleId="CGCParaNumber" w:customStyle="1">
    <w:name w:val="CGC Para Number"/>
    <w:basedOn w:val="Normal"/>
    <w:qFormat/>
    <w:rsid w:val="00A4496C"/>
    <w:pPr>
      <w:numPr>
        <w:numId w:val="1"/>
      </w:numPr>
      <w:tabs>
        <w:tab w:val="clear" w:pos="567"/>
      </w:tabs>
      <w:ind w:right="-121"/>
    </w:pPr>
    <w:rPr>
      <w:rFonts w:ascii="Work Sans" w:hAnsi="Work Sans"/>
      <w:szCs w:val="20"/>
    </w:rPr>
  </w:style>
  <w:style w:type="paragraph" w:styleId="CGCBullet1" w:customStyle="1">
    <w:name w:val="CGC Bullet 1"/>
    <w:basedOn w:val="Normal"/>
    <w:qFormat/>
    <w:rsid w:val="00A4496C"/>
    <w:pPr>
      <w:numPr>
        <w:numId w:val="2"/>
      </w:numPr>
    </w:pPr>
    <w:rPr>
      <w:rFonts w:ascii="Work Sans" w:hAnsi="Work Sans"/>
    </w:rPr>
  </w:style>
  <w:style w:type="character" w:styleId="Heading3Char" w:customStyle="1">
    <w:name w:val="Heading 3 Char"/>
    <w:aliases w:val="CGC 2025 Heading 3 Char"/>
    <w:basedOn w:val="DefaultParagraphFont"/>
    <w:link w:val="Heading3"/>
    <w:uiPriority w:val="9"/>
    <w:rsid w:val="00A4496C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9"/>
    <w:rsid w:val="00A4496C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eading4Char" w:customStyle="1">
    <w:name w:val="Heading 4 Char"/>
    <w:aliases w:val="CGC 2025 Heading 4 Char"/>
    <w:basedOn w:val="DefaultParagraphFont"/>
    <w:link w:val="Heading4"/>
    <w:uiPriority w:val="9"/>
    <w:rsid w:val="00A4496C"/>
    <w:rPr>
      <w:rFonts w:asciiTheme="majorHAnsi" w:hAnsiTheme="majorHAnsi" w:eastAsiaTheme="majorEastAsia" w:cstheme="majorBidi"/>
      <w:i/>
      <w:iCs/>
      <w:color w:val="2F5496" w:themeColor="accent1" w:themeShade="BF"/>
      <w:kern w:val="0"/>
      <w:sz w:val="20"/>
      <w14:ligatures w14:val="none"/>
    </w:rPr>
  </w:style>
  <w:style w:type="character" w:styleId="Heading5Char" w:customStyle="1">
    <w:name w:val="Heading 5 Char"/>
    <w:aliases w:val="CGC 2025 Heading 5 Char"/>
    <w:basedOn w:val="DefaultParagraphFont"/>
    <w:link w:val="Heading5"/>
    <w:uiPriority w:val="9"/>
    <w:rsid w:val="00A4496C"/>
    <w:rPr>
      <w:rFonts w:ascii="Montserrat Semi Bold" w:hAnsi="Montserrat Semi Bold" w:eastAsiaTheme="majorEastAsia" w:cstheme="majorBidi"/>
      <w:color w:val="636466"/>
      <w:kern w:val="0"/>
      <w:sz w:val="20"/>
      <w14:ligatures w14:val="none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4496C"/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14:ligatures w14:val="none"/>
    </w:rPr>
  </w:style>
  <w:style w:type="character" w:styleId="Heading8Char" w:customStyle="1">
    <w:name w:val="Heading 8 Char"/>
    <w:aliases w:val="(Do not use) Char,(Sub-section Nos) Char"/>
    <w:basedOn w:val="DefaultParagraphFont"/>
    <w:link w:val="Heading8"/>
    <w:semiHidden/>
    <w:rsid w:val="00A4496C"/>
    <w:rPr>
      <w:rFonts w:ascii="Arial" w:hAnsi="Arial"/>
      <w:i/>
      <w:kern w:val="0"/>
      <w:sz w:val="20"/>
      <w:szCs w:val="20"/>
      <w14:ligatures w14:val="none"/>
    </w:rPr>
  </w:style>
  <w:style w:type="character" w:styleId="Heading9Char" w:customStyle="1">
    <w:name w:val="Heading 9 Char"/>
    <w:aliases w:val="Heading 9 (Do not use) Char,(Subsubsection Nos) Char"/>
    <w:basedOn w:val="DefaultParagraphFont"/>
    <w:link w:val="Heading9"/>
    <w:semiHidden/>
    <w:rsid w:val="00A4496C"/>
    <w:rPr>
      <w:rFonts w:ascii="Arial" w:hAnsi="Arial"/>
      <w:b/>
      <w:i/>
      <w:kern w:val="0"/>
      <w:sz w:val="18"/>
      <w:szCs w:val="20"/>
      <w14:ligatures w14:val="none"/>
    </w:rPr>
  </w:style>
  <w:style w:type="paragraph" w:styleId="CGCTableheader" w:customStyle="1">
    <w:name w:val="CGC Table header"/>
    <w:basedOn w:val="Normal"/>
    <w:next w:val="Normal"/>
    <w:rsid w:val="00A4496C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A4496C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styleId="CGCSubbulletlist" w:customStyle="1">
    <w:name w:val="CGC Sub bullet list"/>
    <w:aliases w:val="CGC List 2"/>
    <w:basedOn w:val="Normal"/>
    <w:rsid w:val="00A4496C"/>
    <w:pPr>
      <w:numPr>
        <w:numId w:val="4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styleId="CGCTableFootnote" w:customStyle="1">
    <w:name w:val="CGC Table Footnote"/>
    <w:basedOn w:val="Normal"/>
    <w:next w:val="NoSpacing"/>
    <w:rsid w:val="00A4496C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styleId="CGCTableHeading" w:customStyle="1">
    <w:name w:val="CGC Table Heading"/>
    <w:basedOn w:val="Normal"/>
    <w:next w:val="Normal"/>
    <w:link w:val="CGCTableHeadingChar"/>
    <w:rsid w:val="00A4496C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link w:val="DocumentMapChar"/>
    <w:rsid w:val="00A4496C"/>
    <w:pPr>
      <w:shd w:val="clear" w:color="auto" w:fill="000080"/>
    </w:pPr>
    <w:rPr>
      <w:rFonts w:ascii="Tahoma" w:hAnsi="Tahoma" w:cs="Tahoma"/>
      <w:szCs w:val="20"/>
    </w:rPr>
  </w:style>
  <w:style w:type="character" w:styleId="DocumentMapChar" w:customStyle="1">
    <w:name w:val="Document Map Char"/>
    <w:basedOn w:val="DefaultParagraphFont"/>
    <w:link w:val="DocumentMap"/>
    <w:rsid w:val="00A4496C"/>
    <w:rPr>
      <w:rFonts w:ascii="Tahoma" w:hAnsi="Tahoma" w:cs="Tahoma"/>
      <w:kern w:val="0"/>
      <w:sz w:val="20"/>
      <w:szCs w:val="20"/>
      <w:shd w:val="clear" w:color="auto" w:fill="000080"/>
      <w14:ligatures w14:val="none"/>
    </w:rPr>
  </w:style>
  <w:style w:type="character" w:styleId="FootnoteReference">
    <w:name w:val="footnote reference"/>
    <w:qFormat/>
    <w:rsid w:val="00A4496C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B86CF7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character" w:styleId="FootnoteTextChar" w:customStyle="1">
    <w:name w:val="Footnote Text Char"/>
    <w:basedOn w:val="DefaultParagraphFont"/>
    <w:link w:val="FootnoteText"/>
    <w:rsid w:val="00B86CF7"/>
    <w:rPr>
      <w:rFonts w:ascii="Work Sans" w:hAnsi="Work Sans"/>
      <w:kern w:val="0"/>
      <w:sz w:val="14"/>
      <w:szCs w:val="16"/>
      <w14:ligatures w14:val="none"/>
    </w:rPr>
  </w:style>
  <w:style w:type="paragraph" w:styleId="Header">
    <w:name w:val="header"/>
    <w:basedOn w:val="Footer"/>
    <w:link w:val="HeaderChar"/>
    <w:uiPriority w:val="99"/>
    <w:unhideWhenUsed/>
    <w:rsid w:val="00A4496C"/>
  </w:style>
  <w:style w:type="character" w:styleId="HeaderChar" w:customStyle="1">
    <w:name w:val="Header Char"/>
    <w:basedOn w:val="DefaultParagraphFont"/>
    <w:link w:val="Header"/>
    <w:uiPriority w:val="99"/>
    <w:rsid w:val="00A4496C"/>
    <w:rPr>
      <w:rFonts w:ascii="Montserrat Ultra Light" w:hAnsi="Montserrat Ultra Light"/>
      <w:b/>
      <w:color w:val="004563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A4496C"/>
    <w:rPr>
      <w:color w:val="006991"/>
      <w:u w:val="single"/>
    </w:rPr>
  </w:style>
  <w:style w:type="character" w:styleId="PageNumber">
    <w:name w:val="page number"/>
    <w:basedOn w:val="DefaultParagraphFont"/>
    <w:rsid w:val="00A4496C"/>
  </w:style>
  <w:style w:type="paragraph" w:styleId="Single" w:customStyle="1">
    <w:name w:val="Single"/>
    <w:basedOn w:val="Normal"/>
    <w:next w:val="Normal"/>
    <w:rsid w:val="00A4496C"/>
    <w:pPr>
      <w:spacing w:line="240" w:lineRule="auto"/>
    </w:pPr>
  </w:style>
  <w:style w:type="table" w:styleId="TableGrid">
    <w:name w:val="Table Grid"/>
    <w:basedOn w:val="TableNormal"/>
    <w:uiPriority w:val="39"/>
    <w:rsid w:val="00A4496C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uiPriority w:val="39"/>
    <w:rsid w:val="00A4496C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A4496C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A4496C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A4496C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A4496C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A4496C"/>
    <w:rPr>
      <w:i/>
    </w:rPr>
  </w:style>
  <w:style w:type="paragraph" w:styleId="TOC7">
    <w:name w:val="toc 7"/>
    <w:basedOn w:val="Normal"/>
    <w:next w:val="Normal"/>
    <w:rsid w:val="00A4496C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A4496C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A4496C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rsid w:val="00A4496C"/>
    <w:pPr>
      <w:tabs>
        <w:tab w:val="left" w:pos="567"/>
      </w:tabs>
      <w:spacing w:after="0" w:line="240" w:lineRule="auto"/>
    </w:pPr>
    <w:rPr>
      <w:kern w:val="0"/>
      <w:sz w:val="24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A4496C"/>
    <w:rPr>
      <w:kern w:val="0"/>
      <w:sz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A4496C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A4496C"/>
    <w:pPr>
      <w:keepNext w:val="0"/>
      <w:tabs>
        <w:tab w:val="clear" w:pos="567"/>
      </w:tabs>
      <w:spacing w:before="480" w:after="200" w:line="320" w:lineRule="atLeast"/>
      <w:outlineLvl w:val="9"/>
    </w:pPr>
    <w:rPr>
      <w:rFonts w:ascii="Work Sans" w:hAnsi="Work Sans" w:eastAsia="Times New Roman" w:cs="Open Sans"/>
      <w:b/>
      <w:bCs/>
      <w:caps/>
      <w:sz w:val="28"/>
      <w:szCs w:val="40"/>
    </w:rPr>
  </w:style>
  <w:style w:type="paragraph" w:styleId="CGCDataCaption" w:customStyle="1">
    <w:name w:val="CGC Data Caption"/>
    <w:basedOn w:val="CGCTableFootnote"/>
    <w:next w:val="NoSpacing"/>
    <w:link w:val="DataCaptionChar"/>
    <w:rsid w:val="00A4496C"/>
  </w:style>
  <w:style w:type="character" w:styleId="CaptionChar" w:customStyle="1">
    <w:name w:val="Caption Char"/>
    <w:basedOn w:val="DefaultParagraphFont"/>
    <w:link w:val="Caption"/>
    <w:rsid w:val="00A4496C"/>
    <w:rPr>
      <w:rFonts w:ascii="Montserrat Ultra Light" w:hAnsi="Montserrat Ultra Light"/>
      <w:b/>
      <w:bCs/>
      <w:kern w:val="0"/>
      <w:sz w:val="20"/>
      <w:szCs w:val="20"/>
      <w14:ligatures w14:val="none"/>
    </w:rPr>
  </w:style>
  <w:style w:type="character" w:styleId="DataCaptionChar" w:customStyle="1">
    <w:name w:val="Data Caption Char"/>
    <w:basedOn w:val="DefaultParagraphFont"/>
    <w:link w:val="CGCDataCaption"/>
    <w:rsid w:val="00A4496C"/>
    <w:rPr>
      <w:rFonts w:ascii="Open Sans Light" w:hAnsi="Open Sans Light"/>
      <w:kern w:val="0"/>
      <w:sz w:val="20"/>
      <w:szCs w:val="24"/>
      <w14:ligatures w14:val="none"/>
    </w:rPr>
  </w:style>
  <w:style w:type="paragraph" w:styleId="CGC2025Bullet1" w:customStyle="1">
    <w:name w:val="CGC 2025 Bullet 1"/>
    <w:basedOn w:val="Normal"/>
    <w:qFormat/>
    <w:rsid w:val="00A4496C"/>
    <w:pPr>
      <w:ind w:left="927" w:hanging="360"/>
    </w:pPr>
    <w:rPr>
      <w:rFonts w:ascii="Work Sans" w:hAnsi="Work Sans"/>
      <w:szCs w:val="20"/>
    </w:rPr>
  </w:style>
  <w:style w:type="paragraph" w:styleId="CGCBullet2" w:customStyle="1">
    <w:name w:val="CGC Bullet 2"/>
    <w:basedOn w:val="Normal"/>
    <w:qFormat/>
    <w:rsid w:val="00A4496C"/>
    <w:pPr>
      <w:numPr>
        <w:numId w:val="5"/>
      </w:numPr>
    </w:pPr>
  </w:style>
  <w:style w:type="paragraph" w:styleId="CGCBullet3" w:customStyle="1">
    <w:name w:val="CGC Bullet 3"/>
    <w:basedOn w:val="Normal"/>
    <w:qFormat/>
    <w:rsid w:val="00A4496C"/>
    <w:pPr>
      <w:numPr>
        <w:numId w:val="6"/>
      </w:numPr>
      <w:ind w:left="1491" w:hanging="357"/>
    </w:pPr>
  </w:style>
  <w:style w:type="paragraph" w:styleId="CGCQuoteText" w:customStyle="1">
    <w:name w:val="CGC Quote Text"/>
    <w:basedOn w:val="Normal"/>
    <w:next w:val="Normal"/>
    <w:rsid w:val="00A4496C"/>
    <w:pPr>
      <w:spacing w:after="120"/>
      <w:ind w:left="1418" w:right="1134"/>
    </w:pPr>
  </w:style>
  <w:style w:type="paragraph" w:styleId="CGCQuoteBullet" w:customStyle="1">
    <w:name w:val="CGC Quote Bullet"/>
    <w:basedOn w:val="CGCQuoteText"/>
    <w:next w:val="Normal"/>
    <w:rsid w:val="00A4496C"/>
    <w:pPr>
      <w:numPr>
        <w:numId w:val="7"/>
      </w:numPr>
      <w:ind w:right="1418"/>
    </w:pPr>
  </w:style>
  <w:style w:type="paragraph" w:styleId="CGCTablerow" w:customStyle="1">
    <w:name w:val="CGC Table row"/>
    <w:basedOn w:val="Normal"/>
    <w:qFormat/>
    <w:rsid w:val="00A4496C"/>
    <w:pPr>
      <w:spacing w:before="0" w:line="240" w:lineRule="auto"/>
    </w:pPr>
    <w:rPr>
      <w:sz w:val="16"/>
    </w:rPr>
  </w:style>
  <w:style w:type="paragraph" w:styleId="CGC2025Tablenote" w:customStyle="1">
    <w:name w:val="CGC 2025 Table note"/>
    <w:basedOn w:val="CGCTableFootnote"/>
    <w:next w:val="Normal"/>
    <w:qFormat/>
    <w:rsid w:val="00A4496C"/>
    <w:pPr>
      <w:tabs>
        <w:tab w:val="left" w:pos="680"/>
      </w:tabs>
      <w:spacing w:before="40"/>
      <w:ind w:left="340" w:hanging="227"/>
    </w:pPr>
    <w:rPr>
      <w:rFonts w:ascii="Work Sans" w:hAnsi="Work Sans"/>
      <w:sz w:val="14"/>
    </w:rPr>
  </w:style>
  <w:style w:type="character" w:styleId="CGCTableHeadingChar" w:customStyle="1">
    <w:name w:val="CGC Table Heading Char"/>
    <w:basedOn w:val="DefaultParagraphFont"/>
    <w:link w:val="CGCTableHeading"/>
    <w:rsid w:val="00A4496C"/>
    <w:rPr>
      <w:rFonts w:ascii="Montserrat Ultra Light" w:hAnsi="Montserrat Ultra Light"/>
      <w:b/>
      <w:kern w:val="0"/>
      <w:sz w:val="20"/>
      <w:szCs w:val="20"/>
      <w14:ligatures w14:val="none"/>
    </w:rPr>
  </w:style>
  <w:style w:type="paragraph" w:styleId="TOCtitle" w:customStyle="1">
    <w:name w:val="TOC title"/>
    <w:basedOn w:val="Normal"/>
    <w:next w:val="Normal"/>
    <w:rsid w:val="00A4496C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A4496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496C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A4496C"/>
    <w:rPr>
      <w:rFonts w:ascii="Open Sans Light" w:hAnsi="Open Sans Light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49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A4496C"/>
    <w:rPr>
      <w:rFonts w:ascii="Open Sans Light" w:hAnsi="Open Sans Light"/>
      <w:b/>
      <w:bCs/>
      <w:kern w:val="0"/>
      <w:sz w:val="20"/>
      <w:szCs w:val="20"/>
      <w14:ligatures w14:val="none"/>
    </w:rPr>
  </w:style>
  <w:style w:type="paragraph" w:styleId="CGCTablesubhead1" w:customStyle="1">
    <w:name w:val="CGC Table subhead1"/>
    <w:basedOn w:val="Normal"/>
    <w:rsid w:val="00A4496C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A449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496C"/>
    <w:rPr>
      <w:color w:val="2B579A"/>
      <w:shd w:val="clear" w:color="auto" w:fill="E1DFDD"/>
    </w:rPr>
  </w:style>
  <w:style w:type="paragraph" w:styleId="Bulletpoint" w:customStyle="1">
    <w:name w:val="Bullet point"/>
    <w:basedOn w:val="ListParagraph"/>
    <w:link w:val="BulletpointChar"/>
    <w:qFormat/>
    <w:rsid w:val="00A4496C"/>
    <w:pPr>
      <w:spacing w:before="240" w:line="300" w:lineRule="atLeast"/>
      <w:ind w:left="360" w:hanging="360"/>
      <w:contextualSpacing w:val="0"/>
      <w:jc w:val="both"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A4496C"/>
    <w:rPr>
      <w:rFonts w:ascii="Open Sans Light" w:hAnsi="Open Sans Light"/>
      <w:kern w:val="0"/>
      <w:sz w:val="20"/>
      <w14:ligatures w14:val="none"/>
    </w:rPr>
  </w:style>
  <w:style w:type="character" w:styleId="BulletpointChar" w:customStyle="1">
    <w:name w:val="Bullet point Char"/>
    <w:basedOn w:val="ListParagraphChar"/>
    <w:link w:val="Bulletpoint"/>
    <w:rsid w:val="00A4496C"/>
    <w:rPr>
      <w:rFonts w:ascii="Open Sans Light" w:hAnsi="Open Sans Light"/>
      <w:kern w:val="0"/>
      <w:sz w:val="20"/>
      <w14:ligatures w14:val="none"/>
    </w:rPr>
  </w:style>
  <w:style w:type="paragraph" w:styleId="Revision">
    <w:name w:val="Revision"/>
    <w:hidden/>
    <w:uiPriority w:val="99"/>
    <w:semiHidden/>
    <w:rsid w:val="00A4496C"/>
    <w:pPr>
      <w:spacing w:after="0" w:line="240" w:lineRule="auto"/>
    </w:pPr>
    <w:rPr>
      <w:rFonts w:ascii="Open Sans Light" w:hAnsi="Open Sans Light"/>
      <w:kern w:val="0"/>
      <w:sz w:val="20"/>
      <w14:ligatures w14:val="none"/>
    </w:rPr>
  </w:style>
  <w:style w:type="paragraph" w:styleId="CGCBulletlist" w:customStyle="1">
    <w:name w:val="CGC Bullet list"/>
    <w:aliases w:val="CGC List 1"/>
    <w:basedOn w:val="Normal"/>
    <w:link w:val="CGCBulletlistChar"/>
    <w:qFormat/>
    <w:rsid w:val="00A4496C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styleId="CGCNumberedPara" w:customStyle="1">
    <w:name w:val="CGC Numbered Para"/>
    <w:aliases w:val="CGC Para No"/>
    <w:basedOn w:val="Normal"/>
    <w:rsid w:val="00A4496C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styleId="CGCBulletlistChar" w:customStyle="1">
    <w:name w:val="CGC Bullet list Char"/>
    <w:aliases w:val="CGC List 1 Char"/>
    <w:basedOn w:val="DefaultParagraphFont"/>
    <w:link w:val="CGCBulletlist"/>
    <w:locked/>
    <w:rsid w:val="00A4496C"/>
    <w:rPr>
      <w:kern w:val="0"/>
      <w:sz w:val="24"/>
      <w:szCs w:val="20"/>
      <w14:ligatures w14:val="none"/>
    </w:rPr>
  </w:style>
  <w:style w:type="character" w:styleId="cf01" w:customStyle="1">
    <w:name w:val="cf01"/>
    <w:basedOn w:val="DefaultParagraphFont"/>
    <w:rsid w:val="00A4496C"/>
    <w:rPr>
      <w:rFonts w:hint="default"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A4496C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semiHidden/>
    <w:unhideWhenUsed/>
    <w:rsid w:val="00A4496C"/>
    <w:rPr>
      <w:color w:val="954F72" w:themeColor="followedHyperlink"/>
      <w:u w:val="single"/>
    </w:rPr>
  </w:style>
  <w:style w:type="paragraph" w:styleId="CGC2025QuestionNumbers" w:customStyle="1">
    <w:name w:val="CGC 2025 Question Numbers"/>
    <w:basedOn w:val="Normal"/>
    <w:qFormat/>
    <w:rsid w:val="00A4496C"/>
    <w:pPr>
      <w:numPr>
        <w:numId w:val="24"/>
      </w:numPr>
      <w:spacing w:after="120"/>
    </w:pPr>
    <w:rPr>
      <w:rFonts w:ascii="Work Sans" w:hAnsi="Work Sans" w:cs="Open Sans Light"/>
      <w:szCs w:val="20"/>
    </w:rPr>
  </w:style>
  <w:style w:type="numbering" w:styleId="CGCConsultQuestion" w:customStyle="1">
    <w:name w:val="CGC Consult Question"/>
    <w:basedOn w:val="NoList"/>
    <w:uiPriority w:val="99"/>
    <w:rsid w:val="00A4496C"/>
    <w:pPr>
      <w:numPr>
        <w:numId w:val="21"/>
      </w:numPr>
    </w:pPr>
  </w:style>
  <w:style w:type="paragraph" w:styleId="CGC2025ParaNumbers" w:customStyle="1">
    <w:name w:val="CGC 2025 Para Numbers"/>
    <w:basedOn w:val="CGCNumberedPara"/>
    <w:rsid w:val="00A4496C"/>
    <w:pPr>
      <w:tabs>
        <w:tab w:val="num" w:pos="567"/>
      </w:tabs>
    </w:pPr>
    <w:rPr>
      <w:rFonts w:ascii="Work Sans" w:hAnsi="Work Sans"/>
      <w:sz w:val="20"/>
    </w:rPr>
  </w:style>
  <w:style w:type="paragraph" w:styleId="CGC2025Bullet2" w:customStyle="1">
    <w:name w:val="CGC 2025 Bullet 2"/>
    <w:basedOn w:val="CGCBullet2"/>
    <w:rsid w:val="00A4496C"/>
    <w:rPr>
      <w:rFonts w:ascii="Work Sans" w:hAnsi="Work Sans"/>
    </w:rPr>
  </w:style>
  <w:style w:type="paragraph" w:styleId="CGC2025Heading2AttachmentFollower" w:customStyle="1">
    <w:name w:val="CGC 2025 Heading 2 Attachment Follower"/>
    <w:basedOn w:val="Heading2"/>
    <w:rsid w:val="00A4496C"/>
    <w:pPr>
      <w:keepNext w:val="0"/>
      <w:widowControl/>
      <w:tabs>
        <w:tab w:val="clear" w:pos="567"/>
      </w:tabs>
      <w:spacing w:before="360" w:after="200" w:line="276" w:lineRule="auto"/>
    </w:pPr>
    <w:rPr>
      <w:rFonts w:eastAsia="Times New Roman" w:cs="Open Sans"/>
      <w:b w:val="0"/>
      <w:color w:val="006991"/>
      <w:sz w:val="36"/>
      <w:szCs w:val="36"/>
    </w:rPr>
  </w:style>
  <w:style w:type="paragraph" w:styleId="CGC2025Caption" w:customStyle="1">
    <w:name w:val="CGC 2025 Caption"/>
    <w:basedOn w:val="Normal"/>
    <w:qFormat/>
    <w:rsid w:val="00A4496C"/>
    <w:pPr>
      <w:spacing w:before="240" w:after="120" w:line="240" w:lineRule="auto"/>
    </w:pPr>
    <w:rPr>
      <w:rFonts w:ascii="Work Sans" w:hAnsi="Work Sans"/>
      <w:b/>
    </w:rPr>
  </w:style>
  <w:style w:type="paragraph" w:styleId="CGC2025Questionsnumbers2" w:customStyle="1">
    <w:name w:val="CGC 2025 Questions numbers 2"/>
    <w:basedOn w:val="Normal"/>
    <w:next w:val="CGC2025ParaNumbers"/>
    <w:qFormat/>
    <w:rsid w:val="00A4496C"/>
    <w:pPr>
      <w:numPr>
        <w:numId w:val="26"/>
      </w:numPr>
      <w:ind w:left="454" w:hanging="454"/>
    </w:pPr>
    <w:rPr>
      <w:rFonts w:ascii="Work Sans" w:hAnsi="Work Sans" w:cs="Open Sans"/>
      <w:bCs/>
      <w:szCs w:val="56"/>
    </w:rPr>
  </w:style>
  <w:style w:type="paragraph" w:styleId="CGCBodyPara" w:customStyle="1">
    <w:name w:val="CGC Body Para"/>
    <w:basedOn w:val="CGCParaNumber"/>
    <w:qFormat/>
    <w:rsid w:val="00A4496C"/>
    <w:pPr>
      <w:numPr>
        <w:numId w:val="9"/>
      </w:numPr>
      <w:ind w:left="567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s://www.cgc.gov.au/reports-for-government/2020-review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229631F80714C9595CC742C6B48E8" ma:contentTypeVersion="16" ma:contentTypeDescription="Create a new document." ma:contentTypeScope="" ma:versionID="587377675d66a617c05529d80887533c">
  <xsd:schema xmlns:xsd="http://www.w3.org/2001/XMLSchema" xmlns:xs="http://www.w3.org/2001/XMLSchema" xmlns:p="http://schemas.microsoft.com/office/2006/metadata/properties" xmlns:ns2="b947e97b-0e0d-4a37-b7a7-c36958e104ca" xmlns:ns3="cde6150a-2887-4330-9d33-41179dba62e9" targetNamespace="http://schemas.microsoft.com/office/2006/metadata/properties" ma:root="true" ma:fieldsID="6ef3d4c26885e350e4ca4a1c7d57392c" ns2:_="" ns3:_="">
    <xsd:import namespace="b947e97b-0e0d-4a37-b7a7-c36958e104ca"/>
    <xsd:import namespace="cde6150a-2887-4330-9d33-41179dba6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e97b-0e0d-4a37-b7a7-c36958e10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a0b90d-15e3-4b68-b4ed-e1e0d46dd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6150a-2887-4330-9d33-41179dba6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a1c902-3ee1-4304-9c6c-5526e8376569}" ma:internalName="TaxCatchAll" ma:showField="CatchAllData" ma:web="cde6150a-2887-4330-9d33-41179dba6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6150a-2887-4330-9d33-41179dba62e9" xsi:nil="true"/>
    <lcf76f155ced4ddcb4097134ff3c332f xmlns="b947e97b-0e0d-4a37-b7a7-c36958e104ca">
      <Terms xmlns="http://schemas.microsoft.com/office/infopath/2007/PartnerControls"/>
    </lcf76f155ced4ddcb4097134ff3c332f>
    <SharedWithUsers xmlns="cde6150a-2887-4330-9d33-41179dba62e9">
      <UserInfo>
        <DisplayName>Rose Verspaandonk</DisplayName>
        <AccountId>62</AccountId>
        <AccountType/>
      </UserInfo>
      <UserInfo>
        <DisplayName>Therese Maher</DisplayName>
        <AccountId>126</AccountId>
        <AccountType/>
      </UserInfo>
      <UserInfo>
        <DisplayName>Jeffrey Evans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756AA7-E784-445F-8E13-7113C6166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19739-E7D2-4BD0-A47A-015C22096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7e97b-0e0d-4a37-b7a7-c36958e104ca"/>
    <ds:schemaRef ds:uri="cde6150a-2887-4330-9d33-41179dba6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5E947-7483-4B91-9AD9-0DBEDFABD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E57A1-4287-4F6E-954C-425D4FC18DA8}">
  <ds:schemaRefs>
    <ds:schemaRef ds:uri="http://schemas.microsoft.com/office/2006/metadata/properties"/>
    <ds:schemaRef ds:uri="http://schemas.microsoft.com/office/infopath/2007/PartnerControls"/>
    <ds:schemaRef ds:uri="cde6150a-2887-4330-9d33-41179dba62e9"/>
    <ds:schemaRef ds:uri="b947e97b-0e0d-4a37-b7a7-c36958e104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1517</Words>
  <Characters>8288</Characters>
  <Application>Microsoft Office Word</Application>
  <DocSecurity>0</DocSecurity>
  <Lines>414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Links>
    <vt:vector size="78" baseType="variant">
      <vt:variant>
        <vt:i4>786522</vt:i4>
      </vt:variant>
      <vt:variant>
        <vt:i4>102</vt:i4>
      </vt:variant>
      <vt:variant>
        <vt:i4>0</vt:i4>
      </vt:variant>
      <vt:variant>
        <vt:i4>5</vt:i4>
      </vt:variant>
      <vt:variant>
        <vt:lpwstr>https://www.cgc.gov.au/reports-for-government/2020-review</vt:lpwstr>
      </vt:variant>
      <vt:variant>
        <vt:lpwstr/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_Toc146630043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_Toc146630042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_Toc146630041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_Toc146630040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_Toc146630039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_Toc146630038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_Toc146630037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_Toc146630036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_Toc146630035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_Toc146630034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_Toc146630033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_Toc146630032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 Doherty</dc:creator>
  <cp:keywords/>
  <dc:description/>
  <cp:lastModifiedBy>Katrina Baldock</cp:lastModifiedBy>
  <cp:revision>82</cp:revision>
  <cp:lastPrinted>2023-09-18T20:22:00Z</cp:lastPrinted>
  <dcterms:created xsi:type="dcterms:W3CDTF">2023-09-18T21:53:00Z</dcterms:created>
  <dcterms:modified xsi:type="dcterms:W3CDTF">2023-10-05T01:54:00Z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0x010100E60229631F80714C9595CC742C6B48E8</vt:lpwstr>
  </property>
  <property fmtid="{D5CDD505-2E9C-101B-9397-08002B2CF9AE}" pid="3" name="MediaServiceImageTags">
    <vt:lpwstr/>
  </property>
  <property fmtid="{D5CDD505-2E9C-101B-9397-08002B2CF9AE}" pid="4" name="Order">
    <vt:r8>86140600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