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21A8" w14:textId="77777777" w:rsidR="007E060F" w:rsidRPr="0040294B" w:rsidRDefault="007E060F" w:rsidP="007E060F">
      <w:pPr>
        <w:rPr>
          <w:rFonts w:ascii="Work Sans" w:hAnsi="Work Sans"/>
          <w:sz w:val="24"/>
          <w:szCs w:val="24"/>
        </w:rPr>
      </w:pPr>
      <w:bookmarkStart w:id="0" w:name="_Toc113539550"/>
      <w:bookmarkStart w:id="1" w:name="_Toc113542947"/>
      <w:bookmarkStart w:id="2" w:name="_Toc113547726"/>
      <w:bookmarkStart w:id="3" w:name="_Toc117241698"/>
      <w:bookmarkStart w:id="4" w:name="_Toc117509462"/>
      <w:bookmarkStart w:id="5" w:name="_Toc117509493"/>
      <w:bookmarkStart w:id="6" w:name="_Toc117509917"/>
      <w:bookmarkStart w:id="7" w:name="_Toc117777530"/>
      <w:bookmarkStart w:id="8" w:name="_Toc127011907"/>
      <w:bookmarkStart w:id="9" w:name="_Toc127186474"/>
      <w:bookmarkStart w:id="10" w:name="_Toc127187316"/>
      <w:bookmarkStart w:id="11" w:name="_Toc128495858"/>
      <w:r>
        <w:rPr>
          <w:noProof/>
        </w:rPr>
        <w:drawing>
          <wp:anchor distT="0" distB="0" distL="114300" distR="114300" simplePos="0" relativeHeight="251658243" behindDoc="1" locked="0" layoutInCell="1" allowOverlap="1" wp14:anchorId="308ECCFE" wp14:editId="41ABC4C4">
            <wp:simplePos x="0" y="0"/>
            <wp:positionH relativeFrom="margin">
              <wp:posOffset>-1066223</wp:posOffset>
            </wp:positionH>
            <wp:positionV relativeFrom="paragraph">
              <wp:posOffset>-1103688</wp:posOffset>
            </wp:positionV>
            <wp:extent cx="7725600" cy="10922400"/>
            <wp:effectExtent l="0" t="0" r="8890" b="0"/>
            <wp:wrapNone/>
            <wp:docPr id="9" name="Picture 9" descr="A picture containing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fis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5600" cy="109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C15B4F" wp14:editId="53D8D56B">
            <wp:extent cx="2441749" cy="460926"/>
            <wp:effectExtent l="0" t="0" r="4445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749" cy="460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C164E" w14:textId="77777777" w:rsidR="007E060F" w:rsidRPr="00F0686F" w:rsidRDefault="007E060F" w:rsidP="007E060F">
      <w:pPr>
        <w:rPr>
          <w:rFonts w:ascii="Work Sans" w:hAnsi="Work Sans"/>
          <w:sz w:val="24"/>
          <w:szCs w:val="24"/>
        </w:rPr>
      </w:pPr>
    </w:p>
    <w:p w14:paraId="6DE073F1" w14:textId="77777777" w:rsidR="007E060F" w:rsidRPr="00F0686F" w:rsidRDefault="007E060F" w:rsidP="007E060F">
      <w:pPr>
        <w:rPr>
          <w:rFonts w:ascii="Work Sans" w:hAnsi="Work Sans"/>
          <w:sz w:val="24"/>
          <w:szCs w:val="24"/>
        </w:rPr>
      </w:pPr>
    </w:p>
    <w:p w14:paraId="56CCDAF0" w14:textId="77777777" w:rsidR="007E060F" w:rsidRDefault="007E060F" w:rsidP="007E060F">
      <w:pPr>
        <w:pStyle w:val="CGCNumberedPara"/>
        <w:numPr>
          <w:ilvl w:val="0"/>
          <w:numId w:val="0"/>
        </w:numPr>
        <w:ind w:left="567" w:hanging="567"/>
      </w:pPr>
    </w:p>
    <w:p w14:paraId="0BF802BB" w14:textId="77777777" w:rsidR="007E060F" w:rsidRDefault="007E060F" w:rsidP="007E060F">
      <w:pPr>
        <w:tabs>
          <w:tab w:val="clear" w:pos="567"/>
          <w:tab w:val="left" w:pos="2515"/>
        </w:tabs>
        <w:rPr>
          <w:rFonts w:ascii="Work Sans" w:hAnsi="Work Sans"/>
          <w:sz w:val="24"/>
          <w:szCs w:val="24"/>
        </w:rPr>
      </w:pPr>
    </w:p>
    <w:p w14:paraId="448D75BB" w14:textId="77777777" w:rsidR="007E060F" w:rsidRPr="00F2521E" w:rsidRDefault="007E060F" w:rsidP="007E060F">
      <w:pPr>
        <w:rPr>
          <w:rFonts w:ascii="Work Sans" w:hAnsi="Work Sans"/>
          <w:sz w:val="24"/>
          <w:szCs w:val="24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803D0B" wp14:editId="12B29A4D">
                <wp:simplePos x="0" y="0"/>
                <wp:positionH relativeFrom="margin">
                  <wp:posOffset>0</wp:posOffset>
                </wp:positionH>
                <wp:positionV relativeFrom="page">
                  <wp:posOffset>2618513</wp:posOffset>
                </wp:positionV>
                <wp:extent cx="6000750" cy="776975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7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4D04D" w14:textId="77777777" w:rsidR="007E060F" w:rsidRPr="00F656E3" w:rsidRDefault="007E060F" w:rsidP="007E060F">
                            <w:pPr>
                              <w:jc w:val="center"/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656E3"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2025 </w:t>
                            </w:r>
                            <w:r w:rsidRPr="00F656E3">
                              <w:rPr>
                                <w:rFonts w:ascii="Work Sans" w:hAnsi="Work Sans" w:cs="Open Sans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Methodology </w:t>
                            </w:r>
                            <w:r w:rsidRPr="00F656E3">
                              <w:rPr>
                                <w:rFonts w:ascii="Work Sans" w:hAnsi="Work Sans" w:cs="Open Sans"/>
                                <w:b/>
                                <w:color w:val="FFFFFF"/>
                                <w:sz w:val="56"/>
                                <w:szCs w:val="56"/>
                              </w:rPr>
                              <w:t>Review</w:t>
                            </w:r>
                          </w:p>
                          <w:p w14:paraId="03380C3E" w14:textId="77777777" w:rsidR="007E060F" w:rsidRPr="00EB24B1" w:rsidRDefault="007E060F" w:rsidP="007E060F">
                            <w:pPr>
                              <w:jc w:val="center"/>
                              <w:rPr>
                                <w:rFonts w:cs="Open Sans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Open Sans"/>
                                <w:color w:val="FFFFFF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03D0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0;margin-top:206.2pt;width:472.5pt;height:61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" filled="f" stroked="f" strokeweight=".5pt">
                <v:textbox>
                  <w:txbxContent>
                    <w:p w14:paraId="7584D04D" w14:textId="77777777" w:rsidR="007E060F" w:rsidRPr="00F656E3" w:rsidRDefault="007E060F" w:rsidP="007E060F">
                      <w:pPr>
                        <w:jc w:val="center"/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</w:pPr>
                      <w:r w:rsidRPr="00F656E3"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  <w:t xml:space="preserve">2025 </w:t>
                      </w:r>
                      <w:r w:rsidRPr="00F656E3">
                        <w:rPr>
                          <w:rFonts w:ascii="Work Sans" w:hAnsi="Work Sans" w:cs="Open Sans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Methodology </w:t>
                      </w:r>
                      <w:r w:rsidRPr="00F656E3">
                        <w:rPr>
                          <w:rFonts w:ascii="Work Sans" w:hAnsi="Work Sans" w:cs="Open Sans"/>
                          <w:b/>
                          <w:color w:val="FFFFFF"/>
                          <w:sz w:val="56"/>
                          <w:szCs w:val="56"/>
                        </w:rPr>
                        <w:t>Review</w:t>
                      </w:r>
                    </w:p>
                    <w:p w14:paraId="03380C3E" w14:textId="77777777" w:rsidR="007E060F" w:rsidRPr="00EB24B1" w:rsidRDefault="007E060F" w:rsidP="007E060F">
                      <w:pPr>
                        <w:jc w:val="center"/>
                        <w:rPr>
                          <w:rFonts w:cs="Open Sans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cs="Open Sans"/>
                          <w:color w:val="FFFFFF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EA70D0" w14:textId="77777777" w:rsidR="007E060F" w:rsidRPr="00F0686F" w:rsidRDefault="007E060F" w:rsidP="007E060F">
      <w:pPr>
        <w:rPr>
          <w:rFonts w:ascii="Work Sans" w:hAnsi="Work Sans"/>
          <w:sz w:val="24"/>
          <w:szCs w:val="24"/>
        </w:rPr>
      </w:pPr>
    </w:p>
    <w:p w14:paraId="19F681EE" w14:textId="77777777" w:rsidR="007E060F" w:rsidRDefault="007E060F" w:rsidP="007E060F">
      <w:pPr>
        <w:rPr>
          <w:rFonts w:ascii="Work Sans" w:hAnsi="Work Sans"/>
          <w:sz w:val="24"/>
          <w:szCs w:val="24"/>
        </w:rPr>
      </w:pPr>
    </w:p>
    <w:p w14:paraId="20E33AF1" w14:textId="77777777" w:rsidR="007E060F" w:rsidRDefault="007E060F" w:rsidP="007E060F">
      <w:pPr>
        <w:rPr>
          <w:rFonts w:ascii="Work Sans" w:hAnsi="Work Sans"/>
          <w:sz w:val="24"/>
          <w:szCs w:val="24"/>
        </w:rPr>
      </w:pPr>
    </w:p>
    <w:p w14:paraId="4858F1DD" w14:textId="77777777" w:rsidR="007E060F" w:rsidRDefault="007E060F" w:rsidP="007E060F">
      <w:pPr>
        <w:rPr>
          <w:rFonts w:ascii="Work Sans" w:hAnsi="Work Sans"/>
          <w:sz w:val="24"/>
          <w:szCs w:val="24"/>
        </w:rPr>
      </w:pPr>
    </w:p>
    <w:p w14:paraId="17437B9C" w14:textId="77777777" w:rsidR="007E060F" w:rsidRDefault="007E060F" w:rsidP="007E060F">
      <w:pPr>
        <w:rPr>
          <w:rFonts w:ascii="Work Sans" w:hAnsi="Work Sans"/>
          <w:sz w:val="24"/>
          <w:szCs w:val="24"/>
        </w:rPr>
      </w:pPr>
    </w:p>
    <w:p w14:paraId="12E9DEB9" w14:textId="77777777" w:rsidR="007E060F" w:rsidRDefault="007E060F" w:rsidP="007E060F">
      <w:pPr>
        <w:rPr>
          <w:rFonts w:ascii="Work Sans" w:hAnsi="Work Sans"/>
          <w:sz w:val="24"/>
          <w:szCs w:val="24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64480" wp14:editId="7F0EDC1B">
                <wp:simplePos x="0" y="0"/>
                <wp:positionH relativeFrom="margin">
                  <wp:posOffset>0</wp:posOffset>
                </wp:positionH>
                <wp:positionV relativeFrom="page">
                  <wp:posOffset>4203043</wp:posOffset>
                </wp:positionV>
                <wp:extent cx="6000750" cy="19710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97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A5A27" w14:textId="718EFD48" w:rsidR="007E060F" w:rsidRPr="0036633A" w:rsidRDefault="007E060F" w:rsidP="007E060F">
                            <w:pPr>
                              <w:jc w:val="center"/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 xml:space="preserve">National </w:t>
                            </w:r>
                            <w:r w:rsidR="00383B19"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>capital</w:t>
                            </w:r>
                            <w:r w:rsidRPr="00545F2D"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 xml:space="preserve"> consultation</w:t>
                            </w:r>
                            <w:r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 xml:space="preserve"> </w:t>
                            </w:r>
                            <w:r w:rsidRPr="00545F2D">
                              <w:rPr>
                                <w:rFonts w:ascii="Work Sans" w:hAnsi="Work Sans" w:cs="Open Sans"/>
                                <w:color w:val="FFFFFF"/>
                                <w:sz w:val="52"/>
                                <w:szCs w:val="56"/>
                              </w:rPr>
                              <w:t>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64480" id="Text Box 29" o:spid="_x0000_s1027" type="#_x0000_t202" style="position:absolute;margin-left:0;margin-top:330.95pt;width:472.5pt;height:15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" filled="f" stroked="f" strokeweight=".5pt">
                <v:textbox>
                  <w:txbxContent>
                    <w:p w14:paraId="183A5A27" w14:textId="718EFD48" w:rsidR="007E060F" w:rsidRPr="0036633A" w:rsidRDefault="007E060F" w:rsidP="007E060F">
                      <w:pPr>
                        <w:jc w:val="center"/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</w:pPr>
                      <w:r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 xml:space="preserve">National </w:t>
                      </w:r>
                      <w:r w:rsidR="00383B19"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>capital</w:t>
                      </w:r>
                      <w:r w:rsidRPr="00545F2D"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 xml:space="preserve"> consultation</w:t>
                      </w:r>
                      <w:r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 xml:space="preserve"> </w:t>
                      </w:r>
                      <w:r w:rsidRPr="00545F2D">
                        <w:rPr>
                          <w:rFonts w:ascii="Work Sans" w:hAnsi="Work Sans" w:cs="Open Sans"/>
                          <w:color w:val="FFFFFF"/>
                          <w:sz w:val="52"/>
                          <w:szCs w:val="56"/>
                        </w:rPr>
                        <w:t>paper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122AE3" w14:textId="77777777" w:rsidR="007E060F" w:rsidRDefault="007E060F" w:rsidP="007E060F">
      <w:pPr>
        <w:jc w:val="center"/>
        <w:rPr>
          <w:rFonts w:ascii="Work Sans" w:hAnsi="Work Sans"/>
          <w:sz w:val="24"/>
          <w:szCs w:val="24"/>
        </w:rPr>
      </w:pPr>
    </w:p>
    <w:p w14:paraId="21040B7A" w14:textId="77777777" w:rsidR="007E060F" w:rsidRDefault="007E060F" w:rsidP="007E060F">
      <w:pPr>
        <w:rPr>
          <w:rFonts w:ascii="Work Sans" w:hAnsi="Work Sans" w:cs="Open Sans"/>
          <w:color w:val="FFFFFF"/>
          <w:sz w:val="28"/>
          <w:szCs w:val="28"/>
        </w:rPr>
      </w:pPr>
    </w:p>
    <w:p w14:paraId="333905F6" w14:textId="77777777" w:rsidR="007E060F" w:rsidRDefault="007E060F" w:rsidP="007E060F">
      <w:pPr>
        <w:rPr>
          <w:rFonts w:ascii="Work Sans" w:hAnsi="Work Sans" w:cs="Open Sans"/>
          <w:color w:val="FFFFFF"/>
          <w:sz w:val="28"/>
          <w:szCs w:val="28"/>
        </w:rPr>
      </w:pPr>
    </w:p>
    <w:p w14:paraId="2DA68283" w14:textId="77777777" w:rsidR="007E060F" w:rsidRDefault="007E060F" w:rsidP="007E060F">
      <w:pPr>
        <w:rPr>
          <w:rFonts w:ascii="Work Sans" w:hAnsi="Work Sans" w:cs="Open Sans"/>
          <w:color w:val="FFFFFF"/>
          <w:sz w:val="28"/>
          <w:szCs w:val="28"/>
        </w:rPr>
      </w:pPr>
    </w:p>
    <w:p w14:paraId="67E9B4C1" w14:textId="77777777" w:rsidR="007E060F" w:rsidRDefault="007E060F" w:rsidP="007E060F">
      <w:pPr>
        <w:rPr>
          <w:rFonts w:ascii="Work Sans" w:hAnsi="Work Sans" w:cs="Open Sans"/>
          <w:color w:val="FFFFFF"/>
          <w:sz w:val="28"/>
          <w:szCs w:val="28"/>
        </w:rPr>
      </w:pPr>
    </w:p>
    <w:p w14:paraId="0BC82FCD" w14:textId="77777777" w:rsidR="007E060F" w:rsidRDefault="007E060F" w:rsidP="007E060F">
      <w:pPr>
        <w:rPr>
          <w:rFonts w:ascii="Work Sans" w:hAnsi="Work Sans" w:cs="Open Sans"/>
          <w:color w:val="FFFFFF"/>
          <w:sz w:val="28"/>
          <w:szCs w:val="28"/>
        </w:rPr>
      </w:pPr>
    </w:p>
    <w:p w14:paraId="19DE7D3A" w14:textId="77777777" w:rsidR="007E060F" w:rsidRDefault="007E060F" w:rsidP="007E060F">
      <w:pPr>
        <w:rPr>
          <w:rFonts w:ascii="Work Sans" w:hAnsi="Work Sans" w:cs="Open Sans"/>
          <w:color w:val="FFFFFF"/>
          <w:sz w:val="28"/>
          <w:szCs w:val="28"/>
        </w:rPr>
      </w:pPr>
    </w:p>
    <w:p w14:paraId="0776E4ED" w14:textId="77777777" w:rsidR="007E060F" w:rsidRDefault="007E060F" w:rsidP="007E060F">
      <w:pPr>
        <w:jc w:val="center"/>
        <w:rPr>
          <w:rFonts w:ascii="Work Sans" w:hAnsi="Work Sans" w:cs="Open Sans"/>
          <w:color w:val="FFFFFF"/>
          <w:sz w:val="28"/>
          <w:szCs w:val="28"/>
        </w:rPr>
      </w:pPr>
      <w:r w:rsidRPr="00962EF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1EF071" wp14:editId="55FB09F9">
                <wp:simplePos x="0" y="0"/>
                <wp:positionH relativeFrom="margin">
                  <wp:align>center</wp:align>
                </wp:positionH>
                <wp:positionV relativeFrom="page">
                  <wp:posOffset>6528021</wp:posOffset>
                </wp:positionV>
                <wp:extent cx="1704975" cy="4387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1436B" w14:textId="747A1422" w:rsidR="007E060F" w:rsidRPr="00BA4C59" w:rsidRDefault="006E6633" w:rsidP="007E060F">
                            <w:pPr>
                              <w:jc w:val="center"/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>October</w:t>
                            </w:r>
                            <w:r w:rsidR="007E060F" w:rsidRPr="00BA4C59">
                              <w:rPr>
                                <w:rFonts w:ascii="Work Sans" w:hAnsi="Work Sans" w:cs="Open Sans"/>
                                <w:color w:val="FFFFFF"/>
                                <w:sz w:val="28"/>
                                <w:szCs w:val="28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F071" id="Text Box 30" o:spid="_x0000_s1028" type="#_x0000_t202" style="position:absolute;left:0;text-align:left;margin-left:0;margin-top:514pt;width:134.25pt;height:34.5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" filled="f" stroked="f" strokeweight=".5pt">
                <v:textbox>
                  <w:txbxContent>
                    <w:p w14:paraId="11A1436B" w14:textId="747A1422" w:rsidR="007E060F" w:rsidRPr="00BA4C59" w:rsidRDefault="006E6633" w:rsidP="007E060F">
                      <w:pPr>
                        <w:jc w:val="center"/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>October</w:t>
                      </w:r>
                      <w:r w:rsidR="007E060F" w:rsidRPr="00BA4C59">
                        <w:rPr>
                          <w:rFonts w:ascii="Work Sans" w:hAnsi="Work Sans" w:cs="Open Sans"/>
                          <w:color w:val="FFFFFF"/>
                          <w:sz w:val="28"/>
                          <w:szCs w:val="28"/>
                        </w:rPr>
                        <w:t xml:space="preserve"> 2023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7391D2E" w14:textId="77777777" w:rsidR="007E060F" w:rsidRDefault="007E060F" w:rsidP="007E060F">
      <w:pPr>
        <w:rPr>
          <w:rFonts w:ascii="Work Sans" w:hAnsi="Work Sans" w:cs="Open Sans"/>
          <w:color w:val="FFFFFF"/>
          <w:sz w:val="28"/>
          <w:szCs w:val="28"/>
        </w:rPr>
      </w:pPr>
    </w:p>
    <w:p w14:paraId="652159AE" w14:textId="77777777" w:rsidR="007E060F" w:rsidRPr="00704788" w:rsidRDefault="007E060F" w:rsidP="007E060F">
      <w:pPr>
        <w:rPr>
          <w:rFonts w:ascii="Work Sans" w:hAnsi="Work Sans" w:cs="Open Sans"/>
          <w:color w:val="FFFFFF"/>
          <w:sz w:val="28"/>
          <w:szCs w:val="28"/>
        </w:rPr>
      </w:pPr>
    </w:p>
    <w:p w14:paraId="4B7A5EAC" w14:textId="77777777" w:rsidR="007E060F" w:rsidRDefault="007E060F" w:rsidP="007E060F">
      <w:pPr>
        <w:pStyle w:val="Heading1"/>
        <w:jc w:val="center"/>
        <w:sectPr w:rsidR="007E060F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B958EB" w14:textId="77777777" w:rsidR="00E90BD2" w:rsidRPr="002F65BC" w:rsidRDefault="00E90BD2" w:rsidP="002F65BC"/>
    <w:p w14:paraId="0CCB6024" w14:textId="77777777" w:rsidR="00E90BD2" w:rsidRPr="002F65BC" w:rsidRDefault="00E90BD2" w:rsidP="002F65BC"/>
    <w:p w14:paraId="73DB79D9" w14:textId="77777777" w:rsidR="00E90BD2" w:rsidRPr="002F65BC" w:rsidRDefault="00E90BD2" w:rsidP="002F65BC"/>
    <w:p w14:paraId="00619B06" w14:textId="77777777" w:rsidR="00E90BD2" w:rsidRPr="002F65BC" w:rsidRDefault="00E90BD2" w:rsidP="002F65BC"/>
    <w:p w14:paraId="756560A0" w14:textId="77777777" w:rsidR="00E90BD2" w:rsidRPr="002F65BC" w:rsidRDefault="00E90BD2" w:rsidP="002F65BC"/>
    <w:p w14:paraId="152BA795" w14:textId="77777777" w:rsidR="00E90BD2" w:rsidRPr="002F65BC" w:rsidRDefault="00E90BD2" w:rsidP="002F65BC"/>
    <w:p w14:paraId="20752812" w14:textId="77777777" w:rsidR="00E90BD2" w:rsidRPr="002F65BC" w:rsidRDefault="00E90BD2" w:rsidP="002F65BC"/>
    <w:p w14:paraId="1036089D" w14:textId="77777777" w:rsidR="00E90BD2" w:rsidRPr="002F65BC" w:rsidRDefault="00E90BD2" w:rsidP="002F65BC"/>
    <w:p w14:paraId="6E7BEA49" w14:textId="77777777" w:rsidR="00E90BD2" w:rsidRPr="002F65BC" w:rsidRDefault="00E90BD2" w:rsidP="002F65BC"/>
    <w:p w14:paraId="4EC174D2" w14:textId="77777777" w:rsidR="00E90BD2" w:rsidRPr="002F65BC" w:rsidRDefault="00E90BD2" w:rsidP="002F65BC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02C3A538" w14:textId="62D6D722" w:rsidR="002C5ACA" w:rsidRDefault="002C5ACA" w:rsidP="002F65BC"/>
    <w:p w14:paraId="3B1CE067" w14:textId="3023F81E" w:rsidR="002F65BC" w:rsidRDefault="0090006A" w:rsidP="002F65BC">
      <w:r>
        <w:t xml:space="preserve"> </w:t>
      </w:r>
    </w:p>
    <w:p w14:paraId="03CBC8CE" w14:textId="77777777" w:rsidR="002F65BC" w:rsidRDefault="002F65BC" w:rsidP="002F65BC"/>
    <w:p w14:paraId="183255E0" w14:textId="77777777" w:rsidR="002F65BC" w:rsidRDefault="002F65BC" w:rsidP="002F65BC"/>
    <w:p w14:paraId="6C263031" w14:textId="77777777" w:rsidR="002F65BC" w:rsidRDefault="002F65BC" w:rsidP="002F65BC"/>
    <w:p w14:paraId="6179A548" w14:textId="77777777" w:rsidR="002F65BC" w:rsidRDefault="002F65BC" w:rsidP="002F65BC"/>
    <w:p w14:paraId="2EE13D0B" w14:textId="77777777" w:rsidR="002F65BC" w:rsidRPr="002F65BC" w:rsidRDefault="002F65BC" w:rsidP="002F65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6000"/>
      </w:tblGrid>
      <w:tr w:rsidR="00E90BD2" w14:paraId="31F22725" w14:textId="77777777">
        <w:tc>
          <w:tcPr>
            <w:tcW w:w="2972" w:type="dxa"/>
          </w:tcPr>
          <w:p w14:paraId="3AF04979" w14:textId="77777777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Paper issued</w:t>
            </w:r>
          </w:p>
        </w:tc>
        <w:tc>
          <w:tcPr>
            <w:tcW w:w="6044" w:type="dxa"/>
          </w:tcPr>
          <w:p w14:paraId="2F3F7ED9" w14:textId="34EECFA1" w:rsidR="00E90BD2" w:rsidRPr="003119A7" w:rsidRDefault="00286D8F">
            <w:pPr>
              <w:rPr>
                <w:rFonts w:ascii="Work Sans" w:hAnsi="Work Sans"/>
                <w:szCs w:val="20"/>
              </w:rPr>
            </w:pPr>
            <w:r>
              <w:rPr>
                <w:rFonts w:ascii="Work Sans" w:hAnsi="Work Sans"/>
                <w:szCs w:val="20"/>
              </w:rPr>
              <w:t>6 October 2023</w:t>
            </w:r>
          </w:p>
        </w:tc>
      </w:tr>
      <w:tr w:rsidR="00E90BD2" w14:paraId="3328A9A7" w14:textId="77777777">
        <w:tc>
          <w:tcPr>
            <w:tcW w:w="2972" w:type="dxa"/>
          </w:tcPr>
          <w:p w14:paraId="31D487E4" w14:textId="77777777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Commission contact officer</w:t>
            </w:r>
          </w:p>
        </w:tc>
        <w:tc>
          <w:tcPr>
            <w:tcW w:w="6044" w:type="dxa"/>
          </w:tcPr>
          <w:p w14:paraId="416DFA50" w14:textId="4D868099" w:rsidR="00E90BD2" w:rsidRPr="003119A7" w:rsidRDefault="00106604">
            <w:pPr>
              <w:rPr>
                <w:rFonts w:ascii="Work Sans" w:hAnsi="Work Sans"/>
                <w:szCs w:val="20"/>
              </w:rPr>
            </w:pPr>
            <w:r w:rsidRPr="002154BC">
              <w:rPr>
                <w:rFonts w:ascii="Work Sans" w:hAnsi="Work Sans"/>
                <w:szCs w:val="20"/>
              </w:rPr>
              <w:t>Owen Stewart</w:t>
            </w:r>
            <w:r w:rsidR="00E90BD2" w:rsidRPr="002154BC">
              <w:rPr>
                <w:rFonts w:ascii="Work Sans" w:hAnsi="Work Sans"/>
                <w:szCs w:val="20"/>
              </w:rPr>
              <w:t xml:space="preserve">, </w:t>
            </w:r>
            <w:r w:rsidR="002154BC" w:rsidRPr="002154BC">
              <w:rPr>
                <w:rFonts w:ascii="Work Sans" w:hAnsi="Work Sans"/>
                <w:szCs w:val="20"/>
              </w:rPr>
              <w:t>02 6218 5737</w:t>
            </w:r>
            <w:r w:rsidR="00E90BD2" w:rsidRPr="002154BC">
              <w:rPr>
                <w:rFonts w:ascii="Work Sans" w:hAnsi="Work Sans"/>
                <w:szCs w:val="20"/>
              </w:rPr>
              <w:t xml:space="preserve">, </w:t>
            </w:r>
            <w:r w:rsidR="002154BC">
              <w:rPr>
                <w:rFonts w:ascii="Work Sans" w:hAnsi="Work Sans"/>
                <w:szCs w:val="20"/>
              </w:rPr>
              <w:t>Owen.Stewart@cgc.gov.au</w:t>
            </w:r>
            <w:r w:rsidR="00E90BD2" w:rsidRPr="003119A7">
              <w:rPr>
                <w:rFonts w:ascii="Work Sans" w:hAnsi="Work Sans"/>
                <w:szCs w:val="20"/>
              </w:rPr>
              <w:t xml:space="preserve"> </w:t>
            </w:r>
          </w:p>
        </w:tc>
      </w:tr>
      <w:tr w:rsidR="00E90BD2" w14:paraId="5E0A93EC" w14:textId="77777777">
        <w:tc>
          <w:tcPr>
            <w:tcW w:w="2972" w:type="dxa"/>
          </w:tcPr>
          <w:p w14:paraId="3A01364C" w14:textId="77777777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Submissions sought by</w:t>
            </w:r>
          </w:p>
        </w:tc>
        <w:tc>
          <w:tcPr>
            <w:tcW w:w="6044" w:type="dxa"/>
          </w:tcPr>
          <w:p w14:paraId="5B8CD826" w14:textId="36A6722B" w:rsidR="00E90BD2" w:rsidRDefault="00FA3461">
            <w:pPr>
              <w:rPr>
                <w:rFonts w:ascii="Work Sans" w:hAnsi="Work Sans"/>
                <w:szCs w:val="20"/>
              </w:rPr>
            </w:pPr>
            <w:r>
              <w:rPr>
                <w:rFonts w:ascii="Work Sans" w:hAnsi="Work Sans"/>
                <w:szCs w:val="20"/>
              </w:rPr>
              <w:t>1 March 2024</w:t>
            </w:r>
          </w:p>
          <w:p w14:paraId="454D2224" w14:textId="354DAF30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Submissions should be placed in your private state channel in CGC Engagement Teams, with a post notifying </w:t>
            </w:r>
            <w:r w:rsidR="00FE2D49">
              <w:rPr>
                <w:rFonts w:ascii="Work Sans" w:hAnsi="Work Sans"/>
                <w:szCs w:val="20"/>
              </w:rPr>
              <w:t>Katrina B</w:t>
            </w:r>
            <w:r w:rsidR="00F87F07">
              <w:rPr>
                <w:rFonts w:ascii="Work Sans" w:hAnsi="Work Sans"/>
                <w:szCs w:val="20"/>
              </w:rPr>
              <w:t>aldock</w:t>
            </w:r>
            <w:r w:rsidRPr="003119A7">
              <w:rPr>
                <w:rFonts w:ascii="Work Sans" w:hAnsi="Work Sans"/>
                <w:szCs w:val="20"/>
              </w:rPr>
              <w:t>.</w:t>
            </w:r>
          </w:p>
          <w:p w14:paraId="3B238DFA" w14:textId="77777777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Submissions </w:t>
            </w:r>
            <w:r>
              <w:rPr>
                <w:rFonts w:ascii="Work Sans" w:hAnsi="Work Sans"/>
                <w:szCs w:val="20"/>
              </w:rPr>
              <w:t xml:space="preserve">should be in Word format and posted in the relevant state channel of the CGC engagement Team. Submissions </w:t>
            </w:r>
            <w:r w:rsidRPr="003119A7">
              <w:rPr>
                <w:rFonts w:ascii="Work Sans" w:hAnsi="Work Sans"/>
                <w:szCs w:val="20"/>
              </w:rPr>
              <w:t>more than 10 pages in length should include a summary section.</w:t>
            </w:r>
          </w:p>
        </w:tc>
      </w:tr>
      <w:tr w:rsidR="00E90BD2" w14:paraId="67E208CC" w14:textId="77777777">
        <w:tc>
          <w:tcPr>
            <w:tcW w:w="2972" w:type="dxa"/>
          </w:tcPr>
          <w:p w14:paraId="56D9B859" w14:textId="77777777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>Confidential material</w:t>
            </w:r>
          </w:p>
        </w:tc>
        <w:tc>
          <w:tcPr>
            <w:tcW w:w="6044" w:type="dxa"/>
          </w:tcPr>
          <w:p w14:paraId="79821295" w14:textId="77777777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It is the </w:t>
            </w:r>
            <w:r>
              <w:rPr>
                <w:rFonts w:ascii="Work Sans" w:hAnsi="Work Sans"/>
                <w:szCs w:val="20"/>
              </w:rPr>
              <w:t>C</w:t>
            </w:r>
            <w:r w:rsidRPr="003119A7">
              <w:rPr>
                <w:rFonts w:ascii="Work Sans" w:hAnsi="Work Sans"/>
                <w:szCs w:val="20"/>
              </w:rPr>
              <w:t xml:space="preserve">ommission’s normal practice to make state submissions available on its website under the CC BY licence, allowing free use of content by third parties. </w:t>
            </w:r>
          </w:p>
          <w:p w14:paraId="0E0FDFAF" w14:textId="77777777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noProof/>
                <w:szCs w:val="20"/>
                <w:lang w:eastAsia="en-AU"/>
              </w:rPr>
              <w:drawing>
                <wp:inline distT="0" distB="0" distL="0" distR="0" wp14:anchorId="657879EF" wp14:editId="59EAC161">
                  <wp:extent cx="828675" cy="295275"/>
                  <wp:effectExtent l="19050" t="0" r="9525" b="0"/>
                  <wp:docPr id="5" name="Picture 5" descr="Creative Commons - CC BY Attribu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- Attrib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4F24D" w14:textId="77777777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Further information on the CC BY licence can be found on the Creative Commons website (http://creativecommons.org). </w:t>
            </w:r>
          </w:p>
          <w:p w14:paraId="62D03083" w14:textId="77777777" w:rsidR="00E90BD2" w:rsidRPr="003119A7" w:rsidRDefault="00E90BD2">
            <w:pPr>
              <w:rPr>
                <w:rFonts w:ascii="Work Sans" w:hAnsi="Work Sans"/>
                <w:szCs w:val="20"/>
              </w:rPr>
            </w:pPr>
            <w:r w:rsidRPr="003119A7">
              <w:rPr>
                <w:rFonts w:ascii="Work Sans" w:hAnsi="Work Sans"/>
                <w:szCs w:val="20"/>
              </w:rPr>
              <w:t xml:space="preserve">Confidential material contained in submissions must be clearly identified or included in separate attachment/s, and details provided in the covering email. Identified confidential material will not be published on the </w:t>
            </w:r>
            <w:r>
              <w:rPr>
                <w:rFonts w:ascii="Work Sans" w:hAnsi="Work Sans"/>
                <w:szCs w:val="20"/>
              </w:rPr>
              <w:t>C</w:t>
            </w:r>
            <w:r w:rsidRPr="003119A7">
              <w:rPr>
                <w:rFonts w:ascii="Work Sans" w:hAnsi="Work Sans"/>
                <w:szCs w:val="20"/>
              </w:rPr>
              <w:t>ommission’s website.</w:t>
            </w:r>
          </w:p>
        </w:tc>
      </w:tr>
    </w:tbl>
    <w:sdt>
      <w:sdtPr>
        <w:rPr>
          <w:rFonts w:ascii="Open Sans Light" w:eastAsiaTheme="minorHAnsi" w:hAnsi="Open Sans Light" w:cstheme="minorBidi"/>
          <w:b w:val="0"/>
          <w:bCs w:val="0"/>
          <w:caps w:val="0"/>
          <w:color w:val="auto"/>
          <w:sz w:val="20"/>
          <w:szCs w:val="22"/>
        </w:rPr>
        <w:id w:val="-1924560578"/>
        <w:docPartObj>
          <w:docPartGallery w:val="Table of Contents"/>
          <w:docPartUnique/>
        </w:docPartObj>
      </w:sdtPr>
      <w:sdtContent>
        <w:p w14:paraId="4237358C" w14:textId="07042FA9" w:rsidR="00CF70EE" w:rsidRDefault="00CF70EE">
          <w:pPr>
            <w:pStyle w:val="TOCHeading"/>
          </w:pPr>
          <w:r>
            <w:t>Contents</w:t>
          </w:r>
        </w:p>
        <w:p w14:paraId="29E9850E" w14:textId="5DA4C946" w:rsidR="00584DC6" w:rsidRDefault="00CF70EE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414335" w:history="1">
            <w:r w:rsidR="00584DC6" w:rsidRPr="00343103">
              <w:rPr>
                <w:rStyle w:val="Hyperlink"/>
                <w:noProof/>
              </w:rPr>
              <w:t>Overview of category</w:t>
            </w:r>
            <w:r w:rsidR="00584DC6">
              <w:rPr>
                <w:noProof/>
                <w:webHidden/>
              </w:rPr>
              <w:tab/>
            </w:r>
            <w:r w:rsidR="00584DC6">
              <w:rPr>
                <w:noProof/>
                <w:webHidden/>
              </w:rPr>
              <w:fldChar w:fldCharType="begin"/>
            </w:r>
            <w:r w:rsidR="00584DC6">
              <w:rPr>
                <w:noProof/>
                <w:webHidden/>
              </w:rPr>
              <w:instrText xml:space="preserve"> PAGEREF _Toc147414335 \h </w:instrText>
            </w:r>
            <w:r w:rsidR="00584DC6">
              <w:rPr>
                <w:noProof/>
                <w:webHidden/>
              </w:rPr>
            </w:r>
            <w:r w:rsidR="00584DC6">
              <w:rPr>
                <w:noProof/>
                <w:webHidden/>
              </w:rPr>
              <w:fldChar w:fldCharType="separate"/>
            </w:r>
            <w:r w:rsidR="00584DC6">
              <w:rPr>
                <w:noProof/>
                <w:webHidden/>
              </w:rPr>
              <w:t>4</w:t>
            </w:r>
            <w:r w:rsidR="00584DC6">
              <w:rPr>
                <w:noProof/>
                <w:webHidden/>
              </w:rPr>
              <w:fldChar w:fldCharType="end"/>
            </w:r>
          </w:hyperlink>
        </w:p>
        <w:p w14:paraId="7EA23D2E" w14:textId="7A652211" w:rsidR="00584DC6" w:rsidRDefault="00584DC6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36" w:history="1">
            <w:r w:rsidRPr="00343103">
              <w:rPr>
                <w:rStyle w:val="Hyperlink"/>
                <w:noProof/>
              </w:rPr>
              <w:t>Current assessment method – 2020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1F869" w14:textId="068800EE" w:rsidR="00584DC6" w:rsidRDefault="00584DC6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37" w:history="1">
            <w:r w:rsidRPr="00343103">
              <w:rPr>
                <w:rStyle w:val="Hyperlink"/>
                <w:noProof/>
              </w:rPr>
              <w:t>Data used in the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3A0CD" w14:textId="4844626E" w:rsidR="00584DC6" w:rsidRDefault="00584DC6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38" w:history="1">
            <w:r w:rsidRPr="00343103">
              <w:rPr>
                <w:rStyle w:val="Hyperlink"/>
                <w:noProof/>
              </w:rPr>
              <w:t>Category and component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C84FC" w14:textId="71071568" w:rsidR="00584DC6" w:rsidRDefault="00584DC6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39" w:history="1">
            <w:r w:rsidRPr="00343103">
              <w:rPr>
                <w:rStyle w:val="Hyperlink"/>
                <w:noProof/>
              </w:rPr>
              <w:t>GST distribution in the 2023 Update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666FB" w14:textId="3B3C29FF" w:rsidR="00584DC6" w:rsidRDefault="00584DC6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40" w:history="1">
            <w:r w:rsidRPr="00343103">
              <w:rPr>
                <w:rStyle w:val="Hyperlink"/>
                <w:noProof/>
              </w:rPr>
              <w:t>What has changed since the 2020 Review?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95DD6" w14:textId="74DC00EF" w:rsidR="00584DC6" w:rsidRDefault="00584DC6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41" w:history="1">
            <w:r w:rsidRPr="00343103">
              <w:rPr>
                <w:rStyle w:val="Hyperlink"/>
                <w:noProof/>
              </w:rPr>
              <w:t>The expenses recognised by the assessment are decreasing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1AC7D" w14:textId="00C0437A" w:rsidR="00584DC6" w:rsidRDefault="00584DC6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42" w:history="1">
            <w:r w:rsidRPr="00343103">
              <w:rPr>
                <w:rStyle w:val="Hyperlink"/>
                <w:noProof/>
              </w:rPr>
              <w:t>ACT police salaries are now below average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317C4" w14:textId="4B1CFC5F" w:rsidR="00584DC6" w:rsidRDefault="00584DC6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43" w:history="1">
            <w:r w:rsidRPr="00343103">
              <w:rPr>
                <w:rStyle w:val="Hyperlink"/>
                <w:noProof/>
              </w:rPr>
              <w:t>Implications for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3AAAC" w14:textId="02A9A4EE" w:rsidR="00584DC6" w:rsidRDefault="00584DC6">
          <w:pPr>
            <w:pStyle w:val="TOC3"/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44" w:history="1">
            <w:r w:rsidRPr="00343103">
              <w:rPr>
                <w:rStyle w:val="Hyperlink"/>
                <w:noProof/>
                <w:spacing w:val="-4"/>
              </w:rPr>
              <w:t>Should the national capital assessment be discontinued?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7549C" w14:textId="6F38573A" w:rsidR="00584DC6" w:rsidRDefault="00584DC6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45" w:history="1">
            <w:r w:rsidRPr="00343103">
              <w:rPr>
                <w:rStyle w:val="Hyperlink"/>
                <w:noProof/>
              </w:rPr>
              <w:t>Proposed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5D37E" w14:textId="3848096A" w:rsidR="00584DC6" w:rsidRDefault="00584DC6">
          <w:pPr>
            <w:pStyle w:val="TOC2"/>
            <w:rPr>
              <w:rFonts w:asciiTheme="minorHAnsi" w:eastAsiaTheme="minorEastAsia" w:hAnsiTheme="minorHAnsi"/>
              <w:bCs w:val="0"/>
              <w:noProof/>
              <w:color w:val="auto"/>
              <w:kern w:val="2"/>
              <w:sz w:val="22"/>
              <w:szCs w:val="22"/>
              <w:lang w:eastAsia="en-AU"/>
              <w14:ligatures w14:val="standardContextual"/>
            </w:rPr>
          </w:pPr>
          <w:hyperlink w:anchor="_Toc147414346" w:history="1">
            <w:r w:rsidRPr="00343103">
              <w:rPr>
                <w:rStyle w:val="Hyperlink"/>
                <w:noProof/>
              </w:rPr>
              <w:t>Consultation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0E1A0B" w14:textId="369F550D" w:rsidR="00CF70EE" w:rsidRDefault="00CF70EE">
          <w:r>
            <w:rPr>
              <w:b/>
              <w:bCs/>
              <w:noProof/>
            </w:rPr>
            <w:fldChar w:fldCharType="end"/>
          </w:r>
        </w:p>
      </w:sdtContent>
    </w:sdt>
    <w:p w14:paraId="41D29DB2" w14:textId="77777777" w:rsidR="002429B1" w:rsidRDefault="002429B1" w:rsidP="002C5ACA">
      <w:pPr>
        <w:rPr>
          <w:rFonts w:ascii="Work Sans" w:hAnsi="Work Sans"/>
        </w:rPr>
      </w:pPr>
    </w:p>
    <w:p w14:paraId="6C2938A9" w14:textId="77777777" w:rsidR="0068251E" w:rsidRDefault="0068251E">
      <w:pPr>
        <w:tabs>
          <w:tab w:val="clear" w:pos="567"/>
        </w:tabs>
        <w:spacing w:before="0" w:after="200" w:line="276" w:lineRule="auto"/>
        <w:rPr>
          <w:rFonts w:ascii="Work Sans" w:hAnsi="Work Sans"/>
        </w:rPr>
      </w:pPr>
      <w:r>
        <w:rPr>
          <w:rFonts w:ascii="Work Sans" w:hAnsi="Work Sans"/>
        </w:rPr>
        <w:br w:type="page"/>
      </w:r>
    </w:p>
    <w:p w14:paraId="6515EDD6" w14:textId="7A3504F1" w:rsidR="0008185A" w:rsidRDefault="00A548F2" w:rsidP="00904786">
      <w:pPr>
        <w:pStyle w:val="Heading2"/>
      </w:pPr>
      <w:bookmarkStart w:id="12" w:name="_Toc121741482"/>
      <w:bookmarkStart w:id="13" w:name="_Toc147414335"/>
      <w:r>
        <w:lastRenderedPageBreak/>
        <w:t xml:space="preserve">Overview of </w:t>
      </w:r>
      <w:bookmarkEnd w:id="12"/>
      <w:r w:rsidR="00C4514F">
        <w:t>category</w:t>
      </w:r>
      <w:r w:rsidR="000E7205" w:rsidRPr="00B57E3F">
        <w:rPr>
          <w:rStyle w:val="FootnoteReference"/>
          <w:sz w:val="36"/>
          <w:szCs w:val="36"/>
        </w:rPr>
        <w:footnoteReference w:id="2"/>
      </w:r>
      <w:bookmarkEnd w:id="13"/>
    </w:p>
    <w:p w14:paraId="155221BB" w14:textId="636E42C0" w:rsidR="00B57F5C" w:rsidRDefault="007C60AF" w:rsidP="003C2E75">
      <w:pPr>
        <w:pStyle w:val="CGC2025ParaNumbers"/>
      </w:pPr>
      <w:bookmarkStart w:id="14" w:name="_Toc116563445"/>
      <w:bookmarkStart w:id="15" w:name="_Toc117241705"/>
      <w:r>
        <w:t>The</w:t>
      </w:r>
      <w:r w:rsidR="0053472C">
        <w:t xml:space="preserve"> </w:t>
      </w:r>
      <w:r w:rsidR="006462F2">
        <w:t>n</w:t>
      </w:r>
      <w:r w:rsidR="00E231BB" w:rsidRPr="00E231BB">
        <w:t xml:space="preserve">ational capital </w:t>
      </w:r>
      <w:r w:rsidR="0053472C">
        <w:t xml:space="preserve">assessment </w:t>
      </w:r>
      <w:r w:rsidR="00C5303F">
        <w:t xml:space="preserve">covers </w:t>
      </w:r>
      <w:r w:rsidR="00E231BB" w:rsidRPr="00E231BB">
        <w:t>the unavoidable extra costs incurred by the ACT because of Canberra’s status as the national capital or because of legacies inherited from the Commonwealth at self-government.</w:t>
      </w:r>
    </w:p>
    <w:p w14:paraId="0AE4C77F" w14:textId="76B0DD16" w:rsidR="00A548F2" w:rsidRPr="00904786" w:rsidRDefault="00A548F2" w:rsidP="00904786">
      <w:pPr>
        <w:pStyle w:val="Heading2"/>
      </w:pPr>
      <w:bookmarkStart w:id="16" w:name="_Toc121741483"/>
      <w:bookmarkStart w:id="17" w:name="_Toc147414336"/>
      <w:bookmarkEnd w:id="14"/>
      <w:bookmarkEnd w:id="15"/>
      <w:r w:rsidRPr="00904786">
        <w:t>Current assessment method</w:t>
      </w:r>
      <w:bookmarkEnd w:id="16"/>
      <w:r w:rsidR="00904786" w:rsidRPr="00904786">
        <w:t xml:space="preserve"> –</w:t>
      </w:r>
      <w:r w:rsidR="00653EAB">
        <w:t xml:space="preserve"> </w:t>
      </w:r>
      <w:r w:rsidR="00904786" w:rsidRPr="00904786">
        <w:t>2020</w:t>
      </w:r>
      <w:r w:rsidR="00653EAB">
        <w:t xml:space="preserve"> Review</w:t>
      </w:r>
      <w:bookmarkEnd w:id="17"/>
    </w:p>
    <w:p w14:paraId="7F810435" w14:textId="1263F192" w:rsidR="00CE48B8" w:rsidRDefault="00CE48B8" w:rsidP="00CE48B8">
      <w:pPr>
        <w:pStyle w:val="CGC2025ParaNumbers"/>
      </w:pPr>
      <w:r w:rsidRPr="007D2501">
        <w:t>Th</w:t>
      </w:r>
      <w:r>
        <w:t xml:space="preserve">e </w:t>
      </w:r>
      <w:r w:rsidR="00F84E8D">
        <w:t>n</w:t>
      </w:r>
      <w:r>
        <w:t>ational capital allowances are assessed as part of the other expenses and justice categories. The 2 allowances are:</w:t>
      </w:r>
    </w:p>
    <w:p w14:paraId="138B5BCB" w14:textId="77777777" w:rsidR="00CE48B8" w:rsidRDefault="00CE48B8" w:rsidP="00CE48B8">
      <w:pPr>
        <w:pStyle w:val="CGC2025Bullet1"/>
      </w:pPr>
      <w:r>
        <w:t>planning</w:t>
      </w:r>
    </w:p>
    <w:p w14:paraId="644D3C02" w14:textId="77777777" w:rsidR="00CE48B8" w:rsidRDefault="00CE48B8" w:rsidP="00CE48B8">
      <w:pPr>
        <w:pStyle w:val="CGC2025Bullet1"/>
      </w:pPr>
      <w:r>
        <w:t>police.</w:t>
      </w:r>
    </w:p>
    <w:p w14:paraId="0203FA96" w14:textId="0497DD9C" w:rsidR="00CE48B8" w:rsidRDefault="00CE48B8" w:rsidP="00CE48B8">
      <w:pPr>
        <w:pStyle w:val="CGC2025ParaNumbers"/>
      </w:pPr>
      <w:r>
        <w:fldChar w:fldCharType="begin"/>
      </w:r>
      <w:r>
        <w:instrText xml:space="preserve"> REF _Ref113548858 \h  \* MERGEFORMAT </w:instrText>
      </w:r>
      <w:r>
        <w:fldChar w:fldCharType="separate"/>
      </w:r>
      <w:r w:rsidR="00584DC6" w:rsidRPr="0081219B">
        <w:t xml:space="preserve">Table </w:t>
      </w:r>
      <w:r w:rsidR="00584DC6">
        <w:t>1</w:t>
      </w:r>
      <w:r>
        <w:fldChar w:fldCharType="end"/>
      </w:r>
      <w:r>
        <w:t xml:space="preserve"> shows the structure of the national capital</w:t>
      </w:r>
      <w:r w:rsidRPr="0081219B">
        <w:t xml:space="preserve"> assessment.</w:t>
      </w:r>
    </w:p>
    <w:p w14:paraId="6DB10882" w14:textId="04B4C56F" w:rsidR="00CE48B8" w:rsidRPr="0081219B" w:rsidRDefault="00CE48B8" w:rsidP="00330826">
      <w:pPr>
        <w:pStyle w:val="CGC2025Caption"/>
        <w:keepNext/>
        <w:tabs>
          <w:tab w:val="left" w:pos="1134"/>
        </w:tabs>
        <w:rPr>
          <w:noProof/>
        </w:rPr>
      </w:pPr>
      <w:bookmarkStart w:id="18" w:name="_Ref113548858"/>
      <w:r w:rsidRPr="0081219B"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84DC6">
        <w:rPr>
          <w:noProof/>
        </w:rPr>
        <w:t>1</w:t>
      </w:r>
      <w:r>
        <w:fldChar w:fldCharType="end"/>
      </w:r>
      <w:bookmarkEnd w:id="18"/>
      <w:r>
        <w:tab/>
      </w:r>
      <w:r w:rsidRPr="0004618C">
        <w:t>Structure</w:t>
      </w:r>
      <w:r>
        <w:t xml:space="preserve"> </w:t>
      </w:r>
      <w:r w:rsidRPr="0081219B">
        <w:rPr>
          <w:noProof/>
        </w:rPr>
        <w:t xml:space="preserve">of the </w:t>
      </w:r>
      <w:r>
        <w:rPr>
          <w:noProof/>
        </w:rPr>
        <w:t>national capital</w:t>
      </w:r>
      <w:r w:rsidRPr="0081219B">
        <w:rPr>
          <w:noProof/>
        </w:rPr>
        <w:t xml:space="preserve"> assessment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600"/>
        <w:gridCol w:w="7360"/>
      </w:tblGrid>
      <w:tr w:rsidR="00CE48B8" w:rsidRPr="006B3821" w14:paraId="57750ABA" w14:textId="77777777" w:rsidTr="00E44E3E">
        <w:trPr>
          <w:trHeight w:val="374"/>
        </w:trPr>
        <w:tc>
          <w:tcPr>
            <w:tcW w:w="16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3BA05006" w14:textId="77777777" w:rsidR="00CE48B8" w:rsidRPr="006B3821" w:rsidRDefault="00CE48B8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B382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Driver</w:t>
            </w:r>
          </w:p>
        </w:tc>
        <w:tc>
          <w:tcPr>
            <w:tcW w:w="73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102ADD36" w14:textId="77777777" w:rsidR="00CE48B8" w:rsidRPr="006B3821" w:rsidRDefault="00CE48B8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B3821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Influence measured by driver</w:t>
            </w:r>
          </w:p>
        </w:tc>
      </w:tr>
      <w:tr w:rsidR="00CE48B8" w:rsidRPr="006B3821" w14:paraId="16AE36BA" w14:textId="77777777" w:rsidTr="00E44E3E">
        <w:trPr>
          <w:trHeight w:val="709"/>
        </w:trPr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40295E8E" w14:textId="77777777" w:rsidR="00CE48B8" w:rsidRPr="006B3821" w:rsidRDefault="00CE48B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B3821">
              <w:rPr>
                <w:rFonts w:eastAsia="Times New Roman" w:cs="Open Sans Light"/>
                <w:sz w:val="16"/>
                <w:szCs w:val="16"/>
                <w:lang w:eastAsia="en-AU"/>
              </w:rPr>
              <w:t>Planning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0E1D5763" w14:textId="77777777" w:rsidR="00CE48B8" w:rsidRPr="006B3821" w:rsidRDefault="00CE48B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B3821">
              <w:rPr>
                <w:rFonts w:eastAsia="Times New Roman" w:cs="Open Sans Light"/>
                <w:sz w:val="16"/>
                <w:szCs w:val="16"/>
                <w:lang w:eastAsia="en-AU"/>
              </w:rPr>
              <w:t>Recognises the additional costs due to the impact of the National Capital Plan on planning and development activities, the administrative costs of capital works and maintenance of the leasehold system.</w:t>
            </w:r>
          </w:p>
        </w:tc>
      </w:tr>
      <w:tr w:rsidR="00CE48B8" w:rsidRPr="006B3821" w14:paraId="4DEBAB48" w14:textId="77777777" w:rsidTr="00E44E3E">
        <w:trPr>
          <w:trHeight w:val="556"/>
        </w:trPr>
        <w:tc>
          <w:tcPr>
            <w:tcW w:w="16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3476352B" w14:textId="77777777" w:rsidR="00CE48B8" w:rsidRPr="006B3821" w:rsidRDefault="00CE48B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B3821">
              <w:rPr>
                <w:rFonts w:eastAsia="Times New Roman" w:cs="Open Sans Light"/>
                <w:sz w:val="16"/>
                <w:szCs w:val="16"/>
                <w:lang w:eastAsia="en-AU"/>
              </w:rPr>
              <w:t>Police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center"/>
            <w:hideMark/>
          </w:tcPr>
          <w:p w14:paraId="35E283EB" w14:textId="77777777" w:rsidR="00CE48B8" w:rsidRPr="006B3821" w:rsidRDefault="00CE48B8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6B3821">
              <w:rPr>
                <w:rFonts w:eastAsia="Times New Roman" w:cs="Open Sans Light"/>
                <w:sz w:val="16"/>
                <w:szCs w:val="16"/>
                <w:lang w:eastAsia="en-AU"/>
              </w:rPr>
              <w:t>Recognises the additional costs to the ACT from using the Australian Federal Police to provide police services.</w:t>
            </w:r>
          </w:p>
        </w:tc>
      </w:tr>
    </w:tbl>
    <w:p w14:paraId="09EB5197" w14:textId="7FB21CAA" w:rsidR="005C0F86" w:rsidRDefault="005C0F86" w:rsidP="009B7107">
      <w:pPr>
        <w:pStyle w:val="CGC2025TableNote"/>
      </w:pPr>
      <w:r>
        <w:t>Source:</w:t>
      </w:r>
      <w:r>
        <w:tab/>
      </w:r>
      <w:r w:rsidR="00C60588">
        <w:t xml:space="preserve">Commonwealth Grants Commission, </w:t>
      </w:r>
      <w:r w:rsidR="00F506FC" w:rsidRPr="00A7389C">
        <w:rPr>
          <w:i/>
          <w:iCs/>
        </w:rPr>
        <w:t xml:space="preserve">Report on GST Revenue Sharing Relativities, </w:t>
      </w:r>
      <w:r w:rsidR="006A64D7" w:rsidRPr="00A7389C">
        <w:rPr>
          <w:i/>
          <w:iCs/>
        </w:rPr>
        <w:t>2020 Review</w:t>
      </w:r>
      <w:r w:rsidR="001E78C2">
        <w:t>.</w:t>
      </w:r>
    </w:p>
    <w:p w14:paraId="76699B54" w14:textId="530B7C53" w:rsidR="00473C27" w:rsidRDefault="003F5C2D" w:rsidP="005C4C5C">
      <w:pPr>
        <w:pStyle w:val="CGC2025ParaNumbers"/>
      </w:pPr>
      <w:r>
        <w:t>To calculate the</w:t>
      </w:r>
      <w:r w:rsidR="00DB3C4D">
        <w:t xml:space="preserve"> ACT’s</w:t>
      </w:r>
      <w:r w:rsidR="001F18BF">
        <w:t xml:space="preserve"> </w:t>
      </w:r>
      <w:r w:rsidR="00161995">
        <w:t>additional</w:t>
      </w:r>
      <w:r>
        <w:t xml:space="preserve"> costs </w:t>
      </w:r>
      <w:r w:rsidR="00D61320">
        <w:t>that</w:t>
      </w:r>
      <w:r w:rsidR="00AE6B91">
        <w:t xml:space="preserve"> are the</w:t>
      </w:r>
      <w:r w:rsidR="00D61320">
        <w:t xml:space="preserve"> result </w:t>
      </w:r>
      <w:r w:rsidR="00AE6B91">
        <w:t>of</w:t>
      </w:r>
      <w:r w:rsidR="00D61320">
        <w:t xml:space="preserve"> the</w:t>
      </w:r>
      <w:r w:rsidR="00637B5D">
        <w:t xml:space="preserve"> National Capital </w:t>
      </w:r>
      <w:r w:rsidR="00241598">
        <w:t>P</w:t>
      </w:r>
      <w:r w:rsidR="00637B5D">
        <w:t>lan</w:t>
      </w:r>
      <w:r w:rsidR="00241598">
        <w:t xml:space="preserve"> </w:t>
      </w:r>
      <w:r w:rsidR="007D0690">
        <w:t xml:space="preserve">and leasehold </w:t>
      </w:r>
      <w:r w:rsidR="00DB3C4D">
        <w:t>system</w:t>
      </w:r>
      <w:r w:rsidR="007D0690">
        <w:t xml:space="preserve">, the Commission </w:t>
      </w:r>
      <w:r w:rsidR="00E8726C">
        <w:t>multiplies</w:t>
      </w:r>
      <w:r w:rsidR="00241598">
        <w:t xml:space="preserve"> </w:t>
      </w:r>
      <w:r w:rsidR="00EA587F">
        <w:t xml:space="preserve">the </w:t>
      </w:r>
      <w:r w:rsidR="0010699D">
        <w:t xml:space="preserve">data </w:t>
      </w:r>
      <w:r w:rsidR="00814676">
        <w:t>submitted</w:t>
      </w:r>
      <w:r w:rsidR="0010699D">
        <w:t xml:space="preserve"> in 2017–</w:t>
      </w:r>
      <w:r w:rsidR="00737D6C">
        <w:rPr>
          <w:rFonts w:ascii="Times New Roman" w:hAnsi="Times New Roman" w:cs="Times New Roman" w:hint="eastAsia"/>
          <w:rtl/>
        </w:rPr>
        <w:t>‍</w:t>
      </w:r>
      <w:r w:rsidR="0010699D">
        <w:t>18 (</w:t>
      </w:r>
      <w:r w:rsidR="002008E1">
        <w:fldChar w:fldCharType="begin"/>
      </w:r>
      <w:r w:rsidR="002008E1">
        <w:instrText xml:space="preserve"> REF _Ref126681687 \h </w:instrText>
      </w:r>
      <w:r w:rsidR="00B73A85">
        <w:instrText xml:space="preserve"> \* MERGEFORMAT </w:instrText>
      </w:r>
      <w:r w:rsidR="002008E1">
        <w:fldChar w:fldCharType="separate"/>
      </w:r>
      <w:r w:rsidR="00584DC6">
        <w:t xml:space="preserve">Table </w:t>
      </w:r>
      <w:r w:rsidR="00584DC6">
        <w:rPr>
          <w:noProof/>
        </w:rPr>
        <w:t>2</w:t>
      </w:r>
      <w:r w:rsidR="002008E1">
        <w:fldChar w:fldCharType="end"/>
      </w:r>
      <w:r w:rsidR="0010699D">
        <w:t xml:space="preserve">) by </w:t>
      </w:r>
      <w:bookmarkStart w:id="19" w:name="_Hlk128480432"/>
      <w:r w:rsidR="0010699D">
        <w:t xml:space="preserve">the </w:t>
      </w:r>
      <w:r w:rsidR="00397BAF">
        <w:t>State and Local Government</w:t>
      </w:r>
      <w:r w:rsidR="00F641EC">
        <w:t xml:space="preserve"> </w:t>
      </w:r>
      <w:r w:rsidR="00E15CA3">
        <w:t xml:space="preserve">Final Consumption </w:t>
      </w:r>
      <w:r w:rsidR="008E6420">
        <w:t xml:space="preserve">Expenditure </w:t>
      </w:r>
      <w:r w:rsidR="00E15CA3">
        <w:t>chain price</w:t>
      </w:r>
      <w:r w:rsidR="009C5E2A">
        <w:t xml:space="preserve"> </w:t>
      </w:r>
      <w:r w:rsidR="00E15CA3">
        <w:t>index</w:t>
      </w:r>
      <w:bookmarkEnd w:id="19"/>
      <w:r w:rsidR="00473C27">
        <w:t>.</w:t>
      </w:r>
    </w:p>
    <w:p w14:paraId="46D3BF45" w14:textId="3F8C98AC" w:rsidR="00056E7C" w:rsidRDefault="00056E7C" w:rsidP="00330826">
      <w:pPr>
        <w:pStyle w:val="CGC2025Caption"/>
        <w:tabs>
          <w:tab w:val="left" w:pos="1134"/>
        </w:tabs>
      </w:pPr>
      <w:bookmarkStart w:id="20" w:name="_Ref126681687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84DC6">
        <w:rPr>
          <w:noProof/>
        </w:rPr>
        <w:t>2</w:t>
      </w:r>
      <w:r>
        <w:fldChar w:fldCharType="end"/>
      </w:r>
      <w:bookmarkEnd w:id="20"/>
      <w:r>
        <w:tab/>
      </w:r>
      <w:r w:rsidR="00814676">
        <w:t>Submitted p</w:t>
      </w:r>
      <w:r w:rsidR="00986891">
        <w:t>lanning costs</w:t>
      </w:r>
      <w:r w:rsidR="002D21D6">
        <w:t xml:space="preserve">, 2020 </w:t>
      </w:r>
      <w:proofErr w:type="gramStart"/>
      <w:r w:rsidR="002D21D6">
        <w:t>Review</w:t>
      </w:r>
      <w:proofErr w:type="gramEnd"/>
    </w:p>
    <w:tbl>
      <w:tblPr>
        <w:tblW w:w="9080" w:type="dxa"/>
        <w:tblLook w:val="04A0" w:firstRow="1" w:lastRow="0" w:firstColumn="1" w:lastColumn="0" w:noHBand="0" w:noVBand="1"/>
      </w:tblPr>
      <w:tblGrid>
        <w:gridCol w:w="8080"/>
        <w:gridCol w:w="1000"/>
      </w:tblGrid>
      <w:tr w:rsidR="001162ED" w:rsidRPr="001162ED" w14:paraId="423B6972" w14:textId="77777777" w:rsidTr="00D85763">
        <w:trPr>
          <w:trHeight w:val="374"/>
        </w:trPr>
        <w:tc>
          <w:tcPr>
            <w:tcW w:w="80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vAlign w:val="center"/>
            <w:hideMark/>
          </w:tcPr>
          <w:p w14:paraId="6C818605" w14:textId="77777777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bookmarkStart w:id="21" w:name="RANGE!A6"/>
            <w:bookmarkStart w:id="22" w:name="RANGE!A6:B11"/>
            <w:bookmarkEnd w:id="21"/>
            <w:r w:rsidRPr="001162E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  <w:bookmarkEnd w:id="22"/>
          </w:p>
        </w:tc>
        <w:tc>
          <w:tcPr>
            <w:tcW w:w="10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3FFF5A63" w14:textId="77777777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1162E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2017-18</w:t>
            </w:r>
          </w:p>
        </w:tc>
      </w:tr>
      <w:tr w:rsidR="001162ED" w:rsidRPr="001162ED" w14:paraId="1AF10962" w14:textId="77777777" w:rsidTr="00BF1668">
        <w:trPr>
          <w:trHeight w:val="261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B6D5E4"/>
            <w:vAlign w:val="bottom"/>
            <w:hideMark/>
          </w:tcPr>
          <w:p w14:paraId="7C492050" w14:textId="77777777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62E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B6D5E4"/>
            <w:noWrap/>
            <w:vAlign w:val="bottom"/>
            <w:hideMark/>
          </w:tcPr>
          <w:p w14:paraId="1C699E77" w14:textId="77777777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1162ED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1162ED" w:rsidRPr="001162ED" w14:paraId="78319F0E" w14:textId="77777777" w:rsidTr="001445B5">
        <w:trPr>
          <w:trHeight w:val="318"/>
        </w:trPr>
        <w:tc>
          <w:tcPr>
            <w:tcW w:w="80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D82D4" w14:textId="66A7934D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62E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Additional costs imposed by the </w:t>
            </w:r>
            <w:r w:rsidR="00FF2E5D" w:rsidRPr="00FF2E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National Capital Plan</w:t>
            </w:r>
            <w:r w:rsidR="00FF2E5D" w:rsidRPr="00FF2E5D" w:rsidDel="00FF2E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1162E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in relation to planning and development activities</w:t>
            </w:r>
          </w:p>
        </w:tc>
        <w:tc>
          <w:tcPr>
            <w:tcW w:w="10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0E944" w14:textId="77777777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62E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1.8</w:t>
            </w:r>
          </w:p>
        </w:tc>
      </w:tr>
      <w:tr w:rsidR="001162ED" w:rsidRPr="001162ED" w14:paraId="5E4C1472" w14:textId="77777777" w:rsidTr="001445B5">
        <w:trPr>
          <w:trHeight w:val="318"/>
        </w:trPr>
        <w:tc>
          <w:tcPr>
            <w:tcW w:w="80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FD59F" w14:textId="2AC0965D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62E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Additional costs imposed by the </w:t>
            </w:r>
            <w:r w:rsidR="00FF2E5D" w:rsidRPr="00FF2E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National Capital Plan</w:t>
            </w:r>
            <w:r w:rsidR="00FF2E5D" w:rsidRPr="00FF2E5D" w:rsidDel="00FF2E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1162E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in relation to capital works program administration</w:t>
            </w:r>
          </w:p>
        </w:tc>
        <w:tc>
          <w:tcPr>
            <w:tcW w:w="100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30037" w14:textId="77777777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62E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2.2</w:t>
            </w:r>
          </w:p>
        </w:tc>
      </w:tr>
      <w:tr w:rsidR="001162ED" w:rsidRPr="001162ED" w14:paraId="05F1A995" w14:textId="77777777" w:rsidTr="001445B5">
        <w:trPr>
          <w:trHeight w:val="315"/>
        </w:trPr>
        <w:tc>
          <w:tcPr>
            <w:tcW w:w="80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B94AC8" w14:textId="77777777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62E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Additional costs incurred by the ACT in operating a leasehold system</w:t>
            </w:r>
          </w:p>
        </w:tc>
        <w:tc>
          <w:tcPr>
            <w:tcW w:w="10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A76ADAE" w14:textId="77777777" w:rsidR="001162ED" w:rsidRPr="001162ED" w:rsidRDefault="001162ED" w:rsidP="001162ED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1162E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2.5</w:t>
            </w:r>
          </w:p>
        </w:tc>
      </w:tr>
    </w:tbl>
    <w:p w14:paraId="05C60E55" w14:textId="5FA8DF1D" w:rsidR="00A548F2" w:rsidRPr="00F27171" w:rsidRDefault="001162ED" w:rsidP="009B7107">
      <w:pPr>
        <w:pStyle w:val="CGC2025TableNote"/>
      </w:pPr>
      <w:r w:rsidRPr="00F27171">
        <w:t>Source:</w:t>
      </w:r>
      <w:r w:rsidRPr="00F27171">
        <w:tab/>
      </w:r>
      <w:r w:rsidR="00056E7C" w:rsidRPr="00F27171">
        <w:t>Commission calculation and ACT Rejoinder submission</w:t>
      </w:r>
      <w:r w:rsidR="000C71D7" w:rsidRPr="00F27171">
        <w:t>, 2020 Review</w:t>
      </w:r>
      <w:r w:rsidR="00056E7C" w:rsidRPr="00F27171">
        <w:t>.</w:t>
      </w:r>
      <w:r w:rsidR="00397BAF" w:rsidRPr="00F27171">
        <w:t xml:space="preserve"> </w:t>
      </w:r>
    </w:p>
    <w:p w14:paraId="1777BB1B" w14:textId="72FE9518" w:rsidR="00BD253E" w:rsidRDefault="002045B3" w:rsidP="00B013AB">
      <w:pPr>
        <w:pStyle w:val="CGC2025ParaNumbers"/>
      </w:pPr>
      <w:r>
        <w:t xml:space="preserve">The Commission </w:t>
      </w:r>
      <w:r w:rsidR="00BB53D8">
        <w:t xml:space="preserve">also recognises that the ACT Government </w:t>
      </w:r>
      <w:r w:rsidR="0072277A">
        <w:t>is</w:t>
      </w:r>
      <w:r w:rsidR="0035196F">
        <w:t xml:space="preserve"> required</w:t>
      </w:r>
      <w:r w:rsidR="00855EBA">
        <w:t xml:space="preserve"> </w:t>
      </w:r>
      <w:r w:rsidR="003A3E3F">
        <w:t xml:space="preserve">to </w:t>
      </w:r>
      <w:r w:rsidR="00906DF0">
        <w:t>use the Australian Federal Police for its policing service</w:t>
      </w:r>
      <w:r w:rsidR="00696B50">
        <w:t>s</w:t>
      </w:r>
      <w:r w:rsidR="00906DF0">
        <w:t>.</w:t>
      </w:r>
      <w:r w:rsidR="001907BA">
        <w:rPr>
          <w:rStyle w:val="FootnoteReference"/>
        </w:rPr>
        <w:footnoteReference w:id="3"/>
      </w:r>
      <w:r w:rsidR="006877E1">
        <w:t xml:space="preserve"> </w:t>
      </w:r>
      <w:r w:rsidR="00D2617C">
        <w:t xml:space="preserve">At the time of the 2020 Review </w:t>
      </w:r>
      <w:r w:rsidR="00294917">
        <w:t>t</w:t>
      </w:r>
      <w:r w:rsidR="006877E1">
        <w:t xml:space="preserve">his </w:t>
      </w:r>
      <w:r w:rsidR="000C5578">
        <w:t>re</w:t>
      </w:r>
      <w:r w:rsidR="008770B6">
        <w:t>sulted in</w:t>
      </w:r>
      <w:r w:rsidR="006877E1">
        <w:t xml:space="preserve"> </w:t>
      </w:r>
      <w:r w:rsidR="005D1FC1">
        <w:t>additional costs</w:t>
      </w:r>
      <w:r w:rsidR="003276B4">
        <w:t xml:space="preserve"> </w:t>
      </w:r>
      <w:r w:rsidR="00722576">
        <w:t>for</w:t>
      </w:r>
      <w:r w:rsidR="003276B4">
        <w:t xml:space="preserve"> the ACT</w:t>
      </w:r>
      <w:r w:rsidR="008770B6">
        <w:t xml:space="preserve"> because the A</w:t>
      </w:r>
      <w:r w:rsidR="00AD3E01">
        <w:t xml:space="preserve">ustralian </w:t>
      </w:r>
      <w:r w:rsidR="008770B6">
        <w:t>F</w:t>
      </w:r>
      <w:r w:rsidR="00AD3E01">
        <w:t xml:space="preserve">ederal </w:t>
      </w:r>
      <w:r w:rsidR="00491769">
        <w:t>P</w:t>
      </w:r>
      <w:r w:rsidR="00EB7061">
        <w:t>olice</w:t>
      </w:r>
      <w:r w:rsidR="004F6A51">
        <w:t xml:space="preserve"> </w:t>
      </w:r>
      <w:r w:rsidR="00CE0C1A">
        <w:t>paid</w:t>
      </w:r>
      <w:r w:rsidR="004F6A51">
        <w:t xml:space="preserve"> above-average </w:t>
      </w:r>
      <w:r w:rsidR="00A57A1B">
        <w:t>salaries to its employees.</w:t>
      </w:r>
    </w:p>
    <w:p w14:paraId="60081DDD" w14:textId="1BD4FFF0" w:rsidR="00B537E8" w:rsidRDefault="00895F0D" w:rsidP="00FF1872">
      <w:pPr>
        <w:pStyle w:val="CGC2025ParaNumbers"/>
        <w:keepNext/>
      </w:pPr>
      <w:r>
        <w:lastRenderedPageBreak/>
        <w:t>The Commission</w:t>
      </w:r>
      <w:r w:rsidR="006E2B3D">
        <w:t xml:space="preserve"> </w:t>
      </w:r>
      <w:r w:rsidR="0084022C">
        <w:t>determines the additional</w:t>
      </w:r>
      <w:r w:rsidR="00737555">
        <w:t xml:space="preserve"> policing</w:t>
      </w:r>
      <w:r w:rsidR="0084022C">
        <w:t xml:space="preserve"> cost</w:t>
      </w:r>
      <w:r w:rsidR="00256B2B">
        <w:t>s</w:t>
      </w:r>
      <w:r w:rsidR="00B537E8">
        <w:t xml:space="preserve"> i</w:t>
      </w:r>
      <w:r w:rsidR="00256B2B">
        <w:t>n</w:t>
      </w:r>
      <w:r w:rsidR="00B537E8">
        <w:t xml:space="preserve"> </w:t>
      </w:r>
      <w:r w:rsidR="0095160B">
        <w:t>3</w:t>
      </w:r>
      <w:r w:rsidR="00B537E8">
        <w:t xml:space="preserve"> steps</w:t>
      </w:r>
      <w:r w:rsidR="00B71F6D">
        <w:t xml:space="preserve"> (</w:t>
      </w:r>
      <w:r w:rsidR="002310F0">
        <w:fldChar w:fldCharType="begin"/>
      </w:r>
      <w:r w:rsidR="002310F0">
        <w:instrText xml:space="preserve"> REF _Ref126757657 \h </w:instrText>
      </w:r>
      <w:r w:rsidR="00E0143B">
        <w:instrText xml:space="preserve"> \* MERGEFORMAT </w:instrText>
      </w:r>
      <w:r w:rsidR="002310F0">
        <w:fldChar w:fldCharType="separate"/>
      </w:r>
      <w:r w:rsidR="00584DC6">
        <w:t>Table 3</w:t>
      </w:r>
      <w:r w:rsidR="002310F0">
        <w:fldChar w:fldCharType="end"/>
      </w:r>
      <w:r w:rsidR="007E48CF">
        <w:t>)</w:t>
      </w:r>
      <w:r w:rsidR="009068D5">
        <w:t>.</w:t>
      </w:r>
    </w:p>
    <w:p w14:paraId="39F5B993" w14:textId="08F4D6EC" w:rsidR="00DA5921" w:rsidRDefault="00195CE0" w:rsidP="00FF1872">
      <w:pPr>
        <w:pStyle w:val="CGC2025Bullet1"/>
        <w:keepNext/>
      </w:pPr>
      <w:r>
        <w:t xml:space="preserve">First, it </w:t>
      </w:r>
      <w:r w:rsidR="00DA5921">
        <w:t>deriv</w:t>
      </w:r>
      <w:r>
        <w:t>es</w:t>
      </w:r>
      <w:r w:rsidR="00DA5921">
        <w:t xml:space="preserve"> a notional level of ACT police staffing by applying the national average per capita number of police staff (sworn and unsworn staff combined) to the ACT’s population</w:t>
      </w:r>
      <w:r>
        <w:t>.</w:t>
      </w:r>
    </w:p>
    <w:p w14:paraId="6D6269D8" w14:textId="62EF449E" w:rsidR="00020B89" w:rsidRDefault="00195CE0" w:rsidP="00FF1872">
      <w:pPr>
        <w:pStyle w:val="CGC2025Bullet1"/>
        <w:keepNext/>
      </w:pPr>
      <w:r>
        <w:t xml:space="preserve">Second, </w:t>
      </w:r>
      <w:r w:rsidR="00782EE7">
        <w:t xml:space="preserve">it </w:t>
      </w:r>
      <w:r w:rsidR="00725FB6">
        <w:t>determines</w:t>
      </w:r>
      <w:r w:rsidR="00DA5921">
        <w:t xml:space="preserve"> the difference between the average </w:t>
      </w:r>
      <w:r w:rsidR="00CC4B1B">
        <w:t>AC</w:t>
      </w:r>
      <w:r w:rsidR="00C33A92">
        <w:t>T police salary</w:t>
      </w:r>
      <w:r w:rsidR="00DA5921">
        <w:t xml:space="preserve"> and the average</w:t>
      </w:r>
      <w:r w:rsidR="00C33A92">
        <w:t xml:space="preserve"> salary of</w:t>
      </w:r>
      <w:r w:rsidR="00DA5921">
        <w:t xml:space="preserve"> police staff</w:t>
      </w:r>
      <w:r w:rsidR="002B265F">
        <w:t xml:space="preserve"> </w:t>
      </w:r>
      <w:r w:rsidR="00DA5921">
        <w:t>(sworn and unsworn staff combined)</w:t>
      </w:r>
      <w:r w:rsidR="00BD2BE2" w:rsidRPr="00BD2BE2">
        <w:t xml:space="preserve"> </w:t>
      </w:r>
      <w:r w:rsidR="00BD2BE2">
        <w:t>across all states.</w:t>
      </w:r>
    </w:p>
    <w:p w14:paraId="2A618312" w14:textId="1807AA50" w:rsidR="003320EB" w:rsidRDefault="00B85BCE" w:rsidP="00FF1872">
      <w:pPr>
        <w:pStyle w:val="CGC2025Bullet1"/>
        <w:keepNext/>
      </w:pPr>
      <w:r>
        <w:t xml:space="preserve">Third, </w:t>
      </w:r>
      <w:r w:rsidR="00C85A3B">
        <w:t xml:space="preserve">it calculates </w:t>
      </w:r>
      <w:r w:rsidR="00DF33E4">
        <w:t xml:space="preserve">the </w:t>
      </w:r>
      <w:r w:rsidR="00EE0D90">
        <w:t xml:space="preserve">police allowance by multiplying the notional level of </w:t>
      </w:r>
      <w:r w:rsidR="0022409D">
        <w:t>ACT police staffing b</w:t>
      </w:r>
      <w:r w:rsidR="00973071">
        <w:t xml:space="preserve">y the difference in </w:t>
      </w:r>
      <w:r w:rsidR="00BD7133">
        <w:t>salaries.</w:t>
      </w:r>
    </w:p>
    <w:p w14:paraId="51A2AA4B" w14:textId="4156EE62" w:rsidR="007E48CF" w:rsidRDefault="008D1777" w:rsidP="00330826">
      <w:pPr>
        <w:pStyle w:val="CGC2025Caption"/>
        <w:tabs>
          <w:tab w:val="left" w:pos="1134"/>
        </w:tabs>
      </w:pPr>
      <w:bookmarkStart w:id="23" w:name="_Ref126757657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84DC6">
        <w:rPr>
          <w:noProof/>
        </w:rPr>
        <w:t>3</w:t>
      </w:r>
      <w:r>
        <w:fldChar w:fldCharType="end"/>
      </w:r>
      <w:bookmarkEnd w:id="23"/>
      <w:r>
        <w:tab/>
        <w:t>Cal</w:t>
      </w:r>
      <w:r w:rsidR="004B3D89">
        <w:t xml:space="preserve">culating the police allowance, 2023 </w:t>
      </w:r>
      <w:proofErr w:type="gramStart"/>
      <w:r w:rsidR="004B3D89">
        <w:t>Update</w:t>
      </w:r>
      <w:proofErr w:type="gramEnd"/>
      <w:r w:rsidR="004B3D89">
        <w:t xml:space="preserve"> </w:t>
      </w:r>
    </w:p>
    <w:tbl>
      <w:tblPr>
        <w:tblW w:w="8942" w:type="dxa"/>
        <w:tblLayout w:type="fixed"/>
        <w:tblLook w:val="04A0" w:firstRow="1" w:lastRow="0" w:firstColumn="1" w:lastColumn="0" w:noHBand="0" w:noVBand="1"/>
      </w:tblPr>
      <w:tblGrid>
        <w:gridCol w:w="4820"/>
        <w:gridCol w:w="1030"/>
        <w:gridCol w:w="1031"/>
        <w:gridCol w:w="1030"/>
        <w:gridCol w:w="1031"/>
      </w:tblGrid>
      <w:tr w:rsidR="00204CAA" w:rsidRPr="00204CAA" w14:paraId="58616CBF" w14:textId="77777777" w:rsidTr="009F7232">
        <w:trPr>
          <w:trHeight w:val="374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006991"/>
            <w:vAlign w:val="bottom"/>
            <w:hideMark/>
          </w:tcPr>
          <w:p w14:paraId="124D476B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bookmarkStart w:id="24" w:name="RANGE!A28:E46"/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  <w:bookmarkEnd w:id="24"/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39B98A45" w14:textId="223055DC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04CA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Unit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1DFA4DF6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04CA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2019-20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68DA87E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04CA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385A040" w14:textId="704334C1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204CA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  <w:r w:rsidR="004D29B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</w:t>
            </w:r>
            <w:r w:rsidR="004D29B5" w:rsidRPr="004D29B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vertAlign w:val="superscript"/>
                <w:lang w:eastAsia="en-AU"/>
              </w:rPr>
              <w:t>(a)</w:t>
            </w:r>
          </w:p>
        </w:tc>
      </w:tr>
      <w:tr w:rsidR="00204CAA" w:rsidRPr="00204CAA" w14:paraId="19DFD895" w14:textId="77777777" w:rsidTr="004D29B5">
        <w:trPr>
          <w:trHeight w:val="315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vAlign w:val="bottom"/>
            <w:hideMark/>
          </w:tcPr>
          <w:p w14:paraId="2C95CFC0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Calculate notional ACT staffing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0A4FD5F7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33D016B5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5103FD83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212169AD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204CAA" w:rsidRPr="00204CAA" w14:paraId="3AF4B08C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49197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staff [A]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FF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no.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7256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78,350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024C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79,922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1CE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79,922</w:t>
            </w:r>
          </w:p>
        </w:tc>
      </w:tr>
      <w:tr w:rsidR="00204CAA" w:rsidRPr="00204CAA" w14:paraId="02DFF55F" w14:textId="77777777" w:rsidTr="004D29B5">
        <w:trPr>
          <w:trHeight w:val="315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5CF99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population [B]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15EC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‘000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C37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25,522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B58B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25,634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A2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25,762</w:t>
            </w:r>
          </w:p>
        </w:tc>
      </w:tr>
      <w:tr w:rsidR="00204CAA" w:rsidRPr="00204CAA" w14:paraId="4FD50CCA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4E586" w14:textId="721A0AB5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Average </w:t>
            </w:r>
            <w:r w:rsidR="00B12F06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staff [</w:t>
            </w: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C = A / B]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1F5F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no.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5A4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21D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0.003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D3A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0.003</w:t>
            </w:r>
          </w:p>
        </w:tc>
      </w:tr>
      <w:tr w:rsidR="00204CAA" w:rsidRPr="00204CAA" w14:paraId="6F28FB53" w14:textId="77777777" w:rsidTr="004D29B5">
        <w:trPr>
          <w:trHeight w:val="315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88F9A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 population [D]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E834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‘000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E3E3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446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62DD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451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AB9A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453</w:t>
            </w:r>
          </w:p>
        </w:tc>
      </w:tr>
      <w:tr w:rsidR="00204CAA" w:rsidRPr="00204CAA" w14:paraId="32638B42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8AD4" w14:textId="343DF9A6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Assessed </w:t>
            </w:r>
            <w:r w:rsidR="00B12F06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staff [</w:t>
            </w: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E = C * D]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9B3F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no.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6428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1,369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02B6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1,407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D217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1,406</w:t>
            </w:r>
          </w:p>
        </w:tc>
      </w:tr>
      <w:tr w:rsidR="00204CAA" w:rsidRPr="00204CAA" w14:paraId="2FB9BC94" w14:textId="77777777" w:rsidTr="004D29B5">
        <w:trPr>
          <w:trHeight w:val="315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220B8" w14:textId="60F5B51E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 socio-demographic characteristics factor [F]</w:t>
            </w:r>
            <w:r w:rsidR="00415AA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415AA7" w:rsidRPr="007F1472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(</w:t>
            </w:r>
            <w:r w:rsidR="007F1472" w:rsidRPr="007F1472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b)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019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7CF9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0.761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37A6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0.760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90F5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0.760</w:t>
            </w:r>
          </w:p>
        </w:tc>
      </w:tr>
      <w:tr w:rsidR="00204CAA" w:rsidRPr="00204CAA" w14:paraId="18A63296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44EBD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Adjusted assessed staff [G = E * F]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5B64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no.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BDAE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1,041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9873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1,070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E4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1,068</w:t>
            </w:r>
          </w:p>
        </w:tc>
      </w:tr>
      <w:tr w:rsidR="00204CAA" w:rsidRPr="00204CAA" w14:paraId="5E1CB400" w14:textId="77777777" w:rsidTr="004D29B5">
        <w:trPr>
          <w:trHeight w:val="315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vAlign w:val="bottom"/>
            <w:hideMark/>
          </w:tcPr>
          <w:p w14:paraId="3AEF5858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Calculate difference in salaries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0B1CF61F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711AC80B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2B794476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66441D16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204CAA" w:rsidRPr="00204CAA" w14:paraId="67EDF5B4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24A21" w14:textId="13EAA876" w:rsidR="00204CAA" w:rsidRPr="00204CAA" w:rsidRDefault="001A5D91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All state a</w:t>
            </w:r>
            <w:r w:rsidR="00204CAA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verage</w:t>
            </w:r>
            <w:r w:rsidR="003706D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91123F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actual </w:t>
            </w:r>
            <w:r w:rsidR="003706D4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police</w:t>
            </w:r>
            <w:r w:rsidR="00204CAA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salary [H] </w:t>
            </w:r>
            <w:r w:rsidR="00204CAA" w:rsidRPr="00204CAA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(</w:t>
            </w:r>
            <w:r w:rsidR="007F1472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c</w:t>
            </w:r>
            <w:r w:rsidR="00204CAA" w:rsidRPr="00204CAA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)</w:t>
            </w:r>
            <w:r w:rsidR="00204CAA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9D92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BC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132,696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CA0F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135,802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44BD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135,802</w:t>
            </w:r>
          </w:p>
        </w:tc>
      </w:tr>
      <w:tr w:rsidR="00204CAA" w:rsidRPr="00204CAA" w14:paraId="49F95029" w14:textId="77777777" w:rsidTr="004D29B5">
        <w:trPr>
          <w:trHeight w:val="315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DBB9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 wage costs factor [I]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202B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1B44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1.046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CD1A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1.029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0A2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1.058</w:t>
            </w:r>
          </w:p>
        </w:tc>
      </w:tr>
      <w:tr w:rsidR="00204CAA" w:rsidRPr="00204CAA" w14:paraId="71B7BDB6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511BA" w14:textId="2E243A0C" w:rsidR="00204CAA" w:rsidRPr="00204CAA" w:rsidRDefault="003B47D8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Assessed ACT </w:t>
            </w:r>
            <w:r w:rsidR="00226B0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police 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salary</w:t>
            </w:r>
            <w:r w:rsidR="0038346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204CAA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[J = H * I] 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0ECC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7643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138,734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AD20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139,788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74BA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143,715</w:t>
            </w:r>
          </w:p>
        </w:tc>
      </w:tr>
      <w:tr w:rsidR="00204CAA" w:rsidRPr="00204CAA" w14:paraId="05914D89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5ED86" w14:textId="0EF46133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</w:t>
            </w:r>
            <w:r w:rsidR="007D619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3306D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average </w:t>
            </w:r>
            <w:r w:rsidR="0091123F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actual</w:t>
            </w:r>
            <w:r w:rsidR="00822DB2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police</w:t>
            </w: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salary [K] </w:t>
            </w:r>
            <w:r w:rsidRPr="002567DB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(</w:t>
            </w:r>
            <w:r w:rsidR="007F1472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c</w:t>
            </w:r>
            <w:r w:rsidRPr="002567DB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)</w:t>
            </w: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F1A3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0C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139,640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DD3A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131,175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CDFE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131,175</w:t>
            </w:r>
          </w:p>
        </w:tc>
      </w:tr>
      <w:tr w:rsidR="00204CAA" w:rsidRPr="00204CAA" w14:paraId="7A461997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84674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Difference [L = K - J] 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72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98C5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906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9A1A" w14:textId="494D398A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-8,</w:t>
            </w:r>
            <w:r w:rsidR="008F15D6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61</w:t>
            </w:r>
            <w:r w:rsidR="008F15D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DCD" w14:textId="6A5890AD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-12,</w:t>
            </w:r>
            <w:r w:rsidR="008F15D6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54</w:t>
            </w:r>
            <w:r w:rsidR="008F15D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</w:tr>
      <w:tr w:rsidR="00204CAA" w:rsidRPr="00204CAA" w14:paraId="66481D7F" w14:textId="77777777" w:rsidTr="004D29B5">
        <w:trPr>
          <w:trHeight w:val="315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B7EE" w14:textId="259EB52F" w:rsidR="00204CAA" w:rsidRPr="00204CAA" w:rsidRDefault="00410EF2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Labour </w:t>
            </w:r>
            <w:r w:rsidR="00204CAA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price index adjustment [M]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0BE4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E8FD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1.000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36D6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1.000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C35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1.021</w:t>
            </w:r>
          </w:p>
        </w:tc>
      </w:tr>
      <w:tr w:rsidR="00204CAA" w:rsidRPr="00204CAA" w14:paraId="56B8CDFD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6EDE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Difference in salaries [N = L * M]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43C4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9FA0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906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ACC5" w14:textId="2D3B5EAF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-8,</w:t>
            </w:r>
            <w:r w:rsidR="008F15D6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61</w:t>
            </w:r>
            <w:r w:rsidR="008F15D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CDC4" w14:textId="05AA5F1B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-12,</w:t>
            </w:r>
            <w:r w:rsidR="008F15D6"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80</w:t>
            </w:r>
            <w:r w:rsidR="008F15D6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204CAA" w:rsidRPr="00204CAA" w14:paraId="50EACD3B" w14:textId="77777777" w:rsidTr="004D29B5">
        <w:trPr>
          <w:trHeight w:val="315"/>
        </w:trPr>
        <w:tc>
          <w:tcPr>
            <w:tcW w:w="482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vAlign w:val="bottom"/>
            <w:hideMark/>
          </w:tcPr>
          <w:p w14:paraId="0AC3516F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Calculate police allowance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0217BFBB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64232972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33F9E351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1492704C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="00204CAA" w:rsidRPr="00204CAA" w14:paraId="1422B9D8" w14:textId="77777777" w:rsidTr="00804008">
        <w:trPr>
          <w:trHeight w:val="318"/>
        </w:trPr>
        <w:tc>
          <w:tcPr>
            <w:tcW w:w="482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AD01E0F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Assessed allowance [O = G * N] 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D1E062E" w14:textId="77777777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3DFFFA9" w14:textId="26295363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</w:t>
            </w:r>
          </w:p>
        </w:tc>
        <w:tc>
          <w:tcPr>
            <w:tcW w:w="103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35FAE11" w14:textId="1A70D588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-9.2</w:t>
            </w:r>
          </w:p>
        </w:tc>
        <w:tc>
          <w:tcPr>
            <w:tcW w:w="103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8A59A71" w14:textId="4DFC5380" w:rsidR="00204CAA" w:rsidRPr="00204CAA" w:rsidRDefault="00204CAA" w:rsidP="00204CAA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204CA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-13.7</w:t>
            </w:r>
          </w:p>
        </w:tc>
      </w:tr>
    </w:tbl>
    <w:p w14:paraId="50CAD33C" w14:textId="5529D7C7" w:rsidR="00B03FF2" w:rsidRPr="00A00BE2" w:rsidRDefault="00B03FF2" w:rsidP="00666A56">
      <w:pPr>
        <w:pStyle w:val="CGC2025TableNote"/>
        <w:numPr>
          <w:ilvl w:val="0"/>
          <w:numId w:val="33"/>
        </w:numPr>
        <w:tabs>
          <w:tab w:val="clear" w:pos="567"/>
          <w:tab w:val="clear" w:pos="680"/>
          <w:tab w:val="left" w:pos="426"/>
        </w:tabs>
        <w:ind w:left="426" w:hanging="284"/>
      </w:pPr>
      <w:r w:rsidRPr="00AE6DB4">
        <w:t>F</w:t>
      </w:r>
      <w:r w:rsidRPr="00A00BE2">
        <w:t xml:space="preserve">or the most recent assessment year, the Commission uses the previous year’s policing data as a placeholder because the Productivity Commission does not release its </w:t>
      </w:r>
      <w:r w:rsidRPr="0074347F">
        <w:rPr>
          <w:i/>
        </w:rPr>
        <w:t>Report on Government Services</w:t>
      </w:r>
      <w:r w:rsidRPr="00A00BE2">
        <w:t xml:space="preserve"> in time for use in calculating the annual GST relativities.</w:t>
      </w:r>
    </w:p>
    <w:p w14:paraId="4ADE81E4" w14:textId="7384D480" w:rsidR="00A62EED" w:rsidRPr="00A00BE2" w:rsidRDefault="00AC5BB0" w:rsidP="00666A56">
      <w:pPr>
        <w:pStyle w:val="CGC2025TableNote"/>
        <w:numPr>
          <w:ilvl w:val="0"/>
          <w:numId w:val="33"/>
        </w:numPr>
        <w:tabs>
          <w:tab w:val="clear" w:pos="567"/>
          <w:tab w:val="clear" w:pos="680"/>
          <w:tab w:val="left" w:pos="426"/>
        </w:tabs>
        <w:ind w:left="426" w:hanging="284"/>
      </w:pPr>
      <w:r w:rsidRPr="00A00BE2">
        <w:t xml:space="preserve">The </w:t>
      </w:r>
      <w:r w:rsidR="00E4300A" w:rsidRPr="00A00BE2">
        <w:t xml:space="preserve">socio-demographic </w:t>
      </w:r>
      <w:r w:rsidR="00592D05" w:rsidRPr="00A00BE2">
        <w:t xml:space="preserve">characteristics factor is calculated within the justice </w:t>
      </w:r>
      <w:r w:rsidR="0085408C" w:rsidRPr="00A00BE2">
        <w:t xml:space="preserve">assessment by </w:t>
      </w:r>
      <w:r w:rsidR="00E566D2" w:rsidRPr="00A00BE2">
        <w:t xml:space="preserve">dividing </w:t>
      </w:r>
      <w:r w:rsidR="00D207EE" w:rsidRPr="00A00BE2">
        <w:t xml:space="preserve">the </w:t>
      </w:r>
      <w:r w:rsidR="00534A91" w:rsidRPr="00A00BE2">
        <w:t>ACT’s</w:t>
      </w:r>
      <w:r w:rsidR="007615DB" w:rsidRPr="00A00BE2">
        <w:t xml:space="preserve"> </w:t>
      </w:r>
      <w:r w:rsidR="00145CC0" w:rsidRPr="00A00BE2">
        <w:t xml:space="preserve">police </w:t>
      </w:r>
      <w:r w:rsidR="00A5377E" w:rsidRPr="00A00BE2">
        <w:t>socio</w:t>
      </w:r>
      <w:r w:rsidR="00A04F28" w:rsidRPr="00A00BE2">
        <w:noBreakHyphen/>
      </w:r>
      <w:r w:rsidR="00B76DE1" w:rsidRPr="00A00BE2">
        <w:t xml:space="preserve">demographic assessed </w:t>
      </w:r>
      <w:r w:rsidR="003255A1" w:rsidRPr="00A00BE2">
        <w:t xml:space="preserve">expenses by </w:t>
      </w:r>
      <w:r w:rsidR="007615DB" w:rsidRPr="00A00BE2">
        <w:t>its p</w:t>
      </w:r>
      <w:r w:rsidR="004A033C" w:rsidRPr="00A00BE2">
        <w:t xml:space="preserve">opulation share of </w:t>
      </w:r>
      <w:r w:rsidR="00B0698B" w:rsidRPr="00A00BE2">
        <w:t>total</w:t>
      </w:r>
      <w:r w:rsidR="009A70D7" w:rsidRPr="00A00BE2">
        <w:t xml:space="preserve"> state</w:t>
      </w:r>
      <w:r w:rsidR="00B0698B" w:rsidRPr="00A00BE2">
        <w:t xml:space="preserve"> </w:t>
      </w:r>
      <w:r w:rsidR="005660C5" w:rsidRPr="00A00BE2">
        <w:t>police socio-demographic assessed expenses.</w:t>
      </w:r>
      <w:r w:rsidR="00534A91" w:rsidRPr="00A00BE2">
        <w:t xml:space="preserve"> </w:t>
      </w:r>
    </w:p>
    <w:p w14:paraId="6D36DDA0" w14:textId="072A0FA4" w:rsidR="002A6328" w:rsidRPr="00AE6DB4" w:rsidRDefault="002A6328" w:rsidP="00666A56">
      <w:pPr>
        <w:pStyle w:val="CGC2025TableNote"/>
        <w:numPr>
          <w:ilvl w:val="0"/>
          <w:numId w:val="33"/>
        </w:numPr>
        <w:tabs>
          <w:tab w:val="clear" w:pos="567"/>
          <w:tab w:val="clear" w:pos="680"/>
          <w:tab w:val="left" w:pos="426"/>
        </w:tabs>
        <w:ind w:left="426" w:hanging="284"/>
      </w:pPr>
      <w:r w:rsidRPr="00A00BE2">
        <w:t>Excludes payroll</w:t>
      </w:r>
      <w:r w:rsidRPr="00AE6DB4">
        <w:t xml:space="preserve"> tax because the A</w:t>
      </w:r>
      <w:r w:rsidR="002A3D34" w:rsidRPr="00AE6DB4">
        <w:t xml:space="preserve">ustralian </w:t>
      </w:r>
      <w:r w:rsidRPr="00AE6DB4">
        <w:t>F</w:t>
      </w:r>
      <w:r w:rsidR="002A3D34" w:rsidRPr="00AE6DB4">
        <w:t xml:space="preserve">ederal </w:t>
      </w:r>
      <w:r w:rsidRPr="00AE6DB4">
        <w:t>P</w:t>
      </w:r>
      <w:r w:rsidR="002A3D34" w:rsidRPr="00AE6DB4">
        <w:t>olice</w:t>
      </w:r>
      <w:r w:rsidRPr="00AE6DB4">
        <w:t xml:space="preserve"> </w:t>
      </w:r>
      <w:r w:rsidR="002A3D34" w:rsidRPr="00AE6DB4">
        <w:t>are</w:t>
      </w:r>
      <w:r w:rsidRPr="00AE6DB4">
        <w:t xml:space="preserve"> exempt from paying payroll tax.</w:t>
      </w:r>
    </w:p>
    <w:p w14:paraId="6CE12A99" w14:textId="5BEAE424" w:rsidR="002A6328" w:rsidRPr="00AE6DB4" w:rsidRDefault="002A6328" w:rsidP="00146411">
      <w:pPr>
        <w:pStyle w:val="CGC2025TableNote"/>
      </w:pPr>
      <w:r w:rsidRPr="00AE6DB4">
        <w:t>Source:</w:t>
      </w:r>
      <w:r w:rsidRPr="00AE6DB4">
        <w:tab/>
      </w:r>
      <w:bookmarkStart w:id="25" w:name="_Hlk127371192"/>
      <w:r w:rsidRPr="00AE6DB4">
        <w:t>Productivity Commission</w:t>
      </w:r>
      <w:bookmarkEnd w:id="25"/>
      <w:r w:rsidRPr="00AE6DB4">
        <w:t>,</w:t>
      </w:r>
      <w:r w:rsidR="003C0345">
        <w:t xml:space="preserve"> ‘6 Police Services’</w:t>
      </w:r>
      <w:r w:rsidR="00F97499">
        <w:t xml:space="preserve"> [data set]</w:t>
      </w:r>
      <w:r w:rsidR="00657651">
        <w:t>,</w:t>
      </w:r>
      <w:r w:rsidR="00B978AA">
        <w:t xml:space="preserve"> </w:t>
      </w:r>
      <w:hyperlink r:id="rId15" w:history="1">
        <w:r w:rsidR="00021352">
          <w:rPr>
            <w:rStyle w:val="Hyperlink"/>
          </w:rPr>
          <w:t>Report on Government Services 2022</w:t>
        </w:r>
      </w:hyperlink>
      <w:r w:rsidR="00F80773">
        <w:t>,</w:t>
      </w:r>
      <w:r w:rsidR="003D7C83">
        <w:t xml:space="preserve"> </w:t>
      </w:r>
      <w:r w:rsidR="00657651">
        <w:t>Productivity Commission</w:t>
      </w:r>
      <w:r w:rsidR="003D7C83">
        <w:t xml:space="preserve"> website</w:t>
      </w:r>
      <w:r w:rsidRPr="00AE6DB4">
        <w:t>,</w:t>
      </w:r>
      <w:r w:rsidR="00B978AA">
        <w:t xml:space="preserve"> </w:t>
      </w:r>
      <w:r w:rsidR="00825B8C">
        <w:t xml:space="preserve">2022, accessed </w:t>
      </w:r>
      <w:r w:rsidR="000A3D64">
        <w:t>19 April 2023.</w:t>
      </w:r>
    </w:p>
    <w:p w14:paraId="65CA9C47" w14:textId="6F645498" w:rsidR="002A6328" w:rsidRDefault="002A6328" w:rsidP="00503C88">
      <w:pPr>
        <w:pStyle w:val="CGC2025TableNote"/>
        <w:tabs>
          <w:tab w:val="clear" w:pos="567"/>
          <w:tab w:val="left" w:pos="709"/>
        </w:tabs>
      </w:pPr>
      <w:r w:rsidRPr="00AE6DB4">
        <w:tab/>
        <w:t>Australian Bureau of Statistics (ABS),</w:t>
      </w:r>
      <w:r w:rsidR="00036DF3" w:rsidRPr="00146411">
        <w:t xml:space="preserve"> </w:t>
      </w:r>
      <w:r w:rsidR="004162F8" w:rsidRPr="00146411">
        <w:t>‘</w:t>
      </w:r>
      <w:r w:rsidR="00036DF3" w:rsidRPr="00036DF3">
        <w:t>Table 4a</w:t>
      </w:r>
      <w:r w:rsidR="0063242C">
        <w:t>.</w:t>
      </w:r>
      <w:r w:rsidR="00036DF3" w:rsidRPr="00036DF3">
        <w:t xml:space="preserve"> Total Hourly Rates of Pay Excluding Bonuses: Public Sector by State, Original (Financial Year Index Numbers for year ended June quarter)</w:t>
      </w:r>
      <w:r w:rsidR="00036DF3">
        <w:t>’</w:t>
      </w:r>
      <w:r w:rsidR="00372800">
        <w:t xml:space="preserve"> [time series spreadsheet]</w:t>
      </w:r>
      <w:r w:rsidR="00606CF2">
        <w:t>,</w:t>
      </w:r>
      <w:r w:rsidRPr="00AE6DB4">
        <w:t xml:space="preserve"> </w:t>
      </w:r>
      <w:hyperlink r:id="rId16" w:anchor=":~:text=Annual%20growth%20lifted%20to%203.8,in%20the%20March%20quarter%202023" w:history="1">
        <w:r w:rsidR="00DB6F32">
          <w:rPr>
            <w:rStyle w:val="Hyperlink"/>
            <w:szCs w:val="14"/>
          </w:rPr>
          <w:t>Wage Price Index, Australia</w:t>
        </w:r>
      </w:hyperlink>
      <w:r w:rsidR="00606CF2">
        <w:t>,</w:t>
      </w:r>
      <w:r w:rsidR="00F80773">
        <w:t xml:space="preserve"> ABS website</w:t>
      </w:r>
      <w:r w:rsidR="00DB6F32">
        <w:t xml:space="preserve">, </w:t>
      </w:r>
      <w:r w:rsidR="00176E4F">
        <w:t xml:space="preserve">2022, accessed </w:t>
      </w:r>
      <w:r w:rsidR="00AE74B9">
        <w:t>19</w:t>
      </w:r>
      <w:r w:rsidR="004D631A">
        <w:t xml:space="preserve"> </w:t>
      </w:r>
      <w:r w:rsidR="00176E4F">
        <w:t>April</w:t>
      </w:r>
      <w:r w:rsidR="00AE74B9">
        <w:t xml:space="preserve"> 2023.</w:t>
      </w:r>
    </w:p>
    <w:p w14:paraId="18BB8A8E" w14:textId="77777777" w:rsidR="007715A9" w:rsidRDefault="007715A9" w:rsidP="00503C88">
      <w:pPr>
        <w:pStyle w:val="CGC2025TableNote"/>
        <w:tabs>
          <w:tab w:val="clear" w:pos="567"/>
          <w:tab w:val="left" w:pos="709"/>
        </w:tabs>
      </w:pPr>
    </w:p>
    <w:p w14:paraId="16BC31E3" w14:textId="3BAE39EB" w:rsidR="00AF3891" w:rsidRPr="00D04A9D" w:rsidRDefault="00536191" w:rsidP="00073932">
      <w:pPr>
        <w:pStyle w:val="CGC2025ParaNumbers"/>
      </w:pPr>
      <w:r w:rsidRPr="00D04A9D">
        <w:t xml:space="preserve">It is anticipated that the </w:t>
      </w:r>
      <w:r w:rsidR="001E12DC" w:rsidRPr="00D04A9D">
        <w:t xml:space="preserve">assessment of national capital expenses </w:t>
      </w:r>
      <w:r w:rsidR="004603A3" w:rsidRPr="00D04A9D">
        <w:t xml:space="preserve">will </w:t>
      </w:r>
      <w:r w:rsidR="009739F0" w:rsidRPr="00D04A9D">
        <w:t>result in</w:t>
      </w:r>
      <w:r w:rsidR="004603A3" w:rsidRPr="00D04A9D">
        <w:t xml:space="preserve"> negative</w:t>
      </w:r>
      <w:r w:rsidR="009739F0" w:rsidRPr="00D04A9D">
        <w:t xml:space="preserve"> </w:t>
      </w:r>
      <w:r w:rsidR="00397EF1" w:rsidRPr="00D04A9D">
        <w:t>assessed GST needs for the ACT</w:t>
      </w:r>
      <w:r w:rsidR="004603A3" w:rsidRPr="00D04A9D">
        <w:t xml:space="preserve"> in the 2024 Update. </w:t>
      </w:r>
      <w:r w:rsidR="00641EDE" w:rsidRPr="00804456">
        <w:t>Th</w:t>
      </w:r>
      <w:r w:rsidR="004C0784" w:rsidRPr="00804456">
        <w:t>e</w:t>
      </w:r>
      <w:r w:rsidR="00290B9C" w:rsidRPr="00804456">
        <w:t xml:space="preserve"> issue</w:t>
      </w:r>
      <w:r w:rsidR="00BF0A89" w:rsidRPr="00804456">
        <w:t xml:space="preserve"> is</w:t>
      </w:r>
      <w:r w:rsidR="00A46C4C" w:rsidRPr="00804456">
        <w:t xml:space="preserve"> </w:t>
      </w:r>
      <w:r w:rsidR="00641EDE" w:rsidRPr="00804456">
        <w:t xml:space="preserve">discussed </w:t>
      </w:r>
      <w:r w:rsidR="00A46C4C" w:rsidRPr="00804456">
        <w:t>in the</w:t>
      </w:r>
      <w:r w:rsidR="00641EDE" w:rsidRPr="00804456">
        <w:t xml:space="preserve"> </w:t>
      </w:r>
      <w:hyperlink r:id="rId17" w:history="1">
        <w:r w:rsidR="00641EDE" w:rsidRPr="00805BCC">
          <w:rPr>
            <w:rStyle w:val="Hyperlink"/>
            <w:color w:val="0070C0"/>
          </w:rPr>
          <w:t xml:space="preserve">New Issues </w:t>
        </w:r>
        <w:r w:rsidR="00073932" w:rsidRPr="00805BCC">
          <w:rPr>
            <w:rStyle w:val="Hyperlink"/>
            <w:color w:val="0070C0"/>
          </w:rPr>
          <w:t xml:space="preserve">paper </w:t>
        </w:r>
        <w:r w:rsidR="00641EDE" w:rsidRPr="00805BCC">
          <w:rPr>
            <w:rStyle w:val="Hyperlink"/>
            <w:color w:val="0070C0"/>
          </w:rPr>
          <w:t>for the 2024</w:t>
        </w:r>
        <w:r w:rsidR="00A6072B" w:rsidRPr="00805BCC">
          <w:rPr>
            <w:rStyle w:val="Hyperlink"/>
            <w:color w:val="0070C0"/>
          </w:rPr>
          <w:t> </w:t>
        </w:r>
        <w:r w:rsidR="00641EDE" w:rsidRPr="00805BCC">
          <w:rPr>
            <w:rStyle w:val="Hyperlink"/>
            <w:color w:val="0070C0"/>
          </w:rPr>
          <w:t>Update</w:t>
        </w:r>
      </w:hyperlink>
      <w:r w:rsidR="004547B9" w:rsidRPr="00804456">
        <w:t>,</w:t>
      </w:r>
      <w:r w:rsidR="00073932" w:rsidRPr="00804456">
        <w:t xml:space="preserve"> </w:t>
      </w:r>
      <w:r w:rsidR="00AF3891" w:rsidRPr="0026541D">
        <w:t xml:space="preserve">where it is proposed that the national capital assessment be suspended for the 2024 Update. </w:t>
      </w:r>
      <w:r w:rsidR="00E0331B">
        <w:t>As t</w:t>
      </w:r>
      <w:r w:rsidR="00AF3891" w:rsidRPr="0026541D">
        <w:t xml:space="preserve">he </w:t>
      </w:r>
      <w:r w:rsidR="00647043">
        <w:t xml:space="preserve">national capital </w:t>
      </w:r>
      <w:r w:rsidR="00AF3891" w:rsidRPr="0026541D">
        <w:t xml:space="preserve">assessment is designed to recognise only the additional costs incurred by the ACT, </w:t>
      </w:r>
      <w:r w:rsidR="00AF3891" w:rsidRPr="0026541D">
        <w:lastRenderedPageBreak/>
        <w:t>the ACT having negative assessed GST needs would be inconsistent with the 2020</w:t>
      </w:r>
      <w:r w:rsidR="000A45DF">
        <w:t> </w:t>
      </w:r>
      <w:r w:rsidR="00AF3891" w:rsidRPr="0026541D">
        <w:t>Review method.  </w:t>
      </w:r>
    </w:p>
    <w:p w14:paraId="6AF0B758" w14:textId="77777777" w:rsidR="00433B1D" w:rsidRDefault="00433B1D" w:rsidP="00641EDE">
      <w:pPr>
        <w:pStyle w:val="Heading3"/>
        <w:keepNext/>
      </w:pPr>
      <w:bookmarkStart w:id="26" w:name="_Toc121741484"/>
      <w:bookmarkStart w:id="27" w:name="_Toc147414337"/>
      <w:r>
        <w:t xml:space="preserve">Data used in the </w:t>
      </w:r>
      <w:proofErr w:type="gramStart"/>
      <w:r>
        <w:t>assessment</w:t>
      </w:r>
      <w:bookmarkEnd w:id="27"/>
      <w:proofErr w:type="gramEnd"/>
    </w:p>
    <w:p w14:paraId="2FB6A7A7" w14:textId="6F675340" w:rsidR="00433B1D" w:rsidRDefault="00B03709" w:rsidP="00641EDE">
      <w:pPr>
        <w:pStyle w:val="CGC2025ParaNumbers"/>
        <w:keepNext/>
      </w:pPr>
      <w:r>
        <w:t xml:space="preserve">Data </w:t>
      </w:r>
      <w:r w:rsidR="00ED1020">
        <w:t>that i</w:t>
      </w:r>
      <w:r w:rsidR="008315ED">
        <w:t>nform the</w:t>
      </w:r>
      <w:r w:rsidR="00CA06A4">
        <w:t xml:space="preserve"> assess</w:t>
      </w:r>
      <w:r w:rsidR="008315ED">
        <w:t>ment of</w:t>
      </w:r>
      <w:r w:rsidR="00CA06A4">
        <w:t xml:space="preserve"> </w:t>
      </w:r>
      <w:r w:rsidR="00DF0997">
        <w:t xml:space="preserve">the </w:t>
      </w:r>
      <w:r w:rsidR="00C32458" w:rsidRPr="00E0143B">
        <w:t>additional costs resulting from the N</w:t>
      </w:r>
      <w:r w:rsidR="00ED04E0">
        <w:t>ational</w:t>
      </w:r>
      <w:r w:rsidR="005A7ED8">
        <w:t> </w:t>
      </w:r>
      <w:r w:rsidR="00C32458" w:rsidRPr="00E0143B">
        <w:t>C</w:t>
      </w:r>
      <w:r w:rsidR="00ED04E0">
        <w:t xml:space="preserve">apital </w:t>
      </w:r>
      <w:r w:rsidR="00C32458" w:rsidRPr="00E0143B">
        <w:t>P</w:t>
      </w:r>
      <w:r w:rsidR="00ED04E0">
        <w:t>lan</w:t>
      </w:r>
      <w:r w:rsidR="00C32458" w:rsidRPr="00E0143B">
        <w:t xml:space="preserve"> and the </w:t>
      </w:r>
      <w:r w:rsidR="00A059EA" w:rsidRPr="00E0143B">
        <w:t>leasehold sys</w:t>
      </w:r>
      <w:r w:rsidR="005244C8" w:rsidRPr="00E0143B">
        <w:t>tem are</w:t>
      </w:r>
      <w:r w:rsidR="005244C8">
        <w:t xml:space="preserve"> found</w:t>
      </w:r>
      <w:r w:rsidR="00C45A26">
        <w:t xml:space="preserve"> in the</w:t>
      </w:r>
      <w:r w:rsidR="00A059EA">
        <w:t xml:space="preserve"> </w:t>
      </w:r>
      <w:r w:rsidR="00B05E94">
        <w:t>Commonwealth Grants Commission’s</w:t>
      </w:r>
      <w:r w:rsidR="00A059EA">
        <w:t xml:space="preserve"> 2020 Review</w:t>
      </w:r>
      <w:r w:rsidR="00C45A26">
        <w:t xml:space="preserve"> </w:t>
      </w:r>
      <w:r w:rsidR="00D207BE">
        <w:t>and ABS’</w:t>
      </w:r>
      <w:r w:rsidR="00EA20B2">
        <w:t>s</w:t>
      </w:r>
      <w:r w:rsidR="002935A6">
        <w:t xml:space="preserve"> </w:t>
      </w:r>
      <w:r w:rsidR="00A42127" w:rsidRPr="00C74746">
        <w:rPr>
          <w:i/>
          <w:iCs/>
        </w:rPr>
        <w:t>Australian National Accounts: National Income, Expenditure and Product</w:t>
      </w:r>
      <w:r w:rsidR="00A42127" w:rsidRPr="00A75A56">
        <w:t>.</w:t>
      </w:r>
      <w:r w:rsidR="00D207BE">
        <w:t xml:space="preserve"> </w:t>
      </w:r>
      <w:r w:rsidR="00DF38CB">
        <w:t xml:space="preserve"> </w:t>
      </w:r>
    </w:p>
    <w:p w14:paraId="3C4D6A03" w14:textId="0DCC43FD" w:rsidR="00D315A5" w:rsidRPr="00E0143B" w:rsidRDefault="00213751" w:rsidP="00E0143B">
      <w:pPr>
        <w:pStyle w:val="CGC2025ParaNumbers"/>
      </w:pPr>
      <w:r>
        <w:t xml:space="preserve">Data </w:t>
      </w:r>
      <w:r w:rsidR="008315ED">
        <w:t>that inform the</w:t>
      </w:r>
      <w:r>
        <w:t xml:space="preserve"> assess</w:t>
      </w:r>
      <w:r w:rsidR="008315ED">
        <w:t>ment</w:t>
      </w:r>
      <w:r w:rsidR="007E58BF">
        <w:t xml:space="preserve"> of</w:t>
      </w:r>
      <w:r>
        <w:t xml:space="preserve"> </w:t>
      </w:r>
      <w:r w:rsidR="002E356C">
        <w:t xml:space="preserve">the additional policing expenses </w:t>
      </w:r>
      <w:r w:rsidR="005770ED">
        <w:t>are</w:t>
      </w:r>
      <w:r w:rsidR="002E356C">
        <w:t xml:space="preserve"> sourced from </w:t>
      </w:r>
      <w:r w:rsidR="00453B87">
        <w:t xml:space="preserve">the </w:t>
      </w:r>
      <w:r w:rsidR="00455835" w:rsidRPr="00455835">
        <w:t>Productivity Commission</w:t>
      </w:r>
      <w:r w:rsidR="00455835">
        <w:t>’s annual</w:t>
      </w:r>
      <w:r w:rsidR="00455835" w:rsidRPr="00455835">
        <w:t xml:space="preserve"> </w:t>
      </w:r>
      <w:r w:rsidR="00455835" w:rsidRPr="00A279E1">
        <w:rPr>
          <w:i/>
          <w:iCs/>
        </w:rPr>
        <w:t>Report on Government Services</w:t>
      </w:r>
      <w:r w:rsidR="00440D23">
        <w:t xml:space="preserve"> and ABS’</w:t>
      </w:r>
      <w:r w:rsidR="00EA20B2">
        <w:t>s</w:t>
      </w:r>
      <w:r w:rsidR="00440D23">
        <w:t xml:space="preserve"> </w:t>
      </w:r>
      <w:r w:rsidR="00440D23" w:rsidRPr="008C3020">
        <w:rPr>
          <w:i/>
          <w:iCs/>
        </w:rPr>
        <w:t>Wage Price Index</w:t>
      </w:r>
      <w:r w:rsidR="00440D23">
        <w:t>.</w:t>
      </w:r>
    </w:p>
    <w:p w14:paraId="1A209964" w14:textId="72C8B26B" w:rsidR="004A0A26" w:rsidRDefault="00433B1D" w:rsidP="00FF1872">
      <w:pPr>
        <w:pStyle w:val="Heading3"/>
        <w:keepNext/>
      </w:pPr>
      <w:bookmarkStart w:id="28" w:name="_Toc147414338"/>
      <w:r>
        <w:t>Category and component</w:t>
      </w:r>
      <w:r w:rsidR="00173273">
        <w:t xml:space="preserve"> expenses</w:t>
      </w:r>
      <w:bookmarkEnd w:id="26"/>
      <w:bookmarkEnd w:id="28"/>
    </w:p>
    <w:p w14:paraId="2EF152B1" w14:textId="6551B537" w:rsidR="00453883" w:rsidRDefault="00453883" w:rsidP="00FF1872">
      <w:pPr>
        <w:pStyle w:val="CGC2025ParaNumbers"/>
        <w:keepNext/>
      </w:pPr>
      <w:r>
        <w:fldChar w:fldCharType="begin"/>
      </w:r>
      <w:r>
        <w:instrText xml:space="preserve"> REF _Ref117585289 \h </w:instrText>
      </w:r>
      <w:r w:rsidR="00E0143B">
        <w:instrText xml:space="preserve"> \* MERGEFORMAT </w:instrText>
      </w:r>
      <w:r>
        <w:fldChar w:fldCharType="separate"/>
      </w:r>
      <w:r w:rsidR="00584DC6" w:rsidRPr="5BDA858E">
        <w:t xml:space="preserve">Table </w:t>
      </w:r>
      <w:r w:rsidR="00584DC6">
        <w:t>4</w:t>
      </w:r>
      <w:r>
        <w:fldChar w:fldCharType="end"/>
      </w:r>
      <w:r>
        <w:t xml:space="preserve"> shows the total expense</w:t>
      </w:r>
      <w:r w:rsidR="005E159D">
        <w:t>s</w:t>
      </w:r>
      <w:r>
        <w:t xml:space="preserve"> captured in the national capital</w:t>
      </w:r>
      <w:r w:rsidRPr="0081219B">
        <w:t xml:space="preserve"> assessment.</w:t>
      </w:r>
    </w:p>
    <w:p w14:paraId="7AFE16CE" w14:textId="07EA3374" w:rsidR="00453883" w:rsidRDefault="00453883" w:rsidP="00330826">
      <w:pPr>
        <w:pStyle w:val="CGC2025Caption"/>
        <w:keepNext/>
        <w:tabs>
          <w:tab w:val="left" w:pos="1134"/>
        </w:tabs>
        <w:rPr>
          <w:noProof/>
          <w:highlight w:val="green"/>
        </w:rPr>
      </w:pPr>
      <w:bookmarkStart w:id="29" w:name="_Ref117585289"/>
      <w:r w:rsidRPr="5BDA858E"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84DC6">
        <w:rPr>
          <w:noProof/>
        </w:rPr>
        <w:t>4</w:t>
      </w:r>
      <w:r>
        <w:fldChar w:fldCharType="end"/>
      </w:r>
      <w:bookmarkEnd w:id="29"/>
      <w:r>
        <w:tab/>
      </w:r>
      <w:r w:rsidRPr="5BDA858E">
        <w:t xml:space="preserve">Total </w:t>
      </w:r>
      <w:r>
        <w:rPr>
          <w:noProof/>
        </w:rPr>
        <w:t>national capital</w:t>
      </w:r>
      <w:r w:rsidRPr="5BDA858E">
        <w:rPr>
          <w:noProof/>
        </w:rPr>
        <w:t xml:space="preserve"> expense</w:t>
      </w:r>
      <w:r>
        <w:rPr>
          <w:noProof/>
        </w:rPr>
        <w:t>s, 2023 Update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3478"/>
        <w:gridCol w:w="1366"/>
        <w:gridCol w:w="1366"/>
        <w:gridCol w:w="1366"/>
        <w:gridCol w:w="1366"/>
      </w:tblGrid>
      <w:tr w:rsidR="00453883" w:rsidRPr="006F5FBD" w14:paraId="59E6AC10" w14:textId="77777777" w:rsidTr="00BE2A3D">
        <w:trPr>
          <w:trHeight w:val="37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bottom"/>
            <w:hideMark/>
          </w:tcPr>
          <w:p w14:paraId="00BDDA1F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30" w:name="RANGE!A11:E13"/>
            <w:r w:rsidRPr="006F5F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30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E657F5A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F5F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2018-19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6D359FD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F5F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2019-20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5303063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F5F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4BD36A8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6F5FB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</w:tr>
      <w:tr w:rsidR="00453883" w:rsidRPr="006F5FBD" w14:paraId="334D1404" w14:textId="77777777" w:rsidTr="00BE2A3D">
        <w:trPr>
          <w:trHeight w:val="318"/>
        </w:trPr>
        <w:tc>
          <w:tcPr>
            <w:tcW w:w="326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C446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Total expen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ses</w:t>
            </w: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12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5877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12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BF6C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12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70B8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1280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E8E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-6</w:t>
            </w:r>
          </w:p>
        </w:tc>
      </w:tr>
      <w:tr w:rsidR="00453883" w:rsidRPr="006F5FBD" w14:paraId="41A06BD7" w14:textId="77777777" w:rsidTr="00BE2A3D">
        <w:trPr>
          <w:trHeight w:val="318"/>
        </w:trPr>
        <w:tc>
          <w:tcPr>
            <w:tcW w:w="326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F059C8B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Proportion of total expenditure (%)</w:t>
            </w:r>
          </w:p>
        </w:tc>
        <w:tc>
          <w:tcPr>
            <w:tcW w:w="12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5535817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12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9672ACB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12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5E18FAE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  <w:tc>
          <w:tcPr>
            <w:tcW w:w="128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951C933" w14:textId="77777777" w:rsidR="00453883" w:rsidRPr="006F5FBD" w:rsidRDefault="00453883" w:rsidP="002705A9">
            <w:pPr>
              <w:keepNext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6F5FB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0.0</w:t>
            </w:r>
          </w:p>
        </w:tc>
      </w:tr>
    </w:tbl>
    <w:p w14:paraId="4255E76E" w14:textId="77777777" w:rsidR="00453883" w:rsidRPr="00F27171" w:rsidRDefault="00453883" w:rsidP="002705A9">
      <w:pPr>
        <w:pStyle w:val="CGCTablenote"/>
        <w:keepNext/>
        <w:rPr>
          <w:rFonts w:ascii="Work Sans" w:hAnsi="Work Sans"/>
        </w:rPr>
      </w:pPr>
      <w:r>
        <w:rPr>
          <w:rFonts w:ascii="Work Sans" w:hAnsi="Work Sans"/>
        </w:rPr>
        <w:t>Source</w:t>
      </w:r>
      <w:r w:rsidRPr="00F27171">
        <w:rPr>
          <w:rFonts w:ascii="Work Sans" w:hAnsi="Work Sans"/>
        </w:rPr>
        <w:t>: Commission calculation, 2023 Update.</w:t>
      </w:r>
    </w:p>
    <w:p w14:paraId="251FA05B" w14:textId="77777777" w:rsidR="00FA5E33" w:rsidRPr="00FA5E33" w:rsidRDefault="0033322B" w:rsidP="00FA5E33">
      <w:pPr>
        <w:pStyle w:val="Heading3"/>
      </w:pPr>
      <w:bookmarkStart w:id="31" w:name="_Toc121741485"/>
      <w:bookmarkStart w:id="32" w:name="_Toc147414339"/>
      <w:r>
        <w:t>GST</w:t>
      </w:r>
      <w:r w:rsidR="000D0FB5">
        <w:t xml:space="preserve"> distribution</w:t>
      </w:r>
      <w:bookmarkEnd w:id="31"/>
      <w:r w:rsidR="00123A13">
        <w:t xml:space="preserve"> </w:t>
      </w:r>
      <w:r w:rsidR="00704B83">
        <w:t>in the 2023 Update</w:t>
      </w:r>
      <w:bookmarkEnd w:id="32"/>
    </w:p>
    <w:p w14:paraId="49578D63" w14:textId="14A9A7CA" w:rsidR="0033322B" w:rsidRDefault="00534685" w:rsidP="00E0143B">
      <w:pPr>
        <w:pStyle w:val="CGC2025ParaNumbers"/>
      </w:pPr>
      <w:r>
        <w:fldChar w:fldCharType="begin"/>
      </w:r>
      <w:r>
        <w:instrText xml:space="preserve"> REF _Ref113608127 \h  \* MERGEFORMAT </w:instrText>
      </w:r>
      <w:r>
        <w:fldChar w:fldCharType="separate"/>
      </w:r>
      <w:r w:rsidR="00584DC6" w:rsidRPr="00FF5BF7">
        <w:t xml:space="preserve">Table </w:t>
      </w:r>
      <w:r w:rsidR="00584DC6">
        <w:t>5</w:t>
      </w:r>
      <w:r>
        <w:fldChar w:fldCharType="end"/>
      </w:r>
      <w:r>
        <w:t xml:space="preserve"> </w:t>
      </w:r>
      <w:r w:rsidR="004564A0">
        <w:t xml:space="preserve">shows the </w:t>
      </w:r>
      <w:r w:rsidR="00DA3771">
        <w:t>total effect</w:t>
      </w:r>
      <w:r w:rsidR="000D0FB5">
        <w:t xml:space="preserve"> of</w:t>
      </w:r>
      <w:r w:rsidR="004564A0">
        <w:t xml:space="preserve"> the</w:t>
      </w:r>
      <w:r w:rsidR="00696B0B">
        <w:t xml:space="preserve"> </w:t>
      </w:r>
      <w:r w:rsidR="002019C3">
        <w:t>national capital</w:t>
      </w:r>
      <w:r w:rsidR="004564A0">
        <w:t xml:space="preserve"> assessment</w:t>
      </w:r>
      <w:r w:rsidR="00F84580">
        <w:t xml:space="preserve"> on GST distribution</w:t>
      </w:r>
      <w:r w:rsidR="00696B0B">
        <w:t>.</w:t>
      </w:r>
      <w:r w:rsidR="000A4A6C">
        <w:t xml:space="preserve"> The category distributed </w:t>
      </w:r>
      <w:r w:rsidR="000A4A6C" w:rsidRPr="00DA3771">
        <w:t>$</w:t>
      </w:r>
      <w:r w:rsidR="009860A2" w:rsidRPr="00DA3771">
        <w:t>1</w:t>
      </w:r>
      <w:r w:rsidR="000A4A6C" w:rsidRPr="00DA3771">
        <w:t> million ($</w:t>
      </w:r>
      <w:r w:rsidR="00F665F6">
        <w:t>0</w:t>
      </w:r>
      <w:r w:rsidR="000A4A6C" w:rsidRPr="00DA3771">
        <w:t> per capita</w:t>
      </w:r>
      <w:r w:rsidR="00B80569">
        <w:t xml:space="preserve"> after rounding</w:t>
      </w:r>
      <w:r w:rsidR="000A4A6C" w:rsidRPr="00DA3771">
        <w:t>)</w:t>
      </w:r>
      <w:r w:rsidR="009C7F36">
        <w:t xml:space="preserve"> away from an equal per capita distribution</w:t>
      </w:r>
      <w:r w:rsidR="006914E6">
        <w:t xml:space="preserve"> in </w:t>
      </w:r>
      <w:r w:rsidR="00940EAB">
        <w:t>the 2023 Update</w:t>
      </w:r>
      <w:r w:rsidR="009C7F36">
        <w:t>.</w:t>
      </w:r>
    </w:p>
    <w:p w14:paraId="3ED7EFFF" w14:textId="03294DA9" w:rsidR="00794E59" w:rsidRPr="0081219B" w:rsidRDefault="00FF5BF7" w:rsidP="00330826">
      <w:pPr>
        <w:pStyle w:val="CGC2025Caption"/>
        <w:tabs>
          <w:tab w:val="left" w:pos="1134"/>
        </w:tabs>
        <w:rPr>
          <w:noProof/>
        </w:rPr>
      </w:pPr>
      <w:bookmarkStart w:id="33" w:name="_Ref113608127"/>
      <w:r w:rsidRPr="00FF5BF7">
        <w:rPr>
          <w:noProof/>
        </w:rPr>
        <w:t xml:space="preserve">Table </w:t>
      </w:r>
      <w:r w:rsidR="002F086C">
        <w:rPr>
          <w:noProof/>
        </w:rPr>
        <w:fldChar w:fldCharType="begin"/>
      </w:r>
      <w:r w:rsidR="002F086C">
        <w:rPr>
          <w:noProof/>
        </w:rPr>
        <w:instrText xml:space="preserve"> SEQ Table \* ARABIC </w:instrText>
      </w:r>
      <w:r w:rsidR="002F086C">
        <w:rPr>
          <w:noProof/>
        </w:rPr>
        <w:fldChar w:fldCharType="separate"/>
      </w:r>
      <w:r w:rsidR="00584DC6">
        <w:rPr>
          <w:noProof/>
        </w:rPr>
        <w:t>5</w:t>
      </w:r>
      <w:r w:rsidR="002F086C">
        <w:rPr>
          <w:noProof/>
        </w:rPr>
        <w:fldChar w:fldCharType="end"/>
      </w:r>
      <w:bookmarkEnd w:id="33"/>
      <w:r w:rsidR="00330826">
        <w:rPr>
          <w:noProof/>
        </w:rPr>
        <w:tab/>
      </w:r>
      <w:r w:rsidRPr="00FF5BF7">
        <w:rPr>
          <w:noProof/>
        </w:rPr>
        <w:t>GST impact</w:t>
      </w:r>
      <w:r w:rsidR="00794E59" w:rsidRPr="00794E59">
        <w:rPr>
          <w:noProof/>
        </w:rPr>
        <w:t xml:space="preserve"> </w:t>
      </w:r>
      <w:r w:rsidR="00794E59" w:rsidRPr="0081219B">
        <w:rPr>
          <w:noProof/>
        </w:rPr>
        <w:t xml:space="preserve">of the </w:t>
      </w:r>
      <w:r w:rsidR="005932D5">
        <w:rPr>
          <w:noProof/>
        </w:rPr>
        <w:t xml:space="preserve">national capital </w:t>
      </w:r>
      <w:r w:rsidR="00794E59" w:rsidRPr="0081219B">
        <w:rPr>
          <w:noProof/>
        </w:rPr>
        <w:t>assessment</w:t>
      </w:r>
      <w:r w:rsidR="00C75415">
        <w:rPr>
          <w:noProof/>
        </w:rPr>
        <w:t>, 2023 Update</w:t>
      </w:r>
    </w:p>
    <w:tbl>
      <w:tblPr>
        <w:tblW w:w="8942" w:type="dxa"/>
        <w:tblLayout w:type="fixed"/>
        <w:tblLook w:val="04A0" w:firstRow="1" w:lastRow="0" w:firstColumn="1" w:lastColumn="0" w:noHBand="0" w:noVBand="1"/>
      </w:tblPr>
      <w:tblGrid>
        <w:gridCol w:w="1304"/>
        <w:gridCol w:w="804"/>
        <w:gridCol w:w="805"/>
        <w:gridCol w:w="804"/>
        <w:gridCol w:w="805"/>
        <w:gridCol w:w="804"/>
        <w:gridCol w:w="805"/>
        <w:gridCol w:w="804"/>
        <w:gridCol w:w="805"/>
        <w:gridCol w:w="1202"/>
      </w:tblGrid>
      <w:tr w:rsidR="00323CDB" w:rsidRPr="00323CDB" w14:paraId="2B3ADE15" w14:textId="77777777" w:rsidTr="0026174E">
        <w:trPr>
          <w:trHeight w:val="37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bottom"/>
            <w:hideMark/>
          </w:tcPr>
          <w:p w14:paraId="3FD0DCB0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34" w:name="RANGE!A5:J10"/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34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AAF3057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DDE62BB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77E73B5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9299D13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C7BD630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5D4EC0B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4703E88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211BCDC3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2B169F6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Total effect</w:t>
            </w:r>
          </w:p>
        </w:tc>
      </w:tr>
      <w:tr w:rsidR="00323CDB" w:rsidRPr="00323CDB" w14:paraId="3B7BE3C6" w14:textId="77777777" w:rsidTr="0026174E">
        <w:trPr>
          <w:trHeight w:val="315"/>
        </w:trPr>
        <w:tc>
          <w:tcPr>
            <w:tcW w:w="13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5E0A2" w14:textId="162ED0AE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Planning</w:t>
            </w:r>
            <w:r w:rsidR="00625B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5B9A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-3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F7FD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84F8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-2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F2B0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268C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62E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DD13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FDFD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20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B5D0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</w:t>
            </w:r>
          </w:p>
        </w:tc>
      </w:tr>
      <w:tr w:rsidR="00323CDB" w:rsidRPr="00323CDB" w14:paraId="3C96399B" w14:textId="77777777" w:rsidTr="0026174E">
        <w:trPr>
          <w:trHeight w:val="315"/>
        </w:trPr>
        <w:tc>
          <w:tcPr>
            <w:tcW w:w="13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DFC66" w14:textId="1ADF6FB8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Police</w:t>
            </w:r>
            <w:r w:rsidR="00625B5D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($m)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83E2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6319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826F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B9B0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54DA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06B7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53F4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7754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20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BA7E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624252" w:rsidRPr="00323CDB" w14:paraId="3B74E104" w14:textId="77777777" w:rsidTr="0026174E">
        <w:trPr>
          <w:trHeight w:val="315"/>
        </w:trPr>
        <w:tc>
          <w:tcPr>
            <w:tcW w:w="13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vAlign w:val="bottom"/>
            <w:hideMark/>
          </w:tcPr>
          <w:p w14:paraId="6A2CD43C" w14:textId="0545166E" w:rsidR="00323CDB" w:rsidRPr="00323CDB" w:rsidRDefault="00B35609" w:rsidP="00323CD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 </w:t>
            </w:r>
            <w:r w:rsidR="00323CDB"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($m)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54D6F556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558EC187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60A3375A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708F5354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457CC356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5E5EA3F7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6FC51FE2" w14:textId="6D835996" w:rsidR="00323CDB" w:rsidRPr="00323CDB" w:rsidRDefault="007B6076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7865032E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120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B6D5E4"/>
            <w:noWrap/>
            <w:vAlign w:val="bottom"/>
            <w:hideMark/>
          </w:tcPr>
          <w:p w14:paraId="5637F312" w14:textId="63DA9492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</w:tr>
      <w:tr w:rsidR="00CB1465" w:rsidRPr="00323CDB" w14:paraId="21728A5B" w14:textId="77777777" w:rsidTr="0026174E">
        <w:trPr>
          <w:trHeight w:val="315"/>
        </w:trPr>
        <w:tc>
          <w:tcPr>
            <w:tcW w:w="130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vAlign w:val="bottom"/>
            <w:hideMark/>
          </w:tcPr>
          <w:p w14:paraId="0DE92A60" w14:textId="44F9BB5A" w:rsidR="00323CDB" w:rsidRPr="00323CDB" w:rsidRDefault="00B35609" w:rsidP="00323CD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 </w:t>
            </w:r>
            <w:r w:rsidR="00323CDB"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 ($pc)</w:t>
            </w:r>
            <w:r w:rsidR="00EE471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 xml:space="preserve"> </w:t>
            </w:r>
            <w:r w:rsidR="00EE4716" w:rsidRPr="00EE4716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vertAlign w:val="superscript"/>
                <w:lang w:eastAsia="en-AU"/>
              </w:rPr>
              <w:t>(a)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noWrap/>
            <w:vAlign w:val="bottom"/>
            <w:hideMark/>
          </w:tcPr>
          <w:p w14:paraId="450B6922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noWrap/>
            <w:vAlign w:val="bottom"/>
            <w:hideMark/>
          </w:tcPr>
          <w:p w14:paraId="61CD2965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noWrap/>
            <w:vAlign w:val="bottom"/>
            <w:hideMark/>
          </w:tcPr>
          <w:p w14:paraId="16BA050D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noWrap/>
            <w:vAlign w:val="bottom"/>
            <w:hideMark/>
          </w:tcPr>
          <w:p w14:paraId="796072C6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noWrap/>
            <w:vAlign w:val="bottom"/>
            <w:hideMark/>
          </w:tcPr>
          <w:p w14:paraId="042018D5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noWrap/>
            <w:vAlign w:val="bottom"/>
            <w:hideMark/>
          </w:tcPr>
          <w:p w14:paraId="5E656371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80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noWrap/>
            <w:vAlign w:val="bottom"/>
            <w:hideMark/>
          </w:tcPr>
          <w:p w14:paraId="72A4CB80" w14:textId="77777777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80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noWrap/>
            <w:vAlign w:val="bottom"/>
            <w:hideMark/>
          </w:tcPr>
          <w:p w14:paraId="371FEB75" w14:textId="3DDF1779" w:rsidR="00323CDB" w:rsidRPr="00C64854" w:rsidRDefault="001D2682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C64854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120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D6E7F0"/>
            <w:noWrap/>
            <w:vAlign w:val="bottom"/>
            <w:hideMark/>
          </w:tcPr>
          <w:p w14:paraId="5E98A804" w14:textId="5E075881" w:rsidR="00323CDB" w:rsidRPr="00323CDB" w:rsidRDefault="00323CDB" w:rsidP="00323CD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323CDB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0</w:t>
            </w:r>
          </w:p>
        </w:tc>
      </w:tr>
    </w:tbl>
    <w:p w14:paraId="179291DC" w14:textId="05194192" w:rsidR="00B46770" w:rsidRPr="00AE6DB4" w:rsidRDefault="00385AFE" w:rsidP="009032E0">
      <w:pPr>
        <w:pStyle w:val="CGCTablenote"/>
        <w:numPr>
          <w:ilvl w:val="0"/>
          <w:numId w:val="17"/>
        </w:numPr>
        <w:tabs>
          <w:tab w:val="clear" w:pos="567"/>
          <w:tab w:val="clear" w:pos="680"/>
        </w:tabs>
        <w:ind w:left="426" w:hanging="313"/>
        <w:rPr>
          <w:rFonts w:ascii="Work Sans" w:hAnsi="Work Sans"/>
        </w:rPr>
      </w:pPr>
      <w:r>
        <w:rPr>
          <w:rFonts w:ascii="Work Sans" w:hAnsi="Work Sans"/>
        </w:rPr>
        <w:t xml:space="preserve">The </w:t>
      </w:r>
      <w:r w:rsidR="00467ED2" w:rsidRPr="00AE6DB4">
        <w:rPr>
          <w:rFonts w:ascii="Work Sans" w:hAnsi="Work Sans"/>
        </w:rPr>
        <w:t xml:space="preserve">Northern </w:t>
      </w:r>
      <w:r w:rsidR="0055512C" w:rsidRPr="00AE6DB4">
        <w:rPr>
          <w:rFonts w:ascii="Work Sans" w:hAnsi="Work Sans"/>
        </w:rPr>
        <w:t>Territory</w:t>
      </w:r>
      <w:r w:rsidR="0055512C">
        <w:rPr>
          <w:rFonts w:ascii="Work Sans" w:hAnsi="Work Sans"/>
        </w:rPr>
        <w:t>’s</w:t>
      </w:r>
      <w:r w:rsidR="001849B2" w:rsidRPr="00AE6DB4">
        <w:rPr>
          <w:rFonts w:ascii="Work Sans" w:hAnsi="Work Sans"/>
        </w:rPr>
        <w:t xml:space="preserve"> per capita</w:t>
      </w:r>
      <w:r w:rsidR="00A1366C" w:rsidRPr="00AE6DB4">
        <w:rPr>
          <w:rFonts w:ascii="Work Sans" w:hAnsi="Work Sans"/>
        </w:rPr>
        <w:t xml:space="preserve"> </w:t>
      </w:r>
      <w:r w:rsidR="00467ED2" w:rsidRPr="00AE6DB4">
        <w:rPr>
          <w:rFonts w:ascii="Work Sans" w:hAnsi="Work Sans"/>
        </w:rPr>
        <w:t xml:space="preserve">distribution </w:t>
      </w:r>
      <w:r w:rsidR="00415B37" w:rsidRPr="00AE6DB4">
        <w:rPr>
          <w:rFonts w:ascii="Work Sans" w:hAnsi="Work Sans"/>
        </w:rPr>
        <w:t xml:space="preserve">in the 2023 Update was the result of </w:t>
      </w:r>
      <w:r w:rsidR="00121447" w:rsidRPr="00AE6DB4">
        <w:rPr>
          <w:rFonts w:ascii="Work Sans" w:hAnsi="Work Sans"/>
        </w:rPr>
        <w:t>an</w:t>
      </w:r>
      <w:r w:rsidR="00F549E1" w:rsidRPr="00AE6DB4">
        <w:rPr>
          <w:rFonts w:ascii="Work Sans" w:hAnsi="Work Sans"/>
        </w:rPr>
        <w:t xml:space="preserve"> issue </w:t>
      </w:r>
      <w:r w:rsidR="00FA17A4" w:rsidRPr="00AE6DB4">
        <w:rPr>
          <w:rFonts w:ascii="Work Sans" w:hAnsi="Work Sans"/>
        </w:rPr>
        <w:t>with the polic</w:t>
      </w:r>
      <w:r w:rsidR="0088147C">
        <w:rPr>
          <w:rFonts w:ascii="Work Sans" w:hAnsi="Work Sans"/>
        </w:rPr>
        <w:t>e</w:t>
      </w:r>
      <w:r w:rsidR="00FA17A4" w:rsidRPr="00AE6DB4">
        <w:rPr>
          <w:rFonts w:ascii="Work Sans" w:hAnsi="Work Sans"/>
        </w:rPr>
        <w:t xml:space="preserve"> </w:t>
      </w:r>
      <w:r w:rsidR="00E952AF" w:rsidRPr="00AE6DB4">
        <w:rPr>
          <w:rFonts w:ascii="Work Sans" w:hAnsi="Work Sans"/>
        </w:rPr>
        <w:t>allowance discussed below</w:t>
      </w:r>
      <w:r w:rsidR="00121447" w:rsidRPr="00AE6DB4">
        <w:rPr>
          <w:rFonts w:ascii="Work Sans" w:hAnsi="Work Sans"/>
        </w:rPr>
        <w:t>.</w:t>
      </w:r>
    </w:p>
    <w:p w14:paraId="0B32E71D" w14:textId="2BED4618" w:rsidR="00B46770" w:rsidRPr="00AE6DB4" w:rsidRDefault="00DE68AD" w:rsidP="00063BF8">
      <w:pPr>
        <w:pStyle w:val="CGCTablenote"/>
        <w:rPr>
          <w:rFonts w:ascii="Work Sans" w:hAnsi="Work Sans"/>
        </w:rPr>
      </w:pPr>
      <w:r w:rsidRPr="00AE6DB4">
        <w:rPr>
          <w:rFonts w:ascii="Work Sans" w:hAnsi="Work Sans"/>
        </w:rPr>
        <w:t>Source</w:t>
      </w:r>
      <w:r w:rsidR="00794E59" w:rsidRPr="00AE6DB4">
        <w:rPr>
          <w:rFonts w:ascii="Work Sans" w:hAnsi="Work Sans"/>
        </w:rPr>
        <w:t>:</w:t>
      </w:r>
      <w:r w:rsidR="00794E59" w:rsidRPr="00AE6DB4">
        <w:rPr>
          <w:rFonts w:ascii="Work Sans" w:hAnsi="Work Sans"/>
        </w:rPr>
        <w:tab/>
        <w:t>Commission calculation, 2023 Update.</w:t>
      </w:r>
    </w:p>
    <w:p w14:paraId="30671085" w14:textId="62C4BFB1" w:rsidR="001C6A42" w:rsidRDefault="0068494A" w:rsidP="00E0143B">
      <w:pPr>
        <w:pStyle w:val="CGC2025ParaNumbers"/>
      </w:pPr>
      <w:r>
        <w:t xml:space="preserve">Further detail on service provision arrangements and the underlying conceptual cases for the assessment methods are explained in </w:t>
      </w:r>
      <w:r w:rsidR="00330826">
        <w:t>v</w:t>
      </w:r>
      <w:r w:rsidR="00304118">
        <w:t>olume 2</w:t>
      </w:r>
      <w:r w:rsidR="004F3C01">
        <w:t>,</w:t>
      </w:r>
      <w:r w:rsidR="00304118">
        <w:t xml:space="preserve"> </w:t>
      </w:r>
      <w:r w:rsidR="00330826">
        <w:t>c</w:t>
      </w:r>
      <w:r w:rsidRPr="00E0143B">
        <w:t>hapter </w:t>
      </w:r>
      <w:r w:rsidR="00067BFC" w:rsidRPr="00E0143B">
        <w:t>29</w:t>
      </w:r>
      <w:r w:rsidR="00330826">
        <w:t xml:space="preserve">, </w:t>
      </w:r>
      <w:hyperlink r:id="rId18" w:history="1">
        <w:r w:rsidRPr="005402DC">
          <w:rPr>
            <w:color w:val="4F81BD" w:themeColor="accent1"/>
            <w:u w:val="single"/>
          </w:rPr>
          <w:t>Report on GST Revenue Sharing Relativities, 2020 Review</w:t>
        </w:r>
        <w:r w:rsidRPr="00E0143B">
          <w:t>.</w:t>
        </w:r>
      </w:hyperlink>
    </w:p>
    <w:p w14:paraId="3B206604" w14:textId="77777777" w:rsidR="006C0F83" w:rsidRDefault="006C0F83">
      <w:pPr>
        <w:tabs>
          <w:tab w:val="clear" w:pos="567"/>
        </w:tabs>
        <w:spacing w:before="0" w:after="200" w:line="276" w:lineRule="auto"/>
        <w:rPr>
          <w:rFonts w:ascii="Work Sans" w:eastAsia="Times New Roman" w:hAnsi="Work Sans" w:cs="Open Sans"/>
          <w:b/>
          <w:bCs/>
          <w:color w:val="006991"/>
          <w:sz w:val="36"/>
          <w:szCs w:val="36"/>
        </w:rPr>
      </w:pPr>
      <w:bookmarkStart w:id="35" w:name="_Toc121741486"/>
      <w:bookmarkStart w:id="36" w:name="_Toc147414340"/>
      <w:r>
        <w:br w:type="page"/>
      </w:r>
    </w:p>
    <w:p w14:paraId="7CF180D9" w14:textId="3F870D92" w:rsidR="00E94FC9" w:rsidRDefault="006A6C1E" w:rsidP="00904786">
      <w:pPr>
        <w:pStyle w:val="Heading2"/>
      </w:pPr>
      <w:r>
        <w:lastRenderedPageBreak/>
        <w:t xml:space="preserve">What has changed since </w:t>
      </w:r>
      <w:r w:rsidR="00C54633">
        <w:t xml:space="preserve">the </w:t>
      </w:r>
      <w:r>
        <w:t>2020 Review</w:t>
      </w:r>
      <w:r w:rsidR="00353D8F">
        <w:t>?</w:t>
      </w:r>
      <w:bookmarkEnd w:id="35"/>
      <w:bookmarkEnd w:id="36"/>
      <w:r w:rsidR="00986582">
        <w:t xml:space="preserve"> </w:t>
      </w:r>
    </w:p>
    <w:p w14:paraId="171F73E5" w14:textId="38F654D1" w:rsidR="00830938" w:rsidRDefault="00DE43BC" w:rsidP="00830938">
      <w:pPr>
        <w:pStyle w:val="Heading3"/>
      </w:pPr>
      <w:bookmarkStart w:id="37" w:name="_Hlk121738393"/>
      <w:bookmarkStart w:id="38" w:name="_Toc147414341"/>
      <w:r>
        <w:t>The</w:t>
      </w:r>
      <w:r w:rsidR="004B307E">
        <w:t xml:space="preserve"> </w:t>
      </w:r>
      <w:r w:rsidR="2C87B058">
        <w:t xml:space="preserve">expenses recognised by the assessment are </w:t>
      </w:r>
      <w:proofErr w:type="gramStart"/>
      <w:r w:rsidR="2C87B058">
        <w:t>decreasing</w:t>
      </w:r>
      <w:bookmarkEnd w:id="38"/>
      <w:proofErr w:type="gramEnd"/>
      <w:r w:rsidR="2C87B058">
        <w:t xml:space="preserve"> </w:t>
      </w:r>
    </w:p>
    <w:p w14:paraId="08F03CE0" w14:textId="3E9D5D0D" w:rsidR="00F86517" w:rsidRPr="004B68F0" w:rsidRDefault="007C6615" w:rsidP="00E0143B">
      <w:pPr>
        <w:pStyle w:val="CGC2025ParaNumbers"/>
      </w:pPr>
      <w:r>
        <w:t>While the Commission recognises that the ACT</w:t>
      </w:r>
      <w:r w:rsidR="00511008">
        <w:t xml:space="preserve"> continues to </w:t>
      </w:r>
      <w:r w:rsidR="00111BC3">
        <w:t>incur</w:t>
      </w:r>
      <w:r w:rsidR="00B81D4D">
        <w:t xml:space="preserve"> additional</w:t>
      </w:r>
      <w:r w:rsidR="00111BC3">
        <w:t xml:space="preserve"> cost</w:t>
      </w:r>
      <w:r w:rsidR="00E41F43">
        <w:t xml:space="preserve">s </w:t>
      </w:r>
      <w:r w:rsidR="00171F78">
        <w:t>because of</w:t>
      </w:r>
      <w:r w:rsidR="00E41F43">
        <w:t xml:space="preserve"> Canberra’s status as the national capital</w:t>
      </w:r>
      <w:r w:rsidR="000D4384">
        <w:t>,</w:t>
      </w:r>
      <w:r w:rsidR="00E41F43">
        <w:t xml:space="preserve"> </w:t>
      </w:r>
      <w:r w:rsidR="000D4384">
        <w:t>these</w:t>
      </w:r>
      <w:r w:rsidR="00E90A5D">
        <w:t xml:space="preserve"> </w:t>
      </w:r>
      <w:r w:rsidR="000D4384">
        <w:t>expenses</w:t>
      </w:r>
      <w:r w:rsidR="00E9445E">
        <w:t xml:space="preserve"> </w:t>
      </w:r>
      <w:r w:rsidR="006C2643">
        <w:t>are</w:t>
      </w:r>
      <w:r w:rsidR="00E80291">
        <w:t xml:space="preserve"> well below the materiali</w:t>
      </w:r>
      <w:r w:rsidR="00A1028B">
        <w:t>ty threshold</w:t>
      </w:r>
      <w:r w:rsidR="00F36DA0">
        <w:t>.</w:t>
      </w:r>
      <w:r w:rsidR="00A65554">
        <w:t xml:space="preserve"> </w:t>
      </w:r>
      <w:r w:rsidR="005E159D">
        <w:t>In the 2020 Review, the assessment distributed $35</w:t>
      </w:r>
      <w:r w:rsidR="00C439BD">
        <w:t> </w:t>
      </w:r>
      <w:r w:rsidR="005E159D">
        <w:t xml:space="preserve">per capita to the ACT. </w:t>
      </w:r>
      <w:r w:rsidR="00402BF9">
        <w:t>This fell to</w:t>
      </w:r>
      <w:r w:rsidR="00F86517">
        <w:t xml:space="preserve"> $1</w:t>
      </w:r>
      <w:r w:rsidR="003B2A1A">
        <w:t> </w:t>
      </w:r>
      <w:r w:rsidR="00F86517">
        <w:t>per capita for the ACT</w:t>
      </w:r>
      <w:r w:rsidR="00402BF9">
        <w:t xml:space="preserve"> in the 2023 Update</w:t>
      </w:r>
      <w:r w:rsidR="00F86517">
        <w:t>.</w:t>
      </w:r>
    </w:p>
    <w:p w14:paraId="003ADF78" w14:textId="40D63ADD" w:rsidR="00064A1E" w:rsidRDefault="00703C02" w:rsidP="004A637F">
      <w:pPr>
        <w:pStyle w:val="Heading3"/>
        <w:keepNext/>
      </w:pPr>
      <w:bookmarkStart w:id="39" w:name="_Hlk132296919"/>
      <w:bookmarkStart w:id="40" w:name="_Toc147414342"/>
      <w:r>
        <w:t>ACT police sala</w:t>
      </w:r>
      <w:r w:rsidR="00ED72A5">
        <w:t xml:space="preserve">ries are now below </w:t>
      </w:r>
      <w:proofErr w:type="gramStart"/>
      <w:r w:rsidR="00ED72A5">
        <w:t>average</w:t>
      </w:r>
      <w:bookmarkEnd w:id="40"/>
      <w:proofErr w:type="gramEnd"/>
    </w:p>
    <w:bookmarkEnd w:id="39"/>
    <w:p w14:paraId="51D56179" w14:textId="1E6D6F92" w:rsidR="00E028BC" w:rsidRDefault="002B771E" w:rsidP="004A637F">
      <w:pPr>
        <w:pStyle w:val="CGC2025ParaNumbers"/>
        <w:keepNext/>
      </w:pPr>
      <w:r w:rsidRPr="00C12B05">
        <w:t>Historically the A</w:t>
      </w:r>
      <w:r w:rsidR="0079458E" w:rsidRPr="00C12B05">
        <w:t>us</w:t>
      </w:r>
      <w:r w:rsidR="000B0B1E" w:rsidRPr="00C12B05">
        <w:t xml:space="preserve">tralian </w:t>
      </w:r>
      <w:r w:rsidR="00126402" w:rsidRPr="00C12B05">
        <w:t>F</w:t>
      </w:r>
      <w:r w:rsidR="000B0B1E" w:rsidRPr="00C12B05">
        <w:t xml:space="preserve">ederal </w:t>
      </w:r>
      <w:r w:rsidR="00126402" w:rsidRPr="00C12B05">
        <w:t>P</w:t>
      </w:r>
      <w:r w:rsidR="000B0B1E" w:rsidRPr="00C12B05">
        <w:t>olice</w:t>
      </w:r>
      <w:r w:rsidR="00126402" w:rsidRPr="00C12B05">
        <w:t xml:space="preserve"> </w:t>
      </w:r>
      <w:r w:rsidRPr="00C12B05">
        <w:t>ha</w:t>
      </w:r>
      <w:r w:rsidR="00B45B9A" w:rsidRPr="00C12B05">
        <w:t>s</w:t>
      </w:r>
      <w:r w:rsidRPr="00C12B05">
        <w:t xml:space="preserve"> offered</w:t>
      </w:r>
      <w:r w:rsidR="00F11127">
        <w:t xml:space="preserve"> actual</w:t>
      </w:r>
      <w:r w:rsidRPr="00C12B05">
        <w:t xml:space="preserve"> salaries above</w:t>
      </w:r>
      <w:r w:rsidR="009F1C2C">
        <w:t xml:space="preserve"> </w:t>
      </w:r>
      <w:r w:rsidR="00F04652">
        <w:t>the</w:t>
      </w:r>
      <w:r w:rsidR="009F1C2C">
        <w:t xml:space="preserve"> ACT’s</w:t>
      </w:r>
      <w:r w:rsidRPr="00C12B05">
        <w:t xml:space="preserve"> a</w:t>
      </w:r>
      <w:r w:rsidR="00D874F4">
        <w:t>ssessed</w:t>
      </w:r>
      <w:r w:rsidRPr="00C12B05">
        <w:t xml:space="preserve"> police</w:t>
      </w:r>
      <w:r w:rsidR="00351D8C" w:rsidRPr="00C12B05">
        <w:t xml:space="preserve"> salary</w:t>
      </w:r>
      <w:r w:rsidRPr="00C12B05">
        <w:t xml:space="preserve"> (</w:t>
      </w:r>
      <w:r w:rsidRPr="00C12B05">
        <w:fldChar w:fldCharType="begin"/>
      </w:r>
      <w:r w:rsidRPr="00C12B05">
        <w:instrText xml:space="preserve"> REF _Ref127278710 \h </w:instrText>
      </w:r>
      <w:r w:rsidR="00E0143B" w:rsidRPr="00C12B05">
        <w:instrText xml:space="preserve"> \* MERGEFORMAT </w:instrText>
      </w:r>
      <w:r w:rsidRPr="00C12B05">
        <w:fldChar w:fldCharType="separate"/>
      </w:r>
      <w:r w:rsidR="00584DC6">
        <w:t>Table 6</w:t>
      </w:r>
      <w:r w:rsidRPr="00C12B05">
        <w:fldChar w:fldCharType="end"/>
      </w:r>
      <w:r w:rsidRPr="00C12B05">
        <w:t>).</w:t>
      </w:r>
      <w:r w:rsidR="00D57039" w:rsidRPr="00C12B05">
        <w:rPr>
          <w:rStyle w:val="FootnoteReference"/>
        </w:rPr>
        <w:footnoteReference w:id="4"/>
      </w:r>
      <w:r w:rsidR="00C04209" w:rsidRPr="00C12B05">
        <w:t xml:space="preserve"> </w:t>
      </w:r>
      <w:r w:rsidR="009F65D8">
        <w:t>H</w:t>
      </w:r>
      <w:r w:rsidR="00C04209" w:rsidRPr="00C12B05">
        <w:t>owever</w:t>
      </w:r>
      <w:r w:rsidR="0486D7ED" w:rsidRPr="00C12B05">
        <w:t>,</w:t>
      </w:r>
      <w:r w:rsidR="00EA303A" w:rsidRPr="00C12B05">
        <w:t xml:space="preserve"> </w:t>
      </w:r>
      <w:r w:rsidR="00077008" w:rsidRPr="00C12B05">
        <w:t>s</w:t>
      </w:r>
      <w:r w:rsidR="00C04209" w:rsidRPr="00C12B05">
        <w:t>ince</w:t>
      </w:r>
      <w:r w:rsidR="008225CE" w:rsidRPr="00C12B05">
        <w:t xml:space="preserve"> 2020–21</w:t>
      </w:r>
      <w:r w:rsidR="00BD2965" w:rsidRPr="00C12B05">
        <w:t>,</w:t>
      </w:r>
      <w:r w:rsidR="008225CE" w:rsidRPr="00C12B05">
        <w:t xml:space="preserve"> the average ACT </w:t>
      </w:r>
      <w:r w:rsidR="00497786" w:rsidRPr="00C12B05">
        <w:t xml:space="preserve">actual </w:t>
      </w:r>
      <w:r w:rsidR="007A3346" w:rsidRPr="00C12B05">
        <w:t xml:space="preserve">police </w:t>
      </w:r>
      <w:r w:rsidR="008225CE" w:rsidRPr="00C12B05">
        <w:t>salary</w:t>
      </w:r>
      <w:r w:rsidR="008E5AB3" w:rsidRPr="00C12B05">
        <w:t xml:space="preserve"> (calculated as actual police wages divided by</w:t>
      </w:r>
      <w:r w:rsidR="006403D7">
        <w:t xml:space="preserve"> the</w:t>
      </w:r>
      <w:r w:rsidR="008E5AB3" w:rsidRPr="00C12B05">
        <w:t xml:space="preserve"> </w:t>
      </w:r>
      <w:r w:rsidR="00A124E3" w:rsidRPr="00C12B05">
        <w:t xml:space="preserve">number of </w:t>
      </w:r>
      <w:r w:rsidR="00407601">
        <w:t>full-time e</w:t>
      </w:r>
      <w:r w:rsidR="00FB033B">
        <w:t xml:space="preserve">quivalent </w:t>
      </w:r>
      <w:r w:rsidR="00A124E3" w:rsidRPr="00C12B05">
        <w:t>police staff)</w:t>
      </w:r>
      <w:r w:rsidR="008225CE" w:rsidRPr="00C12B05">
        <w:t xml:space="preserve"> </w:t>
      </w:r>
      <w:r w:rsidR="00FC631B" w:rsidRPr="00C12B05">
        <w:t xml:space="preserve">has fallen below </w:t>
      </w:r>
      <w:r w:rsidR="00F235B4" w:rsidRPr="00C12B05">
        <w:t xml:space="preserve">the ACT’s </w:t>
      </w:r>
      <w:r w:rsidR="00E059B8" w:rsidRPr="00C12B05">
        <w:t>asses</w:t>
      </w:r>
      <w:r w:rsidR="003776C9" w:rsidRPr="00C12B05">
        <w:t xml:space="preserve">sed </w:t>
      </w:r>
      <w:r w:rsidR="00F235B4" w:rsidRPr="00C12B05">
        <w:t xml:space="preserve">police </w:t>
      </w:r>
      <w:r w:rsidR="003776C9" w:rsidRPr="00C12B05">
        <w:t>salary</w:t>
      </w:r>
      <w:r w:rsidR="00EB6636" w:rsidRPr="00C12B05">
        <w:t xml:space="preserve"> </w:t>
      </w:r>
      <w:r w:rsidR="00B57C06" w:rsidRPr="00C12B05">
        <w:t>(</w:t>
      </w:r>
      <w:r w:rsidR="00630D0E" w:rsidRPr="00C12B05">
        <w:t xml:space="preserve">calculated as </w:t>
      </w:r>
      <w:r w:rsidR="00EE4D00">
        <w:t>the</w:t>
      </w:r>
      <w:r w:rsidR="00630D0E" w:rsidRPr="00C12B05">
        <w:t xml:space="preserve"> </w:t>
      </w:r>
      <w:r w:rsidR="00E56528" w:rsidRPr="00C12B05">
        <w:t xml:space="preserve">all state average </w:t>
      </w:r>
      <w:r w:rsidR="005D7FF4" w:rsidRPr="00C12B05">
        <w:t xml:space="preserve">actual police cost multiplied by </w:t>
      </w:r>
      <w:r w:rsidR="00A17A19" w:rsidRPr="00C12B05">
        <w:t>the ACT wage costs factor)</w:t>
      </w:r>
      <w:r w:rsidR="005B635F" w:rsidRPr="00C12B05">
        <w:t>.</w:t>
      </w:r>
      <w:r w:rsidR="00641C0C" w:rsidRPr="00C12B05">
        <w:t xml:space="preserve"> As</w:t>
      </w:r>
      <w:r w:rsidR="005B635F" w:rsidRPr="00C12B05">
        <w:t xml:space="preserve"> </w:t>
      </w:r>
      <w:r w:rsidR="00641C0C" w:rsidRPr="00C12B05">
        <w:t>t</w:t>
      </w:r>
      <w:r w:rsidR="005B635F" w:rsidRPr="00C12B05">
        <w:t xml:space="preserve">he </w:t>
      </w:r>
      <w:r w:rsidR="00866F6B" w:rsidRPr="00C12B05">
        <w:t xml:space="preserve">difference between the </w:t>
      </w:r>
      <w:r w:rsidR="00FE3C53">
        <w:t>ACT</w:t>
      </w:r>
      <w:r w:rsidR="00C252D7">
        <w:t xml:space="preserve">’s </w:t>
      </w:r>
      <w:r w:rsidR="00E70654">
        <w:t>actual</w:t>
      </w:r>
      <w:r w:rsidR="00C252D7">
        <w:t xml:space="preserve"> </w:t>
      </w:r>
      <w:r w:rsidR="0060467A">
        <w:t>and</w:t>
      </w:r>
      <w:r w:rsidR="00E70654">
        <w:t xml:space="preserve"> assessed salar</w:t>
      </w:r>
      <w:r w:rsidR="0060467A">
        <w:t>ies forms the</w:t>
      </w:r>
      <w:r w:rsidR="00E70654">
        <w:t xml:space="preserve"> </w:t>
      </w:r>
      <w:r w:rsidR="002B75C4" w:rsidRPr="00C12B05">
        <w:t>basis of the polic</w:t>
      </w:r>
      <w:r w:rsidR="00FF3049">
        <w:t>e</w:t>
      </w:r>
      <w:r w:rsidR="002B75C4" w:rsidRPr="00C12B05">
        <w:t xml:space="preserve"> allowance</w:t>
      </w:r>
      <w:r w:rsidR="00345FD2" w:rsidRPr="00C12B05">
        <w:t xml:space="preserve"> (</w:t>
      </w:r>
      <w:r w:rsidR="000200BB" w:rsidRPr="00C12B05">
        <w:t xml:space="preserve">see </w:t>
      </w:r>
      <w:r w:rsidR="000200BB" w:rsidRPr="00C12B05">
        <w:fldChar w:fldCharType="begin"/>
      </w:r>
      <w:r w:rsidR="000200BB" w:rsidRPr="00C12B05">
        <w:instrText xml:space="preserve"> REF _Ref126757657 \h </w:instrText>
      </w:r>
      <w:r w:rsidR="00E0143B" w:rsidRPr="00C12B05">
        <w:instrText xml:space="preserve"> \* MERGEFORMAT </w:instrText>
      </w:r>
      <w:r w:rsidR="000200BB" w:rsidRPr="00C12B05">
        <w:fldChar w:fldCharType="separate"/>
      </w:r>
      <w:r w:rsidR="00584DC6">
        <w:t>Table 3</w:t>
      </w:r>
      <w:r w:rsidR="000200BB" w:rsidRPr="00C12B05">
        <w:fldChar w:fldCharType="end"/>
      </w:r>
      <w:r w:rsidR="000200BB" w:rsidRPr="00C12B05">
        <w:t>)</w:t>
      </w:r>
      <w:r w:rsidR="00641C0C" w:rsidRPr="00C12B05">
        <w:t>,</w:t>
      </w:r>
      <w:r w:rsidR="000200BB" w:rsidRPr="00C12B05">
        <w:t xml:space="preserve"> </w:t>
      </w:r>
      <w:r w:rsidR="00641C0C" w:rsidRPr="00C12B05">
        <w:t>t</w:t>
      </w:r>
      <w:r w:rsidR="00F10AA6" w:rsidRPr="00C12B05">
        <w:t xml:space="preserve">he </w:t>
      </w:r>
      <w:r w:rsidR="00FF1470" w:rsidRPr="00C12B05">
        <w:t>higher a</w:t>
      </w:r>
      <w:r w:rsidR="00AF04D1" w:rsidRPr="00C12B05">
        <w:t>ssessed</w:t>
      </w:r>
      <w:r w:rsidR="007073CE" w:rsidRPr="00C12B05">
        <w:t xml:space="preserve"> </w:t>
      </w:r>
      <w:r w:rsidR="009A0F32" w:rsidRPr="00C12B05">
        <w:t>salary</w:t>
      </w:r>
      <w:r w:rsidR="00F04607" w:rsidRPr="00C12B05">
        <w:t xml:space="preserve"> </w:t>
      </w:r>
      <w:r w:rsidR="00675FA7" w:rsidRPr="00C12B05">
        <w:t>ha</w:t>
      </w:r>
      <w:r w:rsidR="00F04607" w:rsidRPr="00C12B05">
        <w:t>s resulted in negative assessed expense</w:t>
      </w:r>
      <w:r w:rsidR="00675FA7" w:rsidRPr="00C12B05">
        <w:t>s</w:t>
      </w:r>
      <w:r w:rsidR="00F57D97" w:rsidRPr="00C12B05">
        <w:t xml:space="preserve"> for the ACT</w:t>
      </w:r>
      <w:r w:rsidR="009F6178" w:rsidRPr="00C12B05">
        <w:t>. This</w:t>
      </w:r>
      <w:r w:rsidR="001A09E7" w:rsidRPr="00C12B05">
        <w:t xml:space="preserve"> has</w:t>
      </w:r>
      <w:r w:rsidR="00D53475" w:rsidRPr="00C12B05">
        <w:t xml:space="preserve"> </w:t>
      </w:r>
      <w:r w:rsidR="000E40C8" w:rsidRPr="00C12B05">
        <w:t>increase</w:t>
      </w:r>
      <w:r w:rsidR="001A09E7" w:rsidRPr="00C12B05">
        <w:t>d</w:t>
      </w:r>
      <w:r w:rsidR="000E40C8" w:rsidRPr="00C12B05">
        <w:t xml:space="preserve"> the assess</w:t>
      </w:r>
      <w:r w:rsidR="00325483" w:rsidRPr="00C12B05">
        <w:t>ed GST needs of all other states</w:t>
      </w:r>
      <w:r w:rsidR="00641C0C" w:rsidRPr="00C12B05">
        <w:t>.</w:t>
      </w:r>
    </w:p>
    <w:p w14:paraId="6FDBFA55" w14:textId="358AF0C6" w:rsidR="00144593" w:rsidRPr="00827D07" w:rsidRDefault="009A0843" w:rsidP="004A637F">
      <w:pPr>
        <w:pStyle w:val="CGC2025ParaNumbers"/>
        <w:keepNext/>
      </w:pPr>
      <w:r w:rsidRPr="00827D07">
        <w:t>I</w:t>
      </w:r>
      <w:r w:rsidR="003404FB" w:rsidRPr="00827D07">
        <w:t>n</w:t>
      </w:r>
      <w:r w:rsidRPr="00827D07">
        <w:t xml:space="preserve"> the 2024 Update</w:t>
      </w:r>
      <w:r w:rsidR="002E3448" w:rsidRPr="00827D07">
        <w:t>,</w:t>
      </w:r>
      <w:r w:rsidRPr="00827D07">
        <w:t xml:space="preserve"> it is likely </w:t>
      </w:r>
      <w:r w:rsidR="00A817F3" w:rsidRPr="00827D07">
        <w:t xml:space="preserve">that </w:t>
      </w:r>
      <w:r w:rsidR="00762FFC" w:rsidRPr="00827D07">
        <w:t>the</w:t>
      </w:r>
      <w:r w:rsidR="00453DAC" w:rsidRPr="00827D07">
        <w:t xml:space="preserve"> negative assessed</w:t>
      </w:r>
      <w:r w:rsidR="001A7084" w:rsidRPr="00827D07">
        <w:t xml:space="preserve"> expenses </w:t>
      </w:r>
      <w:r w:rsidR="00932B9B" w:rsidRPr="00827D07">
        <w:t>from the</w:t>
      </w:r>
      <w:r w:rsidR="00762FFC" w:rsidRPr="00827D07">
        <w:t xml:space="preserve"> </w:t>
      </w:r>
      <w:r w:rsidR="00BE21AF" w:rsidRPr="00827D07">
        <w:t>p</w:t>
      </w:r>
      <w:r w:rsidR="00762FFC" w:rsidRPr="00827D07">
        <w:t xml:space="preserve">olice allowance will </w:t>
      </w:r>
      <w:r w:rsidR="0017502B" w:rsidRPr="00827D07">
        <w:t>more than offset the</w:t>
      </w:r>
      <w:r w:rsidR="006C1896" w:rsidRPr="00827D07">
        <w:t xml:space="preserve"> assessed expense</w:t>
      </w:r>
      <w:r w:rsidR="00CB0E6D" w:rsidRPr="00827D07">
        <w:t>s</w:t>
      </w:r>
      <w:r w:rsidR="006C1896" w:rsidRPr="00827D07">
        <w:t xml:space="preserve"> from</w:t>
      </w:r>
      <w:r w:rsidR="00E318B8" w:rsidRPr="00827D07">
        <w:t xml:space="preserve"> the</w:t>
      </w:r>
      <w:r w:rsidR="0017502B" w:rsidRPr="00827D07">
        <w:t xml:space="preserve"> </w:t>
      </w:r>
      <w:r w:rsidR="00BE21AF" w:rsidRPr="00827D07">
        <w:t>p</w:t>
      </w:r>
      <w:r w:rsidR="00D15936" w:rsidRPr="00827D07">
        <w:t>lanning</w:t>
      </w:r>
      <w:r w:rsidR="003A7ACD" w:rsidRPr="00827D07">
        <w:t xml:space="preserve"> allowance</w:t>
      </w:r>
      <w:r w:rsidR="006F546B" w:rsidRPr="00827D07">
        <w:t xml:space="preserve">. </w:t>
      </w:r>
      <w:r w:rsidR="0014788F" w:rsidRPr="00827D07">
        <w:t xml:space="preserve">This may </w:t>
      </w:r>
      <w:r w:rsidR="00F474C2" w:rsidRPr="00827D07">
        <w:t>result in negative assessed GST needs for</w:t>
      </w:r>
      <w:r w:rsidR="00603FA9" w:rsidRPr="00827D07">
        <w:t xml:space="preserve"> the ACT in</w:t>
      </w:r>
      <w:r w:rsidR="00395CFA" w:rsidRPr="00827D07">
        <w:t xml:space="preserve"> the</w:t>
      </w:r>
      <w:r w:rsidR="00F474C2" w:rsidRPr="00827D07">
        <w:t xml:space="preserve"> national capital</w:t>
      </w:r>
      <w:r w:rsidR="001C281D" w:rsidRPr="00827D07">
        <w:t xml:space="preserve"> assessment</w:t>
      </w:r>
      <w:r w:rsidR="00F474C2" w:rsidRPr="00827D07">
        <w:t>.</w:t>
      </w:r>
    </w:p>
    <w:p w14:paraId="72113E71" w14:textId="5F993344" w:rsidR="0097443F" w:rsidRDefault="0097443F" w:rsidP="00024BD8">
      <w:pPr>
        <w:pStyle w:val="CGC2025Caption"/>
        <w:keepNext/>
        <w:ind w:left="1134" w:hanging="1134"/>
      </w:pPr>
      <w:bookmarkStart w:id="41" w:name="_Ref127278710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584DC6">
        <w:rPr>
          <w:noProof/>
        </w:rPr>
        <w:t>6</w:t>
      </w:r>
      <w:r>
        <w:fldChar w:fldCharType="end"/>
      </w:r>
      <w:bookmarkEnd w:id="41"/>
      <w:r>
        <w:tab/>
      </w:r>
      <w:r w:rsidRPr="005B2D69">
        <w:rPr>
          <w:spacing w:val="-4"/>
        </w:rPr>
        <w:t>Difference between a</w:t>
      </w:r>
      <w:r w:rsidR="00836637">
        <w:rPr>
          <w:spacing w:val="-4"/>
        </w:rPr>
        <w:t>ssessed</w:t>
      </w:r>
      <w:r w:rsidRPr="005B2D69">
        <w:rPr>
          <w:spacing w:val="-4"/>
        </w:rPr>
        <w:t xml:space="preserve"> </w:t>
      </w:r>
      <w:r w:rsidR="00836637">
        <w:rPr>
          <w:spacing w:val="-4"/>
        </w:rPr>
        <w:t>ACT</w:t>
      </w:r>
      <w:r w:rsidRPr="005B2D69">
        <w:rPr>
          <w:spacing w:val="-4"/>
        </w:rPr>
        <w:t xml:space="preserve"> police salary and average</w:t>
      </w:r>
      <w:r w:rsidR="002F533B">
        <w:rPr>
          <w:spacing w:val="-4"/>
        </w:rPr>
        <w:t xml:space="preserve"> actual</w:t>
      </w:r>
      <w:r w:rsidRPr="005B2D69">
        <w:rPr>
          <w:spacing w:val="-4"/>
        </w:rPr>
        <w:t xml:space="preserve"> ACT police salary</w:t>
      </w:r>
      <w:r w:rsidR="00720CC2">
        <w:rPr>
          <w:spacing w:val="-4"/>
        </w:rPr>
        <w:t xml:space="preserve">, 2023 </w:t>
      </w:r>
      <w:proofErr w:type="gramStart"/>
      <w:r w:rsidR="00720CC2">
        <w:rPr>
          <w:spacing w:val="-4"/>
        </w:rPr>
        <w:t>Update</w:t>
      </w:r>
      <w:proofErr w:type="gramEnd"/>
    </w:p>
    <w:tbl>
      <w:tblPr>
        <w:tblW w:w="8942" w:type="dxa"/>
        <w:tblBorders>
          <w:top w:val="single" w:sz="4" w:space="0" w:color="ADD6EA"/>
          <w:bottom w:val="single" w:sz="4" w:space="0" w:color="ADD6EA"/>
          <w:insideH w:val="single" w:sz="4" w:space="0" w:color="ADD6EA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1067"/>
        <w:gridCol w:w="1068"/>
        <w:gridCol w:w="1068"/>
        <w:gridCol w:w="1068"/>
        <w:gridCol w:w="1068"/>
        <w:gridCol w:w="1069"/>
      </w:tblGrid>
      <w:tr w:rsidR="00CB58DD" w:rsidRPr="00C0161E" w14:paraId="7E2B42CB" w14:textId="77777777" w:rsidTr="00D85763">
        <w:trPr>
          <w:trHeight w:val="374"/>
        </w:trPr>
        <w:tc>
          <w:tcPr>
            <w:tcW w:w="2552" w:type="dxa"/>
            <w:shd w:val="clear" w:color="000000" w:fill="006991"/>
            <w:vAlign w:val="center"/>
            <w:hideMark/>
          </w:tcPr>
          <w:p w14:paraId="1A955ABB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bookmarkStart w:id="42" w:name="_Ref127371079"/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74" w:type="dxa"/>
            <w:shd w:val="clear" w:color="000000" w:fill="006991"/>
            <w:noWrap/>
            <w:vAlign w:val="center"/>
            <w:hideMark/>
          </w:tcPr>
          <w:p w14:paraId="6EC67E24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C0161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Unit</w:t>
            </w:r>
          </w:p>
        </w:tc>
        <w:tc>
          <w:tcPr>
            <w:tcW w:w="1074" w:type="dxa"/>
            <w:shd w:val="clear" w:color="000000" w:fill="006991"/>
            <w:vAlign w:val="center"/>
          </w:tcPr>
          <w:p w14:paraId="2E05CFFC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2017-18</w:t>
            </w:r>
          </w:p>
        </w:tc>
        <w:tc>
          <w:tcPr>
            <w:tcW w:w="1074" w:type="dxa"/>
            <w:shd w:val="clear" w:color="000000" w:fill="006991"/>
            <w:noWrap/>
            <w:vAlign w:val="center"/>
            <w:hideMark/>
          </w:tcPr>
          <w:p w14:paraId="3008AF58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C0161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2018-19</w:t>
            </w:r>
          </w:p>
        </w:tc>
        <w:tc>
          <w:tcPr>
            <w:tcW w:w="1074" w:type="dxa"/>
            <w:shd w:val="clear" w:color="000000" w:fill="006991"/>
            <w:noWrap/>
            <w:vAlign w:val="center"/>
            <w:hideMark/>
          </w:tcPr>
          <w:p w14:paraId="583B90AB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C0161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2019-20</w:t>
            </w:r>
          </w:p>
        </w:tc>
        <w:tc>
          <w:tcPr>
            <w:tcW w:w="1074" w:type="dxa"/>
            <w:shd w:val="clear" w:color="000000" w:fill="006991"/>
            <w:noWrap/>
            <w:vAlign w:val="center"/>
            <w:hideMark/>
          </w:tcPr>
          <w:p w14:paraId="0029D7D3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C0161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1075" w:type="dxa"/>
            <w:shd w:val="clear" w:color="000000" w:fill="006991"/>
            <w:noWrap/>
            <w:vAlign w:val="center"/>
            <w:hideMark/>
          </w:tcPr>
          <w:p w14:paraId="60497C1D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C0161E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</w:t>
            </w:r>
            <w:r w:rsidRPr="00B07703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vertAlign w:val="superscript"/>
                <w:lang w:eastAsia="en-AU"/>
              </w:rPr>
              <w:t>(a)</w:t>
            </w:r>
          </w:p>
        </w:tc>
      </w:tr>
      <w:tr w:rsidR="00CB58DD" w:rsidRPr="00C0161E" w14:paraId="2AB6175B" w14:textId="77777777" w:rsidTr="00D85763">
        <w:trPr>
          <w:trHeight w:val="318"/>
        </w:trPr>
        <w:tc>
          <w:tcPr>
            <w:tcW w:w="2552" w:type="dxa"/>
            <w:shd w:val="clear" w:color="auto" w:fill="auto"/>
            <w:vAlign w:val="bottom"/>
            <w:hideMark/>
          </w:tcPr>
          <w:p w14:paraId="5CAE614D" w14:textId="3A088E00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Assessed</w:t>
            </w: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salary</w:t>
            </w:r>
            <w:r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8C7A88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(</w:t>
            </w:r>
            <w:r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b</w:t>
            </w:r>
            <w:r w:rsidRPr="008C7A88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)</w:t>
            </w: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8D7B50B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107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F0EAA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129,234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DF2767C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134,086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9B84E16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138,734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E987011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139,788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6910205A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143,715</w:t>
            </w:r>
          </w:p>
        </w:tc>
      </w:tr>
      <w:tr w:rsidR="00CB58DD" w:rsidRPr="00C0161E" w14:paraId="04710C06" w14:textId="77777777" w:rsidTr="00D85763">
        <w:trPr>
          <w:trHeight w:val="318"/>
        </w:trPr>
        <w:tc>
          <w:tcPr>
            <w:tcW w:w="2552" w:type="dxa"/>
            <w:shd w:val="clear" w:color="auto" w:fill="auto"/>
            <w:vAlign w:val="bottom"/>
            <w:hideMark/>
          </w:tcPr>
          <w:p w14:paraId="26AABECC" w14:textId="627F4742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7C5BF7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 xml:space="preserve">Average actual salary </w:t>
            </w:r>
            <w:r w:rsidRPr="00186F28">
              <w:rPr>
                <w:rFonts w:eastAsia="Times New Roman" w:cs="Open Sans Light"/>
                <w:color w:val="000000"/>
                <w:sz w:val="16"/>
                <w:szCs w:val="16"/>
                <w:vertAlign w:val="superscript"/>
                <w:lang w:eastAsia="en-AU"/>
              </w:rPr>
              <w:t>(b)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7F666F8C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107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</w:tcPr>
          <w:p w14:paraId="79E42F50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135,011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1F80699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144,109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63220335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139,640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2AE1EA1D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131,175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37DF168E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131,175</w:t>
            </w:r>
          </w:p>
        </w:tc>
      </w:tr>
      <w:tr w:rsidR="00CB58DD" w:rsidRPr="00C0161E" w14:paraId="73CA0504" w14:textId="77777777" w:rsidTr="00D85763">
        <w:trPr>
          <w:trHeight w:val="318"/>
        </w:trPr>
        <w:tc>
          <w:tcPr>
            <w:tcW w:w="2552" w:type="dxa"/>
            <w:shd w:val="clear" w:color="auto" w:fill="auto"/>
            <w:vAlign w:val="bottom"/>
            <w:hideMark/>
          </w:tcPr>
          <w:p w14:paraId="7FE6EBC3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Difference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58EF90C6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$</w:t>
            </w:r>
          </w:p>
        </w:tc>
        <w:tc>
          <w:tcPr>
            <w:tcW w:w="107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</w:tcPr>
          <w:p w14:paraId="6BBFACDB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>
              <w:rPr>
                <w:rFonts w:cs="Open Sans Light"/>
                <w:color w:val="000000"/>
                <w:sz w:val="16"/>
                <w:szCs w:val="16"/>
              </w:rPr>
              <w:t>5,777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3573C14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10,023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34A8A21C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906</w:t>
            </w:r>
          </w:p>
        </w:tc>
        <w:tc>
          <w:tcPr>
            <w:tcW w:w="1074" w:type="dxa"/>
            <w:shd w:val="clear" w:color="auto" w:fill="auto"/>
            <w:noWrap/>
            <w:vAlign w:val="bottom"/>
            <w:hideMark/>
          </w:tcPr>
          <w:p w14:paraId="445FD3A7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-8,613</w:t>
            </w:r>
          </w:p>
        </w:tc>
        <w:tc>
          <w:tcPr>
            <w:tcW w:w="1075" w:type="dxa"/>
            <w:shd w:val="clear" w:color="auto" w:fill="auto"/>
            <w:noWrap/>
            <w:vAlign w:val="bottom"/>
            <w:hideMark/>
          </w:tcPr>
          <w:p w14:paraId="2B479273" w14:textId="77777777" w:rsidR="00CB58DD" w:rsidRPr="00C0161E" w:rsidRDefault="00CB58DD" w:rsidP="00043EDB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C0161E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-12,540</w:t>
            </w:r>
          </w:p>
        </w:tc>
      </w:tr>
    </w:tbl>
    <w:p w14:paraId="282F4FFC" w14:textId="0E579330" w:rsidR="0097443F" w:rsidRPr="002E4C0B" w:rsidRDefault="0097443F" w:rsidP="009032E0">
      <w:pPr>
        <w:pStyle w:val="CGCTablenote"/>
        <w:keepNext/>
        <w:keepLines/>
        <w:tabs>
          <w:tab w:val="clear" w:pos="567"/>
          <w:tab w:val="clear" w:pos="680"/>
          <w:tab w:val="left" w:pos="426"/>
        </w:tabs>
        <w:ind w:left="426" w:hanging="313"/>
        <w:rPr>
          <w:rFonts w:ascii="Work Sans" w:hAnsi="Work Sans"/>
          <w:color w:val="000000" w:themeColor="text1"/>
        </w:rPr>
      </w:pPr>
      <w:r w:rsidRPr="00440D23">
        <w:rPr>
          <w:rFonts w:ascii="Work Sans" w:hAnsi="Work Sans"/>
        </w:rPr>
        <w:t>(a)</w:t>
      </w:r>
      <w:r w:rsidRPr="00440D23">
        <w:rPr>
          <w:rFonts w:ascii="Work Sans" w:hAnsi="Work Sans"/>
        </w:rPr>
        <w:tab/>
      </w:r>
      <w:bookmarkStart w:id="43" w:name="_Hlk135229410"/>
      <w:r w:rsidRPr="00440D23">
        <w:rPr>
          <w:rFonts w:ascii="Work Sans" w:hAnsi="Work Sans"/>
        </w:rPr>
        <w:t xml:space="preserve">For the most recent assessment year, the Commission uses the previous year’s policing data as a placeholder because the Productivity Commission does not release its </w:t>
      </w:r>
      <w:bookmarkStart w:id="44" w:name="_Hlk127431887"/>
      <w:r w:rsidRPr="00E37F4B">
        <w:rPr>
          <w:rFonts w:ascii="Work Sans" w:hAnsi="Work Sans"/>
          <w:i/>
          <w:iCs/>
        </w:rPr>
        <w:t>Report on Government Services</w:t>
      </w:r>
      <w:r w:rsidRPr="00440D23">
        <w:rPr>
          <w:rFonts w:ascii="Work Sans" w:hAnsi="Work Sans"/>
        </w:rPr>
        <w:t xml:space="preserve"> </w:t>
      </w:r>
      <w:bookmarkEnd w:id="44"/>
      <w:r w:rsidRPr="00440D23">
        <w:rPr>
          <w:rFonts w:ascii="Work Sans" w:hAnsi="Work Sans"/>
        </w:rPr>
        <w:t xml:space="preserve">in time for use in calculating the annual GST relativities. </w:t>
      </w:r>
      <w:bookmarkEnd w:id="43"/>
    </w:p>
    <w:p w14:paraId="3A1C2ED2" w14:textId="0AF45065" w:rsidR="0097443F" w:rsidRPr="00440D23" w:rsidRDefault="0097443F" w:rsidP="009032E0">
      <w:pPr>
        <w:pStyle w:val="CGCTablenote"/>
        <w:keepNext/>
        <w:keepLines/>
        <w:tabs>
          <w:tab w:val="clear" w:pos="567"/>
          <w:tab w:val="clear" w:pos="680"/>
          <w:tab w:val="left" w:pos="426"/>
        </w:tabs>
        <w:ind w:left="426" w:hanging="313"/>
        <w:rPr>
          <w:rFonts w:ascii="Work Sans" w:hAnsi="Work Sans"/>
        </w:rPr>
      </w:pPr>
      <w:r w:rsidRPr="002E4C0B">
        <w:rPr>
          <w:rFonts w:ascii="Work Sans" w:hAnsi="Work Sans"/>
          <w:color w:val="000000" w:themeColor="text1"/>
        </w:rPr>
        <w:t>(b)</w:t>
      </w:r>
      <w:r w:rsidRPr="002E4C0B">
        <w:rPr>
          <w:rFonts w:ascii="Work Sans" w:hAnsi="Work Sans"/>
          <w:color w:val="000000" w:themeColor="text1"/>
        </w:rPr>
        <w:tab/>
        <w:t>Excludes payroll tax becaus</w:t>
      </w:r>
      <w:r w:rsidRPr="00440D23">
        <w:rPr>
          <w:rFonts w:ascii="Work Sans" w:hAnsi="Work Sans"/>
        </w:rPr>
        <w:t>e the A</w:t>
      </w:r>
      <w:r w:rsidR="000B0B1E">
        <w:rPr>
          <w:rFonts w:ascii="Work Sans" w:hAnsi="Work Sans"/>
        </w:rPr>
        <w:t xml:space="preserve">ustralian </w:t>
      </w:r>
      <w:r w:rsidRPr="00440D23">
        <w:rPr>
          <w:rFonts w:ascii="Work Sans" w:hAnsi="Work Sans"/>
        </w:rPr>
        <w:t>F</w:t>
      </w:r>
      <w:r w:rsidR="000B0B1E">
        <w:rPr>
          <w:rFonts w:ascii="Work Sans" w:hAnsi="Work Sans"/>
        </w:rPr>
        <w:t xml:space="preserve">ederal </w:t>
      </w:r>
      <w:r w:rsidRPr="00440D23">
        <w:rPr>
          <w:rFonts w:ascii="Work Sans" w:hAnsi="Work Sans"/>
        </w:rPr>
        <w:t>P</w:t>
      </w:r>
      <w:r w:rsidR="000B0B1E">
        <w:rPr>
          <w:rFonts w:ascii="Work Sans" w:hAnsi="Work Sans"/>
        </w:rPr>
        <w:t>olice</w:t>
      </w:r>
      <w:r w:rsidRPr="00440D23">
        <w:rPr>
          <w:rFonts w:ascii="Work Sans" w:hAnsi="Work Sans"/>
        </w:rPr>
        <w:t xml:space="preserve"> </w:t>
      </w:r>
      <w:r w:rsidR="002E7F1D">
        <w:rPr>
          <w:rFonts w:ascii="Work Sans" w:hAnsi="Work Sans"/>
        </w:rPr>
        <w:t>are</w:t>
      </w:r>
      <w:r w:rsidRPr="00440D23">
        <w:rPr>
          <w:rFonts w:ascii="Work Sans" w:hAnsi="Work Sans"/>
        </w:rPr>
        <w:t xml:space="preserve"> exempt from paying payroll tax.</w:t>
      </w:r>
    </w:p>
    <w:p w14:paraId="1A2175FB" w14:textId="7D5CBD0A" w:rsidR="00D74FD3" w:rsidRPr="00AE6DB4" w:rsidRDefault="0097443F" w:rsidP="00D74FD3">
      <w:pPr>
        <w:pStyle w:val="CGC2025TableNote"/>
      </w:pPr>
      <w:r w:rsidRPr="00440D23">
        <w:t>Source:</w:t>
      </w:r>
      <w:r w:rsidRPr="00440D23">
        <w:tab/>
      </w:r>
      <w:r w:rsidR="00D74FD3" w:rsidRPr="00AE6DB4">
        <w:t>Productivity Commission,</w:t>
      </w:r>
      <w:r w:rsidR="00D74FD3">
        <w:t xml:space="preserve"> ‘6 Police Services’</w:t>
      </w:r>
      <w:r w:rsidR="00F97499">
        <w:t xml:space="preserve"> [data set]</w:t>
      </w:r>
      <w:r w:rsidR="00D74FD3">
        <w:t xml:space="preserve">, </w:t>
      </w:r>
      <w:hyperlink r:id="rId19" w:history="1">
        <w:r w:rsidR="00C819C6">
          <w:rPr>
            <w:rStyle w:val="Hyperlink"/>
          </w:rPr>
          <w:t>Report on Government Services 2022</w:t>
        </w:r>
      </w:hyperlink>
      <w:r w:rsidR="00D74FD3">
        <w:t>, Productivity Commission website</w:t>
      </w:r>
      <w:r w:rsidR="00D74FD3" w:rsidRPr="00AE6DB4">
        <w:t>,</w:t>
      </w:r>
      <w:r w:rsidR="00D74FD3">
        <w:t xml:space="preserve"> 2022, accessed 19 April 2023.</w:t>
      </w:r>
    </w:p>
    <w:p w14:paraId="663CF193" w14:textId="6AA63A9C" w:rsidR="0097443F" w:rsidRPr="00440D23" w:rsidRDefault="00D74FD3" w:rsidP="009032E0">
      <w:pPr>
        <w:pStyle w:val="CGC2025TableNote"/>
        <w:tabs>
          <w:tab w:val="clear" w:pos="567"/>
          <w:tab w:val="left" w:pos="709"/>
        </w:tabs>
      </w:pPr>
      <w:r w:rsidRPr="00AE6DB4">
        <w:tab/>
        <w:t>Australian Bureau of Statistics (ABS),</w:t>
      </w:r>
      <w:r w:rsidRPr="00146411">
        <w:t xml:space="preserve"> ‘</w:t>
      </w:r>
      <w:r w:rsidRPr="00036DF3">
        <w:t>Table 4a</w:t>
      </w:r>
      <w:r w:rsidR="0063242C">
        <w:t>.</w:t>
      </w:r>
      <w:r w:rsidRPr="00036DF3">
        <w:t xml:space="preserve"> Total Hourly Rates of Pay Excluding Bonuses: Public Sector by State, Original (Financial Year Index Numbers for year ended June quarter)</w:t>
      </w:r>
      <w:r>
        <w:t>’</w:t>
      </w:r>
      <w:r w:rsidR="00E9396E">
        <w:t xml:space="preserve"> [</w:t>
      </w:r>
      <w:r w:rsidR="00DB06B5">
        <w:t>time series spreadsheet]</w:t>
      </w:r>
      <w:r>
        <w:t>,</w:t>
      </w:r>
      <w:r w:rsidRPr="00AE6DB4">
        <w:t xml:space="preserve"> </w:t>
      </w:r>
      <w:hyperlink r:id="rId20" w:anchor=":~:text=Annual%20growth%20lifted%20to%203.8,in%20the%20March%20quarter%202023" w:history="1">
        <w:r>
          <w:rPr>
            <w:rStyle w:val="Hyperlink"/>
            <w:szCs w:val="14"/>
          </w:rPr>
          <w:t>Wage Price Index, Australia</w:t>
        </w:r>
      </w:hyperlink>
      <w:r>
        <w:t>, ABS website, 2022, accessed 19 April 2023.</w:t>
      </w:r>
    </w:p>
    <w:p w14:paraId="0FAA657E" w14:textId="7CA2925E" w:rsidR="001136F3" w:rsidRDefault="002D311B" w:rsidP="00780198">
      <w:pPr>
        <w:pStyle w:val="Heading2"/>
      </w:pPr>
      <w:bookmarkStart w:id="45" w:name="_Toc121741488"/>
      <w:bookmarkStart w:id="46" w:name="_Toc147414343"/>
      <w:bookmarkEnd w:id="37"/>
      <w:bookmarkEnd w:id="42"/>
      <w:r w:rsidRPr="002D311B">
        <w:t xml:space="preserve">Implications </w:t>
      </w:r>
      <w:bookmarkEnd w:id="45"/>
      <w:r w:rsidR="00494937">
        <w:t>for assessment</w:t>
      </w:r>
      <w:bookmarkEnd w:id="46"/>
    </w:p>
    <w:p w14:paraId="73BE5ABE" w14:textId="7780927F" w:rsidR="00FD3C06" w:rsidRDefault="00FD3C06" w:rsidP="00E0143B">
      <w:pPr>
        <w:pStyle w:val="CGC2025ParaNumbers"/>
      </w:pPr>
      <w:bookmarkStart w:id="47" w:name="_Hlk128488938"/>
      <w:r w:rsidRPr="006B052C">
        <w:t>The Commission has identified</w:t>
      </w:r>
      <w:r w:rsidR="003363FC">
        <w:t xml:space="preserve"> a single</w:t>
      </w:r>
      <w:r w:rsidRPr="006B052C">
        <w:t xml:space="preserve"> issue for consideration.</w:t>
      </w:r>
    </w:p>
    <w:p w14:paraId="39461517" w14:textId="509D1FF1" w:rsidR="003363FC" w:rsidRDefault="008B6A21" w:rsidP="004F45A5">
      <w:pPr>
        <w:pStyle w:val="CGC2025Bullet1"/>
      </w:pPr>
      <w:bookmarkStart w:id="48" w:name="_Hlk128562609"/>
      <w:r>
        <w:t>Should the national capital a</w:t>
      </w:r>
      <w:r w:rsidR="00292F67">
        <w:t>ssessment</w:t>
      </w:r>
      <w:r>
        <w:t xml:space="preserve"> be discontinued</w:t>
      </w:r>
      <w:r w:rsidR="00402396">
        <w:t xml:space="preserve"> if it remains immaterial</w:t>
      </w:r>
      <w:r>
        <w:t>?</w:t>
      </w:r>
    </w:p>
    <w:p w14:paraId="218DE93B" w14:textId="556B0D52" w:rsidR="00FD3C06" w:rsidRPr="000B6958" w:rsidRDefault="003363FC" w:rsidP="003363FC">
      <w:pPr>
        <w:pStyle w:val="Heading3"/>
        <w:rPr>
          <w:spacing w:val="-4"/>
        </w:rPr>
      </w:pPr>
      <w:bookmarkStart w:id="49" w:name="_Toc147414344"/>
      <w:bookmarkEnd w:id="48"/>
      <w:r w:rsidRPr="000B6958">
        <w:rPr>
          <w:spacing w:val="-4"/>
        </w:rPr>
        <w:lastRenderedPageBreak/>
        <w:t>Should the national capital a</w:t>
      </w:r>
      <w:r w:rsidR="00292F67">
        <w:rPr>
          <w:spacing w:val="-4"/>
        </w:rPr>
        <w:t>ssessment</w:t>
      </w:r>
      <w:r w:rsidRPr="000B6958">
        <w:rPr>
          <w:spacing w:val="-4"/>
        </w:rPr>
        <w:t xml:space="preserve"> be discontinued?</w:t>
      </w:r>
      <w:bookmarkEnd w:id="49"/>
    </w:p>
    <w:bookmarkEnd w:id="47"/>
    <w:p w14:paraId="37FC0219" w14:textId="48B34179" w:rsidR="00E028BC" w:rsidRDefault="00BC116C" w:rsidP="00E0143B">
      <w:pPr>
        <w:pStyle w:val="CGC2025ParaNumbers"/>
      </w:pPr>
      <w:r>
        <w:t>I</w:t>
      </w:r>
      <w:r w:rsidR="000874DE" w:rsidRPr="00A14C13">
        <w:t xml:space="preserve">n the 2004 Review </w:t>
      </w:r>
      <w:r w:rsidR="00201EBD" w:rsidRPr="00A14C13">
        <w:t xml:space="preserve">the Commission determined </w:t>
      </w:r>
      <w:r w:rsidR="000874DE" w:rsidRPr="00A14C13">
        <w:t xml:space="preserve">that the police allowance was appropriate while Australian Federal Police salary levels remained above </w:t>
      </w:r>
      <w:r w:rsidR="00201EBD" w:rsidRPr="00A14C13">
        <w:t xml:space="preserve">those </w:t>
      </w:r>
      <w:r w:rsidR="000874DE" w:rsidRPr="00A14C13">
        <w:t>of their state colleagues.</w:t>
      </w:r>
      <w:r w:rsidR="000874DE" w:rsidRPr="00A14C13">
        <w:rPr>
          <w:rStyle w:val="FootnoteReference"/>
        </w:rPr>
        <w:footnoteReference w:id="5"/>
      </w:r>
      <w:r w:rsidR="000874DE" w:rsidRPr="00A14C13">
        <w:t xml:space="preserve"> </w:t>
      </w:r>
      <w:r w:rsidR="00201EBD" w:rsidRPr="00A14C13">
        <w:t>However, t</w:t>
      </w:r>
      <w:r w:rsidR="000874DE" w:rsidRPr="00A14C13">
        <w:t>he ACT’s average</w:t>
      </w:r>
      <w:r w:rsidR="000874DE">
        <w:t xml:space="preserve"> </w:t>
      </w:r>
      <w:r w:rsidR="0031265B">
        <w:t>actual</w:t>
      </w:r>
      <w:r w:rsidR="000874DE" w:rsidRPr="00A14C13">
        <w:t xml:space="preserve"> salary was well below the state average in 2020–21 and 2021–22 (</w:t>
      </w:r>
      <w:r w:rsidR="000874DE" w:rsidRPr="00A14C13">
        <w:rPr>
          <w:b/>
        </w:rPr>
        <w:fldChar w:fldCharType="begin"/>
      </w:r>
      <w:r w:rsidR="000874DE" w:rsidRPr="00A14C13">
        <w:rPr>
          <w:b/>
        </w:rPr>
        <w:instrText xml:space="preserve"> REF _Ref135752624 \h  \* MERGEFORMAT </w:instrText>
      </w:r>
      <w:r w:rsidR="000874DE" w:rsidRPr="00A14C13">
        <w:rPr>
          <w:b/>
        </w:rPr>
      </w:r>
      <w:r w:rsidR="000874DE" w:rsidRPr="00A14C13">
        <w:rPr>
          <w:b/>
        </w:rPr>
        <w:fldChar w:fldCharType="separate"/>
      </w:r>
      <w:r w:rsidR="00584DC6" w:rsidRPr="00584DC6">
        <w:rPr>
          <w:rStyle w:val="CaptionChar"/>
          <w:rFonts w:ascii="Work Sans" w:hAnsi="Work Sans"/>
          <w:b w:val="0"/>
        </w:rPr>
        <w:t>Table 7</w:t>
      </w:r>
      <w:r w:rsidR="000874DE" w:rsidRPr="00A14C13">
        <w:rPr>
          <w:b/>
        </w:rPr>
        <w:fldChar w:fldCharType="end"/>
      </w:r>
      <w:r w:rsidR="000874DE" w:rsidRPr="00A14C13">
        <w:t>).</w:t>
      </w:r>
      <w:r>
        <w:t xml:space="preserve"> </w:t>
      </w:r>
    </w:p>
    <w:p w14:paraId="5CBE4796" w14:textId="22ECAE3E" w:rsidR="0097443F" w:rsidRPr="005D733E" w:rsidRDefault="0097443F" w:rsidP="00024BD8">
      <w:pPr>
        <w:pStyle w:val="CGC2025Caption"/>
        <w:keepNext/>
        <w:keepLines/>
        <w:tabs>
          <w:tab w:val="left" w:pos="1134"/>
        </w:tabs>
      </w:pPr>
      <w:bookmarkStart w:id="50" w:name="_Ref135752624"/>
      <w:bookmarkStart w:id="51" w:name="_Ref135752618"/>
      <w:r w:rsidRPr="005D733E">
        <w:rPr>
          <w:rStyle w:val="CaptionChar"/>
          <w:rFonts w:ascii="Work Sans" w:hAnsi="Work Sans"/>
          <w:b/>
          <w:bCs w:val="0"/>
          <w:szCs w:val="22"/>
        </w:rPr>
        <w:t xml:space="preserve">Table </w:t>
      </w:r>
      <w:r w:rsidRPr="005D733E">
        <w:rPr>
          <w:rStyle w:val="CaptionChar"/>
          <w:rFonts w:ascii="Work Sans" w:hAnsi="Work Sans"/>
          <w:b/>
          <w:bCs w:val="0"/>
          <w:szCs w:val="22"/>
        </w:rPr>
        <w:fldChar w:fldCharType="begin"/>
      </w:r>
      <w:r w:rsidRPr="005D733E">
        <w:rPr>
          <w:rStyle w:val="CaptionChar"/>
          <w:rFonts w:ascii="Work Sans" w:hAnsi="Work Sans"/>
          <w:b/>
          <w:bCs w:val="0"/>
          <w:szCs w:val="22"/>
        </w:rPr>
        <w:instrText xml:space="preserve"> SEQ Table \* ARABIC </w:instrText>
      </w:r>
      <w:r w:rsidRPr="005D733E">
        <w:rPr>
          <w:rStyle w:val="CaptionChar"/>
          <w:rFonts w:ascii="Work Sans" w:hAnsi="Work Sans"/>
          <w:b/>
          <w:bCs w:val="0"/>
          <w:szCs w:val="22"/>
        </w:rPr>
        <w:fldChar w:fldCharType="separate"/>
      </w:r>
      <w:r w:rsidR="00584DC6">
        <w:rPr>
          <w:rStyle w:val="CaptionChar"/>
          <w:rFonts w:ascii="Work Sans" w:hAnsi="Work Sans"/>
          <w:b/>
          <w:bCs w:val="0"/>
          <w:noProof/>
          <w:szCs w:val="22"/>
        </w:rPr>
        <w:t>7</w:t>
      </w:r>
      <w:r w:rsidRPr="005D733E">
        <w:rPr>
          <w:rStyle w:val="CaptionChar"/>
          <w:rFonts w:ascii="Work Sans" w:hAnsi="Work Sans"/>
          <w:b/>
          <w:bCs w:val="0"/>
          <w:szCs w:val="22"/>
        </w:rPr>
        <w:fldChar w:fldCharType="end"/>
      </w:r>
      <w:bookmarkEnd w:id="50"/>
      <w:r w:rsidRPr="005D733E">
        <w:rPr>
          <w:rStyle w:val="CaptionChar"/>
          <w:rFonts w:ascii="Work Sans" w:hAnsi="Work Sans"/>
          <w:b/>
          <w:bCs w:val="0"/>
          <w:szCs w:val="22"/>
        </w:rPr>
        <w:tab/>
        <w:t>A</w:t>
      </w:r>
      <w:r w:rsidRPr="00CF1EFA">
        <w:rPr>
          <w:rStyle w:val="CaptionChar"/>
          <w:rFonts w:ascii="Work Sans" w:hAnsi="Work Sans"/>
          <w:b/>
          <w:bCs w:val="0"/>
          <w:szCs w:val="22"/>
        </w:rPr>
        <w:t>verage</w:t>
      </w:r>
      <w:r w:rsidRPr="005D733E">
        <w:rPr>
          <w:rStyle w:val="CaptionChar"/>
          <w:rFonts w:ascii="Work Sans" w:hAnsi="Work Sans"/>
          <w:b/>
          <w:bCs w:val="0"/>
          <w:szCs w:val="22"/>
        </w:rPr>
        <w:t xml:space="preserve"> </w:t>
      </w:r>
      <w:r w:rsidR="002D580F">
        <w:rPr>
          <w:rStyle w:val="CaptionChar"/>
          <w:rFonts w:ascii="Work Sans" w:hAnsi="Work Sans"/>
          <w:b/>
          <w:bCs w:val="0"/>
          <w:szCs w:val="22"/>
        </w:rPr>
        <w:t>actual</w:t>
      </w:r>
      <w:r w:rsidRPr="005D733E">
        <w:rPr>
          <w:rStyle w:val="CaptionChar"/>
          <w:rFonts w:ascii="Work Sans" w:hAnsi="Work Sans"/>
          <w:b/>
          <w:bCs w:val="0"/>
          <w:szCs w:val="22"/>
        </w:rPr>
        <w:t xml:space="preserve"> state police salar</w:t>
      </w:r>
      <w:r w:rsidR="009F5EFF">
        <w:rPr>
          <w:rStyle w:val="CaptionChar"/>
          <w:rFonts w:ascii="Work Sans" w:hAnsi="Work Sans"/>
          <w:b/>
          <w:bCs w:val="0"/>
          <w:szCs w:val="22"/>
        </w:rPr>
        <w:t>ies</w:t>
      </w:r>
      <w:r w:rsidRPr="005D733E">
        <w:rPr>
          <w:rStyle w:val="CaptionChar"/>
          <w:rFonts w:ascii="Work Sans" w:hAnsi="Work Sans"/>
          <w:b/>
          <w:bCs w:val="0"/>
          <w:szCs w:val="22"/>
        </w:rPr>
        <w:t>, 2017–18 to 202</w:t>
      </w:r>
      <w:r w:rsidR="0049366A">
        <w:rPr>
          <w:rStyle w:val="CaptionChar"/>
          <w:rFonts w:ascii="Work Sans" w:hAnsi="Work Sans"/>
          <w:b/>
          <w:bCs w:val="0"/>
          <w:szCs w:val="22"/>
        </w:rPr>
        <w:t>1</w:t>
      </w:r>
      <w:r w:rsidRPr="005D733E">
        <w:rPr>
          <w:rStyle w:val="CaptionChar"/>
          <w:rFonts w:ascii="Work Sans" w:hAnsi="Work Sans"/>
          <w:b/>
          <w:bCs w:val="0"/>
          <w:szCs w:val="22"/>
        </w:rPr>
        <w:t>–2</w:t>
      </w:r>
      <w:bookmarkEnd w:id="51"/>
      <w:r w:rsidR="0049366A">
        <w:rPr>
          <w:rStyle w:val="CaptionChar"/>
          <w:rFonts w:ascii="Work Sans" w:hAnsi="Work Sans"/>
          <w:b/>
          <w:bCs w:val="0"/>
          <w:szCs w:val="22"/>
        </w:rPr>
        <w:t>2</w:t>
      </w:r>
      <w:r w:rsidRPr="005D733E">
        <w:t xml:space="preserve"> </w:t>
      </w:r>
    </w:p>
    <w:tbl>
      <w:tblPr>
        <w:tblW w:w="8942" w:type="dxa"/>
        <w:tblLook w:val="04A0" w:firstRow="1" w:lastRow="0" w:firstColumn="1" w:lastColumn="0" w:noHBand="0" w:noVBand="1"/>
      </w:tblPr>
      <w:tblGrid>
        <w:gridCol w:w="928"/>
        <w:gridCol w:w="884"/>
        <w:gridCol w:w="884"/>
        <w:gridCol w:w="883"/>
        <w:gridCol w:w="883"/>
        <w:gridCol w:w="883"/>
        <w:gridCol w:w="883"/>
        <w:gridCol w:w="883"/>
        <w:gridCol w:w="883"/>
        <w:gridCol w:w="948"/>
      </w:tblGrid>
      <w:tr w:rsidR="0049366A" w:rsidRPr="0049366A" w14:paraId="21848793" w14:textId="77777777" w:rsidTr="00E4688F">
        <w:trPr>
          <w:trHeight w:val="37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bottom"/>
            <w:hideMark/>
          </w:tcPr>
          <w:p w14:paraId="12C5CC22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52" w:name="RANGE!A2:J7"/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52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934E4C1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D38A6FE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16B20CF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5D68A6E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28960A5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4B4D8D1B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92B259D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74EEBF4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9BEA31D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49366A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Average</w:t>
            </w:r>
          </w:p>
        </w:tc>
      </w:tr>
      <w:tr w:rsidR="0049366A" w:rsidRPr="0049366A" w14:paraId="1A470ACE" w14:textId="77777777" w:rsidTr="00E4688F">
        <w:trPr>
          <w:trHeight w:val="315"/>
        </w:trPr>
        <w:tc>
          <w:tcPr>
            <w:tcW w:w="92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1C593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2017-18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9AEF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144,286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601F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118,944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5FEE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128,747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E656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135,339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1F8D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131,401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2171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122,129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AEE3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145,522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1533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155,082</w:t>
            </w:r>
          </w:p>
        </w:tc>
        <w:tc>
          <w:tcPr>
            <w:tcW w:w="94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4476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132,037</w:t>
            </w:r>
          </w:p>
        </w:tc>
      </w:tr>
      <w:tr w:rsidR="0049366A" w:rsidRPr="0049366A" w14:paraId="627B034D" w14:textId="77777777" w:rsidTr="00E4688F">
        <w:trPr>
          <w:trHeight w:val="315"/>
        </w:trPr>
        <w:tc>
          <w:tcPr>
            <w:tcW w:w="92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6538F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2018-19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5CCF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150,852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C17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120,100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65B7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128,799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107E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135,798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AB02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128,425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185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123,362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6455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146,828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E29F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155,905</w:t>
            </w:r>
          </w:p>
        </w:tc>
        <w:tc>
          <w:tcPr>
            <w:tcW w:w="94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F47D" w14:textId="4797F94D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133,877</w:t>
            </w:r>
          </w:p>
        </w:tc>
      </w:tr>
      <w:tr w:rsidR="0049366A" w:rsidRPr="0049366A" w14:paraId="4AAE3586" w14:textId="77777777" w:rsidTr="00E4688F">
        <w:trPr>
          <w:trHeight w:val="315"/>
        </w:trPr>
        <w:tc>
          <w:tcPr>
            <w:tcW w:w="92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A7B0A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2019-20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EED8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145,873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C7DB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127,360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1245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130,458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C8B2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129,828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1027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142,584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B0EA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122,934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C783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142,242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E9DF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152,648</w:t>
            </w:r>
          </w:p>
        </w:tc>
        <w:tc>
          <w:tcPr>
            <w:tcW w:w="94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DE76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135,165</w:t>
            </w:r>
          </w:p>
        </w:tc>
      </w:tr>
      <w:tr w:rsidR="0049366A" w:rsidRPr="0049366A" w14:paraId="3E370C65" w14:textId="77777777" w:rsidTr="00E4688F">
        <w:trPr>
          <w:trHeight w:val="315"/>
        </w:trPr>
        <w:tc>
          <w:tcPr>
            <w:tcW w:w="92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83BCF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3DC8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151,145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E35E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134,332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7274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135,379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95CB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129,487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7BCA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133,146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D591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123,073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E5B4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133,950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15E9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153,605</w:t>
            </w:r>
          </w:p>
        </w:tc>
        <w:tc>
          <w:tcPr>
            <w:tcW w:w="948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7E96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138,716</w:t>
            </w:r>
          </w:p>
        </w:tc>
      </w:tr>
      <w:tr w:rsidR="0049366A" w:rsidRPr="0049366A" w14:paraId="1550080F" w14:textId="77777777" w:rsidTr="00E4688F">
        <w:trPr>
          <w:trHeight w:val="315"/>
        </w:trPr>
        <w:tc>
          <w:tcPr>
            <w:tcW w:w="92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0E3589B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CCB0AF4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167,149</w:t>
            </w:r>
          </w:p>
        </w:tc>
        <w:tc>
          <w:tcPr>
            <w:tcW w:w="884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46FE18B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137,888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32C8676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129,947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E2F2519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138,966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1AF0DD2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128,063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3B1EDAF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126,357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BF8157D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135,316</w:t>
            </w:r>
          </w:p>
        </w:tc>
        <w:tc>
          <w:tcPr>
            <w:tcW w:w="88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75D2EC3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153,270</w:t>
            </w:r>
          </w:p>
        </w:tc>
        <w:tc>
          <w:tcPr>
            <w:tcW w:w="948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1CD793DB" w14:textId="77777777" w:rsidR="0049366A" w:rsidRPr="0049366A" w:rsidRDefault="0049366A" w:rsidP="00645B83">
            <w:pPr>
              <w:keepNext/>
              <w:keepLines/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49366A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143,410</w:t>
            </w:r>
          </w:p>
        </w:tc>
      </w:tr>
    </w:tbl>
    <w:p w14:paraId="46AC9071" w14:textId="61A6191A" w:rsidR="0097443F" w:rsidRDefault="0097443F" w:rsidP="00645B83">
      <w:pPr>
        <w:pStyle w:val="CGCTablenote"/>
        <w:keepNext/>
        <w:keepLines/>
        <w:ind w:left="680" w:hanging="567"/>
        <w:rPr>
          <w:rFonts w:ascii="Work Sans" w:hAnsi="Work Sans"/>
        </w:rPr>
      </w:pPr>
      <w:r w:rsidRPr="008506D9">
        <w:rPr>
          <w:rFonts w:ascii="Work Sans" w:hAnsi="Work Sans"/>
        </w:rPr>
        <w:t>Source:</w:t>
      </w:r>
      <w:r w:rsidRPr="008506D9">
        <w:rPr>
          <w:rFonts w:ascii="Work Sans" w:hAnsi="Work Sans"/>
        </w:rPr>
        <w:tab/>
        <w:t>Commission calculation</w:t>
      </w:r>
      <w:r w:rsidR="00EA11D5" w:rsidRPr="008506D9">
        <w:rPr>
          <w:rFonts w:ascii="Work Sans" w:hAnsi="Work Sans"/>
        </w:rPr>
        <w:t xml:space="preserve"> based on </w:t>
      </w:r>
      <w:r w:rsidR="004F3737" w:rsidRPr="00AE6DB4">
        <w:rPr>
          <w:rFonts w:ascii="Work Sans" w:hAnsi="Work Sans"/>
          <w:szCs w:val="14"/>
        </w:rPr>
        <w:t>Table 6A.1 and Table 6A.</w:t>
      </w:r>
      <w:r w:rsidR="004F3737">
        <w:rPr>
          <w:rFonts w:ascii="Work Sans" w:hAnsi="Work Sans"/>
          <w:szCs w:val="14"/>
        </w:rPr>
        <w:t xml:space="preserve">2 of </w:t>
      </w:r>
      <w:r w:rsidR="00EA11D5" w:rsidRPr="008506D9">
        <w:rPr>
          <w:rFonts w:ascii="Work Sans" w:hAnsi="Work Sans"/>
        </w:rPr>
        <w:t>the</w:t>
      </w:r>
      <w:r w:rsidR="008506D9">
        <w:rPr>
          <w:rFonts w:ascii="Work Sans" w:hAnsi="Work Sans"/>
        </w:rPr>
        <w:t xml:space="preserve"> Productiv</w:t>
      </w:r>
      <w:r w:rsidR="0015240C">
        <w:rPr>
          <w:rFonts w:ascii="Work Sans" w:hAnsi="Work Sans"/>
        </w:rPr>
        <w:t>ity Commission’s</w:t>
      </w:r>
      <w:r w:rsidR="00E37F4B">
        <w:rPr>
          <w:rFonts w:ascii="Work Sans" w:hAnsi="Work Sans"/>
        </w:rPr>
        <w:t xml:space="preserve"> </w:t>
      </w:r>
      <w:r w:rsidR="00296C31" w:rsidRPr="008506D9">
        <w:rPr>
          <w:rFonts w:ascii="Work Sans" w:hAnsi="Work Sans"/>
          <w:i/>
          <w:iCs/>
        </w:rPr>
        <w:t>Report on Government Services</w:t>
      </w:r>
      <w:r w:rsidR="00A279E1">
        <w:rPr>
          <w:rFonts w:ascii="Work Sans" w:hAnsi="Work Sans"/>
          <w:i/>
          <w:iCs/>
        </w:rPr>
        <w:t xml:space="preserve"> 2023</w:t>
      </w:r>
      <w:r w:rsidR="00296C31" w:rsidRPr="008506D9">
        <w:rPr>
          <w:rFonts w:ascii="Work Sans" w:hAnsi="Work Sans"/>
        </w:rPr>
        <w:t>.</w:t>
      </w:r>
    </w:p>
    <w:p w14:paraId="17027E60" w14:textId="08C4F04D" w:rsidR="00782809" w:rsidRDefault="00485439" w:rsidP="00782809">
      <w:pPr>
        <w:pStyle w:val="CGC2025ParaNumbers"/>
      </w:pPr>
      <w:r>
        <w:t>If the police</w:t>
      </w:r>
      <w:r w:rsidR="00A87046">
        <w:t xml:space="preserve"> </w:t>
      </w:r>
      <w:r w:rsidR="00012CAF">
        <w:t xml:space="preserve">allowance were </w:t>
      </w:r>
      <w:r w:rsidR="004E0B22">
        <w:t>discontinued</w:t>
      </w:r>
      <w:r w:rsidR="00376701">
        <w:t>,</w:t>
      </w:r>
      <w:r w:rsidR="00B30777">
        <w:t xml:space="preserve"> </w:t>
      </w:r>
      <w:r w:rsidR="005D1268">
        <w:t xml:space="preserve">additional </w:t>
      </w:r>
      <w:r w:rsidR="00376701">
        <w:t>planning</w:t>
      </w:r>
      <w:r w:rsidR="005D1268">
        <w:t xml:space="preserve"> </w:t>
      </w:r>
      <w:r w:rsidR="00B42A2D">
        <w:t>costs</w:t>
      </w:r>
      <w:r w:rsidR="005D1268">
        <w:t xml:space="preserve"> would be the only </w:t>
      </w:r>
      <w:r w:rsidR="00B42A2D">
        <w:t>expense</w:t>
      </w:r>
      <w:r w:rsidR="00376701">
        <w:t xml:space="preserve"> </w:t>
      </w:r>
      <w:r w:rsidR="00A95668">
        <w:t>covered</w:t>
      </w:r>
      <w:r w:rsidR="004E0B22">
        <w:t xml:space="preserve"> in the national capital assessment</w:t>
      </w:r>
      <w:r w:rsidR="00012CAF">
        <w:t>.</w:t>
      </w:r>
      <w:r w:rsidR="00376701">
        <w:t xml:space="preserve"> </w:t>
      </w:r>
      <w:r w:rsidR="00782809">
        <w:t>The planning allowance moved $18</w:t>
      </w:r>
      <w:r w:rsidR="00943758">
        <w:t> </w:t>
      </w:r>
      <w:r w:rsidR="00782809">
        <w:t>per</w:t>
      </w:r>
      <w:r w:rsidR="00943758">
        <w:t> </w:t>
      </w:r>
      <w:r w:rsidR="00782809">
        <w:t>capita for the ACT in the 2023 Update, which is below the $40</w:t>
      </w:r>
      <w:r w:rsidR="00DE4D24">
        <w:t> </w:t>
      </w:r>
      <w:r w:rsidR="00782809">
        <w:t>per</w:t>
      </w:r>
      <w:r w:rsidR="00DE4D24">
        <w:t> </w:t>
      </w:r>
      <w:r w:rsidR="00782809">
        <w:t>capita materiality threshold for</w:t>
      </w:r>
      <w:r w:rsidR="006416BE">
        <w:t xml:space="preserve"> a driver in</w:t>
      </w:r>
      <w:r w:rsidR="00782809">
        <w:t xml:space="preserve"> the 2025 Review.</w:t>
      </w:r>
    </w:p>
    <w:p w14:paraId="4B28FC08" w14:textId="41005507" w:rsidR="00402396" w:rsidRPr="00782809" w:rsidRDefault="00402396" w:rsidP="00402396">
      <w:pPr>
        <w:pStyle w:val="CGC2025ParaNumbers"/>
        <w:numPr>
          <w:ilvl w:val="1"/>
          <w:numId w:val="10"/>
        </w:numPr>
        <w:tabs>
          <w:tab w:val="clear" w:pos="567"/>
        </w:tabs>
      </w:pPr>
      <w:r>
        <w:t xml:space="preserve">During the consultation process for the 2020 Review, the ACT argued that the Commission was required to assess the ACT’s special circumstances under the </w:t>
      </w:r>
      <w:r w:rsidRPr="79902A0F">
        <w:rPr>
          <w:i/>
          <w:iCs/>
        </w:rPr>
        <w:t>Commonwealth Grants Commission Act 1973</w:t>
      </w:r>
      <w:r>
        <w:t xml:space="preserve"> regardless of immateriality.</w:t>
      </w:r>
      <w:r w:rsidRPr="00E0143B">
        <w:rPr>
          <w:rStyle w:val="FootnoteReference"/>
        </w:rPr>
        <w:footnoteReference w:id="6"/>
      </w:r>
      <w:r>
        <w:t xml:space="preserve"> For the 2025 Review, the Commission has received legal advice </w:t>
      </w:r>
      <w:r w:rsidR="002221AA">
        <w:t>that</w:t>
      </w:r>
      <w:r w:rsidR="00D04C6C">
        <w:t xml:space="preserve"> this </w:t>
      </w:r>
      <w:r w:rsidR="0077660C">
        <w:t>is not the case</w:t>
      </w:r>
      <w:r w:rsidR="00D04C6C">
        <w:t>.</w:t>
      </w:r>
    </w:p>
    <w:p w14:paraId="1E1D9509" w14:textId="40AE8B57" w:rsidR="00956F6E" w:rsidRPr="00570FAB" w:rsidRDefault="000B5FBF" w:rsidP="00E0143B">
      <w:pPr>
        <w:pStyle w:val="CGC2025ParaNumbers"/>
      </w:pPr>
      <w:r w:rsidRPr="00570FAB">
        <w:t xml:space="preserve">The Commission will test materiality prior to </w:t>
      </w:r>
      <w:r w:rsidR="00402396">
        <w:t xml:space="preserve">finalising </w:t>
      </w:r>
      <w:r w:rsidRPr="00570FAB">
        <w:t xml:space="preserve">the 2025 Review. If the assessment </w:t>
      </w:r>
      <w:r w:rsidR="006B3CDD" w:rsidRPr="00570FAB">
        <w:t>continues</w:t>
      </w:r>
      <w:r w:rsidRPr="00570FAB">
        <w:t xml:space="preserve"> to be immaterial, t</w:t>
      </w:r>
      <w:r w:rsidR="00B93409" w:rsidRPr="00570FAB">
        <w:t>he Commission</w:t>
      </w:r>
      <w:r w:rsidR="00B56DD8" w:rsidRPr="00570FAB">
        <w:t xml:space="preserve">’s </w:t>
      </w:r>
      <w:r w:rsidR="00DD714B" w:rsidRPr="00570FAB">
        <w:t>preliminary view</w:t>
      </w:r>
      <w:r w:rsidR="00411D53" w:rsidRPr="00570FAB">
        <w:t xml:space="preserve"> </w:t>
      </w:r>
      <w:r w:rsidR="004531A2" w:rsidRPr="00570FAB">
        <w:t xml:space="preserve">is </w:t>
      </w:r>
      <w:r w:rsidR="00411D53" w:rsidRPr="00570FAB">
        <w:t>to</w:t>
      </w:r>
      <w:r w:rsidR="00474479" w:rsidRPr="00570FAB">
        <w:t xml:space="preserve"> </w:t>
      </w:r>
      <w:r w:rsidR="00A87AD6" w:rsidRPr="00570FAB">
        <w:t>discontinue the</w:t>
      </w:r>
      <w:r w:rsidR="00535987" w:rsidRPr="00570FAB">
        <w:t xml:space="preserve"> </w:t>
      </w:r>
      <w:r w:rsidR="00135E3C" w:rsidRPr="00570FAB">
        <w:t xml:space="preserve">assessment of national capital </w:t>
      </w:r>
      <w:r w:rsidR="006B3CDD" w:rsidRPr="00570FAB">
        <w:t>costs incurred by the ACT</w:t>
      </w:r>
      <w:r w:rsidR="00C33EB3" w:rsidRPr="00570FAB">
        <w:t>.</w:t>
      </w:r>
      <w:r w:rsidR="00C048B5" w:rsidRPr="00570FAB">
        <w:t xml:space="preserve"> </w:t>
      </w:r>
    </w:p>
    <w:p w14:paraId="183ECB7D" w14:textId="228E377E" w:rsidR="0040272B" w:rsidRDefault="001B0D66" w:rsidP="003565CC">
      <w:pPr>
        <w:pStyle w:val="Heading4"/>
      </w:pPr>
      <w:r w:rsidRPr="00570FAB">
        <w:t>Consultation question</w:t>
      </w:r>
    </w:p>
    <w:p w14:paraId="3C113082" w14:textId="77777777" w:rsidR="00B00E5D" w:rsidRPr="00B00E5D" w:rsidRDefault="00B00E5D" w:rsidP="00B00E5D">
      <w:pPr>
        <w:pStyle w:val="CGCBodyPara"/>
        <w:numPr>
          <w:ilvl w:val="0"/>
          <w:numId w:val="0"/>
        </w:numPr>
      </w:pPr>
      <w:r w:rsidRPr="001C4DF3">
        <w:rPr>
          <w:noProof/>
        </w:rPr>
        <mc:AlternateContent>
          <mc:Choice Requires="wps">
            <w:drawing>
              <wp:inline distT="0" distB="0" distL="0" distR="0" wp14:anchorId="497FC941" wp14:editId="21D1F148">
                <wp:extent cx="5688965" cy="542925"/>
                <wp:effectExtent l="0" t="0" r="6985" b="9525"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965" cy="542925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76C369" w14:textId="4E20B671" w:rsidR="00477266" w:rsidRPr="00570FAB" w:rsidRDefault="00EC7D61" w:rsidP="00320F53">
                            <w:pPr>
                              <w:pStyle w:val="CGC2025QuestionNumbers"/>
                            </w:pPr>
                            <w:bookmarkStart w:id="53" w:name="_Hlk132293281"/>
                            <w:bookmarkStart w:id="54" w:name="_Hlk135748101"/>
                            <w:bookmarkStart w:id="55" w:name="_Hlk135748102"/>
                            <w:r w:rsidRPr="00570FAB">
                              <w:t xml:space="preserve">Do states support </w:t>
                            </w:r>
                            <w:r w:rsidR="00DD7137" w:rsidRPr="00570FAB">
                              <w:t>discontinuing</w:t>
                            </w:r>
                            <w:r w:rsidR="00F9239D" w:rsidRPr="00570FAB">
                              <w:t xml:space="preserve"> the </w:t>
                            </w:r>
                            <w:r w:rsidR="00BF748D" w:rsidRPr="00570FAB">
                              <w:t>n</w:t>
                            </w:r>
                            <w:r w:rsidR="00F9239D" w:rsidRPr="00570FAB">
                              <w:t>ational capital a</w:t>
                            </w:r>
                            <w:r w:rsidR="001500CF" w:rsidRPr="00570FAB">
                              <w:t>ssessment</w:t>
                            </w:r>
                            <w:r w:rsidR="00C048B5" w:rsidRPr="00570FAB">
                              <w:t xml:space="preserve"> if the assessment </w:t>
                            </w:r>
                            <w:r w:rsidR="009D1B94" w:rsidRPr="00570FAB">
                              <w:t>is immaterial</w:t>
                            </w:r>
                            <w:r w:rsidR="00C11E75" w:rsidRPr="00570FAB">
                              <w:t>?</w:t>
                            </w:r>
                            <w:bookmarkEnd w:id="53"/>
                            <w:bookmarkEnd w:id="54"/>
                            <w:bookmarkEnd w:id="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FC941" id="Rectangle 2" o:spid="_x0000_s1029" alt="&quot;&quot;" style="width:447.9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" fillcolor="#ebf3f5" stroked="f" strokeweight="2pt">
                <v:textbox>
                  <w:txbxContent>
                    <w:p w14:paraId="2176C369" w14:textId="4E20B671" w:rsidR="00477266" w:rsidRPr="00570FAB" w:rsidRDefault="00EC7D61" w:rsidP="00320F53">
                      <w:pPr>
                        <w:pStyle w:val="CGC2025QuestionNumbers"/>
                      </w:pPr>
                      <w:bookmarkStart w:id="56" w:name="_Hlk132293281"/>
                      <w:bookmarkStart w:id="57" w:name="_Hlk135748101"/>
                      <w:bookmarkStart w:id="58" w:name="_Hlk135748102"/>
                      <w:r w:rsidRPr="00570FAB">
                        <w:t xml:space="preserve">Do states support </w:t>
                      </w:r>
                      <w:r w:rsidR="00DD7137" w:rsidRPr="00570FAB">
                        <w:t>discontinuing</w:t>
                      </w:r>
                      <w:r w:rsidR="00F9239D" w:rsidRPr="00570FAB">
                        <w:t xml:space="preserve"> the </w:t>
                      </w:r>
                      <w:r w:rsidR="00BF748D" w:rsidRPr="00570FAB">
                        <w:t>n</w:t>
                      </w:r>
                      <w:r w:rsidR="00F9239D" w:rsidRPr="00570FAB">
                        <w:t>ational capital a</w:t>
                      </w:r>
                      <w:r w:rsidR="001500CF" w:rsidRPr="00570FAB">
                        <w:t>ssessment</w:t>
                      </w:r>
                      <w:r w:rsidR="00C048B5" w:rsidRPr="00570FAB">
                        <w:t xml:space="preserve"> if the assessment </w:t>
                      </w:r>
                      <w:r w:rsidR="009D1B94" w:rsidRPr="00570FAB">
                        <w:t>is immaterial</w:t>
                      </w:r>
                      <w:r w:rsidR="00C11E75" w:rsidRPr="00570FAB">
                        <w:t>?</w:t>
                      </w:r>
                      <w:bookmarkEnd w:id="56"/>
                      <w:bookmarkEnd w:id="57"/>
                      <w:bookmarkEnd w:id="58"/>
                    </w:p>
                  </w:txbxContent>
                </v:textbox>
                <w10:anchorlock/>
              </v:rect>
            </w:pict>
          </mc:Fallback>
        </mc:AlternateContent>
      </w:r>
    </w:p>
    <w:p w14:paraId="503E29C1" w14:textId="7952D98A" w:rsidR="00B00E5D" w:rsidRDefault="00B00E5D" w:rsidP="00A02A73">
      <w:pPr>
        <w:pStyle w:val="Heading2"/>
        <w:keepNext/>
      </w:pPr>
      <w:bookmarkStart w:id="59" w:name="_Toc121741490"/>
      <w:bookmarkStart w:id="60" w:name="_Toc147414345"/>
      <w:r>
        <w:lastRenderedPageBreak/>
        <w:t>Proposed assessment</w:t>
      </w:r>
      <w:bookmarkEnd w:id="59"/>
      <w:bookmarkEnd w:id="60"/>
    </w:p>
    <w:p w14:paraId="2778B248" w14:textId="03A89C53" w:rsidR="00B00E5D" w:rsidRDefault="00C11E75" w:rsidP="00A02A73">
      <w:pPr>
        <w:pStyle w:val="CGC2025ParaNumbers"/>
        <w:keepNext/>
      </w:pPr>
      <w:r>
        <w:t>Subject to state views, t</w:t>
      </w:r>
      <w:r w:rsidR="00297B4A">
        <w:t>he Com</w:t>
      </w:r>
      <w:r w:rsidR="0063623D">
        <w:t>m</w:t>
      </w:r>
      <w:r w:rsidR="00297B4A">
        <w:t>ission</w:t>
      </w:r>
      <w:r w:rsidR="0063623D">
        <w:t xml:space="preserve"> proposes to not assess</w:t>
      </w:r>
      <w:r w:rsidR="0041375E">
        <w:t xml:space="preserve"> the </w:t>
      </w:r>
      <w:r w:rsidR="00077CE0">
        <w:t>national capital</w:t>
      </w:r>
      <w:r w:rsidR="00153FDD">
        <w:t xml:space="preserve"> </w:t>
      </w:r>
      <w:r w:rsidR="008105B3">
        <w:t xml:space="preserve">allowances </w:t>
      </w:r>
      <w:r w:rsidR="00153FDD">
        <w:t>for</w:t>
      </w:r>
      <w:r w:rsidR="0041375E">
        <w:t xml:space="preserve"> </w:t>
      </w:r>
      <w:r w:rsidR="00153FDD">
        <w:t xml:space="preserve">planning </w:t>
      </w:r>
      <w:r w:rsidR="008105B3">
        <w:t>and</w:t>
      </w:r>
      <w:r w:rsidR="00153FDD">
        <w:t xml:space="preserve"> police </w:t>
      </w:r>
      <w:r w:rsidR="00077CE0">
        <w:t>in the 2025 Review.</w:t>
      </w:r>
    </w:p>
    <w:p w14:paraId="7FABDB2A" w14:textId="77777777" w:rsidR="00974443" w:rsidRDefault="00974443" w:rsidP="00FF1872">
      <w:pPr>
        <w:pStyle w:val="Heading2"/>
        <w:keepNext/>
      </w:pPr>
      <w:bookmarkStart w:id="61" w:name="_Toc121741493"/>
      <w:bookmarkStart w:id="62" w:name="_Toc147414346"/>
      <w:r>
        <w:t>Consultation</w:t>
      </w:r>
      <w:bookmarkEnd w:id="61"/>
      <w:bookmarkEnd w:id="62"/>
    </w:p>
    <w:p w14:paraId="63B751B7" w14:textId="33738133" w:rsidR="00B9023B" w:rsidRDefault="00B9023B" w:rsidP="00FF1872">
      <w:pPr>
        <w:pStyle w:val="CGC2025ParaNumbers"/>
        <w:keepNext/>
      </w:pPr>
      <w:bookmarkStart w:id="63" w:name="Content"/>
      <w:bookmarkStart w:id="64" w:name="_Hlk121314611"/>
      <w:bookmarkStart w:id="65" w:name="_Toc106707732"/>
      <w:bookmarkStart w:id="66" w:name="_Toc155675943"/>
      <w:bookmarkStart w:id="67" w:name="_Toc174415778"/>
      <w:bookmarkStart w:id="68" w:name="_Toc174415943"/>
      <w:bookmarkStart w:id="69" w:name="_Toc174416628"/>
      <w:bookmarkStart w:id="70" w:name="_Toc174416670"/>
      <w:bookmarkStart w:id="71" w:name="_Hlk76473161"/>
      <w:bookmarkEnd w:id="63"/>
      <w:r>
        <w:t xml:space="preserve">The </w:t>
      </w:r>
      <w:r w:rsidRPr="00E0143B">
        <w:t xml:space="preserve">Commission welcomes state views on the consultation question identified in this paper </w:t>
      </w:r>
      <w:r w:rsidR="000540A5">
        <w:t xml:space="preserve">(outlined below) </w:t>
      </w:r>
      <w:r w:rsidRPr="00E0143B">
        <w:t xml:space="preserve">and the proposed assessment. State </w:t>
      </w:r>
      <w:r w:rsidR="000540A5">
        <w:t>submissions</w:t>
      </w:r>
      <w:r w:rsidRPr="00E0143B">
        <w:t xml:space="preserve"> should </w:t>
      </w:r>
      <w:r w:rsidR="00024BD8">
        <w:t xml:space="preserve">accord </w:t>
      </w:r>
      <w:r w:rsidRPr="00E0143B">
        <w:t>with the 2025 Review framework</w:t>
      </w:r>
      <w:r>
        <w:t>. States</w:t>
      </w:r>
      <w:r w:rsidRPr="001B2348">
        <w:t xml:space="preserve"> </w:t>
      </w:r>
      <w:r w:rsidRPr="00E0143B">
        <w:t>are welcome to raise other relevant issues with the Commission.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186BD6B4" w14:textId="08F5FB29" w:rsidR="00B033B6" w:rsidRPr="00B033B6" w:rsidRDefault="00216486" w:rsidP="00B033B6">
      <w:r w:rsidRPr="001C4DF3">
        <w:rPr>
          <w:noProof/>
        </w:rPr>
        <mc:AlternateContent>
          <mc:Choice Requires="wps">
            <w:drawing>
              <wp:inline distT="0" distB="0" distL="0" distR="0" wp14:anchorId="5FB100DA" wp14:editId="677A42C8">
                <wp:extent cx="5648325" cy="613064"/>
                <wp:effectExtent l="0" t="0" r="9525" b="0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613064"/>
                        </a:xfrm>
                        <a:prstGeom prst="rect">
                          <a:avLst/>
                        </a:prstGeom>
                        <a:solidFill>
                          <a:srgbClr val="EBF3F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0F2280" w14:textId="1A479BDE" w:rsidR="00216486" w:rsidRPr="00F733EB" w:rsidRDefault="00216486" w:rsidP="00216486">
                            <w:pPr>
                              <w:pStyle w:val="CGC2025Questionsnumbers2"/>
                            </w:pPr>
                            <w:r w:rsidRPr="00570FAB">
                              <w:t>Do states support discontinuing the national capital assessment if the assessment is immaterial?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B100DA" id="Rectangle 1" o:spid="_x0000_s1030" alt="&quot;&quot;" style="width:444.75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" fillcolor="#ebf3f5" stroked="f" strokeweight="2pt">
                <v:textbox>
                  <w:txbxContent>
                    <w:p w14:paraId="7F0F2280" w14:textId="1A479BDE" w:rsidR="00216486" w:rsidRPr="00F733EB" w:rsidRDefault="00216486" w:rsidP="00216486">
                      <w:pPr>
                        <w:pStyle w:val="CGC2025Questionsnumbers2"/>
                      </w:pPr>
                      <w:r w:rsidRPr="00570FAB">
                        <w:t>Do states support discontinuing the national capital assessment if the assessment is immaterial?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033B6" w:rsidRPr="00B033B6" w:rsidSect="00C8452A">
      <w:footerReference w:type="default" r:id="rId21"/>
      <w:footerReference w:type="first" r:id="rId22"/>
      <w:footnotePr>
        <w:numRestart w:val="eachSect"/>
      </w:footnotePr>
      <w:pgSz w:w="11907" w:h="16840" w:code="9"/>
      <w:pgMar w:top="1418" w:right="1474" w:bottom="1418" w:left="147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94F1" w14:textId="77777777" w:rsidR="00182BB0" w:rsidRDefault="00182BB0">
      <w:r>
        <w:separator/>
      </w:r>
    </w:p>
  </w:endnote>
  <w:endnote w:type="continuationSeparator" w:id="0">
    <w:p w14:paraId="6737E559" w14:textId="77777777" w:rsidR="00182BB0" w:rsidRDefault="00182BB0">
      <w:r>
        <w:continuationSeparator/>
      </w:r>
    </w:p>
  </w:endnote>
  <w:endnote w:type="continuationNotice" w:id="1">
    <w:p w14:paraId="0390454B" w14:textId="77777777" w:rsidR="00182BB0" w:rsidRDefault="00182BB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7717" w14:textId="77777777" w:rsidR="007E060F" w:rsidRDefault="007E0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695A" w14:textId="77777777" w:rsidR="00AB1A13" w:rsidRPr="0011178C" w:rsidRDefault="00F56813" w:rsidP="003929D2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1C1AC5">
      <w:rPr>
        <w:noProof/>
      </w:rPr>
      <w:t>5</w:t>
    </w:r>
    <w:r>
      <w:rPr>
        <w:noProof/>
      </w:rPr>
      <w:fldChar w:fldCharType="end"/>
    </w:r>
  </w:p>
  <w:p w14:paraId="46765A6A" w14:textId="77777777" w:rsidR="009C18B8" w:rsidRDefault="009C18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DCC5" w14:textId="77777777" w:rsidR="009C18B8" w:rsidRPr="001C1AC5" w:rsidRDefault="00AB1A13" w:rsidP="001C1AC5">
    <w:pPr>
      <w:pStyle w:val="Footer"/>
      <w:tabs>
        <w:tab w:val="right" w:pos="8931"/>
      </w:tabs>
      <w:rPr>
        <w:szCs w:val="20"/>
      </w:rPr>
    </w:pPr>
    <w:r>
      <w:rPr>
        <w:szCs w:val="20"/>
      </w:rPr>
      <w:tab/>
    </w:r>
    <w:r w:rsidR="00DC0F02">
      <w:rPr>
        <w:szCs w:val="20"/>
      </w:rPr>
      <w:tab/>
    </w:r>
    <w:r w:rsidR="00F56813">
      <w:fldChar w:fldCharType="begin"/>
    </w:r>
    <w:r w:rsidR="00F56813">
      <w:instrText xml:space="preserve"> PAGE   \* MERGEFORMAT </w:instrText>
    </w:r>
    <w:r w:rsidR="00F56813">
      <w:fldChar w:fldCharType="separate"/>
    </w:r>
    <w:r w:rsidR="00485F13">
      <w:rPr>
        <w:noProof/>
      </w:rPr>
      <w:t>4</w:t>
    </w:r>
    <w:r w:rsidR="00F568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7F12" w14:textId="77777777" w:rsidR="00182BB0" w:rsidRPr="001C1AC5" w:rsidRDefault="00182BB0">
      <w:pPr>
        <w:rPr>
          <w:color w:val="ADD6EA"/>
        </w:rPr>
      </w:pPr>
      <w:r w:rsidRPr="001C1AC5">
        <w:rPr>
          <w:color w:val="ADD6EA"/>
        </w:rPr>
        <w:separator/>
      </w:r>
    </w:p>
  </w:footnote>
  <w:footnote w:type="continuationSeparator" w:id="0">
    <w:p w14:paraId="3D45BD3A" w14:textId="77777777" w:rsidR="00182BB0" w:rsidRDefault="00182BB0">
      <w:r>
        <w:continuationSeparator/>
      </w:r>
    </w:p>
  </w:footnote>
  <w:footnote w:type="continuationNotice" w:id="1">
    <w:p w14:paraId="408CBA86" w14:textId="77777777" w:rsidR="00182BB0" w:rsidRDefault="00182BB0">
      <w:pPr>
        <w:spacing w:before="0" w:line="240" w:lineRule="auto"/>
      </w:pPr>
    </w:p>
  </w:footnote>
  <w:footnote w:id="2">
    <w:p w14:paraId="5F0B7D12" w14:textId="4C4C0263" w:rsidR="000E7205" w:rsidRDefault="000E72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92BBC">
        <w:t xml:space="preserve">National capital </w:t>
      </w:r>
      <w:r w:rsidR="00650719">
        <w:t>expenses are assessed as a</w:t>
      </w:r>
      <w:r w:rsidR="002D0503">
        <w:t xml:space="preserve"> </w:t>
      </w:r>
      <w:r w:rsidR="00675EB3">
        <w:t>component</w:t>
      </w:r>
      <w:r w:rsidR="002D0503">
        <w:t xml:space="preserve"> of the other e</w:t>
      </w:r>
      <w:r w:rsidR="008F6EFA">
        <w:t xml:space="preserve">xpenses category and as a subcomponent of the police component </w:t>
      </w:r>
      <w:r w:rsidR="00653CA3">
        <w:t xml:space="preserve">within the justice </w:t>
      </w:r>
      <w:r w:rsidR="000132D7">
        <w:t>category</w:t>
      </w:r>
      <w:r w:rsidR="00653CA3">
        <w:t>.</w:t>
      </w:r>
    </w:p>
  </w:footnote>
  <w:footnote w:id="3">
    <w:p w14:paraId="1722D489" w14:textId="2F823370" w:rsidR="001907BA" w:rsidRDefault="001907BA" w:rsidP="004109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661F5" w:rsidRPr="002B6AB6">
        <w:rPr>
          <w:i/>
          <w:iCs/>
        </w:rPr>
        <w:t xml:space="preserve">Australian Capital Territory (Self-Government) </w:t>
      </w:r>
      <w:r w:rsidR="00F35B87" w:rsidRPr="002B6AB6">
        <w:rPr>
          <w:i/>
          <w:iCs/>
        </w:rPr>
        <w:t>Act 1988</w:t>
      </w:r>
      <w:r w:rsidR="00F35B87">
        <w:t>,</w:t>
      </w:r>
      <w:r w:rsidR="00BE0E2E">
        <w:t xml:space="preserve"> </w:t>
      </w:r>
      <w:r w:rsidR="0040663D">
        <w:t>sub</w:t>
      </w:r>
      <w:r w:rsidR="00BE0E2E">
        <w:t>section</w:t>
      </w:r>
      <w:r w:rsidR="00F35B87">
        <w:t xml:space="preserve"> 23(1)(c)</w:t>
      </w:r>
      <w:r w:rsidR="004109E0">
        <w:t>.</w:t>
      </w:r>
    </w:p>
  </w:footnote>
  <w:footnote w:id="4">
    <w:p w14:paraId="3FE74D2A" w14:textId="79B4FDAC" w:rsidR="00D57039" w:rsidRDefault="00D57039" w:rsidP="004109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2010">
        <w:t>ACT’s</w:t>
      </w:r>
      <w:r w:rsidR="00261B8A">
        <w:t xml:space="preserve"> a</w:t>
      </w:r>
      <w:r w:rsidR="0039715E">
        <w:t>ssessed</w:t>
      </w:r>
      <w:r w:rsidR="00672010">
        <w:t xml:space="preserve"> police</w:t>
      </w:r>
      <w:r w:rsidR="00261B8A">
        <w:t xml:space="preserve"> </w:t>
      </w:r>
      <w:r>
        <w:t>salary</w:t>
      </w:r>
      <w:r w:rsidR="00261B8A">
        <w:t xml:space="preserve"> is </w:t>
      </w:r>
      <w:r>
        <w:t>the average</w:t>
      </w:r>
      <w:r w:rsidR="0020178E">
        <w:t xml:space="preserve"> polic</w:t>
      </w:r>
      <w:r w:rsidR="008E30A6">
        <w:t>e</w:t>
      </w:r>
      <w:r>
        <w:t xml:space="preserve"> salary</w:t>
      </w:r>
      <w:r w:rsidR="002650C7">
        <w:t xml:space="preserve"> of all states</w:t>
      </w:r>
      <w:r>
        <w:t xml:space="preserve"> adjusted by the ACT’s wage cost factor</w:t>
      </w:r>
      <w:r w:rsidR="001508FC">
        <w:t>.</w:t>
      </w:r>
    </w:p>
  </w:footnote>
  <w:footnote w:id="5">
    <w:p w14:paraId="3B490B2A" w14:textId="77777777" w:rsidR="000874DE" w:rsidRDefault="000874DE" w:rsidP="000874DE">
      <w:pPr>
        <w:pStyle w:val="FootnoteText"/>
      </w:pPr>
      <w:r>
        <w:rPr>
          <w:rStyle w:val="FootnoteReference"/>
        </w:rPr>
        <w:footnoteRef/>
      </w:r>
      <w:r>
        <w:t xml:space="preserve"> Commonwealth Grants Commission, </w:t>
      </w:r>
      <w:r w:rsidRPr="009E34B9">
        <w:rPr>
          <w:i/>
          <w:iCs/>
        </w:rPr>
        <w:t>Report on State Revenue Sharing Relativities – 2004 Review</w:t>
      </w:r>
      <w:r>
        <w:t>, CGC, 2004, p 78.</w:t>
      </w:r>
    </w:p>
  </w:footnote>
  <w:footnote w:id="6">
    <w:p w14:paraId="7E59AD1F" w14:textId="5E895216" w:rsidR="00402396" w:rsidRPr="00867B96" w:rsidRDefault="00402396" w:rsidP="00402396">
      <w:pPr>
        <w:pStyle w:val="FootnoteText"/>
      </w:pPr>
      <w:r>
        <w:rPr>
          <w:rStyle w:val="FootnoteReference"/>
        </w:rPr>
        <w:footnoteRef/>
      </w:r>
      <w:r>
        <w:t xml:space="preserve"> ACT Government, </w:t>
      </w:r>
      <w:hyperlink r:id="rId1" w:history="1">
        <w:r>
          <w:rPr>
            <w:rStyle w:val="Hyperlink"/>
          </w:rPr>
          <w:t>Rejoinder Submission to Workplace Discussions</w:t>
        </w:r>
      </w:hyperlink>
      <w:r>
        <w:t>,</w:t>
      </w:r>
      <w:r w:rsidR="003A31CA">
        <w:t xml:space="preserve"> ACT Government</w:t>
      </w:r>
      <w:r w:rsidR="005B4EAA">
        <w:t>, 2018,</w:t>
      </w:r>
      <w:r>
        <w:t xml:space="preserve"> pp 7–9.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61D"/>
    <w:multiLevelType w:val="hybridMultilevel"/>
    <w:tmpl w:val="D9CAB28C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A3A"/>
    <w:multiLevelType w:val="multilevel"/>
    <w:tmpl w:val="A310237C"/>
    <w:numStyleLink w:val="CGCConsultQuestion"/>
  </w:abstractNum>
  <w:abstractNum w:abstractNumId="2" w15:restartNumberingAfterBreak="0">
    <w:nsid w:val="0F2D71BA"/>
    <w:multiLevelType w:val="hybridMultilevel"/>
    <w:tmpl w:val="5D88B44C"/>
    <w:lvl w:ilvl="0" w:tplc="389064B4">
      <w:start w:val="1"/>
      <w:numFmt w:val="decimal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D7BB4"/>
    <w:multiLevelType w:val="multilevel"/>
    <w:tmpl w:val="254084B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BF05D3"/>
    <w:multiLevelType w:val="hybridMultilevel"/>
    <w:tmpl w:val="970C0F1A"/>
    <w:lvl w:ilvl="0" w:tplc="034498D4">
      <w:start w:val="1"/>
      <w:numFmt w:val="bullet"/>
      <w:pStyle w:val="CGCBullet2"/>
      <w:lvlText w:val=""/>
      <w:lvlJc w:val="left"/>
      <w:pPr>
        <w:ind w:left="1211" w:hanging="360"/>
      </w:pPr>
      <w:rPr>
        <w:rFonts w:ascii="Symbol" w:hAnsi="Symbol" w:hint="default"/>
        <w:b/>
        <w:color w:val="63646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1B9C"/>
    <w:multiLevelType w:val="hybridMultilevel"/>
    <w:tmpl w:val="7110E312"/>
    <w:lvl w:ilvl="0" w:tplc="DB96A0AC">
      <w:start w:val="1"/>
      <w:numFmt w:val="bullet"/>
      <w:pStyle w:val="CGC2025Bullet1"/>
      <w:lvlText w:val=""/>
      <w:lvlJc w:val="left"/>
      <w:pPr>
        <w:ind w:left="927" w:hanging="360"/>
      </w:pPr>
      <w:rPr>
        <w:rFonts w:ascii="Symbol" w:hAnsi="Symbol" w:hint="default"/>
        <w:color w:val="63646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287F47B6"/>
    <w:multiLevelType w:val="hybridMultilevel"/>
    <w:tmpl w:val="B1F69612"/>
    <w:lvl w:ilvl="0" w:tplc="45E0FC82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C8A637F"/>
    <w:multiLevelType w:val="hybridMultilevel"/>
    <w:tmpl w:val="E2F6ADC4"/>
    <w:lvl w:ilvl="0" w:tplc="BF2462A0">
      <w:start w:val="1"/>
      <w:numFmt w:val="decimal"/>
      <w:pStyle w:val="CGC2025Questionsnumbers2"/>
      <w:lvlText w:val="Q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F29"/>
    <w:multiLevelType w:val="hybridMultilevel"/>
    <w:tmpl w:val="AF086F92"/>
    <w:lvl w:ilvl="0" w:tplc="A61AAA14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769FE"/>
    <w:multiLevelType w:val="hybridMultilevel"/>
    <w:tmpl w:val="EA64A36C"/>
    <w:lvl w:ilvl="0" w:tplc="224ABBE8">
      <w:start w:val="1"/>
      <w:numFmt w:val="lowerLetter"/>
      <w:lvlText w:val="(%1)"/>
      <w:lvlJc w:val="left"/>
      <w:pPr>
        <w:ind w:left="1418" w:hanging="13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4511CFA"/>
    <w:multiLevelType w:val="hybridMultilevel"/>
    <w:tmpl w:val="68BC51BA"/>
    <w:lvl w:ilvl="0" w:tplc="A4FE0E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52DA0"/>
    <w:multiLevelType w:val="multilevel"/>
    <w:tmpl w:val="A310237C"/>
    <w:styleLink w:val="CGCConsultQuestion"/>
    <w:lvl w:ilvl="0">
      <w:start w:val="1"/>
      <w:numFmt w:val="decimal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1E2A55"/>
    <w:multiLevelType w:val="multilevel"/>
    <w:tmpl w:val="8C78535C"/>
    <w:lvl w:ilvl="0">
      <w:start w:val="1"/>
      <w:numFmt w:val="decimal"/>
      <w:pStyle w:val="CGC2025QuestionNumbers"/>
      <w:lvlText w:val="Q%1."/>
      <w:lvlJc w:val="left"/>
      <w:pPr>
        <w:ind w:left="454" w:hanging="454"/>
      </w:pPr>
      <w:rPr>
        <w:rFonts w:ascii="Work Sans" w:hAnsi="Work Sans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974B00"/>
    <w:multiLevelType w:val="multilevel"/>
    <w:tmpl w:val="A310237C"/>
    <w:numStyleLink w:val="CGCConsultQuestion"/>
  </w:abstractNum>
  <w:abstractNum w:abstractNumId="15" w15:restartNumberingAfterBreak="0">
    <w:nsid w:val="500F1895"/>
    <w:multiLevelType w:val="multilevel"/>
    <w:tmpl w:val="A310237C"/>
    <w:numStyleLink w:val="CGCConsultQuestion"/>
  </w:abstractNum>
  <w:abstractNum w:abstractNumId="16" w15:restartNumberingAfterBreak="0">
    <w:nsid w:val="51723E1A"/>
    <w:multiLevelType w:val="hybridMultilevel"/>
    <w:tmpl w:val="F0800B46"/>
    <w:lvl w:ilvl="0" w:tplc="0AFCCAB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276A4"/>
    <w:multiLevelType w:val="hybridMultilevel"/>
    <w:tmpl w:val="BE70861C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743D55"/>
    <w:multiLevelType w:val="hybridMultilevel"/>
    <w:tmpl w:val="A3709336"/>
    <w:lvl w:ilvl="0" w:tplc="66D67ECA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6B56961"/>
    <w:multiLevelType w:val="hybridMultilevel"/>
    <w:tmpl w:val="4BB6122E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0" w15:restartNumberingAfterBreak="0">
    <w:nsid w:val="673226D3"/>
    <w:multiLevelType w:val="hybridMultilevel"/>
    <w:tmpl w:val="44D2831C"/>
    <w:lvl w:ilvl="0" w:tplc="C1EE6572">
      <w:start w:val="1"/>
      <w:numFmt w:val="lowerLetter"/>
      <w:lvlText w:val="(%1)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2" w15:restartNumberingAfterBreak="0">
    <w:nsid w:val="6D98316F"/>
    <w:multiLevelType w:val="hybridMultilevel"/>
    <w:tmpl w:val="4514764E"/>
    <w:lvl w:ilvl="0" w:tplc="45E0FC82">
      <w:start w:val="1"/>
      <w:numFmt w:val="lowerLetter"/>
      <w:lvlText w:val="(%1)"/>
      <w:lvlJc w:val="left"/>
      <w:pPr>
        <w:ind w:left="8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2762399">
    <w:abstractNumId w:val="6"/>
  </w:num>
  <w:num w:numId="2" w16cid:durableId="1811552582">
    <w:abstractNumId w:val="23"/>
  </w:num>
  <w:num w:numId="3" w16cid:durableId="1216816626">
    <w:abstractNumId w:val="9"/>
  </w:num>
  <w:num w:numId="4" w16cid:durableId="1045789015">
    <w:abstractNumId w:val="5"/>
  </w:num>
  <w:num w:numId="5" w16cid:durableId="880630624">
    <w:abstractNumId w:val="4"/>
  </w:num>
  <w:num w:numId="6" w16cid:durableId="1057128230">
    <w:abstractNumId w:val="19"/>
  </w:num>
  <w:num w:numId="7" w16cid:durableId="250702278">
    <w:abstractNumId w:val="0"/>
    <w:lvlOverride w:ilvl="0">
      <w:startOverride w:val="1"/>
    </w:lvlOverride>
  </w:num>
  <w:num w:numId="8" w16cid:durableId="1927374591">
    <w:abstractNumId w:val="9"/>
    <w:lvlOverride w:ilvl="0">
      <w:startOverride w:val="1"/>
    </w:lvlOverride>
  </w:num>
  <w:num w:numId="9" w16cid:durableId="1869298928">
    <w:abstractNumId w:val="21"/>
  </w:num>
  <w:num w:numId="10" w16cid:durableId="2047216813">
    <w:abstractNumId w:val="3"/>
  </w:num>
  <w:num w:numId="11" w16cid:durableId="180124077">
    <w:abstractNumId w:val="12"/>
  </w:num>
  <w:num w:numId="12" w16cid:durableId="849954442">
    <w:abstractNumId w:val="13"/>
  </w:num>
  <w:num w:numId="13" w16cid:durableId="44717486">
    <w:abstractNumId w:val="8"/>
  </w:num>
  <w:num w:numId="14" w16cid:durableId="807016343">
    <w:abstractNumId w:val="18"/>
  </w:num>
  <w:num w:numId="15" w16cid:durableId="473841583">
    <w:abstractNumId w:val="20"/>
  </w:num>
  <w:num w:numId="16" w16cid:durableId="241793973">
    <w:abstractNumId w:val="7"/>
  </w:num>
  <w:num w:numId="17" w16cid:durableId="1717047121">
    <w:abstractNumId w:val="10"/>
  </w:num>
  <w:num w:numId="18" w16cid:durableId="1152991610">
    <w:abstractNumId w:val="0"/>
  </w:num>
  <w:num w:numId="19" w16cid:durableId="335156687">
    <w:abstractNumId w:val="17"/>
  </w:num>
  <w:num w:numId="20" w16cid:durableId="1268079575">
    <w:abstractNumId w:val="16"/>
  </w:num>
  <w:num w:numId="21" w16cid:durableId="145897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861094">
    <w:abstractNumId w:val="11"/>
  </w:num>
  <w:num w:numId="23" w16cid:durableId="261108439">
    <w:abstractNumId w:val="2"/>
  </w:num>
  <w:num w:numId="24" w16cid:durableId="146821968">
    <w:abstractNumId w:val="2"/>
    <w:lvlOverride w:ilvl="0">
      <w:startOverride w:val="1"/>
    </w:lvlOverride>
  </w:num>
  <w:num w:numId="25" w16cid:durableId="8615539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186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026035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7537804">
    <w:abstractNumId w:val="3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261251">
    <w:abstractNumId w:val="3"/>
  </w:num>
  <w:num w:numId="30" w16cid:durableId="1617834757">
    <w:abstractNumId w:val="1"/>
  </w:num>
  <w:num w:numId="31" w16cid:durableId="162281487">
    <w:abstractNumId w:val="15"/>
  </w:num>
  <w:num w:numId="32" w16cid:durableId="1768846255">
    <w:abstractNumId w:val="14"/>
  </w:num>
  <w:num w:numId="33" w16cid:durableId="74418071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BB"/>
    <w:rsid w:val="00000A56"/>
    <w:rsid w:val="00000C9F"/>
    <w:rsid w:val="00001DA2"/>
    <w:rsid w:val="00002356"/>
    <w:rsid w:val="000025E6"/>
    <w:rsid w:val="00002D1C"/>
    <w:rsid w:val="000036D8"/>
    <w:rsid w:val="00003AFE"/>
    <w:rsid w:val="00003CFB"/>
    <w:rsid w:val="000042F1"/>
    <w:rsid w:val="000043F9"/>
    <w:rsid w:val="00004C67"/>
    <w:rsid w:val="00005DC3"/>
    <w:rsid w:val="0000648D"/>
    <w:rsid w:val="0000689E"/>
    <w:rsid w:val="00006E30"/>
    <w:rsid w:val="00006F3D"/>
    <w:rsid w:val="00007FD5"/>
    <w:rsid w:val="00010ABF"/>
    <w:rsid w:val="00010F5B"/>
    <w:rsid w:val="00011C73"/>
    <w:rsid w:val="00011F76"/>
    <w:rsid w:val="0001255A"/>
    <w:rsid w:val="00012B67"/>
    <w:rsid w:val="00012C74"/>
    <w:rsid w:val="00012CAF"/>
    <w:rsid w:val="000132D7"/>
    <w:rsid w:val="00013CC5"/>
    <w:rsid w:val="00014770"/>
    <w:rsid w:val="000148C5"/>
    <w:rsid w:val="00014CB0"/>
    <w:rsid w:val="000150BF"/>
    <w:rsid w:val="000151DE"/>
    <w:rsid w:val="000156B2"/>
    <w:rsid w:val="00015A97"/>
    <w:rsid w:val="00015F2B"/>
    <w:rsid w:val="00016C62"/>
    <w:rsid w:val="00016FE0"/>
    <w:rsid w:val="0001770B"/>
    <w:rsid w:val="00017B6E"/>
    <w:rsid w:val="00017E5B"/>
    <w:rsid w:val="00017EB6"/>
    <w:rsid w:val="000200BB"/>
    <w:rsid w:val="000204C9"/>
    <w:rsid w:val="00020B89"/>
    <w:rsid w:val="00020D21"/>
    <w:rsid w:val="00020EA3"/>
    <w:rsid w:val="00021352"/>
    <w:rsid w:val="00021727"/>
    <w:rsid w:val="000222B7"/>
    <w:rsid w:val="0002236A"/>
    <w:rsid w:val="00022C1B"/>
    <w:rsid w:val="00022CE0"/>
    <w:rsid w:val="00022EA9"/>
    <w:rsid w:val="00023068"/>
    <w:rsid w:val="00023137"/>
    <w:rsid w:val="000238CD"/>
    <w:rsid w:val="00023BDB"/>
    <w:rsid w:val="00024069"/>
    <w:rsid w:val="00024745"/>
    <w:rsid w:val="00024BD8"/>
    <w:rsid w:val="00024D1B"/>
    <w:rsid w:val="00025242"/>
    <w:rsid w:val="0002596E"/>
    <w:rsid w:val="00025CB3"/>
    <w:rsid w:val="00025D02"/>
    <w:rsid w:val="0002639E"/>
    <w:rsid w:val="00026456"/>
    <w:rsid w:val="00026896"/>
    <w:rsid w:val="00026A1A"/>
    <w:rsid w:val="00026A1B"/>
    <w:rsid w:val="00026E7B"/>
    <w:rsid w:val="000273C6"/>
    <w:rsid w:val="000274F7"/>
    <w:rsid w:val="00027557"/>
    <w:rsid w:val="00030629"/>
    <w:rsid w:val="00030B6B"/>
    <w:rsid w:val="00030E66"/>
    <w:rsid w:val="00030E8F"/>
    <w:rsid w:val="0003149F"/>
    <w:rsid w:val="00031648"/>
    <w:rsid w:val="00031CF4"/>
    <w:rsid w:val="0003216B"/>
    <w:rsid w:val="000326F5"/>
    <w:rsid w:val="00032856"/>
    <w:rsid w:val="000328A8"/>
    <w:rsid w:val="00032F41"/>
    <w:rsid w:val="00033A71"/>
    <w:rsid w:val="000341E2"/>
    <w:rsid w:val="00034A9D"/>
    <w:rsid w:val="00034D52"/>
    <w:rsid w:val="00034DBB"/>
    <w:rsid w:val="0003562C"/>
    <w:rsid w:val="000363C5"/>
    <w:rsid w:val="00036637"/>
    <w:rsid w:val="00036C27"/>
    <w:rsid w:val="00036DF3"/>
    <w:rsid w:val="00037050"/>
    <w:rsid w:val="000370C8"/>
    <w:rsid w:val="000372BA"/>
    <w:rsid w:val="00040135"/>
    <w:rsid w:val="00040571"/>
    <w:rsid w:val="00040601"/>
    <w:rsid w:val="00040FBC"/>
    <w:rsid w:val="0004123E"/>
    <w:rsid w:val="00041748"/>
    <w:rsid w:val="0004187D"/>
    <w:rsid w:val="00041E84"/>
    <w:rsid w:val="000424EA"/>
    <w:rsid w:val="0004258C"/>
    <w:rsid w:val="00042884"/>
    <w:rsid w:val="0004352F"/>
    <w:rsid w:val="000439D3"/>
    <w:rsid w:val="00043A26"/>
    <w:rsid w:val="00043EDB"/>
    <w:rsid w:val="00044479"/>
    <w:rsid w:val="0004456B"/>
    <w:rsid w:val="00044BC4"/>
    <w:rsid w:val="00045C11"/>
    <w:rsid w:val="00046159"/>
    <w:rsid w:val="0004618C"/>
    <w:rsid w:val="00046659"/>
    <w:rsid w:val="00046C1D"/>
    <w:rsid w:val="00047856"/>
    <w:rsid w:val="00047AB0"/>
    <w:rsid w:val="00050264"/>
    <w:rsid w:val="00050526"/>
    <w:rsid w:val="00050AE1"/>
    <w:rsid w:val="00051114"/>
    <w:rsid w:val="000513E7"/>
    <w:rsid w:val="00051D9D"/>
    <w:rsid w:val="00051F3C"/>
    <w:rsid w:val="00052DA0"/>
    <w:rsid w:val="00053512"/>
    <w:rsid w:val="0005377C"/>
    <w:rsid w:val="000538BF"/>
    <w:rsid w:val="00053F80"/>
    <w:rsid w:val="000540A5"/>
    <w:rsid w:val="00054311"/>
    <w:rsid w:val="0005450F"/>
    <w:rsid w:val="0005451C"/>
    <w:rsid w:val="00054CAC"/>
    <w:rsid w:val="0005532E"/>
    <w:rsid w:val="000554BF"/>
    <w:rsid w:val="00056237"/>
    <w:rsid w:val="00056371"/>
    <w:rsid w:val="00056373"/>
    <w:rsid w:val="000569CD"/>
    <w:rsid w:val="00056E7C"/>
    <w:rsid w:val="00056E89"/>
    <w:rsid w:val="00057D13"/>
    <w:rsid w:val="00061111"/>
    <w:rsid w:val="000612F1"/>
    <w:rsid w:val="00061596"/>
    <w:rsid w:val="0006177C"/>
    <w:rsid w:val="00061933"/>
    <w:rsid w:val="00062330"/>
    <w:rsid w:val="000623A9"/>
    <w:rsid w:val="000624BB"/>
    <w:rsid w:val="00062C57"/>
    <w:rsid w:val="0006366E"/>
    <w:rsid w:val="00063BF8"/>
    <w:rsid w:val="000641B7"/>
    <w:rsid w:val="000641EB"/>
    <w:rsid w:val="00064557"/>
    <w:rsid w:val="000648E8"/>
    <w:rsid w:val="00064A1E"/>
    <w:rsid w:val="00064D63"/>
    <w:rsid w:val="000653F5"/>
    <w:rsid w:val="0006584E"/>
    <w:rsid w:val="00065BF3"/>
    <w:rsid w:val="00065E47"/>
    <w:rsid w:val="000663ED"/>
    <w:rsid w:val="000665AB"/>
    <w:rsid w:val="00066998"/>
    <w:rsid w:val="00066E63"/>
    <w:rsid w:val="00066FC9"/>
    <w:rsid w:val="000679AE"/>
    <w:rsid w:val="000679B0"/>
    <w:rsid w:val="00067BFC"/>
    <w:rsid w:val="0007003D"/>
    <w:rsid w:val="000702C3"/>
    <w:rsid w:val="00070C72"/>
    <w:rsid w:val="00070EA5"/>
    <w:rsid w:val="0007176E"/>
    <w:rsid w:val="00071EF7"/>
    <w:rsid w:val="00072373"/>
    <w:rsid w:val="00072C8A"/>
    <w:rsid w:val="00072CBE"/>
    <w:rsid w:val="00073031"/>
    <w:rsid w:val="000731C5"/>
    <w:rsid w:val="0007335C"/>
    <w:rsid w:val="000733C7"/>
    <w:rsid w:val="0007360C"/>
    <w:rsid w:val="00073932"/>
    <w:rsid w:val="00073E85"/>
    <w:rsid w:val="00074B87"/>
    <w:rsid w:val="00074FAA"/>
    <w:rsid w:val="00075593"/>
    <w:rsid w:val="0007582F"/>
    <w:rsid w:val="00075FFE"/>
    <w:rsid w:val="000764E6"/>
    <w:rsid w:val="0007696A"/>
    <w:rsid w:val="00076A01"/>
    <w:rsid w:val="00076DA5"/>
    <w:rsid w:val="00077008"/>
    <w:rsid w:val="00077AAF"/>
    <w:rsid w:val="00077ADE"/>
    <w:rsid w:val="00077CE0"/>
    <w:rsid w:val="00080128"/>
    <w:rsid w:val="000803FF"/>
    <w:rsid w:val="00080895"/>
    <w:rsid w:val="000812ED"/>
    <w:rsid w:val="000816E0"/>
    <w:rsid w:val="0008185A"/>
    <w:rsid w:val="000819A8"/>
    <w:rsid w:val="00081FAD"/>
    <w:rsid w:val="0008228E"/>
    <w:rsid w:val="00082961"/>
    <w:rsid w:val="00082DEF"/>
    <w:rsid w:val="00083837"/>
    <w:rsid w:val="000847BF"/>
    <w:rsid w:val="00085EA1"/>
    <w:rsid w:val="00086A5C"/>
    <w:rsid w:val="00086B04"/>
    <w:rsid w:val="00086C42"/>
    <w:rsid w:val="00086EBC"/>
    <w:rsid w:val="000874DE"/>
    <w:rsid w:val="0008779D"/>
    <w:rsid w:val="00087F7D"/>
    <w:rsid w:val="00090111"/>
    <w:rsid w:val="00090943"/>
    <w:rsid w:val="0009123D"/>
    <w:rsid w:val="0009143D"/>
    <w:rsid w:val="00091AFD"/>
    <w:rsid w:val="00091C4F"/>
    <w:rsid w:val="00093796"/>
    <w:rsid w:val="000939CA"/>
    <w:rsid w:val="000943A8"/>
    <w:rsid w:val="00094852"/>
    <w:rsid w:val="0009593A"/>
    <w:rsid w:val="000963F4"/>
    <w:rsid w:val="0009650F"/>
    <w:rsid w:val="00096896"/>
    <w:rsid w:val="000968D2"/>
    <w:rsid w:val="00096A17"/>
    <w:rsid w:val="00096C06"/>
    <w:rsid w:val="00097192"/>
    <w:rsid w:val="000971AA"/>
    <w:rsid w:val="00097790"/>
    <w:rsid w:val="00097CF0"/>
    <w:rsid w:val="00097D01"/>
    <w:rsid w:val="000A1451"/>
    <w:rsid w:val="000A17F1"/>
    <w:rsid w:val="000A1B09"/>
    <w:rsid w:val="000A21CC"/>
    <w:rsid w:val="000A2395"/>
    <w:rsid w:val="000A290B"/>
    <w:rsid w:val="000A2B51"/>
    <w:rsid w:val="000A3130"/>
    <w:rsid w:val="000A336C"/>
    <w:rsid w:val="000A3898"/>
    <w:rsid w:val="000A3C2F"/>
    <w:rsid w:val="000A3D64"/>
    <w:rsid w:val="000A401D"/>
    <w:rsid w:val="000A45DF"/>
    <w:rsid w:val="000A4A6C"/>
    <w:rsid w:val="000A500F"/>
    <w:rsid w:val="000A50E2"/>
    <w:rsid w:val="000A52A1"/>
    <w:rsid w:val="000A52AB"/>
    <w:rsid w:val="000A5887"/>
    <w:rsid w:val="000A633D"/>
    <w:rsid w:val="000A6392"/>
    <w:rsid w:val="000A6E9C"/>
    <w:rsid w:val="000A72EE"/>
    <w:rsid w:val="000A756F"/>
    <w:rsid w:val="000A7C5E"/>
    <w:rsid w:val="000B07CE"/>
    <w:rsid w:val="000B0B1E"/>
    <w:rsid w:val="000B0E3D"/>
    <w:rsid w:val="000B2000"/>
    <w:rsid w:val="000B2042"/>
    <w:rsid w:val="000B286B"/>
    <w:rsid w:val="000B2942"/>
    <w:rsid w:val="000B2AF2"/>
    <w:rsid w:val="000B2C71"/>
    <w:rsid w:val="000B2CFB"/>
    <w:rsid w:val="000B2F0F"/>
    <w:rsid w:val="000B3097"/>
    <w:rsid w:val="000B3557"/>
    <w:rsid w:val="000B3DC4"/>
    <w:rsid w:val="000B403B"/>
    <w:rsid w:val="000B4FB6"/>
    <w:rsid w:val="000B508F"/>
    <w:rsid w:val="000B5091"/>
    <w:rsid w:val="000B5142"/>
    <w:rsid w:val="000B51B1"/>
    <w:rsid w:val="000B5227"/>
    <w:rsid w:val="000B53C0"/>
    <w:rsid w:val="000B5698"/>
    <w:rsid w:val="000B5744"/>
    <w:rsid w:val="000B57B0"/>
    <w:rsid w:val="000B59BD"/>
    <w:rsid w:val="000B5BD0"/>
    <w:rsid w:val="000B5C2F"/>
    <w:rsid w:val="000B5FBF"/>
    <w:rsid w:val="000B6309"/>
    <w:rsid w:val="000B64E3"/>
    <w:rsid w:val="000B689B"/>
    <w:rsid w:val="000B6958"/>
    <w:rsid w:val="000B6D6A"/>
    <w:rsid w:val="000B73C6"/>
    <w:rsid w:val="000B7685"/>
    <w:rsid w:val="000B7CB8"/>
    <w:rsid w:val="000B7DC3"/>
    <w:rsid w:val="000B7F93"/>
    <w:rsid w:val="000C0510"/>
    <w:rsid w:val="000C06A4"/>
    <w:rsid w:val="000C0BD2"/>
    <w:rsid w:val="000C0F3A"/>
    <w:rsid w:val="000C0FAC"/>
    <w:rsid w:val="000C1F18"/>
    <w:rsid w:val="000C2987"/>
    <w:rsid w:val="000C2B76"/>
    <w:rsid w:val="000C2EA9"/>
    <w:rsid w:val="000C3B22"/>
    <w:rsid w:val="000C41E5"/>
    <w:rsid w:val="000C4BB7"/>
    <w:rsid w:val="000C5486"/>
    <w:rsid w:val="000C5578"/>
    <w:rsid w:val="000C71D7"/>
    <w:rsid w:val="000C73DA"/>
    <w:rsid w:val="000C782D"/>
    <w:rsid w:val="000D008E"/>
    <w:rsid w:val="000D0421"/>
    <w:rsid w:val="000D0A89"/>
    <w:rsid w:val="000D0ACF"/>
    <w:rsid w:val="000D0BB6"/>
    <w:rsid w:val="000D0C8D"/>
    <w:rsid w:val="000D0FB5"/>
    <w:rsid w:val="000D1354"/>
    <w:rsid w:val="000D149C"/>
    <w:rsid w:val="000D1EA8"/>
    <w:rsid w:val="000D2088"/>
    <w:rsid w:val="000D27F5"/>
    <w:rsid w:val="000D2879"/>
    <w:rsid w:val="000D2BC1"/>
    <w:rsid w:val="000D395D"/>
    <w:rsid w:val="000D3975"/>
    <w:rsid w:val="000D3A57"/>
    <w:rsid w:val="000D3BC1"/>
    <w:rsid w:val="000D419B"/>
    <w:rsid w:val="000D4342"/>
    <w:rsid w:val="000D4384"/>
    <w:rsid w:val="000D6761"/>
    <w:rsid w:val="000D6A61"/>
    <w:rsid w:val="000D6C93"/>
    <w:rsid w:val="000D70D7"/>
    <w:rsid w:val="000D763B"/>
    <w:rsid w:val="000D78E5"/>
    <w:rsid w:val="000D7C54"/>
    <w:rsid w:val="000D7E1F"/>
    <w:rsid w:val="000E0210"/>
    <w:rsid w:val="000E07E8"/>
    <w:rsid w:val="000E1007"/>
    <w:rsid w:val="000E1767"/>
    <w:rsid w:val="000E17A7"/>
    <w:rsid w:val="000E193E"/>
    <w:rsid w:val="000E1D99"/>
    <w:rsid w:val="000E20EE"/>
    <w:rsid w:val="000E2943"/>
    <w:rsid w:val="000E3592"/>
    <w:rsid w:val="000E3BE1"/>
    <w:rsid w:val="000E40C8"/>
    <w:rsid w:val="000E412D"/>
    <w:rsid w:val="000E423E"/>
    <w:rsid w:val="000E5404"/>
    <w:rsid w:val="000E5C21"/>
    <w:rsid w:val="000E61C4"/>
    <w:rsid w:val="000E6774"/>
    <w:rsid w:val="000E6AA5"/>
    <w:rsid w:val="000E6F0F"/>
    <w:rsid w:val="000E7146"/>
    <w:rsid w:val="000E7205"/>
    <w:rsid w:val="000E798E"/>
    <w:rsid w:val="000E7BAB"/>
    <w:rsid w:val="000E7F56"/>
    <w:rsid w:val="000F009C"/>
    <w:rsid w:val="000F03DA"/>
    <w:rsid w:val="000F0674"/>
    <w:rsid w:val="000F0AC1"/>
    <w:rsid w:val="000F0B03"/>
    <w:rsid w:val="000F1981"/>
    <w:rsid w:val="000F19C5"/>
    <w:rsid w:val="000F1CDA"/>
    <w:rsid w:val="000F1EE5"/>
    <w:rsid w:val="000F1FEC"/>
    <w:rsid w:val="000F222C"/>
    <w:rsid w:val="000F232B"/>
    <w:rsid w:val="000F23AF"/>
    <w:rsid w:val="000F2F0E"/>
    <w:rsid w:val="000F2F8D"/>
    <w:rsid w:val="000F3314"/>
    <w:rsid w:val="000F373E"/>
    <w:rsid w:val="000F3CBF"/>
    <w:rsid w:val="000F4067"/>
    <w:rsid w:val="000F414B"/>
    <w:rsid w:val="000F416A"/>
    <w:rsid w:val="000F4FEF"/>
    <w:rsid w:val="000F559D"/>
    <w:rsid w:val="000F5F7F"/>
    <w:rsid w:val="000F6119"/>
    <w:rsid w:val="000F649F"/>
    <w:rsid w:val="000F6511"/>
    <w:rsid w:val="000F6700"/>
    <w:rsid w:val="000F6872"/>
    <w:rsid w:val="000F73D7"/>
    <w:rsid w:val="000F760D"/>
    <w:rsid w:val="000F7631"/>
    <w:rsid w:val="000F7694"/>
    <w:rsid w:val="000F7F5B"/>
    <w:rsid w:val="00100409"/>
    <w:rsid w:val="0010179F"/>
    <w:rsid w:val="00101975"/>
    <w:rsid w:val="00101C90"/>
    <w:rsid w:val="00102BE0"/>
    <w:rsid w:val="00102E80"/>
    <w:rsid w:val="00102F76"/>
    <w:rsid w:val="00103339"/>
    <w:rsid w:val="001033A9"/>
    <w:rsid w:val="001034E3"/>
    <w:rsid w:val="001039C2"/>
    <w:rsid w:val="00103C7F"/>
    <w:rsid w:val="00103CBC"/>
    <w:rsid w:val="00103F1C"/>
    <w:rsid w:val="001040AD"/>
    <w:rsid w:val="0010422B"/>
    <w:rsid w:val="00104EDD"/>
    <w:rsid w:val="001050DE"/>
    <w:rsid w:val="00105F5C"/>
    <w:rsid w:val="001064A4"/>
    <w:rsid w:val="00106604"/>
    <w:rsid w:val="0010699D"/>
    <w:rsid w:val="00106CEE"/>
    <w:rsid w:val="00107E6A"/>
    <w:rsid w:val="00110417"/>
    <w:rsid w:val="00111506"/>
    <w:rsid w:val="0011178C"/>
    <w:rsid w:val="00111AE7"/>
    <w:rsid w:val="00111BC3"/>
    <w:rsid w:val="001125AB"/>
    <w:rsid w:val="001127D9"/>
    <w:rsid w:val="00112988"/>
    <w:rsid w:val="00112A57"/>
    <w:rsid w:val="00112CF0"/>
    <w:rsid w:val="00112CF7"/>
    <w:rsid w:val="00112E1E"/>
    <w:rsid w:val="00112EC1"/>
    <w:rsid w:val="001136C6"/>
    <w:rsid w:val="001136F3"/>
    <w:rsid w:val="00114113"/>
    <w:rsid w:val="0011428D"/>
    <w:rsid w:val="00114DA1"/>
    <w:rsid w:val="00115B74"/>
    <w:rsid w:val="001162ED"/>
    <w:rsid w:val="00116356"/>
    <w:rsid w:val="0011699D"/>
    <w:rsid w:val="00116E2B"/>
    <w:rsid w:val="00116EE4"/>
    <w:rsid w:val="001172BD"/>
    <w:rsid w:val="00117793"/>
    <w:rsid w:val="001178E4"/>
    <w:rsid w:val="0012112B"/>
    <w:rsid w:val="001211AB"/>
    <w:rsid w:val="00121447"/>
    <w:rsid w:val="001214BE"/>
    <w:rsid w:val="001218B8"/>
    <w:rsid w:val="00121A72"/>
    <w:rsid w:val="00121F79"/>
    <w:rsid w:val="00122457"/>
    <w:rsid w:val="00122774"/>
    <w:rsid w:val="00122980"/>
    <w:rsid w:val="00122F76"/>
    <w:rsid w:val="00123325"/>
    <w:rsid w:val="00123A13"/>
    <w:rsid w:val="00123BC6"/>
    <w:rsid w:val="00123DA3"/>
    <w:rsid w:val="00124B73"/>
    <w:rsid w:val="00124ED1"/>
    <w:rsid w:val="00125613"/>
    <w:rsid w:val="001258EF"/>
    <w:rsid w:val="00125938"/>
    <w:rsid w:val="00125B33"/>
    <w:rsid w:val="001260B6"/>
    <w:rsid w:val="00126201"/>
    <w:rsid w:val="00126402"/>
    <w:rsid w:val="00126AD1"/>
    <w:rsid w:val="00126FB4"/>
    <w:rsid w:val="001277C7"/>
    <w:rsid w:val="0012785A"/>
    <w:rsid w:val="00130DCA"/>
    <w:rsid w:val="00130E89"/>
    <w:rsid w:val="00131D5F"/>
    <w:rsid w:val="0013227D"/>
    <w:rsid w:val="001322D2"/>
    <w:rsid w:val="00132351"/>
    <w:rsid w:val="00132503"/>
    <w:rsid w:val="001329AA"/>
    <w:rsid w:val="00132E0B"/>
    <w:rsid w:val="00133383"/>
    <w:rsid w:val="001333F9"/>
    <w:rsid w:val="00133F08"/>
    <w:rsid w:val="00133FB7"/>
    <w:rsid w:val="00134015"/>
    <w:rsid w:val="00134146"/>
    <w:rsid w:val="0013506F"/>
    <w:rsid w:val="00135080"/>
    <w:rsid w:val="00135268"/>
    <w:rsid w:val="001352F6"/>
    <w:rsid w:val="001353E5"/>
    <w:rsid w:val="0013541C"/>
    <w:rsid w:val="00135C98"/>
    <w:rsid w:val="00135E3C"/>
    <w:rsid w:val="001360A3"/>
    <w:rsid w:val="00136497"/>
    <w:rsid w:val="00136F29"/>
    <w:rsid w:val="00137D90"/>
    <w:rsid w:val="00140830"/>
    <w:rsid w:val="0014088B"/>
    <w:rsid w:val="00140C43"/>
    <w:rsid w:val="00140D09"/>
    <w:rsid w:val="00141BD1"/>
    <w:rsid w:val="00142B86"/>
    <w:rsid w:val="00142E70"/>
    <w:rsid w:val="00143893"/>
    <w:rsid w:val="00143F85"/>
    <w:rsid w:val="001441DA"/>
    <w:rsid w:val="00144593"/>
    <w:rsid w:val="001445B5"/>
    <w:rsid w:val="0014491B"/>
    <w:rsid w:val="00144A22"/>
    <w:rsid w:val="00144C8A"/>
    <w:rsid w:val="00144E6F"/>
    <w:rsid w:val="00145CC0"/>
    <w:rsid w:val="00145E34"/>
    <w:rsid w:val="0014616B"/>
    <w:rsid w:val="00146411"/>
    <w:rsid w:val="00147115"/>
    <w:rsid w:val="001477CE"/>
    <w:rsid w:val="0014788F"/>
    <w:rsid w:val="001500CF"/>
    <w:rsid w:val="001508FC"/>
    <w:rsid w:val="00151316"/>
    <w:rsid w:val="001519C7"/>
    <w:rsid w:val="00151DFB"/>
    <w:rsid w:val="0015233A"/>
    <w:rsid w:val="0015240C"/>
    <w:rsid w:val="00152818"/>
    <w:rsid w:val="00152BE0"/>
    <w:rsid w:val="00153AA7"/>
    <w:rsid w:val="00153D48"/>
    <w:rsid w:val="00153FDD"/>
    <w:rsid w:val="00154628"/>
    <w:rsid w:val="00154A9A"/>
    <w:rsid w:val="001550A3"/>
    <w:rsid w:val="00155584"/>
    <w:rsid w:val="00155746"/>
    <w:rsid w:val="00155EAF"/>
    <w:rsid w:val="0015686A"/>
    <w:rsid w:val="00156C80"/>
    <w:rsid w:val="0015742B"/>
    <w:rsid w:val="00160346"/>
    <w:rsid w:val="0016182D"/>
    <w:rsid w:val="00161995"/>
    <w:rsid w:val="00161DCE"/>
    <w:rsid w:val="00162A7D"/>
    <w:rsid w:val="00164202"/>
    <w:rsid w:val="0016534B"/>
    <w:rsid w:val="001654B0"/>
    <w:rsid w:val="00165907"/>
    <w:rsid w:val="00165FF0"/>
    <w:rsid w:val="0016608F"/>
    <w:rsid w:val="0016687F"/>
    <w:rsid w:val="0016688E"/>
    <w:rsid w:val="00166AB8"/>
    <w:rsid w:val="00166E24"/>
    <w:rsid w:val="00166F83"/>
    <w:rsid w:val="0016723A"/>
    <w:rsid w:val="00167335"/>
    <w:rsid w:val="001704CF"/>
    <w:rsid w:val="00170DC9"/>
    <w:rsid w:val="0017181D"/>
    <w:rsid w:val="00171A05"/>
    <w:rsid w:val="00171D48"/>
    <w:rsid w:val="00171F78"/>
    <w:rsid w:val="00172E17"/>
    <w:rsid w:val="00172EC4"/>
    <w:rsid w:val="00172F3A"/>
    <w:rsid w:val="001730FD"/>
    <w:rsid w:val="00173273"/>
    <w:rsid w:val="001732A1"/>
    <w:rsid w:val="001735B1"/>
    <w:rsid w:val="00173798"/>
    <w:rsid w:val="00173BE6"/>
    <w:rsid w:val="00173DA5"/>
    <w:rsid w:val="00173E72"/>
    <w:rsid w:val="00173F9A"/>
    <w:rsid w:val="00174F3A"/>
    <w:rsid w:val="0017502B"/>
    <w:rsid w:val="00175209"/>
    <w:rsid w:val="0017572D"/>
    <w:rsid w:val="00175AA2"/>
    <w:rsid w:val="00175ACB"/>
    <w:rsid w:val="0017645D"/>
    <w:rsid w:val="00176D3C"/>
    <w:rsid w:val="00176E4F"/>
    <w:rsid w:val="00176E9A"/>
    <w:rsid w:val="00177639"/>
    <w:rsid w:val="001778D0"/>
    <w:rsid w:val="00177D12"/>
    <w:rsid w:val="00180521"/>
    <w:rsid w:val="00180593"/>
    <w:rsid w:val="001807C0"/>
    <w:rsid w:val="00180935"/>
    <w:rsid w:val="001811DE"/>
    <w:rsid w:val="001818CC"/>
    <w:rsid w:val="00181B43"/>
    <w:rsid w:val="00181F23"/>
    <w:rsid w:val="00182487"/>
    <w:rsid w:val="001826CB"/>
    <w:rsid w:val="001827AC"/>
    <w:rsid w:val="00182899"/>
    <w:rsid w:val="00182BB0"/>
    <w:rsid w:val="00182CC3"/>
    <w:rsid w:val="001831E8"/>
    <w:rsid w:val="00183562"/>
    <w:rsid w:val="00183649"/>
    <w:rsid w:val="00183970"/>
    <w:rsid w:val="001842FC"/>
    <w:rsid w:val="001843C4"/>
    <w:rsid w:val="001849B2"/>
    <w:rsid w:val="001852B1"/>
    <w:rsid w:val="0018537D"/>
    <w:rsid w:val="001853A5"/>
    <w:rsid w:val="001856E5"/>
    <w:rsid w:val="00185A8A"/>
    <w:rsid w:val="00185E07"/>
    <w:rsid w:val="001866D1"/>
    <w:rsid w:val="001868A3"/>
    <w:rsid w:val="00186F28"/>
    <w:rsid w:val="00187145"/>
    <w:rsid w:val="001874F4"/>
    <w:rsid w:val="00187613"/>
    <w:rsid w:val="001907BA"/>
    <w:rsid w:val="00190DA0"/>
    <w:rsid w:val="0019104D"/>
    <w:rsid w:val="00191778"/>
    <w:rsid w:val="00191A77"/>
    <w:rsid w:val="00191DB3"/>
    <w:rsid w:val="00191FD5"/>
    <w:rsid w:val="001925AB"/>
    <w:rsid w:val="0019268F"/>
    <w:rsid w:val="001929AA"/>
    <w:rsid w:val="00192D0D"/>
    <w:rsid w:val="00193260"/>
    <w:rsid w:val="0019374B"/>
    <w:rsid w:val="00193A90"/>
    <w:rsid w:val="00193B10"/>
    <w:rsid w:val="00193EE3"/>
    <w:rsid w:val="00194995"/>
    <w:rsid w:val="00194DA5"/>
    <w:rsid w:val="00195CD2"/>
    <w:rsid w:val="00195CE0"/>
    <w:rsid w:val="0019673E"/>
    <w:rsid w:val="00196BA3"/>
    <w:rsid w:val="001970F9"/>
    <w:rsid w:val="001A0851"/>
    <w:rsid w:val="001A0968"/>
    <w:rsid w:val="001A09E7"/>
    <w:rsid w:val="001A27E6"/>
    <w:rsid w:val="001A2B70"/>
    <w:rsid w:val="001A2D68"/>
    <w:rsid w:val="001A2F36"/>
    <w:rsid w:val="001A3771"/>
    <w:rsid w:val="001A4336"/>
    <w:rsid w:val="001A4EB6"/>
    <w:rsid w:val="001A5087"/>
    <w:rsid w:val="001A512A"/>
    <w:rsid w:val="001A5705"/>
    <w:rsid w:val="001A592C"/>
    <w:rsid w:val="001A5D64"/>
    <w:rsid w:val="001A5D91"/>
    <w:rsid w:val="001A63F2"/>
    <w:rsid w:val="001A6496"/>
    <w:rsid w:val="001A7084"/>
    <w:rsid w:val="001A7346"/>
    <w:rsid w:val="001A751B"/>
    <w:rsid w:val="001A7FFD"/>
    <w:rsid w:val="001B0066"/>
    <w:rsid w:val="001B0110"/>
    <w:rsid w:val="001B0175"/>
    <w:rsid w:val="001B0511"/>
    <w:rsid w:val="001B090D"/>
    <w:rsid w:val="001B0D66"/>
    <w:rsid w:val="001B1729"/>
    <w:rsid w:val="001B18DC"/>
    <w:rsid w:val="001B1FAD"/>
    <w:rsid w:val="001B3048"/>
    <w:rsid w:val="001B3961"/>
    <w:rsid w:val="001B436F"/>
    <w:rsid w:val="001B46E4"/>
    <w:rsid w:val="001B4E90"/>
    <w:rsid w:val="001B5291"/>
    <w:rsid w:val="001B556D"/>
    <w:rsid w:val="001B563F"/>
    <w:rsid w:val="001B5D3A"/>
    <w:rsid w:val="001B5D41"/>
    <w:rsid w:val="001B5EB0"/>
    <w:rsid w:val="001B696E"/>
    <w:rsid w:val="001B6A56"/>
    <w:rsid w:val="001B6CE1"/>
    <w:rsid w:val="001B7243"/>
    <w:rsid w:val="001B7628"/>
    <w:rsid w:val="001B7784"/>
    <w:rsid w:val="001C00F2"/>
    <w:rsid w:val="001C1121"/>
    <w:rsid w:val="001C14EA"/>
    <w:rsid w:val="001C1A19"/>
    <w:rsid w:val="001C1AC5"/>
    <w:rsid w:val="001C202D"/>
    <w:rsid w:val="001C2289"/>
    <w:rsid w:val="001C22BD"/>
    <w:rsid w:val="001C22F8"/>
    <w:rsid w:val="001C23C3"/>
    <w:rsid w:val="001C281D"/>
    <w:rsid w:val="001C2A03"/>
    <w:rsid w:val="001C2F6B"/>
    <w:rsid w:val="001C30D2"/>
    <w:rsid w:val="001C3A45"/>
    <w:rsid w:val="001C3BC6"/>
    <w:rsid w:val="001C43DD"/>
    <w:rsid w:val="001C469B"/>
    <w:rsid w:val="001C4C38"/>
    <w:rsid w:val="001C504B"/>
    <w:rsid w:val="001C508F"/>
    <w:rsid w:val="001C532B"/>
    <w:rsid w:val="001C5C6A"/>
    <w:rsid w:val="001C6A42"/>
    <w:rsid w:val="001C6A71"/>
    <w:rsid w:val="001C6F34"/>
    <w:rsid w:val="001C776C"/>
    <w:rsid w:val="001C77E1"/>
    <w:rsid w:val="001D19A8"/>
    <w:rsid w:val="001D1C3D"/>
    <w:rsid w:val="001D2682"/>
    <w:rsid w:val="001D27C4"/>
    <w:rsid w:val="001D28B3"/>
    <w:rsid w:val="001D450F"/>
    <w:rsid w:val="001D4B78"/>
    <w:rsid w:val="001D5257"/>
    <w:rsid w:val="001D536C"/>
    <w:rsid w:val="001D61B0"/>
    <w:rsid w:val="001D638B"/>
    <w:rsid w:val="001D6CCE"/>
    <w:rsid w:val="001D6DFA"/>
    <w:rsid w:val="001D70C3"/>
    <w:rsid w:val="001D7159"/>
    <w:rsid w:val="001D7461"/>
    <w:rsid w:val="001E0C31"/>
    <w:rsid w:val="001E0D30"/>
    <w:rsid w:val="001E12DC"/>
    <w:rsid w:val="001E1A2B"/>
    <w:rsid w:val="001E1F97"/>
    <w:rsid w:val="001E2207"/>
    <w:rsid w:val="001E22C3"/>
    <w:rsid w:val="001E252F"/>
    <w:rsid w:val="001E2A8E"/>
    <w:rsid w:val="001E38A8"/>
    <w:rsid w:val="001E3982"/>
    <w:rsid w:val="001E3FEC"/>
    <w:rsid w:val="001E4D5E"/>
    <w:rsid w:val="001E538F"/>
    <w:rsid w:val="001E5F64"/>
    <w:rsid w:val="001E6180"/>
    <w:rsid w:val="001E674B"/>
    <w:rsid w:val="001E68FC"/>
    <w:rsid w:val="001E6C2D"/>
    <w:rsid w:val="001E72B6"/>
    <w:rsid w:val="001E7569"/>
    <w:rsid w:val="001E78C2"/>
    <w:rsid w:val="001E7F25"/>
    <w:rsid w:val="001F0676"/>
    <w:rsid w:val="001F0766"/>
    <w:rsid w:val="001F0E50"/>
    <w:rsid w:val="001F0EE5"/>
    <w:rsid w:val="001F1480"/>
    <w:rsid w:val="001F16FB"/>
    <w:rsid w:val="001F1844"/>
    <w:rsid w:val="001F18BF"/>
    <w:rsid w:val="001F1A09"/>
    <w:rsid w:val="001F2178"/>
    <w:rsid w:val="001F22CC"/>
    <w:rsid w:val="001F2DF7"/>
    <w:rsid w:val="001F4F5A"/>
    <w:rsid w:val="001F58FB"/>
    <w:rsid w:val="001F630D"/>
    <w:rsid w:val="001F66DE"/>
    <w:rsid w:val="001F675E"/>
    <w:rsid w:val="001F68ED"/>
    <w:rsid w:val="001F6C87"/>
    <w:rsid w:val="001F6EC5"/>
    <w:rsid w:val="001F7746"/>
    <w:rsid w:val="001F7971"/>
    <w:rsid w:val="001F7ACA"/>
    <w:rsid w:val="001F7D00"/>
    <w:rsid w:val="001F7F32"/>
    <w:rsid w:val="002003D7"/>
    <w:rsid w:val="002008E1"/>
    <w:rsid w:val="00200CAC"/>
    <w:rsid w:val="00200D92"/>
    <w:rsid w:val="002013AB"/>
    <w:rsid w:val="002014E7"/>
    <w:rsid w:val="00201554"/>
    <w:rsid w:val="0020178E"/>
    <w:rsid w:val="00201872"/>
    <w:rsid w:val="002019C3"/>
    <w:rsid w:val="00201EBD"/>
    <w:rsid w:val="00202576"/>
    <w:rsid w:val="00202966"/>
    <w:rsid w:val="00202A9E"/>
    <w:rsid w:val="00202D81"/>
    <w:rsid w:val="00203310"/>
    <w:rsid w:val="002033CD"/>
    <w:rsid w:val="00204026"/>
    <w:rsid w:val="002045B3"/>
    <w:rsid w:val="00204CAA"/>
    <w:rsid w:val="00204D5B"/>
    <w:rsid w:val="00205313"/>
    <w:rsid w:val="00205644"/>
    <w:rsid w:val="00205B0E"/>
    <w:rsid w:val="00205B1F"/>
    <w:rsid w:val="00205FEA"/>
    <w:rsid w:val="002069BC"/>
    <w:rsid w:val="00206CE1"/>
    <w:rsid w:val="0020718C"/>
    <w:rsid w:val="0020738D"/>
    <w:rsid w:val="00207408"/>
    <w:rsid w:val="0021000D"/>
    <w:rsid w:val="002101F0"/>
    <w:rsid w:val="0021033E"/>
    <w:rsid w:val="00210679"/>
    <w:rsid w:val="00210901"/>
    <w:rsid w:val="00210954"/>
    <w:rsid w:val="00210990"/>
    <w:rsid w:val="00210DCC"/>
    <w:rsid w:val="00210DCD"/>
    <w:rsid w:val="00211078"/>
    <w:rsid w:val="002119BF"/>
    <w:rsid w:val="00211D3D"/>
    <w:rsid w:val="00211EBB"/>
    <w:rsid w:val="002124EC"/>
    <w:rsid w:val="002126B2"/>
    <w:rsid w:val="00212948"/>
    <w:rsid w:val="00212BFF"/>
    <w:rsid w:val="00213385"/>
    <w:rsid w:val="00213751"/>
    <w:rsid w:val="0021393D"/>
    <w:rsid w:val="00213C5D"/>
    <w:rsid w:val="00213D5C"/>
    <w:rsid w:val="00214036"/>
    <w:rsid w:val="002140EA"/>
    <w:rsid w:val="00214942"/>
    <w:rsid w:val="00215101"/>
    <w:rsid w:val="002154BC"/>
    <w:rsid w:val="00216486"/>
    <w:rsid w:val="002166AC"/>
    <w:rsid w:val="00216AAA"/>
    <w:rsid w:val="002171EE"/>
    <w:rsid w:val="00217839"/>
    <w:rsid w:val="00217BBD"/>
    <w:rsid w:val="00220675"/>
    <w:rsid w:val="0022067E"/>
    <w:rsid w:val="00220E8C"/>
    <w:rsid w:val="00221A03"/>
    <w:rsid w:val="002221AA"/>
    <w:rsid w:val="002223C1"/>
    <w:rsid w:val="002224C1"/>
    <w:rsid w:val="002225E5"/>
    <w:rsid w:val="0022326B"/>
    <w:rsid w:val="00223564"/>
    <w:rsid w:val="0022389B"/>
    <w:rsid w:val="002238AE"/>
    <w:rsid w:val="0022390C"/>
    <w:rsid w:val="0022409D"/>
    <w:rsid w:val="002240C5"/>
    <w:rsid w:val="00225A3B"/>
    <w:rsid w:val="00225A8C"/>
    <w:rsid w:val="00225BD8"/>
    <w:rsid w:val="00226081"/>
    <w:rsid w:val="00226AF7"/>
    <w:rsid w:val="00226B08"/>
    <w:rsid w:val="00226CF3"/>
    <w:rsid w:val="00227186"/>
    <w:rsid w:val="002277BD"/>
    <w:rsid w:val="002279C6"/>
    <w:rsid w:val="00230361"/>
    <w:rsid w:val="00230817"/>
    <w:rsid w:val="0023081D"/>
    <w:rsid w:val="00230DCC"/>
    <w:rsid w:val="00230F0C"/>
    <w:rsid w:val="00231032"/>
    <w:rsid w:val="002310F0"/>
    <w:rsid w:val="00232267"/>
    <w:rsid w:val="002326C4"/>
    <w:rsid w:val="00232968"/>
    <w:rsid w:val="00232F0E"/>
    <w:rsid w:val="00232FEC"/>
    <w:rsid w:val="0023329C"/>
    <w:rsid w:val="00233BC0"/>
    <w:rsid w:val="00234543"/>
    <w:rsid w:val="00234A04"/>
    <w:rsid w:val="00234B4F"/>
    <w:rsid w:val="00235412"/>
    <w:rsid w:val="0023547E"/>
    <w:rsid w:val="00235839"/>
    <w:rsid w:val="002358AE"/>
    <w:rsid w:val="002363BC"/>
    <w:rsid w:val="00236656"/>
    <w:rsid w:val="00236DC0"/>
    <w:rsid w:val="00236F4C"/>
    <w:rsid w:val="002373A2"/>
    <w:rsid w:val="002373BA"/>
    <w:rsid w:val="00237A0A"/>
    <w:rsid w:val="002402F3"/>
    <w:rsid w:val="00240461"/>
    <w:rsid w:val="002407CC"/>
    <w:rsid w:val="002409E3"/>
    <w:rsid w:val="00240DAE"/>
    <w:rsid w:val="00241394"/>
    <w:rsid w:val="00241548"/>
    <w:rsid w:val="00241598"/>
    <w:rsid w:val="002415CE"/>
    <w:rsid w:val="00241DF2"/>
    <w:rsid w:val="00242450"/>
    <w:rsid w:val="00242517"/>
    <w:rsid w:val="0024260B"/>
    <w:rsid w:val="002429B1"/>
    <w:rsid w:val="00242C86"/>
    <w:rsid w:val="00242F22"/>
    <w:rsid w:val="00243D63"/>
    <w:rsid w:val="00243E52"/>
    <w:rsid w:val="0024401F"/>
    <w:rsid w:val="00244026"/>
    <w:rsid w:val="00244591"/>
    <w:rsid w:val="002446FF"/>
    <w:rsid w:val="00244EE7"/>
    <w:rsid w:val="00245477"/>
    <w:rsid w:val="0024569B"/>
    <w:rsid w:val="00247691"/>
    <w:rsid w:val="00247CC8"/>
    <w:rsid w:val="002501A0"/>
    <w:rsid w:val="002507EF"/>
    <w:rsid w:val="00250C94"/>
    <w:rsid w:val="002513AE"/>
    <w:rsid w:val="002514AA"/>
    <w:rsid w:val="002521E1"/>
    <w:rsid w:val="00253724"/>
    <w:rsid w:val="00253AE1"/>
    <w:rsid w:val="0025447C"/>
    <w:rsid w:val="00255399"/>
    <w:rsid w:val="002559B3"/>
    <w:rsid w:val="00255A84"/>
    <w:rsid w:val="00255B5A"/>
    <w:rsid w:val="002567DB"/>
    <w:rsid w:val="0025698E"/>
    <w:rsid w:val="00256B2B"/>
    <w:rsid w:val="002575A0"/>
    <w:rsid w:val="00260448"/>
    <w:rsid w:val="00260C02"/>
    <w:rsid w:val="00260C35"/>
    <w:rsid w:val="0026114B"/>
    <w:rsid w:val="0026123A"/>
    <w:rsid w:val="0026151F"/>
    <w:rsid w:val="0026169D"/>
    <w:rsid w:val="0026174E"/>
    <w:rsid w:val="00261972"/>
    <w:rsid w:val="00261B8A"/>
    <w:rsid w:val="00261CF1"/>
    <w:rsid w:val="00262C4A"/>
    <w:rsid w:val="00264118"/>
    <w:rsid w:val="002646FE"/>
    <w:rsid w:val="00264C1F"/>
    <w:rsid w:val="00264C86"/>
    <w:rsid w:val="002650C7"/>
    <w:rsid w:val="0026519A"/>
    <w:rsid w:val="0026541D"/>
    <w:rsid w:val="00265AC3"/>
    <w:rsid w:val="00265BFC"/>
    <w:rsid w:val="00265D7D"/>
    <w:rsid w:val="00265EF2"/>
    <w:rsid w:val="002671A2"/>
    <w:rsid w:val="0026722A"/>
    <w:rsid w:val="00267496"/>
    <w:rsid w:val="00267A7C"/>
    <w:rsid w:val="00267D13"/>
    <w:rsid w:val="002702D2"/>
    <w:rsid w:val="002705A9"/>
    <w:rsid w:val="0027170E"/>
    <w:rsid w:val="002721E4"/>
    <w:rsid w:val="0027304D"/>
    <w:rsid w:val="00273550"/>
    <w:rsid w:val="00273637"/>
    <w:rsid w:val="0027487A"/>
    <w:rsid w:val="00274ACB"/>
    <w:rsid w:val="00274B62"/>
    <w:rsid w:val="002759C0"/>
    <w:rsid w:val="00275B68"/>
    <w:rsid w:val="00275F9E"/>
    <w:rsid w:val="002761BD"/>
    <w:rsid w:val="002763EB"/>
    <w:rsid w:val="0027652E"/>
    <w:rsid w:val="00280A5C"/>
    <w:rsid w:val="00280CD5"/>
    <w:rsid w:val="00280D2C"/>
    <w:rsid w:val="00280EA4"/>
    <w:rsid w:val="002811B7"/>
    <w:rsid w:val="00281DA0"/>
    <w:rsid w:val="002826AE"/>
    <w:rsid w:val="00282BAE"/>
    <w:rsid w:val="00282EE5"/>
    <w:rsid w:val="002834C9"/>
    <w:rsid w:val="002837C2"/>
    <w:rsid w:val="0028399A"/>
    <w:rsid w:val="00284036"/>
    <w:rsid w:val="00284066"/>
    <w:rsid w:val="002842E0"/>
    <w:rsid w:val="002845C2"/>
    <w:rsid w:val="002845EA"/>
    <w:rsid w:val="00285205"/>
    <w:rsid w:val="0028523A"/>
    <w:rsid w:val="00285309"/>
    <w:rsid w:val="00285DF6"/>
    <w:rsid w:val="0028670B"/>
    <w:rsid w:val="00286894"/>
    <w:rsid w:val="002869A9"/>
    <w:rsid w:val="00286B1C"/>
    <w:rsid w:val="00286D8F"/>
    <w:rsid w:val="00286EBE"/>
    <w:rsid w:val="0028718B"/>
    <w:rsid w:val="0028783E"/>
    <w:rsid w:val="00287B45"/>
    <w:rsid w:val="0029053E"/>
    <w:rsid w:val="002907BC"/>
    <w:rsid w:val="00290B9C"/>
    <w:rsid w:val="00290CA1"/>
    <w:rsid w:val="002920C7"/>
    <w:rsid w:val="00292228"/>
    <w:rsid w:val="00292C55"/>
    <w:rsid w:val="00292F67"/>
    <w:rsid w:val="00293042"/>
    <w:rsid w:val="00293492"/>
    <w:rsid w:val="002935A6"/>
    <w:rsid w:val="002938FB"/>
    <w:rsid w:val="00293C63"/>
    <w:rsid w:val="00294217"/>
    <w:rsid w:val="00294648"/>
    <w:rsid w:val="00294917"/>
    <w:rsid w:val="00294A58"/>
    <w:rsid w:val="00294B0E"/>
    <w:rsid w:val="00295B70"/>
    <w:rsid w:val="00295D12"/>
    <w:rsid w:val="00295EEF"/>
    <w:rsid w:val="0029648D"/>
    <w:rsid w:val="00296B4D"/>
    <w:rsid w:val="00296C31"/>
    <w:rsid w:val="00296D3D"/>
    <w:rsid w:val="00297B4A"/>
    <w:rsid w:val="002A04E2"/>
    <w:rsid w:val="002A06E7"/>
    <w:rsid w:val="002A0E02"/>
    <w:rsid w:val="002A0E94"/>
    <w:rsid w:val="002A0F5E"/>
    <w:rsid w:val="002A1F4D"/>
    <w:rsid w:val="002A2364"/>
    <w:rsid w:val="002A283D"/>
    <w:rsid w:val="002A2A08"/>
    <w:rsid w:val="002A2D93"/>
    <w:rsid w:val="002A2E5D"/>
    <w:rsid w:val="002A3118"/>
    <w:rsid w:val="002A315B"/>
    <w:rsid w:val="002A339E"/>
    <w:rsid w:val="002A33FC"/>
    <w:rsid w:val="002A35A5"/>
    <w:rsid w:val="002A3D34"/>
    <w:rsid w:val="002A3FFA"/>
    <w:rsid w:val="002A4113"/>
    <w:rsid w:val="002A4266"/>
    <w:rsid w:val="002A44A1"/>
    <w:rsid w:val="002A46C8"/>
    <w:rsid w:val="002A47A9"/>
    <w:rsid w:val="002A4961"/>
    <w:rsid w:val="002A4E42"/>
    <w:rsid w:val="002A51B2"/>
    <w:rsid w:val="002A53C2"/>
    <w:rsid w:val="002A556F"/>
    <w:rsid w:val="002A598E"/>
    <w:rsid w:val="002A61A5"/>
    <w:rsid w:val="002A61B1"/>
    <w:rsid w:val="002A627A"/>
    <w:rsid w:val="002A6328"/>
    <w:rsid w:val="002A648D"/>
    <w:rsid w:val="002A66B2"/>
    <w:rsid w:val="002A7199"/>
    <w:rsid w:val="002A77C3"/>
    <w:rsid w:val="002A7880"/>
    <w:rsid w:val="002A7BBD"/>
    <w:rsid w:val="002A7F54"/>
    <w:rsid w:val="002B02FE"/>
    <w:rsid w:val="002B0588"/>
    <w:rsid w:val="002B0D6E"/>
    <w:rsid w:val="002B10B0"/>
    <w:rsid w:val="002B14DB"/>
    <w:rsid w:val="002B169C"/>
    <w:rsid w:val="002B1960"/>
    <w:rsid w:val="002B1E9B"/>
    <w:rsid w:val="002B2451"/>
    <w:rsid w:val="002B265F"/>
    <w:rsid w:val="002B27CF"/>
    <w:rsid w:val="002B3596"/>
    <w:rsid w:val="002B3BCE"/>
    <w:rsid w:val="002B52B1"/>
    <w:rsid w:val="002B6031"/>
    <w:rsid w:val="002B62F6"/>
    <w:rsid w:val="002B6716"/>
    <w:rsid w:val="002B6AB6"/>
    <w:rsid w:val="002B6EFD"/>
    <w:rsid w:val="002B6F33"/>
    <w:rsid w:val="002B75C4"/>
    <w:rsid w:val="002B771E"/>
    <w:rsid w:val="002B777B"/>
    <w:rsid w:val="002B79F0"/>
    <w:rsid w:val="002B7B8A"/>
    <w:rsid w:val="002B7F3E"/>
    <w:rsid w:val="002C059A"/>
    <w:rsid w:val="002C05D9"/>
    <w:rsid w:val="002C0CCC"/>
    <w:rsid w:val="002C0CD7"/>
    <w:rsid w:val="002C0D7B"/>
    <w:rsid w:val="002C10DF"/>
    <w:rsid w:val="002C1CBF"/>
    <w:rsid w:val="002C1D9C"/>
    <w:rsid w:val="002C1DD8"/>
    <w:rsid w:val="002C22C5"/>
    <w:rsid w:val="002C2BEB"/>
    <w:rsid w:val="002C3276"/>
    <w:rsid w:val="002C34B2"/>
    <w:rsid w:val="002C366F"/>
    <w:rsid w:val="002C3B39"/>
    <w:rsid w:val="002C3D9B"/>
    <w:rsid w:val="002C3F57"/>
    <w:rsid w:val="002C4B93"/>
    <w:rsid w:val="002C4CA9"/>
    <w:rsid w:val="002C5453"/>
    <w:rsid w:val="002C5ACA"/>
    <w:rsid w:val="002C5B81"/>
    <w:rsid w:val="002C5C4C"/>
    <w:rsid w:val="002C64F8"/>
    <w:rsid w:val="002C7301"/>
    <w:rsid w:val="002C77A6"/>
    <w:rsid w:val="002C7FF4"/>
    <w:rsid w:val="002D0503"/>
    <w:rsid w:val="002D0E8A"/>
    <w:rsid w:val="002D100C"/>
    <w:rsid w:val="002D19D3"/>
    <w:rsid w:val="002D21D6"/>
    <w:rsid w:val="002D2270"/>
    <w:rsid w:val="002D2EC4"/>
    <w:rsid w:val="002D311B"/>
    <w:rsid w:val="002D3306"/>
    <w:rsid w:val="002D3716"/>
    <w:rsid w:val="002D3C04"/>
    <w:rsid w:val="002D4074"/>
    <w:rsid w:val="002D408B"/>
    <w:rsid w:val="002D4830"/>
    <w:rsid w:val="002D4A0A"/>
    <w:rsid w:val="002D4A43"/>
    <w:rsid w:val="002D4EE1"/>
    <w:rsid w:val="002D580F"/>
    <w:rsid w:val="002D5F4B"/>
    <w:rsid w:val="002D607F"/>
    <w:rsid w:val="002D6D06"/>
    <w:rsid w:val="002D6F0B"/>
    <w:rsid w:val="002D7CC1"/>
    <w:rsid w:val="002E0B76"/>
    <w:rsid w:val="002E0C23"/>
    <w:rsid w:val="002E0D26"/>
    <w:rsid w:val="002E0F73"/>
    <w:rsid w:val="002E229D"/>
    <w:rsid w:val="002E25A8"/>
    <w:rsid w:val="002E279A"/>
    <w:rsid w:val="002E2BE7"/>
    <w:rsid w:val="002E323E"/>
    <w:rsid w:val="002E3448"/>
    <w:rsid w:val="002E34CF"/>
    <w:rsid w:val="002E356C"/>
    <w:rsid w:val="002E4118"/>
    <w:rsid w:val="002E41F3"/>
    <w:rsid w:val="002E4519"/>
    <w:rsid w:val="002E48FD"/>
    <w:rsid w:val="002E4C0B"/>
    <w:rsid w:val="002E533C"/>
    <w:rsid w:val="002E557C"/>
    <w:rsid w:val="002E635A"/>
    <w:rsid w:val="002E6E7C"/>
    <w:rsid w:val="002E6F72"/>
    <w:rsid w:val="002E7C7D"/>
    <w:rsid w:val="002E7F1D"/>
    <w:rsid w:val="002F02A0"/>
    <w:rsid w:val="002F03E5"/>
    <w:rsid w:val="002F04DE"/>
    <w:rsid w:val="002F04FD"/>
    <w:rsid w:val="002F0789"/>
    <w:rsid w:val="002F084C"/>
    <w:rsid w:val="002F086C"/>
    <w:rsid w:val="002F0D55"/>
    <w:rsid w:val="002F1524"/>
    <w:rsid w:val="002F1CD3"/>
    <w:rsid w:val="002F1D51"/>
    <w:rsid w:val="002F1E43"/>
    <w:rsid w:val="002F22F3"/>
    <w:rsid w:val="002F2BB2"/>
    <w:rsid w:val="002F3A93"/>
    <w:rsid w:val="002F3AFA"/>
    <w:rsid w:val="002F4355"/>
    <w:rsid w:val="002F4444"/>
    <w:rsid w:val="002F453F"/>
    <w:rsid w:val="002F4777"/>
    <w:rsid w:val="002F4A6F"/>
    <w:rsid w:val="002F4BEA"/>
    <w:rsid w:val="002F533B"/>
    <w:rsid w:val="002F5C23"/>
    <w:rsid w:val="002F61D3"/>
    <w:rsid w:val="002F65BC"/>
    <w:rsid w:val="002F6B24"/>
    <w:rsid w:val="002F6E28"/>
    <w:rsid w:val="002F725F"/>
    <w:rsid w:val="002F7A88"/>
    <w:rsid w:val="002F7C44"/>
    <w:rsid w:val="002F7CB1"/>
    <w:rsid w:val="002F7E68"/>
    <w:rsid w:val="00300090"/>
    <w:rsid w:val="003007DE"/>
    <w:rsid w:val="00300C9E"/>
    <w:rsid w:val="00300E39"/>
    <w:rsid w:val="00301097"/>
    <w:rsid w:val="003011A6"/>
    <w:rsid w:val="003011EA"/>
    <w:rsid w:val="0030141F"/>
    <w:rsid w:val="0030152D"/>
    <w:rsid w:val="00302306"/>
    <w:rsid w:val="00302B58"/>
    <w:rsid w:val="00302E5E"/>
    <w:rsid w:val="00302EA1"/>
    <w:rsid w:val="003038DB"/>
    <w:rsid w:val="003038F8"/>
    <w:rsid w:val="00303BC0"/>
    <w:rsid w:val="00303BC3"/>
    <w:rsid w:val="00303D58"/>
    <w:rsid w:val="00304118"/>
    <w:rsid w:val="0030415A"/>
    <w:rsid w:val="00304433"/>
    <w:rsid w:val="00304C8F"/>
    <w:rsid w:val="00304CE4"/>
    <w:rsid w:val="00304FF8"/>
    <w:rsid w:val="00305610"/>
    <w:rsid w:val="00305735"/>
    <w:rsid w:val="00305B84"/>
    <w:rsid w:val="00307448"/>
    <w:rsid w:val="00307C55"/>
    <w:rsid w:val="00307DEF"/>
    <w:rsid w:val="00307DF0"/>
    <w:rsid w:val="003104E6"/>
    <w:rsid w:val="00310697"/>
    <w:rsid w:val="003107E5"/>
    <w:rsid w:val="0031115B"/>
    <w:rsid w:val="0031115C"/>
    <w:rsid w:val="003115AC"/>
    <w:rsid w:val="00311D33"/>
    <w:rsid w:val="00311EE1"/>
    <w:rsid w:val="0031200F"/>
    <w:rsid w:val="0031208A"/>
    <w:rsid w:val="003121D9"/>
    <w:rsid w:val="0031265B"/>
    <w:rsid w:val="00312772"/>
    <w:rsid w:val="00313304"/>
    <w:rsid w:val="00313664"/>
    <w:rsid w:val="00314162"/>
    <w:rsid w:val="00314475"/>
    <w:rsid w:val="00314649"/>
    <w:rsid w:val="00314F90"/>
    <w:rsid w:val="00315247"/>
    <w:rsid w:val="00315731"/>
    <w:rsid w:val="00315D4B"/>
    <w:rsid w:val="0031617F"/>
    <w:rsid w:val="00316966"/>
    <w:rsid w:val="00316A9A"/>
    <w:rsid w:val="0032006F"/>
    <w:rsid w:val="003201A1"/>
    <w:rsid w:val="00320492"/>
    <w:rsid w:val="00320747"/>
    <w:rsid w:val="00320F53"/>
    <w:rsid w:val="0032124F"/>
    <w:rsid w:val="0032129C"/>
    <w:rsid w:val="00321560"/>
    <w:rsid w:val="00321758"/>
    <w:rsid w:val="00321823"/>
    <w:rsid w:val="00322127"/>
    <w:rsid w:val="003225C7"/>
    <w:rsid w:val="00322E12"/>
    <w:rsid w:val="00323CDB"/>
    <w:rsid w:val="00323FC7"/>
    <w:rsid w:val="00323FF4"/>
    <w:rsid w:val="003240BD"/>
    <w:rsid w:val="003243D1"/>
    <w:rsid w:val="00324ACD"/>
    <w:rsid w:val="00324E34"/>
    <w:rsid w:val="00325483"/>
    <w:rsid w:val="003255A1"/>
    <w:rsid w:val="003256EF"/>
    <w:rsid w:val="003257A7"/>
    <w:rsid w:val="003259D7"/>
    <w:rsid w:val="00326451"/>
    <w:rsid w:val="003268C7"/>
    <w:rsid w:val="00326B3B"/>
    <w:rsid w:val="0032705B"/>
    <w:rsid w:val="003272B4"/>
    <w:rsid w:val="003276B4"/>
    <w:rsid w:val="00330385"/>
    <w:rsid w:val="003306D7"/>
    <w:rsid w:val="00330826"/>
    <w:rsid w:val="0033102E"/>
    <w:rsid w:val="00331401"/>
    <w:rsid w:val="003317DA"/>
    <w:rsid w:val="003320EB"/>
    <w:rsid w:val="00332344"/>
    <w:rsid w:val="00332BC9"/>
    <w:rsid w:val="0033322B"/>
    <w:rsid w:val="00333234"/>
    <w:rsid w:val="003333C1"/>
    <w:rsid w:val="00333CC8"/>
    <w:rsid w:val="00333D02"/>
    <w:rsid w:val="00333F96"/>
    <w:rsid w:val="003340BC"/>
    <w:rsid w:val="003343B5"/>
    <w:rsid w:val="003345F8"/>
    <w:rsid w:val="00334BE8"/>
    <w:rsid w:val="00334E5B"/>
    <w:rsid w:val="0033572C"/>
    <w:rsid w:val="00335ED1"/>
    <w:rsid w:val="003363FC"/>
    <w:rsid w:val="003368EA"/>
    <w:rsid w:val="00336C06"/>
    <w:rsid w:val="00336F4A"/>
    <w:rsid w:val="00337808"/>
    <w:rsid w:val="00337EF8"/>
    <w:rsid w:val="003404FB"/>
    <w:rsid w:val="00341296"/>
    <w:rsid w:val="00342824"/>
    <w:rsid w:val="003428BA"/>
    <w:rsid w:val="00342A60"/>
    <w:rsid w:val="00342CBB"/>
    <w:rsid w:val="00342FBC"/>
    <w:rsid w:val="0034375A"/>
    <w:rsid w:val="0034379D"/>
    <w:rsid w:val="003439F6"/>
    <w:rsid w:val="00343A09"/>
    <w:rsid w:val="00344014"/>
    <w:rsid w:val="0034410F"/>
    <w:rsid w:val="00344A29"/>
    <w:rsid w:val="00345EEC"/>
    <w:rsid w:val="00345F76"/>
    <w:rsid w:val="00345FD2"/>
    <w:rsid w:val="00346192"/>
    <w:rsid w:val="003461E3"/>
    <w:rsid w:val="0034646D"/>
    <w:rsid w:val="0034714F"/>
    <w:rsid w:val="003477AD"/>
    <w:rsid w:val="0034797B"/>
    <w:rsid w:val="00347BE5"/>
    <w:rsid w:val="00347FB6"/>
    <w:rsid w:val="003507DD"/>
    <w:rsid w:val="00350B03"/>
    <w:rsid w:val="003511F2"/>
    <w:rsid w:val="0035196F"/>
    <w:rsid w:val="00351BFE"/>
    <w:rsid w:val="00351D8C"/>
    <w:rsid w:val="00351EAD"/>
    <w:rsid w:val="003522E0"/>
    <w:rsid w:val="0035253B"/>
    <w:rsid w:val="0035267F"/>
    <w:rsid w:val="0035284A"/>
    <w:rsid w:val="00352B55"/>
    <w:rsid w:val="00353891"/>
    <w:rsid w:val="00353D8F"/>
    <w:rsid w:val="00354193"/>
    <w:rsid w:val="0035457A"/>
    <w:rsid w:val="003546BF"/>
    <w:rsid w:val="003547FA"/>
    <w:rsid w:val="003550BA"/>
    <w:rsid w:val="003554D2"/>
    <w:rsid w:val="0035580D"/>
    <w:rsid w:val="00355985"/>
    <w:rsid w:val="00355CCE"/>
    <w:rsid w:val="00355D0B"/>
    <w:rsid w:val="003565CC"/>
    <w:rsid w:val="00356720"/>
    <w:rsid w:val="0035687D"/>
    <w:rsid w:val="00356887"/>
    <w:rsid w:val="00356915"/>
    <w:rsid w:val="00356F02"/>
    <w:rsid w:val="00357CB5"/>
    <w:rsid w:val="003600B2"/>
    <w:rsid w:val="003602DC"/>
    <w:rsid w:val="00360517"/>
    <w:rsid w:val="00360532"/>
    <w:rsid w:val="0036124B"/>
    <w:rsid w:val="00362FD3"/>
    <w:rsid w:val="003639FB"/>
    <w:rsid w:val="00363BF7"/>
    <w:rsid w:val="003652B9"/>
    <w:rsid w:val="003655A8"/>
    <w:rsid w:val="00365840"/>
    <w:rsid w:val="00365852"/>
    <w:rsid w:val="00365C99"/>
    <w:rsid w:val="00365E10"/>
    <w:rsid w:val="00366CC0"/>
    <w:rsid w:val="0036714A"/>
    <w:rsid w:val="003677DE"/>
    <w:rsid w:val="003678EB"/>
    <w:rsid w:val="00367B88"/>
    <w:rsid w:val="00370307"/>
    <w:rsid w:val="00370632"/>
    <w:rsid w:val="003706D4"/>
    <w:rsid w:val="00370AA1"/>
    <w:rsid w:val="00370B1F"/>
    <w:rsid w:val="003725AA"/>
    <w:rsid w:val="00372800"/>
    <w:rsid w:val="00372A06"/>
    <w:rsid w:val="00372A5B"/>
    <w:rsid w:val="00372D92"/>
    <w:rsid w:val="00373491"/>
    <w:rsid w:val="00373766"/>
    <w:rsid w:val="003739DD"/>
    <w:rsid w:val="00373A9E"/>
    <w:rsid w:val="003741A2"/>
    <w:rsid w:val="00374419"/>
    <w:rsid w:val="00374C44"/>
    <w:rsid w:val="00375253"/>
    <w:rsid w:val="0037526B"/>
    <w:rsid w:val="0037535A"/>
    <w:rsid w:val="00375E08"/>
    <w:rsid w:val="00376701"/>
    <w:rsid w:val="00376F2E"/>
    <w:rsid w:val="003775D6"/>
    <w:rsid w:val="003775DF"/>
    <w:rsid w:val="003776C9"/>
    <w:rsid w:val="00377CAD"/>
    <w:rsid w:val="00377E4F"/>
    <w:rsid w:val="00380265"/>
    <w:rsid w:val="00380364"/>
    <w:rsid w:val="00380B0B"/>
    <w:rsid w:val="00380EF1"/>
    <w:rsid w:val="00381156"/>
    <w:rsid w:val="00381256"/>
    <w:rsid w:val="003813B0"/>
    <w:rsid w:val="003814BB"/>
    <w:rsid w:val="0038169A"/>
    <w:rsid w:val="00382266"/>
    <w:rsid w:val="0038235E"/>
    <w:rsid w:val="00382AE5"/>
    <w:rsid w:val="00382FE3"/>
    <w:rsid w:val="00383462"/>
    <w:rsid w:val="0038352D"/>
    <w:rsid w:val="0038374E"/>
    <w:rsid w:val="00383B19"/>
    <w:rsid w:val="00383BF4"/>
    <w:rsid w:val="00384071"/>
    <w:rsid w:val="00384481"/>
    <w:rsid w:val="00384584"/>
    <w:rsid w:val="0038487F"/>
    <w:rsid w:val="00385837"/>
    <w:rsid w:val="00385924"/>
    <w:rsid w:val="00385AFE"/>
    <w:rsid w:val="003867F6"/>
    <w:rsid w:val="0038709B"/>
    <w:rsid w:val="003872F4"/>
    <w:rsid w:val="003874C0"/>
    <w:rsid w:val="00387553"/>
    <w:rsid w:val="00387C4F"/>
    <w:rsid w:val="003904C9"/>
    <w:rsid w:val="0039117F"/>
    <w:rsid w:val="0039175A"/>
    <w:rsid w:val="00391803"/>
    <w:rsid w:val="003921CD"/>
    <w:rsid w:val="003929D2"/>
    <w:rsid w:val="00393029"/>
    <w:rsid w:val="00393E3E"/>
    <w:rsid w:val="00393F81"/>
    <w:rsid w:val="00393FA5"/>
    <w:rsid w:val="0039413F"/>
    <w:rsid w:val="00394464"/>
    <w:rsid w:val="0039465A"/>
    <w:rsid w:val="00394B1C"/>
    <w:rsid w:val="00394B51"/>
    <w:rsid w:val="00394CBF"/>
    <w:rsid w:val="00394FBB"/>
    <w:rsid w:val="003953BE"/>
    <w:rsid w:val="00395CFA"/>
    <w:rsid w:val="003960AD"/>
    <w:rsid w:val="003965C0"/>
    <w:rsid w:val="00396731"/>
    <w:rsid w:val="00396CC3"/>
    <w:rsid w:val="00396D2E"/>
    <w:rsid w:val="0039715E"/>
    <w:rsid w:val="003971BD"/>
    <w:rsid w:val="00397BAF"/>
    <w:rsid w:val="00397EF1"/>
    <w:rsid w:val="003A0D0B"/>
    <w:rsid w:val="003A1301"/>
    <w:rsid w:val="003A2298"/>
    <w:rsid w:val="003A2680"/>
    <w:rsid w:val="003A27BB"/>
    <w:rsid w:val="003A28C3"/>
    <w:rsid w:val="003A2FE5"/>
    <w:rsid w:val="003A31CA"/>
    <w:rsid w:val="003A35D6"/>
    <w:rsid w:val="003A3E3F"/>
    <w:rsid w:val="003A414D"/>
    <w:rsid w:val="003A5077"/>
    <w:rsid w:val="003A5614"/>
    <w:rsid w:val="003A5BC5"/>
    <w:rsid w:val="003A5C82"/>
    <w:rsid w:val="003A5D19"/>
    <w:rsid w:val="003A5E4A"/>
    <w:rsid w:val="003A5F4E"/>
    <w:rsid w:val="003A6A4E"/>
    <w:rsid w:val="003A6DDA"/>
    <w:rsid w:val="003A70D4"/>
    <w:rsid w:val="003A72FF"/>
    <w:rsid w:val="003A7ACD"/>
    <w:rsid w:val="003B0D91"/>
    <w:rsid w:val="003B1620"/>
    <w:rsid w:val="003B1661"/>
    <w:rsid w:val="003B26E9"/>
    <w:rsid w:val="003B2A1A"/>
    <w:rsid w:val="003B2D7B"/>
    <w:rsid w:val="003B3118"/>
    <w:rsid w:val="003B317B"/>
    <w:rsid w:val="003B3C1E"/>
    <w:rsid w:val="003B4059"/>
    <w:rsid w:val="003B4485"/>
    <w:rsid w:val="003B453B"/>
    <w:rsid w:val="003B4674"/>
    <w:rsid w:val="003B4718"/>
    <w:rsid w:val="003B47D8"/>
    <w:rsid w:val="003B4E4D"/>
    <w:rsid w:val="003B5254"/>
    <w:rsid w:val="003B533E"/>
    <w:rsid w:val="003B580F"/>
    <w:rsid w:val="003B5C15"/>
    <w:rsid w:val="003B673D"/>
    <w:rsid w:val="003B67B3"/>
    <w:rsid w:val="003B7840"/>
    <w:rsid w:val="003B7C9F"/>
    <w:rsid w:val="003B7F41"/>
    <w:rsid w:val="003C01B7"/>
    <w:rsid w:val="003C0345"/>
    <w:rsid w:val="003C0EED"/>
    <w:rsid w:val="003C1054"/>
    <w:rsid w:val="003C160F"/>
    <w:rsid w:val="003C175D"/>
    <w:rsid w:val="003C1EB3"/>
    <w:rsid w:val="003C23CA"/>
    <w:rsid w:val="003C2577"/>
    <w:rsid w:val="003C278E"/>
    <w:rsid w:val="003C2E75"/>
    <w:rsid w:val="003C2F98"/>
    <w:rsid w:val="003C3379"/>
    <w:rsid w:val="003C361C"/>
    <w:rsid w:val="003C3AE8"/>
    <w:rsid w:val="003C3BB5"/>
    <w:rsid w:val="003C3E86"/>
    <w:rsid w:val="003C4448"/>
    <w:rsid w:val="003C45C7"/>
    <w:rsid w:val="003C4771"/>
    <w:rsid w:val="003C479C"/>
    <w:rsid w:val="003C491B"/>
    <w:rsid w:val="003C4D1E"/>
    <w:rsid w:val="003C529F"/>
    <w:rsid w:val="003C6172"/>
    <w:rsid w:val="003C6384"/>
    <w:rsid w:val="003C6FD6"/>
    <w:rsid w:val="003C7366"/>
    <w:rsid w:val="003C7449"/>
    <w:rsid w:val="003D0022"/>
    <w:rsid w:val="003D0B52"/>
    <w:rsid w:val="003D1BB5"/>
    <w:rsid w:val="003D1D95"/>
    <w:rsid w:val="003D22D2"/>
    <w:rsid w:val="003D33E2"/>
    <w:rsid w:val="003D3537"/>
    <w:rsid w:val="003D35E6"/>
    <w:rsid w:val="003D379D"/>
    <w:rsid w:val="003D3A06"/>
    <w:rsid w:val="003D3CB2"/>
    <w:rsid w:val="003D3D91"/>
    <w:rsid w:val="003D4708"/>
    <w:rsid w:val="003D472C"/>
    <w:rsid w:val="003D477A"/>
    <w:rsid w:val="003D4D86"/>
    <w:rsid w:val="003D5762"/>
    <w:rsid w:val="003D614C"/>
    <w:rsid w:val="003D619A"/>
    <w:rsid w:val="003D6342"/>
    <w:rsid w:val="003D6556"/>
    <w:rsid w:val="003D66B7"/>
    <w:rsid w:val="003D690D"/>
    <w:rsid w:val="003D7078"/>
    <w:rsid w:val="003D7C83"/>
    <w:rsid w:val="003D7C86"/>
    <w:rsid w:val="003D7CF9"/>
    <w:rsid w:val="003E0C71"/>
    <w:rsid w:val="003E0C99"/>
    <w:rsid w:val="003E12BB"/>
    <w:rsid w:val="003E1424"/>
    <w:rsid w:val="003E213F"/>
    <w:rsid w:val="003E2F5A"/>
    <w:rsid w:val="003E3046"/>
    <w:rsid w:val="003E32FE"/>
    <w:rsid w:val="003E3858"/>
    <w:rsid w:val="003E4BB7"/>
    <w:rsid w:val="003E569A"/>
    <w:rsid w:val="003E5AA3"/>
    <w:rsid w:val="003E6615"/>
    <w:rsid w:val="003E669F"/>
    <w:rsid w:val="003E6CD0"/>
    <w:rsid w:val="003E74C3"/>
    <w:rsid w:val="003E779C"/>
    <w:rsid w:val="003E79F9"/>
    <w:rsid w:val="003E7CBB"/>
    <w:rsid w:val="003E7EBB"/>
    <w:rsid w:val="003F076E"/>
    <w:rsid w:val="003F08C4"/>
    <w:rsid w:val="003F090E"/>
    <w:rsid w:val="003F12E9"/>
    <w:rsid w:val="003F149E"/>
    <w:rsid w:val="003F1AB9"/>
    <w:rsid w:val="003F1B15"/>
    <w:rsid w:val="003F1C13"/>
    <w:rsid w:val="003F1CC5"/>
    <w:rsid w:val="003F2ABB"/>
    <w:rsid w:val="003F33B7"/>
    <w:rsid w:val="003F37FD"/>
    <w:rsid w:val="003F3854"/>
    <w:rsid w:val="003F41BC"/>
    <w:rsid w:val="003F4B46"/>
    <w:rsid w:val="003F4B62"/>
    <w:rsid w:val="003F55FF"/>
    <w:rsid w:val="003F5666"/>
    <w:rsid w:val="003F59F4"/>
    <w:rsid w:val="003F5C2D"/>
    <w:rsid w:val="003F5EFF"/>
    <w:rsid w:val="003F60E1"/>
    <w:rsid w:val="003F672A"/>
    <w:rsid w:val="003F757E"/>
    <w:rsid w:val="003F7E70"/>
    <w:rsid w:val="00400047"/>
    <w:rsid w:val="00400494"/>
    <w:rsid w:val="004004F6"/>
    <w:rsid w:val="0040101F"/>
    <w:rsid w:val="004017DF"/>
    <w:rsid w:val="00401F2C"/>
    <w:rsid w:val="0040214B"/>
    <w:rsid w:val="00402280"/>
    <w:rsid w:val="00402396"/>
    <w:rsid w:val="0040272B"/>
    <w:rsid w:val="00402B37"/>
    <w:rsid w:val="00402BA1"/>
    <w:rsid w:val="00402BF9"/>
    <w:rsid w:val="0040313C"/>
    <w:rsid w:val="00403A03"/>
    <w:rsid w:val="00404D8D"/>
    <w:rsid w:val="00404D94"/>
    <w:rsid w:val="00404DCD"/>
    <w:rsid w:val="00405AE6"/>
    <w:rsid w:val="00406500"/>
    <w:rsid w:val="0040663D"/>
    <w:rsid w:val="0040667E"/>
    <w:rsid w:val="00406A86"/>
    <w:rsid w:val="00406AC1"/>
    <w:rsid w:val="00406FFC"/>
    <w:rsid w:val="004073EF"/>
    <w:rsid w:val="00407441"/>
    <w:rsid w:val="00407601"/>
    <w:rsid w:val="00407603"/>
    <w:rsid w:val="004077D6"/>
    <w:rsid w:val="0040780E"/>
    <w:rsid w:val="00407C1A"/>
    <w:rsid w:val="00407D7A"/>
    <w:rsid w:val="004102CB"/>
    <w:rsid w:val="00410883"/>
    <w:rsid w:val="004109E0"/>
    <w:rsid w:val="00410EF2"/>
    <w:rsid w:val="00411033"/>
    <w:rsid w:val="00411501"/>
    <w:rsid w:val="004115E1"/>
    <w:rsid w:val="004116C6"/>
    <w:rsid w:val="00411A53"/>
    <w:rsid w:val="00411D53"/>
    <w:rsid w:val="00411F5D"/>
    <w:rsid w:val="004121E7"/>
    <w:rsid w:val="00413618"/>
    <w:rsid w:val="0041375E"/>
    <w:rsid w:val="0041478B"/>
    <w:rsid w:val="00414ADB"/>
    <w:rsid w:val="00414C67"/>
    <w:rsid w:val="00414C6B"/>
    <w:rsid w:val="00414E51"/>
    <w:rsid w:val="00414E5C"/>
    <w:rsid w:val="00414F21"/>
    <w:rsid w:val="004153DE"/>
    <w:rsid w:val="00415AA7"/>
    <w:rsid w:val="00415B37"/>
    <w:rsid w:val="00415F5A"/>
    <w:rsid w:val="004162F8"/>
    <w:rsid w:val="00416512"/>
    <w:rsid w:val="004167C7"/>
    <w:rsid w:val="0041688D"/>
    <w:rsid w:val="00416937"/>
    <w:rsid w:val="00416CA7"/>
    <w:rsid w:val="00416E42"/>
    <w:rsid w:val="00417347"/>
    <w:rsid w:val="0041747D"/>
    <w:rsid w:val="0041760B"/>
    <w:rsid w:val="004176FB"/>
    <w:rsid w:val="0042015A"/>
    <w:rsid w:val="00420955"/>
    <w:rsid w:val="00420F04"/>
    <w:rsid w:val="00421301"/>
    <w:rsid w:val="004213A6"/>
    <w:rsid w:val="00421870"/>
    <w:rsid w:val="00423099"/>
    <w:rsid w:val="004240A9"/>
    <w:rsid w:val="00424200"/>
    <w:rsid w:val="00424994"/>
    <w:rsid w:val="00424D0A"/>
    <w:rsid w:val="00424E79"/>
    <w:rsid w:val="00424FA9"/>
    <w:rsid w:val="0042558E"/>
    <w:rsid w:val="00425FAA"/>
    <w:rsid w:val="0042661C"/>
    <w:rsid w:val="00426913"/>
    <w:rsid w:val="00427271"/>
    <w:rsid w:val="004274B3"/>
    <w:rsid w:val="00427BA9"/>
    <w:rsid w:val="00427F27"/>
    <w:rsid w:val="0043009C"/>
    <w:rsid w:val="004303AB"/>
    <w:rsid w:val="00430734"/>
    <w:rsid w:val="00430FE3"/>
    <w:rsid w:val="0043172E"/>
    <w:rsid w:val="00431774"/>
    <w:rsid w:val="00432048"/>
    <w:rsid w:val="00432A7D"/>
    <w:rsid w:val="00432E48"/>
    <w:rsid w:val="00432ED2"/>
    <w:rsid w:val="004332B3"/>
    <w:rsid w:val="00433469"/>
    <w:rsid w:val="00433529"/>
    <w:rsid w:val="0043362C"/>
    <w:rsid w:val="00433B1D"/>
    <w:rsid w:val="00433C2A"/>
    <w:rsid w:val="00433F36"/>
    <w:rsid w:val="0043452F"/>
    <w:rsid w:val="0043466B"/>
    <w:rsid w:val="00434A4F"/>
    <w:rsid w:val="004373A9"/>
    <w:rsid w:val="004375B3"/>
    <w:rsid w:val="00437B99"/>
    <w:rsid w:val="00437CD2"/>
    <w:rsid w:val="004403F7"/>
    <w:rsid w:val="004407B1"/>
    <w:rsid w:val="004407F9"/>
    <w:rsid w:val="00440964"/>
    <w:rsid w:val="00440D23"/>
    <w:rsid w:val="00440FF7"/>
    <w:rsid w:val="004412FA"/>
    <w:rsid w:val="00441514"/>
    <w:rsid w:val="00441CBC"/>
    <w:rsid w:val="0044207C"/>
    <w:rsid w:val="004430C6"/>
    <w:rsid w:val="004437B1"/>
    <w:rsid w:val="00443E1F"/>
    <w:rsid w:val="00443EC1"/>
    <w:rsid w:val="004441D6"/>
    <w:rsid w:val="00444240"/>
    <w:rsid w:val="004443E1"/>
    <w:rsid w:val="00444F22"/>
    <w:rsid w:val="00446A96"/>
    <w:rsid w:val="00447666"/>
    <w:rsid w:val="00447AC9"/>
    <w:rsid w:val="00451433"/>
    <w:rsid w:val="004518F0"/>
    <w:rsid w:val="00451E80"/>
    <w:rsid w:val="00452EAE"/>
    <w:rsid w:val="00452FEC"/>
    <w:rsid w:val="004531A2"/>
    <w:rsid w:val="00453264"/>
    <w:rsid w:val="0045375D"/>
    <w:rsid w:val="00453883"/>
    <w:rsid w:val="00453B87"/>
    <w:rsid w:val="00453DAC"/>
    <w:rsid w:val="004547B9"/>
    <w:rsid w:val="00454C34"/>
    <w:rsid w:val="00454E90"/>
    <w:rsid w:val="004551F2"/>
    <w:rsid w:val="0045521A"/>
    <w:rsid w:val="00455835"/>
    <w:rsid w:val="004564A0"/>
    <w:rsid w:val="0045650E"/>
    <w:rsid w:val="00457981"/>
    <w:rsid w:val="00457990"/>
    <w:rsid w:val="004579F1"/>
    <w:rsid w:val="00457FF2"/>
    <w:rsid w:val="004603A3"/>
    <w:rsid w:val="00460458"/>
    <w:rsid w:val="00460E56"/>
    <w:rsid w:val="00460EFE"/>
    <w:rsid w:val="0046174C"/>
    <w:rsid w:val="0046194F"/>
    <w:rsid w:val="00461CDE"/>
    <w:rsid w:val="00462036"/>
    <w:rsid w:val="0046222A"/>
    <w:rsid w:val="00462B54"/>
    <w:rsid w:val="00463064"/>
    <w:rsid w:val="0046334D"/>
    <w:rsid w:val="0046350E"/>
    <w:rsid w:val="00464118"/>
    <w:rsid w:val="004649CD"/>
    <w:rsid w:val="00464C37"/>
    <w:rsid w:val="0046558A"/>
    <w:rsid w:val="004656CF"/>
    <w:rsid w:val="0046685B"/>
    <w:rsid w:val="00467132"/>
    <w:rsid w:val="00467E2B"/>
    <w:rsid w:val="00467ED2"/>
    <w:rsid w:val="00470726"/>
    <w:rsid w:val="00471411"/>
    <w:rsid w:val="00471DEC"/>
    <w:rsid w:val="004723BC"/>
    <w:rsid w:val="00472461"/>
    <w:rsid w:val="004724BE"/>
    <w:rsid w:val="00472722"/>
    <w:rsid w:val="00472D3A"/>
    <w:rsid w:val="00472EA0"/>
    <w:rsid w:val="004732CA"/>
    <w:rsid w:val="00473C27"/>
    <w:rsid w:val="00473C3D"/>
    <w:rsid w:val="00474445"/>
    <w:rsid w:val="00474479"/>
    <w:rsid w:val="0047451E"/>
    <w:rsid w:val="00475C50"/>
    <w:rsid w:val="00475D02"/>
    <w:rsid w:val="00475D05"/>
    <w:rsid w:val="00476C62"/>
    <w:rsid w:val="0047711B"/>
    <w:rsid w:val="00477266"/>
    <w:rsid w:val="00480065"/>
    <w:rsid w:val="00480562"/>
    <w:rsid w:val="00480564"/>
    <w:rsid w:val="004809B8"/>
    <w:rsid w:val="00481708"/>
    <w:rsid w:val="004817E9"/>
    <w:rsid w:val="00481CFE"/>
    <w:rsid w:val="00481F4B"/>
    <w:rsid w:val="00482045"/>
    <w:rsid w:val="004821B9"/>
    <w:rsid w:val="0048258D"/>
    <w:rsid w:val="00482758"/>
    <w:rsid w:val="00483217"/>
    <w:rsid w:val="0048347E"/>
    <w:rsid w:val="00483A69"/>
    <w:rsid w:val="00483B93"/>
    <w:rsid w:val="00484C15"/>
    <w:rsid w:val="00484D05"/>
    <w:rsid w:val="004853ED"/>
    <w:rsid w:val="00485439"/>
    <w:rsid w:val="00485612"/>
    <w:rsid w:val="00485DD4"/>
    <w:rsid w:val="00485F13"/>
    <w:rsid w:val="00486E2E"/>
    <w:rsid w:val="00486EEA"/>
    <w:rsid w:val="00487D40"/>
    <w:rsid w:val="004902A7"/>
    <w:rsid w:val="004910A6"/>
    <w:rsid w:val="00491226"/>
    <w:rsid w:val="00491611"/>
    <w:rsid w:val="00491769"/>
    <w:rsid w:val="00491D88"/>
    <w:rsid w:val="00491FE3"/>
    <w:rsid w:val="0049222B"/>
    <w:rsid w:val="004927D8"/>
    <w:rsid w:val="0049366A"/>
    <w:rsid w:val="00494937"/>
    <w:rsid w:val="0049508D"/>
    <w:rsid w:val="004958AC"/>
    <w:rsid w:val="0049605C"/>
    <w:rsid w:val="00496224"/>
    <w:rsid w:val="00496581"/>
    <w:rsid w:val="004965F7"/>
    <w:rsid w:val="00496605"/>
    <w:rsid w:val="00497255"/>
    <w:rsid w:val="00497552"/>
    <w:rsid w:val="004975AD"/>
    <w:rsid w:val="00497786"/>
    <w:rsid w:val="004A0176"/>
    <w:rsid w:val="004A033C"/>
    <w:rsid w:val="004A0A26"/>
    <w:rsid w:val="004A1635"/>
    <w:rsid w:val="004A169B"/>
    <w:rsid w:val="004A1D47"/>
    <w:rsid w:val="004A267A"/>
    <w:rsid w:val="004A29BD"/>
    <w:rsid w:val="004A325C"/>
    <w:rsid w:val="004A3D39"/>
    <w:rsid w:val="004A406C"/>
    <w:rsid w:val="004A4123"/>
    <w:rsid w:val="004A41BE"/>
    <w:rsid w:val="004A4A56"/>
    <w:rsid w:val="004A556B"/>
    <w:rsid w:val="004A5F9D"/>
    <w:rsid w:val="004A6101"/>
    <w:rsid w:val="004A6286"/>
    <w:rsid w:val="004A6313"/>
    <w:rsid w:val="004A637F"/>
    <w:rsid w:val="004A687D"/>
    <w:rsid w:val="004A6896"/>
    <w:rsid w:val="004A6B13"/>
    <w:rsid w:val="004A6BE9"/>
    <w:rsid w:val="004A6EFC"/>
    <w:rsid w:val="004A7037"/>
    <w:rsid w:val="004A7048"/>
    <w:rsid w:val="004A7DFA"/>
    <w:rsid w:val="004A7EFC"/>
    <w:rsid w:val="004B098A"/>
    <w:rsid w:val="004B0A0A"/>
    <w:rsid w:val="004B0B7E"/>
    <w:rsid w:val="004B0C56"/>
    <w:rsid w:val="004B1125"/>
    <w:rsid w:val="004B12F1"/>
    <w:rsid w:val="004B1C4B"/>
    <w:rsid w:val="004B1DA3"/>
    <w:rsid w:val="004B2382"/>
    <w:rsid w:val="004B2722"/>
    <w:rsid w:val="004B2D30"/>
    <w:rsid w:val="004B2D5E"/>
    <w:rsid w:val="004B307E"/>
    <w:rsid w:val="004B33EE"/>
    <w:rsid w:val="004B3B67"/>
    <w:rsid w:val="004B3BF2"/>
    <w:rsid w:val="004B3D89"/>
    <w:rsid w:val="004B4507"/>
    <w:rsid w:val="004B4944"/>
    <w:rsid w:val="004B4D25"/>
    <w:rsid w:val="004B57BA"/>
    <w:rsid w:val="004B5AFD"/>
    <w:rsid w:val="004B60CB"/>
    <w:rsid w:val="004B62EA"/>
    <w:rsid w:val="004B6784"/>
    <w:rsid w:val="004B68F0"/>
    <w:rsid w:val="004B6E89"/>
    <w:rsid w:val="004B73C9"/>
    <w:rsid w:val="004B7591"/>
    <w:rsid w:val="004B7652"/>
    <w:rsid w:val="004B7E91"/>
    <w:rsid w:val="004C01D1"/>
    <w:rsid w:val="004C0650"/>
    <w:rsid w:val="004C0784"/>
    <w:rsid w:val="004C0BC4"/>
    <w:rsid w:val="004C16F6"/>
    <w:rsid w:val="004C1C5E"/>
    <w:rsid w:val="004C1CB5"/>
    <w:rsid w:val="004C1EA2"/>
    <w:rsid w:val="004C30EF"/>
    <w:rsid w:val="004C3364"/>
    <w:rsid w:val="004C39FB"/>
    <w:rsid w:val="004C3B79"/>
    <w:rsid w:val="004C5141"/>
    <w:rsid w:val="004C56E6"/>
    <w:rsid w:val="004C579F"/>
    <w:rsid w:val="004C57F9"/>
    <w:rsid w:val="004C5C5F"/>
    <w:rsid w:val="004C7D58"/>
    <w:rsid w:val="004D020D"/>
    <w:rsid w:val="004D07EB"/>
    <w:rsid w:val="004D0E0F"/>
    <w:rsid w:val="004D1426"/>
    <w:rsid w:val="004D1AB3"/>
    <w:rsid w:val="004D1F7E"/>
    <w:rsid w:val="004D201A"/>
    <w:rsid w:val="004D210D"/>
    <w:rsid w:val="004D228F"/>
    <w:rsid w:val="004D2592"/>
    <w:rsid w:val="004D2819"/>
    <w:rsid w:val="004D281A"/>
    <w:rsid w:val="004D29B5"/>
    <w:rsid w:val="004D2F55"/>
    <w:rsid w:val="004D339E"/>
    <w:rsid w:val="004D34A9"/>
    <w:rsid w:val="004D3571"/>
    <w:rsid w:val="004D392F"/>
    <w:rsid w:val="004D3F61"/>
    <w:rsid w:val="004D479B"/>
    <w:rsid w:val="004D48FD"/>
    <w:rsid w:val="004D4CF4"/>
    <w:rsid w:val="004D4E8E"/>
    <w:rsid w:val="004D55D1"/>
    <w:rsid w:val="004D56AB"/>
    <w:rsid w:val="004D5D86"/>
    <w:rsid w:val="004D5E03"/>
    <w:rsid w:val="004D6312"/>
    <w:rsid w:val="004D631A"/>
    <w:rsid w:val="004D6797"/>
    <w:rsid w:val="004D7176"/>
    <w:rsid w:val="004D76E1"/>
    <w:rsid w:val="004D77F3"/>
    <w:rsid w:val="004E03A5"/>
    <w:rsid w:val="004E094F"/>
    <w:rsid w:val="004E0B22"/>
    <w:rsid w:val="004E0B48"/>
    <w:rsid w:val="004E0BCD"/>
    <w:rsid w:val="004E20CE"/>
    <w:rsid w:val="004E269F"/>
    <w:rsid w:val="004E2BF1"/>
    <w:rsid w:val="004E3050"/>
    <w:rsid w:val="004E3418"/>
    <w:rsid w:val="004E3AC8"/>
    <w:rsid w:val="004E4103"/>
    <w:rsid w:val="004E420A"/>
    <w:rsid w:val="004E48F7"/>
    <w:rsid w:val="004E513E"/>
    <w:rsid w:val="004E528E"/>
    <w:rsid w:val="004E5370"/>
    <w:rsid w:val="004E55D2"/>
    <w:rsid w:val="004E59E1"/>
    <w:rsid w:val="004E5AE9"/>
    <w:rsid w:val="004E5BD6"/>
    <w:rsid w:val="004E6073"/>
    <w:rsid w:val="004E6099"/>
    <w:rsid w:val="004E6719"/>
    <w:rsid w:val="004E6DD8"/>
    <w:rsid w:val="004E7104"/>
    <w:rsid w:val="004E718E"/>
    <w:rsid w:val="004E7519"/>
    <w:rsid w:val="004E769A"/>
    <w:rsid w:val="004E7C01"/>
    <w:rsid w:val="004E7EF1"/>
    <w:rsid w:val="004F1BA7"/>
    <w:rsid w:val="004F27A8"/>
    <w:rsid w:val="004F2F39"/>
    <w:rsid w:val="004F2F52"/>
    <w:rsid w:val="004F31AE"/>
    <w:rsid w:val="004F3737"/>
    <w:rsid w:val="004F37F4"/>
    <w:rsid w:val="004F383C"/>
    <w:rsid w:val="004F3A8E"/>
    <w:rsid w:val="004F3B60"/>
    <w:rsid w:val="004F3C01"/>
    <w:rsid w:val="004F3E0D"/>
    <w:rsid w:val="004F458F"/>
    <w:rsid w:val="004F45A5"/>
    <w:rsid w:val="004F491F"/>
    <w:rsid w:val="004F4A13"/>
    <w:rsid w:val="004F53E2"/>
    <w:rsid w:val="004F58D3"/>
    <w:rsid w:val="004F5C91"/>
    <w:rsid w:val="004F5CA8"/>
    <w:rsid w:val="004F5CEF"/>
    <w:rsid w:val="004F5F48"/>
    <w:rsid w:val="004F6230"/>
    <w:rsid w:val="004F628E"/>
    <w:rsid w:val="004F6794"/>
    <w:rsid w:val="004F6A51"/>
    <w:rsid w:val="004F6D28"/>
    <w:rsid w:val="004F72A9"/>
    <w:rsid w:val="004F73DE"/>
    <w:rsid w:val="004F7531"/>
    <w:rsid w:val="004F76A4"/>
    <w:rsid w:val="005007BA"/>
    <w:rsid w:val="00500ACD"/>
    <w:rsid w:val="00500D49"/>
    <w:rsid w:val="00501138"/>
    <w:rsid w:val="00501181"/>
    <w:rsid w:val="005012C0"/>
    <w:rsid w:val="005017F8"/>
    <w:rsid w:val="00501F68"/>
    <w:rsid w:val="00501FE3"/>
    <w:rsid w:val="00501FFE"/>
    <w:rsid w:val="00502826"/>
    <w:rsid w:val="0050287F"/>
    <w:rsid w:val="0050312F"/>
    <w:rsid w:val="00503320"/>
    <w:rsid w:val="00503994"/>
    <w:rsid w:val="00503A5B"/>
    <w:rsid w:val="00503A82"/>
    <w:rsid w:val="00503C88"/>
    <w:rsid w:val="00504061"/>
    <w:rsid w:val="0050462E"/>
    <w:rsid w:val="00504880"/>
    <w:rsid w:val="00505210"/>
    <w:rsid w:val="00505BAE"/>
    <w:rsid w:val="00505E22"/>
    <w:rsid w:val="00505F8D"/>
    <w:rsid w:val="005062FE"/>
    <w:rsid w:val="00506956"/>
    <w:rsid w:val="00506973"/>
    <w:rsid w:val="0050707B"/>
    <w:rsid w:val="005074E8"/>
    <w:rsid w:val="0050786A"/>
    <w:rsid w:val="00507B6D"/>
    <w:rsid w:val="00511008"/>
    <w:rsid w:val="00511267"/>
    <w:rsid w:val="00511662"/>
    <w:rsid w:val="00511972"/>
    <w:rsid w:val="00511CE8"/>
    <w:rsid w:val="00512025"/>
    <w:rsid w:val="00512CC3"/>
    <w:rsid w:val="0051339F"/>
    <w:rsid w:val="005138B1"/>
    <w:rsid w:val="005139E0"/>
    <w:rsid w:val="00513E6D"/>
    <w:rsid w:val="00513F21"/>
    <w:rsid w:val="00514161"/>
    <w:rsid w:val="00514A33"/>
    <w:rsid w:val="00515380"/>
    <w:rsid w:val="005153E3"/>
    <w:rsid w:val="0051549E"/>
    <w:rsid w:val="005157FE"/>
    <w:rsid w:val="00515954"/>
    <w:rsid w:val="00515B60"/>
    <w:rsid w:val="00515DA4"/>
    <w:rsid w:val="0051639F"/>
    <w:rsid w:val="00516FF3"/>
    <w:rsid w:val="005171F2"/>
    <w:rsid w:val="00517264"/>
    <w:rsid w:val="005176CA"/>
    <w:rsid w:val="0051783F"/>
    <w:rsid w:val="00517B22"/>
    <w:rsid w:val="005207CE"/>
    <w:rsid w:val="00520AA0"/>
    <w:rsid w:val="00520D09"/>
    <w:rsid w:val="0052116B"/>
    <w:rsid w:val="005213EB"/>
    <w:rsid w:val="0052147A"/>
    <w:rsid w:val="00521758"/>
    <w:rsid w:val="00521E12"/>
    <w:rsid w:val="005220E2"/>
    <w:rsid w:val="00522222"/>
    <w:rsid w:val="00522660"/>
    <w:rsid w:val="00522A21"/>
    <w:rsid w:val="00522FD9"/>
    <w:rsid w:val="005232E3"/>
    <w:rsid w:val="005236C0"/>
    <w:rsid w:val="00523DCF"/>
    <w:rsid w:val="005244C8"/>
    <w:rsid w:val="00524A7D"/>
    <w:rsid w:val="00524E18"/>
    <w:rsid w:val="00524F7E"/>
    <w:rsid w:val="005253CA"/>
    <w:rsid w:val="00525977"/>
    <w:rsid w:val="005259C4"/>
    <w:rsid w:val="005260FD"/>
    <w:rsid w:val="00526793"/>
    <w:rsid w:val="00527084"/>
    <w:rsid w:val="00527486"/>
    <w:rsid w:val="00530736"/>
    <w:rsid w:val="00532C22"/>
    <w:rsid w:val="00532CB2"/>
    <w:rsid w:val="00532D10"/>
    <w:rsid w:val="00532F2C"/>
    <w:rsid w:val="0053358F"/>
    <w:rsid w:val="0053371D"/>
    <w:rsid w:val="0053399A"/>
    <w:rsid w:val="00533A0A"/>
    <w:rsid w:val="00534609"/>
    <w:rsid w:val="00534685"/>
    <w:rsid w:val="0053472C"/>
    <w:rsid w:val="00534A91"/>
    <w:rsid w:val="0053535B"/>
    <w:rsid w:val="0053539E"/>
    <w:rsid w:val="00535987"/>
    <w:rsid w:val="00535C83"/>
    <w:rsid w:val="00536010"/>
    <w:rsid w:val="00536191"/>
    <w:rsid w:val="005368C1"/>
    <w:rsid w:val="00537146"/>
    <w:rsid w:val="00537904"/>
    <w:rsid w:val="00537A77"/>
    <w:rsid w:val="005402DC"/>
    <w:rsid w:val="00540851"/>
    <w:rsid w:val="0054154D"/>
    <w:rsid w:val="0054198C"/>
    <w:rsid w:val="00541A14"/>
    <w:rsid w:val="0054204D"/>
    <w:rsid w:val="00542142"/>
    <w:rsid w:val="005429C5"/>
    <w:rsid w:val="00543101"/>
    <w:rsid w:val="00543462"/>
    <w:rsid w:val="005436B9"/>
    <w:rsid w:val="00543C29"/>
    <w:rsid w:val="00543F9C"/>
    <w:rsid w:val="005442A8"/>
    <w:rsid w:val="00544774"/>
    <w:rsid w:val="00544BF1"/>
    <w:rsid w:val="005452ED"/>
    <w:rsid w:val="0054573F"/>
    <w:rsid w:val="00545D06"/>
    <w:rsid w:val="00546175"/>
    <w:rsid w:val="005461AA"/>
    <w:rsid w:val="005462D0"/>
    <w:rsid w:val="00546A6F"/>
    <w:rsid w:val="00546C8C"/>
    <w:rsid w:val="00546D39"/>
    <w:rsid w:val="00546F85"/>
    <w:rsid w:val="005472F3"/>
    <w:rsid w:val="0054738F"/>
    <w:rsid w:val="00547A88"/>
    <w:rsid w:val="00547AD7"/>
    <w:rsid w:val="00547AED"/>
    <w:rsid w:val="0055047F"/>
    <w:rsid w:val="0055087D"/>
    <w:rsid w:val="00550A69"/>
    <w:rsid w:val="00550E84"/>
    <w:rsid w:val="00551368"/>
    <w:rsid w:val="0055141A"/>
    <w:rsid w:val="0055248C"/>
    <w:rsid w:val="00552CD2"/>
    <w:rsid w:val="00552F7C"/>
    <w:rsid w:val="005532A2"/>
    <w:rsid w:val="00553685"/>
    <w:rsid w:val="005536A6"/>
    <w:rsid w:val="00553B64"/>
    <w:rsid w:val="00553D16"/>
    <w:rsid w:val="00554114"/>
    <w:rsid w:val="00554894"/>
    <w:rsid w:val="00554F08"/>
    <w:rsid w:val="0055512C"/>
    <w:rsid w:val="0055587F"/>
    <w:rsid w:val="00555AE0"/>
    <w:rsid w:val="00556028"/>
    <w:rsid w:val="0055702C"/>
    <w:rsid w:val="00557296"/>
    <w:rsid w:val="00557494"/>
    <w:rsid w:val="005577B0"/>
    <w:rsid w:val="00557CC8"/>
    <w:rsid w:val="00560192"/>
    <w:rsid w:val="0056057A"/>
    <w:rsid w:val="00560BAB"/>
    <w:rsid w:val="00561241"/>
    <w:rsid w:val="00561CE5"/>
    <w:rsid w:val="00561CE6"/>
    <w:rsid w:val="00562084"/>
    <w:rsid w:val="005626EF"/>
    <w:rsid w:val="005632E4"/>
    <w:rsid w:val="00563DF2"/>
    <w:rsid w:val="00564B82"/>
    <w:rsid w:val="00564C58"/>
    <w:rsid w:val="00565D14"/>
    <w:rsid w:val="00565DB9"/>
    <w:rsid w:val="00566048"/>
    <w:rsid w:val="005660C5"/>
    <w:rsid w:val="0056715A"/>
    <w:rsid w:val="00567562"/>
    <w:rsid w:val="00567A66"/>
    <w:rsid w:val="00567DE1"/>
    <w:rsid w:val="00567FB4"/>
    <w:rsid w:val="00570EED"/>
    <w:rsid w:val="00570F18"/>
    <w:rsid w:val="00570FAB"/>
    <w:rsid w:val="005716FC"/>
    <w:rsid w:val="0057198F"/>
    <w:rsid w:val="00571AA1"/>
    <w:rsid w:val="00571D2A"/>
    <w:rsid w:val="00571FE8"/>
    <w:rsid w:val="00572372"/>
    <w:rsid w:val="005723C9"/>
    <w:rsid w:val="00572EF2"/>
    <w:rsid w:val="00573869"/>
    <w:rsid w:val="00573928"/>
    <w:rsid w:val="00573AB7"/>
    <w:rsid w:val="0057474D"/>
    <w:rsid w:val="00574A1E"/>
    <w:rsid w:val="005754ED"/>
    <w:rsid w:val="00575AE0"/>
    <w:rsid w:val="00575B53"/>
    <w:rsid w:val="00575DEF"/>
    <w:rsid w:val="00577004"/>
    <w:rsid w:val="005770ED"/>
    <w:rsid w:val="005771F0"/>
    <w:rsid w:val="0057729C"/>
    <w:rsid w:val="005774C6"/>
    <w:rsid w:val="005778C8"/>
    <w:rsid w:val="005778EF"/>
    <w:rsid w:val="00577A25"/>
    <w:rsid w:val="00577A7F"/>
    <w:rsid w:val="0058013F"/>
    <w:rsid w:val="0058131B"/>
    <w:rsid w:val="0058161F"/>
    <w:rsid w:val="005816FA"/>
    <w:rsid w:val="0058225C"/>
    <w:rsid w:val="0058248A"/>
    <w:rsid w:val="005826EA"/>
    <w:rsid w:val="00583A33"/>
    <w:rsid w:val="00583DAA"/>
    <w:rsid w:val="005843C7"/>
    <w:rsid w:val="00584619"/>
    <w:rsid w:val="00584DC6"/>
    <w:rsid w:val="005852E8"/>
    <w:rsid w:val="005852F7"/>
    <w:rsid w:val="0058546C"/>
    <w:rsid w:val="005854C4"/>
    <w:rsid w:val="005867D2"/>
    <w:rsid w:val="00586ABC"/>
    <w:rsid w:val="005878BB"/>
    <w:rsid w:val="0059013D"/>
    <w:rsid w:val="00590755"/>
    <w:rsid w:val="005909A8"/>
    <w:rsid w:val="00590D21"/>
    <w:rsid w:val="00590D4E"/>
    <w:rsid w:val="00591AEB"/>
    <w:rsid w:val="00591C16"/>
    <w:rsid w:val="0059249C"/>
    <w:rsid w:val="005926A5"/>
    <w:rsid w:val="00592808"/>
    <w:rsid w:val="00592A8E"/>
    <w:rsid w:val="00592B45"/>
    <w:rsid w:val="00592C16"/>
    <w:rsid w:val="00592D05"/>
    <w:rsid w:val="00592D8E"/>
    <w:rsid w:val="005932D5"/>
    <w:rsid w:val="00593FA4"/>
    <w:rsid w:val="00594376"/>
    <w:rsid w:val="005945DE"/>
    <w:rsid w:val="00594825"/>
    <w:rsid w:val="00594F6F"/>
    <w:rsid w:val="005956B6"/>
    <w:rsid w:val="00596154"/>
    <w:rsid w:val="005963CC"/>
    <w:rsid w:val="00596560"/>
    <w:rsid w:val="00596C9B"/>
    <w:rsid w:val="00596E19"/>
    <w:rsid w:val="005978AA"/>
    <w:rsid w:val="0059794D"/>
    <w:rsid w:val="00597AA8"/>
    <w:rsid w:val="005A03D1"/>
    <w:rsid w:val="005A0448"/>
    <w:rsid w:val="005A0DE7"/>
    <w:rsid w:val="005A0E45"/>
    <w:rsid w:val="005A1C71"/>
    <w:rsid w:val="005A1C9F"/>
    <w:rsid w:val="005A2049"/>
    <w:rsid w:val="005A2114"/>
    <w:rsid w:val="005A2402"/>
    <w:rsid w:val="005A241E"/>
    <w:rsid w:val="005A27FB"/>
    <w:rsid w:val="005A28B4"/>
    <w:rsid w:val="005A3C9B"/>
    <w:rsid w:val="005A4174"/>
    <w:rsid w:val="005A45D3"/>
    <w:rsid w:val="005A4A43"/>
    <w:rsid w:val="005A5100"/>
    <w:rsid w:val="005A532B"/>
    <w:rsid w:val="005A557A"/>
    <w:rsid w:val="005A5DDE"/>
    <w:rsid w:val="005A6112"/>
    <w:rsid w:val="005A61A7"/>
    <w:rsid w:val="005A627D"/>
    <w:rsid w:val="005A6BCE"/>
    <w:rsid w:val="005A6FED"/>
    <w:rsid w:val="005A70E5"/>
    <w:rsid w:val="005A7175"/>
    <w:rsid w:val="005A7ED8"/>
    <w:rsid w:val="005B05E7"/>
    <w:rsid w:val="005B0AE8"/>
    <w:rsid w:val="005B1374"/>
    <w:rsid w:val="005B166A"/>
    <w:rsid w:val="005B1A25"/>
    <w:rsid w:val="005B1B3E"/>
    <w:rsid w:val="005B1BC4"/>
    <w:rsid w:val="005B225B"/>
    <w:rsid w:val="005B2484"/>
    <w:rsid w:val="005B2836"/>
    <w:rsid w:val="005B2D69"/>
    <w:rsid w:val="005B3C66"/>
    <w:rsid w:val="005B3E2D"/>
    <w:rsid w:val="005B47B1"/>
    <w:rsid w:val="005B4EAA"/>
    <w:rsid w:val="005B5F71"/>
    <w:rsid w:val="005B635F"/>
    <w:rsid w:val="005B63CD"/>
    <w:rsid w:val="005B63DB"/>
    <w:rsid w:val="005B6661"/>
    <w:rsid w:val="005B668D"/>
    <w:rsid w:val="005B6894"/>
    <w:rsid w:val="005B6DBB"/>
    <w:rsid w:val="005B6ED8"/>
    <w:rsid w:val="005B6FEC"/>
    <w:rsid w:val="005B7121"/>
    <w:rsid w:val="005B779C"/>
    <w:rsid w:val="005B78D8"/>
    <w:rsid w:val="005B7B47"/>
    <w:rsid w:val="005B7D6E"/>
    <w:rsid w:val="005C00BB"/>
    <w:rsid w:val="005C01A8"/>
    <w:rsid w:val="005C072C"/>
    <w:rsid w:val="005C076E"/>
    <w:rsid w:val="005C0E15"/>
    <w:rsid w:val="005C0F86"/>
    <w:rsid w:val="005C1384"/>
    <w:rsid w:val="005C13B2"/>
    <w:rsid w:val="005C17A1"/>
    <w:rsid w:val="005C1DC9"/>
    <w:rsid w:val="005C2286"/>
    <w:rsid w:val="005C27E3"/>
    <w:rsid w:val="005C2A4F"/>
    <w:rsid w:val="005C2F99"/>
    <w:rsid w:val="005C33AA"/>
    <w:rsid w:val="005C37CB"/>
    <w:rsid w:val="005C39DF"/>
    <w:rsid w:val="005C3AFB"/>
    <w:rsid w:val="005C3BE8"/>
    <w:rsid w:val="005C3FE3"/>
    <w:rsid w:val="005C459C"/>
    <w:rsid w:val="005C4C5C"/>
    <w:rsid w:val="005C5579"/>
    <w:rsid w:val="005C71FB"/>
    <w:rsid w:val="005C7E78"/>
    <w:rsid w:val="005D099B"/>
    <w:rsid w:val="005D0A74"/>
    <w:rsid w:val="005D0D96"/>
    <w:rsid w:val="005D0E4B"/>
    <w:rsid w:val="005D1268"/>
    <w:rsid w:val="005D1480"/>
    <w:rsid w:val="005D14B9"/>
    <w:rsid w:val="005D1A9F"/>
    <w:rsid w:val="005D1FC1"/>
    <w:rsid w:val="005D20C6"/>
    <w:rsid w:val="005D292F"/>
    <w:rsid w:val="005D2A87"/>
    <w:rsid w:val="005D2B55"/>
    <w:rsid w:val="005D3434"/>
    <w:rsid w:val="005D34EA"/>
    <w:rsid w:val="005D3991"/>
    <w:rsid w:val="005D40A9"/>
    <w:rsid w:val="005D42BD"/>
    <w:rsid w:val="005D4661"/>
    <w:rsid w:val="005D477E"/>
    <w:rsid w:val="005D4FE1"/>
    <w:rsid w:val="005D5075"/>
    <w:rsid w:val="005D50C0"/>
    <w:rsid w:val="005D52FA"/>
    <w:rsid w:val="005D600F"/>
    <w:rsid w:val="005D6612"/>
    <w:rsid w:val="005D66F5"/>
    <w:rsid w:val="005D707C"/>
    <w:rsid w:val="005D733E"/>
    <w:rsid w:val="005D777B"/>
    <w:rsid w:val="005D779C"/>
    <w:rsid w:val="005D7A86"/>
    <w:rsid w:val="005D7EBF"/>
    <w:rsid w:val="005D7FF4"/>
    <w:rsid w:val="005E05A1"/>
    <w:rsid w:val="005E05DD"/>
    <w:rsid w:val="005E0D78"/>
    <w:rsid w:val="005E14E3"/>
    <w:rsid w:val="005E159D"/>
    <w:rsid w:val="005E1726"/>
    <w:rsid w:val="005E1CEC"/>
    <w:rsid w:val="005E23E0"/>
    <w:rsid w:val="005E266F"/>
    <w:rsid w:val="005E3500"/>
    <w:rsid w:val="005E38DE"/>
    <w:rsid w:val="005E3F34"/>
    <w:rsid w:val="005E42D8"/>
    <w:rsid w:val="005E5734"/>
    <w:rsid w:val="005E5741"/>
    <w:rsid w:val="005E5EC3"/>
    <w:rsid w:val="005E61B6"/>
    <w:rsid w:val="005E73CE"/>
    <w:rsid w:val="005E7686"/>
    <w:rsid w:val="005E76E0"/>
    <w:rsid w:val="005E77E3"/>
    <w:rsid w:val="005E7C8C"/>
    <w:rsid w:val="005F0616"/>
    <w:rsid w:val="005F077C"/>
    <w:rsid w:val="005F07DC"/>
    <w:rsid w:val="005F0BB4"/>
    <w:rsid w:val="005F0C34"/>
    <w:rsid w:val="005F0C83"/>
    <w:rsid w:val="005F0F61"/>
    <w:rsid w:val="005F0FB4"/>
    <w:rsid w:val="005F21FB"/>
    <w:rsid w:val="005F257C"/>
    <w:rsid w:val="005F2793"/>
    <w:rsid w:val="005F34A2"/>
    <w:rsid w:val="005F3545"/>
    <w:rsid w:val="005F4421"/>
    <w:rsid w:val="005F4927"/>
    <w:rsid w:val="005F49F4"/>
    <w:rsid w:val="005F4D34"/>
    <w:rsid w:val="005F4E65"/>
    <w:rsid w:val="005F598E"/>
    <w:rsid w:val="005F59E5"/>
    <w:rsid w:val="005F5A0F"/>
    <w:rsid w:val="005F5EDF"/>
    <w:rsid w:val="005F64FB"/>
    <w:rsid w:val="005F6536"/>
    <w:rsid w:val="005F6BBB"/>
    <w:rsid w:val="005F6C45"/>
    <w:rsid w:val="005F70B1"/>
    <w:rsid w:val="005F71EC"/>
    <w:rsid w:val="005F749D"/>
    <w:rsid w:val="005F789F"/>
    <w:rsid w:val="005F7C8A"/>
    <w:rsid w:val="006000CD"/>
    <w:rsid w:val="00600265"/>
    <w:rsid w:val="006002AD"/>
    <w:rsid w:val="00601AD7"/>
    <w:rsid w:val="00601D29"/>
    <w:rsid w:val="006022D0"/>
    <w:rsid w:val="0060251E"/>
    <w:rsid w:val="00602887"/>
    <w:rsid w:val="00602DB5"/>
    <w:rsid w:val="00602DDE"/>
    <w:rsid w:val="0060339B"/>
    <w:rsid w:val="00603552"/>
    <w:rsid w:val="00603FA9"/>
    <w:rsid w:val="00604082"/>
    <w:rsid w:val="0060467A"/>
    <w:rsid w:val="006046E4"/>
    <w:rsid w:val="00604BC5"/>
    <w:rsid w:val="00604C25"/>
    <w:rsid w:val="00605037"/>
    <w:rsid w:val="00605E0D"/>
    <w:rsid w:val="00606676"/>
    <w:rsid w:val="00606B37"/>
    <w:rsid w:val="00606CF2"/>
    <w:rsid w:val="006074A4"/>
    <w:rsid w:val="00607AEF"/>
    <w:rsid w:val="00607B0F"/>
    <w:rsid w:val="00607CAF"/>
    <w:rsid w:val="0061038C"/>
    <w:rsid w:val="006106C1"/>
    <w:rsid w:val="00610B28"/>
    <w:rsid w:val="006111C8"/>
    <w:rsid w:val="0061168C"/>
    <w:rsid w:val="0061169D"/>
    <w:rsid w:val="00611737"/>
    <w:rsid w:val="00611C1D"/>
    <w:rsid w:val="00611C67"/>
    <w:rsid w:val="00612904"/>
    <w:rsid w:val="00612E32"/>
    <w:rsid w:val="00612FDD"/>
    <w:rsid w:val="006132A6"/>
    <w:rsid w:val="006136FB"/>
    <w:rsid w:val="00613ECE"/>
    <w:rsid w:val="006147A0"/>
    <w:rsid w:val="006148C3"/>
    <w:rsid w:val="00614B35"/>
    <w:rsid w:val="00614DE8"/>
    <w:rsid w:val="00615440"/>
    <w:rsid w:val="00615DE6"/>
    <w:rsid w:val="0061684C"/>
    <w:rsid w:val="00617108"/>
    <w:rsid w:val="006171CB"/>
    <w:rsid w:val="00617211"/>
    <w:rsid w:val="0061750E"/>
    <w:rsid w:val="0061784D"/>
    <w:rsid w:val="00617B8B"/>
    <w:rsid w:val="00617F79"/>
    <w:rsid w:val="00620231"/>
    <w:rsid w:val="00620262"/>
    <w:rsid w:val="006207B2"/>
    <w:rsid w:val="00620AFF"/>
    <w:rsid w:val="00620BE9"/>
    <w:rsid w:val="00622388"/>
    <w:rsid w:val="00622669"/>
    <w:rsid w:val="0062272C"/>
    <w:rsid w:val="00622B1A"/>
    <w:rsid w:val="00622E0B"/>
    <w:rsid w:val="00622FE1"/>
    <w:rsid w:val="00623438"/>
    <w:rsid w:val="006237DE"/>
    <w:rsid w:val="00623960"/>
    <w:rsid w:val="0062416C"/>
    <w:rsid w:val="006241BC"/>
    <w:rsid w:val="00624252"/>
    <w:rsid w:val="00624F7C"/>
    <w:rsid w:val="006253B7"/>
    <w:rsid w:val="006254C0"/>
    <w:rsid w:val="00625B5D"/>
    <w:rsid w:val="00625C77"/>
    <w:rsid w:val="00625CE5"/>
    <w:rsid w:val="00625EE9"/>
    <w:rsid w:val="00626216"/>
    <w:rsid w:val="006267E9"/>
    <w:rsid w:val="00626A0D"/>
    <w:rsid w:val="00626C0D"/>
    <w:rsid w:val="00626F07"/>
    <w:rsid w:val="0062707D"/>
    <w:rsid w:val="006301B9"/>
    <w:rsid w:val="00630256"/>
    <w:rsid w:val="00630663"/>
    <w:rsid w:val="00630C5E"/>
    <w:rsid w:val="00630CFB"/>
    <w:rsid w:val="00630D0E"/>
    <w:rsid w:val="00631873"/>
    <w:rsid w:val="00631BCE"/>
    <w:rsid w:val="00631E00"/>
    <w:rsid w:val="0063242C"/>
    <w:rsid w:val="00632459"/>
    <w:rsid w:val="00632E50"/>
    <w:rsid w:val="00633068"/>
    <w:rsid w:val="006331B7"/>
    <w:rsid w:val="00633B99"/>
    <w:rsid w:val="00633FB9"/>
    <w:rsid w:val="0063440B"/>
    <w:rsid w:val="00634826"/>
    <w:rsid w:val="006349A1"/>
    <w:rsid w:val="00634B42"/>
    <w:rsid w:val="00635027"/>
    <w:rsid w:val="00635539"/>
    <w:rsid w:val="006355C4"/>
    <w:rsid w:val="00635726"/>
    <w:rsid w:val="00635761"/>
    <w:rsid w:val="00635AFC"/>
    <w:rsid w:val="00635EA9"/>
    <w:rsid w:val="00636118"/>
    <w:rsid w:val="0063623D"/>
    <w:rsid w:val="00636694"/>
    <w:rsid w:val="00636927"/>
    <w:rsid w:val="00637028"/>
    <w:rsid w:val="00637170"/>
    <w:rsid w:val="00637208"/>
    <w:rsid w:val="00637B5D"/>
    <w:rsid w:val="00637CBA"/>
    <w:rsid w:val="006403D7"/>
    <w:rsid w:val="00640962"/>
    <w:rsid w:val="0064132B"/>
    <w:rsid w:val="006416BE"/>
    <w:rsid w:val="00641C0C"/>
    <w:rsid w:val="00641D96"/>
    <w:rsid w:val="00641EDE"/>
    <w:rsid w:val="006423AA"/>
    <w:rsid w:val="00642411"/>
    <w:rsid w:val="0064319B"/>
    <w:rsid w:val="00643AF4"/>
    <w:rsid w:val="00643E35"/>
    <w:rsid w:val="006440FA"/>
    <w:rsid w:val="0064422A"/>
    <w:rsid w:val="0064482D"/>
    <w:rsid w:val="00644A7B"/>
    <w:rsid w:val="00644D3A"/>
    <w:rsid w:val="00644FC4"/>
    <w:rsid w:val="0064518D"/>
    <w:rsid w:val="00645316"/>
    <w:rsid w:val="00645B83"/>
    <w:rsid w:val="006462F2"/>
    <w:rsid w:val="006469D4"/>
    <w:rsid w:val="00647043"/>
    <w:rsid w:val="006470C4"/>
    <w:rsid w:val="00647163"/>
    <w:rsid w:val="0064722E"/>
    <w:rsid w:val="00647F3C"/>
    <w:rsid w:val="00650719"/>
    <w:rsid w:val="00650E6D"/>
    <w:rsid w:val="006512D6"/>
    <w:rsid w:val="0065173E"/>
    <w:rsid w:val="00651B32"/>
    <w:rsid w:val="0065268C"/>
    <w:rsid w:val="00652880"/>
    <w:rsid w:val="00652B98"/>
    <w:rsid w:val="00652C3A"/>
    <w:rsid w:val="00652DB7"/>
    <w:rsid w:val="0065394F"/>
    <w:rsid w:val="00653B1B"/>
    <w:rsid w:val="00653CA3"/>
    <w:rsid w:val="00653EAB"/>
    <w:rsid w:val="006541F5"/>
    <w:rsid w:val="006543BA"/>
    <w:rsid w:val="00654B99"/>
    <w:rsid w:val="00654E9B"/>
    <w:rsid w:val="006553F3"/>
    <w:rsid w:val="006556D1"/>
    <w:rsid w:val="006556D9"/>
    <w:rsid w:val="006564CB"/>
    <w:rsid w:val="00657123"/>
    <w:rsid w:val="00657189"/>
    <w:rsid w:val="006571A8"/>
    <w:rsid w:val="0065724E"/>
    <w:rsid w:val="00657651"/>
    <w:rsid w:val="00657F90"/>
    <w:rsid w:val="006606ED"/>
    <w:rsid w:val="00660731"/>
    <w:rsid w:val="006613C0"/>
    <w:rsid w:val="0066194E"/>
    <w:rsid w:val="00661C46"/>
    <w:rsid w:val="0066202F"/>
    <w:rsid w:val="00663DFB"/>
    <w:rsid w:val="006644E1"/>
    <w:rsid w:val="006645EC"/>
    <w:rsid w:val="00664642"/>
    <w:rsid w:val="0066498A"/>
    <w:rsid w:val="00664BC3"/>
    <w:rsid w:val="006652D3"/>
    <w:rsid w:val="00665605"/>
    <w:rsid w:val="00665888"/>
    <w:rsid w:val="0066609F"/>
    <w:rsid w:val="00666A56"/>
    <w:rsid w:val="00666CBE"/>
    <w:rsid w:val="00667BC6"/>
    <w:rsid w:val="00667CF3"/>
    <w:rsid w:val="00667F94"/>
    <w:rsid w:val="00670380"/>
    <w:rsid w:val="00670C07"/>
    <w:rsid w:val="00670F81"/>
    <w:rsid w:val="00671047"/>
    <w:rsid w:val="006719B2"/>
    <w:rsid w:val="00671B38"/>
    <w:rsid w:val="00671F93"/>
    <w:rsid w:val="00672010"/>
    <w:rsid w:val="0067264B"/>
    <w:rsid w:val="00672C45"/>
    <w:rsid w:val="0067319C"/>
    <w:rsid w:val="006732AB"/>
    <w:rsid w:val="00673DC1"/>
    <w:rsid w:val="006748CE"/>
    <w:rsid w:val="00674DBC"/>
    <w:rsid w:val="006758C9"/>
    <w:rsid w:val="00675A5F"/>
    <w:rsid w:val="00675EB3"/>
    <w:rsid w:val="00675FA7"/>
    <w:rsid w:val="006766ED"/>
    <w:rsid w:val="006769C4"/>
    <w:rsid w:val="00676C6F"/>
    <w:rsid w:val="00677627"/>
    <w:rsid w:val="00677BD5"/>
    <w:rsid w:val="00677E3C"/>
    <w:rsid w:val="0068025E"/>
    <w:rsid w:val="00680481"/>
    <w:rsid w:val="0068051B"/>
    <w:rsid w:val="00680B80"/>
    <w:rsid w:val="00680BE9"/>
    <w:rsid w:val="0068150F"/>
    <w:rsid w:val="00681D50"/>
    <w:rsid w:val="00681E2F"/>
    <w:rsid w:val="0068251E"/>
    <w:rsid w:val="006826B8"/>
    <w:rsid w:val="00682E55"/>
    <w:rsid w:val="00683722"/>
    <w:rsid w:val="00683AAD"/>
    <w:rsid w:val="00684044"/>
    <w:rsid w:val="006843F6"/>
    <w:rsid w:val="0068494A"/>
    <w:rsid w:val="006851A2"/>
    <w:rsid w:val="00686118"/>
    <w:rsid w:val="006861C0"/>
    <w:rsid w:val="00686596"/>
    <w:rsid w:val="00686CC2"/>
    <w:rsid w:val="006870B4"/>
    <w:rsid w:val="006873FC"/>
    <w:rsid w:val="006877E1"/>
    <w:rsid w:val="00687B4B"/>
    <w:rsid w:val="00687C97"/>
    <w:rsid w:val="00690324"/>
    <w:rsid w:val="00690E71"/>
    <w:rsid w:val="006912B9"/>
    <w:rsid w:val="00691459"/>
    <w:rsid w:val="006914E6"/>
    <w:rsid w:val="006915BD"/>
    <w:rsid w:val="0069162C"/>
    <w:rsid w:val="00691D13"/>
    <w:rsid w:val="00692AB0"/>
    <w:rsid w:val="00693C87"/>
    <w:rsid w:val="00693D3E"/>
    <w:rsid w:val="0069457A"/>
    <w:rsid w:val="0069494C"/>
    <w:rsid w:val="00694D53"/>
    <w:rsid w:val="00694FD4"/>
    <w:rsid w:val="00695FCA"/>
    <w:rsid w:val="00696335"/>
    <w:rsid w:val="0069684A"/>
    <w:rsid w:val="00696B0B"/>
    <w:rsid w:val="00696B50"/>
    <w:rsid w:val="00697587"/>
    <w:rsid w:val="00697AC9"/>
    <w:rsid w:val="00697BD5"/>
    <w:rsid w:val="00697D19"/>
    <w:rsid w:val="006A04B3"/>
    <w:rsid w:val="006A0594"/>
    <w:rsid w:val="006A0597"/>
    <w:rsid w:val="006A05C7"/>
    <w:rsid w:val="006A08CA"/>
    <w:rsid w:val="006A0D9E"/>
    <w:rsid w:val="006A102D"/>
    <w:rsid w:val="006A11E4"/>
    <w:rsid w:val="006A16F0"/>
    <w:rsid w:val="006A2247"/>
    <w:rsid w:val="006A22C9"/>
    <w:rsid w:val="006A2AB9"/>
    <w:rsid w:val="006A2DB4"/>
    <w:rsid w:val="006A410A"/>
    <w:rsid w:val="006A411A"/>
    <w:rsid w:val="006A41C5"/>
    <w:rsid w:val="006A4E52"/>
    <w:rsid w:val="006A4FC8"/>
    <w:rsid w:val="006A55A1"/>
    <w:rsid w:val="006A55E1"/>
    <w:rsid w:val="006A607B"/>
    <w:rsid w:val="006A64D7"/>
    <w:rsid w:val="006A6A7C"/>
    <w:rsid w:val="006A6C1E"/>
    <w:rsid w:val="006A6E27"/>
    <w:rsid w:val="006A7052"/>
    <w:rsid w:val="006A72B0"/>
    <w:rsid w:val="006A74E5"/>
    <w:rsid w:val="006B02C4"/>
    <w:rsid w:val="006B06E8"/>
    <w:rsid w:val="006B075C"/>
    <w:rsid w:val="006B0847"/>
    <w:rsid w:val="006B0B1D"/>
    <w:rsid w:val="006B121F"/>
    <w:rsid w:val="006B1DAF"/>
    <w:rsid w:val="006B36AE"/>
    <w:rsid w:val="006B3821"/>
    <w:rsid w:val="006B3980"/>
    <w:rsid w:val="006B3CDD"/>
    <w:rsid w:val="006B3E4D"/>
    <w:rsid w:val="006B417B"/>
    <w:rsid w:val="006B5091"/>
    <w:rsid w:val="006B50B8"/>
    <w:rsid w:val="006B5D79"/>
    <w:rsid w:val="006B5FBC"/>
    <w:rsid w:val="006B654C"/>
    <w:rsid w:val="006B6AEF"/>
    <w:rsid w:val="006B6EFD"/>
    <w:rsid w:val="006B7264"/>
    <w:rsid w:val="006C0F83"/>
    <w:rsid w:val="006C13A3"/>
    <w:rsid w:val="006C1896"/>
    <w:rsid w:val="006C2643"/>
    <w:rsid w:val="006C2C86"/>
    <w:rsid w:val="006C2D1A"/>
    <w:rsid w:val="006C3258"/>
    <w:rsid w:val="006C34A1"/>
    <w:rsid w:val="006C4043"/>
    <w:rsid w:val="006C41ED"/>
    <w:rsid w:val="006C4462"/>
    <w:rsid w:val="006C4950"/>
    <w:rsid w:val="006C52B9"/>
    <w:rsid w:val="006C559A"/>
    <w:rsid w:val="006C58E3"/>
    <w:rsid w:val="006C5C95"/>
    <w:rsid w:val="006C5CDD"/>
    <w:rsid w:val="006C5D0C"/>
    <w:rsid w:val="006C6DC3"/>
    <w:rsid w:val="006C7362"/>
    <w:rsid w:val="006C778A"/>
    <w:rsid w:val="006C78B3"/>
    <w:rsid w:val="006C7F42"/>
    <w:rsid w:val="006C7FB8"/>
    <w:rsid w:val="006D0F49"/>
    <w:rsid w:val="006D1247"/>
    <w:rsid w:val="006D1870"/>
    <w:rsid w:val="006D1A50"/>
    <w:rsid w:val="006D1DFE"/>
    <w:rsid w:val="006D20A4"/>
    <w:rsid w:val="006D2560"/>
    <w:rsid w:val="006D27E4"/>
    <w:rsid w:val="006D2A95"/>
    <w:rsid w:val="006D2E50"/>
    <w:rsid w:val="006D328B"/>
    <w:rsid w:val="006D41CE"/>
    <w:rsid w:val="006D4548"/>
    <w:rsid w:val="006D460E"/>
    <w:rsid w:val="006D472A"/>
    <w:rsid w:val="006D4A75"/>
    <w:rsid w:val="006D4BD0"/>
    <w:rsid w:val="006D5201"/>
    <w:rsid w:val="006D5313"/>
    <w:rsid w:val="006D5510"/>
    <w:rsid w:val="006D55C0"/>
    <w:rsid w:val="006D5886"/>
    <w:rsid w:val="006D61EF"/>
    <w:rsid w:val="006D6680"/>
    <w:rsid w:val="006D6989"/>
    <w:rsid w:val="006D6AED"/>
    <w:rsid w:val="006D6F24"/>
    <w:rsid w:val="006D7F5A"/>
    <w:rsid w:val="006E058C"/>
    <w:rsid w:val="006E0922"/>
    <w:rsid w:val="006E0F5D"/>
    <w:rsid w:val="006E0FA4"/>
    <w:rsid w:val="006E1629"/>
    <w:rsid w:val="006E22AB"/>
    <w:rsid w:val="006E2429"/>
    <w:rsid w:val="006E2656"/>
    <w:rsid w:val="006E2B3D"/>
    <w:rsid w:val="006E2BB3"/>
    <w:rsid w:val="006E3834"/>
    <w:rsid w:val="006E3DB0"/>
    <w:rsid w:val="006E4021"/>
    <w:rsid w:val="006E4654"/>
    <w:rsid w:val="006E46AB"/>
    <w:rsid w:val="006E48EE"/>
    <w:rsid w:val="006E50E1"/>
    <w:rsid w:val="006E5147"/>
    <w:rsid w:val="006E5931"/>
    <w:rsid w:val="006E5934"/>
    <w:rsid w:val="006E5BCF"/>
    <w:rsid w:val="006E5D8E"/>
    <w:rsid w:val="006E6633"/>
    <w:rsid w:val="006E6779"/>
    <w:rsid w:val="006E6BC2"/>
    <w:rsid w:val="006E77A5"/>
    <w:rsid w:val="006E77BB"/>
    <w:rsid w:val="006E7E86"/>
    <w:rsid w:val="006F0560"/>
    <w:rsid w:val="006F061C"/>
    <w:rsid w:val="006F0800"/>
    <w:rsid w:val="006F08FA"/>
    <w:rsid w:val="006F0A11"/>
    <w:rsid w:val="006F0E60"/>
    <w:rsid w:val="006F1024"/>
    <w:rsid w:val="006F13E0"/>
    <w:rsid w:val="006F181A"/>
    <w:rsid w:val="006F2844"/>
    <w:rsid w:val="006F2A0D"/>
    <w:rsid w:val="006F2C49"/>
    <w:rsid w:val="006F34F8"/>
    <w:rsid w:val="006F3ABE"/>
    <w:rsid w:val="006F3C1F"/>
    <w:rsid w:val="006F3EAE"/>
    <w:rsid w:val="006F4C9E"/>
    <w:rsid w:val="006F546B"/>
    <w:rsid w:val="006F59E5"/>
    <w:rsid w:val="006F5CE1"/>
    <w:rsid w:val="006F5FBD"/>
    <w:rsid w:val="006F6229"/>
    <w:rsid w:val="006F6303"/>
    <w:rsid w:val="006F6316"/>
    <w:rsid w:val="006F65B2"/>
    <w:rsid w:val="006F6885"/>
    <w:rsid w:val="006F77E7"/>
    <w:rsid w:val="006F7DEF"/>
    <w:rsid w:val="006F7FEA"/>
    <w:rsid w:val="007011CC"/>
    <w:rsid w:val="00701498"/>
    <w:rsid w:val="0070150E"/>
    <w:rsid w:val="007016DD"/>
    <w:rsid w:val="00701CA6"/>
    <w:rsid w:val="00701CC3"/>
    <w:rsid w:val="0070238C"/>
    <w:rsid w:val="00702E1E"/>
    <w:rsid w:val="00703238"/>
    <w:rsid w:val="00703C02"/>
    <w:rsid w:val="00703F05"/>
    <w:rsid w:val="007043D6"/>
    <w:rsid w:val="0070461B"/>
    <w:rsid w:val="00704B83"/>
    <w:rsid w:val="00705035"/>
    <w:rsid w:val="00705DB8"/>
    <w:rsid w:val="0070625C"/>
    <w:rsid w:val="00706B12"/>
    <w:rsid w:val="00706C87"/>
    <w:rsid w:val="007073CE"/>
    <w:rsid w:val="00707FE1"/>
    <w:rsid w:val="00710349"/>
    <w:rsid w:val="00710EAD"/>
    <w:rsid w:val="00711412"/>
    <w:rsid w:val="00711738"/>
    <w:rsid w:val="00711C71"/>
    <w:rsid w:val="00713225"/>
    <w:rsid w:val="00713BB3"/>
    <w:rsid w:val="007140E8"/>
    <w:rsid w:val="00714188"/>
    <w:rsid w:val="00714D96"/>
    <w:rsid w:val="00714DE5"/>
    <w:rsid w:val="00714F97"/>
    <w:rsid w:val="00716222"/>
    <w:rsid w:val="007164EF"/>
    <w:rsid w:val="0071717E"/>
    <w:rsid w:val="007177A1"/>
    <w:rsid w:val="007205E1"/>
    <w:rsid w:val="00720CC2"/>
    <w:rsid w:val="007210BE"/>
    <w:rsid w:val="00721812"/>
    <w:rsid w:val="00721826"/>
    <w:rsid w:val="00721C77"/>
    <w:rsid w:val="00721CCE"/>
    <w:rsid w:val="00722576"/>
    <w:rsid w:val="0072277A"/>
    <w:rsid w:val="00722B70"/>
    <w:rsid w:val="00722D6F"/>
    <w:rsid w:val="00722ED6"/>
    <w:rsid w:val="00722F0D"/>
    <w:rsid w:val="00723770"/>
    <w:rsid w:val="007244F6"/>
    <w:rsid w:val="0072472D"/>
    <w:rsid w:val="0072512A"/>
    <w:rsid w:val="00725C03"/>
    <w:rsid w:val="00725FB6"/>
    <w:rsid w:val="007263EC"/>
    <w:rsid w:val="007264B1"/>
    <w:rsid w:val="00726C80"/>
    <w:rsid w:val="00726CE1"/>
    <w:rsid w:val="00726F11"/>
    <w:rsid w:val="00727529"/>
    <w:rsid w:val="00727930"/>
    <w:rsid w:val="00731EE6"/>
    <w:rsid w:val="00732448"/>
    <w:rsid w:val="00732D7D"/>
    <w:rsid w:val="00733014"/>
    <w:rsid w:val="0073347A"/>
    <w:rsid w:val="0073356D"/>
    <w:rsid w:val="007336D3"/>
    <w:rsid w:val="007343D5"/>
    <w:rsid w:val="00734D16"/>
    <w:rsid w:val="00734F40"/>
    <w:rsid w:val="00735025"/>
    <w:rsid w:val="007355A6"/>
    <w:rsid w:val="00736289"/>
    <w:rsid w:val="007368D0"/>
    <w:rsid w:val="00736915"/>
    <w:rsid w:val="00736A40"/>
    <w:rsid w:val="00736BC0"/>
    <w:rsid w:val="0073740E"/>
    <w:rsid w:val="00737555"/>
    <w:rsid w:val="00737D2D"/>
    <w:rsid w:val="00737D6C"/>
    <w:rsid w:val="00737E19"/>
    <w:rsid w:val="00737F87"/>
    <w:rsid w:val="00740A71"/>
    <w:rsid w:val="00741167"/>
    <w:rsid w:val="0074146C"/>
    <w:rsid w:val="0074198B"/>
    <w:rsid w:val="00743047"/>
    <w:rsid w:val="0074347F"/>
    <w:rsid w:val="007434C1"/>
    <w:rsid w:val="00743531"/>
    <w:rsid w:val="007438E3"/>
    <w:rsid w:val="00743E88"/>
    <w:rsid w:val="00743F25"/>
    <w:rsid w:val="00744009"/>
    <w:rsid w:val="00744015"/>
    <w:rsid w:val="00744041"/>
    <w:rsid w:val="0074436B"/>
    <w:rsid w:val="00745049"/>
    <w:rsid w:val="00745870"/>
    <w:rsid w:val="00745915"/>
    <w:rsid w:val="00745A74"/>
    <w:rsid w:val="007460DA"/>
    <w:rsid w:val="0074674E"/>
    <w:rsid w:val="00747126"/>
    <w:rsid w:val="007477C5"/>
    <w:rsid w:val="0074792C"/>
    <w:rsid w:val="00747938"/>
    <w:rsid w:val="00747A83"/>
    <w:rsid w:val="007506BF"/>
    <w:rsid w:val="00751551"/>
    <w:rsid w:val="00752DD8"/>
    <w:rsid w:val="007532FA"/>
    <w:rsid w:val="0075377A"/>
    <w:rsid w:val="00754073"/>
    <w:rsid w:val="007549E2"/>
    <w:rsid w:val="00755467"/>
    <w:rsid w:val="007555DB"/>
    <w:rsid w:val="00755748"/>
    <w:rsid w:val="00755817"/>
    <w:rsid w:val="00755B7D"/>
    <w:rsid w:val="00755E5C"/>
    <w:rsid w:val="00757CF3"/>
    <w:rsid w:val="00757F43"/>
    <w:rsid w:val="00760328"/>
    <w:rsid w:val="00760768"/>
    <w:rsid w:val="00760FD3"/>
    <w:rsid w:val="0076106B"/>
    <w:rsid w:val="007615DB"/>
    <w:rsid w:val="00761A7B"/>
    <w:rsid w:val="00761B62"/>
    <w:rsid w:val="00761DE1"/>
    <w:rsid w:val="00761F88"/>
    <w:rsid w:val="0076226E"/>
    <w:rsid w:val="00762AFB"/>
    <w:rsid w:val="00762FFC"/>
    <w:rsid w:val="0076301C"/>
    <w:rsid w:val="00763388"/>
    <w:rsid w:val="007633E9"/>
    <w:rsid w:val="007637BC"/>
    <w:rsid w:val="00763864"/>
    <w:rsid w:val="007639D9"/>
    <w:rsid w:val="007640AF"/>
    <w:rsid w:val="00764B31"/>
    <w:rsid w:val="00764B5D"/>
    <w:rsid w:val="00764FD5"/>
    <w:rsid w:val="00765293"/>
    <w:rsid w:val="007656CA"/>
    <w:rsid w:val="00765852"/>
    <w:rsid w:val="00765889"/>
    <w:rsid w:val="00765BA8"/>
    <w:rsid w:val="00766007"/>
    <w:rsid w:val="007661F5"/>
    <w:rsid w:val="007668A1"/>
    <w:rsid w:val="00766EA0"/>
    <w:rsid w:val="00767768"/>
    <w:rsid w:val="00767FFC"/>
    <w:rsid w:val="0077018F"/>
    <w:rsid w:val="007705D7"/>
    <w:rsid w:val="00770A26"/>
    <w:rsid w:val="00771265"/>
    <w:rsid w:val="007715A9"/>
    <w:rsid w:val="0077163A"/>
    <w:rsid w:val="0077165A"/>
    <w:rsid w:val="00771FB5"/>
    <w:rsid w:val="007726FA"/>
    <w:rsid w:val="00772945"/>
    <w:rsid w:val="00773481"/>
    <w:rsid w:val="007737D1"/>
    <w:rsid w:val="00773A5A"/>
    <w:rsid w:val="00773D2E"/>
    <w:rsid w:val="007741E7"/>
    <w:rsid w:val="00774237"/>
    <w:rsid w:val="00774DBD"/>
    <w:rsid w:val="00775C59"/>
    <w:rsid w:val="00776225"/>
    <w:rsid w:val="00776542"/>
    <w:rsid w:val="0077660C"/>
    <w:rsid w:val="007767DF"/>
    <w:rsid w:val="0077688B"/>
    <w:rsid w:val="00776E54"/>
    <w:rsid w:val="0077715B"/>
    <w:rsid w:val="00777ADC"/>
    <w:rsid w:val="00777BDD"/>
    <w:rsid w:val="00780198"/>
    <w:rsid w:val="007808B7"/>
    <w:rsid w:val="00781315"/>
    <w:rsid w:val="007814F2"/>
    <w:rsid w:val="0078159F"/>
    <w:rsid w:val="00781E7D"/>
    <w:rsid w:val="00781E7E"/>
    <w:rsid w:val="007822CE"/>
    <w:rsid w:val="00782809"/>
    <w:rsid w:val="00782DFC"/>
    <w:rsid w:val="00782EC4"/>
    <w:rsid w:val="00782EE7"/>
    <w:rsid w:val="00783153"/>
    <w:rsid w:val="0078323B"/>
    <w:rsid w:val="00783BDD"/>
    <w:rsid w:val="007840B9"/>
    <w:rsid w:val="00784958"/>
    <w:rsid w:val="00784B98"/>
    <w:rsid w:val="00784C4F"/>
    <w:rsid w:val="007850E5"/>
    <w:rsid w:val="007857FB"/>
    <w:rsid w:val="00786DD3"/>
    <w:rsid w:val="00786F3E"/>
    <w:rsid w:val="00787081"/>
    <w:rsid w:val="0078733D"/>
    <w:rsid w:val="00787807"/>
    <w:rsid w:val="00787A15"/>
    <w:rsid w:val="00787E9D"/>
    <w:rsid w:val="0079001F"/>
    <w:rsid w:val="007904EA"/>
    <w:rsid w:val="00790767"/>
    <w:rsid w:val="007908EA"/>
    <w:rsid w:val="007922C2"/>
    <w:rsid w:val="00792312"/>
    <w:rsid w:val="00792431"/>
    <w:rsid w:val="00792DAE"/>
    <w:rsid w:val="00793541"/>
    <w:rsid w:val="00793553"/>
    <w:rsid w:val="00793C8C"/>
    <w:rsid w:val="0079458E"/>
    <w:rsid w:val="00794AFF"/>
    <w:rsid w:val="00794BAE"/>
    <w:rsid w:val="00794E59"/>
    <w:rsid w:val="00794E6A"/>
    <w:rsid w:val="007954CF"/>
    <w:rsid w:val="00795730"/>
    <w:rsid w:val="007958CB"/>
    <w:rsid w:val="00795A69"/>
    <w:rsid w:val="007962F1"/>
    <w:rsid w:val="0079671C"/>
    <w:rsid w:val="0079691E"/>
    <w:rsid w:val="00796CD0"/>
    <w:rsid w:val="00796E5B"/>
    <w:rsid w:val="00796E96"/>
    <w:rsid w:val="007A04E1"/>
    <w:rsid w:val="007A05DD"/>
    <w:rsid w:val="007A06CB"/>
    <w:rsid w:val="007A092C"/>
    <w:rsid w:val="007A1364"/>
    <w:rsid w:val="007A1785"/>
    <w:rsid w:val="007A1889"/>
    <w:rsid w:val="007A18A6"/>
    <w:rsid w:val="007A1939"/>
    <w:rsid w:val="007A1EC9"/>
    <w:rsid w:val="007A2485"/>
    <w:rsid w:val="007A24A0"/>
    <w:rsid w:val="007A2720"/>
    <w:rsid w:val="007A2938"/>
    <w:rsid w:val="007A2E83"/>
    <w:rsid w:val="007A3010"/>
    <w:rsid w:val="007A3231"/>
    <w:rsid w:val="007A332C"/>
    <w:rsid w:val="007A3346"/>
    <w:rsid w:val="007A3534"/>
    <w:rsid w:val="007A35AC"/>
    <w:rsid w:val="007A3FC1"/>
    <w:rsid w:val="007A41A1"/>
    <w:rsid w:val="007A4377"/>
    <w:rsid w:val="007A4637"/>
    <w:rsid w:val="007A48CA"/>
    <w:rsid w:val="007A4AB2"/>
    <w:rsid w:val="007A4E13"/>
    <w:rsid w:val="007A51CA"/>
    <w:rsid w:val="007A5280"/>
    <w:rsid w:val="007A58DD"/>
    <w:rsid w:val="007A5E68"/>
    <w:rsid w:val="007A7825"/>
    <w:rsid w:val="007A7E8C"/>
    <w:rsid w:val="007B01D0"/>
    <w:rsid w:val="007B08C9"/>
    <w:rsid w:val="007B0C01"/>
    <w:rsid w:val="007B0E20"/>
    <w:rsid w:val="007B101B"/>
    <w:rsid w:val="007B10F8"/>
    <w:rsid w:val="007B14C3"/>
    <w:rsid w:val="007B14FD"/>
    <w:rsid w:val="007B18D5"/>
    <w:rsid w:val="007B1A5F"/>
    <w:rsid w:val="007B1BF7"/>
    <w:rsid w:val="007B1DD6"/>
    <w:rsid w:val="007B23B0"/>
    <w:rsid w:val="007B2892"/>
    <w:rsid w:val="007B33E5"/>
    <w:rsid w:val="007B3C14"/>
    <w:rsid w:val="007B46A6"/>
    <w:rsid w:val="007B4A59"/>
    <w:rsid w:val="007B4B40"/>
    <w:rsid w:val="007B4F72"/>
    <w:rsid w:val="007B552F"/>
    <w:rsid w:val="007B5B32"/>
    <w:rsid w:val="007B6076"/>
    <w:rsid w:val="007B629E"/>
    <w:rsid w:val="007B63CF"/>
    <w:rsid w:val="007B6599"/>
    <w:rsid w:val="007B699F"/>
    <w:rsid w:val="007B6AEE"/>
    <w:rsid w:val="007B7102"/>
    <w:rsid w:val="007C06B2"/>
    <w:rsid w:val="007C0F44"/>
    <w:rsid w:val="007C162D"/>
    <w:rsid w:val="007C245C"/>
    <w:rsid w:val="007C2EC4"/>
    <w:rsid w:val="007C378F"/>
    <w:rsid w:val="007C38B5"/>
    <w:rsid w:val="007C3CFF"/>
    <w:rsid w:val="007C404B"/>
    <w:rsid w:val="007C4187"/>
    <w:rsid w:val="007C41A0"/>
    <w:rsid w:val="007C4BAE"/>
    <w:rsid w:val="007C4E58"/>
    <w:rsid w:val="007C5702"/>
    <w:rsid w:val="007C59C3"/>
    <w:rsid w:val="007C5BF7"/>
    <w:rsid w:val="007C60AF"/>
    <w:rsid w:val="007C6423"/>
    <w:rsid w:val="007C6615"/>
    <w:rsid w:val="007C667A"/>
    <w:rsid w:val="007C6F2E"/>
    <w:rsid w:val="007C6FB1"/>
    <w:rsid w:val="007C714F"/>
    <w:rsid w:val="007C764E"/>
    <w:rsid w:val="007C7E33"/>
    <w:rsid w:val="007D044C"/>
    <w:rsid w:val="007D0690"/>
    <w:rsid w:val="007D12DA"/>
    <w:rsid w:val="007D1D3B"/>
    <w:rsid w:val="007D1E5A"/>
    <w:rsid w:val="007D2008"/>
    <w:rsid w:val="007D2501"/>
    <w:rsid w:val="007D3165"/>
    <w:rsid w:val="007D4068"/>
    <w:rsid w:val="007D5787"/>
    <w:rsid w:val="007D5960"/>
    <w:rsid w:val="007D5A25"/>
    <w:rsid w:val="007D5C12"/>
    <w:rsid w:val="007D6002"/>
    <w:rsid w:val="007D619A"/>
    <w:rsid w:val="007D66A3"/>
    <w:rsid w:val="007D6C0C"/>
    <w:rsid w:val="007D74B5"/>
    <w:rsid w:val="007E047F"/>
    <w:rsid w:val="007E060F"/>
    <w:rsid w:val="007E08A8"/>
    <w:rsid w:val="007E0E44"/>
    <w:rsid w:val="007E114E"/>
    <w:rsid w:val="007E30F1"/>
    <w:rsid w:val="007E35D3"/>
    <w:rsid w:val="007E36ED"/>
    <w:rsid w:val="007E37D5"/>
    <w:rsid w:val="007E3CFB"/>
    <w:rsid w:val="007E4042"/>
    <w:rsid w:val="007E4283"/>
    <w:rsid w:val="007E42BD"/>
    <w:rsid w:val="007E42E6"/>
    <w:rsid w:val="007E487F"/>
    <w:rsid w:val="007E48CF"/>
    <w:rsid w:val="007E4A0D"/>
    <w:rsid w:val="007E4B2D"/>
    <w:rsid w:val="007E5388"/>
    <w:rsid w:val="007E587D"/>
    <w:rsid w:val="007E58BF"/>
    <w:rsid w:val="007E6447"/>
    <w:rsid w:val="007E6465"/>
    <w:rsid w:val="007E6757"/>
    <w:rsid w:val="007E68C0"/>
    <w:rsid w:val="007E6D75"/>
    <w:rsid w:val="007E6DA1"/>
    <w:rsid w:val="007E7082"/>
    <w:rsid w:val="007E7124"/>
    <w:rsid w:val="007E71E9"/>
    <w:rsid w:val="007E76FB"/>
    <w:rsid w:val="007E77C6"/>
    <w:rsid w:val="007E7B1C"/>
    <w:rsid w:val="007E7C5C"/>
    <w:rsid w:val="007E7CB2"/>
    <w:rsid w:val="007E7CF2"/>
    <w:rsid w:val="007F0B28"/>
    <w:rsid w:val="007F0FC6"/>
    <w:rsid w:val="007F10CC"/>
    <w:rsid w:val="007F1472"/>
    <w:rsid w:val="007F1873"/>
    <w:rsid w:val="007F1D06"/>
    <w:rsid w:val="007F2667"/>
    <w:rsid w:val="007F2C72"/>
    <w:rsid w:val="007F3034"/>
    <w:rsid w:val="007F344C"/>
    <w:rsid w:val="007F3C02"/>
    <w:rsid w:val="007F3F75"/>
    <w:rsid w:val="007F5799"/>
    <w:rsid w:val="007F5A11"/>
    <w:rsid w:val="007F5BF1"/>
    <w:rsid w:val="007F62F3"/>
    <w:rsid w:val="007F70B9"/>
    <w:rsid w:val="007F7A75"/>
    <w:rsid w:val="007F7C48"/>
    <w:rsid w:val="007F7ECC"/>
    <w:rsid w:val="008003B6"/>
    <w:rsid w:val="00800E62"/>
    <w:rsid w:val="00800F35"/>
    <w:rsid w:val="008010D7"/>
    <w:rsid w:val="0080128D"/>
    <w:rsid w:val="008017B6"/>
    <w:rsid w:val="00801A75"/>
    <w:rsid w:val="00801B47"/>
    <w:rsid w:val="00802A65"/>
    <w:rsid w:val="00802BDC"/>
    <w:rsid w:val="00802DF1"/>
    <w:rsid w:val="00803443"/>
    <w:rsid w:val="008037C5"/>
    <w:rsid w:val="00803985"/>
    <w:rsid w:val="00804008"/>
    <w:rsid w:val="00804144"/>
    <w:rsid w:val="00804456"/>
    <w:rsid w:val="0080450E"/>
    <w:rsid w:val="00804530"/>
    <w:rsid w:val="008047F6"/>
    <w:rsid w:val="00804805"/>
    <w:rsid w:val="008048F5"/>
    <w:rsid w:val="00805159"/>
    <w:rsid w:val="0080516A"/>
    <w:rsid w:val="00805BCC"/>
    <w:rsid w:val="008060B5"/>
    <w:rsid w:val="00806414"/>
    <w:rsid w:val="0080680D"/>
    <w:rsid w:val="00806EEF"/>
    <w:rsid w:val="00806F1F"/>
    <w:rsid w:val="00807138"/>
    <w:rsid w:val="00807477"/>
    <w:rsid w:val="0080786A"/>
    <w:rsid w:val="008105B3"/>
    <w:rsid w:val="008105D3"/>
    <w:rsid w:val="00811D79"/>
    <w:rsid w:val="0081219B"/>
    <w:rsid w:val="008127F9"/>
    <w:rsid w:val="00812C05"/>
    <w:rsid w:val="00812DF0"/>
    <w:rsid w:val="008130CC"/>
    <w:rsid w:val="0081322A"/>
    <w:rsid w:val="008135A2"/>
    <w:rsid w:val="0081367C"/>
    <w:rsid w:val="00813C26"/>
    <w:rsid w:val="00813DC9"/>
    <w:rsid w:val="00813FE1"/>
    <w:rsid w:val="00814062"/>
    <w:rsid w:val="00814676"/>
    <w:rsid w:val="00814746"/>
    <w:rsid w:val="008153C9"/>
    <w:rsid w:val="00815617"/>
    <w:rsid w:val="0081572C"/>
    <w:rsid w:val="008161A5"/>
    <w:rsid w:val="008162AB"/>
    <w:rsid w:val="00816327"/>
    <w:rsid w:val="008169E7"/>
    <w:rsid w:val="00816E7C"/>
    <w:rsid w:val="0081756E"/>
    <w:rsid w:val="00820281"/>
    <w:rsid w:val="00821122"/>
    <w:rsid w:val="0082130E"/>
    <w:rsid w:val="008213BB"/>
    <w:rsid w:val="00821747"/>
    <w:rsid w:val="00821C6A"/>
    <w:rsid w:val="00821ECD"/>
    <w:rsid w:val="00822048"/>
    <w:rsid w:val="0082249E"/>
    <w:rsid w:val="008225CE"/>
    <w:rsid w:val="00822D96"/>
    <w:rsid w:val="00822DB2"/>
    <w:rsid w:val="0082338B"/>
    <w:rsid w:val="0082379D"/>
    <w:rsid w:val="00823ECE"/>
    <w:rsid w:val="00823F22"/>
    <w:rsid w:val="00824868"/>
    <w:rsid w:val="008249A1"/>
    <w:rsid w:val="00824E21"/>
    <w:rsid w:val="008253BF"/>
    <w:rsid w:val="0082570D"/>
    <w:rsid w:val="00825B8C"/>
    <w:rsid w:val="00826220"/>
    <w:rsid w:val="008264F4"/>
    <w:rsid w:val="0082758B"/>
    <w:rsid w:val="00827D07"/>
    <w:rsid w:val="00827DC0"/>
    <w:rsid w:val="00827F65"/>
    <w:rsid w:val="008302B7"/>
    <w:rsid w:val="00830938"/>
    <w:rsid w:val="00830FC0"/>
    <w:rsid w:val="008312C5"/>
    <w:rsid w:val="008315ED"/>
    <w:rsid w:val="00831D40"/>
    <w:rsid w:val="008329BC"/>
    <w:rsid w:val="00832B42"/>
    <w:rsid w:val="00832C0E"/>
    <w:rsid w:val="008337D2"/>
    <w:rsid w:val="00833EA0"/>
    <w:rsid w:val="0083438F"/>
    <w:rsid w:val="00834547"/>
    <w:rsid w:val="00834608"/>
    <w:rsid w:val="00834E12"/>
    <w:rsid w:val="00834FFC"/>
    <w:rsid w:val="00835082"/>
    <w:rsid w:val="0083508E"/>
    <w:rsid w:val="00835437"/>
    <w:rsid w:val="0083582D"/>
    <w:rsid w:val="00836637"/>
    <w:rsid w:val="00836673"/>
    <w:rsid w:val="00836975"/>
    <w:rsid w:val="00837082"/>
    <w:rsid w:val="00837AA4"/>
    <w:rsid w:val="00837B1B"/>
    <w:rsid w:val="00840112"/>
    <w:rsid w:val="0084022C"/>
    <w:rsid w:val="0084072B"/>
    <w:rsid w:val="00841192"/>
    <w:rsid w:val="00841E38"/>
    <w:rsid w:val="008424F8"/>
    <w:rsid w:val="00842E09"/>
    <w:rsid w:val="00843E6F"/>
    <w:rsid w:val="00844890"/>
    <w:rsid w:val="00844F83"/>
    <w:rsid w:val="0084524A"/>
    <w:rsid w:val="00845499"/>
    <w:rsid w:val="00845923"/>
    <w:rsid w:val="008460D6"/>
    <w:rsid w:val="00846573"/>
    <w:rsid w:val="008467D4"/>
    <w:rsid w:val="008467E1"/>
    <w:rsid w:val="00846C00"/>
    <w:rsid w:val="00846E4A"/>
    <w:rsid w:val="0084754B"/>
    <w:rsid w:val="00847C2B"/>
    <w:rsid w:val="00850581"/>
    <w:rsid w:val="008506D9"/>
    <w:rsid w:val="00851100"/>
    <w:rsid w:val="0085127C"/>
    <w:rsid w:val="00851616"/>
    <w:rsid w:val="00851AF5"/>
    <w:rsid w:val="00851EA9"/>
    <w:rsid w:val="00851FB5"/>
    <w:rsid w:val="008523B5"/>
    <w:rsid w:val="00852CC0"/>
    <w:rsid w:val="00852DB9"/>
    <w:rsid w:val="00852EC6"/>
    <w:rsid w:val="00853926"/>
    <w:rsid w:val="0085408C"/>
    <w:rsid w:val="00854944"/>
    <w:rsid w:val="00854DAA"/>
    <w:rsid w:val="00855513"/>
    <w:rsid w:val="00855B60"/>
    <w:rsid w:val="00855CE4"/>
    <w:rsid w:val="00855EBA"/>
    <w:rsid w:val="008560B9"/>
    <w:rsid w:val="008561E8"/>
    <w:rsid w:val="00857483"/>
    <w:rsid w:val="008603CB"/>
    <w:rsid w:val="0086092E"/>
    <w:rsid w:val="00860C1C"/>
    <w:rsid w:val="00861005"/>
    <w:rsid w:val="0086122A"/>
    <w:rsid w:val="008612B7"/>
    <w:rsid w:val="0086171F"/>
    <w:rsid w:val="00862196"/>
    <w:rsid w:val="0086242C"/>
    <w:rsid w:val="00862721"/>
    <w:rsid w:val="00863768"/>
    <w:rsid w:val="0086447F"/>
    <w:rsid w:val="008647DE"/>
    <w:rsid w:val="008648A0"/>
    <w:rsid w:val="00864B95"/>
    <w:rsid w:val="008656A2"/>
    <w:rsid w:val="008656B1"/>
    <w:rsid w:val="00865737"/>
    <w:rsid w:val="00865C9C"/>
    <w:rsid w:val="00866142"/>
    <w:rsid w:val="00866788"/>
    <w:rsid w:val="008668F6"/>
    <w:rsid w:val="00866EFA"/>
    <w:rsid w:val="00866F6B"/>
    <w:rsid w:val="00867003"/>
    <w:rsid w:val="00867B96"/>
    <w:rsid w:val="00867DA2"/>
    <w:rsid w:val="00867E50"/>
    <w:rsid w:val="008705D6"/>
    <w:rsid w:val="00870BFB"/>
    <w:rsid w:val="008712E0"/>
    <w:rsid w:val="00872200"/>
    <w:rsid w:val="008727C4"/>
    <w:rsid w:val="00873832"/>
    <w:rsid w:val="00873C67"/>
    <w:rsid w:val="00873EFF"/>
    <w:rsid w:val="00874159"/>
    <w:rsid w:val="00874510"/>
    <w:rsid w:val="00874E64"/>
    <w:rsid w:val="008758F8"/>
    <w:rsid w:val="00875A72"/>
    <w:rsid w:val="00876567"/>
    <w:rsid w:val="008770B6"/>
    <w:rsid w:val="008771EA"/>
    <w:rsid w:val="0087761F"/>
    <w:rsid w:val="0087797B"/>
    <w:rsid w:val="00877E7E"/>
    <w:rsid w:val="00877E9C"/>
    <w:rsid w:val="008800D3"/>
    <w:rsid w:val="00880D6E"/>
    <w:rsid w:val="0088141F"/>
    <w:rsid w:val="0088147C"/>
    <w:rsid w:val="008816A8"/>
    <w:rsid w:val="00881B11"/>
    <w:rsid w:val="00881B16"/>
    <w:rsid w:val="00881C85"/>
    <w:rsid w:val="0088236F"/>
    <w:rsid w:val="00882748"/>
    <w:rsid w:val="00882D12"/>
    <w:rsid w:val="008831D1"/>
    <w:rsid w:val="0088324B"/>
    <w:rsid w:val="00883D9B"/>
    <w:rsid w:val="008841C5"/>
    <w:rsid w:val="00884363"/>
    <w:rsid w:val="00884BFA"/>
    <w:rsid w:val="00884EA2"/>
    <w:rsid w:val="0088559F"/>
    <w:rsid w:val="00885825"/>
    <w:rsid w:val="00885B9B"/>
    <w:rsid w:val="00885B9F"/>
    <w:rsid w:val="00886501"/>
    <w:rsid w:val="00886CDD"/>
    <w:rsid w:val="00886F38"/>
    <w:rsid w:val="00887A37"/>
    <w:rsid w:val="008914FB"/>
    <w:rsid w:val="00891577"/>
    <w:rsid w:val="00891C8A"/>
    <w:rsid w:val="0089214D"/>
    <w:rsid w:val="008921E0"/>
    <w:rsid w:val="00892FAE"/>
    <w:rsid w:val="008935DF"/>
    <w:rsid w:val="00893C0D"/>
    <w:rsid w:val="00893D72"/>
    <w:rsid w:val="0089435A"/>
    <w:rsid w:val="00894781"/>
    <w:rsid w:val="0089485F"/>
    <w:rsid w:val="008957DD"/>
    <w:rsid w:val="00895F0D"/>
    <w:rsid w:val="00896449"/>
    <w:rsid w:val="0089724F"/>
    <w:rsid w:val="008976F4"/>
    <w:rsid w:val="00897818"/>
    <w:rsid w:val="00897AC2"/>
    <w:rsid w:val="00897BC6"/>
    <w:rsid w:val="00897D85"/>
    <w:rsid w:val="008A04A4"/>
    <w:rsid w:val="008A0E11"/>
    <w:rsid w:val="008A1B0F"/>
    <w:rsid w:val="008A20DA"/>
    <w:rsid w:val="008A21C0"/>
    <w:rsid w:val="008A2720"/>
    <w:rsid w:val="008A2D0B"/>
    <w:rsid w:val="008A30FB"/>
    <w:rsid w:val="008A3CC4"/>
    <w:rsid w:val="008A4019"/>
    <w:rsid w:val="008A4424"/>
    <w:rsid w:val="008A50BE"/>
    <w:rsid w:val="008A6395"/>
    <w:rsid w:val="008A7878"/>
    <w:rsid w:val="008A7FBB"/>
    <w:rsid w:val="008B0254"/>
    <w:rsid w:val="008B044E"/>
    <w:rsid w:val="008B0526"/>
    <w:rsid w:val="008B0F41"/>
    <w:rsid w:val="008B1F63"/>
    <w:rsid w:val="008B20E3"/>
    <w:rsid w:val="008B255E"/>
    <w:rsid w:val="008B261F"/>
    <w:rsid w:val="008B2923"/>
    <w:rsid w:val="008B2B9D"/>
    <w:rsid w:val="008B3612"/>
    <w:rsid w:val="008B3745"/>
    <w:rsid w:val="008B406E"/>
    <w:rsid w:val="008B4093"/>
    <w:rsid w:val="008B4A75"/>
    <w:rsid w:val="008B4C61"/>
    <w:rsid w:val="008B58E7"/>
    <w:rsid w:val="008B5C8F"/>
    <w:rsid w:val="008B5F16"/>
    <w:rsid w:val="008B6A21"/>
    <w:rsid w:val="008B6F70"/>
    <w:rsid w:val="008B6FF7"/>
    <w:rsid w:val="008B7451"/>
    <w:rsid w:val="008B7500"/>
    <w:rsid w:val="008B75FF"/>
    <w:rsid w:val="008B7722"/>
    <w:rsid w:val="008B786F"/>
    <w:rsid w:val="008B7F50"/>
    <w:rsid w:val="008B7F9A"/>
    <w:rsid w:val="008C02BE"/>
    <w:rsid w:val="008C07DA"/>
    <w:rsid w:val="008C0E5C"/>
    <w:rsid w:val="008C1ADE"/>
    <w:rsid w:val="008C1B45"/>
    <w:rsid w:val="008C28D0"/>
    <w:rsid w:val="008C2BB5"/>
    <w:rsid w:val="008C2C7C"/>
    <w:rsid w:val="008C3020"/>
    <w:rsid w:val="008C3C63"/>
    <w:rsid w:val="008C43E2"/>
    <w:rsid w:val="008C449C"/>
    <w:rsid w:val="008C4581"/>
    <w:rsid w:val="008C489E"/>
    <w:rsid w:val="008C4CC5"/>
    <w:rsid w:val="008C5D76"/>
    <w:rsid w:val="008C5EE3"/>
    <w:rsid w:val="008C6A2B"/>
    <w:rsid w:val="008C6B32"/>
    <w:rsid w:val="008C6E40"/>
    <w:rsid w:val="008C73B5"/>
    <w:rsid w:val="008C7472"/>
    <w:rsid w:val="008C7A88"/>
    <w:rsid w:val="008C7C57"/>
    <w:rsid w:val="008D027F"/>
    <w:rsid w:val="008D063C"/>
    <w:rsid w:val="008D0C1C"/>
    <w:rsid w:val="008D1777"/>
    <w:rsid w:val="008D2099"/>
    <w:rsid w:val="008D249C"/>
    <w:rsid w:val="008D348B"/>
    <w:rsid w:val="008D4269"/>
    <w:rsid w:val="008D46EE"/>
    <w:rsid w:val="008D4E5B"/>
    <w:rsid w:val="008D5705"/>
    <w:rsid w:val="008D57D9"/>
    <w:rsid w:val="008D6600"/>
    <w:rsid w:val="008D6782"/>
    <w:rsid w:val="008D6D34"/>
    <w:rsid w:val="008D7B65"/>
    <w:rsid w:val="008D7CD8"/>
    <w:rsid w:val="008E027A"/>
    <w:rsid w:val="008E0629"/>
    <w:rsid w:val="008E097D"/>
    <w:rsid w:val="008E0EA8"/>
    <w:rsid w:val="008E14F9"/>
    <w:rsid w:val="008E1BF5"/>
    <w:rsid w:val="008E1FC2"/>
    <w:rsid w:val="008E2136"/>
    <w:rsid w:val="008E2145"/>
    <w:rsid w:val="008E2777"/>
    <w:rsid w:val="008E2BE4"/>
    <w:rsid w:val="008E2D39"/>
    <w:rsid w:val="008E30A6"/>
    <w:rsid w:val="008E3191"/>
    <w:rsid w:val="008E31C0"/>
    <w:rsid w:val="008E345C"/>
    <w:rsid w:val="008E3845"/>
    <w:rsid w:val="008E3ED5"/>
    <w:rsid w:val="008E4254"/>
    <w:rsid w:val="008E4678"/>
    <w:rsid w:val="008E49F3"/>
    <w:rsid w:val="008E4CAA"/>
    <w:rsid w:val="008E4D8D"/>
    <w:rsid w:val="008E4E92"/>
    <w:rsid w:val="008E5175"/>
    <w:rsid w:val="008E522B"/>
    <w:rsid w:val="008E53A2"/>
    <w:rsid w:val="008E5786"/>
    <w:rsid w:val="008E5AB3"/>
    <w:rsid w:val="008E6275"/>
    <w:rsid w:val="008E62D2"/>
    <w:rsid w:val="008E6420"/>
    <w:rsid w:val="008E6B4E"/>
    <w:rsid w:val="008E6DC0"/>
    <w:rsid w:val="008E7455"/>
    <w:rsid w:val="008E7970"/>
    <w:rsid w:val="008E7C34"/>
    <w:rsid w:val="008E7F4A"/>
    <w:rsid w:val="008F0155"/>
    <w:rsid w:val="008F0B57"/>
    <w:rsid w:val="008F0C36"/>
    <w:rsid w:val="008F107F"/>
    <w:rsid w:val="008F10B3"/>
    <w:rsid w:val="008F10D9"/>
    <w:rsid w:val="008F10DD"/>
    <w:rsid w:val="008F1117"/>
    <w:rsid w:val="008F1218"/>
    <w:rsid w:val="008F15D6"/>
    <w:rsid w:val="008F1959"/>
    <w:rsid w:val="008F1BDA"/>
    <w:rsid w:val="008F1C38"/>
    <w:rsid w:val="008F21B8"/>
    <w:rsid w:val="008F23BB"/>
    <w:rsid w:val="008F2847"/>
    <w:rsid w:val="008F2DB8"/>
    <w:rsid w:val="008F2F7D"/>
    <w:rsid w:val="008F328D"/>
    <w:rsid w:val="008F3314"/>
    <w:rsid w:val="008F344E"/>
    <w:rsid w:val="008F36E2"/>
    <w:rsid w:val="008F377B"/>
    <w:rsid w:val="008F43F5"/>
    <w:rsid w:val="008F4823"/>
    <w:rsid w:val="008F4835"/>
    <w:rsid w:val="008F48F6"/>
    <w:rsid w:val="008F4FC9"/>
    <w:rsid w:val="008F56DE"/>
    <w:rsid w:val="008F5808"/>
    <w:rsid w:val="008F61A0"/>
    <w:rsid w:val="008F67CC"/>
    <w:rsid w:val="008F69B5"/>
    <w:rsid w:val="008F6AD6"/>
    <w:rsid w:val="008F6EFA"/>
    <w:rsid w:val="008F7CDE"/>
    <w:rsid w:val="0090006A"/>
    <w:rsid w:val="00901012"/>
    <w:rsid w:val="0090101F"/>
    <w:rsid w:val="009011CE"/>
    <w:rsid w:val="0090137E"/>
    <w:rsid w:val="0090252A"/>
    <w:rsid w:val="0090258C"/>
    <w:rsid w:val="009025AB"/>
    <w:rsid w:val="0090285F"/>
    <w:rsid w:val="00902C00"/>
    <w:rsid w:val="00902D4F"/>
    <w:rsid w:val="009032E0"/>
    <w:rsid w:val="009034B9"/>
    <w:rsid w:val="009037C7"/>
    <w:rsid w:val="00904786"/>
    <w:rsid w:val="00905336"/>
    <w:rsid w:val="0090589A"/>
    <w:rsid w:val="00905928"/>
    <w:rsid w:val="009059DA"/>
    <w:rsid w:val="00906620"/>
    <w:rsid w:val="009068D5"/>
    <w:rsid w:val="00906CF2"/>
    <w:rsid w:val="00906DF0"/>
    <w:rsid w:val="00906E22"/>
    <w:rsid w:val="00907441"/>
    <w:rsid w:val="00907475"/>
    <w:rsid w:val="009105CF"/>
    <w:rsid w:val="0091073D"/>
    <w:rsid w:val="0091123F"/>
    <w:rsid w:val="0091135E"/>
    <w:rsid w:val="009119EC"/>
    <w:rsid w:val="00911F7E"/>
    <w:rsid w:val="009122DB"/>
    <w:rsid w:val="00912E6B"/>
    <w:rsid w:val="009136D9"/>
    <w:rsid w:val="00913A50"/>
    <w:rsid w:val="0091448A"/>
    <w:rsid w:val="00914D48"/>
    <w:rsid w:val="00915512"/>
    <w:rsid w:val="009163A0"/>
    <w:rsid w:val="0091696F"/>
    <w:rsid w:val="00916C99"/>
    <w:rsid w:val="00916EE9"/>
    <w:rsid w:val="00917159"/>
    <w:rsid w:val="00917A9C"/>
    <w:rsid w:val="00917C84"/>
    <w:rsid w:val="00920914"/>
    <w:rsid w:val="00920966"/>
    <w:rsid w:val="00920FCF"/>
    <w:rsid w:val="009211F0"/>
    <w:rsid w:val="00921540"/>
    <w:rsid w:val="009218A2"/>
    <w:rsid w:val="00922199"/>
    <w:rsid w:val="0092261B"/>
    <w:rsid w:val="00922E3B"/>
    <w:rsid w:val="009233CC"/>
    <w:rsid w:val="00923509"/>
    <w:rsid w:val="00923551"/>
    <w:rsid w:val="00923755"/>
    <w:rsid w:val="00923901"/>
    <w:rsid w:val="009239D6"/>
    <w:rsid w:val="00923CB6"/>
    <w:rsid w:val="009240D8"/>
    <w:rsid w:val="009240FF"/>
    <w:rsid w:val="00924EB9"/>
    <w:rsid w:val="00924EC9"/>
    <w:rsid w:val="00925203"/>
    <w:rsid w:val="0092523D"/>
    <w:rsid w:val="0092571D"/>
    <w:rsid w:val="009257EC"/>
    <w:rsid w:val="009259B7"/>
    <w:rsid w:val="00925F7F"/>
    <w:rsid w:val="009264CA"/>
    <w:rsid w:val="00926F34"/>
    <w:rsid w:val="00927038"/>
    <w:rsid w:val="00927A08"/>
    <w:rsid w:val="00927F26"/>
    <w:rsid w:val="0093002A"/>
    <w:rsid w:val="0093027D"/>
    <w:rsid w:val="00930948"/>
    <w:rsid w:val="00930A39"/>
    <w:rsid w:val="00930A74"/>
    <w:rsid w:val="00930CAF"/>
    <w:rsid w:val="00930D80"/>
    <w:rsid w:val="00931338"/>
    <w:rsid w:val="0093171E"/>
    <w:rsid w:val="00931B5E"/>
    <w:rsid w:val="00932100"/>
    <w:rsid w:val="00932509"/>
    <w:rsid w:val="009326A1"/>
    <w:rsid w:val="00932929"/>
    <w:rsid w:val="009329B0"/>
    <w:rsid w:val="009329B2"/>
    <w:rsid w:val="00932B9B"/>
    <w:rsid w:val="009337E5"/>
    <w:rsid w:val="00933A35"/>
    <w:rsid w:val="00933FE3"/>
    <w:rsid w:val="009343B0"/>
    <w:rsid w:val="009345E4"/>
    <w:rsid w:val="00934AB0"/>
    <w:rsid w:val="009354E5"/>
    <w:rsid w:val="00935A8A"/>
    <w:rsid w:val="0093603E"/>
    <w:rsid w:val="009360D7"/>
    <w:rsid w:val="009362C9"/>
    <w:rsid w:val="00936476"/>
    <w:rsid w:val="00937509"/>
    <w:rsid w:val="00937935"/>
    <w:rsid w:val="00937E54"/>
    <w:rsid w:val="009404D7"/>
    <w:rsid w:val="00940717"/>
    <w:rsid w:val="009407AA"/>
    <w:rsid w:val="00940AD1"/>
    <w:rsid w:val="00940EAB"/>
    <w:rsid w:val="009411F6"/>
    <w:rsid w:val="00941235"/>
    <w:rsid w:val="00941905"/>
    <w:rsid w:val="00942387"/>
    <w:rsid w:val="00942945"/>
    <w:rsid w:val="00942B85"/>
    <w:rsid w:val="00942C41"/>
    <w:rsid w:val="00942E76"/>
    <w:rsid w:val="009431F2"/>
    <w:rsid w:val="00943758"/>
    <w:rsid w:val="009437FF"/>
    <w:rsid w:val="0094380C"/>
    <w:rsid w:val="009438FE"/>
    <w:rsid w:val="00944959"/>
    <w:rsid w:val="0094517F"/>
    <w:rsid w:val="009457B0"/>
    <w:rsid w:val="0094596C"/>
    <w:rsid w:val="00945D86"/>
    <w:rsid w:val="00945EF3"/>
    <w:rsid w:val="00946019"/>
    <w:rsid w:val="0094626F"/>
    <w:rsid w:val="009462D2"/>
    <w:rsid w:val="00946AA0"/>
    <w:rsid w:val="00946E0A"/>
    <w:rsid w:val="009473FD"/>
    <w:rsid w:val="009476AB"/>
    <w:rsid w:val="009478AE"/>
    <w:rsid w:val="009479A6"/>
    <w:rsid w:val="00950A20"/>
    <w:rsid w:val="00950C92"/>
    <w:rsid w:val="00950D16"/>
    <w:rsid w:val="00951071"/>
    <w:rsid w:val="0095118D"/>
    <w:rsid w:val="0095144C"/>
    <w:rsid w:val="009515D6"/>
    <w:rsid w:val="0095160B"/>
    <w:rsid w:val="0095165B"/>
    <w:rsid w:val="00951BD0"/>
    <w:rsid w:val="0095239B"/>
    <w:rsid w:val="0095246F"/>
    <w:rsid w:val="00952548"/>
    <w:rsid w:val="00953184"/>
    <w:rsid w:val="00953D79"/>
    <w:rsid w:val="00953D91"/>
    <w:rsid w:val="00954148"/>
    <w:rsid w:val="009542ED"/>
    <w:rsid w:val="009548F1"/>
    <w:rsid w:val="00954F46"/>
    <w:rsid w:val="00955062"/>
    <w:rsid w:val="00955687"/>
    <w:rsid w:val="00955891"/>
    <w:rsid w:val="00955DF3"/>
    <w:rsid w:val="0095654C"/>
    <w:rsid w:val="0095686C"/>
    <w:rsid w:val="00956F6E"/>
    <w:rsid w:val="009573AA"/>
    <w:rsid w:val="0095751D"/>
    <w:rsid w:val="00957D5D"/>
    <w:rsid w:val="00957E79"/>
    <w:rsid w:val="00957E8C"/>
    <w:rsid w:val="009602A3"/>
    <w:rsid w:val="009619B3"/>
    <w:rsid w:val="0096264F"/>
    <w:rsid w:val="009626AC"/>
    <w:rsid w:val="009628C5"/>
    <w:rsid w:val="00963B85"/>
    <w:rsid w:val="00964A1C"/>
    <w:rsid w:val="00964C14"/>
    <w:rsid w:val="00964CF1"/>
    <w:rsid w:val="009652D5"/>
    <w:rsid w:val="00966911"/>
    <w:rsid w:val="00966D3F"/>
    <w:rsid w:val="009672CE"/>
    <w:rsid w:val="009677C5"/>
    <w:rsid w:val="009677F8"/>
    <w:rsid w:val="00970C46"/>
    <w:rsid w:val="00970EF1"/>
    <w:rsid w:val="00971146"/>
    <w:rsid w:val="009717F0"/>
    <w:rsid w:val="00971AA1"/>
    <w:rsid w:val="00971DC0"/>
    <w:rsid w:val="00972278"/>
    <w:rsid w:val="009723EC"/>
    <w:rsid w:val="00972916"/>
    <w:rsid w:val="00972A9A"/>
    <w:rsid w:val="00972B5C"/>
    <w:rsid w:val="00972B99"/>
    <w:rsid w:val="00972CB9"/>
    <w:rsid w:val="00973071"/>
    <w:rsid w:val="009737F0"/>
    <w:rsid w:val="009739F0"/>
    <w:rsid w:val="00973A24"/>
    <w:rsid w:val="00973C85"/>
    <w:rsid w:val="0097443F"/>
    <w:rsid w:val="00974443"/>
    <w:rsid w:val="00974D9E"/>
    <w:rsid w:val="00975B8C"/>
    <w:rsid w:val="00975DC9"/>
    <w:rsid w:val="0097600B"/>
    <w:rsid w:val="0097691F"/>
    <w:rsid w:val="009769C3"/>
    <w:rsid w:val="009779D1"/>
    <w:rsid w:val="009809DC"/>
    <w:rsid w:val="0098132A"/>
    <w:rsid w:val="0098193C"/>
    <w:rsid w:val="00981E75"/>
    <w:rsid w:val="00982667"/>
    <w:rsid w:val="00982719"/>
    <w:rsid w:val="0098338D"/>
    <w:rsid w:val="0098401C"/>
    <w:rsid w:val="009841C1"/>
    <w:rsid w:val="00984A1E"/>
    <w:rsid w:val="00984E8C"/>
    <w:rsid w:val="00985121"/>
    <w:rsid w:val="00985E04"/>
    <w:rsid w:val="009860A2"/>
    <w:rsid w:val="00986177"/>
    <w:rsid w:val="00986582"/>
    <w:rsid w:val="00986891"/>
    <w:rsid w:val="0098765E"/>
    <w:rsid w:val="00987C50"/>
    <w:rsid w:val="00987F49"/>
    <w:rsid w:val="00990169"/>
    <w:rsid w:val="00990174"/>
    <w:rsid w:val="009901A0"/>
    <w:rsid w:val="0099020A"/>
    <w:rsid w:val="009905C1"/>
    <w:rsid w:val="00991675"/>
    <w:rsid w:val="00992008"/>
    <w:rsid w:val="00992641"/>
    <w:rsid w:val="009928FE"/>
    <w:rsid w:val="009929D5"/>
    <w:rsid w:val="00992B05"/>
    <w:rsid w:val="00992EEF"/>
    <w:rsid w:val="0099421F"/>
    <w:rsid w:val="0099499F"/>
    <w:rsid w:val="009950A3"/>
    <w:rsid w:val="0099513F"/>
    <w:rsid w:val="0099566F"/>
    <w:rsid w:val="009956E0"/>
    <w:rsid w:val="009956FA"/>
    <w:rsid w:val="00995853"/>
    <w:rsid w:val="0099606C"/>
    <w:rsid w:val="00996409"/>
    <w:rsid w:val="00996750"/>
    <w:rsid w:val="00996ACD"/>
    <w:rsid w:val="00996BB0"/>
    <w:rsid w:val="00996D00"/>
    <w:rsid w:val="00996F5F"/>
    <w:rsid w:val="0099752F"/>
    <w:rsid w:val="009A03DC"/>
    <w:rsid w:val="009A058D"/>
    <w:rsid w:val="009A0843"/>
    <w:rsid w:val="009A0F32"/>
    <w:rsid w:val="009A16C3"/>
    <w:rsid w:val="009A1C20"/>
    <w:rsid w:val="009A2217"/>
    <w:rsid w:val="009A228E"/>
    <w:rsid w:val="009A35F7"/>
    <w:rsid w:val="009A3D40"/>
    <w:rsid w:val="009A41A1"/>
    <w:rsid w:val="009A4D04"/>
    <w:rsid w:val="009A567A"/>
    <w:rsid w:val="009A62C9"/>
    <w:rsid w:val="009A6CF3"/>
    <w:rsid w:val="009A70D7"/>
    <w:rsid w:val="009B0134"/>
    <w:rsid w:val="009B0655"/>
    <w:rsid w:val="009B0D2F"/>
    <w:rsid w:val="009B13A9"/>
    <w:rsid w:val="009B14A9"/>
    <w:rsid w:val="009B1A42"/>
    <w:rsid w:val="009B1A57"/>
    <w:rsid w:val="009B27D3"/>
    <w:rsid w:val="009B2DBA"/>
    <w:rsid w:val="009B366F"/>
    <w:rsid w:val="009B38BC"/>
    <w:rsid w:val="009B43BF"/>
    <w:rsid w:val="009B449D"/>
    <w:rsid w:val="009B4693"/>
    <w:rsid w:val="009B4A2D"/>
    <w:rsid w:val="009B4E7C"/>
    <w:rsid w:val="009B54E0"/>
    <w:rsid w:val="009B56F9"/>
    <w:rsid w:val="009B5A07"/>
    <w:rsid w:val="009B61D7"/>
    <w:rsid w:val="009B64D1"/>
    <w:rsid w:val="009B6A97"/>
    <w:rsid w:val="009B7107"/>
    <w:rsid w:val="009B745B"/>
    <w:rsid w:val="009C09C4"/>
    <w:rsid w:val="009C0BF6"/>
    <w:rsid w:val="009C0D78"/>
    <w:rsid w:val="009C1249"/>
    <w:rsid w:val="009C14A4"/>
    <w:rsid w:val="009C18B8"/>
    <w:rsid w:val="009C1B3C"/>
    <w:rsid w:val="009C1E0B"/>
    <w:rsid w:val="009C245B"/>
    <w:rsid w:val="009C272C"/>
    <w:rsid w:val="009C2871"/>
    <w:rsid w:val="009C2EC7"/>
    <w:rsid w:val="009C4851"/>
    <w:rsid w:val="009C52A7"/>
    <w:rsid w:val="009C5AFF"/>
    <w:rsid w:val="009C5E2A"/>
    <w:rsid w:val="009C5FC4"/>
    <w:rsid w:val="009C601F"/>
    <w:rsid w:val="009C61BD"/>
    <w:rsid w:val="009C73CB"/>
    <w:rsid w:val="009C73CF"/>
    <w:rsid w:val="009C7951"/>
    <w:rsid w:val="009C7983"/>
    <w:rsid w:val="009C7F36"/>
    <w:rsid w:val="009D03E1"/>
    <w:rsid w:val="009D07C3"/>
    <w:rsid w:val="009D0946"/>
    <w:rsid w:val="009D0D3A"/>
    <w:rsid w:val="009D15C6"/>
    <w:rsid w:val="009D1B94"/>
    <w:rsid w:val="009D1F69"/>
    <w:rsid w:val="009D3685"/>
    <w:rsid w:val="009D38F7"/>
    <w:rsid w:val="009D3A5D"/>
    <w:rsid w:val="009D3BE3"/>
    <w:rsid w:val="009D406F"/>
    <w:rsid w:val="009D428D"/>
    <w:rsid w:val="009D4C34"/>
    <w:rsid w:val="009D545A"/>
    <w:rsid w:val="009D5BCD"/>
    <w:rsid w:val="009D5BF0"/>
    <w:rsid w:val="009D669A"/>
    <w:rsid w:val="009D6D44"/>
    <w:rsid w:val="009D7225"/>
    <w:rsid w:val="009E01FF"/>
    <w:rsid w:val="009E02E3"/>
    <w:rsid w:val="009E0593"/>
    <w:rsid w:val="009E0F4D"/>
    <w:rsid w:val="009E11A9"/>
    <w:rsid w:val="009E11F6"/>
    <w:rsid w:val="009E165F"/>
    <w:rsid w:val="009E1CCF"/>
    <w:rsid w:val="009E1F4C"/>
    <w:rsid w:val="009E22FA"/>
    <w:rsid w:val="009E2B02"/>
    <w:rsid w:val="009E2B23"/>
    <w:rsid w:val="009E2E6B"/>
    <w:rsid w:val="009E2F63"/>
    <w:rsid w:val="009E3118"/>
    <w:rsid w:val="009E34B9"/>
    <w:rsid w:val="009E3A6F"/>
    <w:rsid w:val="009E3F46"/>
    <w:rsid w:val="009E3FA9"/>
    <w:rsid w:val="009E44DA"/>
    <w:rsid w:val="009E4744"/>
    <w:rsid w:val="009E47E0"/>
    <w:rsid w:val="009E4950"/>
    <w:rsid w:val="009E4CBA"/>
    <w:rsid w:val="009E4EC9"/>
    <w:rsid w:val="009E4ECB"/>
    <w:rsid w:val="009E4FA3"/>
    <w:rsid w:val="009E587C"/>
    <w:rsid w:val="009E58B0"/>
    <w:rsid w:val="009E5D00"/>
    <w:rsid w:val="009E5D5A"/>
    <w:rsid w:val="009E5EBC"/>
    <w:rsid w:val="009E67F6"/>
    <w:rsid w:val="009E6BBE"/>
    <w:rsid w:val="009E6D10"/>
    <w:rsid w:val="009E6D30"/>
    <w:rsid w:val="009E7887"/>
    <w:rsid w:val="009F0509"/>
    <w:rsid w:val="009F0630"/>
    <w:rsid w:val="009F0984"/>
    <w:rsid w:val="009F1180"/>
    <w:rsid w:val="009F1758"/>
    <w:rsid w:val="009F1C2C"/>
    <w:rsid w:val="009F1C84"/>
    <w:rsid w:val="009F2262"/>
    <w:rsid w:val="009F266E"/>
    <w:rsid w:val="009F299F"/>
    <w:rsid w:val="009F2B1F"/>
    <w:rsid w:val="009F2BE8"/>
    <w:rsid w:val="009F3377"/>
    <w:rsid w:val="009F33C4"/>
    <w:rsid w:val="009F3A7F"/>
    <w:rsid w:val="009F4171"/>
    <w:rsid w:val="009F441E"/>
    <w:rsid w:val="009F4ADA"/>
    <w:rsid w:val="009F5324"/>
    <w:rsid w:val="009F5C11"/>
    <w:rsid w:val="009F5EFF"/>
    <w:rsid w:val="009F6178"/>
    <w:rsid w:val="009F65D8"/>
    <w:rsid w:val="009F6A0D"/>
    <w:rsid w:val="009F6C05"/>
    <w:rsid w:val="009F7232"/>
    <w:rsid w:val="009F746A"/>
    <w:rsid w:val="00A0052B"/>
    <w:rsid w:val="00A00BE2"/>
    <w:rsid w:val="00A01211"/>
    <w:rsid w:val="00A01AAD"/>
    <w:rsid w:val="00A01BA3"/>
    <w:rsid w:val="00A01EAA"/>
    <w:rsid w:val="00A020FE"/>
    <w:rsid w:val="00A02260"/>
    <w:rsid w:val="00A0290F"/>
    <w:rsid w:val="00A02A23"/>
    <w:rsid w:val="00A02A73"/>
    <w:rsid w:val="00A02FD1"/>
    <w:rsid w:val="00A03D76"/>
    <w:rsid w:val="00A03F67"/>
    <w:rsid w:val="00A04173"/>
    <w:rsid w:val="00A045E1"/>
    <w:rsid w:val="00A04F28"/>
    <w:rsid w:val="00A05069"/>
    <w:rsid w:val="00A050D7"/>
    <w:rsid w:val="00A056A8"/>
    <w:rsid w:val="00A059BA"/>
    <w:rsid w:val="00A059EA"/>
    <w:rsid w:val="00A0626F"/>
    <w:rsid w:val="00A0638A"/>
    <w:rsid w:val="00A074B7"/>
    <w:rsid w:val="00A07991"/>
    <w:rsid w:val="00A079A5"/>
    <w:rsid w:val="00A07C89"/>
    <w:rsid w:val="00A10105"/>
    <w:rsid w:val="00A1028B"/>
    <w:rsid w:val="00A106AC"/>
    <w:rsid w:val="00A1092B"/>
    <w:rsid w:val="00A10CDE"/>
    <w:rsid w:val="00A114EB"/>
    <w:rsid w:val="00A11545"/>
    <w:rsid w:val="00A11B69"/>
    <w:rsid w:val="00A11EAA"/>
    <w:rsid w:val="00A124E3"/>
    <w:rsid w:val="00A124FD"/>
    <w:rsid w:val="00A1366C"/>
    <w:rsid w:val="00A13E76"/>
    <w:rsid w:val="00A143E1"/>
    <w:rsid w:val="00A143F0"/>
    <w:rsid w:val="00A14598"/>
    <w:rsid w:val="00A14C13"/>
    <w:rsid w:val="00A14DB8"/>
    <w:rsid w:val="00A15587"/>
    <w:rsid w:val="00A15968"/>
    <w:rsid w:val="00A15F04"/>
    <w:rsid w:val="00A15F6E"/>
    <w:rsid w:val="00A164D8"/>
    <w:rsid w:val="00A1680D"/>
    <w:rsid w:val="00A168D9"/>
    <w:rsid w:val="00A16CA1"/>
    <w:rsid w:val="00A16EA7"/>
    <w:rsid w:val="00A17A19"/>
    <w:rsid w:val="00A17CC1"/>
    <w:rsid w:val="00A20246"/>
    <w:rsid w:val="00A20F31"/>
    <w:rsid w:val="00A2166B"/>
    <w:rsid w:val="00A21962"/>
    <w:rsid w:val="00A21B20"/>
    <w:rsid w:val="00A21CBD"/>
    <w:rsid w:val="00A21DA9"/>
    <w:rsid w:val="00A21E7F"/>
    <w:rsid w:val="00A222CC"/>
    <w:rsid w:val="00A22BA1"/>
    <w:rsid w:val="00A23AB0"/>
    <w:rsid w:val="00A23E3C"/>
    <w:rsid w:val="00A241A2"/>
    <w:rsid w:val="00A24CC1"/>
    <w:rsid w:val="00A250A3"/>
    <w:rsid w:val="00A25D3B"/>
    <w:rsid w:val="00A266C5"/>
    <w:rsid w:val="00A26B02"/>
    <w:rsid w:val="00A26B84"/>
    <w:rsid w:val="00A26E70"/>
    <w:rsid w:val="00A2712F"/>
    <w:rsid w:val="00A2715A"/>
    <w:rsid w:val="00A278DB"/>
    <w:rsid w:val="00A279E1"/>
    <w:rsid w:val="00A27A32"/>
    <w:rsid w:val="00A3052D"/>
    <w:rsid w:val="00A30559"/>
    <w:rsid w:val="00A306FA"/>
    <w:rsid w:val="00A309C6"/>
    <w:rsid w:val="00A30BC0"/>
    <w:rsid w:val="00A30E70"/>
    <w:rsid w:val="00A3115A"/>
    <w:rsid w:val="00A31519"/>
    <w:rsid w:val="00A3163F"/>
    <w:rsid w:val="00A31734"/>
    <w:rsid w:val="00A317A3"/>
    <w:rsid w:val="00A32E4E"/>
    <w:rsid w:val="00A33019"/>
    <w:rsid w:val="00A3430F"/>
    <w:rsid w:val="00A3443F"/>
    <w:rsid w:val="00A34D12"/>
    <w:rsid w:val="00A3553E"/>
    <w:rsid w:val="00A35ACA"/>
    <w:rsid w:val="00A36400"/>
    <w:rsid w:val="00A3647F"/>
    <w:rsid w:val="00A36842"/>
    <w:rsid w:val="00A37064"/>
    <w:rsid w:val="00A370A6"/>
    <w:rsid w:val="00A37A9B"/>
    <w:rsid w:val="00A4089E"/>
    <w:rsid w:val="00A4103C"/>
    <w:rsid w:val="00A4109C"/>
    <w:rsid w:val="00A4139E"/>
    <w:rsid w:val="00A416BE"/>
    <w:rsid w:val="00A41D03"/>
    <w:rsid w:val="00A42127"/>
    <w:rsid w:val="00A427D6"/>
    <w:rsid w:val="00A431A6"/>
    <w:rsid w:val="00A4327B"/>
    <w:rsid w:val="00A43E2F"/>
    <w:rsid w:val="00A44614"/>
    <w:rsid w:val="00A44C91"/>
    <w:rsid w:val="00A44EA7"/>
    <w:rsid w:val="00A451A0"/>
    <w:rsid w:val="00A453DB"/>
    <w:rsid w:val="00A4542B"/>
    <w:rsid w:val="00A45FF3"/>
    <w:rsid w:val="00A46C4C"/>
    <w:rsid w:val="00A47365"/>
    <w:rsid w:val="00A47509"/>
    <w:rsid w:val="00A4788B"/>
    <w:rsid w:val="00A47D63"/>
    <w:rsid w:val="00A47ECE"/>
    <w:rsid w:val="00A505DE"/>
    <w:rsid w:val="00A505ED"/>
    <w:rsid w:val="00A50D3F"/>
    <w:rsid w:val="00A50D81"/>
    <w:rsid w:val="00A50DBB"/>
    <w:rsid w:val="00A51164"/>
    <w:rsid w:val="00A51818"/>
    <w:rsid w:val="00A5200B"/>
    <w:rsid w:val="00A525F4"/>
    <w:rsid w:val="00A529E8"/>
    <w:rsid w:val="00A531BB"/>
    <w:rsid w:val="00A5327C"/>
    <w:rsid w:val="00A5377E"/>
    <w:rsid w:val="00A53A7F"/>
    <w:rsid w:val="00A53BE7"/>
    <w:rsid w:val="00A54439"/>
    <w:rsid w:val="00A548F2"/>
    <w:rsid w:val="00A55428"/>
    <w:rsid w:val="00A558F9"/>
    <w:rsid w:val="00A55991"/>
    <w:rsid w:val="00A55C9B"/>
    <w:rsid w:val="00A56C71"/>
    <w:rsid w:val="00A57084"/>
    <w:rsid w:val="00A5721C"/>
    <w:rsid w:val="00A57A1B"/>
    <w:rsid w:val="00A6072B"/>
    <w:rsid w:val="00A60736"/>
    <w:rsid w:val="00A60BB9"/>
    <w:rsid w:val="00A6146C"/>
    <w:rsid w:val="00A614EB"/>
    <w:rsid w:val="00A616AA"/>
    <w:rsid w:val="00A61F47"/>
    <w:rsid w:val="00A62B28"/>
    <w:rsid w:val="00A62B60"/>
    <w:rsid w:val="00A62EED"/>
    <w:rsid w:val="00A63D22"/>
    <w:rsid w:val="00A63F85"/>
    <w:rsid w:val="00A6442D"/>
    <w:rsid w:val="00A64532"/>
    <w:rsid w:val="00A64EE1"/>
    <w:rsid w:val="00A65106"/>
    <w:rsid w:val="00A653AC"/>
    <w:rsid w:val="00A65554"/>
    <w:rsid w:val="00A65D80"/>
    <w:rsid w:val="00A6608F"/>
    <w:rsid w:val="00A66B9D"/>
    <w:rsid w:val="00A66D34"/>
    <w:rsid w:val="00A66DE4"/>
    <w:rsid w:val="00A67913"/>
    <w:rsid w:val="00A67969"/>
    <w:rsid w:val="00A67B22"/>
    <w:rsid w:val="00A70530"/>
    <w:rsid w:val="00A7113E"/>
    <w:rsid w:val="00A71C7F"/>
    <w:rsid w:val="00A72432"/>
    <w:rsid w:val="00A728E5"/>
    <w:rsid w:val="00A72E17"/>
    <w:rsid w:val="00A730D8"/>
    <w:rsid w:val="00A7389C"/>
    <w:rsid w:val="00A73916"/>
    <w:rsid w:val="00A74064"/>
    <w:rsid w:val="00A74599"/>
    <w:rsid w:val="00A7483E"/>
    <w:rsid w:val="00A74934"/>
    <w:rsid w:val="00A750EE"/>
    <w:rsid w:val="00A75130"/>
    <w:rsid w:val="00A753CB"/>
    <w:rsid w:val="00A75A56"/>
    <w:rsid w:val="00A77959"/>
    <w:rsid w:val="00A80CBB"/>
    <w:rsid w:val="00A80F8F"/>
    <w:rsid w:val="00A81355"/>
    <w:rsid w:val="00A814FC"/>
    <w:rsid w:val="00A817F3"/>
    <w:rsid w:val="00A818B0"/>
    <w:rsid w:val="00A81A94"/>
    <w:rsid w:val="00A81B10"/>
    <w:rsid w:val="00A81D45"/>
    <w:rsid w:val="00A81DAE"/>
    <w:rsid w:val="00A82534"/>
    <w:rsid w:val="00A82BA1"/>
    <w:rsid w:val="00A82C5B"/>
    <w:rsid w:val="00A8364E"/>
    <w:rsid w:val="00A843C4"/>
    <w:rsid w:val="00A84C66"/>
    <w:rsid w:val="00A84DFC"/>
    <w:rsid w:val="00A84E12"/>
    <w:rsid w:val="00A85D0F"/>
    <w:rsid w:val="00A85EDA"/>
    <w:rsid w:val="00A860BF"/>
    <w:rsid w:val="00A86E2E"/>
    <w:rsid w:val="00A87046"/>
    <w:rsid w:val="00A87332"/>
    <w:rsid w:val="00A8790D"/>
    <w:rsid w:val="00A87AD6"/>
    <w:rsid w:val="00A87D02"/>
    <w:rsid w:val="00A87FF6"/>
    <w:rsid w:val="00A90B83"/>
    <w:rsid w:val="00A90DA4"/>
    <w:rsid w:val="00A9119A"/>
    <w:rsid w:val="00A91B07"/>
    <w:rsid w:val="00A9289F"/>
    <w:rsid w:val="00A92A30"/>
    <w:rsid w:val="00A92AB7"/>
    <w:rsid w:val="00A93636"/>
    <w:rsid w:val="00A937BA"/>
    <w:rsid w:val="00A949DA"/>
    <w:rsid w:val="00A94F3E"/>
    <w:rsid w:val="00A9501B"/>
    <w:rsid w:val="00A9522D"/>
    <w:rsid w:val="00A95668"/>
    <w:rsid w:val="00A956B1"/>
    <w:rsid w:val="00A95A19"/>
    <w:rsid w:val="00A9681E"/>
    <w:rsid w:val="00A96A38"/>
    <w:rsid w:val="00A97948"/>
    <w:rsid w:val="00A97DB1"/>
    <w:rsid w:val="00AA007A"/>
    <w:rsid w:val="00AA059F"/>
    <w:rsid w:val="00AA0D6A"/>
    <w:rsid w:val="00AA0E8A"/>
    <w:rsid w:val="00AA12B3"/>
    <w:rsid w:val="00AA255D"/>
    <w:rsid w:val="00AA2B97"/>
    <w:rsid w:val="00AA353F"/>
    <w:rsid w:val="00AA35B4"/>
    <w:rsid w:val="00AA3B49"/>
    <w:rsid w:val="00AA3B57"/>
    <w:rsid w:val="00AA412C"/>
    <w:rsid w:val="00AA4DB7"/>
    <w:rsid w:val="00AA4DD2"/>
    <w:rsid w:val="00AA5069"/>
    <w:rsid w:val="00AA5CF6"/>
    <w:rsid w:val="00AA6586"/>
    <w:rsid w:val="00AA666C"/>
    <w:rsid w:val="00AA6EA0"/>
    <w:rsid w:val="00AA756E"/>
    <w:rsid w:val="00AA75F7"/>
    <w:rsid w:val="00AA7DB5"/>
    <w:rsid w:val="00AB073E"/>
    <w:rsid w:val="00AB0989"/>
    <w:rsid w:val="00AB14AE"/>
    <w:rsid w:val="00AB164D"/>
    <w:rsid w:val="00AB1A13"/>
    <w:rsid w:val="00AB1C66"/>
    <w:rsid w:val="00AB24A4"/>
    <w:rsid w:val="00AB24C5"/>
    <w:rsid w:val="00AB25BF"/>
    <w:rsid w:val="00AB2C20"/>
    <w:rsid w:val="00AB2FBF"/>
    <w:rsid w:val="00AB31BC"/>
    <w:rsid w:val="00AB3409"/>
    <w:rsid w:val="00AB34AB"/>
    <w:rsid w:val="00AB3D7C"/>
    <w:rsid w:val="00AB43D1"/>
    <w:rsid w:val="00AB45F9"/>
    <w:rsid w:val="00AB4E1C"/>
    <w:rsid w:val="00AB4E79"/>
    <w:rsid w:val="00AB4E9F"/>
    <w:rsid w:val="00AB506E"/>
    <w:rsid w:val="00AB538D"/>
    <w:rsid w:val="00AB5666"/>
    <w:rsid w:val="00AB60E2"/>
    <w:rsid w:val="00AB60E7"/>
    <w:rsid w:val="00AB63B3"/>
    <w:rsid w:val="00AB6883"/>
    <w:rsid w:val="00AB7A2F"/>
    <w:rsid w:val="00AC07DD"/>
    <w:rsid w:val="00AC0B0B"/>
    <w:rsid w:val="00AC1C55"/>
    <w:rsid w:val="00AC1D2B"/>
    <w:rsid w:val="00AC210F"/>
    <w:rsid w:val="00AC2512"/>
    <w:rsid w:val="00AC2757"/>
    <w:rsid w:val="00AC27FF"/>
    <w:rsid w:val="00AC2A5C"/>
    <w:rsid w:val="00AC2AD1"/>
    <w:rsid w:val="00AC3010"/>
    <w:rsid w:val="00AC319E"/>
    <w:rsid w:val="00AC32BA"/>
    <w:rsid w:val="00AC35FD"/>
    <w:rsid w:val="00AC42ED"/>
    <w:rsid w:val="00AC5BB0"/>
    <w:rsid w:val="00AC5C48"/>
    <w:rsid w:val="00AC624F"/>
    <w:rsid w:val="00AC6BCD"/>
    <w:rsid w:val="00AC6D63"/>
    <w:rsid w:val="00AC6F7A"/>
    <w:rsid w:val="00AC7812"/>
    <w:rsid w:val="00AC7945"/>
    <w:rsid w:val="00AC79AA"/>
    <w:rsid w:val="00AC79CC"/>
    <w:rsid w:val="00AC7D5E"/>
    <w:rsid w:val="00AC7D89"/>
    <w:rsid w:val="00AD01E9"/>
    <w:rsid w:val="00AD025C"/>
    <w:rsid w:val="00AD06BC"/>
    <w:rsid w:val="00AD09B3"/>
    <w:rsid w:val="00AD0CF7"/>
    <w:rsid w:val="00AD0D14"/>
    <w:rsid w:val="00AD129A"/>
    <w:rsid w:val="00AD21A1"/>
    <w:rsid w:val="00AD25AE"/>
    <w:rsid w:val="00AD2C13"/>
    <w:rsid w:val="00AD2F63"/>
    <w:rsid w:val="00AD37AD"/>
    <w:rsid w:val="00AD386C"/>
    <w:rsid w:val="00AD3B1B"/>
    <w:rsid w:val="00AD3B7C"/>
    <w:rsid w:val="00AD3E01"/>
    <w:rsid w:val="00AD3F5E"/>
    <w:rsid w:val="00AD494E"/>
    <w:rsid w:val="00AD4A7F"/>
    <w:rsid w:val="00AD5283"/>
    <w:rsid w:val="00AD59B1"/>
    <w:rsid w:val="00AD5F24"/>
    <w:rsid w:val="00AD5FE2"/>
    <w:rsid w:val="00AD626F"/>
    <w:rsid w:val="00AD66BE"/>
    <w:rsid w:val="00AD6AD3"/>
    <w:rsid w:val="00AD724E"/>
    <w:rsid w:val="00AD7587"/>
    <w:rsid w:val="00AD7E25"/>
    <w:rsid w:val="00AE0356"/>
    <w:rsid w:val="00AE0B90"/>
    <w:rsid w:val="00AE1529"/>
    <w:rsid w:val="00AE28E4"/>
    <w:rsid w:val="00AE2B5B"/>
    <w:rsid w:val="00AE38E5"/>
    <w:rsid w:val="00AE3A1E"/>
    <w:rsid w:val="00AE3AA3"/>
    <w:rsid w:val="00AE3D37"/>
    <w:rsid w:val="00AE40AD"/>
    <w:rsid w:val="00AE459D"/>
    <w:rsid w:val="00AE4AC3"/>
    <w:rsid w:val="00AE4BCA"/>
    <w:rsid w:val="00AE4E1E"/>
    <w:rsid w:val="00AE578C"/>
    <w:rsid w:val="00AE5F32"/>
    <w:rsid w:val="00AE6B91"/>
    <w:rsid w:val="00AE6CD0"/>
    <w:rsid w:val="00AE6DB4"/>
    <w:rsid w:val="00AE71BE"/>
    <w:rsid w:val="00AE734F"/>
    <w:rsid w:val="00AE74B9"/>
    <w:rsid w:val="00AF0308"/>
    <w:rsid w:val="00AF04D1"/>
    <w:rsid w:val="00AF067A"/>
    <w:rsid w:val="00AF18AB"/>
    <w:rsid w:val="00AF1B53"/>
    <w:rsid w:val="00AF2656"/>
    <w:rsid w:val="00AF27C8"/>
    <w:rsid w:val="00AF294A"/>
    <w:rsid w:val="00AF2DBC"/>
    <w:rsid w:val="00AF2F06"/>
    <w:rsid w:val="00AF3891"/>
    <w:rsid w:val="00AF3E8F"/>
    <w:rsid w:val="00AF4170"/>
    <w:rsid w:val="00AF4FD5"/>
    <w:rsid w:val="00AF5ACD"/>
    <w:rsid w:val="00AF6110"/>
    <w:rsid w:val="00AF63E9"/>
    <w:rsid w:val="00AF6425"/>
    <w:rsid w:val="00AF685D"/>
    <w:rsid w:val="00AF692F"/>
    <w:rsid w:val="00AF6AC6"/>
    <w:rsid w:val="00AF700B"/>
    <w:rsid w:val="00AF70D8"/>
    <w:rsid w:val="00AF7D99"/>
    <w:rsid w:val="00B00611"/>
    <w:rsid w:val="00B00E5D"/>
    <w:rsid w:val="00B013AB"/>
    <w:rsid w:val="00B013E3"/>
    <w:rsid w:val="00B02141"/>
    <w:rsid w:val="00B02353"/>
    <w:rsid w:val="00B03037"/>
    <w:rsid w:val="00B033B6"/>
    <w:rsid w:val="00B03484"/>
    <w:rsid w:val="00B03709"/>
    <w:rsid w:val="00B03719"/>
    <w:rsid w:val="00B03FF2"/>
    <w:rsid w:val="00B04354"/>
    <w:rsid w:val="00B0461C"/>
    <w:rsid w:val="00B04663"/>
    <w:rsid w:val="00B04FD7"/>
    <w:rsid w:val="00B05686"/>
    <w:rsid w:val="00B0575B"/>
    <w:rsid w:val="00B05E94"/>
    <w:rsid w:val="00B0619F"/>
    <w:rsid w:val="00B065B9"/>
    <w:rsid w:val="00B0684A"/>
    <w:rsid w:val="00B0698B"/>
    <w:rsid w:val="00B06BDC"/>
    <w:rsid w:val="00B07703"/>
    <w:rsid w:val="00B07DB8"/>
    <w:rsid w:val="00B101C7"/>
    <w:rsid w:val="00B101E6"/>
    <w:rsid w:val="00B107A7"/>
    <w:rsid w:val="00B10CFA"/>
    <w:rsid w:val="00B10F9E"/>
    <w:rsid w:val="00B11706"/>
    <w:rsid w:val="00B1232A"/>
    <w:rsid w:val="00B12C3D"/>
    <w:rsid w:val="00B12C9E"/>
    <w:rsid w:val="00B12F06"/>
    <w:rsid w:val="00B13013"/>
    <w:rsid w:val="00B130FC"/>
    <w:rsid w:val="00B1450D"/>
    <w:rsid w:val="00B14BB1"/>
    <w:rsid w:val="00B151D0"/>
    <w:rsid w:val="00B154F0"/>
    <w:rsid w:val="00B157A5"/>
    <w:rsid w:val="00B157B6"/>
    <w:rsid w:val="00B15BAF"/>
    <w:rsid w:val="00B15DFC"/>
    <w:rsid w:val="00B16D7F"/>
    <w:rsid w:val="00B16F72"/>
    <w:rsid w:val="00B20CCB"/>
    <w:rsid w:val="00B22148"/>
    <w:rsid w:val="00B22173"/>
    <w:rsid w:val="00B2231F"/>
    <w:rsid w:val="00B2234B"/>
    <w:rsid w:val="00B2283A"/>
    <w:rsid w:val="00B22EB6"/>
    <w:rsid w:val="00B234FF"/>
    <w:rsid w:val="00B238E4"/>
    <w:rsid w:val="00B23A6B"/>
    <w:rsid w:val="00B23C92"/>
    <w:rsid w:val="00B243B0"/>
    <w:rsid w:val="00B24523"/>
    <w:rsid w:val="00B2462E"/>
    <w:rsid w:val="00B249FC"/>
    <w:rsid w:val="00B24CE9"/>
    <w:rsid w:val="00B259DE"/>
    <w:rsid w:val="00B25C8C"/>
    <w:rsid w:val="00B25E47"/>
    <w:rsid w:val="00B26408"/>
    <w:rsid w:val="00B2660D"/>
    <w:rsid w:val="00B268A9"/>
    <w:rsid w:val="00B272C4"/>
    <w:rsid w:val="00B278F9"/>
    <w:rsid w:val="00B27F8A"/>
    <w:rsid w:val="00B30777"/>
    <w:rsid w:val="00B31035"/>
    <w:rsid w:val="00B314CC"/>
    <w:rsid w:val="00B31552"/>
    <w:rsid w:val="00B31556"/>
    <w:rsid w:val="00B316A1"/>
    <w:rsid w:val="00B317E7"/>
    <w:rsid w:val="00B31A96"/>
    <w:rsid w:val="00B31C0F"/>
    <w:rsid w:val="00B32138"/>
    <w:rsid w:val="00B32D05"/>
    <w:rsid w:val="00B32FB1"/>
    <w:rsid w:val="00B335B6"/>
    <w:rsid w:val="00B338FB"/>
    <w:rsid w:val="00B33A0F"/>
    <w:rsid w:val="00B33A57"/>
    <w:rsid w:val="00B34083"/>
    <w:rsid w:val="00B3436E"/>
    <w:rsid w:val="00B34744"/>
    <w:rsid w:val="00B34825"/>
    <w:rsid w:val="00B34C57"/>
    <w:rsid w:val="00B34F90"/>
    <w:rsid w:val="00B34FFF"/>
    <w:rsid w:val="00B35392"/>
    <w:rsid w:val="00B35609"/>
    <w:rsid w:val="00B36174"/>
    <w:rsid w:val="00B36409"/>
    <w:rsid w:val="00B36704"/>
    <w:rsid w:val="00B3678D"/>
    <w:rsid w:val="00B36913"/>
    <w:rsid w:val="00B3693B"/>
    <w:rsid w:val="00B37728"/>
    <w:rsid w:val="00B4020A"/>
    <w:rsid w:val="00B40255"/>
    <w:rsid w:val="00B4041E"/>
    <w:rsid w:val="00B40949"/>
    <w:rsid w:val="00B40F6B"/>
    <w:rsid w:val="00B41077"/>
    <w:rsid w:val="00B4108B"/>
    <w:rsid w:val="00B41B52"/>
    <w:rsid w:val="00B41F28"/>
    <w:rsid w:val="00B42700"/>
    <w:rsid w:val="00B42A2D"/>
    <w:rsid w:val="00B432C6"/>
    <w:rsid w:val="00B4361F"/>
    <w:rsid w:val="00B43C7F"/>
    <w:rsid w:val="00B44F50"/>
    <w:rsid w:val="00B44F9C"/>
    <w:rsid w:val="00B4541C"/>
    <w:rsid w:val="00B45B9A"/>
    <w:rsid w:val="00B45C64"/>
    <w:rsid w:val="00B45DA0"/>
    <w:rsid w:val="00B46770"/>
    <w:rsid w:val="00B46A32"/>
    <w:rsid w:val="00B46B29"/>
    <w:rsid w:val="00B46FE3"/>
    <w:rsid w:val="00B478C2"/>
    <w:rsid w:val="00B47954"/>
    <w:rsid w:val="00B47C01"/>
    <w:rsid w:val="00B5067D"/>
    <w:rsid w:val="00B50765"/>
    <w:rsid w:val="00B50A40"/>
    <w:rsid w:val="00B5124C"/>
    <w:rsid w:val="00B5141B"/>
    <w:rsid w:val="00B51910"/>
    <w:rsid w:val="00B51B18"/>
    <w:rsid w:val="00B51D59"/>
    <w:rsid w:val="00B52BE4"/>
    <w:rsid w:val="00B52E18"/>
    <w:rsid w:val="00B53547"/>
    <w:rsid w:val="00B53597"/>
    <w:rsid w:val="00B537E8"/>
    <w:rsid w:val="00B53818"/>
    <w:rsid w:val="00B53ACD"/>
    <w:rsid w:val="00B543F3"/>
    <w:rsid w:val="00B5462F"/>
    <w:rsid w:val="00B547B8"/>
    <w:rsid w:val="00B5494B"/>
    <w:rsid w:val="00B54A2D"/>
    <w:rsid w:val="00B54BDD"/>
    <w:rsid w:val="00B550D8"/>
    <w:rsid w:val="00B5524F"/>
    <w:rsid w:val="00B5555D"/>
    <w:rsid w:val="00B55970"/>
    <w:rsid w:val="00B55D3E"/>
    <w:rsid w:val="00B5611B"/>
    <w:rsid w:val="00B56D8C"/>
    <w:rsid w:val="00B56DD8"/>
    <w:rsid w:val="00B57C06"/>
    <w:rsid w:val="00B57E3F"/>
    <w:rsid w:val="00B57F5C"/>
    <w:rsid w:val="00B610F4"/>
    <w:rsid w:val="00B61A01"/>
    <w:rsid w:val="00B61F4E"/>
    <w:rsid w:val="00B62590"/>
    <w:rsid w:val="00B62F20"/>
    <w:rsid w:val="00B6386B"/>
    <w:rsid w:val="00B63C36"/>
    <w:rsid w:val="00B6436E"/>
    <w:rsid w:val="00B64409"/>
    <w:rsid w:val="00B646A9"/>
    <w:rsid w:val="00B64EDF"/>
    <w:rsid w:val="00B65834"/>
    <w:rsid w:val="00B65AF3"/>
    <w:rsid w:val="00B6634B"/>
    <w:rsid w:val="00B664B3"/>
    <w:rsid w:val="00B67064"/>
    <w:rsid w:val="00B6729F"/>
    <w:rsid w:val="00B675A0"/>
    <w:rsid w:val="00B676E1"/>
    <w:rsid w:val="00B67A86"/>
    <w:rsid w:val="00B70632"/>
    <w:rsid w:val="00B706E2"/>
    <w:rsid w:val="00B70A8C"/>
    <w:rsid w:val="00B70B6A"/>
    <w:rsid w:val="00B718C8"/>
    <w:rsid w:val="00B71D2D"/>
    <w:rsid w:val="00B71F6D"/>
    <w:rsid w:val="00B720D4"/>
    <w:rsid w:val="00B721B4"/>
    <w:rsid w:val="00B7222D"/>
    <w:rsid w:val="00B7267A"/>
    <w:rsid w:val="00B73788"/>
    <w:rsid w:val="00B73A85"/>
    <w:rsid w:val="00B742DF"/>
    <w:rsid w:val="00B747E4"/>
    <w:rsid w:val="00B74B57"/>
    <w:rsid w:val="00B74F2D"/>
    <w:rsid w:val="00B75148"/>
    <w:rsid w:val="00B754A4"/>
    <w:rsid w:val="00B755ED"/>
    <w:rsid w:val="00B75682"/>
    <w:rsid w:val="00B757F1"/>
    <w:rsid w:val="00B75DB8"/>
    <w:rsid w:val="00B768C2"/>
    <w:rsid w:val="00B76DE1"/>
    <w:rsid w:val="00B773DA"/>
    <w:rsid w:val="00B77BBF"/>
    <w:rsid w:val="00B77D2C"/>
    <w:rsid w:val="00B80569"/>
    <w:rsid w:val="00B80772"/>
    <w:rsid w:val="00B807E3"/>
    <w:rsid w:val="00B80FBD"/>
    <w:rsid w:val="00B81184"/>
    <w:rsid w:val="00B81389"/>
    <w:rsid w:val="00B81855"/>
    <w:rsid w:val="00B81AA6"/>
    <w:rsid w:val="00B81D4D"/>
    <w:rsid w:val="00B82627"/>
    <w:rsid w:val="00B82975"/>
    <w:rsid w:val="00B83298"/>
    <w:rsid w:val="00B8338F"/>
    <w:rsid w:val="00B8358F"/>
    <w:rsid w:val="00B84331"/>
    <w:rsid w:val="00B849CA"/>
    <w:rsid w:val="00B84B6C"/>
    <w:rsid w:val="00B85271"/>
    <w:rsid w:val="00B85BCE"/>
    <w:rsid w:val="00B8624B"/>
    <w:rsid w:val="00B86804"/>
    <w:rsid w:val="00B8693B"/>
    <w:rsid w:val="00B86978"/>
    <w:rsid w:val="00B86AF9"/>
    <w:rsid w:val="00B86FFF"/>
    <w:rsid w:val="00B87493"/>
    <w:rsid w:val="00B8751C"/>
    <w:rsid w:val="00B878BC"/>
    <w:rsid w:val="00B9022C"/>
    <w:rsid w:val="00B9023B"/>
    <w:rsid w:val="00B90461"/>
    <w:rsid w:val="00B90A0B"/>
    <w:rsid w:val="00B90AA7"/>
    <w:rsid w:val="00B90D03"/>
    <w:rsid w:val="00B912FB"/>
    <w:rsid w:val="00B9137B"/>
    <w:rsid w:val="00B91453"/>
    <w:rsid w:val="00B91B89"/>
    <w:rsid w:val="00B9230F"/>
    <w:rsid w:val="00B93311"/>
    <w:rsid w:val="00B93409"/>
    <w:rsid w:val="00B93809"/>
    <w:rsid w:val="00B938DC"/>
    <w:rsid w:val="00B9419D"/>
    <w:rsid w:val="00B9422D"/>
    <w:rsid w:val="00B942A6"/>
    <w:rsid w:val="00B94335"/>
    <w:rsid w:val="00B94879"/>
    <w:rsid w:val="00B94887"/>
    <w:rsid w:val="00B95273"/>
    <w:rsid w:val="00B953AE"/>
    <w:rsid w:val="00B95761"/>
    <w:rsid w:val="00B9655A"/>
    <w:rsid w:val="00B96777"/>
    <w:rsid w:val="00B97205"/>
    <w:rsid w:val="00B978AA"/>
    <w:rsid w:val="00B97BE6"/>
    <w:rsid w:val="00BA0002"/>
    <w:rsid w:val="00BA0033"/>
    <w:rsid w:val="00BA012A"/>
    <w:rsid w:val="00BA0B59"/>
    <w:rsid w:val="00BA0B94"/>
    <w:rsid w:val="00BA0FC7"/>
    <w:rsid w:val="00BA1728"/>
    <w:rsid w:val="00BA17DE"/>
    <w:rsid w:val="00BA1ACD"/>
    <w:rsid w:val="00BA1CB0"/>
    <w:rsid w:val="00BA23CC"/>
    <w:rsid w:val="00BA24E0"/>
    <w:rsid w:val="00BA24EC"/>
    <w:rsid w:val="00BA3359"/>
    <w:rsid w:val="00BA35C7"/>
    <w:rsid w:val="00BA3717"/>
    <w:rsid w:val="00BA38F6"/>
    <w:rsid w:val="00BA40EA"/>
    <w:rsid w:val="00BA4319"/>
    <w:rsid w:val="00BA4DE8"/>
    <w:rsid w:val="00BA56C3"/>
    <w:rsid w:val="00BA659D"/>
    <w:rsid w:val="00BA65E5"/>
    <w:rsid w:val="00BA7903"/>
    <w:rsid w:val="00BA7DB3"/>
    <w:rsid w:val="00BB09DF"/>
    <w:rsid w:val="00BB0D58"/>
    <w:rsid w:val="00BB0E9C"/>
    <w:rsid w:val="00BB0F75"/>
    <w:rsid w:val="00BB10C2"/>
    <w:rsid w:val="00BB110C"/>
    <w:rsid w:val="00BB13D3"/>
    <w:rsid w:val="00BB1BA8"/>
    <w:rsid w:val="00BB2BBC"/>
    <w:rsid w:val="00BB3FC5"/>
    <w:rsid w:val="00BB468F"/>
    <w:rsid w:val="00BB48D2"/>
    <w:rsid w:val="00BB4BCA"/>
    <w:rsid w:val="00BB53D8"/>
    <w:rsid w:val="00BB551D"/>
    <w:rsid w:val="00BB5FCC"/>
    <w:rsid w:val="00BB60A2"/>
    <w:rsid w:val="00BB6262"/>
    <w:rsid w:val="00BB64A6"/>
    <w:rsid w:val="00BB64D6"/>
    <w:rsid w:val="00BB6B54"/>
    <w:rsid w:val="00BB702E"/>
    <w:rsid w:val="00BB7751"/>
    <w:rsid w:val="00BC09C8"/>
    <w:rsid w:val="00BC0A2C"/>
    <w:rsid w:val="00BC116C"/>
    <w:rsid w:val="00BC1BFB"/>
    <w:rsid w:val="00BC1E27"/>
    <w:rsid w:val="00BC2125"/>
    <w:rsid w:val="00BC2261"/>
    <w:rsid w:val="00BC24D8"/>
    <w:rsid w:val="00BC2605"/>
    <w:rsid w:val="00BC2790"/>
    <w:rsid w:val="00BC2B3B"/>
    <w:rsid w:val="00BC3AE4"/>
    <w:rsid w:val="00BC3BF8"/>
    <w:rsid w:val="00BC4008"/>
    <w:rsid w:val="00BC4198"/>
    <w:rsid w:val="00BC4579"/>
    <w:rsid w:val="00BC49B1"/>
    <w:rsid w:val="00BC4ACA"/>
    <w:rsid w:val="00BC4F8B"/>
    <w:rsid w:val="00BC695E"/>
    <w:rsid w:val="00BC6E5B"/>
    <w:rsid w:val="00BC6E8B"/>
    <w:rsid w:val="00BC6EBC"/>
    <w:rsid w:val="00BC7606"/>
    <w:rsid w:val="00BC7D96"/>
    <w:rsid w:val="00BD0BB6"/>
    <w:rsid w:val="00BD11D4"/>
    <w:rsid w:val="00BD13E7"/>
    <w:rsid w:val="00BD165F"/>
    <w:rsid w:val="00BD1940"/>
    <w:rsid w:val="00BD20B7"/>
    <w:rsid w:val="00BD253E"/>
    <w:rsid w:val="00BD25E3"/>
    <w:rsid w:val="00BD260E"/>
    <w:rsid w:val="00BD27DE"/>
    <w:rsid w:val="00BD2853"/>
    <w:rsid w:val="00BD2965"/>
    <w:rsid w:val="00BD2BE2"/>
    <w:rsid w:val="00BD3D24"/>
    <w:rsid w:val="00BD49FD"/>
    <w:rsid w:val="00BD5668"/>
    <w:rsid w:val="00BD666E"/>
    <w:rsid w:val="00BD6786"/>
    <w:rsid w:val="00BD67D8"/>
    <w:rsid w:val="00BD67FF"/>
    <w:rsid w:val="00BD7133"/>
    <w:rsid w:val="00BD7C26"/>
    <w:rsid w:val="00BE02C5"/>
    <w:rsid w:val="00BE054B"/>
    <w:rsid w:val="00BE0854"/>
    <w:rsid w:val="00BE0E2E"/>
    <w:rsid w:val="00BE1650"/>
    <w:rsid w:val="00BE1FB6"/>
    <w:rsid w:val="00BE21AF"/>
    <w:rsid w:val="00BE24E5"/>
    <w:rsid w:val="00BE27F2"/>
    <w:rsid w:val="00BE2A3D"/>
    <w:rsid w:val="00BE2ACF"/>
    <w:rsid w:val="00BE2FE9"/>
    <w:rsid w:val="00BE36E0"/>
    <w:rsid w:val="00BE3CCE"/>
    <w:rsid w:val="00BE48AD"/>
    <w:rsid w:val="00BE48C8"/>
    <w:rsid w:val="00BE491C"/>
    <w:rsid w:val="00BE4D48"/>
    <w:rsid w:val="00BE55AE"/>
    <w:rsid w:val="00BE59A1"/>
    <w:rsid w:val="00BE6AFA"/>
    <w:rsid w:val="00BE6EC8"/>
    <w:rsid w:val="00BE6FA7"/>
    <w:rsid w:val="00BE71AE"/>
    <w:rsid w:val="00BE7465"/>
    <w:rsid w:val="00BE75D0"/>
    <w:rsid w:val="00BF02A3"/>
    <w:rsid w:val="00BF0A89"/>
    <w:rsid w:val="00BF0BA7"/>
    <w:rsid w:val="00BF0BD7"/>
    <w:rsid w:val="00BF0C46"/>
    <w:rsid w:val="00BF1668"/>
    <w:rsid w:val="00BF1CBD"/>
    <w:rsid w:val="00BF20E8"/>
    <w:rsid w:val="00BF2CBC"/>
    <w:rsid w:val="00BF38CD"/>
    <w:rsid w:val="00BF38DC"/>
    <w:rsid w:val="00BF3C1B"/>
    <w:rsid w:val="00BF506C"/>
    <w:rsid w:val="00BF574B"/>
    <w:rsid w:val="00BF5BDD"/>
    <w:rsid w:val="00BF5C35"/>
    <w:rsid w:val="00BF5C7E"/>
    <w:rsid w:val="00BF64CF"/>
    <w:rsid w:val="00BF6C5A"/>
    <w:rsid w:val="00BF71A3"/>
    <w:rsid w:val="00BF748D"/>
    <w:rsid w:val="00BF749F"/>
    <w:rsid w:val="00BF7A2E"/>
    <w:rsid w:val="00BF7A78"/>
    <w:rsid w:val="00BF7E8C"/>
    <w:rsid w:val="00C0018A"/>
    <w:rsid w:val="00C0037D"/>
    <w:rsid w:val="00C003B9"/>
    <w:rsid w:val="00C003BC"/>
    <w:rsid w:val="00C00905"/>
    <w:rsid w:val="00C009EE"/>
    <w:rsid w:val="00C0161E"/>
    <w:rsid w:val="00C01892"/>
    <w:rsid w:val="00C01BBB"/>
    <w:rsid w:val="00C01FD1"/>
    <w:rsid w:val="00C02052"/>
    <w:rsid w:val="00C0249B"/>
    <w:rsid w:val="00C0331F"/>
    <w:rsid w:val="00C03366"/>
    <w:rsid w:val="00C0340B"/>
    <w:rsid w:val="00C035B5"/>
    <w:rsid w:val="00C03865"/>
    <w:rsid w:val="00C04209"/>
    <w:rsid w:val="00C045BF"/>
    <w:rsid w:val="00C045F7"/>
    <w:rsid w:val="00C0464C"/>
    <w:rsid w:val="00C048B5"/>
    <w:rsid w:val="00C04FB8"/>
    <w:rsid w:val="00C051B7"/>
    <w:rsid w:val="00C05276"/>
    <w:rsid w:val="00C05622"/>
    <w:rsid w:val="00C058CB"/>
    <w:rsid w:val="00C05AFE"/>
    <w:rsid w:val="00C05F3F"/>
    <w:rsid w:val="00C06EB8"/>
    <w:rsid w:val="00C07AB6"/>
    <w:rsid w:val="00C07ACB"/>
    <w:rsid w:val="00C106B8"/>
    <w:rsid w:val="00C10A05"/>
    <w:rsid w:val="00C10C52"/>
    <w:rsid w:val="00C1172F"/>
    <w:rsid w:val="00C119A0"/>
    <w:rsid w:val="00C11A92"/>
    <w:rsid w:val="00C11ABD"/>
    <w:rsid w:val="00C11E75"/>
    <w:rsid w:val="00C1201A"/>
    <w:rsid w:val="00C12B05"/>
    <w:rsid w:val="00C12E17"/>
    <w:rsid w:val="00C13089"/>
    <w:rsid w:val="00C13860"/>
    <w:rsid w:val="00C13C90"/>
    <w:rsid w:val="00C14FB2"/>
    <w:rsid w:val="00C16912"/>
    <w:rsid w:val="00C17007"/>
    <w:rsid w:val="00C17304"/>
    <w:rsid w:val="00C176AC"/>
    <w:rsid w:val="00C179FB"/>
    <w:rsid w:val="00C2058B"/>
    <w:rsid w:val="00C20668"/>
    <w:rsid w:val="00C208B8"/>
    <w:rsid w:val="00C2103A"/>
    <w:rsid w:val="00C212B8"/>
    <w:rsid w:val="00C2164B"/>
    <w:rsid w:val="00C21EF9"/>
    <w:rsid w:val="00C220CB"/>
    <w:rsid w:val="00C221C0"/>
    <w:rsid w:val="00C222A1"/>
    <w:rsid w:val="00C222F7"/>
    <w:rsid w:val="00C22397"/>
    <w:rsid w:val="00C224D2"/>
    <w:rsid w:val="00C24314"/>
    <w:rsid w:val="00C24322"/>
    <w:rsid w:val="00C24707"/>
    <w:rsid w:val="00C24792"/>
    <w:rsid w:val="00C24839"/>
    <w:rsid w:val="00C252D7"/>
    <w:rsid w:val="00C25F77"/>
    <w:rsid w:val="00C2629C"/>
    <w:rsid w:val="00C26968"/>
    <w:rsid w:val="00C26C52"/>
    <w:rsid w:val="00C26CE0"/>
    <w:rsid w:val="00C2712A"/>
    <w:rsid w:val="00C27C23"/>
    <w:rsid w:val="00C305FD"/>
    <w:rsid w:val="00C30852"/>
    <w:rsid w:val="00C308F7"/>
    <w:rsid w:val="00C30B6D"/>
    <w:rsid w:val="00C31439"/>
    <w:rsid w:val="00C31808"/>
    <w:rsid w:val="00C31920"/>
    <w:rsid w:val="00C31ACA"/>
    <w:rsid w:val="00C31D03"/>
    <w:rsid w:val="00C3223A"/>
    <w:rsid w:val="00C32458"/>
    <w:rsid w:val="00C32E58"/>
    <w:rsid w:val="00C33331"/>
    <w:rsid w:val="00C33706"/>
    <w:rsid w:val="00C338B8"/>
    <w:rsid w:val="00C33A05"/>
    <w:rsid w:val="00C33A92"/>
    <w:rsid w:val="00C33AB2"/>
    <w:rsid w:val="00C33B39"/>
    <w:rsid w:val="00C33EB3"/>
    <w:rsid w:val="00C33F14"/>
    <w:rsid w:val="00C34D0A"/>
    <w:rsid w:val="00C357EA"/>
    <w:rsid w:val="00C366C6"/>
    <w:rsid w:val="00C36A9F"/>
    <w:rsid w:val="00C36AB9"/>
    <w:rsid w:val="00C36B80"/>
    <w:rsid w:val="00C37666"/>
    <w:rsid w:val="00C379A4"/>
    <w:rsid w:val="00C37B9E"/>
    <w:rsid w:val="00C37CF3"/>
    <w:rsid w:val="00C411E9"/>
    <w:rsid w:val="00C414B7"/>
    <w:rsid w:val="00C417CC"/>
    <w:rsid w:val="00C417F5"/>
    <w:rsid w:val="00C41A12"/>
    <w:rsid w:val="00C41C84"/>
    <w:rsid w:val="00C41E33"/>
    <w:rsid w:val="00C42454"/>
    <w:rsid w:val="00C424DF"/>
    <w:rsid w:val="00C42FAA"/>
    <w:rsid w:val="00C43051"/>
    <w:rsid w:val="00C439BD"/>
    <w:rsid w:val="00C43D57"/>
    <w:rsid w:val="00C441DE"/>
    <w:rsid w:val="00C44D46"/>
    <w:rsid w:val="00C44DED"/>
    <w:rsid w:val="00C4514F"/>
    <w:rsid w:val="00C45289"/>
    <w:rsid w:val="00C45537"/>
    <w:rsid w:val="00C45A26"/>
    <w:rsid w:val="00C45ABA"/>
    <w:rsid w:val="00C45B93"/>
    <w:rsid w:val="00C4684C"/>
    <w:rsid w:val="00C469F2"/>
    <w:rsid w:val="00C46D29"/>
    <w:rsid w:val="00C46E19"/>
    <w:rsid w:val="00C4757B"/>
    <w:rsid w:val="00C47DF2"/>
    <w:rsid w:val="00C500DA"/>
    <w:rsid w:val="00C50CE8"/>
    <w:rsid w:val="00C51591"/>
    <w:rsid w:val="00C515B0"/>
    <w:rsid w:val="00C51702"/>
    <w:rsid w:val="00C517ED"/>
    <w:rsid w:val="00C51C23"/>
    <w:rsid w:val="00C51C57"/>
    <w:rsid w:val="00C51DB8"/>
    <w:rsid w:val="00C52020"/>
    <w:rsid w:val="00C52373"/>
    <w:rsid w:val="00C529CA"/>
    <w:rsid w:val="00C5303F"/>
    <w:rsid w:val="00C53E49"/>
    <w:rsid w:val="00C5412C"/>
    <w:rsid w:val="00C54411"/>
    <w:rsid w:val="00C54633"/>
    <w:rsid w:val="00C54D6E"/>
    <w:rsid w:val="00C54EE3"/>
    <w:rsid w:val="00C552F9"/>
    <w:rsid w:val="00C554D4"/>
    <w:rsid w:val="00C560AC"/>
    <w:rsid w:val="00C564B6"/>
    <w:rsid w:val="00C56C5D"/>
    <w:rsid w:val="00C56D39"/>
    <w:rsid w:val="00C56ED2"/>
    <w:rsid w:val="00C57029"/>
    <w:rsid w:val="00C57155"/>
    <w:rsid w:val="00C600D3"/>
    <w:rsid w:val="00C60588"/>
    <w:rsid w:val="00C607D1"/>
    <w:rsid w:val="00C60A86"/>
    <w:rsid w:val="00C60FBF"/>
    <w:rsid w:val="00C61324"/>
    <w:rsid w:val="00C61B02"/>
    <w:rsid w:val="00C61F1C"/>
    <w:rsid w:val="00C62322"/>
    <w:rsid w:val="00C62AB4"/>
    <w:rsid w:val="00C62F90"/>
    <w:rsid w:val="00C62FFD"/>
    <w:rsid w:val="00C63601"/>
    <w:rsid w:val="00C642F2"/>
    <w:rsid w:val="00C644C4"/>
    <w:rsid w:val="00C6453A"/>
    <w:rsid w:val="00C64825"/>
    <w:rsid w:val="00C64854"/>
    <w:rsid w:val="00C6585F"/>
    <w:rsid w:val="00C65D6D"/>
    <w:rsid w:val="00C66494"/>
    <w:rsid w:val="00C6753B"/>
    <w:rsid w:val="00C676E1"/>
    <w:rsid w:val="00C67FD6"/>
    <w:rsid w:val="00C70370"/>
    <w:rsid w:val="00C70585"/>
    <w:rsid w:val="00C719A2"/>
    <w:rsid w:val="00C71DC7"/>
    <w:rsid w:val="00C72165"/>
    <w:rsid w:val="00C72B8E"/>
    <w:rsid w:val="00C73618"/>
    <w:rsid w:val="00C73A86"/>
    <w:rsid w:val="00C73A8D"/>
    <w:rsid w:val="00C73AB0"/>
    <w:rsid w:val="00C73EF7"/>
    <w:rsid w:val="00C74167"/>
    <w:rsid w:val="00C741D2"/>
    <w:rsid w:val="00C74746"/>
    <w:rsid w:val="00C7486E"/>
    <w:rsid w:val="00C748E9"/>
    <w:rsid w:val="00C75357"/>
    <w:rsid w:val="00C75415"/>
    <w:rsid w:val="00C75741"/>
    <w:rsid w:val="00C757AA"/>
    <w:rsid w:val="00C75804"/>
    <w:rsid w:val="00C7580A"/>
    <w:rsid w:val="00C75BF0"/>
    <w:rsid w:val="00C75D7C"/>
    <w:rsid w:val="00C76624"/>
    <w:rsid w:val="00C774A1"/>
    <w:rsid w:val="00C774F5"/>
    <w:rsid w:val="00C775A0"/>
    <w:rsid w:val="00C77C20"/>
    <w:rsid w:val="00C77D71"/>
    <w:rsid w:val="00C80C41"/>
    <w:rsid w:val="00C80CEF"/>
    <w:rsid w:val="00C80D9A"/>
    <w:rsid w:val="00C819C6"/>
    <w:rsid w:val="00C828B8"/>
    <w:rsid w:val="00C83041"/>
    <w:rsid w:val="00C8428D"/>
    <w:rsid w:val="00C8452A"/>
    <w:rsid w:val="00C84DB3"/>
    <w:rsid w:val="00C850D9"/>
    <w:rsid w:val="00C858FF"/>
    <w:rsid w:val="00C85A3B"/>
    <w:rsid w:val="00C85AE0"/>
    <w:rsid w:val="00C85E30"/>
    <w:rsid w:val="00C86E8E"/>
    <w:rsid w:val="00C8712F"/>
    <w:rsid w:val="00C87AC9"/>
    <w:rsid w:val="00C87AF2"/>
    <w:rsid w:val="00C906C7"/>
    <w:rsid w:val="00C908C6"/>
    <w:rsid w:val="00C90B42"/>
    <w:rsid w:val="00C90FA8"/>
    <w:rsid w:val="00C91074"/>
    <w:rsid w:val="00C9182B"/>
    <w:rsid w:val="00C92242"/>
    <w:rsid w:val="00C92282"/>
    <w:rsid w:val="00C9296C"/>
    <w:rsid w:val="00C92B31"/>
    <w:rsid w:val="00C93315"/>
    <w:rsid w:val="00C93384"/>
    <w:rsid w:val="00C93FD8"/>
    <w:rsid w:val="00C945C2"/>
    <w:rsid w:val="00C946B2"/>
    <w:rsid w:val="00C9475D"/>
    <w:rsid w:val="00C94B1E"/>
    <w:rsid w:val="00C94D48"/>
    <w:rsid w:val="00C95056"/>
    <w:rsid w:val="00C951FD"/>
    <w:rsid w:val="00C95E70"/>
    <w:rsid w:val="00C96518"/>
    <w:rsid w:val="00C96854"/>
    <w:rsid w:val="00C96C50"/>
    <w:rsid w:val="00C970A1"/>
    <w:rsid w:val="00C971E1"/>
    <w:rsid w:val="00C975E6"/>
    <w:rsid w:val="00C97902"/>
    <w:rsid w:val="00C97D48"/>
    <w:rsid w:val="00CA06A4"/>
    <w:rsid w:val="00CA0802"/>
    <w:rsid w:val="00CA1333"/>
    <w:rsid w:val="00CA152B"/>
    <w:rsid w:val="00CA1998"/>
    <w:rsid w:val="00CA19A9"/>
    <w:rsid w:val="00CA1D6E"/>
    <w:rsid w:val="00CA1E51"/>
    <w:rsid w:val="00CA21A9"/>
    <w:rsid w:val="00CA26A8"/>
    <w:rsid w:val="00CA29CF"/>
    <w:rsid w:val="00CA32AF"/>
    <w:rsid w:val="00CA3606"/>
    <w:rsid w:val="00CA3B91"/>
    <w:rsid w:val="00CA3F72"/>
    <w:rsid w:val="00CA43F9"/>
    <w:rsid w:val="00CA4798"/>
    <w:rsid w:val="00CA487E"/>
    <w:rsid w:val="00CA516C"/>
    <w:rsid w:val="00CA56C5"/>
    <w:rsid w:val="00CA5C47"/>
    <w:rsid w:val="00CA5C82"/>
    <w:rsid w:val="00CA62EE"/>
    <w:rsid w:val="00CA63DB"/>
    <w:rsid w:val="00CA657B"/>
    <w:rsid w:val="00CA679A"/>
    <w:rsid w:val="00CA6CBE"/>
    <w:rsid w:val="00CA71DF"/>
    <w:rsid w:val="00CA7414"/>
    <w:rsid w:val="00CA7682"/>
    <w:rsid w:val="00CA79FB"/>
    <w:rsid w:val="00CA7A3C"/>
    <w:rsid w:val="00CA7A75"/>
    <w:rsid w:val="00CA7F28"/>
    <w:rsid w:val="00CA7F39"/>
    <w:rsid w:val="00CB00EA"/>
    <w:rsid w:val="00CB0125"/>
    <w:rsid w:val="00CB029E"/>
    <w:rsid w:val="00CB0768"/>
    <w:rsid w:val="00CB0A1F"/>
    <w:rsid w:val="00CB0E6D"/>
    <w:rsid w:val="00CB131F"/>
    <w:rsid w:val="00CB1465"/>
    <w:rsid w:val="00CB1F29"/>
    <w:rsid w:val="00CB2121"/>
    <w:rsid w:val="00CB21AF"/>
    <w:rsid w:val="00CB21F3"/>
    <w:rsid w:val="00CB2476"/>
    <w:rsid w:val="00CB285B"/>
    <w:rsid w:val="00CB33D0"/>
    <w:rsid w:val="00CB3693"/>
    <w:rsid w:val="00CB372C"/>
    <w:rsid w:val="00CB434C"/>
    <w:rsid w:val="00CB452B"/>
    <w:rsid w:val="00CB4D07"/>
    <w:rsid w:val="00CB4DC2"/>
    <w:rsid w:val="00CB4DCD"/>
    <w:rsid w:val="00CB4E4B"/>
    <w:rsid w:val="00CB4F2D"/>
    <w:rsid w:val="00CB53F8"/>
    <w:rsid w:val="00CB544A"/>
    <w:rsid w:val="00CB58DD"/>
    <w:rsid w:val="00CB5E59"/>
    <w:rsid w:val="00CB5FF4"/>
    <w:rsid w:val="00CB6272"/>
    <w:rsid w:val="00CB64CE"/>
    <w:rsid w:val="00CB64ED"/>
    <w:rsid w:val="00CB6819"/>
    <w:rsid w:val="00CB681A"/>
    <w:rsid w:val="00CB7418"/>
    <w:rsid w:val="00CB7420"/>
    <w:rsid w:val="00CB7C71"/>
    <w:rsid w:val="00CC00C9"/>
    <w:rsid w:val="00CC0168"/>
    <w:rsid w:val="00CC0670"/>
    <w:rsid w:val="00CC1690"/>
    <w:rsid w:val="00CC2306"/>
    <w:rsid w:val="00CC24A2"/>
    <w:rsid w:val="00CC27FE"/>
    <w:rsid w:val="00CC3E11"/>
    <w:rsid w:val="00CC4210"/>
    <w:rsid w:val="00CC42D2"/>
    <w:rsid w:val="00CC4363"/>
    <w:rsid w:val="00CC44FE"/>
    <w:rsid w:val="00CC4B1B"/>
    <w:rsid w:val="00CC4BDC"/>
    <w:rsid w:val="00CC4CEB"/>
    <w:rsid w:val="00CC4DA3"/>
    <w:rsid w:val="00CC5314"/>
    <w:rsid w:val="00CC644D"/>
    <w:rsid w:val="00CC661F"/>
    <w:rsid w:val="00CC665A"/>
    <w:rsid w:val="00CC6679"/>
    <w:rsid w:val="00CC6D87"/>
    <w:rsid w:val="00CC6FB8"/>
    <w:rsid w:val="00CC74A2"/>
    <w:rsid w:val="00CC7708"/>
    <w:rsid w:val="00CC7F93"/>
    <w:rsid w:val="00CD0492"/>
    <w:rsid w:val="00CD0593"/>
    <w:rsid w:val="00CD07DE"/>
    <w:rsid w:val="00CD0CE7"/>
    <w:rsid w:val="00CD1184"/>
    <w:rsid w:val="00CD146B"/>
    <w:rsid w:val="00CD20D4"/>
    <w:rsid w:val="00CD298C"/>
    <w:rsid w:val="00CD2C94"/>
    <w:rsid w:val="00CD2CDC"/>
    <w:rsid w:val="00CD3127"/>
    <w:rsid w:val="00CD4F23"/>
    <w:rsid w:val="00CD5663"/>
    <w:rsid w:val="00CD5A05"/>
    <w:rsid w:val="00CD5B7D"/>
    <w:rsid w:val="00CD5D9A"/>
    <w:rsid w:val="00CD5F3B"/>
    <w:rsid w:val="00CD6E30"/>
    <w:rsid w:val="00CD750A"/>
    <w:rsid w:val="00CD7CDD"/>
    <w:rsid w:val="00CD7E16"/>
    <w:rsid w:val="00CE04A0"/>
    <w:rsid w:val="00CE04BA"/>
    <w:rsid w:val="00CE07A2"/>
    <w:rsid w:val="00CE0C1A"/>
    <w:rsid w:val="00CE15D3"/>
    <w:rsid w:val="00CE1BC5"/>
    <w:rsid w:val="00CE2076"/>
    <w:rsid w:val="00CE2DFB"/>
    <w:rsid w:val="00CE30A7"/>
    <w:rsid w:val="00CE30B0"/>
    <w:rsid w:val="00CE30E6"/>
    <w:rsid w:val="00CE3107"/>
    <w:rsid w:val="00CE3417"/>
    <w:rsid w:val="00CE341F"/>
    <w:rsid w:val="00CE345F"/>
    <w:rsid w:val="00CE34DC"/>
    <w:rsid w:val="00CE3513"/>
    <w:rsid w:val="00CE36DD"/>
    <w:rsid w:val="00CE3F11"/>
    <w:rsid w:val="00CE48B8"/>
    <w:rsid w:val="00CE4BBB"/>
    <w:rsid w:val="00CE4D3C"/>
    <w:rsid w:val="00CE4DB9"/>
    <w:rsid w:val="00CE57FF"/>
    <w:rsid w:val="00CE5899"/>
    <w:rsid w:val="00CE5E98"/>
    <w:rsid w:val="00CE5F30"/>
    <w:rsid w:val="00CE6626"/>
    <w:rsid w:val="00CE6CC6"/>
    <w:rsid w:val="00CE778D"/>
    <w:rsid w:val="00CE79F8"/>
    <w:rsid w:val="00CF04B4"/>
    <w:rsid w:val="00CF0B33"/>
    <w:rsid w:val="00CF1089"/>
    <w:rsid w:val="00CF1186"/>
    <w:rsid w:val="00CF1BDF"/>
    <w:rsid w:val="00CF1D89"/>
    <w:rsid w:val="00CF1EFA"/>
    <w:rsid w:val="00CF20D0"/>
    <w:rsid w:val="00CF2708"/>
    <w:rsid w:val="00CF2C08"/>
    <w:rsid w:val="00CF2F64"/>
    <w:rsid w:val="00CF311A"/>
    <w:rsid w:val="00CF42DF"/>
    <w:rsid w:val="00CF4307"/>
    <w:rsid w:val="00CF4AED"/>
    <w:rsid w:val="00CF5B04"/>
    <w:rsid w:val="00CF5B69"/>
    <w:rsid w:val="00CF5D5B"/>
    <w:rsid w:val="00CF70EE"/>
    <w:rsid w:val="00CF712E"/>
    <w:rsid w:val="00CF71A5"/>
    <w:rsid w:val="00CF7FAF"/>
    <w:rsid w:val="00D007E2"/>
    <w:rsid w:val="00D00E43"/>
    <w:rsid w:val="00D00EEC"/>
    <w:rsid w:val="00D0144C"/>
    <w:rsid w:val="00D01453"/>
    <w:rsid w:val="00D01954"/>
    <w:rsid w:val="00D01C42"/>
    <w:rsid w:val="00D021E9"/>
    <w:rsid w:val="00D02561"/>
    <w:rsid w:val="00D02966"/>
    <w:rsid w:val="00D02C47"/>
    <w:rsid w:val="00D03D4A"/>
    <w:rsid w:val="00D041C8"/>
    <w:rsid w:val="00D04A9D"/>
    <w:rsid w:val="00D04C6C"/>
    <w:rsid w:val="00D051E5"/>
    <w:rsid w:val="00D05245"/>
    <w:rsid w:val="00D05669"/>
    <w:rsid w:val="00D06878"/>
    <w:rsid w:val="00D06C3B"/>
    <w:rsid w:val="00D07120"/>
    <w:rsid w:val="00D074F0"/>
    <w:rsid w:val="00D07FB4"/>
    <w:rsid w:val="00D1027B"/>
    <w:rsid w:val="00D1036E"/>
    <w:rsid w:val="00D108BA"/>
    <w:rsid w:val="00D10B62"/>
    <w:rsid w:val="00D10E7B"/>
    <w:rsid w:val="00D1137B"/>
    <w:rsid w:val="00D12700"/>
    <w:rsid w:val="00D12FF4"/>
    <w:rsid w:val="00D13207"/>
    <w:rsid w:val="00D132D5"/>
    <w:rsid w:val="00D13621"/>
    <w:rsid w:val="00D13E53"/>
    <w:rsid w:val="00D14615"/>
    <w:rsid w:val="00D14C12"/>
    <w:rsid w:val="00D15936"/>
    <w:rsid w:val="00D15A0F"/>
    <w:rsid w:val="00D15C1C"/>
    <w:rsid w:val="00D16051"/>
    <w:rsid w:val="00D16297"/>
    <w:rsid w:val="00D16EF2"/>
    <w:rsid w:val="00D17D9F"/>
    <w:rsid w:val="00D20039"/>
    <w:rsid w:val="00D20461"/>
    <w:rsid w:val="00D20639"/>
    <w:rsid w:val="00D207BE"/>
    <w:rsid w:val="00D207EE"/>
    <w:rsid w:val="00D20B4B"/>
    <w:rsid w:val="00D20B75"/>
    <w:rsid w:val="00D20EF4"/>
    <w:rsid w:val="00D2148E"/>
    <w:rsid w:val="00D218BB"/>
    <w:rsid w:val="00D21A6E"/>
    <w:rsid w:val="00D21FA8"/>
    <w:rsid w:val="00D220EF"/>
    <w:rsid w:val="00D22145"/>
    <w:rsid w:val="00D22B80"/>
    <w:rsid w:val="00D236B7"/>
    <w:rsid w:val="00D23E48"/>
    <w:rsid w:val="00D244BE"/>
    <w:rsid w:val="00D24537"/>
    <w:rsid w:val="00D24B50"/>
    <w:rsid w:val="00D25352"/>
    <w:rsid w:val="00D25410"/>
    <w:rsid w:val="00D25D76"/>
    <w:rsid w:val="00D2617C"/>
    <w:rsid w:val="00D263FE"/>
    <w:rsid w:val="00D2692A"/>
    <w:rsid w:val="00D26F14"/>
    <w:rsid w:val="00D278F4"/>
    <w:rsid w:val="00D27F2D"/>
    <w:rsid w:val="00D300E9"/>
    <w:rsid w:val="00D30118"/>
    <w:rsid w:val="00D3059C"/>
    <w:rsid w:val="00D3090A"/>
    <w:rsid w:val="00D30ACA"/>
    <w:rsid w:val="00D310F3"/>
    <w:rsid w:val="00D315A5"/>
    <w:rsid w:val="00D31D85"/>
    <w:rsid w:val="00D32157"/>
    <w:rsid w:val="00D323F9"/>
    <w:rsid w:val="00D32D36"/>
    <w:rsid w:val="00D3300B"/>
    <w:rsid w:val="00D33C32"/>
    <w:rsid w:val="00D34615"/>
    <w:rsid w:val="00D357C5"/>
    <w:rsid w:val="00D365CB"/>
    <w:rsid w:val="00D373FF"/>
    <w:rsid w:val="00D377B0"/>
    <w:rsid w:val="00D4049E"/>
    <w:rsid w:val="00D40508"/>
    <w:rsid w:val="00D406B2"/>
    <w:rsid w:val="00D41578"/>
    <w:rsid w:val="00D41E77"/>
    <w:rsid w:val="00D4252E"/>
    <w:rsid w:val="00D4281E"/>
    <w:rsid w:val="00D42B82"/>
    <w:rsid w:val="00D43096"/>
    <w:rsid w:val="00D43BC4"/>
    <w:rsid w:val="00D43D89"/>
    <w:rsid w:val="00D43DA7"/>
    <w:rsid w:val="00D43F83"/>
    <w:rsid w:val="00D44715"/>
    <w:rsid w:val="00D459D4"/>
    <w:rsid w:val="00D45DA9"/>
    <w:rsid w:val="00D45FAF"/>
    <w:rsid w:val="00D4610D"/>
    <w:rsid w:val="00D463A2"/>
    <w:rsid w:val="00D46593"/>
    <w:rsid w:val="00D46696"/>
    <w:rsid w:val="00D469D9"/>
    <w:rsid w:val="00D46AB2"/>
    <w:rsid w:val="00D46C90"/>
    <w:rsid w:val="00D46D50"/>
    <w:rsid w:val="00D47815"/>
    <w:rsid w:val="00D501AA"/>
    <w:rsid w:val="00D501FA"/>
    <w:rsid w:val="00D5050B"/>
    <w:rsid w:val="00D510C2"/>
    <w:rsid w:val="00D51647"/>
    <w:rsid w:val="00D516BD"/>
    <w:rsid w:val="00D518A7"/>
    <w:rsid w:val="00D51F0F"/>
    <w:rsid w:val="00D52076"/>
    <w:rsid w:val="00D52283"/>
    <w:rsid w:val="00D526F8"/>
    <w:rsid w:val="00D5276E"/>
    <w:rsid w:val="00D527C8"/>
    <w:rsid w:val="00D53475"/>
    <w:rsid w:val="00D53509"/>
    <w:rsid w:val="00D53637"/>
    <w:rsid w:val="00D5396D"/>
    <w:rsid w:val="00D53CE6"/>
    <w:rsid w:val="00D54840"/>
    <w:rsid w:val="00D5499F"/>
    <w:rsid w:val="00D552EE"/>
    <w:rsid w:val="00D55760"/>
    <w:rsid w:val="00D557F0"/>
    <w:rsid w:val="00D55CE4"/>
    <w:rsid w:val="00D55F0F"/>
    <w:rsid w:val="00D5648E"/>
    <w:rsid w:val="00D56693"/>
    <w:rsid w:val="00D56B70"/>
    <w:rsid w:val="00D57039"/>
    <w:rsid w:val="00D57180"/>
    <w:rsid w:val="00D573EC"/>
    <w:rsid w:val="00D577B7"/>
    <w:rsid w:val="00D57A3C"/>
    <w:rsid w:val="00D57B11"/>
    <w:rsid w:val="00D57C43"/>
    <w:rsid w:val="00D60805"/>
    <w:rsid w:val="00D60809"/>
    <w:rsid w:val="00D61320"/>
    <w:rsid w:val="00D61981"/>
    <w:rsid w:val="00D620DD"/>
    <w:rsid w:val="00D62A18"/>
    <w:rsid w:val="00D62DB6"/>
    <w:rsid w:val="00D636D3"/>
    <w:rsid w:val="00D644C2"/>
    <w:rsid w:val="00D64835"/>
    <w:rsid w:val="00D6561C"/>
    <w:rsid w:val="00D656EB"/>
    <w:rsid w:val="00D65F20"/>
    <w:rsid w:val="00D66BA4"/>
    <w:rsid w:val="00D6731D"/>
    <w:rsid w:val="00D67789"/>
    <w:rsid w:val="00D679FD"/>
    <w:rsid w:val="00D701E8"/>
    <w:rsid w:val="00D71026"/>
    <w:rsid w:val="00D713AF"/>
    <w:rsid w:val="00D7149A"/>
    <w:rsid w:val="00D720DF"/>
    <w:rsid w:val="00D72124"/>
    <w:rsid w:val="00D7250F"/>
    <w:rsid w:val="00D727F0"/>
    <w:rsid w:val="00D72A83"/>
    <w:rsid w:val="00D72BF1"/>
    <w:rsid w:val="00D73385"/>
    <w:rsid w:val="00D734A3"/>
    <w:rsid w:val="00D73EDD"/>
    <w:rsid w:val="00D74262"/>
    <w:rsid w:val="00D749C1"/>
    <w:rsid w:val="00D74D67"/>
    <w:rsid w:val="00D74FD3"/>
    <w:rsid w:val="00D7506D"/>
    <w:rsid w:val="00D75DAF"/>
    <w:rsid w:val="00D76ED3"/>
    <w:rsid w:val="00D771FD"/>
    <w:rsid w:val="00D77815"/>
    <w:rsid w:val="00D7796D"/>
    <w:rsid w:val="00D800F7"/>
    <w:rsid w:val="00D808E2"/>
    <w:rsid w:val="00D80AA0"/>
    <w:rsid w:val="00D80ABF"/>
    <w:rsid w:val="00D80B1A"/>
    <w:rsid w:val="00D8111F"/>
    <w:rsid w:val="00D818D0"/>
    <w:rsid w:val="00D818DF"/>
    <w:rsid w:val="00D81B18"/>
    <w:rsid w:val="00D822CD"/>
    <w:rsid w:val="00D82B36"/>
    <w:rsid w:val="00D830B7"/>
    <w:rsid w:val="00D83208"/>
    <w:rsid w:val="00D83541"/>
    <w:rsid w:val="00D8435E"/>
    <w:rsid w:val="00D84563"/>
    <w:rsid w:val="00D8466B"/>
    <w:rsid w:val="00D8487E"/>
    <w:rsid w:val="00D84D05"/>
    <w:rsid w:val="00D856AF"/>
    <w:rsid w:val="00D85763"/>
    <w:rsid w:val="00D8659B"/>
    <w:rsid w:val="00D866A4"/>
    <w:rsid w:val="00D86757"/>
    <w:rsid w:val="00D87453"/>
    <w:rsid w:val="00D874F4"/>
    <w:rsid w:val="00D87740"/>
    <w:rsid w:val="00D87BE9"/>
    <w:rsid w:val="00D87C14"/>
    <w:rsid w:val="00D87D94"/>
    <w:rsid w:val="00D9052B"/>
    <w:rsid w:val="00D91390"/>
    <w:rsid w:val="00D91444"/>
    <w:rsid w:val="00D91F6E"/>
    <w:rsid w:val="00D92148"/>
    <w:rsid w:val="00D92A3A"/>
    <w:rsid w:val="00D92BBC"/>
    <w:rsid w:val="00D92C8D"/>
    <w:rsid w:val="00D93A16"/>
    <w:rsid w:val="00D93B28"/>
    <w:rsid w:val="00D93C1B"/>
    <w:rsid w:val="00D945AB"/>
    <w:rsid w:val="00D9496D"/>
    <w:rsid w:val="00D9500A"/>
    <w:rsid w:val="00D95AD4"/>
    <w:rsid w:val="00D96426"/>
    <w:rsid w:val="00D96BDB"/>
    <w:rsid w:val="00D96C60"/>
    <w:rsid w:val="00D96DBC"/>
    <w:rsid w:val="00D96E5F"/>
    <w:rsid w:val="00D96ED8"/>
    <w:rsid w:val="00D97252"/>
    <w:rsid w:val="00D97586"/>
    <w:rsid w:val="00D97CAF"/>
    <w:rsid w:val="00D97F9A"/>
    <w:rsid w:val="00DA004C"/>
    <w:rsid w:val="00DA0768"/>
    <w:rsid w:val="00DA076C"/>
    <w:rsid w:val="00DA0D61"/>
    <w:rsid w:val="00DA0E3C"/>
    <w:rsid w:val="00DA0E91"/>
    <w:rsid w:val="00DA161A"/>
    <w:rsid w:val="00DA1CD0"/>
    <w:rsid w:val="00DA2746"/>
    <w:rsid w:val="00DA32A5"/>
    <w:rsid w:val="00DA3771"/>
    <w:rsid w:val="00DA3E2F"/>
    <w:rsid w:val="00DA4258"/>
    <w:rsid w:val="00DA43A0"/>
    <w:rsid w:val="00DA4850"/>
    <w:rsid w:val="00DA4968"/>
    <w:rsid w:val="00DA5548"/>
    <w:rsid w:val="00DA5921"/>
    <w:rsid w:val="00DA59E1"/>
    <w:rsid w:val="00DA5A94"/>
    <w:rsid w:val="00DA5C2E"/>
    <w:rsid w:val="00DA6A04"/>
    <w:rsid w:val="00DA6C16"/>
    <w:rsid w:val="00DA75D5"/>
    <w:rsid w:val="00DA767F"/>
    <w:rsid w:val="00DA7727"/>
    <w:rsid w:val="00DA7A46"/>
    <w:rsid w:val="00DA7A60"/>
    <w:rsid w:val="00DA7CD5"/>
    <w:rsid w:val="00DA7EFD"/>
    <w:rsid w:val="00DB031B"/>
    <w:rsid w:val="00DB0324"/>
    <w:rsid w:val="00DB061A"/>
    <w:rsid w:val="00DB06B5"/>
    <w:rsid w:val="00DB0867"/>
    <w:rsid w:val="00DB14EB"/>
    <w:rsid w:val="00DB1BBE"/>
    <w:rsid w:val="00DB2355"/>
    <w:rsid w:val="00DB293D"/>
    <w:rsid w:val="00DB3310"/>
    <w:rsid w:val="00DB3367"/>
    <w:rsid w:val="00DB38DC"/>
    <w:rsid w:val="00DB3BB4"/>
    <w:rsid w:val="00DB3C4D"/>
    <w:rsid w:val="00DB40E4"/>
    <w:rsid w:val="00DB4403"/>
    <w:rsid w:val="00DB4543"/>
    <w:rsid w:val="00DB45AB"/>
    <w:rsid w:val="00DB4717"/>
    <w:rsid w:val="00DB5F6C"/>
    <w:rsid w:val="00DB6699"/>
    <w:rsid w:val="00DB6CDB"/>
    <w:rsid w:val="00DB6F32"/>
    <w:rsid w:val="00DB766C"/>
    <w:rsid w:val="00DB7FDD"/>
    <w:rsid w:val="00DC00EA"/>
    <w:rsid w:val="00DC0A3E"/>
    <w:rsid w:val="00DC0BFE"/>
    <w:rsid w:val="00DC0DB1"/>
    <w:rsid w:val="00DC0F02"/>
    <w:rsid w:val="00DC0F8D"/>
    <w:rsid w:val="00DC1325"/>
    <w:rsid w:val="00DC139F"/>
    <w:rsid w:val="00DC17A7"/>
    <w:rsid w:val="00DC19DA"/>
    <w:rsid w:val="00DC1FBF"/>
    <w:rsid w:val="00DC2132"/>
    <w:rsid w:val="00DC2284"/>
    <w:rsid w:val="00DC2D04"/>
    <w:rsid w:val="00DC2EB4"/>
    <w:rsid w:val="00DC3294"/>
    <w:rsid w:val="00DC38AC"/>
    <w:rsid w:val="00DC3CA4"/>
    <w:rsid w:val="00DC3E76"/>
    <w:rsid w:val="00DC4730"/>
    <w:rsid w:val="00DC5892"/>
    <w:rsid w:val="00DC5B96"/>
    <w:rsid w:val="00DC5C0D"/>
    <w:rsid w:val="00DC5CF4"/>
    <w:rsid w:val="00DC6158"/>
    <w:rsid w:val="00DC746E"/>
    <w:rsid w:val="00DD01CA"/>
    <w:rsid w:val="00DD02A5"/>
    <w:rsid w:val="00DD02F4"/>
    <w:rsid w:val="00DD043A"/>
    <w:rsid w:val="00DD13A7"/>
    <w:rsid w:val="00DD245C"/>
    <w:rsid w:val="00DD295D"/>
    <w:rsid w:val="00DD2CE1"/>
    <w:rsid w:val="00DD2E0D"/>
    <w:rsid w:val="00DD2F1F"/>
    <w:rsid w:val="00DD302B"/>
    <w:rsid w:val="00DD3A13"/>
    <w:rsid w:val="00DD3CA5"/>
    <w:rsid w:val="00DD3E55"/>
    <w:rsid w:val="00DD4D92"/>
    <w:rsid w:val="00DD552F"/>
    <w:rsid w:val="00DD5565"/>
    <w:rsid w:val="00DD5A48"/>
    <w:rsid w:val="00DD5A72"/>
    <w:rsid w:val="00DD5AA1"/>
    <w:rsid w:val="00DD5BF3"/>
    <w:rsid w:val="00DD60FE"/>
    <w:rsid w:val="00DD63AC"/>
    <w:rsid w:val="00DD6621"/>
    <w:rsid w:val="00DD7137"/>
    <w:rsid w:val="00DD714B"/>
    <w:rsid w:val="00DD742C"/>
    <w:rsid w:val="00DD7491"/>
    <w:rsid w:val="00DD74F3"/>
    <w:rsid w:val="00DD7D39"/>
    <w:rsid w:val="00DE03A0"/>
    <w:rsid w:val="00DE077F"/>
    <w:rsid w:val="00DE0EB9"/>
    <w:rsid w:val="00DE1A4D"/>
    <w:rsid w:val="00DE1C0E"/>
    <w:rsid w:val="00DE2293"/>
    <w:rsid w:val="00DE2953"/>
    <w:rsid w:val="00DE2D56"/>
    <w:rsid w:val="00DE2DB1"/>
    <w:rsid w:val="00DE4010"/>
    <w:rsid w:val="00DE4210"/>
    <w:rsid w:val="00DE43BC"/>
    <w:rsid w:val="00DE4449"/>
    <w:rsid w:val="00DE4578"/>
    <w:rsid w:val="00DE4812"/>
    <w:rsid w:val="00DE4C30"/>
    <w:rsid w:val="00DE4D24"/>
    <w:rsid w:val="00DE4DA8"/>
    <w:rsid w:val="00DE51B4"/>
    <w:rsid w:val="00DE53DA"/>
    <w:rsid w:val="00DE57C5"/>
    <w:rsid w:val="00DE5E6A"/>
    <w:rsid w:val="00DE5FD9"/>
    <w:rsid w:val="00DE61F8"/>
    <w:rsid w:val="00DE68AD"/>
    <w:rsid w:val="00DF0144"/>
    <w:rsid w:val="00DF0155"/>
    <w:rsid w:val="00DF04EE"/>
    <w:rsid w:val="00DF08AE"/>
    <w:rsid w:val="00DF0997"/>
    <w:rsid w:val="00DF1E48"/>
    <w:rsid w:val="00DF1F1E"/>
    <w:rsid w:val="00DF2502"/>
    <w:rsid w:val="00DF2BD1"/>
    <w:rsid w:val="00DF33E4"/>
    <w:rsid w:val="00DF34EF"/>
    <w:rsid w:val="00DF3743"/>
    <w:rsid w:val="00DF38CB"/>
    <w:rsid w:val="00DF3BDE"/>
    <w:rsid w:val="00DF3E35"/>
    <w:rsid w:val="00DF42E0"/>
    <w:rsid w:val="00DF5A85"/>
    <w:rsid w:val="00DF5B46"/>
    <w:rsid w:val="00DF5B56"/>
    <w:rsid w:val="00DF6076"/>
    <w:rsid w:val="00DF6326"/>
    <w:rsid w:val="00DF636D"/>
    <w:rsid w:val="00DF63EF"/>
    <w:rsid w:val="00DF6935"/>
    <w:rsid w:val="00DF6AB3"/>
    <w:rsid w:val="00DF718E"/>
    <w:rsid w:val="00DF7D84"/>
    <w:rsid w:val="00E004BA"/>
    <w:rsid w:val="00E00C71"/>
    <w:rsid w:val="00E00EAA"/>
    <w:rsid w:val="00E0103C"/>
    <w:rsid w:val="00E0143B"/>
    <w:rsid w:val="00E01934"/>
    <w:rsid w:val="00E01BAC"/>
    <w:rsid w:val="00E01ECD"/>
    <w:rsid w:val="00E0240A"/>
    <w:rsid w:val="00E0274F"/>
    <w:rsid w:val="00E02814"/>
    <w:rsid w:val="00E028BC"/>
    <w:rsid w:val="00E02B8B"/>
    <w:rsid w:val="00E02C30"/>
    <w:rsid w:val="00E02D97"/>
    <w:rsid w:val="00E02FD4"/>
    <w:rsid w:val="00E0331B"/>
    <w:rsid w:val="00E0339C"/>
    <w:rsid w:val="00E03993"/>
    <w:rsid w:val="00E03A90"/>
    <w:rsid w:val="00E03C22"/>
    <w:rsid w:val="00E03ED5"/>
    <w:rsid w:val="00E03F63"/>
    <w:rsid w:val="00E04491"/>
    <w:rsid w:val="00E044AB"/>
    <w:rsid w:val="00E05508"/>
    <w:rsid w:val="00E059B8"/>
    <w:rsid w:val="00E05A10"/>
    <w:rsid w:val="00E06243"/>
    <w:rsid w:val="00E06853"/>
    <w:rsid w:val="00E068D6"/>
    <w:rsid w:val="00E07169"/>
    <w:rsid w:val="00E071D5"/>
    <w:rsid w:val="00E07358"/>
    <w:rsid w:val="00E073C6"/>
    <w:rsid w:val="00E07828"/>
    <w:rsid w:val="00E0783F"/>
    <w:rsid w:val="00E109C1"/>
    <w:rsid w:val="00E10DC7"/>
    <w:rsid w:val="00E11282"/>
    <w:rsid w:val="00E11807"/>
    <w:rsid w:val="00E11863"/>
    <w:rsid w:val="00E11BA4"/>
    <w:rsid w:val="00E11C55"/>
    <w:rsid w:val="00E11D0F"/>
    <w:rsid w:val="00E11DA7"/>
    <w:rsid w:val="00E11DF4"/>
    <w:rsid w:val="00E124C4"/>
    <w:rsid w:val="00E12F0C"/>
    <w:rsid w:val="00E1364B"/>
    <w:rsid w:val="00E136BF"/>
    <w:rsid w:val="00E13C52"/>
    <w:rsid w:val="00E14E5F"/>
    <w:rsid w:val="00E15026"/>
    <w:rsid w:val="00E1505C"/>
    <w:rsid w:val="00E152DD"/>
    <w:rsid w:val="00E157D3"/>
    <w:rsid w:val="00E15A4F"/>
    <w:rsid w:val="00E15CA3"/>
    <w:rsid w:val="00E15DC1"/>
    <w:rsid w:val="00E162A4"/>
    <w:rsid w:val="00E162D7"/>
    <w:rsid w:val="00E16443"/>
    <w:rsid w:val="00E16569"/>
    <w:rsid w:val="00E16694"/>
    <w:rsid w:val="00E1688C"/>
    <w:rsid w:val="00E172C5"/>
    <w:rsid w:val="00E17E8E"/>
    <w:rsid w:val="00E20955"/>
    <w:rsid w:val="00E20995"/>
    <w:rsid w:val="00E20D77"/>
    <w:rsid w:val="00E20DCA"/>
    <w:rsid w:val="00E20E33"/>
    <w:rsid w:val="00E21877"/>
    <w:rsid w:val="00E219CB"/>
    <w:rsid w:val="00E220B0"/>
    <w:rsid w:val="00E220C6"/>
    <w:rsid w:val="00E22665"/>
    <w:rsid w:val="00E2293B"/>
    <w:rsid w:val="00E22D51"/>
    <w:rsid w:val="00E231BB"/>
    <w:rsid w:val="00E233E7"/>
    <w:rsid w:val="00E23804"/>
    <w:rsid w:val="00E24799"/>
    <w:rsid w:val="00E2486C"/>
    <w:rsid w:val="00E24906"/>
    <w:rsid w:val="00E2493A"/>
    <w:rsid w:val="00E24DF8"/>
    <w:rsid w:val="00E24E16"/>
    <w:rsid w:val="00E24FB5"/>
    <w:rsid w:val="00E25BC0"/>
    <w:rsid w:val="00E25E05"/>
    <w:rsid w:val="00E2640B"/>
    <w:rsid w:val="00E2647E"/>
    <w:rsid w:val="00E26810"/>
    <w:rsid w:val="00E276A9"/>
    <w:rsid w:val="00E27806"/>
    <w:rsid w:val="00E30029"/>
    <w:rsid w:val="00E30499"/>
    <w:rsid w:val="00E30B51"/>
    <w:rsid w:val="00E30B8E"/>
    <w:rsid w:val="00E31290"/>
    <w:rsid w:val="00E31391"/>
    <w:rsid w:val="00E318B8"/>
    <w:rsid w:val="00E324BB"/>
    <w:rsid w:val="00E32BBF"/>
    <w:rsid w:val="00E33769"/>
    <w:rsid w:val="00E339F0"/>
    <w:rsid w:val="00E344CB"/>
    <w:rsid w:val="00E34796"/>
    <w:rsid w:val="00E34B1D"/>
    <w:rsid w:val="00E34D8C"/>
    <w:rsid w:val="00E35E8B"/>
    <w:rsid w:val="00E37424"/>
    <w:rsid w:val="00E375C1"/>
    <w:rsid w:val="00E377E8"/>
    <w:rsid w:val="00E37821"/>
    <w:rsid w:val="00E37B7F"/>
    <w:rsid w:val="00E37F4B"/>
    <w:rsid w:val="00E37FE9"/>
    <w:rsid w:val="00E40205"/>
    <w:rsid w:val="00E40444"/>
    <w:rsid w:val="00E404BC"/>
    <w:rsid w:val="00E4112B"/>
    <w:rsid w:val="00E415AE"/>
    <w:rsid w:val="00E415B1"/>
    <w:rsid w:val="00E416FC"/>
    <w:rsid w:val="00E41E0A"/>
    <w:rsid w:val="00E41F43"/>
    <w:rsid w:val="00E427F0"/>
    <w:rsid w:val="00E42926"/>
    <w:rsid w:val="00E42C88"/>
    <w:rsid w:val="00E4300A"/>
    <w:rsid w:val="00E43453"/>
    <w:rsid w:val="00E43464"/>
    <w:rsid w:val="00E43A9B"/>
    <w:rsid w:val="00E43C11"/>
    <w:rsid w:val="00E44270"/>
    <w:rsid w:val="00E44353"/>
    <w:rsid w:val="00E44472"/>
    <w:rsid w:val="00E44E3E"/>
    <w:rsid w:val="00E45418"/>
    <w:rsid w:val="00E45EF9"/>
    <w:rsid w:val="00E46346"/>
    <w:rsid w:val="00E4688F"/>
    <w:rsid w:val="00E477EE"/>
    <w:rsid w:val="00E47A69"/>
    <w:rsid w:val="00E50A41"/>
    <w:rsid w:val="00E50A47"/>
    <w:rsid w:val="00E50B87"/>
    <w:rsid w:val="00E50C35"/>
    <w:rsid w:val="00E50F1A"/>
    <w:rsid w:val="00E51919"/>
    <w:rsid w:val="00E519AC"/>
    <w:rsid w:val="00E521A6"/>
    <w:rsid w:val="00E5292C"/>
    <w:rsid w:val="00E52CF0"/>
    <w:rsid w:val="00E532C7"/>
    <w:rsid w:val="00E53559"/>
    <w:rsid w:val="00E538D4"/>
    <w:rsid w:val="00E53A58"/>
    <w:rsid w:val="00E53A83"/>
    <w:rsid w:val="00E53EA8"/>
    <w:rsid w:val="00E54B77"/>
    <w:rsid w:val="00E54D00"/>
    <w:rsid w:val="00E54F7A"/>
    <w:rsid w:val="00E55696"/>
    <w:rsid w:val="00E556F7"/>
    <w:rsid w:val="00E55B4F"/>
    <w:rsid w:val="00E562EA"/>
    <w:rsid w:val="00E56347"/>
    <w:rsid w:val="00E56410"/>
    <w:rsid w:val="00E56528"/>
    <w:rsid w:val="00E566D2"/>
    <w:rsid w:val="00E571BB"/>
    <w:rsid w:val="00E57CF9"/>
    <w:rsid w:val="00E57F7D"/>
    <w:rsid w:val="00E57F8D"/>
    <w:rsid w:val="00E60147"/>
    <w:rsid w:val="00E60385"/>
    <w:rsid w:val="00E603B9"/>
    <w:rsid w:val="00E60430"/>
    <w:rsid w:val="00E60774"/>
    <w:rsid w:val="00E6086D"/>
    <w:rsid w:val="00E6092E"/>
    <w:rsid w:val="00E60B84"/>
    <w:rsid w:val="00E62740"/>
    <w:rsid w:val="00E631AB"/>
    <w:rsid w:val="00E63760"/>
    <w:rsid w:val="00E6383D"/>
    <w:rsid w:val="00E638A3"/>
    <w:rsid w:val="00E63E86"/>
    <w:rsid w:val="00E6463E"/>
    <w:rsid w:val="00E64B24"/>
    <w:rsid w:val="00E652D3"/>
    <w:rsid w:val="00E655E8"/>
    <w:rsid w:val="00E666B9"/>
    <w:rsid w:val="00E6697E"/>
    <w:rsid w:val="00E66A48"/>
    <w:rsid w:val="00E66F79"/>
    <w:rsid w:val="00E67128"/>
    <w:rsid w:val="00E70654"/>
    <w:rsid w:val="00E7095C"/>
    <w:rsid w:val="00E72A82"/>
    <w:rsid w:val="00E74435"/>
    <w:rsid w:val="00E74F46"/>
    <w:rsid w:val="00E75236"/>
    <w:rsid w:val="00E758AD"/>
    <w:rsid w:val="00E760E6"/>
    <w:rsid w:val="00E76430"/>
    <w:rsid w:val="00E767D3"/>
    <w:rsid w:val="00E76E17"/>
    <w:rsid w:val="00E778FA"/>
    <w:rsid w:val="00E77D4E"/>
    <w:rsid w:val="00E77EE5"/>
    <w:rsid w:val="00E80291"/>
    <w:rsid w:val="00E80666"/>
    <w:rsid w:val="00E80898"/>
    <w:rsid w:val="00E80AF8"/>
    <w:rsid w:val="00E81119"/>
    <w:rsid w:val="00E8119C"/>
    <w:rsid w:val="00E8186C"/>
    <w:rsid w:val="00E81B1A"/>
    <w:rsid w:val="00E8210C"/>
    <w:rsid w:val="00E829CA"/>
    <w:rsid w:val="00E82B73"/>
    <w:rsid w:val="00E83BC7"/>
    <w:rsid w:val="00E842D7"/>
    <w:rsid w:val="00E84A2D"/>
    <w:rsid w:val="00E8509A"/>
    <w:rsid w:val="00E8529E"/>
    <w:rsid w:val="00E8583E"/>
    <w:rsid w:val="00E85E3F"/>
    <w:rsid w:val="00E85EF5"/>
    <w:rsid w:val="00E860BF"/>
    <w:rsid w:val="00E864A7"/>
    <w:rsid w:val="00E8726C"/>
    <w:rsid w:val="00E874B0"/>
    <w:rsid w:val="00E874FD"/>
    <w:rsid w:val="00E875C5"/>
    <w:rsid w:val="00E877F6"/>
    <w:rsid w:val="00E8782F"/>
    <w:rsid w:val="00E90685"/>
    <w:rsid w:val="00E909CF"/>
    <w:rsid w:val="00E90A5D"/>
    <w:rsid w:val="00E90B49"/>
    <w:rsid w:val="00E90BD2"/>
    <w:rsid w:val="00E90F57"/>
    <w:rsid w:val="00E91167"/>
    <w:rsid w:val="00E91860"/>
    <w:rsid w:val="00E91C12"/>
    <w:rsid w:val="00E91E5B"/>
    <w:rsid w:val="00E91F4B"/>
    <w:rsid w:val="00E92524"/>
    <w:rsid w:val="00E9396E"/>
    <w:rsid w:val="00E93E01"/>
    <w:rsid w:val="00E9445E"/>
    <w:rsid w:val="00E9460B"/>
    <w:rsid w:val="00E94E50"/>
    <w:rsid w:val="00E94FC9"/>
    <w:rsid w:val="00E952AF"/>
    <w:rsid w:val="00E954B7"/>
    <w:rsid w:val="00E95AA1"/>
    <w:rsid w:val="00E95CEB"/>
    <w:rsid w:val="00E96CCA"/>
    <w:rsid w:val="00E96E58"/>
    <w:rsid w:val="00E96FDB"/>
    <w:rsid w:val="00E976AC"/>
    <w:rsid w:val="00E97C3D"/>
    <w:rsid w:val="00E97CF8"/>
    <w:rsid w:val="00EA0075"/>
    <w:rsid w:val="00EA059C"/>
    <w:rsid w:val="00EA107B"/>
    <w:rsid w:val="00EA11D5"/>
    <w:rsid w:val="00EA1690"/>
    <w:rsid w:val="00EA20B2"/>
    <w:rsid w:val="00EA2328"/>
    <w:rsid w:val="00EA23F6"/>
    <w:rsid w:val="00EA2A96"/>
    <w:rsid w:val="00EA2E87"/>
    <w:rsid w:val="00EA303A"/>
    <w:rsid w:val="00EA3702"/>
    <w:rsid w:val="00EA40A6"/>
    <w:rsid w:val="00EA4232"/>
    <w:rsid w:val="00EA43AA"/>
    <w:rsid w:val="00EA43EE"/>
    <w:rsid w:val="00EA478E"/>
    <w:rsid w:val="00EA47E4"/>
    <w:rsid w:val="00EA4D40"/>
    <w:rsid w:val="00EA51FA"/>
    <w:rsid w:val="00EA587F"/>
    <w:rsid w:val="00EA5D4A"/>
    <w:rsid w:val="00EA63C3"/>
    <w:rsid w:val="00EA6BA8"/>
    <w:rsid w:val="00EB015D"/>
    <w:rsid w:val="00EB0354"/>
    <w:rsid w:val="00EB0720"/>
    <w:rsid w:val="00EB0BE2"/>
    <w:rsid w:val="00EB0E5A"/>
    <w:rsid w:val="00EB10AC"/>
    <w:rsid w:val="00EB196F"/>
    <w:rsid w:val="00EB218F"/>
    <w:rsid w:val="00EB2653"/>
    <w:rsid w:val="00EB3120"/>
    <w:rsid w:val="00EB3CE5"/>
    <w:rsid w:val="00EB47C0"/>
    <w:rsid w:val="00EB4A21"/>
    <w:rsid w:val="00EB4A2B"/>
    <w:rsid w:val="00EB506B"/>
    <w:rsid w:val="00EB50A1"/>
    <w:rsid w:val="00EB5A97"/>
    <w:rsid w:val="00EB6636"/>
    <w:rsid w:val="00EB67A9"/>
    <w:rsid w:val="00EB6880"/>
    <w:rsid w:val="00EB69A1"/>
    <w:rsid w:val="00EB6D31"/>
    <w:rsid w:val="00EB7061"/>
    <w:rsid w:val="00EB7A93"/>
    <w:rsid w:val="00EB7CE4"/>
    <w:rsid w:val="00EB7CF4"/>
    <w:rsid w:val="00EB7F46"/>
    <w:rsid w:val="00EC06CC"/>
    <w:rsid w:val="00EC16F1"/>
    <w:rsid w:val="00EC1AA4"/>
    <w:rsid w:val="00EC282D"/>
    <w:rsid w:val="00EC3573"/>
    <w:rsid w:val="00EC412E"/>
    <w:rsid w:val="00EC419F"/>
    <w:rsid w:val="00EC42C2"/>
    <w:rsid w:val="00EC518D"/>
    <w:rsid w:val="00EC54F8"/>
    <w:rsid w:val="00EC5791"/>
    <w:rsid w:val="00EC57C6"/>
    <w:rsid w:val="00EC6C28"/>
    <w:rsid w:val="00EC6D0E"/>
    <w:rsid w:val="00EC71CD"/>
    <w:rsid w:val="00EC76F3"/>
    <w:rsid w:val="00EC79FA"/>
    <w:rsid w:val="00EC7D61"/>
    <w:rsid w:val="00EC7F4F"/>
    <w:rsid w:val="00ED0257"/>
    <w:rsid w:val="00ED04E0"/>
    <w:rsid w:val="00ED05D6"/>
    <w:rsid w:val="00ED060E"/>
    <w:rsid w:val="00ED0C6F"/>
    <w:rsid w:val="00ED0D88"/>
    <w:rsid w:val="00ED1020"/>
    <w:rsid w:val="00ED130C"/>
    <w:rsid w:val="00ED13D1"/>
    <w:rsid w:val="00ED1465"/>
    <w:rsid w:val="00ED163C"/>
    <w:rsid w:val="00ED197D"/>
    <w:rsid w:val="00ED233E"/>
    <w:rsid w:val="00ED29F2"/>
    <w:rsid w:val="00ED2D3B"/>
    <w:rsid w:val="00ED2FCC"/>
    <w:rsid w:val="00ED3E92"/>
    <w:rsid w:val="00ED3F32"/>
    <w:rsid w:val="00ED3FFC"/>
    <w:rsid w:val="00ED47FA"/>
    <w:rsid w:val="00ED4C12"/>
    <w:rsid w:val="00ED4DB4"/>
    <w:rsid w:val="00ED4E12"/>
    <w:rsid w:val="00ED51AD"/>
    <w:rsid w:val="00ED5646"/>
    <w:rsid w:val="00ED72A5"/>
    <w:rsid w:val="00ED7A84"/>
    <w:rsid w:val="00ED7E14"/>
    <w:rsid w:val="00ED7F28"/>
    <w:rsid w:val="00ED7FA7"/>
    <w:rsid w:val="00EE05CD"/>
    <w:rsid w:val="00EE0D90"/>
    <w:rsid w:val="00EE0FE5"/>
    <w:rsid w:val="00EE1046"/>
    <w:rsid w:val="00EE2121"/>
    <w:rsid w:val="00EE2371"/>
    <w:rsid w:val="00EE2687"/>
    <w:rsid w:val="00EE2D19"/>
    <w:rsid w:val="00EE30CC"/>
    <w:rsid w:val="00EE4493"/>
    <w:rsid w:val="00EE4716"/>
    <w:rsid w:val="00EE4814"/>
    <w:rsid w:val="00EE4B3E"/>
    <w:rsid w:val="00EE4D00"/>
    <w:rsid w:val="00EE504C"/>
    <w:rsid w:val="00EE55BE"/>
    <w:rsid w:val="00EE588A"/>
    <w:rsid w:val="00EE5B3C"/>
    <w:rsid w:val="00EE5C60"/>
    <w:rsid w:val="00EE5F75"/>
    <w:rsid w:val="00EE63BE"/>
    <w:rsid w:val="00EE7543"/>
    <w:rsid w:val="00EE79AF"/>
    <w:rsid w:val="00EF0799"/>
    <w:rsid w:val="00EF07AC"/>
    <w:rsid w:val="00EF09CD"/>
    <w:rsid w:val="00EF0D55"/>
    <w:rsid w:val="00EF0DB5"/>
    <w:rsid w:val="00EF1C75"/>
    <w:rsid w:val="00EF1EB2"/>
    <w:rsid w:val="00EF2006"/>
    <w:rsid w:val="00EF206B"/>
    <w:rsid w:val="00EF2722"/>
    <w:rsid w:val="00EF2B93"/>
    <w:rsid w:val="00EF40BE"/>
    <w:rsid w:val="00EF4872"/>
    <w:rsid w:val="00EF5107"/>
    <w:rsid w:val="00EF51F0"/>
    <w:rsid w:val="00EF542A"/>
    <w:rsid w:val="00EF54A4"/>
    <w:rsid w:val="00EF5CE4"/>
    <w:rsid w:val="00EF5EEA"/>
    <w:rsid w:val="00EF6294"/>
    <w:rsid w:val="00EF6805"/>
    <w:rsid w:val="00EF6C0E"/>
    <w:rsid w:val="00EF6D9B"/>
    <w:rsid w:val="00EF6EAE"/>
    <w:rsid w:val="00EF711F"/>
    <w:rsid w:val="00EF765A"/>
    <w:rsid w:val="00EF782B"/>
    <w:rsid w:val="00EF7CF2"/>
    <w:rsid w:val="00EF7F31"/>
    <w:rsid w:val="00F0037C"/>
    <w:rsid w:val="00F00508"/>
    <w:rsid w:val="00F0063A"/>
    <w:rsid w:val="00F00792"/>
    <w:rsid w:val="00F00AA8"/>
    <w:rsid w:val="00F00B2E"/>
    <w:rsid w:val="00F01567"/>
    <w:rsid w:val="00F01820"/>
    <w:rsid w:val="00F01C5B"/>
    <w:rsid w:val="00F01E52"/>
    <w:rsid w:val="00F01FFE"/>
    <w:rsid w:val="00F0293A"/>
    <w:rsid w:val="00F0319D"/>
    <w:rsid w:val="00F0389E"/>
    <w:rsid w:val="00F042DC"/>
    <w:rsid w:val="00F04309"/>
    <w:rsid w:val="00F04607"/>
    <w:rsid w:val="00F04652"/>
    <w:rsid w:val="00F046BD"/>
    <w:rsid w:val="00F04D63"/>
    <w:rsid w:val="00F04E40"/>
    <w:rsid w:val="00F04FE5"/>
    <w:rsid w:val="00F0576E"/>
    <w:rsid w:val="00F057C2"/>
    <w:rsid w:val="00F0584D"/>
    <w:rsid w:val="00F05B05"/>
    <w:rsid w:val="00F05D52"/>
    <w:rsid w:val="00F065D7"/>
    <w:rsid w:val="00F06906"/>
    <w:rsid w:val="00F06BF1"/>
    <w:rsid w:val="00F06C35"/>
    <w:rsid w:val="00F06DDD"/>
    <w:rsid w:val="00F07099"/>
    <w:rsid w:val="00F073CD"/>
    <w:rsid w:val="00F07A81"/>
    <w:rsid w:val="00F07A90"/>
    <w:rsid w:val="00F105EA"/>
    <w:rsid w:val="00F10AA6"/>
    <w:rsid w:val="00F10CFD"/>
    <w:rsid w:val="00F1109A"/>
    <w:rsid w:val="00F11117"/>
    <w:rsid w:val="00F11127"/>
    <w:rsid w:val="00F111B8"/>
    <w:rsid w:val="00F112B0"/>
    <w:rsid w:val="00F11768"/>
    <w:rsid w:val="00F11794"/>
    <w:rsid w:val="00F11A3A"/>
    <w:rsid w:val="00F11D55"/>
    <w:rsid w:val="00F11DC7"/>
    <w:rsid w:val="00F11FA7"/>
    <w:rsid w:val="00F121FD"/>
    <w:rsid w:val="00F12541"/>
    <w:rsid w:val="00F13580"/>
    <w:rsid w:val="00F13586"/>
    <w:rsid w:val="00F13E40"/>
    <w:rsid w:val="00F143EE"/>
    <w:rsid w:val="00F14435"/>
    <w:rsid w:val="00F147E5"/>
    <w:rsid w:val="00F1498D"/>
    <w:rsid w:val="00F14C45"/>
    <w:rsid w:val="00F14E48"/>
    <w:rsid w:val="00F15233"/>
    <w:rsid w:val="00F15814"/>
    <w:rsid w:val="00F15E91"/>
    <w:rsid w:val="00F164D2"/>
    <w:rsid w:val="00F168B8"/>
    <w:rsid w:val="00F16D27"/>
    <w:rsid w:val="00F16E72"/>
    <w:rsid w:val="00F16F98"/>
    <w:rsid w:val="00F1792A"/>
    <w:rsid w:val="00F17C97"/>
    <w:rsid w:val="00F17F93"/>
    <w:rsid w:val="00F2064C"/>
    <w:rsid w:val="00F2080B"/>
    <w:rsid w:val="00F20ACB"/>
    <w:rsid w:val="00F20B53"/>
    <w:rsid w:val="00F212CF"/>
    <w:rsid w:val="00F21961"/>
    <w:rsid w:val="00F21A42"/>
    <w:rsid w:val="00F21BA6"/>
    <w:rsid w:val="00F22035"/>
    <w:rsid w:val="00F224A7"/>
    <w:rsid w:val="00F22A18"/>
    <w:rsid w:val="00F22D18"/>
    <w:rsid w:val="00F22FD6"/>
    <w:rsid w:val="00F23350"/>
    <w:rsid w:val="00F235B4"/>
    <w:rsid w:val="00F235FB"/>
    <w:rsid w:val="00F23880"/>
    <w:rsid w:val="00F23F3C"/>
    <w:rsid w:val="00F24EDF"/>
    <w:rsid w:val="00F25103"/>
    <w:rsid w:val="00F2518E"/>
    <w:rsid w:val="00F25240"/>
    <w:rsid w:val="00F25D28"/>
    <w:rsid w:val="00F26137"/>
    <w:rsid w:val="00F26270"/>
    <w:rsid w:val="00F26385"/>
    <w:rsid w:val="00F2678A"/>
    <w:rsid w:val="00F268A7"/>
    <w:rsid w:val="00F26C33"/>
    <w:rsid w:val="00F26FB7"/>
    <w:rsid w:val="00F27171"/>
    <w:rsid w:val="00F2730D"/>
    <w:rsid w:val="00F27960"/>
    <w:rsid w:val="00F27D48"/>
    <w:rsid w:val="00F3015E"/>
    <w:rsid w:val="00F3026A"/>
    <w:rsid w:val="00F30308"/>
    <w:rsid w:val="00F307B3"/>
    <w:rsid w:val="00F30A58"/>
    <w:rsid w:val="00F3174C"/>
    <w:rsid w:val="00F31D11"/>
    <w:rsid w:val="00F31EC4"/>
    <w:rsid w:val="00F34042"/>
    <w:rsid w:val="00F35596"/>
    <w:rsid w:val="00F357BC"/>
    <w:rsid w:val="00F35B87"/>
    <w:rsid w:val="00F361D0"/>
    <w:rsid w:val="00F36254"/>
    <w:rsid w:val="00F36485"/>
    <w:rsid w:val="00F3649B"/>
    <w:rsid w:val="00F364A9"/>
    <w:rsid w:val="00F3680D"/>
    <w:rsid w:val="00F36C87"/>
    <w:rsid w:val="00F36DA0"/>
    <w:rsid w:val="00F36E5C"/>
    <w:rsid w:val="00F376F4"/>
    <w:rsid w:val="00F400D7"/>
    <w:rsid w:val="00F406F3"/>
    <w:rsid w:val="00F41457"/>
    <w:rsid w:val="00F41869"/>
    <w:rsid w:val="00F4256F"/>
    <w:rsid w:val="00F432E2"/>
    <w:rsid w:val="00F4356B"/>
    <w:rsid w:val="00F44A07"/>
    <w:rsid w:val="00F44EC9"/>
    <w:rsid w:val="00F45F68"/>
    <w:rsid w:val="00F460E6"/>
    <w:rsid w:val="00F468D3"/>
    <w:rsid w:val="00F46927"/>
    <w:rsid w:val="00F46E2A"/>
    <w:rsid w:val="00F47062"/>
    <w:rsid w:val="00F474C2"/>
    <w:rsid w:val="00F476AD"/>
    <w:rsid w:val="00F506FC"/>
    <w:rsid w:val="00F50B21"/>
    <w:rsid w:val="00F50D4D"/>
    <w:rsid w:val="00F51302"/>
    <w:rsid w:val="00F51396"/>
    <w:rsid w:val="00F5148B"/>
    <w:rsid w:val="00F51B67"/>
    <w:rsid w:val="00F51C95"/>
    <w:rsid w:val="00F52406"/>
    <w:rsid w:val="00F526AE"/>
    <w:rsid w:val="00F54498"/>
    <w:rsid w:val="00F5462F"/>
    <w:rsid w:val="00F54782"/>
    <w:rsid w:val="00F5493B"/>
    <w:rsid w:val="00F549E1"/>
    <w:rsid w:val="00F54B03"/>
    <w:rsid w:val="00F54C72"/>
    <w:rsid w:val="00F55854"/>
    <w:rsid w:val="00F55983"/>
    <w:rsid w:val="00F55A50"/>
    <w:rsid w:val="00F55A97"/>
    <w:rsid w:val="00F55FB9"/>
    <w:rsid w:val="00F5609A"/>
    <w:rsid w:val="00F56320"/>
    <w:rsid w:val="00F5657A"/>
    <w:rsid w:val="00F56813"/>
    <w:rsid w:val="00F5686F"/>
    <w:rsid w:val="00F56DED"/>
    <w:rsid w:val="00F577E1"/>
    <w:rsid w:val="00F57D97"/>
    <w:rsid w:val="00F60CA1"/>
    <w:rsid w:val="00F60F15"/>
    <w:rsid w:val="00F6180A"/>
    <w:rsid w:val="00F62DDB"/>
    <w:rsid w:val="00F62DF2"/>
    <w:rsid w:val="00F62ECB"/>
    <w:rsid w:val="00F63565"/>
    <w:rsid w:val="00F641EC"/>
    <w:rsid w:val="00F641FB"/>
    <w:rsid w:val="00F64584"/>
    <w:rsid w:val="00F64A79"/>
    <w:rsid w:val="00F64FA9"/>
    <w:rsid w:val="00F6534F"/>
    <w:rsid w:val="00F653FB"/>
    <w:rsid w:val="00F66298"/>
    <w:rsid w:val="00F66422"/>
    <w:rsid w:val="00F665F6"/>
    <w:rsid w:val="00F666A9"/>
    <w:rsid w:val="00F66761"/>
    <w:rsid w:val="00F66FD0"/>
    <w:rsid w:val="00F67053"/>
    <w:rsid w:val="00F675AF"/>
    <w:rsid w:val="00F70110"/>
    <w:rsid w:val="00F7011F"/>
    <w:rsid w:val="00F70285"/>
    <w:rsid w:val="00F7038B"/>
    <w:rsid w:val="00F711DA"/>
    <w:rsid w:val="00F71553"/>
    <w:rsid w:val="00F718A1"/>
    <w:rsid w:val="00F71B9E"/>
    <w:rsid w:val="00F71E9A"/>
    <w:rsid w:val="00F7201A"/>
    <w:rsid w:val="00F721A0"/>
    <w:rsid w:val="00F72381"/>
    <w:rsid w:val="00F72C93"/>
    <w:rsid w:val="00F7331E"/>
    <w:rsid w:val="00F736F7"/>
    <w:rsid w:val="00F73AAB"/>
    <w:rsid w:val="00F740EE"/>
    <w:rsid w:val="00F741B1"/>
    <w:rsid w:val="00F743F5"/>
    <w:rsid w:val="00F74A58"/>
    <w:rsid w:val="00F74B4B"/>
    <w:rsid w:val="00F754C2"/>
    <w:rsid w:val="00F75843"/>
    <w:rsid w:val="00F764D9"/>
    <w:rsid w:val="00F76FC6"/>
    <w:rsid w:val="00F7735C"/>
    <w:rsid w:val="00F77498"/>
    <w:rsid w:val="00F77577"/>
    <w:rsid w:val="00F80773"/>
    <w:rsid w:val="00F80866"/>
    <w:rsid w:val="00F8092A"/>
    <w:rsid w:val="00F80A88"/>
    <w:rsid w:val="00F80E48"/>
    <w:rsid w:val="00F80F6B"/>
    <w:rsid w:val="00F81858"/>
    <w:rsid w:val="00F81BDC"/>
    <w:rsid w:val="00F823F5"/>
    <w:rsid w:val="00F824BE"/>
    <w:rsid w:val="00F83106"/>
    <w:rsid w:val="00F836FD"/>
    <w:rsid w:val="00F837A3"/>
    <w:rsid w:val="00F8386F"/>
    <w:rsid w:val="00F83D29"/>
    <w:rsid w:val="00F84580"/>
    <w:rsid w:val="00F848F9"/>
    <w:rsid w:val="00F84E8D"/>
    <w:rsid w:val="00F85C01"/>
    <w:rsid w:val="00F85EB7"/>
    <w:rsid w:val="00F85F71"/>
    <w:rsid w:val="00F86028"/>
    <w:rsid w:val="00F86517"/>
    <w:rsid w:val="00F865A4"/>
    <w:rsid w:val="00F8662B"/>
    <w:rsid w:val="00F86799"/>
    <w:rsid w:val="00F869A6"/>
    <w:rsid w:val="00F86B51"/>
    <w:rsid w:val="00F86F78"/>
    <w:rsid w:val="00F8703D"/>
    <w:rsid w:val="00F877FF"/>
    <w:rsid w:val="00F87CCC"/>
    <w:rsid w:val="00F87F07"/>
    <w:rsid w:val="00F902DB"/>
    <w:rsid w:val="00F9147A"/>
    <w:rsid w:val="00F9170D"/>
    <w:rsid w:val="00F91B45"/>
    <w:rsid w:val="00F920C9"/>
    <w:rsid w:val="00F9239D"/>
    <w:rsid w:val="00F92734"/>
    <w:rsid w:val="00F9274F"/>
    <w:rsid w:val="00F92FF6"/>
    <w:rsid w:val="00F935A7"/>
    <w:rsid w:val="00F93824"/>
    <w:rsid w:val="00F93B52"/>
    <w:rsid w:val="00F93D18"/>
    <w:rsid w:val="00F93D8D"/>
    <w:rsid w:val="00F93F47"/>
    <w:rsid w:val="00F94368"/>
    <w:rsid w:val="00F945EB"/>
    <w:rsid w:val="00F94750"/>
    <w:rsid w:val="00F9494C"/>
    <w:rsid w:val="00F94E94"/>
    <w:rsid w:val="00F94EC4"/>
    <w:rsid w:val="00F9575D"/>
    <w:rsid w:val="00F958D7"/>
    <w:rsid w:val="00F95E51"/>
    <w:rsid w:val="00F960A9"/>
    <w:rsid w:val="00F962C0"/>
    <w:rsid w:val="00F965D3"/>
    <w:rsid w:val="00F97499"/>
    <w:rsid w:val="00F97A46"/>
    <w:rsid w:val="00F97A61"/>
    <w:rsid w:val="00FA0840"/>
    <w:rsid w:val="00FA0B97"/>
    <w:rsid w:val="00FA0C81"/>
    <w:rsid w:val="00FA15C8"/>
    <w:rsid w:val="00FA1742"/>
    <w:rsid w:val="00FA17A4"/>
    <w:rsid w:val="00FA2D86"/>
    <w:rsid w:val="00FA3461"/>
    <w:rsid w:val="00FA348C"/>
    <w:rsid w:val="00FA39D5"/>
    <w:rsid w:val="00FA3A3E"/>
    <w:rsid w:val="00FA3C12"/>
    <w:rsid w:val="00FA3F09"/>
    <w:rsid w:val="00FA4AB3"/>
    <w:rsid w:val="00FA4CBB"/>
    <w:rsid w:val="00FA4F25"/>
    <w:rsid w:val="00FA5C92"/>
    <w:rsid w:val="00FA5D96"/>
    <w:rsid w:val="00FA5E33"/>
    <w:rsid w:val="00FA6728"/>
    <w:rsid w:val="00FA6792"/>
    <w:rsid w:val="00FA6C0A"/>
    <w:rsid w:val="00FA76C0"/>
    <w:rsid w:val="00FB033B"/>
    <w:rsid w:val="00FB045F"/>
    <w:rsid w:val="00FB096E"/>
    <w:rsid w:val="00FB0A85"/>
    <w:rsid w:val="00FB0AD8"/>
    <w:rsid w:val="00FB0C38"/>
    <w:rsid w:val="00FB1240"/>
    <w:rsid w:val="00FB12DE"/>
    <w:rsid w:val="00FB16A9"/>
    <w:rsid w:val="00FB1D98"/>
    <w:rsid w:val="00FB20E7"/>
    <w:rsid w:val="00FB29A9"/>
    <w:rsid w:val="00FB2AC3"/>
    <w:rsid w:val="00FB2E17"/>
    <w:rsid w:val="00FB2E47"/>
    <w:rsid w:val="00FB35C0"/>
    <w:rsid w:val="00FB3802"/>
    <w:rsid w:val="00FB4370"/>
    <w:rsid w:val="00FB43E8"/>
    <w:rsid w:val="00FB4C1F"/>
    <w:rsid w:val="00FB4D2A"/>
    <w:rsid w:val="00FB4D6C"/>
    <w:rsid w:val="00FB4DBB"/>
    <w:rsid w:val="00FB5C5C"/>
    <w:rsid w:val="00FB5E1E"/>
    <w:rsid w:val="00FB5F97"/>
    <w:rsid w:val="00FB64FC"/>
    <w:rsid w:val="00FB6C5B"/>
    <w:rsid w:val="00FB6FDC"/>
    <w:rsid w:val="00FB7337"/>
    <w:rsid w:val="00FB7622"/>
    <w:rsid w:val="00FC01D8"/>
    <w:rsid w:val="00FC04F0"/>
    <w:rsid w:val="00FC0850"/>
    <w:rsid w:val="00FC0BFA"/>
    <w:rsid w:val="00FC1D33"/>
    <w:rsid w:val="00FC1FFE"/>
    <w:rsid w:val="00FC2007"/>
    <w:rsid w:val="00FC244B"/>
    <w:rsid w:val="00FC28B1"/>
    <w:rsid w:val="00FC3557"/>
    <w:rsid w:val="00FC3A39"/>
    <w:rsid w:val="00FC3BBE"/>
    <w:rsid w:val="00FC3BED"/>
    <w:rsid w:val="00FC43D1"/>
    <w:rsid w:val="00FC45A5"/>
    <w:rsid w:val="00FC6040"/>
    <w:rsid w:val="00FC631B"/>
    <w:rsid w:val="00FC7740"/>
    <w:rsid w:val="00FC7B20"/>
    <w:rsid w:val="00FC7BA0"/>
    <w:rsid w:val="00FC7CD7"/>
    <w:rsid w:val="00FC7DB5"/>
    <w:rsid w:val="00FD00AA"/>
    <w:rsid w:val="00FD0423"/>
    <w:rsid w:val="00FD05BA"/>
    <w:rsid w:val="00FD0C68"/>
    <w:rsid w:val="00FD0D35"/>
    <w:rsid w:val="00FD156B"/>
    <w:rsid w:val="00FD18FE"/>
    <w:rsid w:val="00FD1B45"/>
    <w:rsid w:val="00FD2098"/>
    <w:rsid w:val="00FD2393"/>
    <w:rsid w:val="00FD2467"/>
    <w:rsid w:val="00FD2CBC"/>
    <w:rsid w:val="00FD38B5"/>
    <w:rsid w:val="00FD3C06"/>
    <w:rsid w:val="00FD3D4A"/>
    <w:rsid w:val="00FD43FE"/>
    <w:rsid w:val="00FD502E"/>
    <w:rsid w:val="00FD5846"/>
    <w:rsid w:val="00FD72F0"/>
    <w:rsid w:val="00FD7456"/>
    <w:rsid w:val="00FD795A"/>
    <w:rsid w:val="00FD7DAB"/>
    <w:rsid w:val="00FE030E"/>
    <w:rsid w:val="00FE0530"/>
    <w:rsid w:val="00FE0A48"/>
    <w:rsid w:val="00FE0C45"/>
    <w:rsid w:val="00FE0C87"/>
    <w:rsid w:val="00FE0F8B"/>
    <w:rsid w:val="00FE1A4B"/>
    <w:rsid w:val="00FE1AC3"/>
    <w:rsid w:val="00FE1EC3"/>
    <w:rsid w:val="00FE21B4"/>
    <w:rsid w:val="00FE22A8"/>
    <w:rsid w:val="00FE24FF"/>
    <w:rsid w:val="00FE2809"/>
    <w:rsid w:val="00FE2C17"/>
    <w:rsid w:val="00FE2D49"/>
    <w:rsid w:val="00FE3496"/>
    <w:rsid w:val="00FE3C53"/>
    <w:rsid w:val="00FE3E6C"/>
    <w:rsid w:val="00FE434D"/>
    <w:rsid w:val="00FE44C0"/>
    <w:rsid w:val="00FE47AE"/>
    <w:rsid w:val="00FE4A32"/>
    <w:rsid w:val="00FE4B98"/>
    <w:rsid w:val="00FE4D0B"/>
    <w:rsid w:val="00FE5131"/>
    <w:rsid w:val="00FE5C60"/>
    <w:rsid w:val="00FE5D14"/>
    <w:rsid w:val="00FE69B9"/>
    <w:rsid w:val="00FE6DFE"/>
    <w:rsid w:val="00FE71D5"/>
    <w:rsid w:val="00FE736A"/>
    <w:rsid w:val="00FE7441"/>
    <w:rsid w:val="00FE765D"/>
    <w:rsid w:val="00FE7679"/>
    <w:rsid w:val="00FE7FAF"/>
    <w:rsid w:val="00FF01D7"/>
    <w:rsid w:val="00FF0406"/>
    <w:rsid w:val="00FF050E"/>
    <w:rsid w:val="00FF055E"/>
    <w:rsid w:val="00FF072F"/>
    <w:rsid w:val="00FF0DA3"/>
    <w:rsid w:val="00FF1470"/>
    <w:rsid w:val="00FF1589"/>
    <w:rsid w:val="00FF1598"/>
    <w:rsid w:val="00FF1872"/>
    <w:rsid w:val="00FF1A4A"/>
    <w:rsid w:val="00FF1A4E"/>
    <w:rsid w:val="00FF1CBE"/>
    <w:rsid w:val="00FF2042"/>
    <w:rsid w:val="00FF25EE"/>
    <w:rsid w:val="00FF2A14"/>
    <w:rsid w:val="00FF2E5D"/>
    <w:rsid w:val="00FF2F98"/>
    <w:rsid w:val="00FF3049"/>
    <w:rsid w:val="00FF30D5"/>
    <w:rsid w:val="00FF359A"/>
    <w:rsid w:val="00FF35B8"/>
    <w:rsid w:val="00FF3733"/>
    <w:rsid w:val="00FF3FF2"/>
    <w:rsid w:val="00FF42F6"/>
    <w:rsid w:val="00FF43C9"/>
    <w:rsid w:val="00FF5373"/>
    <w:rsid w:val="00FF55B1"/>
    <w:rsid w:val="00FF5BF7"/>
    <w:rsid w:val="00FF630C"/>
    <w:rsid w:val="00FF6658"/>
    <w:rsid w:val="00FF7707"/>
    <w:rsid w:val="0486D7ED"/>
    <w:rsid w:val="09B8C5CE"/>
    <w:rsid w:val="0A09E6CE"/>
    <w:rsid w:val="0B6B281E"/>
    <w:rsid w:val="0CA3AE72"/>
    <w:rsid w:val="0D17B070"/>
    <w:rsid w:val="0E57012F"/>
    <w:rsid w:val="12AC753D"/>
    <w:rsid w:val="1A10DA79"/>
    <w:rsid w:val="1CA54E55"/>
    <w:rsid w:val="24F50054"/>
    <w:rsid w:val="2889DCDE"/>
    <w:rsid w:val="2A47BBA5"/>
    <w:rsid w:val="2C337211"/>
    <w:rsid w:val="2C87B058"/>
    <w:rsid w:val="2CFC9453"/>
    <w:rsid w:val="31BA9522"/>
    <w:rsid w:val="3EEEC718"/>
    <w:rsid w:val="40EB9814"/>
    <w:rsid w:val="460D8C84"/>
    <w:rsid w:val="478817FC"/>
    <w:rsid w:val="4917E216"/>
    <w:rsid w:val="49BC46E6"/>
    <w:rsid w:val="4E8BB92F"/>
    <w:rsid w:val="4E940D90"/>
    <w:rsid w:val="50274945"/>
    <w:rsid w:val="512A003F"/>
    <w:rsid w:val="5280316E"/>
    <w:rsid w:val="55C74B05"/>
    <w:rsid w:val="5A024E65"/>
    <w:rsid w:val="5B437C7F"/>
    <w:rsid w:val="5B5760B0"/>
    <w:rsid w:val="5B788B4C"/>
    <w:rsid w:val="5BDA858E"/>
    <w:rsid w:val="5CFB752F"/>
    <w:rsid w:val="5EFF3187"/>
    <w:rsid w:val="63365415"/>
    <w:rsid w:val="66AFCFA2"/>
    <w:rsid w:val="67F75424"/>
    <w:rsid w:val="6D757224"/>
    <w:rsid w:val="753E67E1"/>
    <w:rsid w:val="75D948AC"/>
    <w:rsid w:val="78394C23"/>
    <w:rsid w:val="79902A0F"/>
    <w:rsid w:val="7B21BEE9"/>
    <w:rsid w:val="7BD7A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8C9DE"/>
  <w15:docId w15:val="{23B7D001-F66A-48C9-9FC3-0FD6BAA6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C88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972"/>
    <w:pPr>
      <w:tabs>
        <w:tab w:val="clear" w:pos="567"/>
      </w:tabs>
      <w:spacing w:before="360" w:after="200" w:line="276" w:lineRule="auto"/>
      <w:outlineLvl w:val="0"/>
    </w:pPr>
    <w:rPr>
      <w:rFonts w:ascii="Work Sans" w:eastAsia="Times New Roman" w:hAnsi="Work Sans" w:cs="Open Sans"/>
      <w:b/>
      <w:bCs/>
      <w:color w:val="006991"/>
      <w:sz w:val="40"/>
      <w:szCs w:val="40"/>
    </w:rPr>
  </w:style>
  <w:style w:type="paragraph" w:styleId="Heading2">
    <w:name w:val="heading 2"/>
    <w:aliases w:val="CGC 2025 Heading 2"/>
    <w:basedOn w:val="Normal"/>
    <w:next w:val="Heading3"/>
    <w:link w:val="Heading2Char"/>
    <w:uiPriority w:val="9"/>
    <w:qFormat/>
    <w:rsid w:val="00511972"/>
    <w:pPr>
      <w:tabs>
        <w:tab w:val="clear" w:pos="567"/>
      </w:tabs>
      <w:spacing w:before="360" w:after="200" w:line="276" w:lineRule="auto"/>
      <w:outlineLvl w:val="1"/>
    </w:pPr>
    <w:rPr>
      <w:rFonts w:ascii="Work Sans" w:eastAsia="Times New Roman" w:hAnsi="Work Sans" w:cs="Open Sans"/>
      <w:b/>
      <w:bCs/>
      <w:color w:val="006991"/>
      <w:sz w:val="36"/>
      <w:szCs w:val="36"/>
    </w:rPr>
  </w:style>
  <w:style w:type="paragraph" w:styleId="Heading3">
    <w:name w:val="heading 3"/>
    <w:aliases w:val="CGC 2025 Heading 3"/>
    <w:basedOn w:val="Normal"/>
    <w:next w:val="Heading4"/>
    <w:link w:val="Heading3Char"/>
    <w:uiPriority w:val="9"/>
    <w:qFormat/>
    <w:rsid w:val="00511972"/>
    <w:pPr>
      <w:tabs>
        <w:tab w:val="clear" w:pos="567"/>
      </w:tabs>
      <w:spacing w:before="240" w:after="200" w:line="276" w:lineRule="auto"/>
      <w:outlineLvl w:val="2"/>
    </w:pPr>
    <w:rPr>
      <w:rFonts w:ascii="Work Sans" w:eastAsia="Times New Roman" w:hAnsi="Work Sans" w:cs="Open Sans"/>
      <w:b/>
      <w:bCs/>
      <w:color w:val="006991"/>
      <w:sz w:val="28"/>
      <w:szCs w:val="28"/>
    </w:rPr>
  </w:style>
  <w:style w:type="paragraph" w:styleId="Heading4">
    <w:name w:val="heading 4"/>
    <w:aliases w:val="CGC 2025 Heading 4"/>
    <w:basedOn w:val="Normal"/>
    <w:next w:val="Heading5"/>
    <w:link w:val="Heading4Char"/>
    <w:uiPriority w:val="9"/>
    <w:qFormat/>
    <w:rsid w:val="00511972"/>
    <w:pPr>
      <w:keepNext/>
      <w:widowControl w:val="0"/>
      <w:spacing w:before="240" w:line="240" w:lineRule="auto"/>
      <w:outlineLvl w:val="3"/>
    </w:pPr>
    <w:rPr>
      <w:rFonts w:ascii="Work Sans" w:eastAsiaTheme="majorEastAsia" w:hAnsi="Work Sans" w:cstheme="majorBidi"/>
      <w:b/>
      <w:bCs/>
      <w:iCs/>
      <w:color w:val="006991"/>
      <w:sz w:val="24"/>
    </w:rPr>
  </w:style>
  <w:style w:type="paragraph" w:styleId="Heading5">
    <w:name w:val="heading 5"/>
    <w:aliases w:val="CGC 2025 Heading 5"/>
    <w:basedOn w:val="Normal"/>
    <w:next w:val="Heading6"/>
    <w:link w:val="Heading5Char"/>
    <w:uiPriority w:val="9"/>
    <w:qFormat/>
    <w:rsid w:val="00511972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11972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5119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semiHidden/>
    <w:rsid w:val="0051197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51197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CTableheader">
    <w:name w:val="CGC Table header"/>
    <w:basedOn w:val="Normal"/>
    <w:next w:val="Normal"/>
    <w:rsid w:val="00511972"/>
    <w:pPr>
      <w:tabs>
        <w:tab w:val="left" w:pos="680"/>
      </w:tabs>
      <w:spacing w:before="0" w:line="240" w:lineRule="auto"/>
      <w:jc w:val="right"/>
    </w:pPr>
    <w:rPr>
      <w:rFonts w:ascii="Open Sans" w:hAnsi="Open Sans"/>
      <w:b/>
      <w:color w:val="FFFFFF" w:themeColor="background1"/>
      <w:sz w:val="16"/>
      <w:lang w:val="en-US"/>
    </w:rPr>
  </w:style>
  <w:style w:type="paragraph" w:styleId="Caption">
    <w:name w:val="caption"/>
    <w:basedOn w:val="Normal"/>
    <w:next w:val="Normal"/>
    <w:link w:val="CaptionChar"/>
    <w:qFormat/>
    <w:rsid w:val="00511972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CGCSubbulletlist">
    <w:name w:val="CGC Sub bullet list"/>
    <w:aliases w:val="CGC List 2"/>
    <w:basedOn w:val="Normal"/>
    <w:rsid w:val="00511972"/>
    <w:pPr>
      <w:numPr>
        <w:numId w:val="2"/>
      </w:numPr>
      <w:tabs>
        <w:tab w:val="clear" w:pos="567"/>
        <w:tab w:val="clear" w:pos="92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TableFootnote">
    <w:name w:val="CGC Table Footnote"/>
    <w:basedOn w:val="Normal"/>
    <w:next w:val="NoSpacing"/>
    <w:rsid w:val="00511972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511972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styleId="DocumentMap">
    <w:name w:val="Document Map"/>
    <w:basedOn w:val="Normal"/>
    <w:rsid w:val="00511972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972"/>
    <w:pPr>
      <w:tabs>
        <w:tab w:val="clear" w:pos="567"/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character" w:styleId="FootnoteReference">
    <w:name w:val="footnote reference"/>
    <w:qFormat/>
    <w:rsid w:val="00511972"/>
    <w:rPr>
      <w:rFonts w:ascii="Work Sans" w:hAnsi="Work Sans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511972"/>
    <w:pPr>
      <w:spacing w:before="40" w:line="240" w:lineRule="auto"/>
      <w:ind w:left="142" w:hanging="142"/>
    </w:pPr>
    <w:rPr>
      <w:rFonts w:ascii="Work Sans" w:hAnsi="Work Sans"/>
      <w:sz w:val="14"/>
      <w:szCs w:val="16"/>
    </w:rPr>
  </w:style>
  <w:style w:type="paragraph" w:styleId="Header">
    <w:name w:val="header"/>
    <w:basedOn w:val="Footer"/>
    <w:link w:val="HeaderChar"/>
    <w:uiPriority w:val="99"/>
    <w:unhideWhenUsed/>
    <w:rsid w:val="00511972"/>
  </w:style>
  <w:style w:type="character" w:styleId="Hyperlink">
    <w:name w:val="Hyperlink"/>
    <w:basedOn w:val="DefaultParagraphFont"/>
    <w:uiPriority w:val="99"/>
    <w:unhideWhenUsed/>
    <w:qFormat/>
    <w:rsid w:val="00511972"/>
    <w:rPr>
      <w:color w:val="006991"/>
      <w:u w:val="single"/>
    </w:rPr>
  </w:style>
  <w:style w:type="character" w:styleId="PageNumber">
    <w:name w:val="page number"/>
    <w:basedOn w:val="DefaultParagraphFont"/>
    <w:rsid w:val="00511972"/>
  </w:style>
  <w:style w:type="paragraph" w:customStyle="1" w:styleId="Single">
    <w:name w:val="Single"/>
    <w:basedOn w:val="Normal"/>
    <w:next w:val="Normal"/>
    <w:rsid w:val="00511972"/>
    <w:pPr>
      <w:spacing w:line="240" w:lineRule="auto"/>
    </w:pPr>
  </w:style>
  <w:style w:type="table" w:styleId="TableGrid">
    <w:name w:val="Table Grid"/>
    <w:basedOn w:val="TableNormal"/>
    <w:uiPriority w:val="39"/>
    <w:rsid w:val="0051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511972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TOC1"/>
    <w:next w:val="Normal"/>
    <w:uiPriority w:val="39"/>
    <w:rsid w:val="00511972"/>
    <w:pPr>
      <w:spacing w:before="120"/>
    </w:pPr>
    <w:rPr>
      <w:rFonts w:ascii="Work Sans" w:hAnsi="Work Sans"/>
      <w:b w:val="0"/>
    </w:rPr>
  </w:style>
  <w:style w:type="paragraph" w:styleId="TOC3">
    <w:name w:val="toc 3"/>
    <w:basedOn w:val="TOC2"/>
    <w:next w:val="Normal"/>
    <w:uiPriority w:val="39"/>
    <w:rsid w:val="00511972"/>
    <w:pPr>
      <w:ind w:left="397"/>
    </w:pPr>
    <w:rPr>
      <w:rFonts w:ascii="Open Sans Light" w:hAnsi="Open Sans Light"/>
      <w:iCs/>
    </w:rPr>
  </w:style>
  <w:style w:type="paragraph" w:styleId="TOC4">
    <w:name w:val="toc 4"/>
    <w:basedOn w:val="TOC3"/>
    <w:next w:val="Normal"/>
    <w:uiPriority w:val="39"/>
    <w:rsid w:val="00511972"/>
    <w:pPr>
      <w:ind w:left="680"/>
    </w:pPr>
    <w:rPr>
      <w:i/>
    </w:rPr>
  </w:style>
  <w:style w:type="paragraph" w:styleId="TOC5">
    <w:name w:val="toc 5"/>
    <w:basedOn w:val="TOC3"/>
    <w:next w:val="Normal"/>
    <w:uiPriority w:val="39"/>
    <w:rsid w:val="00511972"/>
    <w:pPr>
      <w:spacing w:before="0"/>
      <w:ind w:left="964"/>
    </w:pPr>
    <w:rPr>
      <w:szCs w:val="18"/>
    </w:rPr>
  </w:style>
  <w:style w:type="paragraph" w:styleId="TOC6">
    <w:name w:val="toc 6"/>
    <w:basedOn w:val="TOC5"/>
    <w:next w:val="Normal"/>
    <w:uiPriority w:val="39"/>
    <w:rsid w:val="00511972"/>
    <w:rPr>
      <w:i/>
    </w:rPr>
  </w:style>
  <w:style w:type="paragraph" w:styleId="TOC7">
    <w:name w:val="toc 7"/>
    <w:basedOn w:val="Normal"/>
    <w:next w:val="Normal"/>
    <w:rsid w:val="00511972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rsid w:val="00511972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rsid w:val="00511972"/>
    <w:pPr>
      <w:tabs>
        <w:tab w:val="clear" w:pos="567"/>
      </w:tabs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1972"/>
    <w:rPr>
      <w:rFonts w:ascii="Work Sans" w:eastAsia="Times New Roman" w:hAnsi="Work Sans" w:cs="Open Sans"/>
      <w:b/>
      <w:bCs/>
      <w:color w:val="006991"/>
      <w:sz w:val="40"/>
      <w:szCs w:val="40"/>
    </w:rPr>
  </w:style>
  <w:style w:type="character" w:customStyle="1" w:styleId="Heading2Char">
    <w:name w:val="Heading 2 Char"/>
    <w:aliases w:val="CGC 2025 Heading 2 Char"/>
    <w:basedOn w:val="DefaultParagraphFont"/>
    <w:link w:val="Heading2"/>
    <w:uiPriority w:val="9"/>
    <w:rsid w:val="00511972"/>
    <w:rPr>
      <w:rFonts w:ascii="Work Sans" w:eastAsia="Times New Roman" w:hAnsi="Work Sans" w:cs="Open Sans"/>
      <w:b/>
      <w:bCs/>
      <w:color w:val="006991"/>
      <w:sz w:val="36"/>
      <w:szCs w:val="36"/>
    </w:rPr>
  </w:style>
  <w:style w:type="character" w:customStyle="1" w:styleId="Heading3Char">
    <w:name w:val="Heading 3 Char"/>
    <w:aliases w:val="CGC 2025 Heading 3 Char"/>
    <w:basedOn w:val="DefaultParagraphFont"/>
    <w:link w:val="Heading3"/>
    <w:uiPriority w:val="9"/>
    <w:rsid w:val="00511972"/>
    <w:rPr>
      <w:rFonts w:ascii="Work Sans" w:eastAsia="Times New Roman" w:hAnsi="Work Sans" w:cs="Open Sans"/>
      <w:b/>
      <w:bCs/>
      <w:color w:val="006991"/>
      <w:sz w:val="28"/>
      <w:szCs w:val="28"/>
    </w:rPr>
  </w:style>
  <w:style w:type="character" w:customStyle="1" w:styleId="Heading4Char">
    <w:name w:val="Heading 4 Char"/>
    <w:aliases w:val="CGC 2025 Heading 4 Char"/>
    <w:basedOn w:val="DefaultParagraphFont"/>
    <w:link w:val="Heading4"/>
    <w:uiPriority w:val="9"/>
    <w:rsid w:val="00511972"/>
    <w:rPr>
      <w:rFonts w:ascii="Work Sans" w:eastAsiaTheme="majorEastAsia" w:hAnsi="Work Sans" w:cstheme="majorBidi"/>
      <w:b/>
      <w:bCs/>
      <w:iCs/>
      <w:color w:val="006991"/>
      <w:sz w:val="24"/>
    </w:rPr>
  </w:style>
  <w:style w:type="character" w:customStyle="1" w:styleId="Heading5Char">
    <w:name w:val="Heading 5 Char"/>
    <w:aliases w:val="CGC 2025 Heading 5 Char"/>
    <w:basedOn w:val="DefaultParagraphFont"/>
    <w:link w:val="Heading5"/>
    <w:uiPriority w:val="9"/>
    <w:rsid w:val="00511972"/>
    <w:rPr>
      <w:rFonts w:ascii="Montserrat Semi Bold" w:eastAsiaTheme="majorEastAsia" w:hAnsi="Montserrat Semi Bold" w:cstheme="majorBidi"/>
      <w:color w:val="636466"/>
      <w:sz w:val="20"/>
    </w:rPr>
  </w:style>
  <w:style w:type="paragraph" w:styleId="NoSpacing">
    <w:name w:val="No Spacing"/>
    <w:link w:val="NoSpacingChar"/>
    <w:uiPriority w:val="1"/>
    <w:qFormat/>
    <w:rsid w:val="00511972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11972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11972"/>
    <w:pPr>
      <w:ind w:left="720"/>
      <w:contextualSpacing/>
    </w:pPr>
  </w:style>
  <w:style w:type="paragraph" w:styleId="TOCHeading">
    <w:name w:val="TOC Heading"/>
    <w:aliases w:val="CGC 2025 TOC Heading"/>
    <w:basedOn w:val="Heading1"/>
    <w:next w:val="Normal"/>
    <w:uiPriority w:val="39"/>
    <w:unhideWhenUsed/>
    <w:qFormat/>
    <w:rsid w:val="00511972"/>
    <w:pPr>
      <w:keepLines/>
      <w:spacing w:before="480" w:line="320" w:lineRule="atLeast"/>
      <w:outlineLvl w:val="9"/>
    </w:pPr>
    <w:rPr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11972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11972"/>
    <w:rPr>
      <w:rFonts w:ascii="Montserrat Ultra Light" w:hAnsi="Montserrat Ultra Light"/>
      <w:b/>
      <w:color w:val="004563"/>
      <w:sz w:val="20"/>
    </w:rPr>
  </w:style>
  <w:style w:type="paragraph" w:customStyle="1" w:styleId="CGCDataCaption">
    <w:name w:val="CGC Data Caption"/>
    <w:basedOn w:val="CGCTableFootnote"/>
    <w:next w:val="NoSpacing"/>
    <w:link w:val="DataCaptionChar"/>
    <w:rsid w:val="00511972"/>
  </w:style>
  <w:style w:type="character" w:customStyle="1" w:styleId="CaptionChar">
    <w:name w:val="Caption Char"/>
    <w:basedOn w:val="DefaultParagraphFont"/>
    <w:link w:val="Caption"/>
    <w:rsid w:val="00511972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511972"/>
    <w:rPr>
      <w:rFonts w:ascii="Open Sans Light" w:hAnsi="Open Sans Light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511972"/>
    <w:rPr>
      <w:rFonts w:ascii="Work Sans" w:hAnsi="Work Sans"/>
      <w:sz w:val="14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511972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97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customStyle="1" w:styleId="CGCParaNumber">
    <w:name w:val="CGC Para Number"/>
    <w:basedOn w:val="Normal"/>
    <w:qFormat/>
    <w:rsid w:val="00511972"/>
    <w:pPr>
      <w:numPr>
        <w:numId w:val="8"/>
      </w:numPr>
      <w:ind w:left="567" w:hanging="567"/>
    </w:pPr>
    <w:rPr>
      <w:rFonts w:ascii="Work Sans" w:hAnsi="Work Sans"/>
      <w:szCs w:val="20"/>
    </w:rPr>
  </w:style>
  <w:style w:type="paragraph" w:customStyle="1" w:styleId="CGCBullet1">
    <w:name w:val="CGC Bullet 1"/>
    <w:basedOn w:val="Normal"/>
    <w:qFormat/>
    <w:rsid w:val="005C7E78"/>
    <w:pPr>
      <w:ind w:left="927" w:hanging="360"/>
    </w:pPr>
    <w:rPr>
      <w:rFonts w:ascii="Work Sans" w:hAnsi="Work Sans"/>
    </w:rPr>
  </w:style>
  <w:style w:type="paragraph" w:customStyle="1" w:styleId="CGCBullet2">
    <w:name w:val="CGC Bullet 2"/>
    <w:basedOn w:val="Normal"/>
    <w:qFormat/>
    <w:rsid w:val="00511972"/>
    <w:pPr>
      <w:numPr>
        <w:numId w:val="5"/>
      </w:numPr>
    </w:pPr>
  </w:style>
  <w:style w:type="paragraph" w:customStyle="1" w:styleId="CGCBullet3">
    <w:name w:val="CGC Bullet 3"/>
    <w:basedOn w:val="Normal"/>
    <w:qFormat/>
    <w:rsid w:val="00511972"/>
    <w:pPr>
      <w:numPr>
        <w:numId w:val="7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511972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511972"/>
    <w:pPr>
      <w:numPr>
        <w:numId w:val="6"/>
      </w:numPr>
      <w:ind w:right="1418"/>
    </w:pPr>
  </w:style>
  <w:style w:type="paragraph" w:customStyle="1" w:styleId="CGCTablerow">
    <w:name w:val="CGC Table row"/>
    <w:basedOn w:val="Normal"/>
    <w:qFormat/>
    <w:rsid w:val="00511972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link w:val="CGCTablenoteChar"/>
    <w:qFormat/>
    <w:rsid w:val="00511972"/>
    <w:pPr>
      <w:tabs>
        <w:tab w:val="left" w:pos="680"/>
      </w:tabs>
      <w:spacing w:before="40" w:line="240" w:lineRule="auto"/>
      <w:ind w:left="340" w:hanging="22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511972"/>
    <w:rPr>
      <w:rFonts w:ascii="Montserrat Ultra Light" w:hAnsi="Montserrat Ultra Light"/>
      <w:b/>
      <w:sz w:val="20"/>
      <w:szCs w:val="20"/>
    </w:rPr>
  </w:style>
  <w:style w:type="paragraph" w:customStyle="1" w:styleId="TOCtitle">
    <w:name w:val="TOC title"/>
    <w:basedOn w:val="Normal"/>
    <w:next w:val="Normal"/>
    <w:rsid w:val="00511972"/>
    <w:rPr>
      <w:rFonts w:ascii="Montserrat Semi Bold" w:hAnsi="Montserrat Semi Bold"/>
      <w:color w:val="004563"/>
      <w:sz w:val="36"/>
      <w:lang w:val="en-US"/>
    </w:rPr>
  </w:style>
  <w:style w:type="character" w:styleId="CommentReference">
    <w:name w:val="annotation reference"/>
    <w:basedOn w:val="DefaultParagraphFont"/>
    <w:semiHidden/>
    <w:unhideWhenUsed/>
    <w:rsid w:val="005119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19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11972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1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972"/>
    <w:rPr>
      <w:rFonts w:ascii="Open Sans Light" w:hAnsi="Open Sans Light"/>
      <w:b/>
      <w:bCs/>
      <w:sz w:val="20"/>
      <w:szCs w:val="20"/>
    </w:rPr>
  </w:style>
  <w:style w:type="paragraph" w:customStyle="1" w:styleId="CGCTablesubhead1">
    <w:name w:val="CGC Table subhead1"/>
    <w:basedOn w:val="Normal"/>
    <w:rsid w:val="00511972"/>
    <w:pPr>
      <w:spacing w:before="0" w:line="240" w:lineRule="auto"/>
    </w:pPr>
    <w:rPr>
      <w:rFonts w:ascii="Open Sans Semibold" w:hAnsi="Open Sans Semibold"/>
      <w:sz w:val="16"/>
    </w:rPr>
  </w:style>
  <w:style w:type="character" w:styleId="UnresolvedMention">
    <w:name w:val="Unresolved Mention"/>
    <w:basedOn w:val="DefaultParagraphFont"/>
    <w:uiPriority w:val="99"/>
    <w:unhideWhenUsed/>
    <w:rsid w:val="0051197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11972"/>
    <w:rPr>
      <w:color w:val="2B579A"/>
      <w:shd w:val="clear" w:color="auto" w:fill="E1DFDD"/>
    </w:rPr>
  </w:style>
  <w:style w:type="paragraph" w:customStyle="1" w:styleId="CGCBodyPara">
    <w:name w:val="CGC Body Para"/>
    <w:basedOn w:val="CGCParaNumber"/>
    <w:rsid w:val="00D365CB"/>
    <w:pPr>
      <w:ind w:hanging="425"/>
    </w:pPr>
  </w:style>
  <w:style w:type="paragraph" w:styleId="Revision">
    <w:name w:val="Revision"/>
    <w:hidden/>
    <w:uiPriority w:val="99"/>
    <w:semiHidden/>
    <w:rsid w:val="00511972"/>
    <w:pPr>
      <w:spacing w:after="0" w:line="240" w:lineRule="auto"/>
    </w:pPr>
    <w:rPr>
      <w:rFonts w:ascii="Open Sans Light" w:hAnsi="Open Sans Light"/>
      <w:sz w:val="20"/>
    </w:rPr>
  </w:style>
  <w:style w:type="character" w:styleId="FollowedHyperlink">
    <w:name w:val="FollowedHyperlink"/>
    <w:basedOn w:val="DefaultParagraphFont"/>
    <w:semiHidden/>
    <w:unhideWhenUsed/>
    <w:rsid w:val="00511972"/>
    <w:rPr>
      <w:color w:val="800080" w:themeColor="followedHyperlink"/>
      <w:u w:val="single"/>
    </w:rPr>
  </w:style>
  <w:style w:type="paragraph" w:customStyle="1" w:styleId="CGC2025Bullet1">
    <w:name w:val="CGC 2025 Bullet 1"/>
    <w:basedOn w:val="Normal"/>
    <w:qFormat/>
    <w:rsid w:val="00511972"/>
    <w:pPr>
      <w:numPr>
        <w:numId w:val="4"/>
      </w:numPr>
    </w:pPr>
    <w:rPr>
      <w:rFonts w:ascii="Work Sans" w:hAnsi="Work Sans"/>
      <w:szCs w:val="20"/>
    </w:rPr>
  </w:style>
  <w:style w:type="paragraph" w:customStyle="1" w:styleId="Bulletpoint">
    <w:name w:val="Bullet point"/>
    <w:basedOn w:val="ListParagraph"/>
    <w:link w:val="BulletpointChar"/>
    <w:qFormat/>
    <w:rsid w:val="00511972"/>
    <w:pPr>
      <w:spacing w:before="240" w:line="300" w:lineRule="atLeast"/>
      <w:ind w:left="360" w:hanging="360"/>
      <w:contextualSpacing w:val="0"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11972"/>
    <w:rPr>
      <w:rFonts w:ascii="Open Sans Light" w:hAnsi="Open Sans Light"/>
      <w:sz w:val="20"/>
    </w:rPr>
  </w:style>
  <w:style w:type="character" w:customStyle="1" w:styleId="BulletpointChar">
    <w:name w:val="Bullet point Char"/>
    <w:basedOn w:val="ListParagraphChar"/>
    <w:link w:val="Bulletpoint"/>
    <w:rsid w:val="00511972"/>
    <w:rPr>
      <w:rFonts w:ascii="Open Sans Light" w:hAnsi="Open Sans Light"/>
      <w:sz w:val="20"/>
    </w:rPr>
  </w:style>
  <w:style w:type="paragraph" w:customStyle="1" w:styleId="CGCBulletlist">
    <w:name w:val="CGC Bullet list"/>
    <w:aliases w:val="CGC List 1"/>
    <w:basedOn w:val="Normal"/>
    <w:link w:val="CGCBulletlistChar"/>
    <w:qFormat/>
    <w:rsid w:val="00511972"/>
    <w:pPr>
      <w:numPr>
        <w:numId w:val="9"/>
      </w:numPr>
      <w:tabs>
        <w:tab w:val="clear" w:pos="567"/>
        <w:tab w:val="left" w:pos="1134"/>
      </w:tabs>
      <w:spacing w:before="80" w:after="80" w:line="300" w:lineRule="atLeast"/>
    </w:pPr>
    <w:rPr>
      <w:rFonts w:asciiTheme="minorHAnsi" w:hAnsiTheme="minorHAnsi"/>
      <w:sz w:val="24"/>
      <w:szCs w:val="20"/>
    </w:rPr>
  </w:style>
  <w:style w:type="paragraph" w:customStyle="1" w:styleId="CGCNumberedPara">
    <w:name w:val="CGC Numbered Para"/>
    <w:aliases w:val="CGC Para No"/>
    <w:basedOn w:val="Normal"/>
    <w:rsid w:val="00511972"/>
    <w:pPr>
      <w:numPr>
        <w:ilvl w:val="1"/>
        <w:numId w:val="29"/>
      </w:numPr>
      <w:tabs>
        <w:tab w:val="clear" w:pos="567"/>
      </w:tabs>
      <w:spacing w:after="80" w:line="320" w:lineRule="atLeast"/>
    </w:pPr>
    <w:rPr>
      <w:rFonts w:asciiTheme="minorHAnsi" w:hAnsiTheme="minorHAnsi"/>
      <w:sz w:val="24"/>
      <w:szCs w:val="24"/>
    </w:rPr>
  </w:style>
  <w:style w:type="character" w:customStyle="1" w:styleId="CGCBulletlistChar">
    <w:name w:val="CGC Bullet list Char"/>
    <w:aliases w:val="CGC List 1 Char"/>
    <w:basedOn w:val="DefaultParagraphFont"/>
    <w:link w:val="CGCBulletlist"/>
    <w:locked/>
    <w:rsid w:val="00511972"/>
    <w:rPr>
      <w:sz w:val="24"/>
      <w:szCs w:val="20"/>
    </w:rPr>
  </w:style>
  <w:style w:type="character" w:customStyle="1" w:styleId="cf01">
    <w:name w:val="cf01"/>
    <w:basedOn w:val="DefaultParagraphFont"/>
    <w:rsid w:val="00511972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11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2025QuestionNumbers">
    <w:name w:val="CGC 2025 Question Numbers"/>
    <w:basedOn w:val="Normal"/>
    <w:qFormat/>
    <w:rsid w:val="00511972"/>
    <w:pPr>
      <w:numPr>
        <w:numId w:val="12"/>
      </w:numPr>
      <w:spacing w:after="120"/>
    </w:pPr>
    <w:rPr>
      <w:rFonts w:ascii="Work Sans" w:hAnsi="Work Sans" w:cs="Open Sans Light"/>
      <w:szCs w:val="20"/>
    </w:rPr>
  </w:style>
  <w:style w:type="numbering" w:customStyle="1" w:styleId="CGCConsultQuestion">
    <w:name w:val="CGC Consult Question"/>
    <w:basedOn w:val="NoList"/>
    <w:uiPriority w:val="99"/>
    <w:rsid w:val="00511972"/>
    <w:pPr>
      <w:numPr>
        <w:numId w:val="11"/>
      </w:numPr>
    </w:pPr>
  </w:style>
  <w:style w:type="paragraph" w:customStyle="1" w:styleId="CGC2025ParaNumbers">
    <w:name w:val="CGC 2025 Para Numbers"/>
    <w:basedOn w:val="CGCNumberedPara"/>
    <w:rsid w:val="00511972"/>
    <w:rPr>
      <w:rFonts w:ascii="Work Sans" w:hAnsi="Work Sans"/>
      <w:sz w:val="20"/>
    </w:rPr>
  </w:style>
  <w:style w:type="paragraph" w:customStyle="1" w:styleId="CGC2025Bullet2">
    <w:name w:val="CGC 2025 Bullet 2"/>
    <w:basedOn w:val="CGCBullet2"/>
    <w:rsid w:val="00511972"/>
    <w:rPr>
      <w:rFonts w:ascii="Work Sans" w:hAnsi="Work Sans"/>
    </w:rPr>
  </w:style>
  <w:style w:type="paragraph" w:customStyle="1" w:styleId="CGC2025Heading2AttachmentFollower">
    <w:name w:val="CGC 2025 Heading 2 Attachment Follower"/>
    <w:basedOn w:val="Heading2"/>
    <w:rsid w:val="00511972"/>
    <w:rPr>
      <w:b w:val="0"/>
      <w:bCs w:val="0"/>
    </w:rPr>
  </w:style>
  <w:style w:type="paragraph" w:customStyle="1" w:styleId="CGC2025Caption">
    <w:name w:val="CGC 2025 Caption"/>
    <w:basedOn w:val="Normal"/>
    <w:qFormat/>
    <w:rsid w:val="00511972"/>
    <w:pPr>
      <w:spacing w:before="240" w:after="120" w:line="240" w:lineRule="auto"/>
    </w:pPr>
    <w:rPr>
      <w:rFonts w:ascii="Work Sans" w:hAnsi="Work Sans"/>
      <w:b/>
    </w:rPr>
  </w:style>
  <w:style w:type="paragraph" w:customStyle="1" w:styleId="CGC2025Questionsnumbers2">
    <w:name w:val="CGC 2025 Questions numbers 2"/>
    <w:basedOn w:val="Normal"/>
    <w:next w:val="CGC2025ParaNumbers"/>
    <w:qFormat/>
    <w:rsid w:val="00511972"/>
    <w:pPr>
      <w:numPr>
        <w:numId w:val="13"/>
      </w:numPr>
      <w:ind w:left="454" w:hanging="454"/>
    </w:pPr>
    <w:rPr>
      <w:rFonts w:ascii="Work Sans" w:hAnsi="Work Sans" w:cs="Open Sans"/>
      <w:bCs/>
      <w:szCs w:val="56"/>
    </w:rPr>
  </w:style>
  <w:style w:type="paragraph" w:customStyle="1" w:styleId="CGC2025TableNote">
    <w:name w:val="CGC 2025 Table Note"/>
    <w:basedOn w:val="CGCTablenote"/>
    <w:link w:val="CGC2025TableNoteChar"/>
    <w:qFormat/>
    <w:rsid w:val="00503C88"/>
    <w:pPr>
      <w:ind w:left="680" w:hanging="567"/>
    </w:pPr>
    <w:rPr>
      <w:rFonts w:ascii="Work Sans" w:hAnsi="Work Sans"/>
    </w:rPr>
  </w:style>
  <w:style w:type="character" w:customStyle="1" w:styleId="CGCTablenoteChar">
    <w:name w:val="CGC Table note Char"/>
    <w:basedOn w:val="DefaultParagraphFont"/>
    <w:link w:val="CGCTablenote"/>
    <w:rsid w:val="00511972"/>
    <w:rPr>
      <w:rFonts w:ascii="Open Sans Light" w:hAnsi="Open Sans Light"/>
      <w:sz w:val="14"/>
    </w:rPr>
  </w:style>
  <w:style w:type="character" w:customStyle="1" w:styleId="CGC2025TableNoteChar">
    <w:name w:val="CGC 2025 Table Note Char"/>
    <w:basedOn w:val="CGCTablenoteChar"/>
    <w:link w:val="CGC2025TableNote"/>
    <w:rsid w:val="00503C88"/>
    <w:rPr>
      <w:rFonts w:ascii="Work Sans" w:hAnsi="Work Sans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gc.gov.au/reports-for-government/2020-revie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gc.gov.au/sites/default/files/2023-09/Discussion%20paper%20-%202024%20Update_New%20issue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s.gov.au/statistics/economy/price-indexes-and-inflation/wage-price-index-australia/latest-release" TargetMode="External"/><Relationship Id="rId20" Type="http://schemas.openxmlformats.org/officeDocument/2006/relationships/hyperlink" Target="https://www.abs.gov.au/statistics/economy/price-indexes-and-inflation/wage-price-index-australia/latest-relea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c.gov.au/ongoing/report-on-government-services?id=141009&amp;queries_year_query=2022&amp;search_page_191702_submit_button=Submit&amp;current_result_page=1&amp;results_per_page=0&amp;submitted_search_category=&amp;mode=result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pc.gov.au/ongoing/report-on-government-services?id=141009&amp;queries_year_query=2022&amp;search_page_191702_submit_button=Submit&amp;current_result_page=1&amp;results_per_page=0&amp;submitted_search_category=&amp;mode=resul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gc.gov.au/sites/default/files/2021-11/2020_review_-_act_rejoinder_submission_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en.Stewart\Commonwealth%20Grants%20Commission\Communications%20-%20Office%20Templates\CGC%20Word%20Templates\Assessment%20Consultation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229631F80714C9595CC742C6B48E8" ma:contentTypeVersion="16" ma:contentTypeDescription="Create a new document." ma:contentTypeScope="" ma:versionID="587377675d66a617c05529d80887533c">
  <xsd:schema xmlns:xsd="http://www.w3.org/2001/XMLSchema" xmlns:xs="http://www.w3.org/2001/XMLSchema" xmlns:p="http://schemas.microsoft.com/office/2006/metadata/properties" xmlns:ns2="b947e97b-0e0d-4a37-b7a7-c36958e104ca" xmlns:ns3="cde6150a-2887-4330-9d33-41179dba62e9" targetNamespace="http://schemas.microsoft.com/office/2006/metadata/properties" ma:root="true" ma:fieldsID="6ef3d4c26885e350e4ca4a1c7d57392c" ns2:_="" ns3:_="">
    <xsd:import namespace="b947e97b-0e0d-4a37-b7a7-c36958e104ca"/>
    <xsd:import namespace="cde6150a-2887-4330-9d33-41179dba6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e97b-0e0d-4a37-b7a7-c36958e10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a0b90d-15e3-4b68-b4ed-e1e0d46dd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6150a-2887-4330-9d33-41179dba6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a1c902-3ee1-4304-9c6c-5526e8376569}" ma:internalName="TaxCatchAll" ma:showField="CatchAllData" ma:web="cde6150a-2887-4330-9d33-41179dba6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e6150a-2887-4330-9d33-41179dba62e9">
      <UserInfo>
        <DisplayName>Tony Xu</DisplayName>
        <AccountId>158</AccountId>
        <AccountType/>
      </UserInfo>
      <UserInfo>
        <DisplayName>Kathryn Conroy</DisplayName>
        <AccountId>28</AccountId>
        <AccountType/>
      </UserInfo>
      <UserInfo>
        <DisplayName>Dermot Doherty</DisplayName>
        <AccountId>30</AccountId>
        <AccountType/>
      </UserInfo>
    </SharedWithUsers>
    <lcf76f155ced4ddcb4097134ff3c332f xmlns="b947e97b-0e0d-4a37-b7a7-c36958e104ca">
      <Terms xmlns="http://schemas.microsoft.com/office/infopath/2007/PartnerControls"/>
    </lcf76f155ced4ddcb4097134ff3c332f>
    <TaxCatchAll xmlns="cde6150a-2887-4330-9d33-41179dba62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4112C-FAA0-467E-93E5-B2BD720CA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7e97b-0e0d-4a37-b7a7-c36958e104ca"/>
    <ds:schemaRef ds:uri="cde6150a-2887-4330-9d33-41179dba6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91E0D-5249-4EB3-A667-BC88029BF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A4F8F-140F-4856-8B9E-31DCD427886D}">
  <ds:schemaRefs>
    <ds:schemaRef ds:uri="http://schemas.microsoft.com/office/2006/metadata/properties"/>
    <ds:schemaRef ds:uri="http://schemas.microsoft.com/office/infopath/2007/PartnerControls"/>
    <ds:schemaRef ds:uri="cde6150a-2887-4330-9d33-41179dba62e9"/>
    <ds:schemaRef ds:uri="b947e97b-0e0d-4a37-b7a7-c36958e104ca"/>
  </ds:schemaRefs>
</ds:datastoreItem>
</file>

<file path=customXml/itemProps4.xml><?xml version="1.0" encoding="utf-8"?>
<ds:datastoreItem xmlns:ds="http://schemas.openxmlformats.org/officeDocument/2006/customXml" ds:itemID="{0DF9C94A-53B2-4B40-BB19-46D4024B1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Consultation paper template</Template>
  <TotalTime>1757</TotalTime>
  <Pages>9</Pages>
  <Words>2348</Words>
  <Characters>13389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Owen Stewart</dc:creator>
  <cp:keywords/>
  <cp:lastModifiedBy>Katrina Baldock</cp:lastModifiedBy>
  <cp:revision>1864</cp:revision>
  <cp:lastPrinted>2023-10-05T04:57:00Z</cp:lastPrinted>
  <dcterms:created xsi:type="dcterms:W3CDTF">2023-02-08T14:22:00Z</dcterms:created>
  <dcterms:modified xsi:type="dcterms:W3CDTF">2023-10-05T05:07:00Z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0x010100E60229631F80714C9595CC742C6B48E8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86014100</vt:r8>
  </property>
</Properties>
</file>