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C222" w14:textId="56E049BA" w:rsidR="008D1671" w:rsidRDefault="00441C60" w:rsidP="008D1671">
      <w:r>
        <w:rPr>
          <w:noProof/>
        </w:rPr>
        <w:drawing>
          <wp:anchor distT="0" distB="0" distL="114300" distR="114300" simplePos="0" relativeHeight="251658240" behindDoc="1" locked="0" layoutInCell="1" allowOverlap="1" wp14:anchorId="304B4EB6" wp14:editId="32E39A4B">
            <wp:simplePos x="0" y="0"/>
            <wp:positionH relativeFrom="margin">
              <wp:posOffset>-1001302</wp:posOffset>
            </wp:positionH>
            <wp:positionV relativeFrom="paragraph">
              <wp:posOffset>-910862</wp:posOffset>
            </wp:positionV>
            <wp:extent cx="7725600" cy="10922400"/>
            <wp:effectExtent l="0" t="0" r="8890" b="0"/>
            <wp:wrapNone/>
            <wp:docPr id="9" name="Picture 9" descr="A picture containing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fis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5600" cy="109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396D4" w14:textId="5E1A0940" w:rsidR="008D1671" w:rsidRPr="0040294B" w:rsidRDefault="008D1671" w:rsidP="008D1671">
      <w:pPr>
        <w:rPr>
          <w:rFonts w:ascii="Work Sans" w:hAnsi="Work Sans"/>
          <w:sz w:val="24"/>
          <w:szCs w:val="24"/>
        </w:rPr>
      </w:pPr>
      <w:r>
        <w:rPr>
          <w:noProof/>
        </w:rPr>
        <w:drawing>
          <wp:inline distT="0" distB="0" distL="0" distR="0" wp14:anchorId="215A5D98" wp14:editId="3FEE4541">
            <wp:extent cx="2441749" cy="460926"/>
            <wp:effectExtent l="0" t="0" r="4445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749" cy="46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DFBE2" w14:textId="77777777" w:rsidR="008D1671" w:rsidRPr="00F0686F" w:rsidRDefault="008D1671" w:rsidP="008D1671">
      <w:pPr>
        <w:rPr>
          <w:rFonts w:ascii="Work Sans" w:hAnsi="Work Sans"/>
          <w:sz w:val="24"/>
          <w:szCs w:val="24"/>
        </w:rPr>
      </w:pPr>
    </w:p>
    <w:p w14:paraId="0AF50823" w14:textId="77777777" w:rsidR="008D1671" w:rsidRPr="00F0686F" w:rsidRDefault="008D1671" w:rsidP="008D1671">
      <w:pPr>
        <w:rPr>
          <w:rFonts w:ascii="Work Sans" w:hAnsi="Work Sans"/>
          <w:sz w:val="24"/>
          <w:szCs w:val="24"/>
        </w:rPr>
      </w:pPr>
    </w:p>
    <w:p w14:paraId="7545E3EE" w14:textId="70A33BD4" w:rsidR="008D1671" w:rsidRDefault="000C11A1" w:rsidP="008D1671">
      <w:pPr>
        <w:pStyle w:val="CGCNumberedPara"/>
        <w:numPr>
          <w:ilvl w:val="0"/>
          <w:numId w:val="0"/>
        </w:numPr>
        <w:ind w:left="567" w:hanging="567"/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D0B22A" wp14:editId="02701871">
                <wp:simplePos x="0" y="0"/>
                <wp:positionH relativeFrom="margin">
                  <wp:posOffset>-904875</wp:posOffset>
                </wp:positionH>
                <wp:positionV relativeFrom="page">
                  <wp:posOffset>2619375</wp:posOffset>
                </wp:positionV>
                <wp:extent cx="7553325" cy="776605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776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E0722" w14:textId="77777777" w:rsidR="008D1671" w:rsidRPr="00F656E3" w:rsidRDefault="008D1671" w:rsidP="008D1671">
                            <w:pPr>
                              <w:jc w:val="center"/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F656E3"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2025 </w:t>
                            </w:r>
                            <w:r w:rsidRPr="00F656E3">
                              <w:rPr>
                                <w:rFonts w:ascii="Work Sans" w:hAnsi="Work Sans" w:cs="Open Sans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Methodology </w:t>
                            </w:r>
                            <w:r w:rsidRPr="00F656E3"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  <w:t>Review</w:t>
                            </w:r>
                          </w:p>
                          <w:p w14:paraId="2A5467EA" w14:textId="77777777" w:rsidR="008D1671" w:rsidRPr="00EB24B1" w:rsidRDefault="008D1671" w:rsidP="008D1671">
                            <w:pPr>
                              <w:jc w:val="center"/>
                              <w:rPr>
                                <w:rFonts w:cs="Open Sans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Open Sans"/>
                                <w:color w:val="FFFFFF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B22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71.25pt;margin-top:206.25pt;width:594.75pt;height:61.1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" filled="f" stroked="f" strokeweight=".5pt">
                <v:textbox>
                  <w:txbxContent>
                    <w:p w14:paraId="37AE0722" w14:textId="77777777" w:rsidR="008D1671" w:rsidRPr="00F656E3" w:rsidRDefault="008D1671" w:rsidP="008D1671">
                      <w:pPr>
                        <w:jc w:val="center"/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F656E3"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  <w:t xml:space="preserve">2025 </w:t>
                      </w:r>
                      <w:r w:rsidRPr="00F656E3">
                        <w:rPr>
                          <w:rFonts w:ascii="Work Sans" w:hAnsi="Work Sans" w:cs="Open Sans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Methodology </w:t>
                      </w:r>
                      <w:r w:rsidRPr="00F656E3"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  <w:t>Review</w:t>
                      </w:r>
                    </w:p>
                    <w:p w14:paraId="2A5467EA" w14:textId="77777777" w:rsidR="008D1671" w:rsidRPr="00EB24B1" w:rsidRDefault="008D1671" w:rsidP="008D1671">
                      <w:pPr>
                        <w:jc w:val="center"/>
                        <w:rPr>
                          <w:rFonts w:cs="Open Sans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cs="Open Sans"/>
                          <w:color w:val="FFFFFF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5460AAA" w14:textId="77777777" w:rsidR="008D1671" w:rsidRDefault="008D1671" w:rsidP="008D1671">
      <w:pPr>
        <w:tabs>
          <w:tab w:val="clear" w:pos="567"/>
          <w:tab w:val="left" w:pos="2515"/>
        </w:tabs>
        <w:rPr>
          <w:rFonts w:ascii="Work Sans" w:hAnsi="Work Sans"/>
          <w:sz w:val="24"/>
          <w:szCs w:val="24"/>
        </w:rPr>
      </w:pPr>
    </w:p>
    <w:p w14:paraId="3B13D022" w14:textId="5790FF69" w:rsidR="008D1671" w:rsidRPr="00F2521E" w:rsidRDefault="008D1671" w:rsidP="008D1671">
      <w:pPr>
        <w:rPr>
          <w:rFonts w:ascii="Work Sans" w:hAnsi="Work Sans"/>
          <w:sz w:val="24"/>
          <w:szCs w:val="24"/>
        </w:rPr>
      </w:pPr>
    </w:p>
    <w:p w14:paraId="022480EC" w14:textId="77777777" w:rsidR="008D1671" w:rsidRPr="00F0686F" w:rsidRDefault="008D1671" w:rsidP="008D1671">
      <w:pPr>
        <w:rPr>
          <w:rFonts w:ascii="Work Sans" w:hAnsi="Work Sans"/>
          <w:sz w:val="24"/>
          <w:szCs w:val="24"/>
        </w:rPr>
      </w:pPr>
    </w:p>
    <w:p w14:paraId="4D7285AC" w14:textId="77777777" w:rsidR="008D1671" w:rsidRDefault="008D1671" w:rsidP="008D1671">
      <w:pPr>
        <w:rPr>
          <w:rFonts w:ascii="Work Sans" w:hAnsi="Work Sans"/>
          <w:sz w:val="24"/>
          <w:szCs w:val="24"/>
        </w:rPr>
      </w:pPr>
    </w:p>
    <w:p w14:paraId="3D7EEA35" w14:textId="77777777" w:rsidR="008D1671" w:rsidRDefault="008D1671" w:rsidP="008D1671">
      <w:pPr>
        <w:rPr>
          <w:rFonts w:ascii="Work Sans" w:hAnsi="Work Sans"/>
          <w:sz w:val="24"/>
          <w:szCs w:val="24"/>
        </w:rPr>
      </w:pPr>
    </w:p>
    <w:p w14:paraId="48EBD21D" w14:textId="18407D0D" w:rsidR="008D1671" w:rsidRDefault="000C11A1" w:rsidP="008D1671">
      <w:pPr>
        <w:rPr>
          <w:rFonts w:ascii="Work Sans" w:hAnsi="Work Sans"/>
          <w:sz w:val="24"/>
          <w:szCs w:val="24"/>
        </w:rPr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B5D53B" wp14:editId="511DAFB4">
                <wp:simplePos x="0" y="0"/>
                <wp:positionH relativeFrom="margin">
                  <wp:posOffset>-1000125</wp:posOffset>
                </wp:positionH>
                <wp:positionV relativeFrom="page">
                  <wp:posOffset>4200525</wp:posOffset>
                </wp:positionV>
                <wp:extent cx="7648575" cy="17430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5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929FE" w14:textId="77777777" w:rsidR="008917BB" w:rsidRDefault="008119C0" w:rsidP="008D1671">
                            <w:pPr>
                              <w:jc w:val="center"/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 xml:space="preserve">Gambling taxation </w:t>
                            </w:r>
                          </w:p>
                          <w:p w14:paraId="7E5BFBF8" w14:textId="6BC330E2" w:rsidR="008D1671" w:rsidRPr="00DC10B1" w:rsidRDefault="008119C0" w:rsidP="008D1671">
                            <w:pPr>
                              <w:jc w:val="center"/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>consultation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D53B" id="Text Box 29" o:spid="_x0000_s1027" type="#_x0000_t202" style="position:absolute;margin-left:-78.75pt;margin-top:330.75pt;width:602.25pt;height:137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QcGgIAADQEAAAOAAAAZHJzL2Uyb0RvYy54bWysU8lu2zAQvRfoPxC815IdL4lgOXATuCgQ&#10;JAGcImeaIi0CFIclaUvu13dIeUPaU9ELNcMZzfLe4/y+azTZC+cVmJIOBzklwnColNmW9Mfb6sst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" filled="f" stroked="f" strokeweight=".5pt">
                <v:textbox>
                  <w:txbxContent>
                    <w:p w14:paraId="1BC929FE" w14:textId="77777777" w:rsidR="008917BB" w:rsidRDefault="008119C0" w:rsidP="008D1671">
                      <w:pPr>
                        <w:jc w:val="center"/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</w:pPr>
                      <w:r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 xml:space="preserve">Gambling taxation </w:t>
                      </w:r>
                    </w:p>
                    <w:p w14:paraId="7E5BFBF8" w14:textId="6BC330E2" w:rsidR="008D1671" w:rsidRPr="00DC10B1" w:rsidRDefault="008119C0" w:rsidP="008D1671">
                      <w:pPr>
                        <w:jc w:val="center"/>
                        <w:rPr>
                          <w:rFonts w:ascii="Work Sans" w:hAnsi="Work Sans" w:cs="Open Sans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>consultation paper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9E87ABA" w14:textId="3AB04B2B" w:rsidR="008D1671" w:rsidRDefault="008D1671" w:rsidP="008D1671">
      <w:pPr>
        <w:rPr>
          <w:rFonts w:ascii="Work Sans" w:hAnsi="Work Sans"/>
          <w:sz w:val="24"/>
          <w:szCs w:val="24"/>
        </w:rPr>
      </w:pPr>
    </w:p>
    <w:p w14:paraId="06B90365" w14:textId="0D5917B7" w:rsidR="008D1671" w:rsidRDefault="008D1671" w:rsidP="008D1671">
      <w:pPr>
        <w:rPr>
          <w:rFonts w:ascii="Work Sans" w:hAnsi="Work Sans"/>
          <w:sz w:val="24"/>
          <w:szCs w:val="24"/>
        </w:rPr>
      </w:pPr>
    </w:p>
    <w:p w14:paraId="02C3FAA9" w14:textId="77777777" w:rsidR="008D1671" w:rsidRDefault="008D1671" w:rsidP="008D1671">
      <w:pPr>
        <w:jc w:val="center"/>
        <w:rPr>
          <w:rFonts w:ascii="Work Sans" w:hAnsi="Work Sans"/>
          <w:sz w:val="24"/>
          <w:szCs w:val="24"/>
        </w:rPr>
      </w:pPr>
    </w:p>
    <w:p w14:paraId="3373C504" w14:textId="77777777" w:rsidR="008D1671" w:rsidRDefault="008D1671" w:rsidP="008D1671">
      <w:pPr>
        <w:rPr>
          <w:rFonts w:ascii="Work Sans" w:hAnsi="Work Sans" w:cs="Open Sans"/>
          <w:color w:val="FFFFFF"/>
          <w:sz w:val="28"/>
          <w:szCs w:val="28"/>
        </w:rPr>
      </w:pPr>
    </w:p>
    <w:p w14:paraId="7B59F6F4" w14:textId="77777777" w:rsidR="008D1671" w:rsidRDefault="008D1671" w:rsidP="008D1671">
      <w:pPr>
        <w:rPr>
          <w:rFonts w:ascii="Work Sans" w:hAnsi="Work Sans" w:cs="Open Sans"/>
          <w:color w:val="FFFFFF"/>
          <w:sz w:val="28"/>
          <w:szCs w:val="28"/>
        </w:rPr>
      </w:pPr>
    </w:p>
    <w:p w14:paraId="4563F0F1" w14:textId="77777777" w:rsidR="008D1671" w:rsidRDefault="008D1671" w:rsidP="008D1671">
      <w:pPr>
        <w:rPr>
          <w:rFonts w:ascii="Work Sans" w:hAnsi="Work Sans" w:cs="Open Sans"/>
          <w:color w:val="FFFFFF"/>
          <w:sz w:val="28"/>
          <w:szCs w:val="28"/>
        </w:rPr>
      </w:pPr>
    </w:p>
    <w:p w14:paraId="261F2299" w14:textId="77777777" w:rsidR="008D1671" w:rsidRDefault="008D1671" w:rsidP="008D1671">
      <w:pPr>
        <w:rPr>
          <w:rFonts w:ascii="Work Sans" w:hAnsi="Work Sans" w:cs="Open Sans"/>
          <w:color w:val="FFFFFF"/>
          <w:sz w:val="28"/>
          <w:szCs w:val="28"/>
        </w:rPr>
      </w:pPr>
    </w:p>
    <w:p w14:paraId="137F0148" w14:textId="35CC8947" w:rsidR="008D1671" w:rsidRDefault="000C11A1" w:rsidP="008D1671">
      <w:pPr>
        <w:rPr>
          <w:rFonts w:ascii="Work Sans" w:hAnsi="Work Sans" w:cs="Open Sans"/>
          <w:color w:val="FFFFFF"/>
          <w:sz w:val="28"/>
          <w:szCs w:val="28"/>
        </w:rPr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D556F59" wp14:editId="3E13FEDE">
                <wp:simplePos x="0" y="0"/>
                <wp:positionH relativeFrom="margin">
                  <wp:posOffset>-904875</wp:posOffset>
                </wp:positionH>
                <wp:positionV relativeFrom="page">
                  <wp:posOffset>6524625</wp:posOffset>
                </wp:positionV>
                <wp:extent cx="7553325" cy="43878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4F62E" w14:textId="0176023F" w:rsidR="008D1671" w:rsidRPr="00BA4C59" w:rsidRDefault="0088256F" w:rsidP="008D1671">
                            <w:pPr>
                              <w:jc w:val="center"/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  <w:t>October</w:t>
                            </w:r>
                            <w:r w:rsidR="008D1671"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1671" w:rsidRPr="00BA4C59"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6F59" id="Text Box 30" o:spid="_x0000_s1028" type="#_x0000_t202" style="position:absolute;margin-left:-71.25pt;margin-top:513.75pt;width:594.75pt;height:34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" filled="f" stroked="f" strokeweight=".5pt">
                <v:textbox>
                  <w:txbxContent>
                    <w:p w14:paraId="53D4F62E" w14:textId="0176023F" w:rsidR="008D1671" w:rsidRPr="00BA4C59" w:rsidRDefault="0088256F" w:rsidP="008D1671">
                      <w:pPr>
                        <w:jc w:val="center"/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  <w:t>October</w:t>
                      </w:r>
                      <w:r w:rsidR="008D1671"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8D1671" w:rsidRPr="00BA4C59"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  <w:t>2023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A60D564" w14:textId="49622D80" w:rsidR="008D1671" w:rsidRDefault="008D1671" w:rsidP="008D1671">
      <w:pPr>
        <w:rPr>
          <w:rFonts w:ascii="Work Sans" w:hAnsi="Work Sans" w:cs="Open Sans"/>
          <w:color w:val="FFFFFF"/>
          <w:sz w:val="28"/>
          <w:szCs w:val="28"/>
        </w:rPr>
      </w:pPr>
    </w:p>
    <w:p w14:paraId="3FE71394" w14:textId="46C95B9E" w:rsidR="008D1671" w:rsidRDefault="008D1671" w:rsidP="008D1671">
      <w:pPr>
        <w:jc w:val="center"/>
        <w:rPr>
          <w:rFonts w:ascii="Work Sans" w:hAnsi="Work Sans" w:cs="Open Sans"/>
          <w:color w:val="FFFFFF"/>
          <w:sz w:val="28"/>
          <w:szCs w:val="28"/>
        </w:rPr>
      </w:pPr>
    </w:p>
    <w:p w14:paraId="1EE6DBBA" w14:textId="77777777" w:rsidR="008D1671" w:rsidRDefault="008D1671" w:rsidP="008D1671">
      <w:pPr>
        <w:rPr>
          <w:rFonts w:ascii="Work Sans" w:hAnsi="Work Sans" w:cs="Open Sans"/>
          <w:color w:val="FFFFFF"/>
          <w:sz w:val="28"/>
          <w:szCs w:val="28"/>
        </w:rPr>
      </w:pPr>
    </w:p>
    <w:p w14:paraId="19882293" w14:textId="77777777" w:rsidR="008D1671" w:rsidRPr="00704788" w:rsidRDefault="008D1671" w:rsidP="008D1671">
      <w:pPr>
        <w:rPr>
          <w:rFonts w:ascii="Work Sans" w:hAnsi="Work Sans" w:cs="Open Sans"/>
          <w:color w:val="FFFFFF"/>
          <w:sz w:val="28"/>
          <w:szCs w:val="28"/>
        </w:rPr>
      </w:pPr>
    </w:p>
    <w:p w14:paraId="16A31721" w14:textId="77777777" w:rsidR="008D1671" w:rsidRDefault="008D1671" w:rsidP="008D1671">
      <w:pPr>
        <w:pStyle w:val="Heading1"/>
        <w:jc w:val="center"/>
        <w:sectPr w:rsidR="008D1671"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BB0989" w14:textId="77777777" w:rsidR="008D1671" w:rsidRPr="005B6B61" w:rsidRDefault="008D1671" w:rsidP="008D1671"/>
    <w:p w14:paraId="67697740" w14:textId="77777777" w:rsidR="008D1671" w:rsidRPr="005B6B61" w:rsidRDefault="008D1671" w:rsidP="008D1671"/>
    <w:p w14:paraId="5410D214" w14:textId="77777777" w:rsidR="008D1671" w:rsidRPr="005B6B61" w:rsidRDefault="008D1671" w:rsidP="008D1671"/>
    <w:p w14:paraId="24581E76" w14:textId="77777777" w:rsidR="008D1671" w:rsidRPr="005B6B61" w:rsidRDefault="008D1671" w:rsidP="008D1671"/>
    <w:p w14:paraId="63955C7F" w14:textId="77777777" w:rsidR="008D1671" w:rsidRPr="005B6B61" w:rsidRDefault="008D1671" w:rsidP="008D1671"/>
    <w:p w14:paraId="740A66D9" w14:textId="77777777" w:rsidR="008D1671" w:rsidRPr="005B6B61" w:rsidRDefault="008D1671" w:rsidP="008D1671"/>
    <w:p w14:paraId="4E18968E" w14:textId="77777777" w:rsidR="008D1671" w:rsidRPr="005B6B61" w:rsidRDefault="008D1671" w:rsidP="008D1671"/>
    <w:p w14:paraId="2054AC04" w14:textId="77777777" w:rsidR="008D1671" w:rsidRDefault="008D1671" w:rsidP="008D1671"/>
    <w:p w14:paraId="6B57D48A" w14:textId="77777777" w:rsidR="008D1671" w:rsidRDefault="008D1671" w:rsidP="008D1671"/>
    <w:p w14:paraId="2381B017" w14:textId="77777777" w:rsidR="008D1671" w:rsidRDefault="008D1671" w:rsidP="008D1671"/>
    <w:p w14:paraId="414D22DE" w14:textId="77777777" w:rsidR="008D1671" w:rsidRDefault="008D1671" w:rsidP="008D1671"/>
    <w:p w14:paraId="473F878C" w14:textId="77777777" w:rsidR="008D1671" w:rsidRDefault="008D1671" w:rsidP="008D1671"/>
    <w:p w14:paraId="6B3FEB16" w14:textId="77777777" w:rsidR="008D1671" w:rsidRPr="005B6B61" w:rsidRDefault="008D1671" w:rsidP="008D1671"/>
    <w:p w14:paraId="0E2A940C" w14:textId="77777777" w:rsidR="008D1671" w:rsidRPr="005B6B61" w:rsidRDefault="008D1671" w:rsidP="008D1671"/>
    <w:p w14:paraId="127E36F3" w14:textId="77777777" w:rsidR="008D1671" w:rsidRPr="005B6B61" w:rsidRDefault="008D1671" w:rsidP="008D1671"/>
    <w:p w14:paraId="0F0ED0A9" w14:textId="77777777" w:rsidR="008D1671" w:rsidRPr="005B6B61" w:rsidRDefault="008D1671" w:rsidP="008D1671"/>
    <w:p w14:paraId="4667A8B4" w14:textId="77777777" w:rsidR="008D1671" w:rsidRPr="005B6B61" w:rsidRDefault="008D1671" w:rsidP="008D1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D1671" w14:paraId="02D0F638" w14:textId="77777777">
        <w:tc>
          <w:tcPr>
            <w:tcW w:w="2972" w:type="dxa"/>
          </w:tcPr>
          <w:p w14:paraId="11BFDBE8" w14:textId="77777777" w:rsidR="008D1671" w:rsidRPr="003119A7" w:rsidRDefault="008D1671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Paper issued</w:t>
            </w:r>
          </w:p>
        </w:tc>
        <w:tc>
          <w:tcPr>
            <w:tcW w:w="6044" w:type="dxa"/>
          </w:tcPr>
          <w:p w14:paraId="086416F2" w14:textId="5DF8BCBD" w:rsidR="008D1671" w:rsidRPr="003119A7" w:rsidRDefault="009A0655">
            <w:pPr>
              <w:rPr>
                <w:rFonts w:ascii="Work Sans" w:hAnsi="Work Sans"/>
                <w:szCs w:val="20"/>
              </w:rPr>
            </w:pPr>
            <w:r>
              <w:rPr>
                <w:rFonts w:ascii="Work Sans" w:hAnsi="Work Sans"/>
                <w:szCs w:val="20"/>
              </w:rPr>
              <w:t>19</w:t>
            </w:r>
            <w:r w:rsidR="008D1671">
              <w:rPr>
                <w:rFonts w:ascii="Work Sans" w:hAnsi="Work Sans"/>
                <w:szCs w:val="20"/>
              </w:rPr>
              <w:t xml:space="preserve"> </w:t>
            </w:r>
            <w:r w:rsidR="00DB198C">
              <w:rPr>
                <w:rFonts w:ascii="Work Sans" w:hAnsi="Work Sans"/>
                <w:szCs w:val="20"/>
              </w:rPr>
              <w:t>October</w:t>
            </w:r>
            <w:r w:rsidR="008D1671">
              <w:rPr>
                <w:rFonts w:ascii="Work Sans" w:hAnsi="Work Sans"/>
                <w:szCs w:val="20"/>
              </w:rPr>
              <w:t xml:space="preserve"> 2023</w:t>
            </w:r>
          </w:p>
        </w:tc>
      </w:tr>
      <w:tr w:rsidR="008D1671" w14:paraId="39ABAFCA" w14:textId="77777777">
        <w:tc>
          <w:tcPr>
            <w:tcW w:w="2972" w:type="dxa"/>
          </w:tcPr>
          <w:p w14:paraId="25826D94" w14:textId="77777777" w:rsidR="008D1671" w:rsidRPr="003119A7" w:rsidRDefault="008D1671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Commission contact officer</w:t>
            </w:r>
          </w:p>
        </w:tc>
        <w:tc>
          <w:tcPr>
            <w:tcW w:w="6044" w:type="dxa"/>
          </w:tcPr>
          <w:p w14:paraId="17B29931" w14:textId="77777777" w:rsidR="008D1671" w:rsidRPr="003119A7" w:rsidRDefault="008D1671">
            <w:pPr>
              <w:rPr>
                <w:rFonts w:ascii="Work Sans" w:hAnsi="Work Sans"/>
                <w:szCs w:val="20"/>
              </w:rPr>
            </w:pPr>
            <w:r w:rsidRPr="002240A6">
              <w:rPr>
                <w:rFonts w:ascii="Work Sans" w:hAnsi="Work Sans"/>
                <w:szCs w:val="20"/>
              </w:rPr>
              <w:t>Dermot Doherty, 02 6218</w:t>
            </w:r>
            <w:r>
              <w:rPr>
                <w:rFonts w:ascii="Work Sans" w:hAnsi="Work Sans"/>
                <w:szCs w:val="20"/>
              </w:rPr>
              <w:t xml:space="preserve"> </w:t>
            </w:r>
            <w:r w:rsidRPr="002240A6">
              <w:rPr>
                <w:rFonts w:ascii="Work Sans" w:hAnsi="Work Sans"/>
                <w:szCs w:val="20"/>
              </w:rPr>
              <w:t xml:space="preserve">5717, </w:t>
            </w:r>
            <w:r>
              <w:rPr>
                <w:rFonts w:ascii="Work Sans" w:hAnsi="Work Sans"/>
                <w:szCs w:val="20"/>
              </w:rPr>
              <w:t>Dermot.Doherty@cgc.gov.au</w:t>
            </w:r>
            <w:r w:rsidRPr="003119A7">
              <w:rPr>
                <w:rFonts w:ascii="Work Sans" w:hAnsi="Work Sans"/>
                <w:szCs w:val="20"/>
              </w:rPr>
              <w:t xml:space="preserve"> </w:t>
            </w:r>
          </w:p>
        </w:tc>
      </w:tr>
      <w:tr w:rsidR="008D1671" w14:paraId="4CE8743D" w14:textId="77777777">
        <w:tc>
          <w:tcPr>
            <w:tcW w:w="2972" w:type="dxa"/>
          </w:tcPr>
          <w:p w14:paraId="0A839AB3" w14:textId="77777777" w:rsidR="008D1671" w:rsidRPr="003119A7" w:rsidRDefault="008D1671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Submissions sought by</w:t>
            </w:r>
          </w:p>
        </w:tc>
        <w:tc>
          <w:tcPr>
            <w:tcW w:w="6044" w:type="dxa"/>
          </w:tcPr>
          <w:p w14:paraId="245E6365" w14:textId="174D6FDD" w:rsidR="00114EA8" w:rsidRDefault="008917BB" w:rsidP="00114EA8">
            <w:pPr>
              <w:rPr>
                <w:rFonts w:ascii="Work Sans" w:hAnsi="Work Sans"/>
                <w:szCs w:val="20"/>
              </w:rPr>
            </w:pPr>
            <w:r>
              <w:rPr>
                <w:rFonts w:ascii="Work Sans" w:hAnsi="Work Sans"/>
                <w:szCs w:val="20"/>
              </w:rPr>
              <w:t>1 March 2024</w:t>
            </w:r>
          </w:p>
          <w:p w14:paraId="5417EFB5" w14:textId="593A2958" w:rsidR="00114EA8" w:rsidRPr="003119A7" w:rsidRDefault="00114EA8" w:rsidP="00114EA8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Submissions should be placed in your private state channel in CGC Engagement Teams, with a post notifying </w:t>
            </w:r>
            <w:r w:rsidR="009A0655">
              <w:rPr>
                <w:rFonts w:ascii="Work Sans" w:hAnsi="Work Sans"/>
                <w:szCs w:val="20"/>
              </w:rPr>
              <w:t>Katrina Baldock</w:t>
            </w:r>
            <w:r w:rsidRPr="003119A7">
              <w:rPr>
                <w:rFonts w:ascii="Work Sans" w:hAnsi="Work Sans"/>
                <w:szCs w:val="20"/>
              </w:rPr>
              <w:t>.</w:t>
            </w:r>
          </w:p>
          <w:p w14:paraId="735CDF1E" w14:textId="1F8FA7BA" w:rsidR="008D1671" w:rsidRPr="003119A7" w:rsidRDefault="00114EA8" w:rsidP="00114EA8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Submissions </w:t>
            </w:r>
            <w:r>
              <w:rPr>
                <w:rFonts w:ascii="Work Sans" w:hAnsi="Work Sans"/>
                <w:szCs w:val="20"/>
              </w:rPr>
              <w:t xml:space="preserve">should be in Word format and posted in the relevant state channel of the CGC engagement Team. Submissions </w:t>
            </w:r>
            <w:r w:rsidRPr="003119A7">
              <w:rPr>
                <w:rFonts w:ascii="Work Sans" w:hAnsi="Work Sans"/>
                <w:szCs w:val="20"/>
              </w:rPr>
              <w:t>more than 10 pages in length should include a summary section.</w:t>
            </w:r>
          </w:p>
        </w:tc>
      </w:tr>
      <w:tr w:rsidR="008D1671" w14:paraId="068C861A" w14:textId="77777777">
        <w:tc>
          <w:tcPr>
            <w:tcW w:w="2972" w:type="dxa"/>
          </w:tcPr>
          <w:p w14:paraId="0CC02932" w14:textId="77777777" w:rsidR="008D1671" w:rsidRPr="003119A7" w:rsidRDefault="008D1671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Confidential material</w:t>
            </w:r>
          </w:p>
        </w:tc>
        <w:tc>
          <w:tcPr>
            <w:tcW w:w="6044" w:type="dxa"/>
          </w:tcPr>
          <w:p w14:paraId="42F91F42" w14:textId="22B9F685" w:rsidR="008D1671" w:rsidRPr="003119A7" w:rsidRDefault="00D90EA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It is the </w:t>
            </w:r>
            <w:r>
              <w:rPr>
                <w:rFonts w:ascii="Work Sans" w:hAnsi="Work Sans"/>
                <w:szCs w:val="20"/>
              </w:rPr>
              <w:t>C</w:t>
            </w:r>
            <w:r w:rsidRPr="003119A7">
              <w:rPr>
                <w:rFonts w:ascii="Work Sans" w:hAnsi="Work Sans"/>
                <w:szCs w:val="20"/>
              </w:rPr>
              <w:t>ommission’s normal practice to make state submissions available on its website under the CC BY licence, allowing free use of content by third parties</w:t>
            </w:r>
            <w:r w:rsidR="008D1671" w:rsidRPr="003119A7">
              <w:rPr>
                <w:rFonts w:ascii="Work Sans" w:hAnsi="Work Sans"/>
                <w:szCs w:val="20"/>
              </w:rPr>
              <w:t xml:space="preserve">. </w:t>
            </w:r>
          </w:p>
          <w:p w14:paraId="6A30F460" w14:textId="77777777" w:rsidR="008D1671" w:rsidRPr="003119A7" w:rsidRDefault="008D1671">
            <w:pPr>
              <w:rPr>
                <w:rFonts w:ascii="Work Sans" w:hAnsi="Work Sans"/>
                <w:szCs w:val="20"/>
              </w:rPr>
            </w:pPr>
            <w:r w:rsidRPr="003119A7">
              <w:rPr>
                <w:noProof/>
                <w:szCs w:val="20"/>
                <w:lang w:eastAsia="en-AU"/>
              </w:rPr>
              <w:drawing>
                <wp:inline distT="0" distB="0" distL="0" distR="0" wp14:anchorId="2FB023D6" wp14:editId="135B842A">
                  <wp:extent cx="828675" cy="295275"/>
                  <wp:effectExtent l="19050" t="0" r="9525" b="0"/>
                  <wp:docPr id="3" name="Picture 3" descr="Creative Commons - CC BY Attrib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- Attrib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C5EEB" w14:textId="77777777" w:rsidR="009A3660" w:rsidRPr="003119A7" w:rsidRDefault="009A3660" w:rsidP="009A3660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Further information on the CC BY licence can be found on the Creative Commons website (http://creativecommons.org). </w:t>
            </w:r>
          </w:p>
          <w:p w14:paraId="132ED420" w14:textId="2191ED95" w:rsidR="008D1671" w:rsidRPr="003119A7" w:rsidRDefault="009A3660" w:rsidP="009A3660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Confidential material contained in submissions must be clearly identified or included in separate attachment/s, and details provided in the covering email. Identified confidential material will not be published on the </w:t>
            </w:r>
            <w:r>
              <w:rPr>
                <w:rFonts w:ascii="Work Sans" w:hAnsi="Work Sans"/>
                <w:szCs w:val="20"/>
              </w:rPr>
              <w:t>C</w:t>
            </w:r>
            <w:r w:rsidRPr="003119A7">
              <w:rPr>
                <w:rFonts w:ascii="Work Sans" w:hAnsi="Work Sans"/>
                <w:szCs w:val="20"/>
              </w:rPr>
              <w:t>ommission’s website</w:t>
            </w:r>
            <w:r w:rsidR="008D1671" w:rsidRPr="003119A7">
              <w:rPr>
                <w:rFonts w:ascii="Work Sans" w:hAnsi="Work Sans"/>
                <w:szCs w:val="20"/>
              </w:rPr>
              <w:t>.</w:t>
            </w:r>
          </w:p>
        </w:tc>
      </w:tr>
    </w:tbl>
    <w:p w14:paraId="580148F1" w14:textId="77777777" w:rsidR="008D1671" w:rsidRDefault="008D1671" w:rsidP="008D1671">
      <w:pPr>
        <w:sectPr w:rsidR="008D1671">
          <w:headerReference w:type="default" r:id="rId15"/>
          <w:footerReference w:type="first" r:id="rId16"/>
          <w:pgSz w:w="11906" w:h="16838" w:code="9"/>
          <w:pgMar w:top="1440" w:right="1440" w:bottom="1440" w:left="1440" w:header="720" w:footer="720" w:gutter="0"/>
          <w:cols w:space="720"/>
          <w:docGrid w:linePitch="272"/>
        </w:sectPr>
      </w:pPr>
    </w:p>
    <w:sdt>
      <w:sdtPr>
        <w:rPr>
          <w:rFonts w:ascii="Open Sans Light" w:eastAsiaTheme="minorHAnsi" w:hAnsi="Open Sans Light" w:cstheme="minorBidi"/>
          <w:b w:val="0"/>
          <w:bCs w:val="0"/>
          <w:caps w:val="0"/>
          <w:color w:val="auto"/>
          <w:sz w:val="20"/>
          <w:szCs w:val="22"/>
        </w:rPr>
        <w:id w:val="16549527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A4A974F" w14:textId="40DE759B" w:rsidR="000A2B4E" w:rsidRDefault="000A2B4E">
          <w:pPr>
            <w:pStyle w:val="TOCHeading"/>
          </w:pPr>
          <w:r>
            <w:t>Contents</w:t>
          </w:r>
        </w:p>
        <w:p w14:paraId="4F2674D9" w14:textId="2D17D7DC" w:rsidR="001C77C4" w:rsidRDefault="000A2B4E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600175" w:history="1">
            <w:r w:rsidR="001C77C4" w:rsidRPr="00F8360A">
              <w:rPr>
                <w:rStyle w:val="Hyperlink"/>
                <w:rFonts w:eastAsia="Times New Roman" w:cs="Open Sans"/>
                <w:noProof/>
              </w:rPr>
              <w:t>Overview of category</w:t>
            </w:r>
            <w:r w:rsidR="001C77C4">
              <w:rPr>
                <w:noProof/>
                <w:webHidden/>
              </w:rPr>
              <w:tab/>
            </w:r>
            <w:r w:rsidR="001C77C4">
              <w:rPr>
                <w:noProof/>
                <w:webHidden/>
              </w:rPr>
              <w:fldChar w:fldCharType="begin"/>
            </w:r>
            <w:r w:rsidR="001C77C4">
              <w:rPr>
                <w:noProof/>
                <w:webHidden/>
              </w:rPr>
              <w:instrText xml:space="preserve"> PAGEREF _Toc148600175 \h </w:instrText>
            </w:r>
            <w:r w:rsidR="001C77C4">
              <w:rPr>
                <w:noProof/>
                <w:webHidden/>
              </w:rPr>
            </w:r>
            <w:r w:rsidR="001C77C4">
              <w:rPr>
                <w:noProof/>
                <w:webHidden/>
              </w:rPr>
              <w:fldChar w:fldCharType="separate"/>
            </w:r>
            <w:r w:rsidR="001C77C4">
              <w:rPr>
                <w:noProof/>
                <w:webHidden/>
              </w:rPr>
              <w:t>4</w:t>
            </w:r>
            <w:r w:rsidR="001C77C4">
              <w:rPr>
                <w:noProof/>
                <w:webHidden/>
              </w:rPr>
              <w:fldChar w:fldCharType="end"/>
            </w:r>
          </w:hyperlink>
        </w:p>
        <w:p w14:paraId="115D7590" w14:textId="41F54BED" w:rsidR="001C77C4" w:rsidRDefault="001C77C4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76" w:history="1">
            <w:r w:rsidRPr="00F8360A">
              <w:rPr>
                <w:rStyle w:val="Hyperlink"/>
                <w:rFonts w:eastAsia="Times New Roman" w:cs="Open Sans"/>
                <w:noProof/>
              </w:rPr>
              <w:t>Current assessment method – 2020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_Toc148600176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3C8CA" w14:textId="6575D708" w:rsidR="001C77C4" w:rsidRPr="001C77C4" w:rsidRDefault="001C77C4">
          <w:pPr>
            <w:pStyle w:val="TOC3"/>
            <w:rPr>
              <w:rFonts w:eastAsiaTheme="minorEastAsia" w:cs="Open Sans Light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77" w:history="1">
            <w:r w:rsidRPr="001C77C4">
              <w:rPr>
                <w:rStyle w:val="Hyperlink"/>
                <w:rFonts w:eastAsia="Times New Roman" w:cs="Open Sans Light"/>
                <w:noProof/>
              </w:rPr>
              <w:t>Data used in the assessment</w:t>
            </w:r>
            <w:r w:rsidRPr="001C77C4">
              <w:rPr>
                <w:rFonts w:cs="Open Sans Light"/>
                <w:noProof/>
                <w:webHidden/>
              </w:rPr>
              <w:tab/>
            </w:r>
            <w:r w:rsidRPr="001C77C4">
              <w:rPr>
                <w:rFonts w:cs="Open Sans Light"/>
                <w:noProof/>
                <w:webHidden/>
              </w:rPr>
              <w:fldChar w:fldCharType="begin"/>
            </w:r>
            <w:r w:rsidRPr="001C77C4">
              <w:rPr>
                <w:rFonts w:cs="Open Sans Light"/>
                <w:noProof/>
                <w:webHidden/>
              </w:rPr>
              <w:instrText xml:space="preserve"> PAGEREF _Toc148600177 \h </w:instrText>
            </w:r>
            <w:r w:rsidRPr="001C77C4">
              <w:rPr>
                <w:rFonts w:cs="Open Sans Light"/>
                <w:noProof/>
                <w:webHidden/>
              </w:rPr>
            </w:r>
            <w:r w:rsidRPr="001C77C4">
              <w:rPr>
                <w:rFonts w:cs="Open Sans Light"/>
                <w:noProof/>
                <w:webHidden/>
              </w:rPr>
              <w:fldChar w:fldCharType="separate"/>
            </w:r>
            <w:r w:rsidRPr="001C77C4">
              <w:rPr>
                <w:rFonts w:cs="Open Sans Light"/>
                <w:noProof/>
                <w:webHidden/>
              </w:rPr>
              <w:t>4</w:t>
            </w:r>
            <w:r w:rsidRPr="001C77C4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79EABF0D" w14:textId="2367DCC3" w:rsidR="001C77C4" w:rsidRPr="001C77C4" w:rsidRDefault="001C77C4">
          <w:pPr>
            <w:pStyle w:val="TOC3"/>
            <w:rPr>
              <w:rFonts w:eastAsiaTheme="minorEastAsia" w:cs="Open Sans Light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78" w:history="1">
            <w:r w:rsidRPr="001C77C4">
              <w:rPr>
                <w:rStyle w:val="Hyperlink"/>
                <w:rFonts w:eastAsia="Times New Roman" w:cs="Open Sans Light"/>
                <w:noProof/>
              </w:rPr>
              <w:t>Category and component revenue</w:t>
            </w:r>
            <w:r w:rsidRPr="001C77C4">
              <w:rPr>
                <w:rFonts w:cs="Open Sans Light"/>
                <w:noProof/>
                <w:webHidden/>
              </w:rPr>
              <w:tab/>
            </w:r>
            <w:r w:rsidRPr="001C77C4">
              <w:rPr>
                <w:rFonts w:cs="Open Sans Light"/>
                <w:noProof/>
                <w:webHidden/>
              </w:rPr>
              <w:fldChar w:fldCharType="begin"/>
            </w:r>
            <w:r w:rsidRPr="001C77C4">
              <w:rPr>
                <w:rFonts w:cs="Open Sans Light"/>
                <w:noProof/>
                <w:webHidden/>
              </w:rPr>
              <w:instrText xml:space="preserve"> PAGEREF _Toc148600178 \h </w:instrText>
            </w:r>
            <w:r w:rsidRPr="001C77C4">
              <w:rPr>
                <w:rFonts w:cs="Open Sans Light"/>
                <w:noProof/>
                <w:webHidden/>
              </w:rPr>
            </w:r>
            <w:r w:rsidRPr="001C77C4">
              <w:rPr>
                <w:rFonts w:cs="Open Sans Light"/>
                <w:noProof/>
                <w:webHidden/>
              </w:rPr>
              <w:fldChar w:fldCharType="separate"/>
            </w:r>
            <w:r w:rsidRPr="001C77C4">
              <w:rPr>
                <w:rFonts w:cs="Open Sans Light"/>
                <w:noProof/>
                <w:webHidden/>
              </w:rPr>
              <w:t>4</w:t>
            </w:r>
            <w:r w:rsidRPr="001C77C4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3DB0557A" w14:textId="504BB038" w:rsidR="001C77C4" w:rsidRPr="001C77C4" w:rsidRDefault="001C77C4">
          <w:pPr>
            <w:pStyle w:val="TOC3"/>
            <w:rPr>
              <w:rFonts w:eastAsiaTheme="minorEastAsia" w:cs="Open Sans Light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79" w:history="1">
            <w:r w:rsidRPr="001C77C4">
              <w:rPr>
                <w:rStyle w:val="Hyperlink"/>
                <w:rFonts w:eastAsia="Times New Roman" w:cs="Open Sans Light"/>
                <w:noProof/>
              </w:rPr>
              <w:t>GST distribution in the 2023 Update</w:t>
            </w:r>
            <w:r w:rsidRPr="001C77C4">
              <w:rPr>
                <w:rFonts w:cs="Open Sans Light"/>
                <w:noProof/>
                <w:webHidden/>
              </w:rPr>
              <w:tab/>
            </w:r>
            <w:r w:rsidRPr="001C77C4">
              <w:rPr>
                <w:rFonts w:cs="Open Sans Light"/>
                <w:noProof/>
                <w:webHidden/>
              </w:rPr>
              <w:fldChar w:fldCharType="begin"/>
            </w:r>
            <w:r w:rsidRPr="001C77C4">
              <w:rPr>
                <w:rFonts w:cs="Open Sans Light"/>
                <w:noProof/>
                <w:webHidden/>
              </w:rPr>
              <w:instrText xml:space="preserve"> PAGEREF _Toc148600179 \h </w:instrText>
            </w:r>
            <w:r w:rsidRPr="001C77C4">
              <w:rPr>
                <w:rFonts w:cs="Open Sans Light"/>
                <w:noProof/>
                <w:webHidden/>
              </w:rPr>
            </w:r>
            <w:r w:rsidRPr="001C77C4">
              <w:rPr>
                <w:rFonts w:cs="Open Sans Light"/>
                <w:noProof/>
                <w:webHidden/>
              </w:rPr>
              <w:fldChar w:fldCharType="separate"/>
            </w:r>
            <w:r w:rsidRPr="001C77C4">
              <w:rPr>
                <w:rFonts w:cs="Open Sans Light"/>
                <w:noProof/>
                <w:webHidden/>
              </w:rPr>
              <w:t>5</w:t>
            </w:r>
            <w:r w:rsidRPr="001C77C4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30CBF79F" w14:textId="28118769" w:rsidR="001C77C4" w:rsidRDefault="001C77C4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80" w:history="1">
            <w:r w:rsidRPr="00F8360A">
              <w:rPr>
                <w:rStyle w:val="Hyperlink"/>
                <w:rFonts w:eastAsia="Times New Roman" w:cs="Open Sans"/>
                <w:noProof/>
              </w:rPr>
              <w:t>What has changed since the 2020 Review?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_Toc148600180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7617C" w14:textId="2B036539" w:rsidR="001C77C4" w:rsidRDefault="001C77C4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81" w:history="1">
            <w:r w:rsidRPr="00F8360A">
              <w:rPr>
                <w:rStyle w:val="Hyperlink"/>
                <w:rFonts w:eastAsia="Times New Roman" w:cs="Open Sans"/>
                <w:noProof/>
              </w:rPr>
              <w:t>Implications for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_Toc148600181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399E8" w14:textId="200A0F3D" w:rsidR="001C77C4" w:rsidRPr="001C77C4" w:rsidRDefault="001C77C4">
          <w:pPr>
            <w:pStyle w:val="TOC3"/>
            <w:rPr>
              <w:rFonts w:eastAsiaTheme="minorEastAsia" w:cs="Open Sans Light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82" w:history="1">
            <w:r w:rsidRPr="001C77C4">
              <w:rPr>
                <w:rStyle w:val="Hyperlink"/>
                <w:rFonts w:eastAsia="Times New Roman" w:cs="Open Sans Light"/>
                <w:noProof/>
              </w:rPr>
              <w:t>Capacity measure</w:t>
            </w:r>
            <w:r w:rsidRPr="001C77C4">
              <w:rPr>
                <w:rFonts w:cs="Open Sans Light"/>
                <w:noProof/>
                <w:webHidden/>
              </w:rPr>
              <w:tab/>
            </w:r>
            <w:r w:rsidRPr="001C77C4">
              <w:rPr>
                <w:rFonts w:cs="Open Sans Light"/>
                <w:noProof/>
                <w:webHidden/>
              </w:rPr>
              <w:fldChar w:fldCharType="begin"/>
            </w:r>
            <w:r w:rsidRPr="001C77C4">
              <w:rPr>
                <w:rFonts w:cs="Open Sans Light"/>
                <w:noProof/>
                <w:webHidden/>
              </w:rPr>
              <w:instrText xml:space="preserve"> PAGEREF _Toc148600182 \h </w:instrText>
            </w:r>
            <w:r w:rsidRPr="001C77C4">
              <w:rPr>
                <w:rFonts w:cs="Open Sans Light"/>
                <w:noProof/>
                <w:webHidden/>
              </w:rPr>
            </w:r>
            <w:r w:rsidRPr="001C77C4">
              <w:rPr>
                <w:rFonts w:cs="Open Sans Light"/>
                <w:noProof/>
                <w:webHidden/>
              </w:rPr>
              <w:fldChar w:fldCharType="separate"/>
            </w:r>
            <w:r w:rsidRPr="001C77C4">
              <w:rPr>
                <w:rFonts w:cs="Open Sans Light"/>
                <w:noProof/>
                <w:webHidden/>
              </w:rPr>
              <w:t>8</w:t>
            </w:r>
            <w:r w:rsidRPr="001C77C4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3784142D" w14:textId="4828AA13" w:rsidR="001C77C4" w:rsidRPr="001C77C4" w:rsidRDefault="001C77C4">
          <w:pPr>
            <w:pStyle w:val="TOC3"/>
            <w:rPr>
              <w:rFonts w:eastAsiaTheme="minorEastAsia" w:cs="Open Sans Light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83" w:history="1">
            <w:r w:rsidRPr="001C77C4">
              <w:rPr>
                <w:rStyle w:val="Hyperlink"/>
                <w:rFonts w:eastAsia="Times New Roman" w:cs="Open Sans Light"/>
                <w:noProof/>
              </w:rPr>
              <w:t>Assessment of the category</w:t>
            </w:r>
            <w:r w:rsidRPr="001C77C4">
              <w:rPr>
                <w:rFonts w:cs="Open Sans Light"/>
                <w:noProof/>
                <w:webHidden/>
              </w:rPr>
              <w:tab/>
            </w:r>
            <w:r w:rsidRPr="001C77C4">
              <w:rPr>
                <w:rFonts w:cs="Open Sans Light"/>
                <w:noProof/>
                <w:webHidden/>
              </w:rPr>
              <w:fldChar w:fldCharType="begin"/>
            </w:r>
            <w:r w:rsidRPr="001C77C4">
              <w:rPr>
                <w:rFonts w:cs="Open Sans Light"/>
                <w:noProof/>
                <w:webHidden/>
              </w:rPr>
              <w:instrText xml:space="preserve"> PAGEREF _Toc148600183 \h </w:instrText>
            </w:r>
            <w:r w:rsidRPr="001C77C4">
              <w:rPr>
                <w:rFonts w:cs="Open Sans Light"/>
                <w:noProof/>
                <w:webHidden/>
              </w:rPr>
            </w:r>
            <w:r w:rsidRPr="001C77C4">
              <w:rPr>
                <w:rFonts w:cs="Open Sans Light"/>
                <w:noProof/>
                <w:webHidden/>
              </w:rPr>
              <w:fldChar w:fldCharType="separate"/>
            </w:r>
            <w:r w:rsidRPr="001C77C4">
              <w:rPr>
                <w:rFonts w:cs="Open Sans Light"/>
                <w:noProof/>
                <w:webHidden/>
              </w:rPr>
              <w:t>10</w:t>
            </w:r>
            <w:r w:rsidRPr="001C77C4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6106D358" w14:textId="645FA5FC" w:rsidR="001C77C4" w:rsidRDefault="001C77C4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84" w:history="1">
            <w:r w:rsidRPr="00F8360A">
              <w:rPr>
                <w:rStyle w:val="Hyperlink"/>
                <w:rFonts w:eastAsia="Times New Roman" w:cs="Open Sans"/>
                <w:noProof/>
              </w:rPr>
              <w:t>Proposed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_Toc148600184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6BE5E" w14:textId="33E1B43F" w:rsidR="001C77C4" w:rsidRPr="001C77C4" w:rsidRDefault="001C77C4">
          <w:pPr>
            <w:pStyle w:val="TOC3"/>
            <w:rPr>
              <w:rFonts w:eastAsiaTheme="minorEastAsia" w:cs="Open Sans Light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85" w:history="1">
            <w:r w:rsidRPr="001C77C4">
              <w:rPr>
                <w:rStyle w:val="Hyperlink"/>
                <w:rFonts w:eastAsia="Times New Roman" w:cs="Open Sans Light"/>
                <w:noProof/>
              </w:rPr>
              <w:t>Differences from the 2020 Review approach</w:t>
            </w:r>
            <w:r w:rsidRPr="001C77C4">
              <w:rPr>
                <w:rFonts w:cs="Open Sans Light"/>
                <w:noProof/>
                <w:webHidden/>
              </w:rPr>
              <w:tab/>
            </w:r>
            <w:r w:rsidRPr="001C77C4">
              <w:rPr>
                <w:rFonts w:cs="Open Sans Light"/>
                <w:noProof/>
                <w:webHidden/>
              </w:rPr>
              <w:fldChar w:fldCharType="begin"/>
            </w:r>
            <w:r w:rsidRPr="001C77C4">
              <w:rPr>
                <w:rFonts w:cs="Open Sans Light"/>
                <w:noProof/>
                <w:webHidden/>
              </w:rPr>
              <w:instrText xml:space="preserve"> PAGEREF _Toc148600185 \h </w:instrText>
            </w:r>
            <w:r w:rsidRPr="001C77C4">
              <w:rPr>
                <w:rFonts w:cs="Open Sans Light"/>
                <w:noProof/>
                <w:webHidden/>
              </w:rPr>
            </w:r>
            <w:r w:rsidRPr="001C77C4">
              <w:rPr>
                <w:rFonts w:cs="Open Sans Light"/>
                <w:noProof/>
                <w:webHidden/>
              </w:rPr>
              <w:fldChar w:fldCharType="separate"/>
            </w:r>
            <w:r w:rsidRPr="001C77C4">
              <w:rPr>
                <w:rFonts w:cs="Open Sans Light"/>
                <w:noProof/>
                <w:webHidden/>
              </w:rPr>
              <w:t>10</w:t>
            </w:r>
            <w:r w:rsidRPr="001C77C4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78220F76" w14:textId="6B104912" w:rsidR="001C77C4" w:rsidRPr="001C77C4" w:rsidRDefault="001C77C4">
          <w:pPr>
            <w:pStyle w:val="TOC3"/>
            <w:rPr>
              <w:rFonts w:eastAsiaTheme="minorEastAsia" w:cs="Open Sans Light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86" w:history="1">
            <w:r w:rsidRPr="001C77C4">
              <w:rPr>
                <w:rStyle w:val="Hyperlink"/>
                <w:rFonts w:eastAsia="Times New Roman" w:cs="Open Sans Light"/>
                <w:noProof/>
              </w:rPr>
              <w:t>Proposed assessment structure</w:t>
            </w:r>
            <w:r w:rsidRPr="001C77C4">
              <w:rPr>
                <w:rFonts w:cs="Open Sans Light"/>
                <w:noProof/>
                <w:webHidden/>
              </w:rPr>
              <w:tab/>
            </w:r>
            <w:r w:rsidRPr="001C77C4">
              <w:rPr>
                <w:rFonts w:cs="Open Sans Light"/>
                <w:noProof/>
                <w:webHidden/>
              </w:rPr>
              <w:fldChar w:fldCharType="begin"/>
            </w:r>
            <w:r w:rsidRPr="001C77C4">
              <w:rPr>
                <w:rFonts w:cs="Open Sans Light"/>
                <w:noProof/>
                <w:webHidden/>
              </w:rPr>
              <w:instrText xml:space="preserve"> PAGEREF _Toc148600186 \h </w:instrText>
            </w:r>
            <w:r w:rsidRPr="001C77C4">
              <w:rPr>
                <w:rFonts w:cs="Open Sans Light"/>
                <w:noProof/>
                <w:webHidden/>
              </w:rPr>
            </w:r>
            <w:r w:rsidRPr="001C77C4">
              <w:rPr>
                <w:rFonts w:cs="Open Sans Light"/>
                <w:noProof/>
                <w:webHidden/>
              </w:rPr>
              <w:fldChar w:fldCharType="separate"/>
            </w:r>
            <w:r w:rsidRPr="001C77C4">
              <w:rPr>
                <w:rFonts w:cs="Open Sans Light"/>
                <w:noProof/>
                <w:webHidden/>
              </w:rPr>
              <w:t>10</w:t>
            </w:r>
            <w:r w:rsidRPr="001C77C4">
              <w:rPr>
                <w:rFonts w:cs="Open Sans Light"/>
                <w:noProof/>
                <w:webHidden/>
              </w:rPr>
              <w:fldChar w:fldCharType="end"/>
            </w:r>
          </w:hyperlink>
        </w:p>
        <w:p w14:paraId="4DB8109C" w14:textId="2DD31E9E" w:rsidR="001C77C4" w:rsidRDefault="001C77C4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8600187" w:history="1">
            <w:r w:rsidRPr="00F8360A">
              <w:rPr>
                <w:rStyle w:val="Hyperlink"/>
                <w:rFonts w:eastAsia="Times New Roman" w:cs="Open Sans"/>
                <w:noProof/>
              </w:rPr>
              <w:t>Consultation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_Toc148600187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B7DAE" w14:textId="29621C7F" w:rsidR="000A2B4E" w:rsidRDefault="000A2B4E">
          <w:r>
            <w:rPr>
              <w:b/>
              <w:bCs/>
              <w:noProof/>
            </w:rPr>
            <w:fldChar w:fldCharType="end"/>
          </w:r>
        </w:p>
      </w:sdtContent>
    </w:sdt>
    <w:p w14:paraId="2763A072" w14:textId="77777777" w:rsidR="008D1671" w:rsidRDefault="008D1671" w:rsidP="008D1671">
      <w:pPr>
        <w:sectPr w:rsidR="008D1671">
          <w:footerReference w:type="default" r:id="rId17"/>
          <w:pgSz w:w="11906" w:h="16838" w:code="9"/>
          <w:pgMar w:top="1440" w:right="1440" w:bottom="1440" w:left="1440" w:header="720" w:footer="720" w:gutter="0"/>
          <w:pgNumType w:start="3"/>
          <w:cols w:space="720"/>
          <w:docGrid w:linePitch="272"/>
        </w:sectPr>
      </w:pPr>
    </w:p>
    <w:p w14:paraId="340EFD92" w14:textId="134C5593" w:rsidR="008D1671" w:rsidRPr="00352CE0" w:rsidRDefault="008D1671" w:rsidP="00352CE0">
      <w:pPr>
        <w:pStyle w:val="Heading2"/>
        <w:keepNext w:val="0"/>
        <w:widowControl/>
        <w:tabs>
          <w:tab w:val="clear" w:pos="567"/>
        </w:tabs>
        <w:spacing w:before="360" w:after="200" w:line="276" w:lineRule="auto"/>
        <w:rPr>
          <w:rFonts w:eastAsia="Times New Roman" w:cs="Open Sans"/>
          <w:color w:val="006991"/>
          <w:sz w:val="36"/>
          <w:szCs w:val="36"/>
        </w:rPr>
      </w:pPr>
      <w:bookmarkStart w:id="0" w:name="_Toc133236145"/>
      <w:bookmarkStart w:id="1" w:name="_Toc133236171"/>
      <w:bookmarkStart w:id="2" w:name="_Toc148600175"/>
      <w:r w:rsidRPr="00352CE0">
        <w:rPr>
          <w:rFonts w:eastAsia="Times New Roman" w:cs="Open Sans"/>
          <w:color w:val="006991"/>
          <w:sz w:val="36"/>
          <w:szCs w:val="36"/>
        </w:rPr>
        <w:lastRenderedPageBreak/>
        <w:t>Overview of category</w:t>
      </w:r>
      <w:bookmarkEnd w:id="0"/>
      <w:bookmarkEnd w:id="1"/>
      <w:bookmarkEnd w:id="2"/>
    </w:p>
    <w:p w14:paraId="3E22A0CE" w14:textId="33F6AC58" w:rsidR="008D1671" w:rsidRDefault="008D1671" w:rsidP="008D1671">
      <w:pPr>
        <w:pStyle w:val="CGC2025ParaNumbers"/>
      </w:pPr>
      <w:bookmarkStart w:id="3" w:name="_Toc116563445"/>
      <w:bookmarkStart w:id="4" w:name="_Toc117241705"/>
      <w:bookmarkStart w:id="5" w:name="_Toc133236146"/>
      <w:bookmarkStart w:id="6" w:name="_Toc133236172"/>
      <w:r>
        <w:t xml:space="preserve">The </w:t>
      </w:r>
      <w:r w:rsidRPr="00A4496C">
        <w:t xml:space="preserve">category comprises state </w:t>
      </w:r>
      <w:r w:rsidR="001E157A">
        <w:t xml:space="preserve">and territory (state) </w:t>
      </w:r>
      <w:r w:rsidRPr="00A4496C">
        <w:t xml:space="preserve">revenues </w:t>
      </w:r>
      <w:r w:rsidRPr="008D1671">
        <w:t>from gambling taxes</w:t>
      </w:r>
      <w:r>
        <w:t>.</w:t>
      </w:r>
    </w:p>
    <w:p w14:paraId="517FE5B6" w14:textId="644571B0" w:rsidR="008D1671" w:rsidRDefault="008D1671" w:rsidP="008D1671">
      <w:pPr>
        <w:pStyle w:val="CGC2025ParaNumbers"/>
      </w:pPr>
      <w:r>
        <w:t xml:space="preserve">Gambling </w:t>
      </w:r>
      <w:r w:rsidRPr="008D1671">
        <w:t xml:space="preserve">taxes </w:t>
      </w:r>
      <w:r w:rsidR="00042EF3">
        <w:t>are</w:t>
      </w:r>
      <w:r w:rsidRPr="008D1671">
        <w:t xml:space="preserve"> a mix of direct taxes on the main forms of gambling, licence fees and other levies and contributions. The main forms of gambling taxes are</w:t>
      </w:r>
      <w:r>
        <w:t>:</w:t>
      </w:r>
    </w:p>
    <w:p w14:paraId="329C6005" w14:textId="6A98981A" w:rsidR="008D1671" w:rsidRPr="00B35E14" w:rsidRDefault="008D1671" w:rsidP="008D1671">
      <w:pPr>
        <w:pStyle w:val="CGC2025Bullet1"/>
        <w:numPr>
          <w:ilvl w:val="0"/>
          <w:numId w:val="2"/>
        </w:numPr>
      </w:pPr>
      <w:r>
        <w:t xml:space="preserve">racing </w:t>
      </w:r>
      <w:r w:rsidRPr="008D1671">
        <w:t>taxes — the net proceeds from all taxes or commissions on bookmakers and totalisators</w:t>
      </w:r>
    </w:p>
    <w:p w14:paraId="341C5EAF" w14:textId="637FD45B" w:rsidR="008D1671" w:rsidRPr="00B35E14" w:rsidRDefault="008D1671" w:rsidP="008D1671">
      <w:pPr>
        <w:pStyle w:val="CGC2025Bullet1"/>
        <w:numPr>
          <w:ilvl w:val="0"/>
          <w:numId w:val="2"/>
        </w:numPr>
      </w:pPr>
      <w:r>
        <w:t xml:space="preserve">lottery </w:t>
      </w:r>
      <w:r w:rsidRPr="008D1671">
        <w:t xml:space="preserve">taxes — the net proceeds from </w:t>
      </w:r>
      <w:r w:rsidR="00650EEF">
        <w:t>s</w:t>
      </w:r>
      <w:r w:rsidRPr="008D1671">
        <w:t xml:space="preserve">tate lotteries, taxes on lottery subscriptions (including soccer pools, Keno and minor lotteries) and shares of profits of private </w:t>
      </w:r>
      <w:proofErr w:type="gramStart"/>
      <w:r w:rsidRPr="008D1671">
        <w:t>operators</w:t>
      </w:r>
      <w:proofErr w:type="gramEnd"/>
    </w:p>
    <w:p w14:paraId="3F692243" w14:textId="231AE58A" w:rsidR="008D1671" w:rsidRDefault="008D1671" w:rsidP="008D1671">
      <w:pPr>
        <w:pStyle w:val="CGC2025Bullet1"/>
        <w:numPr>
          <w:ilvl w:val="0"/>
          <w:numId w:val="2"/>
        </w:numPr>
      </w:pPr>
      <w:r>
        <w:t xml:space="preserve">gaming machine </w:t>
      </w:r>
      <w:r w:rsidRPr="008D1671">
        <w:t xml:space="preserve">taxes — the net proceeds from taxes and licences associated with poker machines in clubs, pubs and hotels and taxes on Club Keno games operated in clubs, pubs and </w:t>
      </w:r>
      <w:proofErr w:type="gramStart"/>
      <w:r w:rsidRPr="008D1671">
        <w:t>hotels</w:t>
      </w:r>
      <w:proofErr w:type="gramEnd"/>
    </w:p>
    <w:p w14:paraId="3F543124" w14:textId="5EAE22B4" w:rsidR="008D1671" w:rsidRPr="00B35E14" w:rsidRDefault="008D1671" w:rsidP="008D1671">
      <w:pPr>
        <w:pStyle w:val="CGC2025Bullet1"/>
        <w:numPr>
          <w:ilvl w:val="0"/>
          <w:numId w:val="2"/>
        </w:numPr>
      </w:pPr>
      <w:r>
        <w:t xml:space="preserve">casino </w:t>
      </w:r>
      <w:r w:rsidRPr="008D1671">
        <w:t xml:space="preserve">taxes — the taxes and levies on the holders of casino licences, including one off premiums/licence </w:t>
      </w:r>
      <w:r w:rsidRPr="009D0E0D">
        <w:t xml:space="preserve">fees, </w:t>
      </w:r>
      <w:r w:rsidR="00252A32" w:rsidRPr="009D0E0D">
        <w:t xml:space="preserve">and </w:t>
      </w:r>
      <w:r w:rsidRPr="009D0E0D">
        <w:t>net proceeds</w:t>
      </w:r>
      <w:r w:rsidRPr="008D1671">
        <w:t xml:space="preserve"> of taxes on gaming machines in </w:t>
      </w:r>
      <w:proofErr w:type="gramStart"/>
      <w:r w:rsidRPr="008D1671">
        <w:t>casinos</w:t>
      </w:r>
      <w:proofErr w:type="gramEnd"/>
    </w:p>
    <w:p w14:paraId="17575C05" w14:textId="06AA4463" w:rsidR="008D1671" w:rsidRDefault="008D1671" w:rsidP="008D1671">
      <w:pPr>
        <w:pStyle w:val="CGC2025Bullet1"/>
        <w:numPr>
          <w:ilvl w:val="0"/>
          <w:numId w:val="2"/>
        </w:numPr>
      </w:pPr>
      <w:r>
        <w:t xml:space="preserve">sports </w:t>
      </w:r>
      <w:r w:rsidRPr="008D1671">
        <w:t xml:space="preserve">betting taxes — the taxes and levies on approved types of local, </w:t>
      </w:r>
      <w:proofErr w:type="gramStart"/>
      <w:r w:rsidRPr="008D1671">
        <w:t>national</w:t>
      </w:r>
      <w:proofErr w:type="gramEnd"/>
      <w:r w:rsidRPr="008D1671">
        <w:t xml:space="preserve"> or international sporting activities (other than the established forms of horse and greyhound racing), whether on or off course, in person, by telephone or via the internet</w:t>
      </w:r>
      <w:r w:rsidRPr="00B35E14">
        <w:t>.</w:t>
      </w:r>
    </w:p>
    <w:p w14:paraId="0D71DF38" w14:textId="77777777" w:rsidR="008D1671" w:rsidRPr="008D1A28" w:rsidRDefault="008D1671" w:rsidP="008D1A28">
      <w:pPr>
        <w:pStyle w:val="Heading2"/>
        <w:keepNext w:val="0"/>
        <w:widowControl/>
        <w:tabs>
          <w:tab w:val="clear" w:pos="567"/>
        </w:tabs>
        <w:spacing w:before="360" w:after="200" w:line="276" w:lineRule="auto"/>
        <w:rPr>
          <w:rFonts w:eastAsia="Times New Roman" w:cs="Open Sans"/>
          <w:color w:val="006991"/>
          <w:sz w:val="36"/>
          <w:szCs w:val="36"/>
        </w:rPr>
      </w:pPr>
      <w:bookmarkStart w:id="7" w:name="_Toc148600176"/>
      <w:bookmarkEnd w:id="3"/>
      <w:bookmarkEnd w:id="4"/>
      <w:r w:rsidRPr="008D1A28">
        <w:rPr>
          <w:rFonts w:eastAsia="Times New Roman" w:cs="Open Sans"/>
          <w:color w:val="006991"/>
          <w:sz w:val="36"/>
          <w:szCs w:val="36"/>
        </w:rPr>
        <w:t>Current assessment method – 2020 Review</w:t>
      </w:r>
      <w:bookmarkEnd w:id="5"/>
      <w:bookmarkEnd w:id="6"/>
      <w:bookmarkEnd w:id="7"/>
    </w:p>
    <w:p w14:paraId="648D320C" w14:textId="307BC8EF" w:rsidR="008D1671" w:rsidRDefault="00ED7608" w:rsidP="00610F13">
      <w:pPr>
        <w:pStyle w:val="CGC2025ParaNumbers"/>
      </w:pPr>
      <w:bookmarkStart w:id="8" w:name="_Toc133236147"/>
      <w:bookmarkStart w:id="9" w:name="_Toc133236173"/>
      <w:r>
        <w:t>Under the 2020 Review method s</w:t>
      </w:r>
      <w:r w:rsidR="00F90C39">
        <w:t>tate gambling taxes</w:t>
      </w:r>
      <w:r w:rsidR="008D1671" w:rsidRPr="00A4496C">
        <w:t xml:space="preserve"> </w:t>
      </w:r>
      <w:r w:rsidR="00231822">
        <w:t>are</w:t>
      </w:r>
      <w:r w:rsidR="00231822" w:rsidRPr="00A4496C">
        <w:t xml:space="preserve"> </w:t>
      </w:r>
      <w:r w:rsidR="008D1671" w:rsidRPr="00A4496C">
        <w:t>assessed equal</w:t>
      </w:r>
      <w:r w:rsidR="000C4A67">
        <w:t> </w:t>
      </w:r>
      <w:r w:rsidR="008D1671" w:rsidRPr="00A4496C">
        <w:t>per</w:t>
      </w:r>
      <w:r w:rsidR="000C4A67">
        <w:t> </w:t>
      </w:r>
      <w:r w:rsidR="008D1671" w:rsidRPr="00A4496C">
        <w:t>capita</w:t>
      </w:r>
      <w:r w:rsidR="00F90C39">
        <w:t xml:space="preserve"> in the other revenue category</w:t>
      </w:r>
      <w:r w:rsidR="008D1671" w:rsidRPr="00A4496C">
        <w:t xml:space="preserve">. </w:t>
      </w:r>
      <w:r w:rsidR="00543349">
        <w:t>As a result, t</w:t>
      </w:r>
      <w:r w:rsidR="008D1671" w:rsidRPr="00A4496C">
        <w:t xml:space="preserve">his </w:t>
      </w:r>
      <w:r w:rsidR="00631E6E">
        <w:t xml:space="preserve">assessment </w:t>
      </w:r>
      <w:r w:rsidR="00D258A2">
        <w:t>does</w:t>
      </w:r>
      <w:r w:rsidR="00610F13" w:rsidRPr="00610F13">
        <w:t xml:space="preserve"> not </w:t>
      </w:r>
      <w:r w:rsidR="00A311B8">
        <w:t>affect</w:t>
      </w:r>
      <w:r w:rsidR="00610F13" w:rsidRPr="00610F13">
        <w:t xml:space="preserve"> states’ </w:t>
      </w:r>
      <w:r w:rsidR="00A311B8">
        <w:t>relative fiscal capacities</w:t>
      </w:r>
      <w:r w:rsidR="0019150B">
        <w:t xml:space="preserve">, and does not affect </w:t>
      </w:r>
      <w:r w:rsidR="006E74CC">
        <w:t xml:space="preserve">the </w:t>
      </w:r>
      <w:r w:rsidR="0019150B">
        <w:t>GST distribution</w:t>
      </w:r>
      <w:r w:rsidR="008D1671">
        <w:t>.</w:t>
      </w:r>
    </w:p>
    <w:p w14:paraId="17C5D3DF" w14:textId="4F5967A1" w:rsidR="008D1671" w:rsidRDefault="008D1671" w:rsidP="008D1671">
      <w:pPr>
        <w:pStyle w:val="CGC2025ParaNumbers"/>
      </w:pPr>
      <w:r>
        <w:t xml:space="preserve">In </w:t>
      </w:r>
      <w:r w:rsidRPr="00A4496C">
        <w:t>the 2020</w:t>
      </w:r>
      <w:r>
        <w:t> </w:t>
      </w:r>
      <w:r w:rsidRPr="00A4496C">
        <w:t>Review</w:t>
      </w:r>
      <w:r w:rsidRPr="0015409C">
        <w:t xml:space="preserve">, </w:t>
      </w:r>
      <w:r w:rsidRPr="009D0E0D">
        <w:t xml:space="preserve">the Commission </w:t>
      </w:r>
      <w:r w:rsidR="00612EB5" w:rsidRPr="009D0E0D">
        <w:t>concluded</w:t>
      </w:r>
      <w:r w:rsidRPr="009D0E0D">
        <w:t xml:space="preserve"> this </w:t>
      </w:r>
      <w:r w:rsidR="00265CB7" w:rsidRPr="009D0E0D">
        <w:t xml:space="preserve">was </w:t>
      </w:r>
      <w:r w:rsidRPr="009D0E0D">
        <w:t xml:space="preserve">the appropriate treatment because it was unable to </w:t>
      </w:r>
      <w:r w:rsidR="009050E5" w:rsidRPr="009D0E0D">
        <w:t>isolate</w:t>
      </w:r>
      <w:r w:rsidRPr="009D0E0D">
        <w:t xml:space="preserve"> the underlying factors driving gambling activity in each state</w:t>
      </w:r>
      <w:r w:rsidR="009F599A" w:rsidRPr="0015409C">
        <w:t xml:space="preserve"> and, therefore,</w:t>
      </w:r>
      <w:r w:rsidR="00AE7F07">
        <w:t xml:space="preserve"> </w:t>
      </w:r>
      <w:r w:rsidRPr="008D1671">
        <w:t>was unable to develop a reliable method of differentially assessing gambling taxes</w:t>
      </w:r>
      <w:r w:rsidR="009F599A">
        <w:t>.</w:t>
      </w:r>
    </w:p>
    <w:p w14:paraId="4C41067D" w14:textId="77777777" w:rsidR="008D1671" w:rsidRPr="003E45E2" w:rsidRDefault="008D1671" w:rsidP="003E45E2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eastAsia="Times New Roman" w:hAnsi="Work Sans" w:cs="Open Sans"/>
          <w:b/>
          <w:color w:val="006991"/>
          <w:sz w:val="28"/>
          <w:szCs w:val="28"/>
        </w:rPr>
      </w:pPr>
      <w:bookmarkStart w:id="10" w:name="_Toc148600177"/>
      <w:r w:rsidRPr="003E45E2">
        <w:rPr>
          <w:rFonts w:ascii="Work Sans" w:eastAsia="Times New Roman" w:hAnsi="Work Sans" w:cs="Open Sans"/>
          <w:b/>
          <w:color w:val="006991"/>
          <w:sz w:val="28"/>
          <w:szCs w:val="28"/>
        </w:rPr>
        <w:t xml:space="preserve">Data used in the </w:t>
      </w:r>
      <w:proofErr w:type="gramStart"/>
      <w:r w:rsidRPr="003E45E2">
        <w:rPr>
          <w:rFonts w:ascii="Work Sans" w:eastAsia="Times New Roman" w:hAnsi="Work Sans" w:cs="Open Sans"/>
          <w:b/>
          <w:color w:val="006991"/>
          <w:sz w:val="28"/>
          <w:szCs w:val="28"/>
        </w:rPr>
        <w:t>assessment</w:t>
      </w:r>
      <w:bookmarkEnd w:id="8"/>
      <w:bookmarkEnd w:id="9"/>
      <w:bookmarkEnd w:id="10"/>
      <w:proofErr w:type="gramEnd"/>
    </w:p>
    <w:p w14:paraId="75A2D694" w14:textId="498894AA" w:rsidR="008D1671" w:rsidRPr="005C2FFA" w:rsidRDefault="004B5F4B" w:rsidP="00945411">
      <w:pPr>
        <w:pStyle w:val="CGC2025ParaNumbers"/>
      </w:pPr>
      <w:r>
        <w:t>The</w:t>
      </w:r>
      <w:r w:rsidR="008237F5">
        <w:t xml:space="preserve"> </w:t>
      </w:r>
      <w:r w:rsidR="00945411" w:rsidRPr="00945411">
        <w:t xml:space="preserve">Commission obtains revenue data from the Australian Bureau of Statistics’ (ABS) Government Finance Statistics publication </w:t>
      </w:r>
      <w:r w:rsidR="00945411" w:rsidRPr="005C2FFA">
        <w:t>and</w:t>
      </w:r>
      <w:r w:rsidR="004B7180" w:rsidRPr="009D0E0D">
        <w:t xml:space="preserve">, for the last assessment year, </w:t>
      </w:r>
      <w:r w:rsidR="00855485">
        <w:t>s</w:t>
      </w:r>
      <w:r w:rsidR="004B7180" w:rsidRPr="009D0E0D">
        <w:t xml:space="preserve">tate </w:t>
      </w:r>
      <w:r w:rsidR="00855485">
        <w:t>r</w:t>
      </w:r>
      <w:r w:rsidR="004B7180" w:rsidRPr="009D0E0D">
        <w:t xml:space="preserve">evenue </w:t>
      </w:r>
      <w:r w:rsidR="00855485">
        <w:t>o</w:t>
      </w:r>
      <w:r w:rsidR="004B7180" w:rsidRPr="009D0E0D">
        <w:t>ffices.</w:t>
      </w:r>
      <w:r w:rsidR="004B7180" w:rsidRPr="005C2FFA">
        <w:t xml:space="preserve"> </w:t>
      </w:r>
    </w:p>
    <w:p w14:paraId="030EDE8F" w14:textId="1E6B66BA" w:rsidR="008D1671" w:rsidRPr="009D4A65" w:rsidRDefault="008D1671" w:rsidP="008D1671">
      <w:pPr>
        <w:pStyle w:val="CGC2025ParaNumbers"/>
      </w:pPr>
      <w:r>
        <w:t xml:space="preserve">Data </w:t>
      </w:r>
      <w:r w:rsidRPr="00A4496C">
        <w:t xml:space="preserve">on </w:t>
      </w:r>
      <w:r>
        <w:t>estimated resident populations are al</w:t>
      </w:r>
      <w:r w:rsidRPr="00A4496C">
        <w:t xml:space="preserve">so obtained from the </w:t>
      </w:r>
      <w:r w:rsidR="00945411">
        <w:t>ABS</w:t>
      </w:r>
      <w:r>
        <w:t>.</w:t>
      </w:r>
    </w:p>
    <w:p w14:paraId="6C7CD1EA" w14:textId="77777777" w:rsidR="008D1671" w:rsidRPr="00343592" w:rsidRDefault="008D1671" w:rsidP="00343592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eastAsia="Times New Roman" w:hAnsi="Work Sans" w:cs="Open Sans"/>
          <w:b/>
          <w:color w:val="006991"/>
          <w:sz w:val="28"/>
          <w:szCs w:val="28"/>
        </w:rPr>
      </w:pPr>
      <w:bookmarkStart w:id="11" w:name="_Toc132729100"/>
      <w:bookmarkStart w:id="12" w:name="_Toc133236148"/>
      <w:bookmarkStart w:id="13" w:name="_Toc133236174"/>
      <w:bookmarkStart w:id="14" w:name="_Toc148600178"/>
      <w:r w:rsidRPr="00343592">
        <w:rPr>
          <w:rFonts w:ascii="Work Sans" w:eastAsia="Times New Roman" w:hAnsi="Work Sans" w:cs="Open Sans"/>
          <w:b/>
          <w:color w:val="006991"/>
          <w:sz w:val="28"/>
          <w:szCs w:val="28"/>
        </w:rPr>
        <w:t xml:space="preserve">Category and component </w:t>
      </w:r>
      <w:bookmarkEnd w:id="11"/>
      <w:bookmarkEnd w:id="12"/>
      <w:bookmarkEnd w:id="13"/>
      <w:r w:rsidRPr="00343592">
        <w:rPr>
          <w:rFonts w:ascii="Work Sans" w:eastAsia="Times New Roman" w:hAnsi="Work Sans" w:cs="Open Sans"/>
          <w:b/>
          <w:color w:val="006991"/>
          <w:sz w:val="28"/>
          <w:szCs w:val="28"/>
        </w:rPr>
        <w:t>revenue</w:t>
      </w:r>
      <w:bookmarkEnd w:id="14"/>
    </w:p>
    <w:p w14:paraId="0B8DE02B" w14:textId="15D7115E" w:rsidR="008D1671" w:rsidRDefault="008D1671" w:rsidP="008D1671">
      <w:pPr>
        <w:pStyle w:val="CGC2025ParaNumbers"/>
      </w:pPr>
      <w:r w:rsidRPr="00AE23DB">
        <w:t xml:space="preserve">State </w:t>
      </w:r>
      <w:r w:rsidRPr="008D1671">
        <w:t xml:space="preserve">gambling </w:t>
      </w:r>
      <w:r w:rsidR="0071260B">
        <w:t>t</w:t>
      </w:r>
      <w:r w:rsidR="00096119">
        <w:t>ax</w:t>
      </w:r>
      <w:r w:rsidRPr="008D1671">
        <w:t>es have declined as a share of total own</w:t>
      </w:r>
      <w:r w:rsidR="00034FEB">
        <w:t>-</w:t>
      </w:r>
      <w:r w:rsidRPr="008D1671">
        <w:t xml:space="preserve">source revenue in recent years </w:t>
      </w:r>
      <w:r w:rsidRPr="00AE23DB">
        <w:t>(</w:t>
      </w:r>
      <w:r>
        <w:fldChar w:fldCharType="begin"/>
      </w:r>
      <w:r>
        <w:instrText xml:space="preserve"> REF _Ref136425757 \h </w:instrText>
      </w:r>
      <w:r>
        <w:fldChar w:fldCharType="separate"/>
      </w:r>
      <w:r w:rsidR="000C11A1" w:rsidRPr="00F2332F">
        <w:t>Table</w:t>
      </w:r>
      <w:r w:rsidR="000C11A1">
        <w:t> </w:t>
      </w:r>
      <w:r w:rsidR="000C11A1">
        <w:rPr>
          <w:noProof/>
        </w:rPr>
        <w:t>1</w:t>
      </w:r>
      <w:r>
        <w:fldChar w:fldCharType="end"/>
      </w:r>
      <w:r w:rsidRPr="00AE23DB">
        <w:t>).</w:t>
      </w:r>
      <w:r>
        <w:t xml:space="preserve"> </w:t>
      </w:r>
      <w:r w:rsidRPr="008D1671">
        <w:t>This reflects the faster growth of property transfer and mining revenues.</w:t>
      </w:r>
    </w:p>
    <w:p w14:paraId="5CDD9A3A" w14:textId="4C497CF8" w:rsidR="008D1671" w:rsidRPr="00F2332F" w:rsidRDefault="008D1671" w:rsidP="008D1671">
      <w:pPr>
        <w:pStyle w:val="Caption"/>
        <w:rPr>
          <w:rFonts w:ascii="Work Sans" w:hAnsi="Work Sans"/>
        </w:rPr>
      </w:pPr>
      <w:bookmarkStart w:id="15" w:name="_Ref136425757"/>
      <w:r w:rsidRPr="00F2332F">
        <w:rPr>
          <w:rFonts w:ascii="Work Sans" w:hAnsi="Work Sans"/>
        </w:rPr>
        <w:lastRenderedPageBreak/>
        <w:t>Table</w:t>
      </w:r>
      <w:r>
        <w:rPr>
          <w:rFonts w:ascii="Work Sans" w:hAnsi="Work Sans"/>
        </w:rPr>
        <w:t> </w:t>
      </w:r>
      <w:r w:rsidRPr="00F2332F">
        <w:rPr>
          <w:rFonts w:ascii="Work Sans" w:hAnsi="Work Sans"/>
        </w:rPr>
        <w:fldChar w:fldCharType="begin"/>
      </w:r>
      <w:r w:rsidRPr="00F2332F">
        <w:rPr>
          <w:rFonts w:ascii="Work Sans" w:hAnsi="Work Sans"/>
        </w:rPr>
        <w:instrText xml:space="preserve"> SEQ Table \* ARABIC </w:instrText>
      </w:r>
      <w:r w:rsidRPr="00F2332F">
        <w:rPr>
          <w:rFonts w:ascii="Work Sans" w:hAnsi="Work Sans"/>
        </w:rPr>
        <w:fldChar w:fldCharType="separate"/>
      </w:r>
      <w:r w:rsidR="000C11A1">
        <w:rPr>
          <w:rFonts w:ascii="Work Sans" w:hAnsi="Work Sans"/>
          <w:noProof/>
        </w:rPr>
        <w:t>1</w:t>
      </w:r>
      <w:r w:rsidRPr="00F2332F">
        <w:rPr>
          <w:rFonts w:ascii="Work Sans" w:hAnsi="Work Sans"/>
        </w:rPr>
        <w:fldChar w:fldCharType="end"/>
      </w:r>
      <w:bookmarkEnd w:id="15"/>
      <w:r>
        <w:rPr>
          <w:rFonts w:ascii="Work Sans" w:hAnsi="Work Sans"/>
        </w:rPr>
        <w:tab/>
        <w:t>Gambling taxation, 2018</w:t>
      </w:r>
      <w:r w:rsidR="00C574F0">
        <w:rPr>
          <w:rFonts w:ascii="Work Sans" w:hAnsi="Work Sans"/>
        </w:rPr>
        <w:t>–</w:t>
      </w:r>
      <w:r>
        <w:rPr>
          <w:rFonts w:ascii="Work Sans" w:hAnsi="Work Sans"/>
        </w:rPr>
        <w:t>19 to 2021</w:t>
      </w:r>
      <w:r w:rsidR="00C574F0">
        <w:rPr>
          <w:rFonts w:ascii="Work Sans" w:hAnsi="Work Sans"/>
        </w:rPr>
        <w:t>–</w:t>
      </w:r>
      <w:r w:rsidRPr="00F2332F">
        <w:rPr>
          <w:rFonts w:ascii="Work Sans" w:hAnsi="Work Sans"/>
        </w:rPr>
        <w:t>22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3112"/>
        <w:gridCol w:w="1607"/>
        <w:gridCol w:w="1607"/>
        <w:gridCol w:w="1607"/>
        <w:gridCol w:w="1607"/>
      </w:tblGrid>
      <w:tr w:rsidR="00385BA4" w:rsidRPr="00385BA4" w14:paraId="2AC03D16" w14:textId="77777777" w:rsidTr="00385BA4">
        <w:trPr>
          <w:trHeight w:val="379"/>
        </w:trPr>
        <w:tc>
          <w:tcPr>
            <w:tcW w:w="31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6C1942B3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85B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020B40E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85B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2018-19</w:t>
            </w:r>
          </w:p>
        </w:tc>
        <w:tc>
          <w:tcPr>
            <w:tcW w:w="1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1A84DA3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85B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2019-20</w:t>
            </w:r>
          </w:p>
        </w:tc>
        <w:tc>
          <w:tcPr>
            <w:tcW w:w="1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50B723CE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85B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1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1CE57B84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85B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</w:tr>
      <w:tr w:rsidR="00385BA4" w:rsidRPr="00385BA4" w14:paraId="65657372" w14:textId="77777777" w:rsidTr="00385BA4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BF44F6F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85B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revenue ($m)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6981204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85B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6,876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2F8023D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85B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F7AAF62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85B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6,998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0A7188B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85B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7,267</w:t>
            </w:r>
          </w:p>
        </w:tc>
      </w:tr>
      <w:tr w:rsidR="00385BA4" w:rsidRPr="00385BA4" w14:paraId="31CC89C7" w14:textId="77777777" w:rsidTr="00385BA4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0ACC49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85B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Share of total own-source revenue (%)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94BC744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85B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B283EC4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85B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1FCBC1F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85B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7C9BFB7" w14:textId="77777777" w:rsidR="00385BA4" w:rsidRPr="00385BA4" w:rsidRDefault="00385BA4" w:rsidP="00385B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85B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4.4</w:t>
            </w:r>
          </w:p>
        </w:tc>
      </w:tr>
    </w:tbl>
    <w:p w14:paraId="328D8101" w14:textId="491DB64D" w:rsidR="008D1671" w:rsidRPr="0094405D" w:rsidRDefault="008D1671" w:rsidP="008D1671">
      <w:pPr>
        <w:pStyle w:val="CGC2025Tablenote"/>
      </w:pPr>
      <w:r w:rsidRPr="0094405D">
        <w:t>Source: Commission calculation.</w:t>
      </w:r>
    </w:p>
    <w:p w14:paraId="42508627" w14:textId="153214C2" w:rsidR="008D1671" w:rsidRDefault="008D1671" w:rsidP="008D1671">
      <w:pPr>
        <w:pStyle w:val="CGC2025ParaNumbers"/>
      </w:pPr>
      <w:r>
        <w:t xml:space="preserve">States </w:t>
      </w:r>
      <w:r w:rsidRPr="008D1671">
        <w:t>raised $7.3 billion in revenue in 2021</w:t>
      </w:r>
      <w:r w:rsidR="00FE6C91">
        <w:t>–</w:t>
      </w:r>
      <w:r w:rsidRPr="008D1671">
        <w:t>22</w:t>
      </w:r>
      <w:r w:rsidRPr="00E33485">
        <w:t xml:space="preserve"> </w:t>
      </w:r>
      <w:r>
        <w:t>(</w:t>
      </w:r>
      <w:r>
        <w:fldChar w:fldCharType="begin"/>
      </w:r>
      <w:r>
        <w:instrText xml:space="preserve"> REF _Ref136426153 \h </w:instrText>
      </w:r>
      <w:r>
        <w:fldChar w:fldCharType="separate"/>
      </w:r>
      <w:r w:rsidR="000C11A1" w:rsidRPr="00FE712E">
        <w:t>Table</w:t>
      </w:r>
      <w:r w:rsidR="000C11A1">
        <w:t> </w:t>
      </w:r>
      <w:r w:rsidR="000C11A1">
        <w:rPr>
          <w:noProof/>
        </w:rPr>
        <w:t>2</w:t>
      </w:r>
      <w:r>
        <w:fldChar w:fldCharType="end"/>
      </w:r>
      <w:r>
        <w:t>)</w:t>
      </w:r>
      <w:r w:rsidR="00C82DC9" w:rsidRPr="008D1671">
        <w:t>, representing 4.4% of total own</w:t>
      </w:r>
      <w:r w:rsidR="00FE6C91">
        <w:t>-</w:t>
      </w:r>
      <w:r w:rsidR="00C82DC9" w:rsidRPr="008D1671">
        <w:t>source revenue</w:t>
      </w:r>
      <w:r>
        <w:t xml:space="preserve">. </w:t>
      </w:r>
    </w:p>
    <w:p w14:paraId="26376268" w14:textId="2C9117A3" w:rsidR="008D1671" w:rsidRPr="00FE712E" w:rsidRDefault="008D1671" w:rsidP="008D1671">
      <w:pPr>
        <w:pStyle w:val="Caption"/>
        <w:rPr>
          <w:rFonts w:ascii="Work Sans" w:hAnsi="Work Sans"/>
        </w:rPr>
      </w:pPr>
      <w:bookmarkStart w:id="16" w:name="_Ref136426153"/>
      <w:r w:rsidRPr="00FE712E">
        <w:rPr>
          <w:rFonts w:ascii="Work Sans" w:hAnsi="Work Sans"/>
        </w:rPr>
        <w:t>Table</w:t>
      </w:r>
      <w:r>
        <w:rPr>
          <w:rFonts w:ascii="Work Sans" w:hAnsi="Work Sans"/>
        </w:rPr>
        <w:t> </w:t>
      </w:r>
      <w:r w:rsidRPr="00FE712E">
        <w:rPr>
          <w:rFonts w:ascii="Work Sans" w:hAnsi="Work Sans"/>
        </w:rPr>
        <w:fldChar w:fldCharType="begin"/>
      </w:r>
      <w:r w:rsidRPr="00FE712E">
        <w:rPr>
          <w:rFonts w:ascii="Work Sans" w:hAnsi="Work Sans"/>
        </w:rPr>
        <w:instrText xml:space="preserve"> SEQ Table \* ARABIC </w:instrText>
      </w:r>
      <w:r w:rsidRPr="00FE712E">
        <w:rPr>
          <w:rFonts w:ascii="Work Sans" w:hAnsi="Work Sans"/>
        </w:rPr>
        <w:fldChar w:fldCharType="separate"/>
      </w:r>
      <w:r w:rsidR="000C11A1">
        <w:rPr>
          <w:rFonts w:ascii="Work Sans" w:hAnsi="Work Sans"/>
          <w:noProof/>
        </w:rPr>
        <w:t>2</w:t>
      </w:r>
      <w:r w:rsidRPr="00FE712E">
        <w:rPr>
          <w:rFonts w:ascii="Work Sans" w:hAnsi="Work Sans"/>
        </w:rPr>
        <w:fldChar w:fldCharType="end"/>
      </w:r>
      <w:bookmarkEnd w:id="16"/>
      <w:r>
        <w:rPr>
          <w:rFonts w:ascii="Work Sans" w:hAnsi="Work Sans"/>
        </w:rPr>
        <w:tab/>
      </w:r>
      <w:r w:rsidR="00A563EF">
        <w:rPr>
          <w:rFonts w:ascii="Work Sans" w:hAnsi="Work Sans"/>
        </w:rPr>
        <w:t>G</w:t>
      </w:r>
      <w:r w:rsidR="00DE3361">
        <w:rPr>
          <w:rFonts w:ascii="Work Sans" w:hAnsi="Work Sans"/>
        </w:rPr>
        <w:t>ambling taxation</w:t>
      </w:r>
      <w:r w:rsidR="00A563EF">
        <w:rPr>
          <w:rFonts w:ascii="Work Sans" w:hAnsi="Work Sans"/>
        </w:rPr>
        <w:t xml:space="preserve"> by state,</w:t>
      </w:r>
      <w:r w:rsidRPr="00FE712E">
        <w:rPr>
          <w:rFonts w:ascii="Work Sans" w:hAnsi="Work Sans"/>
        </w:rPr>
        <w:t xml:space="preserve"> 2021</w:t>
      </w:r>
      <w:r>
        <w:rPr>
          <w:rFonts w:ascii="Work Sans" w:hAnsi="Work Sans"/>
        </w:rPr>
        <w:t>–</w:t>
      </w:r>
      <w:r w:rsidRPr="00FE712E">
        <w:rPr>
          <w:rFonts w:ascii="Work Sans" w:hAnsi="Work Sans"/>
        </w:rPr>
        <w:t>22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21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DA2B6E" w:rsidRPr="00DA2B6E" w14:paraId="4FA377EA" w14:textId="77777777" w:rsidTr="00DA2B6E">
        <w:trPr>
          <w:trHeight w:val="379"/>
        </w:trPr>
        <w:tc>
          <w:tcPr>
            <w:tcW w:w="21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1C5E7208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2B6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6E496DE7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2B6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120A1E52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2B6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939FCBE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2B6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30A1CD68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2B6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4A51D417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2B6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404250DF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2B6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4B253EAC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2B6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6EE22725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2B6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7504AE66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A2B6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DA2B6E" w:rsidRPr="00DA2B6E" w14:paraId="4EDFB5CE" w14:textId="77777777" w:rsidTr="00DA2B6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D3C2566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revenue ($m)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7738848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63FFDE9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FFC9FA0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98477A5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9EEC976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8B38983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AAF31AB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E11471D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7E1DCC8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7,267</w:t>
            </w:r>
          </w:p>
        </w:tc>
      </w:tr>
      <w:tr w:rsidR="00DA2B6E" w:rsidRPr="00DA2B6E" w14:paraId="47E63DC9" w14:textId="77777777" w:rsidTr="00DA2B6E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74E6ECF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revenue ($pc)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6FDE646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577D4A3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1253674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BA6AD53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45410F0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81A869C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CAB18CE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AE357F3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EB1D933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282</w:t>
            </w:r>
          </w:p>
        </w:tc>
      </w:tr>
      <w:tr w:rsidR="00DA2B6E" w:rsidRPr="00DA2B6E" w14:paraId="19A40461" w14:textId="77777777" w:rsidTr="00DA2B6E">
        <w:trPr>
          <w:trHeight w:val="555"/>
        </w:trPr>
        <w:tc>
          <w:tcPr>
            <w:tcW w:w="21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6DD3410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Share of total own-source revenue (%)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F23472B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76E120B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4B6E62B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7A8E5FA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58B6018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EF23C02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DF4D08C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3F17110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08B435D" w14:textId="77777777" w:rsidR="00DA2B6E" w:rsidRPr="00DA2B6E" w:rsidRDefault="00DA2B6E" w:rsidP="00DA2B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A2B6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4.4</w:t>
            </w:r>
          </w:p>
        </w:tc>
      </w:tr>
    </w:tbl>
    <w:p w14:paraId="0DEC0E66" w14:textId="49522F78" w:rsidR="008D1671" w:rsidRDefault="008D1671" w:rsidP="008D1671">
      <w:pPr>
        <w:pStyle w:val="CGC2025Tablenote"/>
      </w:pPr>
      <w:r>
        <w:t xml:space="preserve">Source: </w:t>
      </w:r>
      <w:r w:rsidRPr="00A33484">
        <w:t>Commission</w:t>
      </w:r>
      <w:r>
        <w:t xml:space="preserve"> calculation</w:t>
      </w:r>
      <w:r w:rsidR="00C81714">
        <w:t>.</w:t>
      </w:r>
    </w:p>
    <w:p w14:paraId="33F128C9" w14:textId="505F3120" w:rsidR="008D1671" w:rsidRPr="005C2FFA" w:rsidRDefault="00C82DC9" w:rsidP="008D1671">
      <w:pPr>
        <w:pStyle w:val="CGC2025ParaNumbers"/>
      </w:pPr>
      <w:r>
        <w:t xml:space="preserve">Gambling taxes </w:t>
      </w:r>
      <w:r w:rsidR="001C2274">
        <w:t>were</w:t>
      </w:r>
      <w:r>
        <w:t xml:space="preserve"> </w:t>
      </w:r>
      <w:r w:rsidRPr="005C2FFA">
        <w:t xml:space="preserve">assessed as part of the </w:t>
      </w:r>
      <w:r w:rsidR="00250961" w:rsidRPr="005C2FFA">
        <w:t>o</w:t>
      </w:r>
      <w:r w:rsidRPr="005C2FFA">
        <w:t xml:space="preserve">ther revenue </w:t>
      </w:r>
      <w:r w:rsidR="00096119" w:rsidRPr="005C2FFA">
        <w:t>category</w:t>
      </w:r>
      <w:r w:rsidRPr="005C2FFA">
        <w:t xml:space="preserve">. </w:t>
      </w:r>
      <w:r w:rsidR="008D1671" w:rsidRPr="005C2FFA">
        <w:fldChar w:fldCharType="begin"/>
      </w:r>
      <w:r w:rsidR="008D1671" w:rsidRPr="005C2FFA">
        <w:instrText xml:space="preserve"> REF _Ref140040664 \h </w:instrText>
      </w:r>
      <w:r w:rsidR="005C2FFA">
        <w:instrText xml:space="preserve"> \* MERGEFORMAT </w:instrText>
      </w:r>
      <w:r w:rsidR="008D1671" w:rsidRPr="005C2FFA">
        <w:fldChar w:fldCharType="separate"/>
      </w:r>
      <w:r w:rsidR="000C11A1" w:rsidRPr="00D52CDF">
        <w:t>Table</w:t>
      </w:r>
      <w:r w:rsidR="000C11A1">
        <w:t> 3</w:t>
      </w:r>
      <w:r w:rsidR="008D1671" w:rsidRPr="005C2FFA">
        <w:fldChar w:fldCharType="end"/>
      </w:r>
      <w:r w:rsidR="008D1671" w:rsidRPr="005C2FFA">
        <w:t xml:space="preserve"> </w:t>
      </w:r>
      <w:r w:rsidR="008D1671" w:rsidRPr="009D0E0D">
        <w:t>sets out the capacity measure that applie</w:t>
      </w:r>
      <w:r w:rsidR="00744715" w:rsidRPr="009D0E0D">
        <w:t>d</w:t>
      </w:r>
      <w:r w:rsidR="008D1671" w:rsidRPr="009D0E0D">
        <w:t xml:space="preserve"> to the </w:t>
      </w:r>
      <w:r w:rsidR="00250961" w:rsidRPr="009D0E0D">
        <w:t>o</w:t>
      </w:r>
      <w:r w:rsidR="008D1671" w:rsidRPr="009D0E0D">
        <w:t>ther revenue assessment</w:t>
      </w:r>
      <w:r w:rsidR="008D1671" w:rsidRPr="005C2FFA">
        <w:rPr>
          <w:noProof/>
        </w:rPr>
        <w:t>.</w:t>
      </w:r>
    </w:p>
    <w:p w14:paraId="45B676AB" w14:textId="65F67BA1" w:rsidR="008D1671" w:rsidRPr="00D52CDF" w:rsidRDefault="008D1671" w:rsidP="008D1671">
      <w:pPr>
        <w:pStyle w:val="Caption"/>
        <w:rPr>
          <w:rFonts w:ascii="Work Sans" w:hAnsi="Work Sans"/>
        </w:rPr>
      </w:pPr>
      <w:bookmarkStart w:id="17" w:name="_Ref140040664"/>
      <w:r w:rsidRPr="00D52CDF">
        <w:rPr>
          <w:rFonts w:ascii="Work Sans" w:hAnsi="Work Sans"/>
        </w:rPr>
        <w:t>Table</w:t>
      </w:r>
      <w:r>
        <w:rPr>
          <w:rFonts w:ascii="Work Sans" w:hAnsi="Work Sans"/>
        </w:rPr>
        <w:t> </w:t>
      </w:r>
      <w:r w:rsidRPr="00D52CDF">
        <w:rPr>
          <w:rFonts w:ascii="Work Sans" w:hAnsi="Work Sans"/>
        </w:rPr>
        <w:fldChar w:fldCharType="begin"/>
      </w:r>
      <w:r w:rsidRPr="00D52CDF">
        <w:rPr>
          <w:rFonts w:ascii="Work Sans" w:hAnsi="Work Sans"/>
        </w:rPr>
        <w:instrText xml:space="preserve"> SEQ Table \* ARABIC </w:instrText>
      </w:r>
      <w:r w:rsidRPr="00D52CDF">
        <w:rPr>
          <w:rFonts w:ascii="Work Sans" w:hAnsi="Work Sans"/>
        </w:rPr>
        <w:fldChar w:fldCharType="separate"/>
      </w:r>
      <w:r w:rsidR="000C11A1">
        <w:rPr>
          <w:rFonts w:ascii="Work Sans" w:hAnsi="Work Sans"/>
          <w:noProof/>
        </w:rPr>
        <w:t>3</w:t>
      </w:r>
      <w:r w:rsidRPr="00D52CDF">
        <w:rPr>
          <w:rFonts w:ascii="Work Sans" w:hAnsi="Work Sans"/>
        </w:rPr>
        <w:fldChar w:fldCharType="end"/>
      </w:r>
      <w:bookmarkEnd w:id="17"/>
      <w:r>
        <w:rPr>
          <w:rFonts w:ascii="Work Sans" w:hAnsi="Work Sans"/>
        </w:rPr>
        <w:tab/>
        <w:t>Structure</w:t>
      </w:r>
      <w:r w:rsidRPr="00D52CDF">
        <w:rPr>
          <w:rFonts w:ascii="Work Sans" w:hAnsi="Work Sans"/>
        </w:rPr>
        <w:t xml:space="preserve"> of the </w:t>
      </w:r>
      <w:r>
        <w:rPr>
          <w:rFonts w:ascii="Work Sans" w:hAnsi="Work Sans"/>
        </w:rPr>
        <w:t>other</w:t>
      </w:r>
      <w:r w:rsidRPr="00D52CDF">
        <w:rPr>
          <w:rFonts w:ascii="Work Sans" w:hAnsi="Work Sans"/>
        </w:rPr>
        <w:t xml:space="preserve"> revenue </w:t>
      </w:r>
      <w:r>
        <w:rPr>
          <w:rFonts w:ascii="Work Sans" w:hAnsi="Work Sans"/>
        </w:rPr>
        <w:t>category</w:t>
      </w:r>
    </w:p>
    <w:tbl>
      <w:tblPr>
        <w:tblW w:w="9578" w:type="dxa"/>
        <w:tblLook w:val="04A0" w:firstRow="1" w:lastRow="0" w:firstColumn="1" w:lastColumn="0" w:noHBand="0" w:noVBand="1"/>
      </w:tblPr>
      <w:tblGrid>
        <w:gridCol w:w="1660"/>
        <w:gridCol w:w="1260"/>
        <w:gridCol w:w="258"/>
        <w:gridCol w:w="1900"/>
        <w:gridCol w:w="4500"/>
      </w:tblGrid>
      <w:tr w:rsidR="008D1671" w:rsidRPr="00375CC4" w14:paraId="229E48BA" w14:textId="77777777">
        <w:trPr>
          <w:trHeight w:val="48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3F35B30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9FDE47B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 revenue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C330453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C399C20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9274566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</w:t>
            </w:r>
          </w:p>
        </w:tc>
      </w:tr>
      <w:tr w:rsidR="008D1671" w:rsidRPr="00375CC4" w14:paraId="31F1D48D" w14:textId="77777777">
        <w:trPr>
          <w:trHeight w:val="2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2D58C5EA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1AD5A47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26D3F71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2427B03D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21A0D400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 </w:t>
            </w:r>
          </w:p>
        </w:tc>
      </w:tr>
      <w:tr w:rsidR="008D1671" w:rsidRPr="00375CC4" w14:paraId="07564F18" w14:textId="77777777">
        <w:trPr>
          <w:trHeight w:val="555"/>
        </w:trPr>
        <w:tc>
          <w:tcPr>
            <w:tcW w:w="16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2573E2D1" w14:textId="319F88C3" w:rsidR="008D1671" w:rsidRPr="00375CC4" w:rsidRDefault="0044277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Other revenue</w:t>
            </w:r>
          </w:p>
        </w:tc>
        <w:tc>
          <w:tcPr>
            <w:tcW w:w="12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69D12B3D" w14:textId="02AFECB3" w:rsidR="008D1671" w:rsidRPr="00375CC4" w:rsidRDefault="0044277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49</w:t>
            </w:r>
            <w:r w:rsidR="000E79FB">
              <w:rPr>
                <w:rFonts w:eastAsia="Times New Roman" w:cs="Open Sans Light"/>
                <w:sz w:val="16"/>
                <w:szCs w:val="16"/>
                <w:lang w:eastAsia="en-AU"/>
              </w:rPr>
              <w:t>,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25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1874AFA9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75CC4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4F839A78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Population</w:t>
            </w:r>
          </w:p>
        </w:tc>
        <w:tc>
          <w:tcPr>
            <w:tcW w:w="45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06C9D0A7" w14:textId="77777777" w:rsidR="008D1671" w:rsidRPr="00375CC4" w:rsidRDefault="008D1671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These revenues are assessed equal per capita</w:t>
            </w:r>
            <w:r w:rsidRPr="00375CC4">
              <w:rPr>
                <w:rFonts w:eastAsia="Times New Roman" w:cs="Open Sans Light"/>
                <w:sz w:val="16"/>
                <w:szCs w:val="16"/>
                <w:lang w:eastAsia="en-AU"/>
              </w:rPr>
              <w:t>.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They do not differentially affect states’ relative fiscal capacities.</w:t>
            </w:r>
          </w:p>
        </w:tc>
      </w:tr>
    </w:tbl>
    <w:p w14:paraId="1524F695" w14:textId="77777777" w:rsidR="008D1671" w:rsidRDefault="008D1671" w:rsidP="008D1671">
      <w:pPr>
        <w:pStyle w:val="CGC2025Tablenote"/>
      </w:pPr>
      <w:r>
        <w:t>Source:</w:t>
      </w:r>
      <w:r>
        <w:tab/>
        <w:t xml:space="preserve">Component revenue data provided by states for the 2023 Update. </w:t>
      </w:r>
    </w:p>
    <w:p w14:paraId="461461B5" w14:textId="77777777" w:rsidR="008D1671" w:rsidRDefault="008D1671" w:rsidP="008D1671">
      <w:pPr>
        <w:pStyle w:val="CGCBodyPara"/>
        <w:numPr>
          <w:ilvl w:val="0"/>
          <w:numId w:val="0"/>
        </w:numPr>
        <w:ind w:left="567" w:hanging="425"/>
      </w:pPr>
    </w:p>
    <w:p w14:paraId="5A334042" w14:textId="77777777" w:rsidR="008D1671" w:rsidRPr="0022211F" w:rsidRDefault="008D1671" w:rsidP="0022211F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eastAsia="Times New Roman" w:hAnsi="Work Sans" w:cs="Open Sans"/>
          <w:b/>
          <w:color w:val="006991"/>
          <w:sz w:val="28"/>
          <w:szCs w:val="28"/>
        </w:rPr>
      </w:pPr>
      <w:bookmarkStart w:id="18" w:name="_Toc148600179"/>
      <w:r w:rsidRPr="0022211F">
        <w:rPr>
          <w:rFonts w:ascii="Work Sans" w:eastAsia="Times New Roman" w:hAnsi="Work Sans" w:cs="Open Sans"/>
          <w:b/>
          <w:color w:val="006991"/>
          <w:sz w:val="28"/>
          <w:szCs w:val="28"/>
        </w:rPr>
        <w:t>GST distribution in the 2023 Update</w:t>
      </w:r>
      <w:bookmarkEnd w:id="18"/>
    </w:p>
    <w:p w14:paraId="7B350515" w14:textId="21E6EF85" w:rsidR="008D1671" w:rsidRDefault="008D1671" w:rsidP="00A74AC8">
      <w:pPr>
        <w:pStyle w:val="CGC2025ParaNumbers"/>
      </w:pPr>
      <w:r>
        <w:fldChar w:fldCharType="begin"/>
      </w:r>
      <w:r>
        <w:instrText xml:space="preserve"> REF _Ref136427121 \h </w:instrText>
      </w:r>
      <w:r>
        <w:fldChar w:fldCharType="separate"/>
      </w:r>
      <w:r w:rsidR="000C11A1" w:rsidRPr="00587727">
        <w:t>Table</w:t>
      </w:r>
      <w:r w:rsidR="000C11A1">
        <w:t> </w:t>
      </w:r>
      <w:r w:rsidR="000C11A1">
        <w:rPr>
          <w:noProof/>
        </w:rPr>
        <w:t>4</w:t>
      </w:r>
      <w:r>
        <w:fldChar w:fldCharType="end"/>
      </w:r>
      <w:r>
        <w:t xml:space="preserve"> </w:t>
      </w:r>
      <w:r w:rsidR="00A74AC8" w:rsidRPr="00A74AC8">
        <w:t xml:space="preserve">shows the equal per capita assessment </w:t>
      </w:r>
      <w:r w:rsidR="001A5A6D" w:rsidRPr="00A74AC8">
        <w:t xml:space="preserve">does not </w:t>
      </w:r>
      <w:r w:rsidR="001A5A6D">
        <w:t>affect</w:t>
      </w:r>
      <w:r w:rsidR="001A5A6D" w:rsidRPr="00A74AC8">
        <w:t xml:space="preserve"> states’ </w:t>
      </w:r>
      <w:r w:rsidR="001A5A6D">
        <w:t>relative fiscal capacities.</w:t>
      </w:r>
      <w:r w:rsidR="001A5A6D" w:rsidRPr="00A74AC8">
        <w:t xml:space="preserve"> Therefore, it </w:t>
      </w:r>
      <w:r w:rsidR="00A74AC8" w:rsidRPr="00A74AC8">
        <w:t>does not affect the GST distribution</w:t>
      </w:r>
      <w:r w:rsidRPr="0DCB35A7">
        <w:t>.</w:t>
      </w:r>
    </w:p>
    <w:p w14:paraId="3C10E00E" w14:textId="55DAC90F" w:rsidR="008D1671" w:rsidRPr="00587727" w:rsidRDefault="008D1671" w:rsidP="008D1671">
      <w:pPr>
        <w:pStyle w:val="Caption"/>
        <w:rPr>
          <w:rFonts w:ascii="Work Sans" w:hAnsi="Work Sans"/>
        </w:rPr>
      </w:pPr>
      <w:bookmarkStart w:id="19" w:name="_Ref136427121"/>
      <w:r w:rsidRPr="00587727">
        <w:rPr>
          <w:rFonts w:ascii="Work Sans" w:hAnsi="Work Sans"/>
        </w:rPr>
        <w:t>Table</w:t>
      </w:r>
      <w:r>
        <w:rPr>
          <w:rFonts w:ascii="Work Sans" w:hAnsi="Work Sans"/>
        </w:rPr>
        <w:t> </w:t>
      </w:r>
      <w:r w:rsidRPr="00587727">
        <w:rPr>
          <w:rFonts w:ascii="Work Sans" w:hAnsi="Work Sans"/>
        </w:rPr>
        <w:fldChar w:fldCharType="begin"/>
      </w:r>
      <w:r w:rsidRPr="00587727">
        <w:rPr>
          <w:rFonts w:ascii="Work Sans" w:hAnsi="Work Sans"/>
        </w:rPr>
        <w:instrText xml:space="preserve"> SEQ Table \* ARABIC </w:instrText>
      </w:r>
      <w:r w:rsidRPr="00587727">
        <w:rPr>
          <w:rFonts w:ascii="Work Sans" w:hAnsi="Work Sans"/>
        </w:rPr>
        <w:fldChar w:fldCharType="separate"/>
      </w:r>
      <w:r w:rsidR="000C11A1">
        <w:rPr>
          <w:rFonts w:ascii="Work Sans" w:hAnsi="Work Sans"/>
          <w:noProof/>
        </w:rPr>
        <w:t>4</w:t>
      </w:r>
      <w:r w:rsidRPr="00587727">
        <w:rPr>
          <w:rFonts w:ascii="Work Sans" w:hAnsi="Work Sans"/>
        </w:rPr>
        <w:fldChar w:fldCharType="end"/>
      </w:r>
      <w:bookmarkEnd w:id="19"/>
      <w:r>
        <w:rPr>
          <w:rFonts w:ascii="Work Sans" w:hAnsi="Work Sans"/>
        </w:rPr>
        <w:tab/>
      </w:r>
      <w:r w:rsidRPr="00587727">
        <w:rPr>
          <w:rFonts w:ascii="Work Sans" w:hAnsi="Work Sans"/>
        </w:rPr>
        <w:t xml:space="preserve">GST impact of the </w:t>
      </w:r>
      <w:r>
        <w:rPr>
          <w:rFonts w:ascii="Work Sans" w:hAnsi="Work Sans"/>
        </w:rPr>
        <w:t>other</w:t>
      </w:r>
      <w:r w:rsidRPr="00587727">
        <w:rPr>
          <w:rFonts w:ascii="Work Sans" w:hAnsi="Work Sans"/>
        </w:rPr>
        <w:t xml:space="preserve"> revenue assessment, 2023 </w:t>
      </w:r>
      <w:proofErr w:type="gramStart"/>
      <w:r w:rsidRPr="00587727">
        <w:rPr>
          <w:rFonts w:ascii="Work Sans" w:hAnsi="Work Sans"/>
        </w:rPr>
        <w:t>Update</w:t>
      </w:r>
      <w:proofErr w:type="gramEnd"/>
    </w:p>
    <w:tbl>
      <w:tblPr>
        <w:tblW w:w="9340" w:type="dxa"/>
        <w:tblLook w:val="04A0" w:firstRow="1" w:lastRow="0" w:firstColumn="1" w:lastColumn="0" w:noHBand="0" w:noVBand="1"/>
      </w:tblPr>
      <w:tblGrid>
        <w:gridCol w:w="160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8D1671" w:rsidRPr="00647D14" w14:paraId="61504D61" w14:textId="77777777">
        <w:trPr>
          <w:trHeight w:val="375"/>
        </w:trPr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6E704270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63B1BC38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348EA229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5EEFD55C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31D91BCA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710BE767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70B93E25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D9208A8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3662C835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6A7756B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8D1671" w:rsidRPr="00647D14" w14:paraId="3AF9F644" w14:textId="77777777">
        <w:trPr>
          <w:trHeight w:val="315"/>
        </w:trPr>
        <w:tc>
          <w:tcPr>
            <w:tcW w:w="1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0B57554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47D14">
              <w:rPr>
                <w:rFonts w:eastAsia="Times New Roman" w:cs="Open Sans Light"/>
                <w:sz w:val="16"/>
                <w:szCs w:val="16"/>
                <w:lang w:eastAsia="en-AU"/>
              </w:rPr>
              <w:t>Total ($m)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C62F15B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AD201BA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5993C53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2AC0A74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D19D6DD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354A424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129DA56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DA9E63D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9F29991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</w:tr>
      <w:tr w:rsidR="008D1671" w:rsidRPr="00647D14" w14:paraId="508AD1BB" w14:textId="77777777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2695716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47D14">
              <w:rPr>
                <w:rFonts w:eastAsia="Times New Roman" w:cs="Open Sans Light"/>
                <w:sz w:val="16"/>
                <w:szCs w:val="16"/>
                <w:lang w:eastAsia="en-AU"/>
              </w:rPr>
              <w:t>Total ($pc)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E3EAC4D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564E07D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A04DF13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7EE9033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61EEC7E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B6349E8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B172298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1970ED6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B211E0E" w14:textId="77777777" w:rsidR="008D1671" w:rsidRPr="00647D14" w:rsidRDefault="008D1671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</w:tr>
    </w:tbl>
    <w:p w14:paraId="789CDA2F" w14:textId="77777777" w:rsidR="008D1671" w:rsidRDefault="008D1671" w:rsidP="008D1671">
      <w:pPr>
        <w:pStyle w:val="CGC2025Tablenote"/>
        <w:keepNext/>
        <w:keepLines/>
        <w:widowControl w:val="0"/>
      </w:pPr>
      <w:r>
        <w:t>Source:</w:t>
      </w:r>
      <w:r>
        <w:tab/>
        <w:t xml:space="preserve">Commission calculation, 2023 Update. </w:t>
      </w:r>
    </w:p>
    <w:p w14:paraId="346B2274" w14:textId="27AF3E37" w:rsidR="008D1671" w:rsidRPr="00D22AF3" w:rsidRDefault="008D1671" w:rsidP="008D1671">
      <w:pPr>
        <w:pStyle w:val="CGC2025ParaNumbers"/>
        <w:rPr>
          <w:rStyle w:val="Hyperlink"/>
          <w:color w:val="auto"/>
          <w:u w:val="none"/>
        </w:rPr>
      </w:pPr>
      <w:r>
        <w:t>Further detail on the other revenue assessment, the scope of the adjusted budget and the underlying conceptual cases for assessment methods are explained in volume 2, c</w:t>
      </w:r>
      <w:r w:rsidRPr="00306E29">
        <w:t>hapter 1</w:t>
      </w:r>
      <w:r>
        <w:t>2,</w:t>
      </w:r>
      <w:r w:rsidRPr="00C036B0">
        <w:rPr>
          <w:i/>
          <w:iCs/>
        </w:rPr>
        <w:t> </w:t>
      </w:r>
      <w:hyperlink r:id="rId18">
        <w:r w:rsidRPr="3374507B">
          <w:rPr>
            <w:rStyle w:val="Hyperlink"/>
          </w:rPr>
          <w:t>Report on GST Revenue Sharing Relativities, 2020 Review.</w:t>
        </w:r>
      </w:hyperlink>
    </w:p>
    <w:p w14:paraId="65EF2768" w14:textId="77777777" w:rsidR="00D22AF3" w:rsidRDefault="00D22AF3" w:rsidP="00D22AF3">
      <w:pPr>
        <w:pStyle w:val="CGCBodyPara"/>
        <w:numPr>
          <w:ilvl w:val="0"/>
          <w:numId w:val="0"/>
        </w:numPr>
        <w:ind w:left="567" w:hanging="425"/>
      </w:pPr>
    </w:p>
    <w:p w14:paraId="3C17E1A4" w14:textId="77777777" w:rsidR="00D22AF3" w:rsidRDefault="00D22AF3" w:rsidP="00D22AF3">
      <w:pPr>
        <w:pStyle w:val="CGCBodyPara"/>
        <w:numPr>
          <w:ilvl w:val="0"/>
          <w:numId w:val="0"/>
        </w:numPr>
        <w:ind w:left="567" w:hanging="425"/>
      </w:pPr>
    </w:p>
    <w:p w14:paraId="4E656AAD" w14:textId="77777777" w:rsidR="00D22AF3" w:rsidRPr="005522EA" w:rsidRDefault="00D22AF3" w:rsidP="00D22AF3">
      <w:pPr>
        <w:pStyle w:val="CGCBodyPara"/>
        <w:numPr>
          <w:ilvl w:val="0"/>
          <w:numId w:val="0"/>
        </w:numPr>
        <w:ind w:left="567" w:hanging="425"/>
      </w:pPr>
    </w:p>
    <w:p w14:paraId="0D158CD8" w14:textId="77777777" w:rsidR="008D1671" w:rsidRPr="00D22AF3" w:rsidRDefault="008D1671" w:rsidP="00D22AF3">
      <w:pPr>
        <w:pStyle w:val="Heading2"/>
        <w:keepNext w:val="0"/>
        <w:widowControl/>
        <w:tabs>
          <w:tab w:val="clear" w:pos="567"/>
        </w:tabs>
        <w:spacing w:before="360" w:after="200" w:line="276" w:lineRule="auto"/>
        <w:rPr>
          <w:rFonts w:eastAsia="Times New Roman" w:cs="Open Sans"/>
          <w:color w:val="006991"/>
          <w:sz w:val="36"/>
          <w:szCs w:val="36"/>
        </w:rPr>
      </w:pPr>
      <w:bookmarkStart w:id="20" w:name="_Toc121741486"/>
      <w:bookmarkStart w:id="21" w:name="_Toc132729102"/>
      <w:bookmarkStart w:id="22" w:name="_Toc133236149"/>
      <w:bookmarkStart w:id="23" w:name="_Toc133236175"/>
      <w:bookmarkStart w:id="24" w:name="_Toc148600180"/>
      <w:r w:rsidRPr="00D22AF3">
        <w:rPr>
          <w:rFonts w:eastAsia="Times New Roman" w:cs="Open Sans"/>
          <w:color w:val="006991"/>
          <w:sz w:val="36"/>
          <w:szCs w:val="36"/>
        </w:rPr>
        <w:lastRenderedPageBreak/>
        <w:t>What has changed since the 2020 Review?</w:t>
      </w:r>
      <w:bookmarkStart w:id="25" w:name="_Toc127428352"/>
      <w:bookmarkEnd w:id="20"/>
      <w:bookmarkEnd w:id="21"/>
      <w:bookmarkEnd w:id="22"/>
      <w:bookmarkEnd w:id="23"/>
      <w:bookmarkEnd w:id="24"/>
      <w:r w:rsidRPr="00D22AF3">
        <w:rPr>
          <w:rFonts w:eastAsia="Times New Roman" w:cs="Open Sans"/>
          <w:color w:val="006991"/>
          <w:sz w:val="36"/>
          <w:szCs w:val="36"/>
        </w:rPr>
        <w:t xml:space="preserve"> </w:t>
      </w:r>
      <w:bookmarkEnd w:id="25"/>
    </w:p>
    <w:p w14:paraId="4A91E46D" w14:textId="19C1759F" w:rsidR="00FA4744" w:rsidRPr="005C2FFA" w:rsidRDefault="00BE20FC" w:rsidP="001E157A">
      <w:pPr>
        <w:pStyle w:val="CGC2025ParaNumbers"/>
        <w:keepNext/>
        <w:keepLines/>
      </w:pPr>
      <w:bookmarkStart w:id="26" w:name="_Toc132729103"/>
      <w:bookmarkStart w:id="27" w:name="_Toc133236150"/>
      <w:bookmarkStart w:id="28" w:name="_Toc133236176"/>
      <w:r>
        <w:t xml:space="preserve">State gambling </w:t>
      </w:r>
      <w:r w:rsidRPr="005C2FFA">
        <w:t xml:space="preserve">taxes have been assessed equal per capita since the 2010 Review. </w:t>
      </w:r>
      <w:r w:rsidR="00401A03" w:rsidRPr="009D0E0D">
        <w:t>Long standing criticisms of this approach include</w:t>
      </w:r>
      <w:r w:rsidR="00FF04BD" w:rsidRPr="005C2FFA">
        <w:t xml:space="preserve"> that</w:t>
      </w:r>
      <w:r w:rsidR="00FA4744" w:rsidRPr="005C2FFA">
        <w:t>:</w:t>
      </w:r>
    </w:p>
    <w:p w14:paraId="06B7D397" w14:textId="779B6F86" w:rsidR="00911E9E" w:rsidRPr="005C2FFA" w:rsidRDefault="00F02D6D" w:rsidP="00FA4744">
      <w:pPr>
        <w:pStyle w:val="CGC2025Bullet1"/>
        <w:numPr>
          <w:ilvl w:val="0"/>
          <w:numId w:val="2"/>
        </w:numPr>
      </w:pPr>
      <w:r w:rsidRPr="009D0E0D">
        <w:t>i</w:t>
      </w:r>
      <w:r w:rsidR="00401A03" w:rsidRPr="009D0E0D">
        <w:t xml:space="preserve">t </w:t>
      </w:r>
      <w:r w:rsidR="008D58FC" w:rsidRPr="009D0E0D">
        <w:t xml:space="preserve">treats states </w:t>
      </w:r>
      <w:r w:rsidR="00D07B0C" w:rsidRPr="009D0E0D">
        <w:t>that have</w:t>
      </w:r>
      <w:r w:rsidR="008D58FC" w:rsidRPr="009D0E0D">
        <w:t xml:space="preserve"> </w:t>
      </w:r>
      <w:r w:rsidR="00B9524B" w:rsidRPr="009D0E0D">
        <w:t xml:space="preserve">a </w:t>
      </w:r>
      <w:r w:rsidR="008D58FC" w:rsidRPr="009D0E0D">
        <w:t xml:space="preserve">high </w:t>
      </w:r>
      <w:r w:rsidR="008D58FC" w:rsidRPr="009D0E0D" w:rsidDel="00E6605E">
        <w:t>capacity</w:t>
      </w:r>
      <w:r w:rsidR="00BE6525" w:rsidRPr="009D0E0D">
        <w:t xml:space="preserve"> to raise gambling tax revenue</w:t>
      </w:r>
      <w:r w:rsidR="008D58FC" w:rsidRPr="009D0E0D" w:rsidDel="00E6605E">
        <w:t xml:space="preserve"> </w:t>
      </w:r>
      <w:r w:rsidR="008D58FC" w:rsidRPr="009D0E0D">
        <w:t xml:space="preserve">differently from </w:t>
      </w:r>
      <w:r w:rsidR="001C6F5E" w:rsidRPr="009D0E0D">
        <w:t xml:space="preserve">states </w:t>
      </w:r>
      <w:r w:rsidR="00D07B0C" w:rsidRPr="009D0E0D">
        <w:t>that have</w:t>
      </w:r>
      <w:r w:rsidR="001C6F5E" w:rsidRPr="009D0E0D">
        <w:t xml:space="preserve"> </w:t>
      </w:r>
      <w:r w:rsidR="00BE6525" w:rsidRPr="009D0E0D">
        <w:t xml:space="preserve">a </w:t>
      </w:r>
      <w:r w:rsidR="001C6F5E" w:rsidRPr="009D0E0D">
        <w:t xml:space="preserve">high capacity </w:t>
      </w:r>
      <w:r w:rsidR="001D458C" w:rsidRPr="009D0E0D">
        <w:t xml:space="preserve">to raise </w:t>
      </w:r>
      <w:r w:rsidR="001C6F5E" w:rsidRPr="009D0E0D">
        <w:t xml:space="preserve">other state </w:t>
      </w:r>
      <w:proofErr w:type="gramStart"/>
      <w:r w:rsidR="001C6F5E" w:rsidRPr="009D0E0D">
        <w:t>taxes</w:t>
      </w:r>
      <w:proofErr w:type="gramEnd"/>
      <w:r w:rsidR="00F74819" w:rsidRPr="005C2FFA">
        <w:t xml:space="preserve"> </w:t>
      </w:r>
    </w:p>
    <w:p w14:paraId="4BDC3AE3" w14:textId="7DD88468" w:rsidR="004876A8" w:rsidRPr="005C2FFA" w:rsidRDefault="00F02D6D" w:rsidP="004876A8">
      <w:pPr>
        <w:pStyle w:val="CGC2025Bullet1"/>
        <w:numPr>
          <w:ilvl w:val="0"/>
          <w:numId w:val="2"/>
        </w:numPr>
      </w:pPr>
      <w:r w:rsidRPr="009D0E0D">
        <w:t>i</w:t>
      </w:r>
      <w:r w:rsidR="00401A03" w:rsidRPr="009D0E0D">
        <w:t xml:space="preserve">t </w:t>
      </w:r>
      <w:r w:rsidR="004876A8" w:rsidRPr="009D0E0D">
        <w:t xml:space="preserve">does not </w:t>
      </w:r>
      <w:r w:rsidR="001263FC" w:rsidRPr="009D0E0D">
        <w:t xml:space="preserve">recognise </w:t>
      </w:r>
      <w:r w:rsidR="004876A8" w:rsidRPr="009D0E0D">
        <w:t xml:space="preserve">gambling as a harmful </w:t>
      </w:r>
      <w:proofErr w:type="gramStart"/>
      <w:r w:rsidR="004876A8" w:rsidRPr="009D0E0D">
        <w:t>activity</w:t>
      </w:r>
      <w:proofErr w:type="gramEnd"/>
      <w:r w:rsidR="00146DF4" w:rsidRPr="005C2FFA">
        <w:t xml:space="preserve"> </w:t>
      </w:r>
    </w:p>
    <w:p w14:paraId="3537D4B4" w14:textId="565483CF" w:rsidR="002A0FC6" w:rsidRPr="005C2FFA" w:rsidRDefault="00F02D6D" w:rsidP="002A0FC6">
      <w:pPr>
        <w:pStyle w:val="CGC2025Bullet1"/>
        <w:numPr>
          <w:ilvl w:val="0"/>
          <w:numId w:val="2"/>
        </w:numPr>
      </w:pPr>
      <w:r w:rsidRPr="009D0E0D">
        <w:t>i</w:t>
      </w:r>
      <w:r w:rsidR="00401A03" w:rsidRPr="009D0E0D">
        <w:t xml:space="preserve">t </w:t>
      </w:r>
      <w:r w:rsidR="004008D9" w:rsidRPr="009D0E0D">
        <w:t xml:space="preserve">disadvantages states that </w:t>
      </w:r>
      <w:r w:rsidR="00EC37BD" w:rsidRPr="009D0E0D">
        <w:t>place restrictions on</w:t>
      </w:r>
      <w:r w:rsidR="004008D9" w:rsidRPr="009D0E0D">
        <w:t xml:space="preserve"> gambling</w:t>
      </w:r>
      <w:r w:rsidR="003E358D" w:rsidRPr="009D0E0D">
        <w:t xml:space="preserve"> activity</w:t>
      </w:r>
      <w:r w:rsidR="00EC37BD" w:rsidRPr="005C2FFA">
        <w:t>.</w:t>
      </w:r>
    </w:p>
    <w:p w14:paraId="701B5A87" w14:textId="58662A04" w:rsidR="00FA4744" w:rsidRDefault="00513A69" w:rsidP="00BE20FC">
      <w:pPr>
        <w:pStyle w:val="CGC2025ParaNumbers"/>
      </w:pPr>
      <w:r>
        <w:t xml:space="preserve">The Commission’s task is to </w:t>
      </w:r>
      <w:r w:rsidR="002B76DF">
        <w:t>determin</w:t>
      </w:r>
      <w:r w:rsidR="00883222">
        <w:t>e relative state fiscal capacities</w:t>
      </w:r>
      <w:r w:rsidR="00346D65">
        <w:t>. This task includes</w:t>
      </w:r>
      <w:r w:rsidR="00971A0C">
        <w:t>, if possible,</w:t>
      </w:r>
      <w:r w:rsidR="00346D65">
        <w:t xml:space="preserve"> </w:t>
      </w:r>
      <w:r>
        <w:t>estimat</w:t>
      </w:r>
      <w:r w:rsidR="00346D65">
        <w:t>ing t</w:t>
      </w:r>
      <w:r>
        <w:t xml:space="preserve">he level of gambling </w:t>
      </w:r>
      <w:r w:rsidR="00CB729F">
        <w:t>taxes</w:t>
      </w:r>
      <w:r>
        <w:t xml:space="preserve"> </w:t>
      </w:r>
      <w:r w:rsidR="00CE76D0">
        <w:t>states</w:t>
      </w:r>
      <w:r>
        <w:t xml:space="preserve"> could raise if </w:t>
      </w:r>
      <w:r w:rsidR="00CE76D0">
        <w:t>they</w:t>
      </w:r>
      <w:r>
        <w:t xml:space="preserve"> followed the average state policy. </w:t>
      </w:r>
      <w:r w:rsidR="00DE12DE">
        <w:t xml:space="preserve">Consistent with its supporting principle of policy neutrality, </w:t>
      </w:r>
      <w:r w:rsidR="00F718D6">
        <w:t>the Commission</w:t>
      </w:r>
      <w:r w:rsidR="00FA16CB">
        <w:t xml:space="preserve"> does </w:t>
      </w:r>
      <w:r w:rsidR="005E7934">
        <w:t xml:space="preserve">not </w:t>
      </w:r>
      <w:r w:rsidR="00FA16CB">
        <w:t xml:space="preserve">make </w:t>
      </w:r>
      <w:r>
        <w:t>judgment</w:t>
      </w:r>
      <w:r w:rsidR="00FA16CB">
        <w:t>s</w:t>
      </w:r>
      <w:r>
        <w:t xml:space="preserve"> on the virtue or otherwise of state gambling policies. </w:t>
      </w:r>
      <w:r w:rsidR="00136165">
        <w:t>A state may have</w:t>
      </w:r>
      <w:r w:rsidR="00A53FE2">
        <w:t xml:space="preserve"> low gambling </w:t>
      </w:r>
      <w:r w:rsidR="00CB729F">
        <w:t xml:space="preserve">tax </w:t>
      </w:r>
      <w:r w:rsidR="00A53FE2">
        <w:t xml:space="preserve">revenues </w:t>
      </w:r>
      <w:r w:rsidR="00136165">
        <w:t xml:space="preserve">because it has low gambling capacity or because it has a policy </w:t>
      </w:r>
      <w:r w:rsidR="0021344D">
        <w:t>restricting</w:t>
      </w:r>
      <w:r w:rsidR="00136165">
        <w:t xml:space="preserve"> gambling activity. </w:t>
      </w:r>
      <w:r w:rsidR="0021344D">
        <w:t>If the latter, t</w:t>
      </w:r>
      <w:r w:rsidR="003F5A94">
        <w:t xml:space="preserve">he </w:t>
      </w:r>
      <w:r w:rsidR="00C369CB">
        <w:t xml:space="preserve">Commission seeks to ensure that </w:t>
      </w:r>
      <w:r w:rsidR="00842317">
        <w:t>state polic</w:t>
      </w:r>
      <w:r w:rsidR="00C369CB">
        <w:t>y choices</w:t>
      </w:r>
      <w:r w:rsidR="00456FAE">
        <w:t xml:space="preserve"> do not </w:t>
      </w:r>
      <w:r w:rsidR="00842317">
        <w:t xml:space="preserve">affect </w:t>
      </w:r>
      <w:r w:rsidR="0083362F">
        <w:t>relative fiscal capacities.</w:t>
      </w:r>
    </w:p>
    <w:p w14:paraId="0240291B" w14:textId="14C35E99" w:rsidR="004A34E1" w:rsidRPr="005C2FFA" w:rsidRDefault="004A34E1" w:rsidP="00BE20FC">
      <w:pPr>
        <w:pStyle w:val="CGC2025ParaNumbers"/>
      </w:pPr>
      <w:r w:rsidRPr="009D0E0D">
        <w:t>As such</w:t>
      </w:r>
      <w:r w:rsidR="00680F27" w:rsidRPr="009D0E0D">
        <w:t>, it is not necessar</w:t>
      </w:r>
      <w:r w:rsidR="001F5749" w:rsidRPr="009D0E0D">
        <w:t>il</w:t>
      </w:r>
      <w:r w:rsidR="00680F27" w:rsidRPr="009D0E0D">
        <w:t>y the case that if gambling w</w:t>
      </w:r>
      <w:r w:rsidR="009C0344" w:rsidRPr="009D0E0D">
        <w:t>ere</w:t>
      </w:r>
      <w:r w:rsidR="00680F27" w:rsidRPr="009D0E0D">
        <w:t xml:space="preserve"> differentially assessed, a state currently with low gambling </w:t>
      </w:r>
      <w:r w:rsidR="00CB729F" w:rsidRPr="009D0E0D">
        <w:t xml:space="preserve">tax </w:t>
      </w:r>
      <w:r w:rsidR="00680F27" w:rsidRPr="009D0E0D">
        <w:t>revenue</w:t>
      </w:r>
      <w:r w:rsidR="00CB729F" w:rsidRPr="009D0E0D">
        <w:t>s</w:t>
      </w:r>
      <w:r w:rsidR="00680F27" w:rsidRPr="009D0E0D">
        <w:t xml:space="preserve"> </w:t>
      </w:r>
      <w:r w:rsidR="00E30F51" w:rsidRPr="009D0E0D">
        <w:t>would</w:t>
      </w:r>
      <w:r w:rsidR="000A6E08" w:rsidRPr="009D0E0D">
        <w:t xml:space="preserve"> be assessed as having </w:t>
      </w:r>
      <w:r w:rsidR="006D7450">
        <w:t>a</w:t>
      </w:r>
      <w:r w:rsidR="000A6E08" w:rsidRPr="009D0E0D">
        <w:t xml:space="preserve"> below</w:t>
      </w:r>
      <w:r w:rsidR="004903FD">
        <w:noBreakHyphen/>
      </w:r>
      <w:r w:rsidR="000A6E08" w:rsidRPr="009D0E0D">
        <w:t xml:space="preserve">average revenue capacity </w:t>
      </w:r>
      <w:r w:rsidR="008A112F" w:rsidRPr="009D0E0D">
        <w:t xml:space="preserve">and as a result experience an </w:t>
      </w:r>
      <w:r w:rsidR="000A6E08" w:rsidRPr="009D0E0D">
        <w:t>increase in its GST share.</w:t>
      </w:r>
      <w:r w:rsidR="00547C2C" w:rsidRPr="009D0E0D">
        <w:t xml:space="preserve"> If </w:t>
      </w:r>
      <w:r w:rsidR="00796633" w:rsidRPr="009D0E0D">
        <w:t>a state</w:t>
      </w:r>
      <w:r w:rsidR="00915BE0" w:rsidRPr="009D0E0D">
        <w:t>’</w:t>
      </w:r>
      <w:r w:rsidR="00796633" w:rsidRPr="009D0E0D">
        <w:t>s</w:t>
      </w:r>
      <w:r w:rsidR="00547C2C" w:rsidRPr="009D0E0D">
        <w:t xml:space="preserve"> low gambling </w:t>
      </w:r>
      <w:r w:rsidR="00CB729F" w:rsidRPr="009D0E0D">
        <w:t xml:space="preserve">tax </w:t>
      </w:r>
      <w:r w:rsidR="00547C2C" w:rsidRPr="009D0E0D">
        <w:t xml:space="preserve">revenue is a result of policy </w:t>
      </w:r>
      <w:r w:rsidR="00FB51D7" w:rsidRPr="009D0E0D">
        <w:t xml:space="preserve">prohibiting or restricting gambling, it may be assessed to </w:t>
      </w:r>
      <w:r w:rsidR="00272567" w:rsidRPr="009D0E0D">
        <w:t>have an above</w:t>
      </w:r>
      <w:r w:rsidR="00E141C5">
        <w:noBreakHyphen/>
      </w:r>
      <w:r w:rsidR="00272567" w:rsidRPr="009D0E0D">
        <w:t xml:space="preserve">average capacity to raise gambling </w:t>
      </w:r>
      <w:r w:rsidR="00CB729F" w:rsidRPr="009D0E0D">
        <w:t>taxes</w:t>
      </w:r>
      <w:r w:rsidR="00272567" w:rsidRPr="009D0E0D">
        <w:t xml:space="preserve"> under a policy neutral differential assessment</w:t>
      </w:r>
      <w:r w:rsidR="005D13B0" w:rsidRPr="005C2FFA">
        <w:t>.</w:t>
      </w:r>
    </w:p>
    <w:p w14:paraId="55B53C49" w14:textId="107EFC19" w:rsidR="007F06BE" w:rsidRPr="00465475" w:rsidRDefault="006B6C80" w:rsidP="00DC1742">
      <w:pPr>
        <w:pStyle w:val="CGC2025ParaNumbers"/>
      </w:pPr>
      <w:r w:rsidRPr="00465475">
        <w:t xml:space="preserve">The Commission is aware that this is an area of </w:t>
      </w:r>
      <w:r w:rsidR="005D13B0" w:rsidRPr="00465475">
        <w:t xml:space="preserve">possible </w:t>
      </w:r>
      <w:r w:rsidRPr="00465475">
        <w:t>policy change</w:t>
      </w:r>
      <w:r w:rsidR="00D279D2" w:rsidRPr="00465475">
        <w:t xml:space="preserve"> at the state and national level</w:t>
      </w:r>
      <w:r w:rsidRPr="00465475">
        <w:t xml:space="preserve">. </w:t>
      </w:r>
      <w:r w:rsidRPr="009D0E0D">
        <w:t>I</w:t>
      </w:r>
      <w:r w:rsidR="00F333D2" w:rsidRPr="009D0E0D">
        <w:t>t</w:t>
      </w:r>
      <w:r w:rsidRPr="009D0E0D">
        <w:t xml:space="preserve"> is </w:t>
      </w:r>
      <w:r w:rsidR="0017152E" w:rsidRPr="009D0E0D">
        <w:t xml:space="preserve">monitoring </w:t>
      </w:r>
      <w:r w:rsidR="00BC4265" w:rsidRPr="009D0E0D">
        <w:t>government response</w:t>
      </w:r>
      <w:r w:rsidR="009048E2" w:rsidRPr="009D0E0D">
        <w:t>s</w:t>
      </w:r>
      <w:r w:rsidR="00BC4265" w:rsidRPr="009D0E0D">
        <w:t xml:space="preserve"> to the </w:t>
      </w:r>
      <w:r w:rsidR="007B02A6">
        <w:t xml:space="preserve">Australian Parliament </w:t>
      </w:r>
      <w:r w:rsidR="00DC1742" w:rsidRPr="009D0E0D">
        <w:t xml:space="preserve">House </w:t>
      </w:r>
      <w:r w:rsidR="007B02A6">
        <w:t>of Representatives</w:t>
      </w:r>
      <w:r w:rsidR="00DC1742" w:rsidRPr="009D0E0D">
        <w:t xml:space="preserve"> Standing Committee on Social Policy </w:t>
      </w:r>
      <w:r w:rsidR="00181EB5" w:rsidRPr="009D0E0D">
        <w:t>and</w:t>
      </w:r>
      <w:r w:rsidR="00DC1742" w:rsidRPr="009D0E0D">
        <w:t xml:space="preserve"> Legal Affairs</w:t>
      </w:r>
      <w:r w:rsidR="00915BE0" w:rsidRPr="009D0E0D">
        <w:t>’</w:t>
      </w:r>
      <w:r w:rsidR="00DC1742" w:rsidRPr="009D0E0D">
        <w:t xml:space="preserve"> recent report</w:t>
      </w:r>
      <w:r w:rsidR="00200F51" w:rsidRPr="009D0E0D">
        <w:t xml:space="preserve"> </w:t>
      </w:r>
      <w:r w:rsidR="00DC1742" w:rsidRPr="009D0E0D">
        <w:t xml:space="preserve">which proposes a </w:t>
      </w:r>
      <w:r w:rsidR="002D3A39" w:rsidRPr="009D0E0D">
        <w:t xml:space="preserve">national </w:t>
      </w:r>
      <w:r w:rsidR="00DC1742" w:rsidRPr="009D0E0D">
        <w:t xml:space="preserve">levy on online </w:t>
      </w:r>
      <w:r w:rsidR="00A20219" w:rsidRPr="009D0E0D">
        <w:t>wagering service providers</w:t>
      </w:r>
      <w:r w:rsidR="009048E2" w:rsidRPr="009D0E0D">
        <w:t xml:space="preserve"> </w:t>
      </w:r>
      <w:r w:rsidR="0080787B" w:rsidRPr="009D0E0D">
        <w:t xml:space="preserve">directed </w:t>
      </w:r>
      <w:r w:rsidR="003907CD" w:rsidRPr="009D0E0D">
        <w:t>towards harm reduction measures</w:t>
      </w:r>
      <w:r w:rsidR="009048E2" w:rsidRPr="009D0E0D">
        <w:t xml:space="preserve"> and a </w:t>
      </w:r>
      <w:r w:rsidR="00DC1742" w:rsidRPr="009D0E0D">
        <w:t>national strategy on online gambling harm</w:t>
      </w:r>
      <w:r w:rsidR="00DC1742" w:rsidRPr="00465475">
        <w:t>.</w:t>
      </w:r>
      <w:r w:rsidR="00F25042" w:rsidRPr="00465475">
        <w:t xml:space="preserve"> </w:t>
      </w:r>
    </w:p>
    <w:p w14:paraId="49309E6D" w14:textId="6ED2F92C" w:rsidR="00A85D05" w:rsidRPr="00D22AF3" w:rsidRDefault="00A85D05" w:rsidP="00D22AF3">
      <w:pPr>
        <w:pStyle w:val="Heading2"/>
        <w:keepNext w:val="0"/>
        <w:widowControl/>
        <w:tabs>
          <w:tab w:val="clear" w:pos="567"/>
        </w:tabs>
        <w:spacing w:before="360" w:after="200" w:line="276" w:lineRule="auto"/>
        <w:rPr>
          <w:rFonts w:eastAsia="Times New Roman" w:cs="Open Sans"/>
          <w:color w:val="006991"/>
          <w:sz w:val="36"/>
          <w:szCs w:val="36"/>
        </w:rPr>
      </w:pPr>
      <w:bookmarkStart w:id="29" w:name="_Toc121741487"/>
      <w:bookmarkStart w:id="30" w:name="_Toc143683499"/>
      <w:bookmarkStart w:id="31" w:name="_Toc148600181"/>
      <w:r w:rsidRPr="00D22AF3">
        <w:rPr>
          <w:rFonts w:eastAsia="Times New Roman" w:cs="Open Sans"/>
          <w:color w:val="006991"/>
          <w:sz w:val="36"/>
          <w:szCs w:val="36"/>
        </w:rPr>
        <w:t xml:space="preserve">Implications </w:t>
      </w:r>
      <w:bookmarkEnd w:id="29"/>
      <w:r w:rsidRPr="00D22AF3">
        <w:rPr>
          <w:rFonts w:eastAsia="Times New Roman" w:cs="Open Sans"/>
          <w:color w:val="006991"/>
          <w:sz w:val="36"/>
          <w:szCs w:val="36"/>
        </w:rPr>
        <w:t>for assessment</w:t>
      </w:r>
      <w:bookmarkEnd w:id="30"/>
      <w:bookmarkEnd w:id="31"/>
    </w:p>
    <w:p w14:paraId="7794B36A" w14:textId="4C39D735" w:rsidR="00C31589" w:rsidRPr="00465475" w:rsidRDefault="00075922" w:rsidP="00C31589">
      <w:pPr>
        <w:pStyle w:val="CGC2025ParaNumbers"/>
      </w:pPr>
      <w:r w:rsidRPr="00465475">
        <w:t xml:space="preserve">In </w:t>
      </w:r>
      <w:r w:rsidR="006B6CA7" w:rsidRPr="00465475">
        <w:t>recent</w:t>
      </w:r>
      <w:r w:rsidRPr="00465475">
        <w:t xml:space="preserve"> reviews, some states asked the Commission to investigate a differential assessment.</w:t>
      </w:r>
      <w:r w:rsidR="00364CEB" w:rsidRPr="00465475">
        <w:t xml:space="preserve"> </w:t>
      </w:r>
      <w:r w:rsidR="00F250D0" w:rsidRPr="00465475">
        <w:t>In the past</w:t>
      </w:r>
      <w:r w:rsidR="00CE32E9" w:rsidRPr="00465475">
        <w:t>,</w:t>
      </w:r>
      <w:r w:rsidR="00F250D0" w:rsidRPr="00465475">
        <w:t xml:space="preserve"> </w:t>
      </w:r>
      <w:r w:rsidR="00A85198" w:rsidRPr="00465475">
        <w:t>the Co</w:t>
      </w:r>
      <w:r w:rsidR="00F54D86" w:rsidRPr="00465475">
        <w:t xml:space="preserve">mmission has had </w:t>
      </w:r>
      <w:r w:rsidR="00F250D0" w:rsidRPr="00465475">
        <w:t xml:space="preserve">difficulty </w:t>
      </w:r>
      <w:r w:rsidR="00563123" w:rsidRPr="00465475">
        <w:t>identifying</w:t>
      </w:r>
      <w:r w:rsidR="00364CEB" w:rsidRPr="00465475">
        <w:t xml:space="preserve"> </w:t>
      </w:r>
      <w:r w:rsidR="00640D36" w:rsidRPr="00465475">
        <w:t xml:space="preserve">the </w:t>
      </w:r>
      <w:r w:rsidR="00364CEB" w:rsidRPr="00465475">
        <w:t xml:space="preserve">underlying factors </w:t>
      </w:r>
      <w:r w:rsidR="00C27DF0" w:rsidRPr="00465475">
        <w:t>driving gam</w:t>
      </w:r>
      <w:r w:rsidR="00EE0D1E" w:rsidRPr="00465475">
        <w:t>bling</w:t>
      </w:r>
      <w:r w:rsidR="00A75AB3" w:rsidRPr="00465475">
        <w:t xml:space="preserve">. In addition, </w:t>
      </w:r>
      <w:r w:rsidR="00C5540F" w:rsidRPr="00465475">
        <w:t xml:space="preserve">the influence of </w:t>
      </w:r>
      <w:r w:rsidR="007D1066" w:rsidRPr="00465475">
        <w:t xml:space="preserve">state </w:t>
      </w:r>
      <w:r w:rsidR="00364CEB" w:rsidRPr="00465475">
        <w:t xml:space="preserve">policies </w:t>
      </w:r>
      <w:r w:rsidR="00C5540F" w:rsidRPr="00465475">
        <w:t>that</w:t>
      </w:r>
      <w:r w:rsidR="00364CEB" w:rsidRPr="00465475">
        <w:t xml:space="preserve"> affect the level of gambling </w:t>
      </w:r>
      <w:r w:rsidR="00B86484" w:rsidRPr="00465475">
        <w:t>has meant that</w:t>
      </w:r>
      <w:r w:rsidR="00364CEB" w:rsidRPr="00465475">
        <w:t xml:space="preserve"> the Commission </w:t>
      </w:r>
      <w:r w:rsidR="00B86484" w:rsidRPr="00465475">
        <w:t>has</w:t>
      </w:r>
      <w:r w:rsidR="005A2AE5" w:rsidRPr="00465475">
        <w:t xml:space="preserve"> not been able to develop a reliable method to differentially assess gambling </w:t>
      </w:r>
      <w:r w:rsidR="00CB729F" w:rsidRPr="00465475">
        <w:t>taxes</w:t>
      </w:r>
      <w:r w:rsidR="005A2AE5" w:rsidRPr="00465475">
        <w:t xml:space="preserve">. </w:t>
      </w:r>
    </w:p>
    <w:p w14:paraId="48010C15" w14:textId="603FCF60" w:rsidR="00747174" w:rsidRPr="00465475" w:rsidRDefault="00BA4F80" w:rsidP="00C31589">
      <w:pPr>
        <w:pStyle w:val="CGC2025ParaNumbers"/>
      </w:pPr>
      <w:r w:rsidRPr="00465475">
        <w:fldChar w:fldCharType="begin"/>
      </w:r>
      <w:r w:rsidRPr="00465475">
        <w:instrText xml:space="preserve"> REF _Ref144882593 \h </w:instrText>
      </w:r>
      <w:r w:rsidR="00465475">
        <w:instrText xml:space="preserve"> \* MERGEFORMAT </w:instrText>
      </w:r>
      <w:r w:rsidRPr="00465475">
        <w:fldChar w:fldCharType="separate"/>
      </w:r>
      <w:r w:rsidR="000C11A1" w:rsidRPr="004A508E">
        <w:t xml:space="preserve">Table </w:t>
      </w:r>
      <w:r w:rsidR="000C11A1">
        <w:rPr>
          <w:noProof/>
        </w:rPr>
        <w:t>5</w:t>
      </w:r>
      <w:r w:rsidRPr="00465475">
        <w:fldChar w:fldCharType="end"/>
      </w:r>
      <w:r w:rsidR="004F1024" w:rsidRPr="00465475">
        <w:t xml:space="preserve"> </w:t>
      </w:r>
      <w:r w:rsidR="004F1024" w:rsidRPr="009D0E0D">
        <w:t xml:space="preserve">provides </w:t>
      </w:r>
      <w:r w:rsidR="006210E5" w:rsidRPr="009D0E0D">
        <w:t>a</w:t>
      </w:r>
      <w:r w:rsidR="004F1024" w:rsidRPr="009D0E0D">
        <w:t xml:space="preserve">n overview of the evolution of the gambling assessment and the approaches </w:t>
      </w:r>
      <w:r w:rsidR="008C1EDF">
        <w:t>the</w:t>
      </w:r>
      <w:r w:rsidR="004F1024" w:rsidRPr="009D0E0D">
        <w:t xml:space="preserve"> </w:t>
      </w:r>
      <w:r w:rsidR="004A508E" w:rsidRPr="009D0E0D">
        <w:t xml:space="preserve">Commission </w:t>
      </w:r>
      <w:r w:rsidR="00356342" w:rsidRPr="009D0E0D">
        <w:t>ad</w:t>
      </w:r>
      <w:r w:rsidR="00095526" w:rsidRPr="009D0E0D">
        <w:t>opted</w:t>
      </w:r>
      <w:r w:rsidR="004F1024" w:rsidRPr="009D0E0D">
        <w:t xml:space="preserve"> in previous reviews.</w:t>
      </w:r>
      <w:r w:rsidR="00C31589" w:rsidRPr="009D0E0D">
        <w:t xml:space="preserve"> </w:t>
      </w:r>
      <w:r w:rsidR="00817414">
        <w:t>For the 2025 Revie</w:t>
      </w:r>
      <w:r w:rsidR="00DB0E28">
        <w:t>w,</w:t>
      </w:r>
      <w:r w:rsidR="00C31589" w:rsidRPr="009D0E0D">
        <w:t xml:space="preserve"> </w:t>
      </w:r>
      <w:r w:rsidR="00863576" w:rsidRPr="009D0E0D">
        <w:t>the</w:t>
      </w:r>
      <w:r w:rsidR="0078735A" w:rsidRPr="009D0E0D">
        <w:t xml:space="preserve"> </w:t>
      </w:r>
      <w:r w:rsidR="006563B2" w:rsidRPr="009D0E0D">
        <w:t>Commission has re</w:t>
      </w:r>
      <w:r w:rsidR="00867E10">
        <w:t>-examined</w:t>
      </w:r>
      <w:r w:rsidR="006563B2" w:rsidRPr="009D0E0D">
        <w:t xml:space="preserve"> some </w:t>
      </w:r>
      <w:r w:rsidR="00FB2561" w:rsidRPr="009D0E0D">
        <w:t xml:space="preserve">of the options that have been previously considered for a differential assessment. </w:t>
      </w:r>
      <w:r w:rsidR="00236643" w:rsidRPr="009D0E0D">
        <w:t xml:space="preserve">Given that a move to a differential </w:t>
      </w:r>
      <w:r w:rsidR="00236643" w:rsidRPr="009D0E0D">
        <w:lastRenderedPageBreak/>
        <w:t xml:space="preserve">assessment could have significant implications for the distribution of GST, it is important that </w:t>
      </w:r>
      <w:r w:rsidR="00E22D30" w:rsidRPr="009D0E0D">
        <w:t>the assessment method used is robust and soundly based</w:t>
      </w:r>
      <w:r w:rsidR="00E22D30" w:rsidRPr="00465475">
        <w:t>.</w:t>
      </w:r>
      <w:r w:rsidR="004F1024" w:rsidRPr="00465475">
        <w:t xml:space="preserve"> </w:t>
      </w:r>
    </w:p>
    <w:p w14:paraId="02613649" w14:textId="31606A72" w:rsidR="00747174" w:rsidRPr="004A508E" w:rsidRDefault="00747174" w:rsidP="00747174">
      <w:pPr>
        <w:pStyle w:val="Caption"/>
        <w:rPr>
          <w:rFonts w:ascii="Work Sans" w:hAnsi="Work Sans"/>
        </w:rPr>
      </w:pPr>
      <w:bookmarkStart w:id="32" w:name="_Ref144882593"/>
      <w:r w:rsidRPr="004A508E">
        <w:rPr>
          <w:rFonts w:ascii="Work Sans" w:hAnsi="Work Sans"/>
        </w:rPr>
        <w:t xml:space="preserve">Table </w:t>
      </w:r>
      <w:r w:rsidRPr="004A508E">
        <w:rPr>
          <w:rFonts w:ascii="Work Sans" w:hAnsi="Work Sans"/>
        </w:rPr>
        <w:fldChar w:fldCharType="begin"/>
      </w:r>
      <w:r w:rsidRPr="004A508E">
        <w:rPr>
          <w:rFonts w:ascii="Work Sans" w:hAnsi="Work Sans"/>
        </w:rPr>
        <w:instrText xml:space="preserve"> SEQ Table \* ARABIC </w:instrText>
      </w:r>
      <w:r w:rsidRPr="004A508E">
        <w:rPr>
          <w:rFonts w:ascii="Work Sans" w:hAnsi="Work Sans"/>
        </w:rPr>
        <w:fldChar w:fldCharType="separate"/>
      </w:r>
      <w:r w:rsidR="000C11A1">
        <w:rPr>
          <w:rFonts w:ascii="Work Sans" w:hAnsi="Work Sans"/>
          <w:noProof/>
        </w:rPr>
        <w:t>5</w:t>
      </w:r>
      <w:r w:rsidRPr="004A508E">
        <w:rPr>
          <w:rFonts w:ascii="Work Sans" w:hAnsi="Work Sans"/>
        </w:rPr>
        <w:fldChar w:fldCharType="end"/>
      </w:r>
      <w:bookmarkEnd w:id="32"/>
      <w:r w:rsidRPr="004A508E">
        <w:rPr>
          <w:rFonts w:ascii="Work Sans" w:hAnsi="Work Sans"/>
        </w:rPr>
        <w:tab/>
        <w:t>Evolution of the gambling assessment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416"/>
        <w:gridCol w:w="2128"/>
        <w:gridCol w:w="1559"/>
        <w:gridCol w:w="1567"/>
        <w:gridCol w:w="2356"/>
      </w:tblGrid>
      <w:tr w:rsidR="006207BE" w:rsidRPr="00A71140" w14:paraId="6529E579" w14:textId="77777777" w:rsidTr="00C517A5">
        <w:trPr>
          <w:trHeight w:val="585"/>
        </w:trPr>
        <w:tc>
          <w:tcPr>
            <w:tcW w:w="141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666C3B53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11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Inquiry</w:t>
            </w:r>
          </w:p>
        </w:tc>
        <w:tc>
          <w:tcPr>
            <w:tcW w:w="212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612CD0D2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11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Capacity measure</w:t>
            </w:r>
          </w:p>
        </w:tc>
        <w:tc>
          <w:tcPr>
            <w:tcW w:w="1559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</w:tcPr>
          <w:p w14:paraId="76908E2E" w14:textId="0C1B5751" w:rsidR="006207BE" w:rsidRPr="00A71140" w:rsidRDefault="00C517A5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br/>
            </w:r>
            <w:r w:rsidR="006207B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Type of measure  </w:t>
            </w:r>
          </w:p>
        </w:tc>
        <w:tc>
          <w:tcPr>
            <w:tcW w:w="156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F53E7D3" w14:textId="2598EB88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11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Form of gambling</w:t>
            </w:r>
          </w:p>
        </w:tc>
        <w:tc>
          <w:tcPr>
            <w:tcW w:w="235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0F153D5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71140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Individual state adjustments</w:t>
            </w:r>
          </w:p>
        </w:tc>
      </w:tr>
      <w:tr w:rsidR="006207BE" w:rsidRPr="00A71140" w14:paraId="20C13F45" w14:textId="77777777" w:rsidTr="00C517A5">
        <w:trPr>
          <w:trHeight w:val="555"/>
        </w:trPr>
        <w:tc>
          <w:tcPr>
            <w:tcW w:w="141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13553DA8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Special grants era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65B4B7E1" w14:textId="77777777" w:rsidR="006207BE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Revenue/turnover in the standard states (a)</w:t>
            </w:r>
          </w:p>
          <w:p w14:paraId="482B22AF" w14:textId="353030C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74652665" w14:textId="4A25CC10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Activity</w:t>
            </w:r>
            <w:r w:rsidR="000D43C2">
              <w:rPr>
                <w:rFonts w:eastAsia="Times New Roman" w:cs="Open Sans Light"/>
                <w:sz w:val="16"/>
                <w:szCs w:val="16"/>
                <w:lang w:eastAsia="en-AU"/>
              </w:rPr>
              <w:t>/direct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39DE6672" w14:textId="01D93AD0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Initially racing and lotteries</w:t>
            </w:r>
            <w:r w:rsidR="00606F0D">
              <w:rPr>
                <w:rFonts w:eastAsia="Times New Roman" w:cs="Open Sans Light"/>
                <w:sz w:val="16"/>
                <w:szCs w:val="16"/>
                <w:lang w:eastAsia="en-AU"/>
              </w:rPr>
              <w:t>;</w:t>
            </w: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</w:t>
            </w:r>
            <w:r w:rsidR="00450F6C">
              <w:rPr>
                <w:rFonts w:eastAsia="Times New Roman" w:cs="Open Sans Light"/>
                <w:sz w:val="16"/>
                <w:szCs w:val="16"/>
                <w:lang w:eastAsia="en-AU"/>
              </w:rPr>
              <w:t>g</w:t>
            </w: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aming machines from the 19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5</w:t>
            </w: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0s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and casinos from the 1970s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240CF936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Mainly SA and Tas</w:t>
            </w:r>
          </w:p>
        </w:tc>
      </w:tr>
      <w:tr w:rsidR="006207BE" w:rsidRPr="00A71140" w14:paraId="27410B41" w14:textId="77777777" w:rsidTr="00C517A5">
        <w:trPr>
          <w:trHeight w:val="55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50BD0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1981 Review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46C30AEC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Turnover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74002140" w14:textId="2E1454A3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Activity</w:t>
            </w:r>
            <w:r w:rsidR="00757A69">
              <w:rPr>
                <w:rFonts w:eastAsia="Times New Roman" w:cs="Open Sans Light"/>
                <w:sz w:val="16"/>
                <w:szCs w:val="16"/>
                <w:lang w:eastAsia="en-AU"/>
              </w:rPr>
              <w:t>/direct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4386C9D7" w14:textId="06BBF705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Racing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24FA093C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NSW and Vic for scale of operations</w:t>
            </w:r>
          </w:p>
        </w:tc>
      </w:tr>
      <w:tr w:rsidR="006207BE" w:rsidRPr="00A71140" w14:paraId="42C8899D" w14:textId="77777777" w:rsidTr="00C517A5">
        <w:trPr>
          <w:trHeight w:val="555"/>
        </w:trPr>
        <w:tc>
          <w:tcPr>
            <w:tcW w:w="141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055988E5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56E56938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Gross household 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5CA7E4B9" w14:textId="507BE37D" w:rsidR="006207BE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Broad </w:t>
            </w:r>
            <w:r w:rsidR="000D43C2">
              <w:rPr>
                <w:rFonts w:eastAsia="Times New Roman" w:cs="Open Sans Light"/>
                <w:sz w:val="16"/>
                <w:szCs w:val="16"/>
                <w:lang w:eastAsia="en-AU"/>
              </w:rPr>
              <w:t>indicator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3A0273BE" w14:textId="2C4B37C9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Lotteries, gaming machines and casinos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0B1F172B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NSW and Vic for scale of 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lottery </w:t>
            </w: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operations</w:t>
            </w:r>
          </w:p>
        </w:tc>
      </w:tr>
      <w:tr w:rsidR="006207BE" w:rsidRPr="00A71140" w14:paraId="43C61944" w14:textId="77777777" w:rsidTr="00C517A5">
        <w:trPr>
          <w:trHeight w:val="55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42055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1982 Review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10691D9F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Turnover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2725F8C6" w14:textId="7749B980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Activity</w:t>
            </w:r>
            <w:r w:rsidR="00757A69">
              <w:rPr>
                <w:rFonts w:eastAsia="Times New Roman" w:cs="Open Sans Light"/>
                <w:sz w:val="16"/>
                <w:szCs w:val="16"/>
                <w:lang w:eastAsia="en-AU"/>
              </w:rPr>
              <w:t>/direct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2BA20DD7" w14:textId="101595F1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Racing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02F9C9F9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NSW and Vic for scale of operations</w:t>
            </w:r>
          </w:p>
        </w:tc>
      </w:tr>
      <w:tr w:rsidR="006207BE" w:rsidRPr="00A71140" w14:paraId="674FC5FD" w14:textId="77777777" w:rsidTr="00C517A5">
        <w:trPr>
          <w:trHeight w:val="555"/>
        </w:trPr>
        <w:tc>
          <w:tcPr>
            <w:tcW w:w="141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21C42E4F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7E3146B1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Gross household 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1B9E4E7F" w14:textId="34B4570B" w:rsidR="006207BE" w:rsidRPr="006207BE" w:rsidRDefault="000D43C2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Broad indicator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4371E4C5" w14:textId="3799A010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Lotteries, gaming machines and casinos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036225C6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NSW and Vic for scale of 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lottery </w:t>
            </w: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operations</w:t>
            </w:r>
          </w:p>
        </w:tc>
      </w:tr>
      <w:tr w:rsidR="006207BE" w:rsidRPr="00A71140" w14:paraId="3B02C513" w14:textId="77777777" w:rsidTr="00C517A5">
        <w:trPr>
          <w:trHeight w:val="31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B696D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1985 Review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05B877BB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Turnover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679BEF9C" w14:textId="4AAAD0DF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Activity</w:t>
            </w:r>
            <w:r w:rsidR="00757A69">
              <w:rPr>
                <w:rFonts w:eastAsia="Times New Roman" w:cs="Open Sans Light"/>
                <w:sz w:val="16"/>
                <w:szCs w:val="16"/>
                <w:lang w:eastAsia="en-AU"/>
              </w:rPr>
              <w:t>/direct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10D6019A" w14:textId="5260D36D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Racing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7D081B0D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-</w:t>
            </w:r>
          </w:p>
        </w:tc>
      </w:tr>
      <w:tr w:rsidR="006207BE" w:rsidRPr="00A71140" w14:paraId="68D15ADA" w14:textId="77777777" w:rsidTr="00C517A5">
        <w:trPr>
          <w:trHeight w:val="315"/>
        </w:trPr>
        <w:tc>
          <w:tcPr>
            <w:tcW w:w="141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744F2D69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1C8E083D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Gross household 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22F01C1F" w14:textId="0891D3A2" w:rsidR="006207BE" w:rsidRDefault="000D43C2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Broad indicator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0FDEBFA4" w14:textId="6E392FEA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Lotteries, gaming machines and casinos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6F6AA1E2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NT for lower lottery capacity</w:t>
            </w:r>
          </w:p>
        </w:tc>
      </w:tr>
      <w:tr w:rsidR="006207BE" w:rsidRPr="00A71140" w14:paraId="577A0A25" w14:textId="77777777" w:rsidTr="00C517A5">
        <w:trPr>
          <w:trHeight w:val="55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751DC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1988 Review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422C37A5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Turnover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2E2ACCE1" w14:textId="64B985E6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Activity</w:t>
            </w:r>
            <w:r w:rsidR="00757A69">
              <w:rPr>
                <w:rFonts w:eastAsia="Times New Roman" w:cs="Open Sans Light"/>
                <w:sz w:val="16"/>
                <w:szCs w:val="16"/>
                <w:lang w:eastAsia="en-AU"/>
              </w:rPr>
              <w:t>/direct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355F7CCC" w14:textId="0BBEB4CD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Racing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2B437F5E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NSW, WA, SA, Tas and the NT for scale of operations</w:t>
            </w:r>
          </w:p>
        </w:tc>
      </w:tr>
      <w:tr w:rsidR="006207BE" w:rsidRPr="00A71140" w14:paraId="336DC808" w14:textId="77777777" w:rsidTr="00C517A5">
        <w:trPr>
          <w:trHeight w:val="315"/>
        </w:trPr>
        <w:tc>
          <w:tcPr>
            <w:tcW w:w="141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7FE414D7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6C006F6B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Gross household 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3B105B08" w14:textId="6EB2E5AE" w:rsidR="006207BE" w:rsidRDefault="000D43C2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Broad indicator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67BF4AB0" w14:textId="71894B08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Lotteries, gaming machines and casinos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30A134A7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-</w:t>
            </w:r>
          </w:p>
        </w:tc>
      </w:tr>
      <w:tr w:rsidR="006207BE" w:rsidRPr="00A71140" w14:paraId="736CA1F5" w14:textId="77777777" w:rsidTr="00C517A5">
        <w:trPr>
          <w:trHeight w:val="1035"/>
        </w:trPr>
        <w:tc>
          <w:tcPr>
            <w:tcW w:w="141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159F9AD3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1993 Review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270341CF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Household disposable income (b)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71F9ADD9" w14:textId="19A635E1" w:rsidR="006207BE" w:rsidRPr="00A71140" w:rsidRDefault="000D43C2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Broad indicator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43005BAB" w14:textId="2A2F41BD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All gambling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7FC9952B" w14:textId="59C4436F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WA, SA, Tas, 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and the </w:t>
            </w: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ACT for scale of 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racing </w:t>
            </w: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operations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.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br/>
              <w:t xml:space="preserve">ACT for </w:t>
            </w: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cross-border 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racing</w:t>
            </w:r>
            <w:r w:rsidR="001214AC">
              <w:rPr>
                <w:rFonts w:eastAsia="Times New Roman" w:cs="Open Sans Light"/>
                <w:sz w:val="16"/>
                <w:szCs w:val="16"/>
                <w:lang w:eastAsia="en-AU"/>
              </w:rPr>
              <w:t>;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br/>
              <w:t>Tas, ACT and NT for</w:t>
            </w: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lottery revenue sharing agreements</w:t>
            </w:r>
          </w:p>
        </w:tc>
      </w:tr>
      <w:tr w:rsidR="006207BE" w:rsidRPr="00A71140" w14:paraId="7DBAC904" w14:textId="77777777" w:rsidTr="00C517A5">
        <w:trPr>
          <w:trHeight w:val="555"/>
        </w:trPr>
        <w:tc>
          <w:tcPr>
            <w:tcW w:w="141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298E2047" w14:textId="77777777" w:rsidR="006207BE" w:rsidRPr="004A28E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4A28E0">
              <w:rPr>
                <w:rFonts w:eastAsia="Times New Roman" w:cs="Open Sans Light"/>
                <w:sz w:val="16"/>
                <w:szCs w:val="16"/>
                <w:lang w:eastAsia="en-AU"/>
              </w:rPr>
              <w:t>1999 Review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4C790967" w14:textId="77777777" w:rsidR="006207BE" w:rsidRPr="004A28E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4A28E0">
              <w:rPr>
                <w:rFonts w:eastAsia="Times New Roman" w:cs="Open Sans Light"/>
                <w:sz w:val="16"/>
                <w:szCs w:val="16"/>
                <w:lang w:eastAsia="en-AU"/>
              </w:rPr>
              <w:t>Household disposable income, with a 50% discount (c)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7DC44AED" w14:textId="7EFDC2BA" w:rsidR="006207BE" w:rsidRPr="00A71140" w:rsidRDefault="000D43C2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Broad indicator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5A6A8471" w14:textId="08FD702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All gambling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4367BC97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Tas, ACT and the NT for lottery revenue sharing agreements</w:t>
            </w:r>
          </w:p>
        </w:tc>
      </w:tr>
      <w:tr w:rsidR="006207BE" w:rsidRPr="00A71140" w14:paraId="774D2661" w14:textId="77777777" w:rsidTr="00C517A5">
        <w:trPr>
          <w:trHeight w:val="555"/>
        </w:trPr>
        <w:tc>
          <w:tcPr>
            <w:tcW w:w="141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01BE8855" w14:textId="77777777" w:rsidR="006207BE" w:rsidRPr="004A28E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4A28E0">
              <w:rPr>
                <w:rFonts w:eastAsia="Times New Roman" w:cs="Open Sans Light"/>
                <w:sz w:val="16"/>
                <w:szCs w:val="16"/>
                <w:lang w:eastAsia="en-AU"/>
              </w:rPr>
              <w:t>2004 Review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0580CB52" w14:textId="77777777" w:rsidR="006207BE" w:rsidRPr="004A28E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4A28E0">
              <w:rPr>
                <w:rFonts w:eastAsia="Times New Roman" w:cs="Open Sans Light"/>
                <w:sz w:val="16"/>
                <w:szCs w:val="16"/>
                <w:lang w:eastAsia="en-AU"/>
              </w:rPr>
              <w:t>Household disposable income, with a 50% discount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2563B655" w14:textId="50953E7E" w:rsidR="006207BE" w:rsidRPr="00A71140" w:rsidRDefault="000D43C2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Broad indicator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3904C33C" w14:textId="1F6FF701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All gambling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06C2B958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-</w:t>
            </w:r>
          </w:p>
        </w:tc>
      </w:tr>
      <w:tr w:rsidR="006207BE" w:rsidRPr="00A71140" w14:paraId="17780226" w14:textId="77777777" w:rsidTr="00C517A5">
        <w:trPr>
          <w:trHeight w:val="315"/>
        </w:trPr>
        <w:tc>
          <w:tcPr>
            <w:tcW w:w="141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65C64708" w14:textId="77777777" w:rsidR="006207BE" w:rsidRPr="004A28E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4A28E0">
              <w:rPr>
                <w:rFonts w:eastAsia="Times New Roman" w:cs="Open Sans Light"/>
                <w:sz w:val="16"/>
                <w:szCs w:val="16"/>
                <w:lang w:eastAsia="en-AU"/>
              </w:rPr>
              <w:t>2010 Review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029FD80D" w14:textId="77777777" w:rsidR="006207BE" w:rsidRPr="004A28E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4A28E0">
              <w:rPr>
                <w:rFonts w:eastAsia="Times New Roman" w:cs="Open Sans Light"/>
                <w:sz w:val="16"/>
                <w:szCs w:val="16"/>
                <w:lang w:eastAsia="en-AU"/>
              </w:rPr>
              <w:t>Equal per capita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78BB612A" w14:textId="091005D9" w:rsidR="006207BE" w:rsidRPr="00A71140" w:rsidRDefault="009F388B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Equal per capita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49300B8B" w14:textId="60DC266F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All gambling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53379C67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-</w:t>
            </w:r>
          </w:p>
        </w:tc>
      </w:tr>
      <w:tr w:rsidR="006207BE" w:rsidRPr="00A71140" w14:paraId="375DD8E8" w14:textId="77777777" w:rsidTr="00C517A5">
        <w:trPr>
          <w:trHeight w:val="315"/>
        </w:trPr>
        <w:tc>
          <w:tcPr>
            <w:tcW w:w="141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71F72067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2015 Review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30A2FCE4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Equal per capita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3DB93585" w14:textId="6B451110" w:rsidR="006207BE" w:rsidRPr="00A71140" w:rsidRDefault="009F388B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Equal per capita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77CC78D6" w14:textId="4F59A91A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All gambling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7A44AAEA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-</w:t>
            </w:r>
          </w:p>
        </w:tc>
      </w:tr>
      <w:tr w:rsidR="006207BE" w:rsidRPr="00A71140" w14:paraId="5007BA20" w14:textId="77777777" w:rsidTr="00C517A5">
        <w:trPr>
          <w:trHeight w:val="315"/>
        </w:trPr>
        <w:tc>
          <w:tcPr>
            <w:tcW w:w="141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26570689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2020 Review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73A28FD5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Equal per capita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DD6EA"/>
              <w:right w:val="nil"/>
            </w:tcBorders>
          </w:tcPr>
          <w:p w14:paraId="7C35CC29" w14:textId="119C3897" w:rsidR="006207BE" w:rsidRPr="00A71140" w:rsidRDefault="009F388B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Equal per capita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hideMark/>
          </w:tcPr>
          <w:p w14:paraId="3E74C4F5" w14:textId="79DF07A9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All gambling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20B4B81B" w14:textId="77777777" w:rsidR="006207BE" w:rsidRPr="00A71140" w:rsidRDefault="006207BE" w:rsidP="007553C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A71140">
              <w:rPr>
                <w:rFonts w:eastAsia="Times New Roman" w:cs="Open Sans Light"/>
                <w:sz w:val="16"/>
                <w:szCs w:val="16"/>
                <w:lang w:eastAsia="en-AU"/>
              </w:rPr>
              <w:t>-</w:t>
            </w:r>
          </w:p>
        </w:tc>
      </w:tr>
    </w:tbl>
    <w:p w14:paraId="537C410E" w14:textId="77777777" w:rsidR="00747174" w:rsidRDefault="00747174" w:rsidP="00747174">
      <w:pPr>
        <w:pStyle w:val="CGCTablenote"/>
        <w:keepNext/>
      </w:pPr>
      <w:r>
        <w:t>(a)</w:t>
      </w:r>
      <w:r>
        <w:tab/>
        <w:t>This measure was adjusted for the potential gambling population (as measured by the non-rural population) and relative income (as measured by average weekly earnings).</w:t>
      </w:r>
    </w:p>
    <w:p w14:paraId="60D89159" w14:textId="77777777" w:rsidR="00747174" w:rsidRDefault="00747174" w:rsidP="00747174">
      <w:pPr>
        <w:pStyle w:val="CGCTablenote"/>
      </w:pPr>
      <w:r>
        <w:t>(b)</w:t>
      </w:r>
      <w:r>
        <w:tab/>
        <w:t xml:space="preserve">In the 1994 Update an adjustment was introduced for </w:t>
      </w:r>
      <w:proofErr w:type="gramStart"/>
      <w:r>
        <w:t>cost of living</w:t>
      </w:r>
      <w:proofErr w:type="gramEnd"/>
      <w:r>
        <w:t xml:space="preserve"> differences.</w:t>
      </w:r>
    </w:p>
    <w:p w14:paraId="6F4CE64F" w14:textId="77777777" w:rsidR="00747174" w:rsidRDefault="00747174" w:rsidP="00747174">
      <w:pPr>
        <w:pStyle w:val="CGCTablenote"/>
      </w:pPr>
      <w:r>
        <w:t>(c)</w:t>
      </w:r>
      <w:r>
        <w:tab/>
        <w:t xml:space="preserve">This measure was </w:t>
      </w:r>
      <w:r w:rsidRPr="00165F33">
        <w:t>adjust</w:t>
      </w:r>
      <w:r>
        <w:t>ed</w:t>
      </w:r>
      <w:r w:rsidRPr="00165F33">
        <w:t xml:space="preserve"> for </w:t>
      </w:r>
      <w:r>
        <w:t>differences in the proportion of the state population living in remote centres.</w:t>
      </w:r>
    </w:p>
    <w:p w14:paraId="48F30301" w14:textId="77777777" w:rsidR="00480F51" w:rsidRPr="00EF1311" w:rsidRDefault="00480F51" w:rsidP="00277C1E">
      <w:pPr>
        <w:pStyle w:val="Heading3"/>
        <w:tabs>
          <w:tab w:val="clear" w:pos="567"/>
        </w:tabs>
        <w:spacing w:before="240" w:after="200" w:line="276" w:lineRule="auto"/>
        <w:rPr>
          <w:rFonts w:ascii="Work Sans" w:eastAsia="Times New Roman" w:hAnsi="Work Sans" w:cs="Open Sans"/>
          <w:b/>
          <w:color w:val="006991"/>
          <w:sz w:val="28"/>
          <w:szCs w:val="28"/>
        </w:rPr>
      </w:pPr>
      <w:bookmarkStart w:id="33" w:name="_Toc148600182"/>
      <w:r w:rsidRPr="00EF1311">
        <w:rPr>
          <w:rFonts w:ascii="Work Sans" w:eastAsia="Times New Roman" w:hAnsi="Work Sans" w:cs="Open Sans"/>
          <w:b/>
          <w:color w:val="006991"/>
          <w:sz w:val="28"/>
          <w:szCs w:val="28"/>
        </w:rPr>
        <w:lastRenderedPageBreak/>
        <w:t>Capacity measure</w:t>
      </w:r>
      <w:bookmarkEnd w:id="33"/>
    </w:p>
    <w:p w14:paraId="646589F0" w14:textId="30988A11" w:rsidR="00C82DC9" w:rsidRDefault="008E688F" w:rsidP="00277C1E">
      <w:pPr>
        <w:pStyle w:val="CGC2025ParaNumbers"/>
        <w:keepNext/>
        <w:keepLines/>
      </w:pPr>
      <w:r>
        <w:t xml:space="preserve">Some of the options </w:t>
      </w:r>
      <w:r w:rsidR="00DF0AB1">
        <w:t xml:space="preserve">for </w:t>
      </w:r>
      <w:r w:rsidR="00C82DC9" w:rsidRPr="00C82DC9">
        <w:t>a differential assessment</w:t>
      </w:r>
      <w:r w:rsidR="001B6C11">
        <w:t xml:space="preserve"> </w:t>
      </w:r>
      <w:r w:rsidR="00DF0AB1">
        <w:t>included</w:t>
      </w:r>
      <w:r w:rsidR="00C82DC9">
        <w:t>:</w:t>
      </w:r>
    </w:p>
    <w:p w14:paraId="00F0F7C9" w14:textId="0398ADA2" w:rsidR="00C82DC9" w:rsidRDefault="00C82DC9" w:rsidP="00277C1E">
      <w:pPr>
        <w:pStyle w:val="CGC2025Bullet1"/>
        <w:keepNext/>
        <w:keepLines/>
        <w:numPr>
          <w:ilvl w:val="0"/>
          <w:numId w:val="2"/>
        </w:numPr>
      </w:pPr>
      <w:r>
        <w:t xml:space="preserve">an </w:t>
      </w:r>
      <w:r w:rsidRPr="00C82DC9">
        <w:t>activity-based approach</w:t>
      </w:r>
      <w:r w:rsidR="0064271D">
        <w:t xml:space="preserve">, </w:t>
      </w:r>
      <w:r w:rsidR="00B47701">
        <w:t xml:space="preserve">based on </w:t>
      </w:r>
      <w:r w:rsidR="00AB35DD">
        <w:t xml:space="preserve">gambling </w:t>
      </w:r>
      <w:r w:rsidR="00E05D97">
        <w:t>turnover</w:t>
      </w:r>
      <w:r w:rsidR="00AB35DD">
        <w:t xml:space="preserve"> </w:t>
      </w:r>
      <w:r w:rsidR="001B7767">
        <w:t xml:space="preserve">or </w:t>
      </w:r>
      <w:r w:rsidR="00AB35DD">
        <w:t>gambling expenditure</w:t>
      </w:r>
      <w:r w:rsidR="00B47701">
        <w:rPr>
          <w:rStyle w:val="FootnoteReference"/>
        </w:rPr>
        <w:footnoteReference w:id="2"/>
      </w:r>
    </w:p>
    <w:p w14:paraId="51D69BF4" w14:textId="34CC9F0B" w:rsidR="00C82DC9" w:rsidRDefault="00C82DC9" w:rsidP="00277C1E">
      <w:pPr>
        <w:pStyle w:val="CGC2025Bullet1"/>
        <w:keepNext/>
        <w:keepLines/>
        <w:numPr>
          <w:ilvl w:val="0"/>
          <w:numId w:val="2"/>
        </w:numPr>
      </w:pPr>
      <w:r>
        <w:t>a population-based approach</w:t>
      </w:r>
      <w:r w:rsidR="00454A26">
        <w:t xml:space="preserve">, </w:t>
      </w:r>
      <w:r w:rsidR="00B47701">
        <w:t xml:space="preserve">based on the </w:t>
      </w:r>
      <w:r w:rsidR="003F1681">
        <w:t xml:space="preserve">propensity of different population groups </w:t>
      </w:r>
      <w:r w:rsidR="003D2D3F">
        <w:t xml:space="preserve">to </w:t>
      </w:r>
      <w:proofErr w:type="gramStart"/>
      <w:r w:rsidR="003D2D3F">
        <w:t>gamble</w:t>
      </w:r>
      <w:proofErr w:type="gramEnd"/>
    </w:p>
    <w:p w14:paraId="75C07398" w14:textId="731B4DAC" w:rsidR="00C82DC9" w:rsidRPr="00B35E14" w:rsidRDefault="00C82DC9" w:rsidP="00277C1E">
      <w:pPr>
        <w:pStyle w:val="CGC2025Bullet1"/>
        <w:keepNext/>
        <w:keepLines/>
        <w:numPr>
          <w:ilvl w:val="0"/>
          <w:numId w:val="2"/>
        </w:numPr>
      </w:pPr>
      <w:r>
        <w:t xml:space="preserve">a </w:t>
      </w:r>
      <w:r w:rsidRPr="00C82DC9">
        <w:t>broad revenue approach</w:t>
      </w:r>
      <w:r w:rsidR="00A340C2">
        <w:t xml:space="preserve">, such as </w:t>
      </w:r>
      <w:r w:rsidR="00E05D97">
        <w:t>household disposable income</w:t>
      </w:r>
      <w:r>
        <w:t>.</w:t>
      </w:r>
    </w:p>
    <w:p w14:paraId="0E3E1F75" w14:textId="54F023EF" w:rsidR="00C82DC9" w:rsidRPr="00E077D1" w:rsidRDefault="00C82DC9" w:rsidP="00C82DC9">
      <w:pPr>
        <w:pStyle w:val="CGC2025ParaNumbers"/>
      </w:pPr>
      <w:r w:rsidRPr="009D0E0D">
        <w:t xml:space="preserve">The </w:t>
      </w:r>
      <w:r w:rsidR="00DA22C6" w:rsidRPr="009D0E0D">
        <w:t xml:space="preserve">Commission </w:t>
      </w:r>
      <w:r w:rsidR="00ED7BAE" w:rsidRPr="009D0E0D">
        <w:t xml:space="preserve">continues to have </w:t>
      </w:r>
      <w:r w:rsidR="008C6CAB" w:rsidRPr="009D0E0D">
        <w:t xml:space="preserve">concerns about </w:t>
      </w:r>
      <w:r w:rsidR="00DA22C6" w:rsidRPr="009D0E0D">
        <w:t>assess</w:t>
      </w:r>
      <w:r w:rsidR="00FB03F3" w:rsidRPr="009D0E0D">
        <w:t>ing</w:t>
      </w:r>
      <w:r w:rsidR="00DA22C6" w:rsidRPr="009D0E0D">
        <w:t xml:space="preserve"> </w:t>
      </w:r>
      <w:r w:rsidR="008C6CAB" w:rsidRPr="009D0E0D">
        <w:t xml:space="preserve">gambling </w:t>
      </w:r>
      <w:r w:rsidR="00DA22C6" w:rsidRPr="009D0E0D">
        <w:t xml:space="preserve">capacity using </w:t>
      </w:r>
      <w:r w:rsidR="00A82075" w:rsidRPr="009D0E0D">
        <w:t>an</w:t>
      </w:r>
      <w:r w:rsidR="00DA22C6" w:rsidRPr="009D0E0D">
        <w:t xml:space="preserve"> </w:t>
      </w:r>
      <w:r w:rsidRPr="009D0E0D">
        <w:t>activity</w:t>
      </w:r>
      <w:r w:rsidR="008C6CAB" w:rsidRPr="009D0E0D">
        <w:noBreakHyphen/>
      </w:r>
      <w:r w:rsidRPr="009D0E0D">
        <w:t>based measure</w:t>
      </w:r>
      <w:r w:rsidR="00DA22C6" w:rsidRPr="00E077D1">
        <w:t xml:space="preserve"> because </w:t>
      </w:r>
      <w:r w:rsidR="00A82075" w:rsidRPr="00E077D1">
        <w:t>such</w:t>
      </w:r>
      <w:r w:rsidR="00DA22C6" w:rsidRPr="00E077D1">
        <w:t xml:space="preserve"> measures are </w:t>
      </w:r>
      <w:r w:rsidR="003122D5" w:rsidRPr="00E077D1">
        <w:t xml:space="preserve">significantly </w:t>
      </w:r>
      <w:r w:rsidR="00DA22C6" w:rsidRPr="00E077D1">
        <w:t>influenced</w:t>
      </w:r>
      <w:r w:rsidRPr="00E077D1">
        <w:t xml:space="preserve"> by policy differences. </w:t>
      </w:r>
      <w:r w:rsidR="001B6C11" w:rsidRPr="00E077D1">
        <w:t xml:space="preserve">For example, </w:t>
      </w:r>
      <w:r w:rsidRPr="00E077D1">
        <w:t xml:space="preserve">Western Australia’s </w:t>
      </w:r>
      <w:r w:rsidR="00DA22C6" w:rsidRPr="00E077D1">
        <w:t xml:space="preserve">revenue and level of gambling activity are influenced by its </w:t>
      </w:r>
      <w:r w:rsidRPr="00E077D1">
        <w:t xml:space="preserve">policy </w:t>
      </w:r>
      <w:r w:rsidR="00C84828" w:rsidRPr="009D0E0D">
        <w:t xml:space="preserve">to </w:t>
      </w:r>
      <w:r w:rsidRPr="009D0E0D">
        <w:t>not allow poker machines</w:t>
      </w:r>
      <w:r w:rsidRPr="00E077D1">
        <w:t xml:space="preserve"> outside its casino</w:t>
      </w:r>
      <w:r w:rsidR="00DA22C6" w:rsidRPr="00E077D1">
        <w:t xml:space="preserve">. </w:t>
      </w:r>
      <w:r w:rsidR="001B6C11" w:rsidRPr="009D0E0D">
        <w:t>Until recently</w:t>
      </w:r>
      <w:r w:rsidR="00C90C14" w:rsidRPr="009D0E0D">
        <w:t xml:space="preserve">, the </w:t>
      </w:r>
      <w:r w:rsidRPr="009D0E0D">
        <w:t xml:space="preserve">Northern Territory’s </w:t>
      </w:r>
      <w:r w:rsidR="00E442E6" w:rsidRPr="009D0E0D">
        <w:t xml:space="preserve">revenue and level of gambling activity </w:t>
      </w:r>
      <w:r w:rsidR="00613FE8" w:rsidRPr="009D0E0D">
        <w:t>were</w:t>
      </w:r>
      <w:r w:rsidR="00E442E6" w:rsidRPr="00E077D1">
        <w:t xml:space="preserve"> influenced by its policy on </w:t>
      </w:r>
      <w:r w:rsidRPr="00E077D1">
        <w:t>online wagering</w:t>
      </w:r>
      <w:r w:rsidR="00613FE8" w:rsidRPr="00E077D1">
        <w:t>.</w:t>
      </w:r>
      <w:r w:rsidR="000E2DEA" w:rsidRPr="00E077D1">
        <w:rPr>
          <w:rStyle w:val="FootnoteReference"/>
        </w:rPr>
        <w:footnoteReference w:id="3"/>
      </w:r>
      <w:r w:rsidR="00613FE8" w:rsidRPr="00E077D1">
        <w:t xml:space="preserve"> </w:t>
      </w:r>
      <w:r w:rsidR="00E442E6" w:rsidRPr="00E077D1">
        <w:t>The Commission</w:t>
      </w:r>
      <w:r w:rsidR="00C82554" w:rsidRPr="00E077D1">
        <w:t xml:space="preserve">’s view </w:t>
      </w:r>
      <w:r w:rsidR="00ED7BAE" w:rsidRPr="00E077D1">
        <w:t xml:space="preserve">remains </w:t>
      </w:r>
      <w:r w:rsidR="00E442E6" w:rsidRPr="00E077D1">
        <w:t xml:space="preserve">that </w:t>
      </w:r>
      <w:r w:rsidR="00C82554" w:rsidRPr="00E077D1">
        <w:t xml:space="preserve">an </w:t>
      </w:r>
      <w:r w:rsidR="00E442E6" w:rsidRPr="00E077D1">
        <w:t>activity</w:t>
      </w:r>
      <w:r w:rsidR="00C82554" w:rsidRPr="00E077D1">
        <w:noBreakHyphen/>
      </w:r>
      <w:r w:rsidR="00E442E6" w:rsidRPr="00E077D1">
        <w:t>based</w:t>
      </w:r>
      <w:r w:rsidRPr="00E077D1">
        <w:t xml:space="preserve"> approach</w:t>
      </w:r>
      <w:r w:rsidR="00C82554" w:rsidRPr="00E077D1">
        <w:t xml:space="preserve"> </w:t>
      </w:r>
      <w:r w:rsidR="00272844" w:rsidRPr="00E077D1">
        <w:t>can</w:t>
      </w:r>
      <w:r w:rsidR="00E442E6" w:rsidRPr="00E077D1">
        <w:t>not</w:t>
      </w:r>
      <w:r w:rsidRPr="00E077D1">
        <w:t xml:space="preserve"> provide a policy neutral measure of state </w:t>
      </w:r>
      <w:r w:rsidR="0014269B" w:rsidRPr="00E077D1">
        <w:t xml:space="preserve">gambling </w:t>
      </w:r>
      <w:r w:rsidRPr="00E077D1">
        <w:t>capacities.</w:t>
      </w:r>
    </w:p>
    <w:p w14:paraId="760DB44C" w14:textId="2D35DBA7" w:rsidR="0014269B" w:rsidRPr="00E077D1" w:rsidRDefault="00C82DC9" w:rsidP="00C82DC9">
      <w:pPr>
        <w:pStyle w:val="CGC2025ParaNumbers"/>
      </w:pPr>
      <w:r>
        <w:t xml:space="preserve">As </w:t>
      </w:r>
      <w:r w:rsidRPr="00C82DC9">
        <w:t xml:space="preserve">the Commission noted in its 2010 Review, the literature provides limited guidance on which socio-economic factors are relevant in determining the drivers of gambling </w:t>
      </w:r>
      <w:r w:rsidRPr="00E077D1">
        <w:t xml:space="preserve">activity. </w:t>
      </w:r>
      <w:r w:rsidRPr="009D0E0D">
        <w:t xml:space="preserve">As part of </w:t>
      </w:r>
      <w:r w:rsidR="004B327C">
        <w:t>the</w:t>
      </w:r>
      <w:r w:rsidRPr="009D0E0D">
        <w:t xml:space="preserve"> analysis for the 2020 Review, staff investigated </w:t>
      </w:r>
      <w:r w:rsidR="002125A6" w:rsidRPr="009D0E0D">
        <w:t>the</w:t>
      </w:r>
      <w:r w:rsidR="000C1FEA" w:rsidRPr="009D0E0D">
        <w:t xml:space="preserve"> use </w:t>
      </w:r>
      <w:r w:rsidR="002125A6" w:rsidRPr="009D0E0D">
        <w:t xml:space="preserve">of </w:t>
      </w:r>
      <w:r w:rsidR="000C1FEA" w:rsidRPr="009D0E0D">
        <w:t xml:space="preserve">data from </w:t>
      </w:r>
      <w:r w:rsidRPr="009D0E0D">
        <w:t>the Household, Income and Labour Dynamics in Australia</w:t>
      </w:r>
      <w:r w:rsidRPr="00E077D1">
        <w:t xml:space="preserve"> (HILDA) survey. Questions about gambling activity and expenditure were included for the first time in 2015. This allowed staff to examine the links between socio-demographic characteristics and gambling activity and expenditure. The examination did not identify any potential drivers. The </w:t>
      </w:r>
      <w:r w:rsidR="00760951" w:rsidRPr="00E077D1">
        <w:t xml:space="preserve">population-based approaches </w:t>
      </w:r>
      <w:r w:rsidRPr="00E077D1">
        <w:t>investigated by the Commission produce</w:t>
      </w:r>
      <w:r w:rsidR="00A571A1" w:rsidRPr="00E077D1">
        <w:t>d</w:t>
      </w:r>
      <w:r w:rsidRPr="00E077D1">
        <w:t xml:space="preserve"> outcomes </w:t>
      </w:r>
      <w:r w:rsidR="00E03289" w:rsidRPr="00E077D1">
        <w:t xml:space="preserve">that were </w:t>
      </w:r>
      <w:r w:rsidR="00A571A1" w:rsidRPr="00E077D1">
        <w:t>immaterial or</w:t>
      </w:r>
      <w:r w:rsidR="0032184D" w:rsidRPr="00E077D1">
        <w:t>,</w:t>
      </w:r>
      <w:r w:rsidR="00A571A1" w:rsidRPr="00E077D1">
        <w:t xml:space="preserve"> </w:t>
      </w:r>
      <w:r w:rsidR="004721BA" w:rsidRPr="00E077D1">
        <w:t>because they are an indirect</w:t>
      </w:r>
      <w:r w:rsidR="00E72921" w:rsidRPr="00E077D1">
        <w:t xml:space="preserve"> assessment of revenue capacity</w:t>
      </w:r>
      <w:r w:rsidR="0032184D" w:rsidRPr="00E077D1">
        <w:t>,</w:t>
      </w:r>
      <w:r w:rsidR="00E72921" w:rsidRPr="00E077D1">
        <w:t xml:space="preserve"> may</w:t>
      </w:r>
      <w:r w:rsidR="007F5490" w:rsidRPr="00E077D1">
        <w:t xml:space="preserve"> not </w:t>
      </w:r>
      <w:r w:rsidR="00E72921" w:rsidRPr="00E077D1">
        <w:t>capture</w:t>
      </w:r>
      <w:r w:rsidR="00724BEA" w:rsidRPr="00E077D1">
        <w:t xml:space="preserve"> </w:t>
      </w:r>
      <w:r w:rsidR="007F5490" w:rsidRPr="00E077D1">
        <w:t xml:space="preserve">differences </w:t>
      </w:r>
      <w:r w:rsidR="004969F1" w:rsidRPr="00E077D1" w:rsidDel="00724BEA">
        <w:t xml:space="preserve">that exist </w:t>
      </w:r>
      <w:r w:rsidR="004969F1" w:rsidRPr="00E077D1">
        <w:t>in the capacity of state residents to engage in relevant activity</w:t>
      </w:r>
      <w:r w:rsidRPr="00E077D1">
        <w:t>.</w:t>
      </w:r>
      <w:r w:rsidR="0014269B" w:rsidRPr="00E077D1">
        <w:t xml:space="preserve"> </w:t>
      </w:r>
    </w:p>
    <w:p w14:paraId="131BD6D5" w14:textId="76242017" w:rsidR="00C82DC9" w:rsidRPr="00E077D1" w:rsidRDefault="0014269B" w:rsidP="00C82DC9">
      <w:pPr>
        <w:pStyle w:val="CGC2025ParaNumbers"/>
      </w:pPr>
      <w:r w:rsidRPr="00E077D1">
        <w:t xml:space="preserve">In the absence of </w:t>
      </w:r>
      <w:r w:rsidR="00D5155C" w:rsidRPr="00E077D1">
        <w:t xml:space="preserve">reliable data and </w:t>
      </w:r>
      <w:r w:rsidRPr="00E077D1">
        <w:t>evidence</w:t>
      </w:r>
      <w:r w:rsidR="0085341C" w:rsidRPr="00E077D1">
        <w:t>,</w:t>
      </w:r>
      <w:r w:rsidRPr="00E077D1">
        <w:t xml:space="preserve"> the Commission</w:t>
      </w:r>
      <w:r w:rsidR="00760951" w:rsidRPr="00E077D1">
        <w:t xml:space="preserve">’s preliminary view is that </w:t>
      </w:r>
      <w:r w:rsidR="001D1789" w:rsidRPr="00E077D1">
        <w:t>a population</w:t>
      </w:r>
      <w:r w:rsidR="001D1789" w:rsidRPr="00E077D1">
        <w:noBreakHyphen/>
        <w:t xml:space="preserve">based approach </w:t>
      </w:r>
      <w:r w:rsidR="00552989" w:rsidRPr="00E077D1">
        <w:t xml:space="preserve">based on the propensity of </w:t>
      </w:r>
      <w:r w:rsidR="007F6CC4" w:rsidRPr="009D0E0D">
        <w:t>people</w:t>
      </w:r>
      <w:r w:rsidR="00565DD6" w:rsidRPr="009D0E0D">
        <w:t xml:space="preserve"> </w:t>
      </w:r>
      <w:r w:rsidR="007F6CC4" w:rsidRPr="009D0E0D">
        <w:t>from</w:t>
      </w:r>
      <w:r w:rsidR="00565DD6" w:rsidRPr="009D0E0D">
        <w:t xml:space="preserve"> </w:t>
      </w:r>
      <w:r w:rsidR="007F6CC4" w:rsidRPr="009D0E0D">
        <w:t>different</w:t>
      </w:r>
      <w:r w:rsidR="00565DD6" w:rsidRPr="009D0E0D">
        <w:t xml:space="preserve"> </w:t>
      </w:r>
      <w:r w:rsidR="007F6CC4" w:rsidRPr="009D0E0D">
        <w:t>socio</w:t>
      </w:r>
      <w:r w:rsidR="003F694E" w:rsidRPr="009D0E0D">
        <w:noBreakHyphen/>
      </w:r>
      <w:r w:rsidR="007F6CC4" w:rsidRPr="009D0E0D">
        <w:t xml:space="preserve">demographic groups </w:t>
      </w:r>
      <w:r w:rsidR="00552989" w:rsidRPr="009D0E0D">
        <w:t>to gamble</w:t>
      </w:r>
      <w:r w:rsidR="00E50548" w:rsidRPr="009D0E0D">
        <w:t xml:space="preserve"> </w:t>
      </w:r>
      <w:r w:rsidR="000950E6" w:rsidRPr="009D0E0D">
        <w:t xml:space="preserve">continues to be an unreliable </w:t>
      </w:r>
      <w:r w:rsidR="001D1789" w:rsidRPr="009D0E0D">
        <w:t>measure</w:t>
      </w:r>
      <w:r w:rsidR="001D1789" w:rsidRPr="00E077D1">
        <w:t xml:space="preserve"> of state gambling capacities</w:t>
      </w:r>
      <w:r w:rsidRPr="00E077D1">
        <w:t>.</w:t>
      </w:r>
    </w:p>
    <w:p w14:paraId="30130C75" w14:textId="20679BEB" w:rsidR="00966D62" w:rsidRPr="00E077D1" w:rsidRDefault="00856BCB" w:rsidP="00C82DC9">
      <w:pPr>
        <w:pStyle w:val="CGC2025ParaNumbers"/>
      </w:pPr>
      <w:r w:rsidRPr="00E077D1">
        <w:t xml:space="preserve">As outlined in </w:t>
      </w:r>
      <w:r w:rsidR="00CB3B82" w:rsidRPr="00E077D1">
        <w:fldChar w:fldCharType="begin"/>
      </w:r>
      <w:r w:rsidR="00CB3B82" w:rsidRPr="00E077D1">
        <w:instrText xml:space="preserve"> REF _Ref144882593 \h </w:instrText>
      </w:r>
      <w:r w:rsidR="00E077D1">
        <w:instrText xml:space="preserve"> \* MERGEFORMAT </w:instrText>
      </w:r>
      <w:r w:rsidR="00CB3B82" w:rsidRPr="00E077D1">
        <w:fldChar w:fldCharType="separate"/>
      </w:r>
      <w:r w:rsidR="000C11A1" w:rsidRPr="004A508E">
        <w:t xml:space="preserve">Table </w:t>
      </w:r>
      <w:r w:rsidR="000C11A1">
        <w:rPr>
          <w:noProof/>
        </w:rPr>
        <w:t>5</w:t>
      </w:r>
      <w:r w:rsidR="00CB3B82" w:rsidRPr="00E077D1">
        <w:fldChar w:fldCharType="end"/>
      </w:r>
      <w:r w:rsidRPr="00E077D1">
        <w:t>,</w:t>
      </w:r>
      <w:r w:rsidR="00860610" w:rsidRPr="00E077D1">
        <w:t xml:space="preserve"> </w:t>
      </w:r>
      <w:r w:rsidR="007D0220" w:rsidRPr="00E077D1">
        <w:t>t</w:t>
      </w:r>
      <w:r w:rsidR="00C82DC9" w:rsidRPr="00E077D1">
        <w:t xml:space="preserve">he Commission introduced a broad revenue </w:t>
      </w:r>
      <w:r w:rsidR="00A2193F" w:rsidRPr="00E077D1">
        <w:t>assessment of state gambling taxes</w:t>
      </w:r>
      <w:r w:rsidR="00C82DC9" w:rsidRPr="00E077D1">
        <w:t xml:space="preserve"> in its 1993 Review. In that review, it used household income as </w:t>
      </w:r>
      <w:r w:rsidR="0014269B" w:rsidRPr="00E077D1">
        <w:t>the</w:t>
      </w:r>
      <w:r w:rsidR="00C82DC9" w:rsidRPr="00E077D1">
        <w:t xml:space="preserve"> capacity measure. It made several state</w:t>
      </w:r>
      <w:r w:rsidR="00D64390">
        <w:t>-</w:t>
      </w:r>
      <w:r w:rsidR="00C82DC9" w:rsidRPr="00E077D1">
        <w:t xml:space="preserve">specific adjustments because it concluded the gross income base might be constrained by other calls on that income. In the </w:t>
      </w:r>
      <w:r w:rsidR="00904B86" w:rsidRPr="00E077D1">
        <w:t>1999</w:t>
      </w:r>
      <w:r w:rsidR="007D0220" w:rsidRPr="00E077D1">
        <w:t xml:space="preserve"> </w:t>
      </w:r>
      <w:r w:rsidR="00904B86" w:rsidRPr="00E077D1">
        <w:t>R</w:t>
      </w:r>
      <w:r w:rsidR="00C82DC9" w:rsidRPr="00E077D1">
        <w:t>eview</w:t>
      </w:r>
      <w:r w:rsidR="0022262A" w:rsidRPr="00E077D1">
        <w:t>,</w:t>
      </w:r>
      <w:r w:rsidR="00C82DC9" w:rsidRPr="00E077D1">
        <w:t xml:space="preserve"> </w:t>
      </w:r>
      <w:r w:rsidR="00C82DC9" w:rsidRPr="009D0E0D">
        <w:t xml:space="preserve">the Commission discounted </w:t>
      </w:r>
      <w:r w:rsidR="009C5B68" w:rsidRPr="009D0E0D">
        <w:t>the</w:t>
      </w:r>
      <w:r w:rsidR="00C82DC9" w:rsidRPr="009D0E0D">
        <w:t xml:space="preserve"> household income measure</w:t>
      </w:r>
      <w:r w:rsidR="00C82DC9" w:rsidRPr="00E077D1">
        <w:t xml:space="preserve"> due to mixed evidence on the strength of the relationship between </w:t>
      </w:r>
      <w:r w:rsidR="00C82DC9" w:rsidRPr="00E077D1">
        <w:lastRenderedPageBreak/>
        <w:t>gambling and income.</w:t>
      </w:r>
      <w:r w:rsidR="00A2193F" w:rsidRPr="00E077D1">
        <w:t xml:space="preserve"> </w:t>
      </w:r>
      <w:r w:rsidR="00007CAB" w:rsidRPr="009D0E0D">
        <w:t xml:space="preserve">The relationship further weakened and </w:t>
      </w:r>
      <w:r w:rsidR="00172884" w:rsidRPr="009D0E0D">
        <w:t>i</w:t>
      </w:r>
      <w:r w:rsidR="00A2193F" w:rsidRPr="009D0E0D">
        <w:t xml:space="preserve">n the </w:t>
      </w:r>
      <w:r w:rsidR="009557C8" w:rsidRPr="009D0E0D">
        <w:t>2010 R</w:t>
      </w:r>
      <w:r w:rsidR="00A2193F" w:rsidRPr="009D0E0D">
        <w:t xml:space="preserve">eview, </w:t>
      </w:r>
      <w:r w:rsidR="00324DA2" w:rsidRPr="009D0E0D">
        <w:t>the Commission</w:t>
      </w:r>
      <w:r w:rsidR="00146826" w:rsidRPr="009D0E0D">
        <w:t xml:space="preserve"> moved to an equal per capita assessment</w:t>
      </w:r>
      <w:r w:rsidR="00146826" w:rsidRPr="00E077D1">
        <w:t>.</w:t>
      </w:r>
    </w:p>
    <w:p w14:paraId="026C6E38" w14:textId="5EFC0113" w:rsidR="00C82DC9" w:rsidRDefault="00351B30" w:rsidP="00C82DC9">
      <w:pPr>
        <w:pStyle w:val="CGC2025ParaNumbers"/>
      </w:pPr>
      <w:r w:rsidRPr="00E077D1">
        <w:t xml:space="preserve">The Commission </w:t>
      </w:r>
      <w:r w:rsidR="00324DA2" w:rsidRPr="009D0E0D">
        <w:t xml:space="preserve">continues to have </w:t>
      </w:r>
      <w:r w:rsidR="009B1D4A" w:rsidRPr="009D0E0D">
        <w:t>concerns about assessing gambling capacity using a</w:t>
      </w:r>
      <w:r w:rsidRPr="009D0E0D">
        <w:t xml:space="preserve"> broad revenue </w:t>
      </w:r>
      <w:r w:rsidR="00F33F19" w:rsidRPr="009D0E0D">
        <w:t>approach</w:t>
      </w:r>
      <w:r w:rsidR="00F33F19" w:rsidRPr="00E077D1">
        <w:t>. It</w:t>
      </w:r>
      <w:r w:rsidR="009B1D4A" w:rsidRPr="00E077D1">
        <w:t xml:space="preserve"> is</w:t>
      </w:r>
      <w:r w:rsidR="009B1D4A">
        <w:t xml:space="preserve"> </w:t>
      </w:r>
      <w:r w:rsidR="00E9705F">
        <w:t>an indirect assessment of revenue capacity and may not</w:t>
      </w:r>
      <w:r w:rsidR="00C82DC9" w:rsidRPr="00C82DC9">
        <w:t xml:space="preserve"> capture differences that exist in the capacity of state residents to engage in </w:t>
      </w:r>
      <w:r w:rsidR="003714DB">
        <w:t>gambling</w:t>
      </w:r>
      <w:r w:rsidR="00C82DC9" w:rsidRPr="00C82DC9">
        <w:t xml:space="preserve"> activity. </w:t>
      </w:r>
      <w:r w:rsidR="00B76A5D">
        <w:t>I</w:t>
      </w:r>
      <w:r w:rsidR="00624A80">
        <w:t xml:space="preserve">f </w:t>
      </w:r>
      <w:r w:rsidR="00825C71">
        <w:t>pursued</w:t>
      </w:r>
      <w:r w:rsidR="00624A80">
        <w:t>, i</w:t>
      </w:r>
      <w:r w:rsidR="00B76A5D">
        <w:t xml:space="preserve">t is likely </w:t>
      </w:r>
      <w:r w:rsidR="000B10FA">
        <w:t>th</w:t>
      </w:r>
      <w:r w:rsidR="005D18DE">
        <w:t>e</w:t>
      </w:r>
      <w:r w:rsidR="00B76A5D">
        <w:t xml:space="preserve"> approach would </w:t>
      </w:r>
      <w:r w:rsidR="007F7870">
        <w:t>require the Commission to consider state</w:t>
      </w:r>
      <w:r w:rsidR="00663DBD">
        <w:t>-</w:t>
      </w:r>
      <w:r w:rsidR="007F7870">
        <w:t>specific adjustments or discount</w:t>
      </w:r>
      <w:r w:rsidR="00B76A5D">
        <w:t>s</w:t>
      </w:r>
      <w:r w:rsidR="00C82DC9">
        <w:t>.</w:t>
      </w:r>
      <w:r w:rsidR="0084360E">
        <w:t xml:space="preserve"> Both types of adjustments have been applied to </w:t>
      </w:r>
      <w:r w:rsidR="00B76A5D">
        <w:t>previous</w:t>
      </w:r>
      <w:r w:rsidR="0084360E">
        <w:t xml:space="preserve"> gambling assessments.</w:t>
      </w:r>
      <w:r w:rsidR="005446C7">
        <w:t xml:space="preserve"> For example, </w:t>
      </w:r>
      <w:r w:rsidR="009E6B7C">
        <w:t xml:space="preserve">in the </w:t>
      </w:r>
      <w:r w:rsidR="00FE414B">
        <w:t xml:space="preserve">1993, </w:t>
      </w:r>
      <w:r w:rsidR="00757A69">
        <w:t>1999</w:t>
      </w:r>
      <w:r w:rsidR="00526BDF">
        <w:t xml:space="preserve"> </w:t>
      </w:r>
      <w:r w:rsidR="00FE414B">
        <w:t>and 2004</w:t>
      </w:r>
      <w:r w:rsidR="003A3BCA">
        <w:t xml:space="preserve"> </w:t>
      </w:r>
      <w:r w:rsidR="00B351D8">
        <w:t>r</w:t>
      </w:r>
      <w:r w:rsidR="00757A69">
        <w:t>eview</w:t>
      </w:r>
      <w:r w:rsidR="00FE414B">
        <w:t>s</w:t>
      </w:r>
      <w:r w:rsidR="00893EAA">
        <w:t>,</w:t>
      </w:r>
      <w:r w:rsidR="00852CC6">
        <w:t xml:space="preserve"> a broad indicator, household disposable income</w:t>
      </w:r>
      <w:r w:rsidR="00F8362E">
        <w:t>,</w:t>
      </w:r>
      <w:r w:rsidR="00852CC6">
        <w:t xml:space="preserve"> was used to measure </w:t>
      </w:r>
      <w:r w:rsidR="006F4254">
        <w:t xml:space="preserve">capacity </w:t>
      </w:r>
      <w:r w:rsidR="00852CC6">
        <w:t xml:space="preserve">to </w:t>
      </w:r>
      <w:r w:rsidR="006F4254">
        <w:t>raise rev</w:t>
      </w:r>
      <w:r w:rsidR="00C517A5">
        <w:t>enue</w:t>
      </w:r>
      <w:r w:rsidR="00852CC6">
        <w:t xml:space="preserve"> </w:t>
      </w:r>
      <w:r w:rsidR="006F4254">
        <w:t>from</w:t>
      </w:r>
      <w:r w:rsidR="00852CC6">
        <w:t xml:space="preserve"> </w:t>
      </w:r>
      <w:r w:rsidR="006F4254">
        <w:t>gambli</w:t>
      </w:r>
      <w:r w:rsidR="00526BDF">
        <w:t xml:space="preserve">ng </w:t>
      </w:r>
      <w:r w:rsidR="00852CC6">
        <w:t>ta</w:t>
      </w:r>
      <w:r w:rsidR="006F4254">
        <w:t>xes</w:t>
      </w:r>
      <w:r w:rsidR="008F02D0">
        <w:t xml:space="preserve"> (</w:t>
      </w:r>
      <w:r w:rsidR="006522A4">
        <w:fldChar w:fldCharType="begin"/>
      </w:r>
      <w:r w:rsidR="006522A4">
        <w:instrText xml:space="preserve"> REF _Ref144882593 \h </w:instrText>
      </w:r>
      <w:r w:rsidR="006522A4">
        <w:fldChar w:fldCharType="separate"/>
      </w:r>
      <w:r w:rsidR="000C11A1" w:rsidRPr="004A508E">
        <w:t xml:space="preserve">Table </w:t>
      </w:r>
      <w:r w:rsidR="000C11A1">
        <w:rPr>
          <w:noProof/>
        </w:rPr>
        <w:t>5</w:t>
      </w:r>
      <w:r w:rsidR="006522A4">
        <w:fldChar w:fldCharType="end"/>
      </w:r>
      <w:r w:rsidR="008F02D0">
        <w:t>)</w:t>
      </w:r>
      <w:r w:rsidR="006F4254">
        <w:t xml:space="preserve">. </w:t>
      </w:r>
      <w:r w:rsidR="00CE5A3C" w:rsidRPr="00A5679B">
        <w:t>State</w:t>
      </w:r>
      <w:r w:rsidR="00437AE7">
        <w:t>-</w:t>
      </w:r>
      <w:r w:rsidR="00CE5A3C" w:rsidRPr="00A5679B">
        <w:t>specific a</w:t>
      </w:r>
      <w:r w:rsidR="002B6668" w:rsidRPr="00A5679B">
        <w:t>djustments</w:t>
      </w:r>
      <w:r w:rsidR="00FE414B" w:rsidRPr="00A5679B">
        <w:t xml:space="preserve"> were </w:t>
      </w:r>
      <w:r w:rsidR="00CE5A3C" w:rsidRPr="00A5679B">
        <w:t xml:space="preserve">made </w:t>
      </w:r>
      <w:r w:rsidR="00087827" w:rsidRPr="00A5679B">
        <w:t xml:space="preserve">in </w:t>
      </w:r>
      <w:r w:rsidR="00CE5A3C" w:rsidRPr="00A5679B">
        <w:t>the 199</w:t>
      </w:r>
      <w:r w:rsidR="007766B2" w:rsidRPr="00A5679B">
        <w:t>4 Update</w:t>
      </w:r>
      <w:r w:rsidR="00CE5A3C">
        <w:t xml:space="preserve"> </w:t>
      </w:r>
      <w:r w:rsidR="008E6EF6">
        <w:t>to recognise differences in the cost</w:t>
      </w:r>
      <w:r w:rsidR="00492636">
        <w:t>s</w:t>
      </w:r>
      <w:r w:rsidR="008E6EF6">
        <w:t xml:space="preserve"> of living </w:t>
      </w:r>
      <w:r w:rsidR="00CE5A3C">
        <w:t xml:space="preserve">and </w:t>
      </w:r>
      <w:r w:rsidR="00534406">
        <w:t xml:space="preserve">in </w:t>
      </w:r>
      <w:r w:rsidR="007766B2">
        <w:t xml:space="preserve">the </w:t>
      </w:r>
      <w:r w:rsidR="00CE5A3C">
        <w:t xml:space="preserve">1999 </w:t>
      </w:r>
      <w:r w:rsidR="007766B2">
        <w:t>R</w:t>
      </w:r>
      <w:r w:rsidR="00CE5A3C">
        <w:t xml:space="preserve">eview to </w:t>
      </w:r>
      <w:r w:rsidR="00534406">
        <w:t>recognise different access to gambling in remote areas</w:t>
      </w:r>
      <w:r w:rsidR="00CE5A3C">
        <w:t>. A</w:t>
      </w:r>
      <w:r w:rsidR="003B2D55">
        <w:t xml:space="preserve"> discount </w:t>
      </w:r>
      <w:r w:rsidR="009C1EF7">
        <w:t xml:space="preserve">of 50% </w:t>
      </w:r>
      <w:r w:rsidR="003B2D55">
        <w:t xml:space="preserve">was applied in </w:t>
      </w:r>
      <w:r w:rsidR="004073EC">
        <w:t>the 1999 </w:t>
      </w:r>
      <w:r w:rsidR="00B93757">
        <w:t xml:space="preserve">and 2004 </w:t>
      </w:r>
      <w:r w:rsidR="00B351D8">
        <w:t>r</w:t>
      </w:r>
      <w:r w:rsidR="004073EC">
        <w:t>eview</w:t>
      </w:r>
      <w:r w:rsidR="00B93757">
        <w:t xml:space="preserve">s </w:t>
      </w:r>
      <w:r w:rsidR="003A3BCA">
        <w:t>because of mixed evidence on the strength of the relationship between gambling and income</w:t>
      </w:r>
      <w:r w:rsidR="000F2FD8">
        <w:t xml:space="preserve">.  </w:t>
      </w:r>
    </w:p>
    <w:p w14:paraId="2BD1AAF0" w14:textId="19A38978" w:rsidR="00F11279" w:rsidRPr="00E077D1" w:rsidRDefault="002E5BFA" w:rsidP="00FD077A">
      <w:pPr>
        <w:pStyle w:val="CGC2025ParaNumbers"/>
      </w:pPr>
      <w:r w:rsidRPr="009D0E0D">
        <w:t xml:space="preserve">For </w:t>
      </w:r>
      <w:r w:rsidR="00FD077A" w:rsidRPr="009D0E0D">
        <w:t xml:space="preserve">the 2025 Review, the Commission undertook a regression analysis of gambling expenditure and state household income. The analysis found no statistical relationship between the </w:t>
      </w:r>
      <w:r w:rsidR="00A05705">
        <w:t>2</w:t>
      </w:r>
      <w:r w:rsidR="00A05705" w:rsidRPr="009D0E0D">
        <w:t xml:space="preserve"> </w:t>
      </w:r>
      <w:r w:rsidR="00FD077A" w:rsidRPr="009D0E0D">
        <w:t xml:space="preserve">variables at either the national or state level. </w:t>
      </w:r>
      <w:r w:rsidR="002C2462" w:rsidRPr="009D0E0D">
        <w:t>It</w:t>
      </w:r>
      <w:r w:rsidR="00FD077A" w:rsidRPr="009D0E0D">
        <w:t xml:space="preserve"> does not provide support for using household income in a broad revenue assessment</w:t>
      </w:r>
      <w:r w:rsidR="000C6748" w:rsidRPr="00E077D1">
        <w:t>.</w:t>
      </w:r>
    </w:p>
    <w:p w14:paraId="7A7A3AFE" w14:textId="6FC72A79" w:rsidR="008D1671" w:rsidRPr="00E077D1" w:rsidRDefault="00AC6AA8" w:rsidP="00C82DC9">
      <w:pPr>
        <w:pStyle w:val="CGC2025ParaNumbers"/>
      </w:pPr>
      <w:r w:rsidRPr="009D0E0D">
        <w:t xml:space="preserve">As noted, </w:t>
      </w:r>
      <w:r w:rsidR="009479C3" w:rsidRPr="009D0E0D">
        <w:t>t</w:t>
      </w:r>
      <w:r w:rsidR="003B3C2F" w:rsidRPr="009D0E0D">
        <w:t xml:space="preserve">he Commission has </w:t>
      </w:r>
      <w:r w:rsidR="008D1671" w:rsidRPr="009D0E0D">
        <w:t xml:space="preserve">explored </w:t>
      </w:r>
      <w:r w:rsidR="00533F37" w:rsidRPr="009D0E0D">
        <w:t xml:space="preserve">the options for </w:t>
      </w:r>
      <w:r w:rsidR="008D1671" w:rsidRPr="009D0E0D">
        <w:t>a differential assessment of gambling taxes</w:t>
      </w:r>
      <w:r w:rsidRPr="009D0E0D">
        <w:t xml:space="preserve"> in past reviews</w:t>
      </w:r>
      <w:r w:rsidR="00AB3D86" w:rsidRPr="009D0E0D">
        <w:t xml:space="preserve"> but </w:t>
      </w:r>
      <w:r w:rsidR="00265266" w:rsidRPr="009D0E0D">
        <w:t>has been</w:t>
      </w:r>
      <w:r w:rsidR="008D1671" w:rsidRPr="009D0E0D">
        <w:t xml:space="preserve"> unable to identify the underlying factors driving gambling activity in each state</w:t>
      </w:r>
      <w:r w:rsidR="00AB3D86" w:rsidRPr="009D0E0D">
        <w:t xml:space="preserve">. </w:t>
      </w:r>
      <w:r w:rsidR="00E23304" w:rsidRPr="009D0E0D">
        <w:t>T</w:t>
      </w:r>
      <w:r w:rsidR="00907811" w:rsidRPr="009D0E0D">
        <w:t>here</w:t>
      </w:r>
      <w:r w:rsidR="00E23304" w:rsidRPr="009D0E0D">
        <w:t>fore</w:t>
      </w:r>
      <w:r w:rsidR="008254EB" w:rsidRPr="009D0E0D">
        <w:t>,</w:t>
      </w:r>
      <w:r w:rsidR="00AB3D86" w:rsidRPr="009D0E0D">
        <w:t xml:space="preserve"> </w:t>
      </w:r>
      <w:r w:rsidR="008254EB" w:rsidRPr="009D0E0D">
        <w:t xml:space="preserve">it </w:t>
      </w:r>
      <w:r w:rsidR="00533F37" w:rsidRPr="009D0E0D">
        <w:t xml:space="preserve">has been </w:t>
      </w:r>
      <w:r w:rsidR="008D1671" w:rsidRPr="009D0E0D">
        <w:t xml:space="preserve">unable to develop a reliable method of differentially assessing gambling taxes. </w:t>
      </w:r>
      <w:r w:rsidR="00D22268" w:rsidRPr="009D0E0D">
        <w:t xml:space="preserve">Since the </w:t>
      </w:r>
      <w:r w:rsidR="00FD51AD" w:rsidRPr="009D0E0D">
        <w:t>2010 </w:t>
      </w:r>
      <w:r w:rsidR="00D22268" w:rsidRPr="009D0E0D">
        <w:t>Review</w:t>
      </w:r>
      <w:r w:rsidR="008275BA" w:rsidRPr="009D0E0D">
        <w:t>, the Commission</w:t>
      </w:r>
      <w:r w:rsidR="004A78C7" w:rsidRPr="009D0E0D">
        <w:t xml:space="preserve"> has </w:t>
      </w:r>
      <w:r w:rsidR="00515D77" w:rsidRPr="009D0E0D">
        <w:t>c</w:t>
      </w:r>
      <w:r w:rsidR="00EC7F13" w:rsidRPr="009D0E0D">
        <w:t>onsidered</w:t>
      </w:r>
      <w:r w:rsidR="00515D77" w:rsidRPr="009D0E0D">
        <w:t xml:space="preserve"> </w:t>
      </w:r>
      <w:r w:rsidR="008275BA" w:rsidRPr="009D0E0D">
        <w:t>the most appropriate way to assess gambling taxes is on an equal per capita basis</w:t>
      </w:r>
      <w:r w:rsidR="007C5A4E" w:rsidRPr="00E077D1">
        <w:t xml:space="preserve">. </w:t>
      </w:r>
    </w:p>
    <w:p w14:paraId="79826995" w14:textId="10E71F8E" w:rsidR="00F55CB2" w:rsidRPr="00E077D1" w:rsidRDefault="00F55CB2" w:rsidP="00FC3864">
      <w:pPr>
        <w:pStyle w:val="CGC2025ParaNumbers"/>
      </w:pPr>
      <w:r w:rsidRPr="009D0E0D">
        <w:t xml:space="preserve">The Commission’s preliminary view is that </w:t>
      </w:r>
      <w:r w:rsidR="00FC3864" w:rsidRPr="009D0E0D">
        <w:t xml:space="preserve">there have been no developments </w:t>
      </w:r>
      <w:r w:rsidR="00FC57FE" w:rsidRPr="009D0E0D">
        <w:t xml:space="preserve">that </w:t>
      </w:r>
      <w:r w:rsidR="00490564" w:rsidRPr="009D0E0D">
        <w:t xml:space="preserve">facilitate the identification </w:t>
      </w:r>
      <w:r w:rsidR="008042A9" w:rsidRPr="009D0E0D">
        <w:t xml:space="preserve">of </w:t>
      </w:r>
      <w:r w:rsidR="00FC3864" w:rsidRPr="009D0E0D">
        <w:t xml:space="preserve">the underlying factors driving gambling activity in each state. </w:t>
      </w:r>
      <w:r w:rsidR="00D12F66" w:rsidRPr="009D0E0D">
        <w:t xml:space="preserve">As such, the Commission continues to be </w:t>
      </w:r>
      <w:r w:rsidR="00FC3864" w:rsidRPr="009D0E0D">
        <w:t>unable to develop a reliable method of differentially assessing gambling taxes</w:t>
      </w:r>
      <w:r w:rsidR="0088060F" w:rsidRPr="009D0E0D">
        <w:t>. Its preliminary view is that an equal</w:t>
      </w:r>
      <w:r w:rsidR="003C662B">
        <w:t> </w:t>
      </w:r>
      <w:r w:rsidR="0088060F" w:rsidRPr="009D0E0D">
        <w:t>per</w:t>
      </w:r>
      <w:r w:rsidR="003C662B">
        <w:t> </w:t>
      </w:r>
      <w:r w:rsidR="0088060F" w:rsidRPr="009D0E0D">
        <w:t>capita assessment remains appropriate</w:t>
      </w:r>
      <w:r w:rsidR="0088060F" w:rsidRPr="00E077D1">
        <w:t>.</w:t>
      </w:r>
    </w:p>
    <w:p w14:paraId="3EF20757" w14:textId="77777777" w:rsidR="008D1671" w:rsidRPr="005D20BB" w:rsidRDefault="008D1671" w:rsidP="005D20BB">
      <w:pPr>
        <w:pStyle w:val="Heading4"/>
        <w:keepLines w:val="0"/>
        <w:widowControl w:val="0"/>
        <w:spacing w:before="240" w:line="240" w:lineRule="auto"/>
        <w:rPr>
          <w:rFonts w:ascii="Work Sans" w:hAnsi="Work Sans"/>
          <w:b/>
          <w:i w:val="0"/>
          <w:color w:val="006991"/>
          <w:sz w:val="24"/>
        </w:rPr>
      </w:pPr>
      <w:r w:rsidRPr="005D20BB">
        <w:rPr>
          <w:rFonts w:ascii="Work Sans" w:hAnsi="Work Sans"/>
          <w:b/>
          <w:i w:val="0"/>
          <w:color w:val="006991"/>
          <w:sz w:val="24"/>
        </w:rPr>
        <w:t>Consultation question</w:t>
      </w:r>
    </w:p>
    <w:p w14:paraId="66106394" w14:textId="77777777" w:rsidR="008D1671" w:rsidRDefault="008D1671" w:rsidP="008D1671">
      <w:r w:rsidRPr="001C4DF3">
        <w:rPr>
          <w:noProof/>
        </w:rPr>
        <mc:AlternateContent>
          <mc:Choice Requires="wps">
            <w:drawing>
              <wp:inline distT="0" distB="0" distL="0" distR="0" wp14:anchorId="38E9F44F" wp14:editId="6D82A4AD">
                <wp:extent cx="5731510" cy="771525"/>
                <wp:effectExtent l="0" t="0" r="2540" b="9525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771525"/>
                        </a:xfrm>
                        <a:prstGeom prst="rect">
                          <a:avLst/>
                        </a:prstGeom>
                        <a:solidFill>
                          <a:srgbClr val="EBF3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B3A39B" w14:textId="6FD3EFEA" w:rsidR="008D1671" w:rsidRDefault="00C86CA2" w:rsidP="008D1671">
                            <w:pPr>
                              <w:pStyle w:val="CGC2025QuestionNumbers"/>
                              <w:rPr>
                                <w:rFonts w:eastAsiaTheme="majorEastAsia" w:cs="Open Sans"/>
                              </w:rPr>
                            </w:pPr>
                            <w:r w:rsidRPr="00ED351F">
                              <w:rPr>
                                <w:rFonts w:eastAsiaTheme="majorEastAsia" w:cs="Open Sans"/>
                              </w:rPr>
                              <w:t xml:space="preserve">Do states agree </w:t>
                            </w:r>
                            <w:r w:rsidR="008008B2">
                              <w:rPr>
                                <w:rFonts w:eastAsiaTheme="majorEastAsia" w:cs="Open Sans"/>
                              </w:rPr>
                              <w:t xml:space="preserve">there is no reliable method </w:t>
                            </w:r>
                            <w:r w:rsidR="00317999">
                              <w:rPr>
                                <w:rFonts w:eastAsiaTheme="majorEastAsia" w:cs="Open Sans"/>
                              </w:rPr>
                              <w:t xml:space="preserve">for </w:t>
                            </w:r>
                            <w:r w:rsidR="008008B2">
                              <w:rPr>
                                <w:rFonts w:eastAsiaTheme="majorEastAsia" w:cs="Open Sans"/>
                              </w:rPr>
                              <w:t>differentially assessing gambling taxes</w:t>
                            </w:r>
                            <w:r w:rsidR="008D1671">
                              <w:rPr>
                                <w:rFonts w:eastAsiaTheme="majorEastAsia" w:cs="Open Sans"/>
                              </w:rPr>
                              <w:t>?</w:t>
                            </w:r>
                            <w:r w:rsidR="00FE4C56">
                              <w:rPr>
                                <w:rFonts w:eastAsiaTheme="majorEastAsia" w:cs="Open Sans"/>
                              </w:rPr>
                              <w:t xml:space="preserve"> If not, </w:t>
                            </w:r>
                            <w:r w:rsidR="00B944E5">
                              <w:rPr>
                                <w:rFonts w:eastAsiaTheme="majorEastAsia" w:cs="Open Sans"/>
                              </w:rPr>
                              <w:t xml:space="preserve">what </w:t>
                            </w:r>
                            <w:r w:rsidR="004626B4">
                              <w:rPr>
                                <w:rFonts w:eastAsiaTheme="majorEastAsia" w:cs="Open Sans"/>
                              </w:rPr>
                              <w:t xml:space="preserve">do states consider to be a reliable method of assessing state gambling </w:t>
                            </w:r>
                            <w:r w:rsidR="00E76377">
                              <w:rPr>
                                <w:rFonts w:eastAsiaTheme="majorEastAsia" w:cs="Open Sans"/>
                              </w:rPr>
                              <w:t>tax</w:t>
                            </w:r>
                            <w:r w:rsidR="004626B4">
                              <w:rPr>
                                <w:rFonts w:eastAsiaTheme="majorEastAsia" w:cs="Open Sans"/>
                              </w:rPr>
                              <w:t>es</w:t>
                            </w:r>
                            <w:r w:rsidR="00B944E5">
                              <w:rPr>
                                <w:rFonts w:eastAsiaTheme="majorEastAsia" w:cs="Open Sans"/>
                              </w:rPr>
                              <w:t>?</w:t>
                            </w:r>
                            <w:r w:rsidR="00FE4C56">
                              <w:rPr>
                                <w:rFonts w:eastAsiaTheme="majorEastAsia" w:cs="Open 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9F44F" id="Rectangle 5" o:spid="_x0000_s1029" alt="&quot;&quot;" style="width:451.3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" fillcolor="#ebf3f5" stroked="f" strokeweight="2pt">
                <v:textbox>
                  <w:txbxContent>
                    <w:p w14:paraId="77B3A39B" w14:textId="6FD3EFEA" w:rsidR="008D1671" w:rsidRDefault="00C86CA2" w:rsidP="008D1671">
                      <w:pPr>
                        <w:pStyle w:val="CGC2025QuestionNumbers"/>
                        <w:rPr>
                          <w:rFonts w:eastAsiaTheme="majorEastAsia" w:cs="Open Sans"/>
                        </w:rPr>
                      </w:pPr>
                      <w:r w:rsidRPr="00ED351F">
                        <w:rPr>
                          <w:rFonts w:eastAsiaTheme="majorEastAsia" w:cs="Open Sans"/>
                        </w:rPr>
                        <w:t xml:space="preserve">Do states agree </w:t>
                      </w:r>
                      <w:r w:rsidR="008008B2">
                        <w:rPr>
                          <w:rFonts w:eastAsiaTheme="majorEastAsia" w:cs="Open Sans"/>
                        </w:rPr>
                        <w:t xml:space="preserve">there is no reliable method </w:t>
                      </w:r>
                      <w:r w:rsidR="00317999">
                        <w:rPr>
                          <w:rFonts w:eastAsiaTheme="majorEastAsia" w:cs="Open Sans"/>
                        </w:rPr>
                        <w:t xml:space="preserve">for </w:t>
                      </w:r>
                      <w:r w:rsidR="008008B2">
                        <w:rPr>
                          <w:rFonts w:eastAsiaTheme="majorEastAsia" w:cs="Open Sans"/>
                        </w:rPr>
                        <w:t>differentially assessing gambling taxes</w:t>
                      </w:r>
                      <w:r w:rsidR="008D1671">
                        <w:rPr>
                          <w:rFonts w:eastAsiaTheme="majorEastAsia" w:cs="Open Sans"/>
                        </w:rPr>
                        <w:t>?</w:t>
                      </w:r>
                      <w:r w:rsidR="00FE4C56">
                        <w:rPr>
                          <w:rFonts w:eastAsiaTheme="majorEastAsia" w:cs="Open Sans"/>
                        </w:rPr>
                        <w:t xml:space="preserve"> If not, </w:t>
                      </w:r>
                      <w:r w:rsidR="00B944E5">
                        <w:rPr>
                          <w:rFonts w:eastAsiaTheme="majorEastAsia" w:cs="Open Sans"/>
                        </w:rPr>
                        <w:t xml:space="preserve">what </w:t>
                      </w:r>
                      <w:r w:rsidR="004626B4">
                        <w:rPr>
                          <w:rFonts w:eastAsiaTheme="majorEastAsia" w:cs="Open Sans"/>
                        </w:rPr>
                        <w:t xml:space="preserve">do states consider to be a reliable method of assessing state gambling </w:t>
                      </w:r>
                      <w:r w:rsidR="00E76377">
                        <w:rPr>
                          <w:rFonts w:eastAsiaTheme="majorEastAsia" w:cs="Open Sans"/>
                        </w:rPr>
                        <w:t>tax</w:t>
                      </w:r>
                      <w:r w:rsidR="004626B4">
                        <w:rPr>
                          <w:rFonts w:eastAsiaTheme="majorEastAsia" w:cs="Open Sans"/>
                        </w:rPr>
                        <w:t>es</w:t>
                      </w:r>
                      <w:r w:rsidR="00B944E5">
                        <w:rPr>
                          <w:rFonts w:eastAsiaTheme="majorEastAsia" w:cs="Open Sans"/>
                        </w:rPr>
                        <w:t>?</w:t>
                      </w:r>
                      <w:r w:rsidR="00FE4C56">
                        <w:rPr>
                          <w:rFonts w:eastAsiaTheme="majorEastAsia" w:cs="Open Sans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FB6AF4" w14:textId="77777777" w:rsidR="00BF1F99" w:rsidRDefault="00BF1F99">
      <w:pPr>
        <w:tabs>
          <w:tab w:val="clear" w:pos="567"/>
        </w:tabs>
        <w:spacing w:before="0" w:after="160" w:line="259" w:lineRule="auto"/>
        <w:rPr>
          <w:rFonts w:ascii="Work Sans" w:eastAsia="Times New Roman" w:hAnsi="Work Sans" w:cs="Open Sans"/>
          <w:b/>
          <w:color w:val="006991"/>
          <w:sz w:val="28"/>
          <w:szCs w:val="28"/>
        </w:rPr>
      </w:pPr>
      <w:r>
        <w:rPr>
          <w:rFonts w:ascii="Work Sans" w:eastAsia="Times New Roman" w:hAnsi="Work Sans" w:cs="Open Sans"/>
          <w:b/>
          <w:color w:val="006991"/>
          <w:sz w:val="28"/>
          <w:szCs w:val="28"/>
        </w:rPr>
        <w:br w:type="page"/>
      </w:r>
    </w:p>
    <w:p w14:paraId="4571743C" w14:textId="47B8149B" w:rsidR="008D1671" w:rsidRPr="00EF1311" w:rsidRDefault="008D1671" w:rsidP="00EF1311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eastAsia="Times New Roman" w:hAnsi="Work Sans" w:cs="Open Sans"/>
          <w:b/>
          <w:color w:val="006991"/>
          <w:sz w:val="28"/>
          <w:szCs w:val="28"/>
        </w:rPr>
      </w:pPr>
      <w:bookmarkStart w:id="34" w:name="_Toc148600183"/>
      <w:r w:rsidRPr="00EF1311">
        <w:rPr>
          <w:rFonts w:ascii="Work Sans" w:eastAsia="Times New Roman" w:hAnsi="Work Sans" w:cs="Open Sans"/>
          <w:b/>
          <w:color w:val="006991"/>
          <w:sz w:val="28"/>
          <w:szCs w:val="28"/>
        </w:rPr>
        <w:lastRenderedPageBreak/>
        <w:t>Assessment of the category</w:t>
      </w:r>
      <w:bookmarkEnd w:id="34"/>
    </w:p>
    <w:p w14:paraId="06545B45" w14:textId="3823E207" w:rsidR="008D1671" w:rsidRDefault="0028343B" w:rsidP="003E1D99">
      <w:pPr>
        <w:pStyle w:val="CGC2025ParaNumbers"/>
      </w:pPr>
      <w:r>
        <w:t xml:space="preserve">In the 2020 Review, state gambling taxes were assessed equal per capita in the </w:t>
      </w:r>
      <w:r w:rsidR="00E62687">
        <w:t>o</w:t>
      </w:r>
      <w:r>
        <w:t xml:space="preserve">ther revenue category. </w:t>
      </w:r>
      <w:r w:rsidR="00312967">
        <w:t xml:space="preserve">The Commission’s </w:t>
      </w:r>
      <w:r w:rsidR="00312967" w:rsidRPr="00F55CB2">
        <w:t xml:space="preserve">preliminary view is that there have been no developments that warrant changing the </w:t>
      </w:r>
      <w:r w:rsidR="00312967">
        <w:t>gambling taxation</w:t>
      </w:r>
      <w:r w:rsidR="00312967" w:rsidRPr="00F55CB2">
        <w:t xml:space="preserve"> assessment</w:t>
      </w:r>
      <w:r w:rsidR="008D1671">
        <w:t>.</w:t>
      </w:r>
    </w:p>
    <w:p w14:paraId="6D3E071B" w14:textId="77777777" w:rsidR="008D1671" w:rsidRPr="005D20BB" w:rsidRDefault="008D1671" w:rsidP="005D20BB">
      <w:pPr>
        <w:pStyle w:val="Heading4"/>
        <w:keepLines w:val="0"/>
        <w:widowControl w:val="0"/>
        <w:spacing w:before="240" w:line="240" w:lineRule="auto"/>
        <w:rPr>
          <w:rFonts w:ascii="Work Sans" w:hAnsi="Work Sans"/>
          <w:b/>
          <w:i w:val="0"/>
          <w:color w:val="006991"/>
          <w:sz w:val="24"/>
        </w:rPr>
      </w:pPr>
      <w:r w:rsidRPr="005D20BB">
        <w:rPr>
          <w:rFonts w:ascii="Work Sans" w:hAnsi="Work Sans"/>
          <w:b/>
          <w:i w:val="0"/>
          <w:color w:val="006991"/>
          <w:sz w:val="24"/>
        </w:rPr>
        <w:t>Consultation question</w:t>
      </w:r>
    </w:p>
    <w:p w14:paraId="7FA39AFB" w14:textId="77777777" w:rsidR="008D1671" w:rsidRDefault="008D1671" w:rsidP="008D1671">
      <w:r w:rsidRPr="001C4DF3">
        <w:rPr>
          <w:noProof/>
        </w:rPr>
        <mc:AlternateContent>
          <mc:Choice Requires="wps">
            <w:drawing>
              <wp:inline distT="0" distB="0" distL="0" distR="0" wp14:anchorId="0FC39E31" wp14:editId="5E986D88">
                <wp:extent cx="5731510" cy="679999"/>
                <wp:effectExtent l="0" t="0" r="2540" b="635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679999"/>
                        </a:xfrm>
                        <a:prstGeom prst="rect">
                          <a:avLst/>
                        </a:prstGeom>
                        <a:solidFill>
                          <a:srgbClr val="EBF3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620D24" w14:textId="318FD97B" w:rsidR="008D1671" w:rsidRDefault="00312967" w:rsidP="008D1671">
                            <w:pPr>
                              <w:pStyle w:val="CGC2025QuestionNumbers"/>
                              <w:rPr>
                                <w:rFonts w:eastAsiaTheme="majorEastAsia" w:cs="Open Sans"/>
                              </w:rPr>
                            </w:pPr>
                            <w:r w:rsidRPr="00ED351F">
                              <w:rPr>
                                <w:rFonts w:eastAsiaTheme="majorEastAsia" w:cs="Open Sans"/>
                              </w:rPr>
                              <w:t xml:space="preserve">Do states agree that </w:t>
                            </w:r>
                            <w:r>
                              <w:rPr>
                                <w:rFonts w:eastAsiaTheme="majorEastAsia" w:cs="Open Sans"/>
                              </w:rPr>
                              <w:t xml:space="preserve">state </w:t>
                            </w:r>
                            <w:r>
                              <w:t xml:space="preserve">gambling taxes </w:t>
                            </w:r>
                            <w:r w:rsidRPr="004C5F43">
                              <w:t>should be assessed equal per capita</w:t>
                            </w:r>
                            <w:r w:rsidR="008008B2">
                              <w:t xml:space="preserve"> in the other revenue category</w:t>
                            </w:r>
                            <w:r w:rsidR="008D1671" w:rsidRPr="00ED351F">
                              <w:rPr>
                                <w:rFonts w:eastAsiaTheme="majorEastAsia" w:cs="Open San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C39E31" id="Rectangle 4" o:spid="_x0000_s1030" alt="&quot;&quot;" style="width:451.3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" fillcolor="#ebf3f5" stroked="f" strokeweight="2pt">
                <v:textbox>
                  <w:txbxContent>
                    <w:p w14:paraId="0C620D24" w14:textId="318FD97B" w:rsidR="008D1671" w:rsidRDefault="00312967" w:rsidP="008D1671">
                      <w:pPr>
                        <w:pStyle w:val="CGC2025QuestionNumbers"/>
                        <w:rPr>
                          <w:rFonts w:eastAsiaTheme="majorEastAsia" w:cs="Open Sans"/>
                        </w:rPr>
                      </w:pPr>
                      <w:r w:rsidRPr="00ED351F">
                        <w:rPr>
                          <w:rFonts w:eastAsiaTheme="majorEastAsia" w:cs="Open Sans"/>
                        </w:rPr>
                        <w:t xml:space="preserve">Do states agree that </w:t>
                      </w:r>
                      <w:r>
                        <w:rPr>
                          <w:rFonts w:eastAsiaTheme="majorEastAsia" w:cs="Open Sans"/>
                        </w:rPr>
                        <w:t xml:space="preserve">state </w:t>
                      </w:r>
                      <w:r>
                        <w:t xml:space="preserve">gambling taxes </w:t>
                      </w:r>
                      <w:r w:rsidRPr="004C5F43">
                        <w:t>should be assessed equal per capita</w:t>
                      </w:r>
                      <w:r w:rsidR="008008B2">
                        <w:t xml:space="preserve"> in the other revenue category</w:t>
                      </w:r>
                      <w:r w:rsidR="008D1671" w:rsidRPr="00ED351F">
                        <w:rPr>
                          <w:rFonts w:eastAsiaTheme="majorEastAsia" w:cs="Open Sans"/>
                        </w:rPr>
                        <w:t>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CA20146" w14:textId="77777777" w:rsidR="008D1671" w:rsidRPr="00156437" w:rsidRDefault="008D1671" w:rsidP="00156437">
      <w:pPr>
        <w:pStyle w:val="Heading2"/>
        <w:keepNext w:val="0"/>
        <w:widowControl/>
        <w:tabs>
          <w:tab w:val="clear" w:pos="567"/>
        </w:tabs>
        <w:spacing w:before="360" w:after="200" w:line="276" w:lineRule="auto"/>
        <w:rPr>
          <w:rFonts w:eastAsia="Times New Roman" w:cs="Open Sans"/>
          <w:color w:val="006991"/>
          <w:sz w:val="36"/>
          <w:szCs w:val="36"/>
        </w:rPr>
      </w:pPr>
      <w:bookmarkStart w:id="35" w:name="_Toc121741490"/>
      <w:bookmarkStart w:id="36" w:name="_Toc127428359"/>
      <w:bookmarkStart w:id="37" w:name="_Toc132729113"/>
      <w:bookmarkStart w:id="38" w:name="_Toc133236154"/>
      <w:bookmarkStart w:id="39" w:name="_Toc133236180"/>
      <w:bookmarkStart w:id="40" w:name="_Toc148600184"/>
      <w:bookmarkEnd w:id="26"/>
      <w:bookmarkEnd w:id="27"/>
      <w:bookmarkEnd w:id="28"/>
      <w:r w:rsidRPr="00156437">
        <w:rPr>
          <w:rFonts w:eastAsia="Times New Roman" w:cs="Open Sans"/>
          <w:color w:val="006991"/>
          <w:sz w:val="36"/>
          <w:szCs w:val="36"/>
        </w:rPr>
        <w:t>Proposed assessment</w:t>
      </w:r>
      <w:bookmarkEnd w:id="35"/>
      <w:bookmarkEnd w:id="36"/>
      <w:bookmarkEnd w:id="37"/>
      <w:bookmarkEnd w:id="38"/>
      <w:bookmarkEnd w:id="39"/>
      <w:bookmarkEnd w:id="40"/>
    </w:p>
    <w:p w14:paraId="1E17CD99" w14:textId="77777777" w:rsidR="008D1671" w:rsidRPr="007D6E24" w:rsidRDefault="008D1671" w:rsidP="007D6E24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eastAsia="Times New Roman" w:hAnsi="Work Sans" w:cs="Open Sans"/>
          <w:b/>
          <w:color w:val="006991"/>
          <w:sz w:val="28"/>
          <w:szCs w:val="28"/>
        </w:rPr>
      </w:pPr>
      <w:bookmarkStart w:id="41" w:name="_Toc132729115"/>
      <w:bookmarkStart w:id="42" w:name="_Toc133236156"/>
      <w:bookmarkStart w:id="43" w:name="_Toc133236182"/>
      <w:bookmarkStart w:id="44" w:name="_Toc148600185"/>
      <w:r w:rsidRPr="007D6E24">
        <w:rPr>
          <w:rFonts w:ascii="Work Sans" w:eastAsia="Times New Roman" w:hAnsi="Work Sans" w:cs="Open Sans"/>
          <w:b/>
          <w:color w:val="006991"/>
          <w:sz w:val="28"/>
          <w:szCs w:val="28"/>
        </w:rPr>
        <w:t>Differences from the 2020 Review approach</w:t>
      </w:r>
      <w:bookmarkEnd w:id="44"/>
    </w:p>
    <w:p w14:paraId="1237211B" w14:textId="77777777" w:rsidR="008D1671" w:rsidRPr="00170D65" w:rsidRDefault="008D1671" w:rsidP="008D1671">
      <w:pPr>
        <w:pStyle w:val="CGC2025ParaNumbers"/>
        <w:keepNext/>
        <w:keepLines/>
      </w:pPr>
      <w:r>
        <w:t xml:space="preserve">Subject to state comments, the </w:t>
      </w:r>
      <w:r w:rsidRPr="304D73AE">
        <w:t xml:space="preserve">Commission proposes to retain the 2020 Review assessment method. </w:t>
      </w:r>
      <w:r>
        <w:t>Revenues in this category will be assessed</w:t>
      </w:r>
      <w:r w:rsidRPr="00170D65">
        <w:t xml:space="preserve"> equal per capita. </w:t>
      </w:r>
    </w:p>
    <w:p w14:paraId="67FDB6F6" w14:textId="77777777" w:rsidR="008D1671" w:rsidRPr="007D6E24" w:rsidRDefault="008D1671" w:rsidP="007D6E24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eastAsia="Times New Roman" w:hAnsi="Work Sans" w:cs="Open Sans"/>
          <w:b/>
          <w:color w:val="006991"/>
          <w:sz w:val="28"/>
          <w:szCs w:val="28"/>
        </w:rPr>
      </w:pPr>
      <w:bookmarkStart w:id="45" w:name="_Toc148600186"/>
      <w:r w:rsidRPr="007D6E24">
        <w:rPr>
          <w:rFonts w:ascii="Work Sans" w:eastAsia="Times New Roman" w:hAnsi="Work Sans" w:cs="Open Sans"/>
          <w:b/>
          <w:color w:val="006991"/>
          <w:sz w:val="28"/>
          <w:szCs w:val="28"/>
        </w:rPr>
        <w:t>Proposed assessment structure</w:t>
      </w:r>
      <w:bookmarkEnd w:id="41"/>
      <w:bookmarkEnd w:id="42"/>
      <w:bookmarkEnd w:id="43"/>
      <w:bookmarkEnd w:id="45"/>
    </w:p>
    <w:p w14:paraId="0B60F761" w14:textId="504621A6" w:rsidR="008D1671" w:rsidRDefault="008D1671" w:rsidP="008D1671">
      <w:pPr>
        <w:pStyle w:val="CGC2025ParaNumbers"/>
      </w:pPr>
      <w:bookmarkStart w:id="46" w:name="_Toc132729116"/>
      <w:bookmarkStart w:id="47" w:name="_Toc133236157"/>
      <w:bookmarkStart w:id="48" w:name="_Toc133236183"/>
      <w:r>
        <w:t xml:space="preserve">Subject to state views, </w:t>
      </w:r>
      <w:r>
        <w:fldChar w:fldCharType="begin"/>
      </w:r>
      <w:r>
        <w:instrText xml:space="preserve"> REF _Ref136433368 \h </w:instrText>
      </w:r>
      <w:r>
        <w:fldChar w:fldCharType="separate"/>
      </w:r>
      <w:r w:rsidR="000C11A1" w:rsidRPr="00750A52">
        <w:t>Table</w:t>
      </w:r>
      <w:r w:rsidR="000C11A1">
        <w:t> </w:t>
      </w:r>
      <w:r w:rsidR="000C11A1">
        <w:rPr>
          <w:noProof/>
        </w:rPr>
        <w:t>6</w:t>
      </w:r>
      <w:r>
        <w:fldChar w:fldCharType="end"/>
      </w:r>
      <w:r>
        <w:t xml:space="preserve"> presents the proposed structure of the other assessment for the 2025 Review.</w:t>
      </w:r>
    </w:p>
    <w:p w14:paraId="21FEE8F5" w14:textId="027957AA" w:rsidR="008D1671" w:rsidRPr="00750A52" w:rsidRDefault="008D1671" w:rsidP="008D1671">
      <w:pPr>
        <w:pStyle w:val="Caption"/>
        <w:rPr>
          <w:rFonts w:ascii="Work Sans" w:hAnsi="Work Sans"/>
        </w:rPr>
      </w:pPr>
      <w:bookmarkStart w:id="49" w:name="_Ref136433368"/>
      <w:r w:rsidRPr="00750A52">
        <w:rPr>
          <w:rFonts w:ascii="Work Sans" w:hAnsi="Work Sans"/>
        </w:rPr>
        <w:t>Table</w:t>
      </w:r>
      <w:r>
        <w:rPr>
          <w:rFonts w:ascii="Work Sans" w:hAnsi="Work Sans"/>
        </w:rPr>
        <w:t> </w:t>
      </w:r>
      <w:r w:rsidRPr="00750A52">
        <w:rPr>
          <w:rFonts w:ascii="Work Sans" w:hAnsi="Work Sans"/>
        </w:rPr>
        <w:fldChar w:fldCharType="begin"/>
      </w:r>
      <w:r w:rsidRPr="00750A52">
        <w:rPr>
          <w:rFonts w:ascii="Work Sans" w:hAnsi="Work Sans"/>
        </w:rPr>
        <w:instrText xml:space="preserve"> SEQ Table \* ARABIC </w:instrText>
      </w:r>
      <w:r w:rsidRPr="00750A52">
        <w:rPr>
          <w:rFonts w:ascii="Work Sans" w:hAnsi="Work Sans"/>
        </w:rPr>
        <w:fldChar w:fldCharType="separate"/>
      </w:r>
      <w:r w:rsidR="000C11A1">
        <w:rPr>
          <w:rFonts w:ascii="Work Sans" w:hAnsi="Work Sans"/>
          <w:noProof/>
        </w:rPr>
        <w:t>6</w:t>
      </w:r>
      <w:r w:rsidRPr="00750A52">
        <w:rPr>
          <w:rFonts w:ascii="Work Sans" w:hAnsi="Work Sans"/>
        </w:rPr>
        <w:fldChar w:fldCharType="end"/>
      </w:r>
      <w:bookmarkEnd w:id="49"/>
      <w:r>
        <w:rPr>
          <w:rFonts w:ascii="Work Sans" w:hAnsi="Work Sans"/>
        </w:rPr>
        <w:tab/>
        <w:t>Category</w:t>
      </w:r>
      <w:r w:rsidRPr="00750A52">
        <w:rPr>
          <w:rFonts w:ascii="Work Sans" w:hAnsi="Work Sans"/>
        </w:rPr>
        <w:t xml:space="preserve"> structure, </w:t>
      </w:r>
      <w:r>
        <w:rPr>
          <w:rFonts w:ascii="Work Sans" w:hAnsi="Work Sans"/>
        </w:rPr>
        <w:t>other</w:t>
      </w:r>
      <w:r w:rsidRPr="00750A52">
        <w:rPr>
          <w:rFonts w:ascii="Work Sans" w:hAnsi="Work Sans"/>
        </w:rPr>
        <w:t xml:space="preserve"> revenue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4678"/>
        <w:gridCol w:w="1275"/>
      </w:tblGrid>
      <w:tr w:rsidR="008D1671" w:rsidRPr="00417A83" w14:paraId="330230DB" w14:textId="77777777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B3BB2A1" w14:textId="77777777" w:rsidR="008D1671" w:rsidRPr="00417A83" w:rsidRDefault="008D167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50" w:name="_Toc121741493"/>
            <w:bookmarkStart w:id="51" w:name="_Toc127428362"/>
            <w:bookmarkStart w:id="52" w:name="_Toc132729117"/>
            <w:bookmarkStart w:id="53" w:name="_Toc133236158"/>
            <w:bookmarkStart w:id="54" w:name="_Toc133236184"/>
            <w:bookmarkEnd w:id="46"/>
            <w:bookmarkEnd w:id="47"/>
            <w:bookmarkEnd w:id="48"/>
            <w:r w:rsidRPr="00417A8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C40AA19" w14:textId="77777777" w:rsidR="008D1671" w:rsidRPr="00417A83" w:rsidRDefault="008D167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17A8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7CA523A" w14:textId="77777777" w:rsidR="008D1671" w:rsidRPr="00417A83" w:rsidRDefault="008D167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17A8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7C17068" w14:textId="77777777" w:rsidR="008D1671" w:rsidRPr="00417A83" w:rsidRDefault="008D167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17A8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Change since 2020 Review</w:t>
            </w:r>
          </w:p>
        </w:tc>
      </w:tr>
      <w:tr w:rsidR="008D1671" w:rsidRPr="00417A83" w14:paraId="7CC485B9" w14:textId="77777777">
        <w:trPr>
          <w:trHeight w:val="555"/>
        </w:trPr>
        <w:tc>
          <w:tcPr>
            <w:tcW w:w="141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76190AB0" w14:textId="0C8F483C" w:rsidR="008D1671" w:rsidRPr="00417A83" w:rsidRDefault="006457A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 xml:space="preserve">Other revenue </w:t>
            </w:r>
          </w:p>
        </w:tc>
        <w:tc>
          <w:tcPr>
            <w:tcW w:w="170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39BBE691" w14:textId="583D0864" w:rsidR="008D1671" w:rsidRPr="00417A83" w:rsidRDefault="000E79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Population</w:t>
            </w:r>
          </w:p>
        </w:tc>
        <w:tc>
          <w:tcPr>
            <w:tcW w:w="467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7889206A" w14:textId="5A9E7B1F" w:rsidR="008D1671" w:rsidRPr="00417A83" w:rsidRDefault="000E79F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These revenues are assessed equal per capita</w:t>
            </w:r>
            <w:r w:rsidRPr="00375CC4">
              <w:rPr>
                <w:rFonts w:eastAsia="Times New Roman" w:cs="Open Sans Light"/>
                <w:sz w:val="16"/>
                <w:szCs w:val="16"/>
                <w:lang w:eastAsia="en-AU"/>
              </w:rPr>
              <w:t>.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They do not differentially affect states’ relative fiscal capacities</w:t>
            </w:r>
            <w:r w:rsidR="008D1671" w:rsidRPr="00417A83">
              <w:rPr>
                <w:rFonts w:eastAsia="Times New Roman" w:cs="Open Sans Light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127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hideMark/>
          </w:tcPr>
          <w:p w14:paraId="3FAD773F" w14:textId="725209B0" w:rsidR="008D1671" w:rsidRPr="00417A83" w:rsidRDefault="00DE448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No</w:t>
            </w:r>
          </w:p>
        </w:tc>
      </w:tr>
    </w:tbl>
    <w:p w14:paraId="3ED0E7FA" w14:textId="77777777" w:rsidR="008D1671" w:rsidRPr="007D6E24" w:rsidRDefault="008D1671" w:rsidP="007D6E24">
      <w:pPr>
        <w:pStyle w:val="Heading2"/>
        <w:keepNext w:val="0"/>
        <w:widowControl/>
        <w:tabs>
          <w:tab w:val="clear" w:pos="567"/>
        </w:tabs>
        <w:spacing w:before="360" w:after="200" w:line="276" w:lineRule="auto"/>
        <w:rPr>
          <w:rFonts w:eastAsia="Times New Roman" w:cs="Open Sans"/>
          <w:color w:val="006991"/>
          <w:sz w:val="36"/>
          <w:szCs w:val="36"/>
        </w:rPr>
      </w:pPr>
      <w:bookmarkStart w:id="55" w:name="_Toc148600187"/>
      <w:r w:rsidRPr="007D6E24">
        <w:rPr>
          <w:rFonts w:eastAsia="Times New Roman" w:cs="Open Sans"/>
          <w:color w:val="006991"/>
          <w:sz w:val="36"/>
          <w:szCs w:val="36"/>
        </w:rPr>
        <w:t>Consultation</w:t>
      </w:r>
      <w:bookmarkEnd w:id="50"/>
      <w:bookmarkEnd w:id="51"/>
      <w:bookmarkEnd w:id="52"/>
      <w:bookmarkEnd w:id="53"/>
      <w:bookmarkEnd w:id="54"/>
      <w:bookmarkEnd w:id="55"/>
    </w:p>
    <w:p w14:paraId="6F602554" w14:textId="77777777" w:rsidR="008D1671" w:rsidRDefault="008D1671" w:rsidP="008D1671">
      <w:pPr>
        <w:pStyle w:val="CGC2025ParaNumbers"/>
      </w:pPr>
      <w:r>
        <w:t xml:space="preserve">The Commission </w:t>
      </w:r>
      <w:r w:rsidRPr="00505A01">
        <w:t>welcome</w:t>
      </w:r>
      <w:r>
        <w:t>s</w:t>
      </w:r>
      <w:r w:rsidRPr="00505A01">
        <w:t xml:space="preserve"> state views</w:t>
      </w:r>
      <w:r>
        <w:t xml:space="preserve"> on the consultation questions identified in this paper (outlined below) and the proposed assessment. State submissions should accord with the 2025 Review framework. States</w:t>
      </w:r>
      <w:r w:rsidRPr="001B2348">
        <w:t xml:space="preserve"> </w:t>
      </w:r>
      <w:r w:rsidRPr="0020009F">
        <w:t xml:space="preserve">are welcome to raise other </w:t>
      </w:r>
      <w:r>
        <w:t xml:space="preserve">relevant </w:t>
      </w:r>
      <w:r w:rsidRPr="0020009F">
        <w:t>issues with the Commission</w:t>
      </w:r>
      <w:r>
        <w:t>.</w:t>
      </w:r>
    </w:p>
    <w:p w14:paraId="5684FA9B" w14:textId="77777777" w:rsidR="008D1671" w:rsidRDefault="008D1671" w:rsidP="008D1671">
      <w:pPr>
        <w:rPr>
          <w:rFonts w:ascii="Work Sans" w:hAnsi="Work Sans"/>
          <w:szCs w:val="20"/>
        </w:rPr>
      </w:pPr>
      <w:r w:rsidRPr="001C4DF3">
        <w:rPr>
          <w:noProof/>
        </w:rPr>
        <mc:AlternateContent>
          <mc:Choice Requires="wps">
            <w:drawing>
              <wp:inline distT="0" distB="0" distL="0" distR="0" wp14:anchorId="18AEDFF0" wp14:editId="0E3AF830">
                <wp:extent cx="5648325" cy="1152525"/>
                <wp:effectExtent l="0" t="0" r="9525" b="9525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52525"/>
                        </a:xfrm>
                        <a:prstGeom prst="rect">
                          <a:avLst/>
                        </a:prstGeom>
                        <a:solidFill>
                          <a:srgbClr val="EBF3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5E14CC" w14:textId="7AB2A50B" w:rsidR="008D1671" w:rsidRDefault="008D1671" w:rsidP="008D1671">
                            <w:pPr>
                              <w:pStyle w:val="CGC2025Questionsnumbers2"/>
                            </w:pPr>
                            <w:r>
                              <w:t xml:space="preserve">Do </w:t>
                            </w:r>
                            <w:r w:rsidR="008008B2" w:rsidRPr="008008B2">
                              <w:t>states agree there is no reliable method of differentially assessing gambling taxes</w:t>
                            </w:r>
                            <w:r>
                              <w:t>?</w:t>
                            </w:r>
                            <w:r w:rsidR="00323712">
                              <w:t xml:space="preserve"> </w:t>
                            </w:r>
                            <w:r w:rsidR="00323712">
                              <w:rPr>
                                <w:rFonts w:eastAsiaTheme="majorEastAsia"/>
                              </w:rPr>
                              <w:t xml:space="preserve">If not, what do states consider to be a reliable method of assessing state gambling </w:t>
                            </w:r>
                            <w:r w:rsidR="00E76377">
                              <w:rPr>
                                <w:rFonts w:eastAsiaTheme="majorEastAsia"/>
                              </w:rPr>
                              <w:t>tax</w:t>
                            </w:r>
                            <w:r w:rsidR="00323712">
                              <w:rPr>
                                <w:rFonts w:eastAsiaTheme="majorEastAsia"/>
                              </w:rPr>
                              <w:t>es?</w:t>
                            </w:r>
                          </w:p>
                          <w:p w14:paraId="4150C29B" w14:textId="35C2351D" w:rsidR="008D1671" w:rsidRDefault="008D1671" w:rsidP="008D1671">
                            <w:pPr>
                              <w:pStyle w:val="CGC2025Questionsnumbers2"/>
                            </w:pPr>
                            <w:r>
                              <w:t xml:space="preserve">Do </w:t>
                            </w:r>
                            <w:r w:rsidR="008008B2" w:rsidRPr="008008B2">
                              <w:t>states agree that state gambling taxes should be assessed equal per capita in the other revenue category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EDFF0" id="Rectangle 1" o:spid="_x0000_s1031" alt="&quot;&quot;" style="width:444.7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" fillcolor="#ebf3f5" stroked="f" strokeweight="2pt">
                <v:textbox>
                  <w:txbxContent>
                    <w:p w14:paraId="715E14CC" w14:textId="7AB2A50B" w:rsidR="008D1671" w:rsidRDefault="008D1671" w:rsidP="008D1671">
                      <w:pPr>
                        <w:pStyle w:val="CGC2025Questionsnumbers2"/>
                      </w:pPr>
                      <w:r>
                        <w:t xml:space="preserve">Do </w:t>
                      </w:r>
                      <w:r w:rsidR="008008B2" w:rsidRPr="008008B2">
                        <w:t>states agree there is no reliable method of differentially assessing gambling taxes</w:t>
                      </w:r>
                      <w:r>
                        <w:t>?</w:t>
                      </w:r>
                      <w:r w:rsidR="00323712">
                        <w:t xml:space="preserve"> </w:t>
                      </w:r>
                      <w:r w:rsidR="00323712">
                        <w:rPr>
                          <w:rFonts w:eastAsiaTheme="majorEastAsia"/>
                        </w:rPr>
                        <w:t xml:space="preserve">If not, what do states consider to be a reliable method of assessing state gambling </w:t>
                      </w:r>
                      <w:r w:rsidR="00E76377">
                        <w:rPr>
                          <w:rFonts w:eastAsiaTheme="majorEastAsia"/>
                        </w:rPr>
                        <w:t>tax</w:t>
                      </w:r>
                      <w:r w:rsidR="00323712">
                        <w:rPr>
                          <w:rFonts w:eastAsiaTheme="majorEastAsia"/>
                        </w:rPr>
                        <w:t>es?</w:t>
                      </w:r>
                    </w:p>
                    <w:p w14:paraId="4150C29B" w14:textId="35C2351D" w:rsidR="008D1671" w:rsidRDefault="008D1671" w:rsidP="008D1671">
                      <w:pPr>
                        <w:pStyle w:val="CGC2025Questionsnumbers2"/>
                      </w:pPr>
                      <w:r>
                        <w:t xml:space="preserve">Do </w:t>
                      </w:r>
                      <w:r w:rsidR="008008B2" w:rsidRPr="008008B2">
                        <w:t>states agree that state gambling taxes should be assessed equal per capita in the other revenue category</w:t>
                      </w:r>
                      <w:r>
                        <w:t>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68EE626" w14:textId="77777777" w:rsidR="008D1671" w:rsidRDefault="008D1671" w:rsidP="008D1671">
      <w:pPr>
        <w:rPr>
          <w:rFonts w:ascii="Work Sans" w:hAnsi="Work Sans"/>
          <w:szCs w:val="20"/>
        </w:rPr>
      </w:pPr>
    </w:p>
    <w:p w14:paraId="37784C7B" w14:textId="77777777" w:rsidR="008D1671" w:rsidRDefault="008D1671"/>
    <w:sectPr w:rsidR="008D1671" w:rsidSect="00AE7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2446" w14:textId="77777777" w:rsidR="00873E37" w:rsidRDefault="00873E37" w:rsidP="008D1671">
      <w:pPr>
        <w:spacing w:before="0" w:line="240" w:lineRule="auto"/>
      </w:pPr>
      <w:r>
        <w:separator/>
      </w:r>
    </w:p>
  </w:endnote>
  <w:endnote w:type="continuationSeparator" w:id="0">
    <w:p w14:paraId="02E31DAD" w14:textId="77777777" w:rsidR="00873E37" w:rsidRDefault="00873E37" w:rsidP="008D1671">
      <w:pPr>
        <w:spacing w:before="0" w:line="240" w:lineRule="auto"/>
      </w:pPr>
      <w:r>
        <w:continuationSeparator/>
      </w:r>
    </w:p>
  </w:endnote>
  <w:endnote w:type="continuationNotice" w:id="1">
    <w:p w14:paraId="46D5CFC0" w14:textId="77777777" w:rsidR="00873E37" w:rsidRDefault="00873E3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2CB2" w14:textId="77777777" w:rsidR="008D1671" w:rsidRPr="001C1AC5" w:rsidRDefault="008D1671">
    <w:pPr>
      <w:pStyle w:val="Footer"/>
      <w:tabs>
        <w:tab w:val="right" w:pos="8931"/>
      </w:tabs>
      <w:rPr>
        <w:szCs w:val="20"/>
      </w:rPr>
    </w:pPr>
    <w:r>
      <w:rPr>
        <w:szCs w:val="20"/>
      </w:rPr>
      <w:tab/>
    </w:r>
    <w:r>
      <w:rPr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5061" w14:textId="77777777" w:rsidR="008D1671" w:rsidRDefault="008D16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274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32F4C" w14:textId="6E7CD019" w:rsidR="00FE5FB8" w:rsidRDefault="00FE5FB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FA251" w14:textId="7A9E17F4" w:rsidR="008D1671" w:rsidRDefault="008D16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9BAF" w14:textId="77777777" w:rsidR="00873E37" w:rsidRDefault="00873E37" w:rsidP="008D1671">
      <w:pPr>
        <w:spacing w:before="0" w:line="240" w:lineRule="auto"/>
      </w:pPr>
      <w:r>
        <w:separator/>
      </w:r>
    </w:p>
  </w:footnote>
  <w:footnote w:type="continuationSeparator" w:id="0">
    <w:p w14:paraId="03BBF91F" w14:textId="77777777" w:rsidR="00873E37" w:rsidRDefault="00873E37" w:rsidP="008D1671">
      <w:pPr>
        <w:spacing w:before="0" w:line="240" w:lineRule="auto"/>
      </w:pPr>
      <w:r>
        <w:continuationSeparator/>
      </w:r>
    </w:p>
  </w:footnote>
  <w:footnote w:type="continuationNotice" w:id="1">
    <w:p w14:paraId="7DF1F459" w14:textId="77777777" w:rsidR="00873E37" w:rsidRDefault="00873E37">
      <w:pPr>
        <w:spacing w:before="0" w:line="240" w:lineRule="auto"/>
      </w:pPr>
    </w:p>
  </w:footnote>
  <w:footnote w:id="2">
    <w:p w14:paraId="1AB92ACE" w14:textId="409E8F4F" w:rsidR="00B47701" w:rsidRDefault="00B47701" w:rsidP="002125EE">
      <w:pPr>
        <w:pStyle w:val="FootnoteText"/>
      </w:pPr>
      <w:r>
        <w:rPr>
          <w:rStyle w:val="FootnoteReference"/>
        </w:rPr>
        <w:footnoteRef/>
      </w:r>
      <w:r>
        <w:t xml:space="preserve"> Gambling turnover </w:t>
      </w:r>
      <w:r w:rsidR="00A2662C">
        <w:t xml:space="preserve">is </w:t>
      </w:r>
      <w:r w:rsidR="002829CC">
        <w:t>the amount wagered</w:t>
      </w:r>
      <w:r>
        <w:t xml:space="preserve">. Gambling expenditure is the net amount lost </w:t>
      </w:r>
      <w:r w:rsidR="00C43D3D">
        <w:t xml:space="preserve">by gamblers </w:t>
      </w:r>
      <w:r>
        <w:t>(the among wagered less the amount won).</w:t>
      </w:r>
      <w:r w:rsidR="00C43D3D">
        <w:t xml:space="preserve"> By definitions, gambling expenditure is the gross profit of the gambling operator.</w:t>
      </w:r>
    </w:p>
  </w:footnote>
  <w:footnote w:id="3">
    <w:p w14:paraId="4C27353F" w14:textId="27BFC672" w:rsidR="000E2DEA" w:rsidRDefault="000E2DEA" w:rsidP="002125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C90C14" w:rsidRPr="00C90C14">
        <w:t xml:space="preserve">The recent introduction of point of consumption taxes means the </w:t>
      </w:r>
      <w:r w:rsidR="00742BE5">
        <w:t xml:space="preserve">Northern </w:t>
      </w:r>
      <w:r w:rsidR="00C90C14" w:rsidRPr="00C90C14">
        <w:t xml:space="preserve">Territory’s revenues are no longer influenced by its policy, </w:t>
      </w:r>
      <w:r w:rsidR="00A877A8" w:rsidRPr="00C90C14">
        <w:t xml:space="preserve">but its level of gambling activity </w:t>
      </w:r>
      <w:r w:rsidR="00A877A8">
        <w:t>continues to be</w:t>
      </w:r>
      <w:r w:rsidR="00A877A8" w:rsidRPr="00C90C14">
        <w:t xml:space="preserve"> affected</w:t>
      </w:r>
      <w:r w:rsidR="00A877A8">
        <w:t>.</w:t>
      </w:r>
      <w:r w:rsidR="00A877A8" w:rsidRPr="00C90C14">
        <w:t xml:space="preserve"> </w:t>
      </w:r>
      <w:r w:rsidR="00A877A8" w:rsidRPr="00462E76">
        <w:t xml:space="preserve">South Australia introduced its point of consumption taxes in 2017, Queensland in 2018, New South Wales, </w:t>
      </w:r>
      <w:proofErr w:type="gramStart"/>
      <w:r w:rsidR="00A877A8" w:rsidRPr="00462E76">
        <w:t>Victoria</w:t>
      </w:r>
      <w:proofErr w:type="gramEnd"/>
      <w:r w:rsidR="00A877A8" w:rsidRPr="00462E76">
        <w:t xml:space="preserve"> and Western Australia in 2019 and Tasmania and the ACT in 2020. </w:t>
      </w:r>
      <w:r w:rsidR="00A877A8">
        <w:t>Point of consumption taxes have</w:t>
      </w:r>
      <w:r w:rsidR="00462E76" w:rsidRPr="00462E76">
        <w:t xml:space="preserve"> changed the way Australian </w:t>
      </w:r>
      <w:r w:rsidR="00EC2C80">
        <w:t>g</w:t>
      </w:r>
      <w:r w:rsidR="00462E76" w:rsidRPr="00462E76">
        <w:t xml:space="preserve">ambling </w:t>
      </w:r>
      <w:r w:rsidR="00EC2C80">
        <w:t>s</w:t>
      </w:r>
      <w:r w:rsidR="00462E76" w:rsidRPr="00462E76">
        <w:t>tatistics are reported. To avoid double counting, Australian Gambling Statistics estimated Northern Territory’s gambling expenditure and gambling turnover for 2019</w:t>
      </w:r>
      <w:r w:rsidR="005932B1">
        <w:t>–</w:t>
      </w:r>
      <w:r w:rsidR="00462E76" w:rsidRPr="00462E76">
        <w:t>20. Its 2019</w:t>
      </w:r>
      <w:r w:rsidR="005932B1">
        <w:t>–</w:t>
      </w:r>
      <w:r w:rsidR="00462E76" w:rsidRPr="00462E76">
        <w:t xml:space="preserve">20 gambling expenditure figure was 10% of </w:t>
      </w:r>
      <w:r w:rsidR="00EC2C80">
        <w:t>its</w:t>
      </w:r>
      <w:r w:rsidR="00462E76" w:rsidRPr="00462E76">
        <w:t xml:space="preserve"> 2018</w:t>
      </w:r>
      <w:r w:rsidR="005932B1">
        <w:t>–</w:t>
      </w:r>
      <w:r w:rsidR="00462E76" w:rsidRPr="00462E76">
        <w:t xml:space="preserve">19 figure. </w:t>
      </w:r>
      <w:r w:rsidR="00A877A8">
        <w:t>I</w:t>
      </w:r>
      <w:r w:rsidR="00462E76" w:rsidRPr="00462E76">
        <w:t>ts 2019</w:t>
      </w:r>
      <w:r w:rsidR="005932B1">
        <w:t>–</w:t>
      </w:r>
      <w:r w:rsidR="00462E76" w:rsidRPr="00462E76">
        <w:t>20 gambling turnover figure was 8% of its 2018</w:t>
      </w:r>
      <w:r w:rsidR="005932B1">
        <w:t>–</w:t>
      </w:r>
      <w:r w:rsidR="00462E76" w:rsidRPr="00462E76">
        <w:t>19 figure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0A7F" w14:textId="77777777" w:rsidR="008D1671" w:rsidRDefault="008D1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7BB4"/>
    <w:multiLevelType w:val="multilevel"/>
    <w:tmpl w:val="254084B6"/>
    <w:lvl w:ilvl="0">
      <w:start w:val="1"/>
      <w:numFmt w:val="decimal"/>
      <w:pStyle w:val="CGCBodyPara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E71B9C"/>
    <w:multiLevelType w:val="hybridMultilevel"/>
    <w:tmpl w:val="AC642BC0"/>
    <w:lvl w:ilvl="0" w:tplc="C0A63236">
      <w:start w:val="1"/>
      <w:numFmt w:val="bullet"/>
      <w:pStyle w:val="CGC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A2F29"/>
    <w:multiLevelType w:val="hybridMultilevel"/>
    <w:tmpl w:val="01125F14"/>
    <w:lvl w:ilvl="0" w:tplc="158035BC">
      <w:start w:val="1"/>
      <w:numFmt w:val="decimal"/>
      <w:pStyle w:val="CGCParaNumber"/>
      <w:lvlText w:val="%1"/>
      <w:lvlJc w:val="left"/>
      <w:pPr>
        <w:ind w:left="360" w:hanging="360"/>
      </w:pPr>
      <w:rPr>
        <w:rFonts w:ascii="Work Sans" w:hAnsi="Work Sans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03D8D"/>
    <w:multiLevelType w:val="hybridMultilevel"/>
    <w:tmpl w:val="63E83296"/>
    <w:lvl w:ilvl="0" w:tplc="FFFFFFFF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28840947">
    <w:abstractNumId w:val="3"/>
  </w:num>
  <w:num w:numId="2" w16cid:durableId="415976944">
    <w:abstractNumId w:val="1"/>
  </w:num>
  <w:num w:numId="3" w16cid:durableId="1018240873">
    <w:abstractNumId w:val="0"/>
  </w:num>
  <w:num w:numId="4" w16cid:durableId="606742215">
    <w:abstractNumId w:val="5"/>
  </w:num>
  <w:num w:numId="5" w16cid:durableId="1395931736">
    <w:abstractNumId w:val="2"/>
  </w:num>
  <w:num w:numId="6" w16cid:durableId="2005084568">
    <w:abstractNumId w:val="4"/>
  </w:num>
  <w:num w:numId="7" w16cid:durableId="17500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71"/>
    <w:rsid w:val="0000225E"/>
    <w:rsid w:val="00004CAD"/>
    <w:rsid w:val="00007CAB"/>
    <w:rsid w:val="0001054B"/>
    <w:rsid w:val="000157BA"/>
    <w:rsid w:val="000200AB"/>
    <w:rsid w:val="00027A24"/>
    <w:rsid w:val="000309F2"/>
    <w:rsid w:val="00034D6C"/>
    <w:rsid w:val="00034FEB"/>
    <w:rsid w:val="00042EF3"/>
    <w:rsid w:val="00050D78"/>
    <w:rsid w:val="000526D0"/>
    <w:rsid w:val="00053995"/>
    <w:rsid w:val="00060485"/>
    <w:rsid w:val="000606CE"/>
    <w:rsid w:val="000708C6"/>
    <w:rsid w:val="00075922"/>
    <w:rsid w:val="00087827"/>
    <w:rsid w:val="000950E6"/>
    <w:rsid w:val="00095526"/>
    <w:rsid w:val="00096119"/>
    <w:rsid w:val="000A2B4E"/>
    <w:rsid w:val="000A6E08"/>
    <w:rsid w:val="000B017F"/>
    <w:rsid w:val="000B0B0E"/>
    <w:rsid w:val="000B10FA"/>
    <w:rsid w:val="000B5EAA"/>
    <w:rsid w:val="000C00E4"/>
    <w:rsid w:val="000C11A1"/>
    <w:rsid w:val="000C1FEA"/>
    <w:rsid w:val="000C4A67"/>
    <w:rsid w:val="000C5B69"/>
    <w:rsid w:val="000C6748"/>
    <w:rsid w:val="000D43C2"/>
    <w:rsid w:val="000E2DEA"/>
    <w:rsid w:val="000E6B3B"/>
    <w:rsid w:val="000E79FB"/>
    <w:rsid w:val="000F2CEB"/>
    <w:rsid w:val="000F2FD8"/>
    <w:rsid w:val="000F4E67"/>
    <w:rsid w:val="00100BE0"/>
    <w:rsid w:val="00102E47"/>
    <w:rsid w:val="001030EC"/>
    <w:rsid w:val="00112D19"/>
    <w:rsid w:val="00114EA8"/>
    <w:rsid w:val="00117407"/>
    <w:rsid w:val="001214AC"/>
    <w:rsid w:val="001231F1"/>
    <w:rsid w:val="001263FC"/>
    <w:rsid w:val="00136165"/>
    <w:rsid w:val="00136AF9"/>
    <w:rsid w:val="0014269B"/>
    <w:rsid w:val="001452FC"/>
    <w:rsid w:val="00146826"/>
    <w:rsid w:val="00146DF4"/>
    <w:rsid w:val="00152B53"/>
    <w:rsid w:val="0015409C"/>
    <w:rsid w:val="00156437"/>
    <w:rsid w:val="00156C5C"/>
    <w:rsid w:val="00160F45"/>
    <w:rsid w:val="00162271"/>
    <w:rsid w:val="00162956"/>
    <w:rsid w:val="0017152E"/>
    <w:rsid w:val="00172884"/>
    <w:rsid w:val="00181EB5"/>
    <w:rsid w:val="00182C40"/>
    <w:rsid w:val="001833EE"/>
    <w:rsid w:val="001905EF"/>
    <w:rsid w:val="0019150B"/>
    <w:rsid w:val="0019222A"/>
    <w:rsid w:val="0019503D"/>
    <w:rsid w:val="00196508"/>
    <w:rsid w:val="00197149"/>
    <w:rsid w:val="001A5A6D"/>
    <w:rsid w:val="001A7BB2"/>
    <w:rsid w:val="001B1AB2"/>
    <w:rsid w:val="001B6C11"/>
    <w:rsid w:val="001B7767"/>
    <w:rsid w:val="001C2274"/>
    <w:rsid w:val="001C595E"/>
    <w:rsid w:val="001C6F5E"/>
    <w:rsid w:val="001C77C4"/>
    <w:rsid w:val="001D033F"/>
    <w:rsid w:val="001D13F2"/>
    <w:rsid w:val="001D1789"/>
    <w:rsid w:val="001D1DB9"/>
    <w:rsid w:val="001D1F9D"/>
    <w:rsid w:val="001D20ED"/>
    <w:rsid w:val="001D458C"/>
    <w:rsid w:val="001D62E6"/>
    <w:rsid w:val="001E0BB9"/>
    <w:rsid w:val="001E149C"/>
    <w:rsid w:val="001E157A"/>
    <w:rsid w:val="001E2270"/>
    <w:rsid w:val="001F5749"/>
    <w:rsid w:val="00200F51"/>
    <w:rsid w:val="00201A50"/>
    <w:rsid w:val="00202D79"/>
    <w:rsid w:val="00203B7D"/>
    <w:rsid w:val="002125A6"/>
    <w:rsid w:val="002125EE"/>
    <w:rsid w:val="0021344D"/>
    <w:rsid w:val="0021371F"/>
    <w:rsid w:val="00214AF9"/>
    <w:rsid w:val="0022211F"/>
    <w:rsid w:val="0022262A"/>
    <w:rsid w:val="00225440"/>
    <w:rsid w:val="00231822"/>
    <w:rsid w:val="00236643"/>
    <w:rsid w:val="002436DC"/>
    <w:rsid w:val="00244EB1"/>
    <w:rsid w:val="0024766F"/>
    <w:rsid w:val="00250961"/>
    <w:rsid w:val="0025128A"/>
    <w:rsid w:val="00252A32"/>
    <w:rsid w:val="002530F6"/>
    <w:rsid w:val="00264F5B"/>
    <w:rsid w:val="00265266"/>
    <w:rsid w:val="00265CB7"/>
    <w:rsid w:val="00271342"/>
    <w:rsid w:val="00272567"/>
    <w:rsid w:val="00272844"/>
    <w:rsid w:val="00277C1E"/>
    <w:rsid w:val="002824F9"/>
    <w:rsid w:val="002829CC"/>
    <w:rsid w:val="0028343B"/>
    <w:rsid w:val="002A01AE"/>
    <w:rsid w:val="002A0589"/>
    <w:rsid w:val="002A0FC6"/>
    <w:rsid w:val="002A595E"/>
    <w:rsid w:val="002A63A5"/>
    <w:rsid w:val="002B0CF0"/>
    <w:rsid w:val="002B2CA4"/>
    <w:rsid w:val="002B35AE"/>
    <w:rsid w:val="002B3966"/>
    <w:rsid w:val="002B6668"/>
    <w:rsid w:val="002B667C"/>
    <w:rsid w:val="002B6D03"/>
    <w:rsid w:val="002B76DF"/>
    <w:rsid w:val="002C2462"/>
    <w:rsid w:val="002C2DF5"/>
    <w:rsid w:val="002C58FA"/>
    <w:rsid w:val="002C5E9D"/>
    <w:rsid w:val="002D3A39"/>
    <w:rsid w:val="002E1AF5"/>
    <w:rsid w:val="002E2C29"/>
    <w:rsid w:val="002E37A0"/>
    <w:rsid w:val="002E5BFA"/>
    <w:rsid w:val="002E6F2A"/>
    <w:rsid w:val="002F34A3"/>
    <w:rsid w:val="003072F5"/>
    <w:rsid w:val="003122D5"/>
    <w:rsid w:val="00312967"/>
    <w:rsid w:val="0031310C"/>
    <w:rsid w:val="00317293"/>
    <w:rsid w:val="00317999"/>
    <w:rsid w:val="0032184D"/>
    <w:rsid w:val="00321868"/>
    <w:rsid w:val="00322BDC"/>
    <w:rsid w:val="00323712"/>
    <w:rsid w:val="00324DA2"/>
    <w:rsid w:val="00335FAD"/>
    <w:rsid w:val="00343090"/>
    <w:rsid w:val="00343592"/>
    <w:rsid w:val="00344760"/>
    <w:rsid w:val="00346D65"/>
    <w:rsid w:val="00350799"/>
    <w:rsid w:val="00351B30"/>
    <w:rsid w:val="00352519"/>
    <w:rsid w:val="00352CE0"/>
    <w:rsid w:val="00355C8A"/>
    <w:rsid w:val="00356342"/>
    <w:rsid w:val="00357A0C"/>
    <w:rsid w:val="0036194C"/>
    <w:rsid w:val="00362AEB"/>
    <w:rsid w:val="00364CEB"/>
    <w:rsid w:val="003714DB"/>
    <w:rsid w:val="00385BA4"/>
    <w:rsid w:val="00386822"/>
    <w:rsid w:val="00386CB2"/>
    <w:rsid w:val="00387571"/>
    <w:rsid w:val="003907CD"/>
    <w:rsid w:val="0039320B"/>
    <w:rsid w:val="003936A5"/>
    <w:rsid w:val="00397487"/>
    <w:rsid w:val="003A087E"/>
    <w:rsid w:val="003A0F13"/>
    <w:rsid w:val="003A38C2"/>
    <w:rsid w:val="003A3BCA"/>
    <w:rsid w:val="003B2D55"/>
    <w:rsid w:val="003B3C2F"/>
    <w:rsid w:val="003B59ED"/>
    <w:rsid w:val="003B6421"/>
    <w:rsid w:val="003C3F8E"/>
    <w:rsid w:val="003C662B"/>
    <w:rsid w:val="003D02B0"/>
    <w:rsid w:val="003D2D3F"/>
    <w:rsid w:val="003D60A9"/>
    <w:rsid w:val="003D7FFB"/>
    <w:rsid w:val="003E1D99"/>
    <w:rsid w:val="003E2592"/>
    <w:rsid w:val="003E358D"/>
    <w:rsid w:val="003E45E2"/>
    <w:rsid w:val="003E6221"/>
    <w:rsid w:val="003E762C"/>
    <w:rsid w:val="003F08ED"/>
    <w:rsid w:val="003F1681"/>
    <w:rsid w:val="003F1DCC"/>
    <w:rsid w:val="003F388E"/>
    <w:rsid w:val="003F5A94"/>
    <w:rsid w:val="003F608E"/>
    <w:rsid w:val="003F694E"/>
    <w:rsid w:val="004008D9"/>
    <w:rsid w:val="0040125E"/>
    <w:rsid w:val="00401A03"/>
    <w:rsid w:val="00403206"/>
    <w:rsid w:val="004073EC"/>
    <w:rsid w:val="0041139E"/>
    <w:rsid w:val="00415E94"/>
    <w:rsid w:val="00422CC3"/>
    <w:rsid w:val="00425106"/>
    <w:rsid w:val="004259CD"/>
    <w:rsid w:val="00430070"/>
    <w:rsid w:val="004352D2"/>
    <w:rsid w:val="00435DF2"/>
    <w:rsid w:val="00437AE7"/>
    <w:rsid w:val="00441C60"/>
    <w:rsid w:val="00442772"/>
    <w:rsid w:val="00442ED6"/>
    <w:rsid w:val="004446AF"/>
    <w:rsid w:val="00444A7B"/>
    <w:rsid w:val="00450F6C"/>
    <w:rsid w:val="0045278C"/>
    <w:rsid w:val="00454A26"/>
    <w:rsid w:val="004569C4"/>
    <w:rsid w:val="00456F1A"/>
    <w:rsid w:val="00456FAE"/>
    <w:rsid w:val="004605E3"/>
    <w:rsid w:val="004626B4"/>
    <w:rsid w:val="00462E76"/>
    <w:rsid w:val="00464BD5"/>
    <w:rsid w:val="00464C20"/>
    <w:rsid w:val="00465475"/>
    <w:rsid w:val="004721BA"/>
    <w:rsid w:val="00472407"/>
    <w:rsid w:val="0047327C"/>
    <w:rsid w:val="0048047D"/>
    <w:rsid w:val="00480F51"/>
    <w:rsid w:val="00482F11"/>
    <w:rsid w:val="004876A8"/>
    <w:rsid w:val="004903FD"/>
    <w:rsid w:val="00490564"/>
    <w:rsid w:val="00492636"/>
    <w:rsid w:val="004969F1"/>
    <w:rsid w:val="004A28E0"/>
    <w:rsid w:val="004A34E1"/>
    <w:rsid w:val="004A431C"/>
    <w:rsid w:val="004A508E"/>
    <w:rsid w:val="004A78C7"/>
    <w:rsid w:val="004B327C"/>
    <w:rsid w:val="004B4DCF"/>
    <w:rsid w:val="004B5F4B"/>
    <w:rsid w:val="004B66AF"/>
    <w:rsid w:val="004B7180"/>
    <w:rsid w:val="004B7310"/>
    <w:rsid w:val="004B7633"/>
    <w:rsid w:val="004C446F"/>
    <w:rsid w:val="004C6064"/>
    <w:rsid w:val="004C7AA7"/>
    <w:rsid w:val="004E2F4E"/>
    <w:rsid w:val="004E38A4"/>
    <w:rsid w:val="004E5612"/>
    <w:rsid w:val="004E7551"/>
    <w:rsid w:val="004F08C9"/>
    <w:rsid w:val="004F1024"/>
    <w:rsid w:val="004F6015"/>
    <w:rsid w:val="004F6BA9"/>
    <w:rsid w:val="004F7501"/>
    <w:rsid w:val="0050303D"/>
    <w:rsid w:val="0050486B"/>
    <w:rsid w:val="00513713"/>
    <w:rsid w:val="00513A69"/>
    <w:rsid w:val="005149AF"/>
    <w:rsid w:val="00515D77"/>
    <w:rsid w:val="00517CD6"/>
    <w:rsid w:val="00526483"/>
    <w:rsid w:val="00526BDF"/>
    <w:rsid w:val="00533F37"/>
    <w:rsid w:val="00534406"/>
    <w:rsid w:val="0054039F"/>
    <w:rsid w:val="00543349"/>
    <w:rsid w:val="005446C7"/>
    <w:rsid w:val="00544A84"/>
    <w:rsid w:val="00544D3A"/>
    <w:rsid w:val="00547C2C"/>
    <w:rsid w:val="00552989"/>
    <w:rsid w:val="00563123"/>
    <w:rsid w:val="005654D7"/>
    <w:rsid w:val="00565DD6"/>
    <w:rsid w:val="005719F7"/>
    <w:rsid w:val="00573259"/>
    <w:rsid w:val="00575213"/>
    <w:rsid w:val="00586728"/>
    <w:rsid w:val="005932B1"/>
    <w:rsid w:val="005A0FAE"/>
    <w:rsid w:val="005A2AE5"/>
    <w:rsid w:val="005A6E3E"/>
    <w:rsid w:val="005B1E4A"/>
    <w:rsid w:val="005B6927"/>
    <w:rsid w:val="005B6FE5"/>
    <w:rsid w:val="005C2FFA"/>
    <w:rsid w:val="005C586F"/>
    <w:rsid w:val="005C732D"/>
    <w:rsid w:val="005D13B0"/>
    <w:rsid w:val="005D18DE"/>
    <w:rsid w:val="005D20BB"/>
    <w:rsid w:val="005E08D0"/>
    <w:rsid w:val="005E48A4"/>
    <w:rsid w:val="005E7013"/>
    <w:rsid w:val="005E7934"/>
    <w:rsid w:val="005F15E2"/>
    <w:rsid w:val="005F1782"/>
    <w:rsid w:val="005F7B5D"/>
    <w:rsid w:val="00606745"/>
    <w:rsid w:val="00606F0D"/>
    <w:rsid w:val="00610F13"/>
    <w:rsid w:val="00612EB5"/>
    <w:rsid w:val="00613FE8"/>
    <w:rsid w:val="00617E79"/>
    <w:rsid w:val="006207BE"/>
    <w:rsid w:val="006210E5"/>
    <w:rsid w:val="00623776"/>
    <w:rsid w:val="00624A80"/>
    <w:rsid w:val="00627335"/>
    <w:rsid w:val="006305CE"/>
    <w:rsid w:val="006309F2"/>
    <w:rsid w:val="00631E6E"/>
    <w:rsid w:val="00640D36"/>
    <w:rsid w:val="0064123A"/>
    <w:rsid w:val="0064271D"/>
    <w:rsid w:val="006441D6"/>
    <w:rsid w:val="006449DB"/>
    <w:rsid w:val="006457A2"/>
    <w:rsid w:val="00650EEF"/>
    <w:rsid w:val="006522A4"/>
    <w:rsid w:val="00653868"/>
    <w:rsid w:val="006563B2"/>
    <w:rsid w:val="00663C76"/>
    <w:rsid w:val="00663DBD"/>
    <w:rsid w:val="00665F15"/>
    <w:rsid w:val="006676C9"/>
    <w:rsid w:val="00677944"/>
    <w:rsid w:val="00680F27"/>
    <w:rsid w:val="0069131D"/>
    <w:rsid w:val="006931CF"/>
    <w:rsid w:val="006A7D42"/>
    <w:rsid w:val="006B0023"/>
    <w:rsid w:val="006B23EB"/>
    <w:rsid w:val="006B4769"/>
    <w:rsid w:val="006B5349"/>
    <w:rsid w:val="006B6C80"/>
    <w:rsid w:val="006B6CA7"/>
    <w:rsid w:val="006C17DA"/>
    <w:rsid w:val="006C2895"/>
    <w:rsid w:val="006C3984"/>
    <w:rsid w:val="006C5AC7"/>
    <w:rsid w:val="006D7450"/>
    <w:rsid w:val="006E74CC"/>
    <w:rsid w:val="006E7A99"/>
    <w:rsid w:val="006E7F7F"/>
    <w:rsid w:val="006F4254"/>
    <w:rsid w:val="006F4EAB"/>
    <w:rsid w:val="006F6412"/>
    <w:rsid w:val="00706536"/>
    <w:rsid w:val="0071260B"/>
    <w:rsid w:val="00724BEA"/>
    <w:rsid w:val="007269C0"/>
    <w:rsid w:val="00735487"/>
    <w:rsid w:val="00735F1B"/>
    <w:rsid w:val="007369DF"/>
    <w:rsid w:val="00742BE5"/>
    <w:rsid w:val="00744715"/>
    <w:rsid w:val="00744D22"/>
    <w:rsid w:val="007461B4"/>
    <w:rsid w:val="00747174"/>
    <w:rsid w:val="007553C8"/>
    <w:rsid w:val="0075546D"/>
    <w:rsid w:val="00757A69"/>
    <w:rsid w:val="0076003A"/>
    <w:rsid w:val="00760951"/>
    <w:rsid w:val="007628B6"/>
    <w:rsid w:val="00772958"/>
    <w:rsid w:val="00773303"/>
    <w:rsid w:val="0077487D"/>
    <w:rsid w:val="007759D3"/>
    <w:rsid w:val="007762DC"/>
    <w:rsid w:val="007766B2"/>
    <w:rsid w:val="0078735A"/>
    <w:rsid w:val="00790F58"/>
    <w:rsid w:val="00791889"/>
    <w:rsid w:val="00792108"/>
    <w:rsid w:val="00795F95"/>
    <w:rsid w:val="00796633"/>
    <w:rsid w:val="007A0452"/>
    <w:rsid w:val="007A1515"/>
    <w:rsid w:val="007A2801"/>
    <w:rsid w:val="007B02A6"/>
    <w:rsid w:val="007B29B2"/>
    <w:rsid w:val="007C21A0"/>
    <w:rsid w:val="007C5A4E"/>
    <w:rsid w:val="007D0220"/>
    <w:rsid w:val="007D1066"/>
    <w:rsid w:val="007D3F17"/>
    <w:rsid w:val="007D587D"/>
    <w:rsid w:val="007D68BC"/>
    <w:rsid w:val="007D6E24"/>
    <w:rsid w:val="007E16A0"/>
    <w:rsid w:val="007F06BE"/>
    <w:rsid w:val="007F340F"/>
    <w:rsid w:val="007F40B0"/>
    <w:rsid w:val="007F5490"/>
    <w:rsid w:val="007F6CC4"/>
    <w:rsid w:val="007F7870"/>
    <w:rsid w:val="008008B2"/>
    <w:rsid w:val="008030A6"/>
    <w:rsid w:val="008042A9"/>
    <w:rsid w:val="00805C79"/>
    <w:rsid w:val="0080787B"/>
    <w:rsid w:val="008119C0"/>
    <w:rsid w:val="00814436"/>
    <w:rsid w:val="0081539F"/>
    <w:rsid w:val="00817414"/>
    <w:rsid w:val="00817424"/>
    <w:rsid w:val="00820016"/>
    <w:rsid w:val="008208F9"/>
    <w:rsid w:val="00821E7B"/>
    <w:rsid w:val="00822435"/>
    <w:rsid w:val="008237F5"/>
    <w:rsid w:val="008254EB"/>
    <w:rsid w:val="00825C71"/>
    <w:rsid w:val="008275BA"/>
    <w:rsid w:val="0083362F"/>
    <w:rsid w:val="00835EF8"/>
    <w:rsid w:val="00837AA3"/>
    <w:rsid w:val="008411EA"/>
    <w:rsid w:val="008412B4"/>
    <w:rsid w:val="00842317"/>
    <w:rsid w:val="0084257B"/>
    <w:rsid w:val="0084360E"/>
    <w:rsid w:val="00843694"/>
    <w:rsid w:val="008446C9"/>
    <w:rsid w:val="00852CC6"/>
    <w:rsid w:val="0085341C"/>
    <w:rsid w:val="00855485"/>
    <w:rsid w:val="00856BCB"/>
    <w:rsid w:val="00860610"/>
    <w:rsid w:val="00863576"/>
    <w:rsid w:val="00865665"/>
    <w:rsid w:val="00867E10"/>
    <w:rsid w:val="008711A8"/>
    <w:rsid w:val="008728B1"/>
    <w:rsid w:val="00873E37"/>
    <w:rsid w:val="0088060F"/>
    <w:rsid w:val="0088256F"/>
    <w:rsid w:val="00882A3C"/>
    <w:rsid w:val="00883222"/>
    <w:rsid w:val="00885EBB"/>
    <w:rsid w:val="008917BB"/>
    <w:rsid w:val="00893EAA"/>
    <w:rsid w:val="0089460B"/>
    <w:rsid w:val="008A112F"/>
    <w:rsid w:val="008A262D"/>
    <w:rsid w:val="008B415B"/>
    <w:rsid w:val="008C1EDF"/>
    <w:rsid w:val="008C3DBE"/>
    <w:rsid w:val="008C44E4"/>
    <w:rsid w:val="008C6CAB"/>
    <w:rsid w:val="008D1671"/>
    <w:rsid w:val="008D1679"/>
    <w:rsid w:val="008D1A28"/>
    <w:rsid w:val="008D58FC"/>
    <w:rsid w:val="008E688F"/>
    <w:rsid w:val="008E6EF6"/>
    <w:rsid w:val="008F02D0"/>
    <w:rsid w:val="008F4E54"/>
    <w:rsid w:val="00901DFE"/>
    <w:rsid w:val="009044A4"/>
    <w:rsid w:val="009048E2"/>
    <w:rsid w:val="00904B86"/>
    <w:rsid w:val="009050E5"/>
    <w:rsid w:val="00907811"/>
    <w:rsid w:val="00911E9E"/>
    <w:rsid w:val="009131CB"/>
    <w:rsid w:val="00915BE0"/>
    <w:rsid w:val="00915EF1"/>
    <w:rsid w:val="00922E1D"/>
    <w:rsid w:val="00924C5C"/>
    <w:rsid w:val="009276A4"/>
    <w:rsid w:val="00933BBE"/>
    <w:rsid w:val="009422B2"/>
    <w:rsid w:val="009431E4"/>
    <w:rsid w:val="00945411"/>
    <w:rsid w:val="009479C3"/>
    <w:rsid w:val="009539C9"/>
    <w:rsid w:val="009557C8"/>
    <w:rsid w:val="00961D93"/>
    <w:rsid w:val="00962112"/>
    <w:rsid w:val="00966D62"/>
    <w:rsid w:val="00971A0C"/>
    <w:rsid w:val="00973CE4"/>
    <w:rsid w:val="0098464A"/>
    <w:rsid w:val="00995C38"/>
    <w:rsid w:val="009961EC"/>
    <w:rsid w:val="009A0655"/>
    <w:rsid w:val="009A20DF"/>
    <w:rsid w:val="009A3660"/>
    <w:rsid w:val="009B1D4A"/>
    <w:rsid w:val="009B46F2"/>
    <w:rsid w:val="009B5F13"/>
    <w:rsid w:val="009B7CF2"/>
    <w:rsid w:val="009C0344"/>
    <w:rsid w:val="009C1EF7"/>
    <w:rsid w:val="009C51E5"/>
    <w:rsid w:val="009C5B68"/>
    <w:rsid w:val="009D0E0D"/>
    <w:rsid w:val="009D18C1"/>
    <w:rsid w:val="009E4FBF"/>
    <w:rsid w:val="009E6B7C"/>
    <w:rsid w:val="009F269E"/>
    <w:rsid w:val="009F388B"/>
    <w:rsid w:val="009F599A"/>
    <w:rsid w:val="00A046A1"/>
    <w:rsid w:val="00A05705"/>
    <w:rsid w:val="00A05EC3"/>
    <w:rsid w:val="00A064A5"/>
    <w:rsid w:val="00A064B3"/>
    <w:rsid w:val="00A06D7A"/>
    <w:rsid w:val="00A106FE"/>
    <w:rsid w:val="00A12255"/>
    <w:rsid w:val="00A13BBB"/>
    <w:rsid w:val="00A148A6"/>
    <w:rsid w:val="00A17BEC"/>
    <w:rsid w:val="00A20219"/>
    <w:rsid w:val="00A214AE"/>
    <w:rsid w:val="00A2193F"/>
    <w:rsid w:val="00A21CD7"/>
    <w:rsid w:val="00A2662C"/>
    <w:rsid w:val="00A26664"/>
    <w:rsid w:val="00A311B8"/>
    <w:rsid w:val="00A31D38"/>
    <w:rsid w:val="00A33982"/>
    <w:rsid w:val="00A340C2"/>
    <w:rsid w:val="00A364CE"/>
    <w:rsid w:val="00A37E3E"/>
    <w:rsid w:val="00A42E93"/>
    <w:rsid w:val="00A46BE1"/>
    <w:rsid w:val="00A53FE2"/>
    <w:rsid w:val="00A563EF"/>
    <w:rsid w:val="00A5679B"/>
    <w:rsid w:val="00A56919"/>
    <w:rsid w:val="00A571A1"/>
    <w:rsid w:val="00A716D7"/>
    <w:rsid w:val="00A72760"/>
    <w:rsid w:val="00A74AC8"/>
    <w:rsid w:val="00A75AB3"/>
    <w:rsid w:val="00A81F6E"/>
    <w:rsid w:val="00A82075"/>
    <w:rsid w:val="00A85198"/>
    <w:rsid w:val="00A85D05"/>
    <w:rsid w:val="00A85D72"/>
    <w:rsid w:val="00A877A8"/>
    <w:rsid w:val="00A93DE6"/>
    <w:rsid w:val="00A93E52"/>
    <w:rsid w:val="00AA1794"/>
    <w:rsid w:val="00AA4C56"/>
    <w:rsid w:val="00AA5B40"/>
    <w:rsid w:val="00AA6A25"/>
    <w:rsid w:val="00AB1B8B"/>
    <w:rsid w:val="00AB2E0C"/>
    <w:rsid w:val="00AB35DD"/>
    <w:rsid w:val="00AB3D86"/>
    <w:rsid w:val="00AB3FAC"/>
    <w:rsid w:val="00AC4B80"/>
    <w:rsid w:val="00AC6AA8"/>
    <w:rsid w:val="00AD7F88"/>
    <w:rsid w:val="00AE7C9B"/>
    <w:rsid w:val="00AE7F07"/>
    <w:rsid w:val="00AF2ED7"/>
    <w:rsid w:val="00AF4D48"/>
    <w:rsid w:val="00B03682"/>
    <w:rsid w:val="00B0560C"/>
    <w:rsid w:val="00B075F2"/>
    <w:rsid w:val="00B15B4A"/>
    <w:rsid w:val="00B22139"/>
    <w:rsid w:val="00B23190"/>
    <w:rsid w:val="00B26419"/>
    <w:rsid w:val="00B351D8"/>
    <w:rsid w:val="00B43CF1"/>
    <w:rsid w:val="00B47701"/>
    <w:rsid w:val="00B50646"/>
    <w:rsid w:val="00B621CF"/>
    <w:rsid w:val="00B63B6A"/>
    <w:rsid w:val="00B6770E"/>
    <w:rsid w:val="00B67E9B"/>
    <w:rsid w:val="00B719CB"/>
    <w:rsid w:val="00B76A5D"/>
    <w:rsid w:val="00B80B3F"/>
    <w:rsid w:val="00B83E12"/>
    <w:rsid w:val="00B8458E"/>
    <w:rsid w:val="00B84A74"/>
    <w:rsid w:val="00B86484"/>
    <w:rsid w:val="00B91365"/>
    <w:rsid w:val="00B93757"/>
    <w:rsid w:val="00B93FE4"/>
    <w:rsid w:val="00B944E5"/>
    <w:rsid w:val="00B9524B"/>
    <w:rsid w:val="00BA1DA2"/>
    <w:rsid w:val="00BA311A"/>
    <w:rsid w:val="00BA4F80"/>
    <w:rsid w:val="00BA528F"/>
    <w:rsid w:val="00BC0631"/>
    <w:rsid w:val="00BC109F"/>
    <w:rsid w:val="00BC4265"/>
    <w:rsid w:val="00BD0CEE"/>
    <w:rsid w:val="00BE20FC"/>
    <w:rsid w:val="00BE6525"/>
    <w:rsid w:val="00BF06EB"/>
    <w:rsid w:val="00BF1F99"/>
    <w:rsid w:val="00BF4526"/>
    <w:rsid w:val="00BF47C9"/>
    <w:rsid w:val="00BF48D2"/>
    <w:rsid w:val="00C100D1"/>
    <w:rsid w:val="00C11187"/>
    <w:rsid w:val="00C21D6B"/>
    <w:rsid w:val="00C26679"/>
    <w:rsid w:val="00C27DF0"/>
    <w:rsid w:val="00C31589"/>
    <w:rsid w:val="00C348D0"/>
    <w:rsid w:val="00C353DB"/>
    <w:rsid w:val="00C369CB"/>
    <w:rsid w:val="00C43470"/>
    <w:rsid w:val="00C43D3D"/>
    <w:rsid w:val="00C44CBE"/>
    <w:rsid w:val="00C47A20"/>
    <w:rsid w:val="00C517A5"/>
    <w:rsid w:val="00C5540F"/>
    <w:rsid w:val="00C574F0"/>
    <w:rsid w:val="00C72D5B"/>
    <w:rsid w:val="00C77D95"/>
    <w:rsid w:val="00C81714"/>
    <w:rsid w:val="00C81DF5"/>
    <w:rsid w:val="00C82554"/>
    <w:rsid w:val="00C82DC9"/>
    <w:rsid w:val="00C83635"/>
    <w:rsid w:val="00C84828"/>
    <w:rsid w:val="00C86CA2"/>
    <w:rsid w:val="00C90C14"/>
    <w:rsid w:val="00C960FC"/>
    <w:rsid w:val="00CA6CE4"/>
    <w:rsid w:val="00CA7A0A"/>
    <w:rsid w:val="00CB3B82"/>
    <w:rsid w:val="00CB503E"/>
    <w:rsid w:val="00CB729F"/>
    <w:rsid w:val="00CC6A99"/>
    <w:rsid w:val="00CD56EF"/>
    <w:rsid w:val="00CE32E9"/>
    <w:rsid w:val="00CE5A3C"/>
    <w:rsid w:val="00CE76D0"/>
    <w:rsid w:val="00CF1BEB"/>
    <w:rsid w:val="00CF3321"/>
    <w:rsid w:val="00CF3BC4"/>
    <w:rsid w:val="00D00DEE"/>
    <w:rsid w:val="00D07AF1"/>
    <w:rsid w:val="00D07B0C"/>
    <w:rsid w:val="00D10801"/>
    <w:rsid w:val="00D12F66"/>
    <w:rsid w:val="00D22268"/>
    <w:rsid w:val="00D22AF3"/>
    <w:rsid w:val="00D258A2"/>
    <w:rsid w:val="00D279D2"/>
    <w:rsid w:val="00D310B6"/>
    <w:rsid w:val="00D36CFB"/>
    <w:rsid w:val="00D407DA"/>
    <w:rsid w:val="00D40949"/>
    <w:rsid w:val="00D47092"/>
    <w:rsid w:val="00D5155C"/>
    <w:rsid w:val="00D5645F"/>
    <w:rsid w:val="00D578E6"/>
    <w:rsid w:val="00D64390"/>
    <w:rsid w:val="00D8437A"/>
    <w:rsid w:val="00D85512"/>
    <w:rsid w:val="00D85C8A"/>
    <w:rsid w:val="00D90EA3"/>
    <w:rsid w:val="00D92655"/>
    <w:rsid w:val="00D9616C"/>
    <w:rsid w:val="00DA0FB9"/>
    <w:rsid w:val="00DA22C6"/>
    <w:rsid w:val="00DA24A1"/>
    <w:rsid w:val="00DA2B6E"/>
    <w:rsid w:val="00DB0E28"/>
    <w:rsid w:val="00DB198C"/>
    <w:rsid w:val="00DB315E"/>
    <w:rsid w:val="00DB4665"/>
    <w:rsid w:val="00DB6DA2"/>
    <w:rsid w:val="00DC1742"/>
    <w:rsid w:val="00DC5168"/>
    <w:rsid w:val="00DC7E7B"/>
    <w:rsid w:val="00DC7F5F"/>
    <w:rsid w:val="00DD1D00"/>
    <w:rsid w:val="00DD67F3"/>
    <w:rsid w:val="00DD76F0"/>
    <w:rsid w:val="00DE12DE"/>
    <w:rsid w:val="00DE3361"/>
    <w:rsid w:val="00DE448F"/>
    <w:rsid w:val="00DE560A"/>
    <w:rsid w:val="00DF0AB1"/>
    <w:rsid w:val="00DF1E4F"/>
    <w:rsid w:val="00DF6A41"/>
    <w:rsid w:val="00DF740E"/>
    <w:rsid w:val="00E02767"/>
    <w:rsid w:val="00E02B65"/>
    <w:rsid w:val="00E03289"/>
    <w:rsid w:val="00E05D97"/>
    <w:rsid w:val="00E077C7"/>
    <w:rsid w:val="00E077D1"/>
    <w:rsid w:val="00E07B13"/>
    <w:rsid w:val="00E141C5"/>
    <w:rsid w:val="00E1736F"/>
    <w:rsid w:val="00E22D30"/>
    <w:rsid w:val="00E23304"/>
    <w:rsid w:val="00E253FF"/>
    <w:rsid w:val="00E2613F"/>
    <w:rsid w:val="00E27997"/>
    <w:rsid w:val="00E30F51"/>
    <w:rsid w:val="00E325EB"/>
    <w:rsid w:val="00E3333D"/>
    <w:rsid w:val="00E40CD0"/>
    <w:rsid w:val="00E442E6"/>
    <w:rsid w:val="00E50548"/>
    <w:rsid w:val="00E54E0A"/>
    <w:rsid w:val="00E557FA"/>
    <w:rsid w:val="00E62687"/>
    <w:rsid w:val="00E65745"/>
    <w:rsid w:val="00E6605E"/>
    <w:rsid w:val="00E70E80"/>
    <w:rsid w:val="00E72921"/>
    <w:rsid w:val="00E75648"/>
    <w:rsid w:val="00E76377"/>
    <w:rsid w:val="00E8038B"/>
    <w:rsid w:val="00E84119"/>
    <w:rsid w:val="00E864A2"/>
    <w:rsid w:val="00E9705F"/>
    <w:rsid w:val="00EC2C80"/>
    <w:rsid w:val="00EC37BD"/>
    <w:rsid w:val="00EC40FB"/>
    <w:rsid w:val="00EC5B49"/>
    <w:rsid w:val="00EC7F13"/>
    <w:rsid w:val="00ED7608"/>
    <w:rsid w:val="00ED7BAE"/>
    <w:rsid w:val="00EE04F3"/>
    <w:rsid w:val="00EE0D1E"/>
    <w:rsid w:val="00EE6142"/>
    <w:rsid w:val="00EE75FB"/>
    <w:rsid w:val="00EF0085"/>
    <w:rsid w:val="00EF1311"/>
    <w:rsid w:val="00EF4BA8"/>
    <w:rsid w:val="00F02539"/>
    <w:rsid w:val="00F02D6D"/>
    <w:rsid w:val="00F10299"/>
    <w:rsid w:val="00F11279"/>
    <w:rsid w:val="00F114C6"/>
    <w:rsid w:val="00F22A8A"/>
    <w:rsid w:val="00F25042"/>
    <w:rsid w:val="00F250D0"/>
    <w:rsid w:val="00F333D2"/>
    <w:rsid w:val="00F33B00"/>
    <w:rsid w:val="00F33F19"/>
    <w:rsid w:val="00F36457"/>
    <w:rsid w:val="00F36BAD"/>
    <w:rsid w:val="00F375D8"/>
    <w:rsid w:val="00F37D58"/>
    <w:rsid w:val="00F40021"/>
    <w:rsid w:val="00F44171"/>
    <w:rsid w:val="00F44821"/>
    <w:rsid w:val="00F5347D"/>
    <w:rsid w:val="00F54D86"/>
    <w:rsid w:val="00F553E4"/>
    <w:rsid w:val="00F55AD4"/>
    <w:rsid w:val="00F55CB2"/>
    <w:rsid w:val="00F64B40"/>
    <w:rsid w:val="00F676AF"/>
    <w:rsid w:val="00F718D6"/>
    <w:rsid w:val="00F74819"/>
    <w:rsid w:val="00F81785"/>
    <w:rsid w:val="00F8362E"/>
    <w:rsid w:val="00F870AE"/>
    <w:rsid w:val="00F90C39"/>
    <w:rsid w:val="00F92286"/>
    <w:rsid w:val="00F95008"/>
    <w:rsid w:val="00FA16CB"/>
    <w:rsid w:val="00FA44D4"/>
    <w:rsid w:val="00FA4744"/>
    <w:rsid w:val="00FB03F3"/>
    <w:rsid w:val="00FB2561"/>
    <w:rsid w:val="00FB32CF"/>
    <w:rsid w:val="00FB51D7"/>
    <w:rsid w:val="00FB5F83"/>
    <w:rsid w:val="00FC3864"/>
    <w:rsid w:val="00FC57FE"/>
    <w:rsid w:val="00FC65A3"/>
    <w:rsid w:val="00FC79B5"/>
    <w:rsid w:val="00FD077A"/>
    <w:rsid w:val="00FD51AD"/>
    <w:rsid w:val="00FD5D96"/>
    <w:rsid w:val="00FE414B"/>
    <w:rsid w:val="00FE4C56"/>
    <w:rsid w:val="00FE5FB8"/>
    <w:rsid w:val="00FE6C91"/>
    <w:rsid w:val="00FF01DA"/>
    <w:rsid w:val="00FF04BD"/>
    <w:rsid w:val="00FF1831"/>
    <w:rsid w:val="088EFA59"/>
    <w:rsid w:val="25F1D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46B32"/>
  <w15:chartTrackingRefBased/>
  <w15:docId w15:val="{86C4BED7-CCCC-4B28-95FA-96BBEDFA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1671"/>
    <w:pPr>
      <w:tabs>
        <w:tab w:val="left" w:pos="567"/>
      </w:tabs>
      <w:spacing w:before="120" w:after="0" w:line="254" w:lineRule="auto"/>
    </w:pPr>
    <w:rPr>
      <w:rFonts w:ascii="Open Sans Light" w:hAnsi="Open Sans Light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8D1671"/>
    <w:pPr>
      <w:keepNext/>
      <w:widowControl w:val="0"/>
      <w:spacing w:after="120" w:line="240" w:lineRule="auto"/>
      <w:outlineLvl w:val="1"/>
    </w:pPr>
    <w:rPr>
      <w:rFonts w:ascii="Work Sans" w:eastAsiaTheme="majorEastAsia" w:hAnsi="Work Sans" w:cstheme="majorBidi"/>
      <w:b/>
      <w:color w:val="004563"/>
      <w:sz w:val="40"/>
      <w:szCs w:val="40"/>
    </w:rPr>
  </w:style>
  <w:style w:type="paragraph" w:styleId="Heading3">
    <w:name w:val="heading 3"/>
    <w:aliases w:val="CGC 2025 Heading 3"/>
    <w:basedOn w:val="Normal"/>
    <w:next w:val="Normal"/>
    <w:link w:val="Heading3Char"/>
    <w:uiPriority w:val="9"/>
    <w:unhideWhenUsed/>
    <w:qFormat/>
    <w:rsid w:val="008D16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CGC 2025 Heading 4"/>
    <w:basedOn w:val="Normal"/>
    <w:next w:val="Normal"/>
    <w:link w:val="Heading4Char"/>
    <w:uiPriority w:val="9"/>
    <w:unhideWhenUsed/>
    <w:qFormat/>
    <w:rsid w:val="008D16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1671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67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8D1671"/>
    <w:rPr>
      <w:rFonts w:ascii="Work Sans" w:eastAsiaTheme="majorEastAsia" w:hAnsi="Work Sans" w:cstheme="majorBidi"/>
      <w:b/>
      <w:color w:val="004563"/>
      <w:kern w:val="0"/>
      <w:sz w:val="40"/>
      <w:szCs w:val="40"/>
      <w14:ligatures w14:val="none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8D167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8D167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8D1671"/>
    <w:rPr>
      <w:rFonts w:ascii="Montserrat Semi Bold" w:eastAsiaTheme="majorEastAsia" w:hAnsi="Montserrat Semi Bold" w:cstheme="majorBidi"/>
      <w:i/>
      <w:iCs/>
      <w:color w:val="636466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1671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customStyle="1" w:styleId="FooterChar">
    <w:name w:val="Footer Char"/>
    <w:basedOn w:val="DefaultParagraphFont"/>
    <w:link w:val="Footer"/>
    <w:uiPriority w:val="99"/>
    <w:rsid w:val="008D1671"/>
    <w:rPr>
      <w:rFonts w:ascii="Montserrat Ultra Light" w:hAnsi="Montserrat Ultra Light"/>
      <w:b/>
      <w:color w:val="004563"/>
      <w:kern w:val="0"/>
      <w:sz w:val="20"/>
      <w14:ligatures w14:val="none"/>
    </w:rPr>
  </w:style>
  <w:style w:type="paragraph" w:customStyle="1" w:styleId="CGCParaNumber">
    <w:name w:val="CGC Para Number"/>
    <w:basedOn w:val="Normal"/>
    <w:qFormat/>
    <w:rsid w:val="008D1671"/>
    <w:pPr>
      <w:numPr>
        <w:numId w:val="1"/>
      </w:numPr>
      <w:tabs>
        <w:tab w:val="clear" w:pos="567"/>
      </w:tabs>
      <w:ind w:right="-121"/>
    </w:pPr>
    <w:rPr>
      <w:rFonts w:ascii="Work Sans" w:hAnsi="Work Sans"/>
      <w:szCs w:val="20"/>
    </w:rPr>
  </w:style>
  <w:style w:type="paragraph" w:customStyle="1" w:styleId="CGCBullet1">
    <w:name w:val="CGC Bullet 1"/>
    <w:basedOn w:val="Normal"/>
    <w:qFormat/>
    <w:rsid w:val="008D1671"/>
    <w:pPr>
      <w:numPr>
        <w:numId w:val="2"/>
      </w:numPr>
    </w:pPr>
    <w:rPr>
      <w:rFonts w:ascii="Work Sans" w:hAnsi="Work Sans"/>
    </w:rPr>
  </w:style>
  <w:style w:type="paragraph" w:styleId="Caption">
    <w:name w:val="caption"/>
    <w:basedOn w:val="Normal"/>
    <w:next w:val="Normal"/>
    <w:link w:val="CaptionChar"/>
    <w:qFormat/>
    <w:rsid w:val="008D1671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character" w:styleId="FootnoteReference">
    <w:name w:val="footnote reference"/>
    <w:qFormat/>
    <w:rsid w:val="008D1671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2125EE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character" w:customStyle="1" w:styleId="FootnoteTextChar">
    <w:name w:val="Footnote Text Char"/>
    <w:basedOn w:val="DefaultParagraphFont"/>
    <w:link w:val="FootnoteText"/>
    <w:rsid w:val="002125EE"/>
    <w:rPr>
      <w:rFonts w:ascii="Work Sans" w:hAnsi="Work Sans"/>
      <w:kern w:val="0"/>
      <w:sz w:val="14"/>
      <w:szCs w:val="16"/>
      <w14:ligatures w14:val="none"/>
    </w:rPr>
  </w:style>
  <w:style w:type="paragraph" w:styleId="Header">
    <w:name w:val="header"/>
    <w:basedOn w:val="Footer"/>
    <w:link w:val="HeaderChar"/>
    <w:uiPriority w:val="99"/>
    <w:unhideWhenUsed/>
    <w:rsid w:val="008D1671"/>
  </w:style>
  <w:style w:type="character" w:customStyle="1" w:styleId="HeaderChar">
    <w:name w:val="Header Char"/>
    <w:basedOn w:val="DefaultParagraphFont"/>
    <w:link w:val="Header"/>
    <w:uiPriority w:val="99"/>
    <w:rsid w:val="008D1671"/>
    <w:rPr>
      <w:rFonts w:ascii="Montserrat Ultra Light" w:hAnsi="Montserrat Ultra Light"/>
      <w:b/>
      <w:color w:val="004563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8D1671"/>
    <w:rPr>
      <w:color w:val="006991"/>
      <w:u w:val="single"/>
    </w:rPr>
  </w:style>
  <w:style w:type="table" w:styleId="TableGrid">
    <w:name w:val="Table Grid"/>
    <w:basedOn w:val="TableNormal"/>
    <w:uiPriority w:val="39"/>
    <w:rsid w:val="008D16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TOC1"/>
    <w:next w:val="Normal"/>
    <w:uiPriority w:val="39"/>
    <w:rsid w:val="008D1671"/>
    <w:pPr>
      <w:tabs>
        <w:tab w:val="right" w:pos="8942"/>
      </w:tabs>
      <w:spacing w:after="0"/>
      <w:ind w:left="113"/>
    </w:pPr>
    <w:rPr>
      <w:rFonts w:ascii="Work Sans" w:hAnsi="Work Sans"/>
      <w:bCs/>
      <w:color w:val="636466"/>
      <w:szCs w:val="20"/>
    </w:rPr>
  </w:style>
  <w:style w:type="paragraph" w:styleId="TOC3">
    <w:name w:val="toc 3"/>
    <w:basedOn w:val="TOC2"/>
    <w:next w:val="Normal"/>
    <w:uiPriority w:val="39"/>
    <w:rsid w:val="008D1671"/>
    <w:pPr>
      <w:ind w:left="397"/>
    </w:pPr>
    <w:rPr>
      <w:rFonts w:ascii="Open Sans Light" w:hAnsi="Open Sans Light"/>
      <w:iCs/>
    </w:r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8D1671"/>
    <w:pPr>
      <w:keepNext w:val="0"/>
      <w:tabs>
        <w:tab w:val="clear" w:pos="567"/>
      </w:tabs>
      <w:spacing w:before="480" w:after="200" w:line="320" w:lineRule="atLeast"/>
      <w:outlineLvl w:val="9"/>
    </w:pPr>
    <w:rPr>
      <w:rFonts w:ascii="Work Sans" w:eastAsia="Times New Roman" w:hAnsi="Work Sans" w:cs="Open Sans"/>
      <w:b/>
      <w:bCs/>
      <w:caps/>
      <w:sz w:val="28"/>
      <w:szCs w:val="40"/>
    </w:rPr>
  </w:style>
  <w:style w:type="character" w:customStyle="1" w:styleId="CaptionChar">
    <w:name w:val="Caption Char"/>
    <w:basedOn w:val="DefaultParagraphFont"/>
    <w:link w:val="Caption"/>
    <w:rsid w:val="008D1671"/>
    <w:rPr>
      <w:rFonts w:ascii="Montserrat Ultra Light" w:hAnsi="Montserrat Ultra Light"/>
      <w:b/>
      <w:bCs/>
      <w:kern w:val="0"/>
      <w:sz w:val="20"/>
      <w:szCs w:val="20"/>
      <w14:ligatures w14:val="none"/>
    </w:rPr>
  </w:style>
  <w:style w:type="paragraph" w:customStyle="1" w:styleId="CGC2025Bullet1">
    <w:name w:val="CGC 2025 Bullet 1"/>
    <w:basedOn w:val="Normal"/>
    <w:qFormat/>
    <w:rsid w:val="008D1671"/>
    <w:pPr>
      <w:ind w:left="927" w:hanging="360"/>
    </w:pPr>
    <w:rPr>
      <w:rFonts w:ascii="Work Sans" w:hAnsi="Work Sans"/>
      <w:szCs w:val="20"/>
    </w:rPr>
  </w:style>
  <w:style w:type="paragraph" w:customStyle="1" w:styleId="CGC2025Tablenote">
    <w:name w:val="CGC 2025 Table note"/>
    <w:basedOn w:val="Normal"/>
    <w:next w:val="Normal"/>
    <w:qFormat/>
    <w:rsid w:val="008D1671"/>
    <w:pPr>
      <w:tabs>
        <w:tab w:val="clear" w:pos="567"/>
        <w:tab w:val="left" w:pos="680"/>
        <w:tab w:val="left" w:pos="851"/>
      </w:tabs>
      <w:spacing w:before="40" w:line="240" w:lineRule="auto"/>
      <w:ind w:left="340" w:hanging="227"/>
    </w:pPr>
    <w:rPr>
      <w:rFonts w:ascii="Work Sans" w:hAnsi="Work Sans"/>
      <w:sz w:val="14"/>
      <w:szCs w:val="24"/>
    </w:rPr>
  </w:style>
  <w:style w:type="paragraph" w:customStyle="1" w:styleId="CGCNumberedPara">
    <w:name w:val="CGC Numbered Para"/>
    <w:aliases w:val="CGC Para No"/>
    <w:basedOn w:val="Normal"/>
    <w:rsid w:val="008D1671"/>
    <w:pPr>
      <w:numPr>
        <w:ilvl w:val="1"/>
        <w:numId w:val="3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paragraph" w:customStyle="1" w:styleId="CGC2025QuestionNumbers">
    <w:name w:val="CGC 2025 Question Numbers"/>
    <w:basedOn w:val="Normal"/>
    <w:qFormat/>
    <w:rsid w:val="008D1671"/>
    <w:pPr>
      <w:numPr>
        <w:numId w:val="4"/>
      </w:numPr>
      <w:spacing w:after="120"/>
    </w:pPr>
    <w:rPr>
      <w:rFonts w:ascii="Work Sans" w:hAnsi="Work Sans" w:cs="Open Sans Light"/>
      <w:szCs w:val="20"/>
    </w:rPr>
  </w:style>
  <w:style w:type="paragraph" w:customStyle="1" w:styleId="CGC2025ParaNumbers">
    <w:name w:val="CGC 2025 Para Numbers"/>
    <w:basedOn w:val="CGCNumberedPara"/>
    <w:rsid w:val="008D1671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Questionsnumbers2">
    <w:name w:val="CGC 2025 Questions numbers 2"/>
    <w:basedOn w:val="Normal"/>
    <w:next w:val="CGC2025ParaNumbers"/>
    <w:qFormat/>
    <w:rsid w:val="008D1671"/>
    <w:pPr>
      <w:numPr>
        <w:numId w:val="5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BodyPara">
    <w:name w:val="CGC Body Para"/>
    <w:basedOn w:val="CGCParaNumber"/>
    <w:qFormat/>
    <w:rsid w:val="008D1671"/>
    <w:pPr>
      <w:numPr>
        <w:numId w:val="3"/>
      </w:numPr>
      <w:ind w:left="567" w:hanging="425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8D1671"/>
    <w:pPr>
      <w:tabs>
        <w:tab w:val="clear" w:pos="567"/>
      </w:tabs>
      <w:spacing w:after="100"/>
    </w:pPr>
  </w:style>
  <w:style w:type="paragraph" w:customStyle="1" w:styleId="CGCTablenote">
    <w:name w:val="CGC Table note"/>
    <w:basedOn w:val="Normal"/>
    <w:next w:val="Normal"/>
    <w:qFormat/>
    <w:rsid w:val="008D1671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paragraph" w:styleId="Revision">
    <w:name w:val="Revision"/>
    <w:hidden/>
    <w:uiPriority w:val="99"/>
    <w:semiHidden/>
    <w:rsid w:val="00DA0FB9"/>
    <w:pPr>
      <w:spacing w:after="0" w:line="240" w:lineRule="auto"/>
    </w:pPr>
    <w:rPr>
      <w:rFonts w:ascii="Open Sans Light" w:hAnsi="Open Sans Light"/>
      <w:kern w:val="0"/>
      <w:sz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0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F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FB9"/>
    <w:rPr>
      <w:rFonts w:ascii="Open Sans Light" w:hAnsi="Open Sans Light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FB9"/>
    <w:rPr>
      <w:rFonts w:ascii="Open Sans Light" w:hAnsi="Open Sans Light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1D1DB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F2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cgc.gov.au/reports-for-government/2020-re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6150a-2887-4330-9d33-41179dba62e9" xsi:nil="true"/>
    <lcf76f155ced4ddcb4097134ff3c332f xmlns="b947e97b-0e0d-4a37-b7a7-c36958e104ca">
      <Terms xmlns="http://schemas.microsoft.com/office/infopath/2007/PartnerControls"/>
    </lcf76f155ced4ddcb4097134ff3c332f>
    <SharedWithUsers xmlns="cde6150a-2887-4330-9d33-41179dba62e9">
      <UserInfo>
        <DisplayName>Rose Verspaandonk</DisplayName>
        <AccountId>62</AccountId>
        <AccountType/>
      </UserInfo>
      <UserInfo>
        <DisplayName>Therese Maher</DisplayName>
        <AccountId>126</AccountId>
        <AccountType/>
      </UserInfo>
      <UserInfo>
        <DisplayName>Jeffrey Evans</DisplayName>
        <AccountId>15</AccountId>
        <AccountType/>
      </UserInfo>
      <UserInfo>
        <DisplayName>Dermot Doherty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229631F80714C9595CC742C6B48E8" ma:contentTypeVersion="16" ma:contentTypeDescription="Create a new document." ma:contentTypeScope="" ma:versionID="587377675d66a617c05529d80887533c">
  <xsd:schema xmlns:xsd="http://www.w3.org/2001/XMLSchema" xmlns:xs="http://www.w3.org/2001/XMLSchema" xmlns:p="http://schemas.microsoft.com/office/2006/metadata/properties" xmlns:ns2="b947e97b-0e0d-4a37-b7a7-c36958e104ca" xmlns:ns3="cde6150a-2887-4330-9d33-41179dba62e9" targetNamespace="http://schemas.microsoft.com/office/2006/metadata/properties" ma:root="true" ma:fieldsID="6ef3d4c26885e350e4ca4a1c7d57392c" ns2:_="" ns3:_="">
    <xsd:import namespace="b947e97b-0e0d-4a37-b7a7-c36958e104ca"/>
    <xsd:import namespace="cde6150a-2887-4330-9d33-41179dba6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e97b-0e0d-4a37-b7a7-c36958e10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a0b90d-15e3-4b68-b4ed-e1e0d46dd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6150a-2887-4330-9d33-41179dba6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a1c902-3ee1-4304-9c6c-5526e8376569}" ma:internalName="TaxCatchAll" ma:showField="CatchAllData" ma:web="cde6150a-2887-4330-9d33-41179dba6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FA15E-2D48-4C74-B29F-250C0DF74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A40B92-8154-470B-BE7E-D19253456D25}">
  <ds:schemaRefs>
    <ds:schemaRef ds:uri="http://schemas.microsoft.com/office/2006/metadata/properties"/>
    <ds:schemaRef ds:uri="cde6150a-2887-4330-9d33-41179dba62e9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b947e97b-0e0d-4a37-b7a7-c36958e104ca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31F0EB-9103-45E8-BD8C-5CFF3E5C3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7e97b-0e0d-4a37-b7a7-c36958e104ca"/>
    <ds:schemaRef ds:uri="cde6150a-2887-4330-9d33-41179dba6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FD77B-C38A-4006-B5BB-2EDBD5AA1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10</Pages>
  <Words>2733</Words>
  <Characters>14952</Characters>
  <Application>Microsoft Office Word</Application>
  <DocSecurity>0</DocSecurity>
  <Lines>553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 Doherty</dc:creator>
  <cp:keywords/>
  <dc:description/>
  <cp:lastModifiedBy>Katrina Baldock</cp:lastModifiedBy>
  <cp:revision>163</cp:revision>
  <cp:lastPrinted>2023-10-18T22:05:00Z</cp:lastPrinted>
  <dcterms:created xsi:type="dcterms:W3CDTF">2023-09-16T18:52:00Z</dcterms:created>
  <dcterms:modified xsi:type="dcterms:W3CDTF">2023-10-18T22:29:00Z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0x010100E60229631F80714C9595CC742C6B48E8</vt:lpwstr>
  </property>
  <property fmtid="{D5CDD505-2E9C-101B-9397-08002B2CF9AE}" pid="3" name="MediaServiceImageTags">
    <vt:lpwstr/>
  </property>
  <property fmtid="{D5CDD505-2E9C-101B-9397-08002B2CF9AE}" pid="4" name="Order">
    <vt:r8>86318300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