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95F4F" w14:textId="53AE304B" w:rsidR="004C78B6" w:rsidRPr="00F2062E" w:rsidRDefault="006E6000" w:rsidP="00880190">
      <w:pPr>
        <w:jc w:val="right"/>
        <w:rPr>
          <w:rFonts w:ascii="Work Sans" w:hAnsi="Work Sans"/>
        </w:rPr>
      </w:pPr>
      <w:r w:rsidRPr="00D33E7E">
        <w:rPr>
          <w:rFonts w:ascii="Work Sans" w:hAnsi="Work Sans"/>
          <w:noProof/>
        </w:rPr>
        <w:drawing>
          <wp:anchor distT="0" distB="0" distL="114300" distR="114300" simplePos="0" relativeHeight="251658250" behindDoc="1" locked="0" layoutInCell="1" allowOverlap="1" wp14:anchorId="678D11AC" wp14:editId="2C33BCD7">
            <wp:simplePos x="0" y="0"/>
            <wp:positionH relativeFrom="page">
              <wp:align>left</wp:align>
            </wp:positionH>
            <wp:positionV relativeFrom="paragraph">
              <wp:posOffset>-1168349</wp:posOffset>
            </wp:positionV>
            <wp:extent cx="7725410" cy="10950854"/>
            <wp:effectExtent l="0" t="0" r="889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6406" cy="10952266"/>
                    </a:xfrm>
                    <a:prstGeom prst="rect">
                      <a:avLst/>
                    </a:prstGeom>
                  </pic:spPr>
                </pic:pic>
              </a:graphicData>
            </a:graphic>
            <wp14:sizeRelH relativeFrom="margin">
              <wp14:pctWidth>0</wp14:pctWidth>
            </wp14:sizeRelH>
            <wp14:sizeRelV relativeFrom="margin">
              <wp14:pctHeight>0</wp14:pctHeight>
            </wp14:sizeRelV>
          </wp:anchor>
        </w:drawing>
      </w:r>
      <w:r w:rsidR="004C78B6" w:rsidRPr="00F2062E">
        <w:rPr>
          <w:rFonts w:ascii="Work Sans" w:hAnsi="Work Sans"/>
          <w:noProof/>
        </w:rPr>
        <w:drawing>
          <wp:inline distT="0" distB="0" distL="0" distR="0" wp14:anchorId="57AC29C1" wp14:editId="4041B32C">
            <wp:extent cx="2441749" cy="460926"/>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597" cy="496952"/>
                    </a:xfrm>
                    <a:prstGeom prst="rect">
                      <a:avLst/>
                    </a:prstGeom>
                  </pic:spPr>
                </pic:pic>
              </a:graphicData>
            </a:graphic>
          </wp:inline>
        </w:drawing>
      </w:r>
    </w:p>
    <w:p w14:paraId="2B5A37A9" w14:textId="77777777" w:rsidR="004C78B6" w:rsidRPr="00F2062E" w:rsidRDefault="004C78B6" w:rsidP="00D838D7">
      <w:pPr>
        <w:jc w:val="center"/>
        <w:rPr>
          <w:rFonts w:ascii="Work Sans" w:hAnsi="Work Sans"/>
        </w:rPr>
      </w:pPr>
    </w:p>
    <w:p w14:paraId="3F161FB1" w14:textId="77777777" w:rsidR="004C78B6" w:rsidRPr="00F2062E" w:rsidRDefault="004C78B6" w:rsidP="00D838D7">
      <w:pPr>
        <w:jc w:val="center"/>
        <w:rPr>
          <w:rFonts w:ascii="Work Sans" w:hAnsi="Work Sans"/>
        </w:rPr>
      </w:pPr>
    </w:p>
    <w:p w14:paraId="4ECAA636" w14:textId="77777777" w:rsidR="00D838D7" w:rsidRPr="00F2062E" w:rsidRDefault="00D838D7" w:rsidP="00D838D7">
      <w:pPr>
        <w:jc w:val="center"/>
        <w:rPr>
          <w:rFonts w:ascii="Work Sans" w:hAnsi="Work Sans"/>
        </w:rPr>
      </w:pPr>
    </w:p>
    <w:p w14:paraId="4F574872" w14:textId="5AFC5792" w:rsidR="00AD53D2" w:rsidRPr="00F2062E" w:rsidRDefault="00AD53D2" w:rsidP="00D838D7">
      <w:pPr>
        <w:rPr>
          <w:rFonts w:ascii="Work Sans" w:hAnsi="Work Sans"/>
        </w:rPr>
      </w:pPr>
    </w:p>
    <w:p w14:paraId="62832DA8" w14:textId="116AFCF3" w:rsidR="00AD53D2" w:rsidRPr="00F2062E" w:rsidRDefault="00AD53D2" w:rsidP="00D838D7">
      <w:pPr>
        <w:rPr>
          <w:rFonts w:ascii="Work Sans" w:hAnsi="Work Sans"/>
        </w:rPr>
      </w:pPr>
    </w:p>
    <w:p w14:paraId="5D7B639D" w14:textId="2D45CD4A" w:rsidR="00AD53D2" w:rsidRPr="00F2062E" w:rsidRDefault="00AD53D2" w:rsidP="00D838D7">
      <w:pPr>
        <w:rPr>
          <w:rFonts w:ascii="Work Sans" w:hAnsi="Work Sans"/>
        </w:rPr>
      </w:pPr>
    </w:p>
    <w:p w14:paraId="61A97937" w14:textId="5076A6E8" w:rsidR="00AD53D2" w:rsidRPr="00F2062E" w:rsidRDefault="007A2993" w:rsidP="00D838D7">
      <w:pPr>
        <w:rPr>
          <w:rFonts w:ascii="Work Sans" w:hAnsi="Work Sans"/>
        </w:rPr>
      </w:pPr>
      <w:r w:rsidRPr="00F2062E">
        <w:rPr>
          <w:rFonts w:ascii="Work Sans" w:hAnsi="Work Sans"/>
          <w:noProof/>
        </w:rPr>
        <mc:AlternateContent>
          <mc:Choice Requires="wps">
            <w:drawing>
              <wp:anchor distT="0" distB="0" distL="114300" distR="114300" simplePos="0" relativeHeight="251658243" behindDoc="0" locked="0" layoutInCell="1" allowOverlap="1" wp14:anchorId="32F370FD" wp14:editId="33838257">
                <wp:simplePos x="0" y="0"/>
                <wp:positionH relativeFrom="margin">
                  <wp:align>right</wp:align>
                </wp:positionH>
                <wp:positionV relativeFrom="paragraph">
                  <wp:posOffset>185610</wp:posOffset>
                </wp:positionV>
                <wp:extent cx="5752465" cy="2087936"/>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5752465" cy="2087936"/>
                        </a:xfrm>
                        <a:prstGeom prst="rect">
                          <a:avLst/>
                        </a:prstGeom>
                        <a:noFill/>
                        <a:ln w="6350">
                          <a:noFill/>
                        </a:ln>
                      </wps:spPr>
                      <wps:txbx>
                        <w:txbxContent>
                          <w:p w14:paraId="170CDAB2" w14:textId="6972ECFD" w:rsidR="00AD53D2" w:rsidRPr="00B417A0" w:rsidRDefault="005F274E" w:rsidP="00AD53D2">
                            <w:pPr>
                              <w:rPr>
                                <w:rFonts w:ascii="Work Sans" w:hAnsi="Work Sans" w:cs="Open Sans"/>
                                <w:b/>
                                <w:bCs/>
                                <w:color w:val="FFFFFF"/>
                                <w:sz w:val="84"/>
                                <w:szCs w:val="84"/>
                              </w:rPr>
                            </w:pPr>
                            <w:r w:rsidRPr="005F274E">
                              <w:rPr>
                                <w:rFonts w:ascii="Work Sans" w:hAnsi="Work Sans" w:cs="Open Sans"/>
                                <w:b/>
                                <w:bCs/>
                                <w:color w:val="FFFFFF"/>
                                <w:sz w:val="84"/>
                                <w:szCs w:val="84"/>
                              </w:rPr>
                              <w:t>GST distribution and state investment need</w:t>
                            </w:r>
                            <w:r w:rsidR="000C609B">
                              <w:rPr>
                                <w:rFonts w:ascii="Work Sans" w:hAnsi="Work Sans" w:cs="Open Sans"/>
                                <w:b/>
                                <w:bCs/>
                                <w:color w:val="FFFFFF"/>
                                <w:sz w:val="84"/>
                                <w:szCs w:val="8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370FD" id="_x0000_t202" coordsize="21600,21600" o:spt="202" path="m,l,21600r21600,l21600,xe">
                <v:stroke joinstyle="miter"/>
                <v:path gradientshapeok="t" o:connecttype="rect"/>
              </v:shapetype>
              <v:shape id="Text Box 13" o:spid="_x0000_s1026" type="#_x0000_t202" style="position:absolute;margin-left:401.75pt;margin-top:14.6pt;width:452.95pt;height:164.4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KGQ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" filled="f" stroked="f" strokeweight=".5pt">
                <v:textbox>
                  <w:txbxContent>
                    <w:p w14:paraId="170CDAB2" w14:textId="6972ECFD" w:rsidR="00AD53D2" w:rsidRPr="00B417A0" w:rsidRDefault="005F274E" w:rsidP="00AD53D2">
                      <w:pPr>
                        <w:rPr>
                          <w:rFonts w:ascii="Work Sans" w:hAnsi="Work Sans" w:cs="Open Sans"/>
                          <w:b/>
                          <w:bCs/>
                          <w:color w:val="FFFFFF"/>
                          <w:sz w:val="84"/>
                          <w:szCs w:val="84"/>
                        </w:rPr>
                      </w:pPr>
                      <w:r w:rsidRPr="005F274E">
                        <w:rPr>
                          <w:rFonts w:ascii="Work Sans" w:hAnsi="Work Sans" w:cs="Open Sans"/>
                          <w:b/>
                          <w:bCs/>
                          <w:color w:val="FFFFFF"/>
                          <w:sz w:val="84"/>
                          <w:szCs w:val="84"/>
                        </w:rPr>
                        <w:t>GST distribution and state investment need</w:t>
                      </w:r>
                      <w:r w:rsidR="000C609B">
                        <w:rPr>
                          <w:rFonts w:ascii="Work Sans" w:hAnsi="Work Sans" w:cs="Open Sans"/>
                          <w:b/>
                          <w:bCs/>
                          <w:color w:val="FFFFFF"/>
                          <w:sz w:val="84"/>
                          <w:szCs w:val="84"/>
                        </w:rPr>
                        <w:t>s</w:t>
                      </w:r>
                    </w:p>
                  </w:txbxContent>
                </v:textbox>
                <w10:wrap anchorx="margin"/>
              </v:shape>
            </w:pict>
          </mc:Fallback>
        </mc:AlternateContent>
      </w:r>
    </w:p>
    <w:p w14:paraId="3D9C247F" w14:textId="72BF17C7" w:rsidR="00AD53D2" w:rsidRPr="00F2062E" w:rsidRDefault="00AD53D2" w:rsidP="00D838D7">
      <w:pPr>
        <w:rPr>
          <w:rFonts w:ascii="Work Sans" w:hAnsi="Work Sans"/>
        </w:rPr>
      </w:pPr>
    </w:p>
    <w:p w14:paraId="2A30FD18" w14:textId="54757ED9" w:rsidR="00AD53D2" w:rsidRPr="00F2062E" w:rsidRDefault="00AD53D2" w:rsidP="00D838D7">
      <w:pPr>
        <w:rPr>
          <w:rFonts w:ascii="Work Sans" w:hAnsi="Work Sans"/>
        </w:rPr>
      </w:pPr>
    </w:p>
    <w:p w14:paraId="346A5D35" w14:textId="2E5C8FC4" w:rsidR="00AD53D2" w:rsidRPr="00F2062E" w:rsidRDefault="00AD53D2" w:rsidP="00D838D7">
      <w:pPr>
        <w:rPr>
          <w:rFonts w:ascii="Work Sans" w:hAnsi="Work Sans"/>
        </w:rPr>
      </w:pPr>
    </w:p>
    <w:p w14:paraId="6F868BC6" w14:textId="088E2802" w:rsidR="00AD53D2" w:rsidRPr="00F2062E" w:rsidRDefault="00AD53D2" w:rsidP="00D838D7">
      <w:pPr>
        <w:rPr>
          <w:rFonts w:ascii="Work Sans" w:hAnsi="Work Sans"/>
        </w:rPr>
      </w:pPr>
    </w:p>
    <w:p w14:paraId="17AD1CC0" w14:textId="2E421A19" w:rsidR="00AD53D2" w:rsidRPr="00F2062E" w:rsidRDefault="00AD53D2" w:rsidP="00D838D7">
      <w:pPr>
        <w:rPr>
          <w:rFonts w:ascii="Work Sans" w:hAnsi="Work Sans"/>
        </w:rPr>
      </w:pPr>
    </w:p>
    <w:p w14:paraId="6734A1ED" w14:textId="77777777" w:rsidR="00AD53D2" w:rsidRPr="00F2062E" w:rsidRDefault="00AD53D2" w:rsidP="00D838D7">
      <w:pPr>
        <w:rPr>
          <w:rFonts w:ascii="Work Sans" w:hAnsi="Work Sans"/>
        </w:rPr>
      </w:pPr>
    </w:p>
    <w:p w14:paraId="6934F96E" w14:textId="77777777" w:rsidR="00AD53D2" w:rsidRPr="00F2062E" w:rsidRDefault="00AD53D2" w:rsidP="00D838D7">
      <w:pPr>
        <w:rPr>
          <w:rFonts w:ascii="Work Sans" w:hAnsi="Work Sans"/>
        </w:rPr>
      </w:pPr>
    </w:p>
    <w:p w14:paraId="3051E63A" w14:textId="77777777" w:rsidR="00AD53D2" w:rsidRPr="00F2062E" w:rsidRDefault="00AD53D2" w:rsidP="00D838D7">
      <w:pPr>
        <w:rPr>
          <w:rFonts w:ascii="Work Sans" w:hAnsi="Work Sans"/>
        </w:rPr>
      </w:pPr>
    </w:p>
    <w:p w14:paraId="50F9FCCF" w14:textId="77777777" w:rsidR="00AD53D2" w:rsidRPr="00F2062E" w:rsidRDefault="00AD53D2" w:rsidP="00D838D7">
      <w:pPr>
        <w:rPr>
          <w:rFonts w:ascii="Work Sans" w:hAnsi="Work Sans"/>
        </w:rPr>
      </w:pPr>
    </w:p>
    <w:p w14:paraId="216484D1" w14:textId="77777777" w:rsidR="00AD53D2" w:rsidRPr="00F2062E" w:rsidRDefault="00600974" w:rsidP="00D838D7">
      <w:pPr>
        <w:rPr>
          <w:rFonts w:ascii="Work Sans" w:hAnsi="Work Sans"/>
        </w:rPr>
      </w:pPr>
      <w:r w:rsidRPr="00F2062E">
        <w:rPr>
          <w:rFonts w:ascii="Work Sans" w:hAnsi="Work Sans"/>
          <w:noProof/>
        </w:rPr>
        <mc:AlternateContent>
          <mc:Choice Requires="wps">
            <w:drawing>
              <wp:anchor distT="0" distB="0" distL="114300" distR="114300" simplePos="0" relativeHeight="251658244" behindDoc="0" locked="0" layoutInCell="1" allowOverlap="1" wp14:anchorId="4D96957F" wp14:editId="572C17E6">
                <wp:simplePos x="0" y="0"/>
                <wp:positionH relativeFrom="margin">
                  <wp:posOffset>48089</wp:posOffset>
                </wp:positionH>
                <wp:positionV relativeFrom="paragraph">
                  <wp:posOffset>83621</wp:posOffset>
                </wp:positionV>
                <wp:extent cx="3132162" cy="6629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3132162" cy="662940"/>
                        </a:xfrm>
                        <a:prstGeom prst="rect">
                          <a:avLst/>
                        </a:prstGeom>
                        <a:noFill/>
                        <a:ln w="6350">
                          <a:noFill/>
                        </a:ln>
                      </wps:spPr>
                      <wps:txbx>
                        <w:txbxContent>
                          <w:p w14:paraId="111B8D8A" w14:textId="7FDB6224" w:rsidR="00AD53D2" w:rsidRPr="00B417A0" w:rsidRDefault="00AF1BBB" w:rsidP="00AD53D2">
                            <w:pPr>
                              <w:rPr>
                                <w:rFonts w:ascii="Work Sans" w:hAnsi="Work Sans" w:cs="Open Sans"/>
                                <w:color w:val="FFFFFF"/>
                                <w:sz w:val="48"/>
                                <w:szCs w:val="48"/>
                              </w:rPr>
                            </w:pPr>
                            <w:r>
                              <w:rPr>
                                <w:rFonts w:ascii="Work Sans" w:hAnsi="Work Sans" w:cs="Open Sans"/>
                                <w:color w:val="FFFFFF"/>
                                <w:sz w:val="48"/>
                                <w:szCs w:val="48"/>
                              </w:rPr>
                              <w:t xml:space="preserve">Research paper </w:t>
                            </w:r>
                            <w:r w:rsidR="00C11010">
                              <w:rPr>
                                <w:rFonts w:ascii="Work Sans" w:hAnsi="Work Sans" w:cs="Open Sans"/>
                                <w:color w:val="FFFFFF"/>
                                <w:sz w:val="48"/>
                                <w:szCs w:val="4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6957F" id="Text Box 14" o:spid="_x0000_s1027" type="#_x0000_t202" style="position:absolute;margin-left:3.8pt;margin-top:6.6pt;width:246.65pt;height:52.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" filled="f" stroked="f" strokeweight=".5pt">
                <v:textbox>
                  <w:txbxContent>
                    <w:p w14:paraId="111B8D8A" w14:textId="7FDB6224" w:rsidR="00AD53D2" w:rsidRPr="00B417A0" w:rsidRDefault="00AF1BBB" w:rsidP="00AD53D2">
                      <w:pPr>
                        <w:rPr>
                          <w:rFonts w:ascii="Work Sans" w:hAnsi="Work Sans" w:cs="Open Sans"/>
                          <w:color w:val="FFFFFF"/>
                          <w:sz w:val="48"/>
                          <w:szCs w:val="48"/>
                        </w:rPr>
                      </w:pPr>
                      <w:r>
                        <w:rPr>
                          <w:rFonts w:ascii="Work Sans" w:hAnsi="Work Sans" w:cs="Open Sans"/>
                          <w:color w:val="FFFFFF"/>
                          <w:sz w:val="48"/>
                          <w:szCs w:val="48"/>
                        </w:rPr>
                        <w:t xml:space="preserve">Research paper </w:t>
                      </w:r>
                      <w:r w:rsidR="00C11010">
                        <w:rPr>
                          <w:rFonts w:ascii="Work Sans" w:hAnsi="Work Sans" w:cs="Open Sans"/>
                          <w:color w:val="FFFFFF"/>
                          <w:sz w:val="48"/>
                          <w:szCs w:val="48"/>
                        </w:rPr>
                        <w:t>6</w:t>
                      </w:r>
                    </w:p>
                  </w:txbxContent>
                </v:textbox>
                <w10:wrap anchorx="margin"/>
              </v:shape>
            </w:pict>
          </mc:Fallback>
        </mc:AlternateContent>
      </w:r>
    </w:p>
    <w:p w14:paraId="284803D1" w14:textId="77777777" w:rsidR="00AD53D2" w:rsidRPr="00F2062E" w:rsidRDefault="00AD53D2" w:rsidP="00D838D7">
      <w:pPr>
        <w:rPr>
          <w:rFonts w:ascii="Work Sans" w:hAnsi="Work Sans"/>
        </w:rPr>
      </w:pPr>
    </w:p>
    <w:p w14:paraId="6DC7441C" w14:textId="77777777" w:rsidR="00AD53D2" w:rsidRPr="00F2062E" w:rsidRDefault="00AD53D2" w:rsidP="00D838D7">
      <w:pPr>
        <w:rPr>
          <w:rFonts w:ascii="Work Sans" w:hAnsi="Work Sans"/>
        </w:rPr>
      </w:pPr>
    </w:p>
    <w:p w14:paraId="108CE88D" w14:textId="77777777" w:rsidR="00AD53D2" w:rsidRPr="00F2062E" w:rsidRDefault="00AD53D2" w:rsidP="00D838D7">
      <w:pPr>
        <w:rPr>
          <w:rFonts w:ascii="Work Sans" w:hAnsi="Work Sans"/>
        </w:rPr>
      </w:pPr>
    </w:p>
    <w:p w14:paraId="08C21ECD" w14:textId="77777777" w:rsidR="00AD53D2" w:rsidRPr="00F2062E" w:rsidRDefault="00AD53D2" w:rsidP="00D838D7">
      <w:pPr>
        <w:rPr>
          <w:rFonts w:ascii="Work Sans" w:hAnsi="Work Sans"/>
        </w:rPr>
      </w:pPr>
    </w:p>
    <w:p w14:paraId="1A244D15" w14:textId="77777777" w:rsidR="00AD53D2" w:rsidRPr="00F2062E" w:rsidRDefault="00AD53D2" w:rsidP="00D838D7">
      <w:pPr>
        <w:rPr>
          <w:rFonts w:ascii="Work Sans" w:hAnsi="Work Sans"/>
        </w:rPr>
      </w:pPr>
    </w:p>
    <w:p w14:paraId="7DADD15A" w14:textId="77777777" w:rsidR="00AD53D2" w:rsidRPr="00F2062E" w:rsidRDefault="00600974" w:rsidP="00D838D7">
      <w:pPr>
        <w:rPr>
          <w:rFonts w:ascii="Work Sans" w:hAnsi="Work Sans"/>
        </w:rPr>
      </w:pPr>
      <w:r w:rsidRPr="00F2062E">
        <w:rPr>
          <w:rFonts w:ascii="Work Sans" w:hAnsi="Work Sans"/>
          <w:noProof/>
        </w:rPr>
        <mc:AlternateContent>
          <mc:Choice Requires="wps">
            <w:drawing>
              <wp:anchor distT="0" distB="0" distL="114300" distR="114300" simplePos="0" relativeHeight="251658245" behindDoc="0" locked="0" layoutInCell="1" allowOverlap="1" wp14:anchorId="75AAC87F" wp14:editId="3CDBD885">
                <wp:simplePos x="0" y="0"/>
                <wp:positionH relativeFrom="margin">
                  <wp:posOffset>8110</wp:posOffset>
                </wp:positionH>
                <wp:positionV relativeFrom="paragraph">
                  <wp:posOffset>71755</wp:posOffset>
                </wp:positionV>
                <wp:extent cx="1622079" cy="436728"/>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1622079" cy="436728"/>
                        </a:xfrm>
                        <a:prstGeom prst="rect">
                          <a:avLst/>
                        </a:prstGeom>
                        <a:noFill/>
                        <a:ln w="6350">
                          <a:noFill/>
                        </a:ln>
                      </wps:spPr>
                      <wps:txbx>
                        <w:txbxContent>
                          <w:p w14:paraId="65FA4699" w14:textId="6002F6A0" w:rsidR="00AD53D2" w:rsidRPr="00600974" w:rsidRDefault="008454F8" w:rsidP="00AD53D2">
                            <w:pPr>
                              <w:rPr>
                                <w:rFonts w:ascii="Work Sans" w:hAnsi="Work Sans" w:cs="Open Sans"/>
                                <w:color w:val="FFFFFF"/>
                                <w:sz w:val="28"/>
                                <w:szCs w:val="28"/>
                              </w:rPr>
                            </w:pPr>
                            <w:r>
                              <w:rPr>
                                <w:rFonts w:ascii="Work Sans" w:hAnsi="Work Sans" w:cs="Open Sans"/>
                                <w:color w:val="FFFFFF"/>
                                <w:sz w:val="28"/>
                                <w:szCs w:val="28"/>
                              </w:rPr>
                              <w:t xml:space="preserve">January </w:t>
                            </w:r>
                            <w:r w:rsidR="00AF1BBB">
                              <w:rPr>
                                <w:rFonts w:ascii="Work Sans" w:hAnsi="Work Sans" w:cs="Open Sans"/>
                                <w:color w:val="FFFFFF"/>
                                <w:sz w:val="28"/>
                                <w:szCs w:val="28"/>
                              </w:rPr>
                              <w:t>202</w:t>
                            </w:r>
                            <w:r>
                              <w:rPr>
                                <w:rFonts w:ascii="Work Sans" w:hAnsi="Work Sans" w:cs="Open Sans"/>
                                <w:color w:val="FFFFFF"/>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C87F" id="Text Box 15" o:spid="_x0000_s1028" type="#_x0000_t202" style="position:absolute;margin-left:.65pt;margin-top:5.65pt;width:127.7pt;height:34.4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" filled="f" stroked="f" strokeweight=".5pt">
                <v:textbox>
                  <w:txbxContent>
                    <w:p w14:paraId="65FA4699" w14:textId="6002F6A0" w:rsidR="00AD53D2" w:rsidRPr="00600974" w:rsidRDefault="008454F8" w:rsidP="00AD53D2">
                      <w:pPr>
                        <w:rPr>
                          <w:rFonts w:ascii="Work Sans" w:hAnsi="Work Sans" w:cs="Open Sans"/>
                          <w:color w:val="FFFFFF"/>
                          <w:sz w:val="28"/>
                          <w:szCs w:val="28"/>
                        </w:rPr>
                      </w:pPr>
                      <w:r>
                        <w:rPr>
                          <w:rFonts w:ascii="Work Sans" w:hAnsi="Work Sans" w:cs="Open Sans"/>
                          <w:color w:val="FFFFFF"/>
                          <w:sz w:val="28"/>
                          <w:szCs w:val="28"/>
                        </w:rPr>
                        <w:t xml:space="preserve">January </w:t>
                      </w:r>
                      <w:r w:rsidR="00AF1BBB">
                        <w:rPr>
                          <w:rFonts w:ascii="Work Sans" w:hAnsi="Work Sans" w:cs="Open Sans"/>
                          <w:color w:val="FFFFFF"/>
                          <w:sz w:val="28"/>
                          <w:szCs w:val="28"/>
                        </w:rPr>
                        <w:t>202</w:t>
                      </w:r>
                      <w:r>
                        <w:rPr>
                          <w:rFonts w:ascii="Work Sans" w:hAnsi="Work Sans" w:cs="Open Sans"/>
                          <w:color w:val="FFFFFF"/>
                          <w:sz w:val="28"/>
                          <w:szCs w:val="28"/>
                        </w:rPr>
                        <w:t>3</w:t>
                      </w:r>
                    </w:p>
                  </w:txbxContent>
                </v:textbox>
                <w10:wrap anchorx="margin"/>
              </v:shape>
            </w:pict>
          </mc:Fallback>
        </mc:AlternateContent>
      </w:r>
    </w:p>
    <w:p w14:paraId="104568C7" w14:textId="77777777" w:rsidR="00AD53D2" w:rsidRPr="00F2062E" w:rsidRDefault="00AD53D2" w:rsidP="00D838D7">
      <w:pPr>
        <w:rPr>
          <w:rFonts w:ascii="Work Sans" w:hAnsi="Work Sans"/>
        </w:rPr>
      </w:pPr>
    </w:p>
    <w:p w14:paraId="51D1502A" w14:textId="77777777" w:rsidR="00AD53D2" w:rsidRPr="00F2062E" w:rsidRDefault="00AD53D2" w:rsidP="00D838D7">
      <w:pPr>
        <w:rPr>
          <w:rFonts w:ascii="Work Sans" w:hAnsi="Work Sans"/>
        </w:rPr>
      </w:pPr>
    </w:p>
    <w:p w14:paraId="65FD4C19" w14:textId="77777777" w:rsidR="00AD53D2" w:rsidRPr="00F2062E" w:rsidRDefault="00AD53D2" w:rsidP="00D838D7">
      <w:pPr>
        <w:rPr>
          <w:rFonts w:ascii="Work Sans" w:hAnsi="Work Sans"/>
        </w:rPr>
      </w:pPr>
    </w:p>
    <w:p w14:paraId="415D4A0D" w14:textId="77777777" w:rsidR="00AD53D2" w:rsidRPr="00F2062E" w:rsidRDefault="00AD53D2" w:rsidP="00D838D7">
      <w:pPr>
        <w:rPr>
          <w:rFonts w:ascii="Work Sans" w:hAnsi="Work Sans"/>
        </w:rPr>
      </w:pPr>
    </w:p>
    <w:p w14:paraId="32EEAEF0" w14:textId="77777777" w:rsidR="00AD53D2" w:rsidRPr="00F2062E" w:rsidRDefault="00AD53D2" w:rsidP="00D838D7">
      <w:pPr>
        <w:rPr>
          <w:rFonts w:ascii="Work Sans" w:hAnsi="Work Sans"/>
        </w:rPr>
      </w:pPr>
    </w:p>
    <w:p w14:paraId="09B9FB57" w14:textId="77777777" w:rsidR="00AD53D2" w:rsidRPr="00F2062E" w:rsidRDefault="00AD53D2" w:rsidP="00D838D7">
      <w:pPr>
        <w:rPr>
          <w:rFonts w:ascii="Work Sans" w:hAnsi="Work Sans"/>
        </w:rPr>
      </w:pPr>
    </w:p>
    <w:p w14:paraId="3EEBFD64" w14:textId="3D679F01" w:rsidR="00006672" w:rsidRPr="00F2062E" w:rsidRDefault="00006672">
      <w:pPr>
        <w:tabs>
          <w:tab w:val="clear" w:pos="567"/>
        </w:tabs>
        <w:spacing w:before="0" w:line="240" w:lineRule="auto"/>
        <w:rPr>
          <w:rFonts w:ascii="Work Sans" w:hAnsi="Work Sans"/>
        </w:rPr>
      </w:pPr>
      <w:r w:rsidRPr="00F2062E">
        <w:rPr>
          <w:rFonts w:ascii="Work Sans" w:hAnsi="Work Sans"/>
        </w:rPr>
        <w:br w:type="page"/>
      </w:r>
    </w:p>
    <w:p w14:paraId="4B4BCBAB" w14:textId="5435B124" w:rsidR="00D838D7" w:rsidRPr="00F2062E" w:rsidRDefault="00B55A69" w:rsidP="00D838D7">
      <w:pPr>
        <w:rPr>
          <w:rFonts w:ascii="Work Sans" w:hAnsi="Work Sans"/>
        </w:rPr>
      </w:pPr>
      <w:r w:rsidRPr="00F2062E">
        <w:rPr>
          <w:rFonts w:ascii="Work Sans" w:hAnsi="Work Sans"/>
          <w:noProof/>
        </w:rPr>
        <w:lastRenderedPageBreak/>
        <w:drawing>
          <wp:anchor distT="0" distB="0" distL="114300" distR="114300" simplePos="0" relativeHeight="251658241" behindDoc="1" locked="1" layoutInCell="1" allowOverlap="1" wp14:anchorId="250127C4" wp14:editId="0AC8ECF7">
            <wp:simplePos x="0" y="0"/>
            <wp:positionH relativeFrom="margin">
              <wp:align>center</wp:align>
            </wp:positionH>
            <wp:positionV relativeFrom="page">
              <wp:posOffset>6350</wp:posOffset>
            </wp:positionV>
            <wp:extent cx="7563485" cy="10690225"/>
            <wp:effectExtent l="0" t="0" r="0" b="0"/>
            <wp:wrapNone/>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p>
    <w:p w14:paraId="6C649ED9" w14:textId="3F37A159" w:rsidR="00AD53D2" w:rsidRPr="00F2062E" w:rsidRDefault="00B91AA6" w:rsidP="00C62379">
      <w:pPr>
        <w:pStyle w:val="Heading2"/>
      </w:pPr>
      <w:r w:rsidRPr="00F2062E">
        <w:rPr>
          <w:rFonts w:eastAsia="Yu Gothic Light"/>
          <w:b w:val="0"/>
          <w:bCs w:val="0"/>
          <w:noProof/>
          <w:color w:val="006991"/>
        </w:rPr>
        <mc:AlternateContent>
          <mc:Choice Requires="wps">
            <w:drawing>
              <wp:anchor distT="0" distB="0" distL="114300" distR="114300" simplePos="0" relativeHeight="251658246" behindDoc="1" locked="0" layoutInCell="1" allowOverlap="1" wp14:anchorId="272B3FA0" wp14:editId="119107A5">
                <wp:simplePos x="0" y="0"/>
                <wp:positionH relativeFrom="margin">
                  <wp:posOffset>-266700</wp:posOffset>
                </wp:positionH>
                <wp:positionV relativeFrom="paragraph">
                  <wp:posOffset>87449</wp:posOffset>
                </wp:positionV>
                <wp:extent cx="6262254" cy="3668485"/>
                <wp:effectExtent l="0" t="0" r="5715" b="8255"/>
                <wp:wrapNone/>
                <wp:docPr id="24" name="Rectangle 24"/>
                <wp:cNvGraphicFramePr/>
                <a:graphic xmlns:a="http://schemas.openxmlformats.org/drawingml/2006/main">
                  <a:graphicData uri="http://schemas.microsoft.com/office/word/2010/wordprocessingShape">
                    <wps:wsp>
                      <wps:cNvSpPr/>
                      <wps:spPr>
                        <a:xfrm>
                          <a:off x="0" y="0"/>
                          <a:ext cx="6262254" cy="3668485"/>
                        </a:xfrm>
                        <a:prstGeom prst="rect">
                          <a:avLst/>
                        </a:prstGeom>
                        <a:solidFill>
                          <a:srgbClr val="EBF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1D222" id="Rectangle 24" o:spid="_x0000_s1026" style="position:absolute;margin-left:-21pt;margin-top:6.9pt;width:493.1pt;height:288.8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" fillcolor="#ebfff5" stroked="f" strokeweight="1pt">
                <w10:wrap anchorx="margin"/>
              </v:rect>
            </w:pict>
          </mc:Fallback>
        </mc:AlternateContent>
      </w:r>
      <w:r w:rsidR="002801D9" w:rsidRPr="00F2062E">
        <w:t>Summary</w:t>
      </w:r>
    </w:p>
    <w:p w14:paraId="1EC45C83" w14:textId="6BAB829C" w:rsidR="00EF585F" w:rsidRPr="00F2062E" w:rsidRDefault="00625767" w:rsidP="00A158FB">
      <w:pPr>
        <w:pStyle w:val="BodyText"/>
        <w:rPr>
          <w:shd w:val="clear" w:color="auto" w:fill="auto"/>
          <w:lang w:eastAsia="en-AU"/>
        </w:rPr>
      </w:pPr>
      <w:r>
        <w:rPr>
          <w:shd w:val="clear" w:color="auto" w:fill="auto"/>
          <w:lang w:eastAsia="en-AU"/>
        </w:rPr>
        <w:t xml:space="preserve">Investment in </w:t>
      </w:r>
      <w:r w:rsidR="00B55911" w:rsidRPr="00F2062E">
        <w:rPr>
          <w:shd w:val="clear" w:color="auto" w:fill="auto"/>
          <w:lang w:eastAsia="en-AU"/>
        </w:rPr>
        <w:t xml:space="preserve">public infrastructure is a significant </w:t>
      </w:r>
      <w:r w:rsidR="005015DE" w:rsidRPr="00F2062E">
        <w:rPr>
          <w:shd w:val="clear" w:color="auto" w:fill="auto"/>
          <w:lang w:eastAsia="en-AU"/>
        </w:rPr>
        <w:t xml:space="preserve">expense </w:t>
      </w:r>
      <w:r w:rsidR="00B55911" w:rsidRPr="00F2062E">
        <w:rPr>
          <w:shd w:val="clear" w:color="auto" w:fill="auto"/>
          <w:lang w:eastAsia="en-AU"/>
        </w:rPr>
        <w:t>for states and territories (states).</w:t>
      </w:r>
      <w:r w:rsidR="00B225BE">
        <w:rPr>
          <w:shd w:val="clear" w:color="auto" w:fill="auto"/>
          <w:lang w:eastAsia="en-AU"/>
        </w:rPr>
        <w:t xml:space="preserve"> In 2020</w:t>
      </w:r>
      <w:r w:rsidR="00D26ED7">
        <w:rPr>
          <w:shd w:val="clear" w:color="auto" w:fill="auto"/>
          <w:lang w:eastAsia="en-AU"/>
        </w:rPr>
        <w:t>–</w:t>
      </w:r>
      <w:r w:rsidR="00B225BE">
        <w:rPr>
          <w:shd w:val="clear" w:color="auto" w:fill="auto"/>
          <w:lang w:eastAsia="en-AU"/>
        </w:rPr>
        <w:t>21</w:t>
      </w:r>
      <w:r w:rsidR="00FD546F">
        <w:rPr>
          <w:shd w:val="clear" w:color="auto" w:fill="auto"/>
          <w:lang w:eastAsia="en-AU"/>
        </w:rPr>
        <w:t xml:space="preserve"> </w:t>
      </w:r>
      <w:r w:rsidR="00A370BD">
        <w:rPr>
          <w:shd w:val="clear" w:color="auto" w:fill="auto"/>
          <w:lang w:eastAsia="en-AU"/>
        </w:rPr>
        <w:t>i</w:t>
      </w:r>
      <w:r w:rsidR="00FD546F">
        <w:rPr>
          <w:shd w:val="clear" w:color="auto" w:fill="auto"/>
          <w:lang w:eastAsia="en-AU"/>
        </w:rPr>
        <w:t>nfrastructure spending account</w:t>
      </w:r>
      <w:r w:rsidR="00A370BD">
        <w:rPr>
          <w:shd w:val="clear" w:color="auto" w:fill="auto"/>
          <w:lang w:eastAsia="en-AU"/>
        </w:rPr>
        <w:t>ed</w:t>
      </w:r>
      <w:r w:rsidR="00FD546F">
        <w:rPr>
          <w:shd w:val="clear" w:color="auto" w:fill="auto"/>
          <w:lang w:eastAsia="en-AU"/>
        </w:rPr>
        <w:t xml:space="preserve"> for 15</w:t>
      </w:r>
      <w:r w:rsidR="00B43296">
        <w:rPr>
          <w:shd w:val="clear" w:color="auto" w:fill="auto"/>
          <w:lang w:eastAsia="en-AU"/>
        </w:rPr>
        <w:t>% of total state expendit</w:t>
      </w:r>
      <w:r w:rsidR="00E529DD">
        <w:rPr>
          <w:shd w:val="clear" w:color="auto" w:fill="auto"/>
          <w:lang w:eastAsia="en-AU"/>
        </w:rPr>
        <w:t>ure.</w:t>
      </w:r>
    </w:p>
    <w:p w14:paraId="68817228" w14:textId="482BE1D1" w:rsidR="00B33BD9" w:rsidRPr="00F2062E" w:rsidRDefault="00B33BD9" w:rsidP="00A158FB">
      <w:pPr>
        <w:pStyle w:val="BodyText"/>
        <w:rPr>
          <w:shd w:val="clear" w:color="auto" w:fill="auto"/>
          <w:lang w:eastAsia="en-AU"/>
        </w:rPr>
      </w:pPr>
      <w:r w:rsidRPr="00F2062E">
        <w:rPr>
          <w:shd w:val="clear" w:color="auto" w:fill="auto"/>
          <w:lang w:eastAsia="en-AU"/>
        </w:rPr>
        <w:t xml:space="preserve">The Commission considers states’ different investment needs </w:t>
      </w:r>
      <w:r w:rsidR="0057323C">
        <w:rPr>
          <w:shd w:val="clear" w:color="auto" w:fill="auto"/>
          <w:lang w:eastAsia="en-AU"/>
        </w:rPr>
        <w:t xml:space="preserve">as part of determining </w:t>
      </w:r>
      <w:r w:rsidR="00AB4136">
        <w:rPr>
          <w:shd w:val="clear" w:color="auto" w:fill="auto"/>
          <w:lang w:eastAsia="en-AU"/>
        </w:rPr>
        <w:t xml:space="preserve">a </w:t>
      </w:r>
      <w:r w:rsidR="0057323C">
        <w:rPr>
          <w:shd w:val="clear" w:color="auto" w:fill="auto"/>
          <w:lang w:eastAsia="en-AU"/>
        </w:rPr>
        <w:t>state</w:t>
      </w:r>
      <w:r w:rsidR="00AB4136">
        <w:rPr>
          <w:shd w:val="clear" w:color="auto" w:fill="auto"/>
          <w:lang w:eastAsia="en-AU"/>
        </w:rPr>
        <w:t>’s</w:t>
      </w:r>
      <w:r w:rsidR="0057323C">
        <w:rPr>
          <w:shd w:val="clear" w:color="auto" w:fill="auto"/>
          <w:lang w:eastAsia="en-AU"/>
        </w:rPr>
        <w:t xml:space="preserve"> capacit</w:t>
      </w:r>
      <w:r w:rsidR="00785592">
        <w:rPr>
          <w:shd w:val="clear" w:color="auto" w:fill="auto"/>
          <w:lang w:eastAsia="en-AU"/>
        </w:rPr>
        <w:t>y to meet its spending needs</w:t>
      </w:r>
      <w:r w:rsidR="00773726">
        <w:rPr>
          <w:shd w:val="clear" w:color="auto" w:fill="auto"/>
          <w:lang w:eastAsia="en-AU"/>
        </w:rPr>
        <w:t xml:space="preserve"> (fiscal capacity)</w:t>
      </w:r>
      <w:r w:rsidR="0057323C">
        <w:rPr>
          <w:shd w:val="clear" w:color="auto" w:fill="auto"/>
          <w:lang w:eastAsia="en-AU"/>
        </w:rPr>
        <w:t>, which underpin</w:t>
      </w:r>
      <w:r w:rsidR="00FE004B">
        <w:rPr>
          <w:shd w:val="clear" w:color="auto" w:fill="auto"/>
          <w:lang w:eastAsia="en-AU"/>
        </w:rPr>
        <w:t>s</w:t>
      </w:r>
      <w:r w:rsidR="0057323C">
        <w:rPr>
          <w:shd w:val="clear" w:color="auto" w:fill="auto"/>
          <w:lang w:eastAsia="en-AU"/>
        </w:rPr>
        <w:t xml:space="preserve"> the </w:t>
      </w:r>
      <w:r w:rsidR="00D74F88" w:rsidRPr="00F2062E">
        <w:rPr>
          <w:shd w:val="clear" w:color="auto" w:fill="auto"/>
          <w:lang w:eastAsia="en-AU"/>
        </w:rPr>
        <w:t>GST distribution.</w:t>
      </w:r>
    </w:p>
    <w:p w14:paraId="257F0666" w14:textId="61F186AC" w:rsidR="009A6297" w:rsidRDefault="00B85E9F" w:rsidP="00A158FB">
      <w:pPr>
        <w:pStyle w:val="BodyText"/>
        <w:rPr>
          <w:shd w:val="clear" w:color="auto" w:fill="auto"/>
          <w:lang w:eastAsia="en-AU"/>
        </w:rPr>
      </w:pPr>
      <w:r>
        <w:rPr>
          <w:shd w:val="clear" w:color="auto" w:fill="auto"/>
          <w:lang w:eastAsia="en-AU"/>
        </w:rPr>
        <w:t>The Commission</w:t>
      </w:r>
      <w:r w:rsidR="00F57F11">
        <w:rPr>
          <w:shd w:val="clear" w:color="auto" w:fill="auto"/>
          <w:lang w:eastAsia="en-AU"/>
        </w:rPr>
        <w:t>’s</w:t>
      </w:r>
      <w:r>
        <w:rPr>
          <w:shd w:val="clear" w:color="auto" w:fill="auto"/>
          <w:lang w:eastAsia="en-AU"/>
        </w:rPr>
        <w:t xml:space="preserve"> assessment </w:t>
      </w:r>
      <w:r w:rsidR="00770DD8">
        <w:rPr>
          <w:shd w:val="clear" w:color="auto" w:fill="auto"/>
          <w:lang w:eastAsia="en-AU"/>
        </w:rPr>
        <w:t xml:space="preserve">of a </w:t>
      </w:r>
      <w:r w:rsidR="00DB35DF" w:rsidRPr="00F2062E">
        <w:rPr>
          <w:shd w:val="clear" w:color="auto" w:fill="auto"/>
          <w:lang w:eastAsia="en-AU"/>
        </w:rPr>
        <w:t xml:space="preserve">state’s need </w:t>
      </w:r>
      <w:r w:rsidR="00770DD8">
        <w:rPr>
          <w:shd w:val="clear" w:color="auto" w:fill="auto"/>
          <w:lang w:eastAsia="en-AU"/>
        </w:rPr>
        <w:t xml:space="preserve">to invest in </w:t>
      </w:r>
      <w:r w:rsidR="00346B73" w:rsidRPr="00F2062E">
        <w:rPr>
          <w:shd w:val="clear" w:color="auto" w:fill="auto"/>
          <w:lang w:eastAsia="en-AU"/>
        </w:rPr>
        <w:t>a particular type of infrastructure</w:t>
      </w:r>
      <w:r w:rsidR="00AC7C33" w:rsidRPr="00F2062E">
        <w:rPr>
          <w:shd w:val="clear" w:color="auto" w:fill="auto"/>
          <w:lang w:eastAsia="en-AU"/>
        </w:rPr>
        <w:t xml:space="preserve"> is</w:t>
      </w:r>
      <w:r w:rsidR="005749D2" w:rsidRPr="00F2062E">
        <w:rPr>
          <w:shd w:val="clear" w:color="auto" w:fill="auto"/>
          <w:lang w:eastAsia="en-AU"/>
        </w:rPr>
        <w:t xml:space="preserve"> largely</w:t>
      </w:r>
      <w:r w:rsidR="00346B73" w:rsidRPr="00F2062E">
        <w:rPr>
          <w:shd w:val="clear" w:color="auto" w:fill="auto"/>
          <w:lang w:eastAsia="en-AU"/>
        </w:rPr>
        <w:t xml:space="preserve"> </w:t>
      </w:r>
      <w:r w:rsidR="00705F62" w:rsidRPr="00F2062E">
        <w:rPr>
          <w:shd w:val="clear" w:color="auto" w:fill="auto"/>
          <w:lang w:eastAsia="en-AU"/>
        </w:rPr>
        <w:t>based on</w:t>
      </w:r>
      <w:r w:rsidR="009B2631" w:rsidRPr="00F2062E">
        <w:rPr>
          <w:shd w:val="clear" w:color="auto" w:fill="auto"/>
          <w:lang w:eastAsia="en-AU"/>
        </w:rPr>
        <w:t xml:space="preserve"> the </w:t>
      </w:r>
      <w:r w:rsidR="00D01C2E">
        <w:rPr>
          <w:shd w:val="clear" w:color="auto" w:fill="auto"/>
          <w:lang w:eastAsia="en-AU"/>
        </w:rPr>
        <w:t xml:space="preserve">proportion of its </w:t>
      </w:r>
      <w:r w:rsidR="00AC7C33" w:rsidRPr="00F2062E">
        <w:rPr>
          <w:shd w:val="clear" w:color="auto" w:fill="auto"/>
          <w:lang w:eastAsia="en-AU"/>
        </w:rPr>
        <w:t>population</w:t>
      </w:r>
      <w:r w:rsidR="009B2631" w:rsidRPr="00F2062E">
        <w:rPr>
          <w:shd w:val="clear" w:color="auto" w:fill="auto"/>
          <w:lang w:eastAsia="en-AU"/>
        </w:rPr>
        <w:t xml:space="preserve"> </w:t>
      </w:r>
      <w:r w:rsidR="00536759">
        <w:rPr>
          <w:shd w:val="clear" w:color="auto" w:fill="auto"/>
          <w:lang w:eastAsia="en-AU"/>
        </w:rPr>
        <w:t>expected to use</w:t>
      </w:r>
      <w:r w:rsidR="009D45A5">
        <w:rPr>
          <w:shd w:val="clear" w:color="auto" w:fill="auto"/>
          <w:lang w:eastAsia="en-AU"/>
        </w:rPr>
        <w:t xml:space="preserve"> </w:t>
      </w:r>
      <w:r w:rsidR="00F16EBE">
        <w:rPr>
          <w:shd w:val="clear" w:color="auto" w:fill="auto"/>
          <w:lang w:eastAsia="en-AU"/>
        </w:rPr>
        <w:t>that</w:t>
      </w:r>
      <w:r w:rsidR="002C65E6">
        <w:rPr>
          <w:shd w:val="clear" w:color="auto" w:fill="auto"/>
          <w:lang w:eastAsia="en-AU"/>
        </w:rPr>
        <w:t xml:space="preserve"> </w:t>
      </w:r>
      <w:r w:rsidR="00DB7176" w:rsidRPr="00F2062E">
        <w:rPr>
          <w:shd w:val="clear" w:color="auto" w:fill="auto"/>
          <w:lang w:eastAsia="en-AU"/>
        </w:rPr>
        <w:t>infrastructure</w:t>
      </w:r>
      <w:r w:rsidR="00A73938">
        <w:rPr>
          <w:shd w:val="clear" w:color="auto" w:fill="auto"/>
          <w:lang w:eastAsia="en-AU"/>
        </w:rPr>
        <w:t xml:space="preserve"> and how </w:t>
      </w:r>
      <w:r w:rsidR="002C65E6">
        <w:rPr>
          <w:shd w:val="clear" w:color="auto" w:fill="auto"/>
          <w:lang w:eastAsia="en-AU"/>
        </w:rPr>
        <w:t>th</w:t>
      </w:r>
      <w:r w:rsidR="00F16EBE">
        <w:rPr>
          <w:shd w:val="clear" w:color="auto" w:fill="auto"/>
          <w:lang w:eastAsia="en-AU"/>
        </w:rPr>
        <w:t xml:space="preserve">at </w:t>
      </w:r>
      <w:r w:rsidR="00A73938">
        <w:rPr>
          <w:shd w:val="clear" w:color="auto" w:fill="auto"/>
          <w:lang w:eastAsia="en-AU"/>
        </w:rPr>
        <w:t>population changes</w:t>
      </w:r>
      <w:r w:rsidR="00705F62" w:rsidRPr="00F2062E">
        <w:rPr>
          <w:shd w:val="clear" w:color="auto" w:fill="auto"/>
          <w:lang w:eastAsia="en-AU"/>
        </w:rPr>
        <w:t>.</w:t>
      </w:r>
      <w:r w:rsidR="00462A94">
        <w:rPr>
          <w:shd w:val="clear" w:color="auto" w:fill="auto"/>
          <w:lang w:eastAsia="en-AU"/>
        </w:rPr>
        <w:t xml:space="preserve"> It considers this to be the </w:t>
      </w:r>
      <w:r w:rsidR="008049EC">
        <w:rPr>
          <w:shd w:val="clear" w:color="auto" w:fill="auto"/>
          <w:lang w:eastAsia="en-AU"/>
        </w:rPr>
        <w:t>best</w:t>
      </w:r>
      <w:r w:rsidR="00462A94">
        <w:rPr>
          <w:shd w:val="clear" w:color="auto" w:fill="auto"/>
          <w:lang w:eastAsia="en-AU"/>
        </w:rPr>
        <w:t xml:space="preserve"> </w:t>
      </w:r>
      <w:r w:rsidR="00304D88">
        <w:rPr>
          <w:shd w:val="clear" w:color="auto" w:fill="auto"/>
          <w:lang w:eastAsia="en-AU"/>
        </w:rPr>
        <w:t>way</w:t>
      </w:r>
      <w:r w:rsidR="008049EC">
        <w:rPr>
          <w:shd w:val="clear" w:color="auto" w:fill="auto"/>
          <w:lang w:eastAsia="en-AU"/>
        </w:rPr>
        <w:t xml:space="preserve"> to </w:t>
      </w:r>
      <w:r w:rsidR="00912F8C">
        <w:rPr>
          <w:shd w:val="clear" w:color="auto" w:fill="auto"/>
          <w:lang w:eastAsia="en-AU"/>
        </w:rPr>
        <w:t>remove</w:t>
      </w:r>
      <w:r w:rsidR="00E11D6A">
        <w:rPr>
          <w:shd w:val="clear" w:color="auto" w:fill="auto"/>
          <w:lang w:eastAsia="en-AU"/>
        </w:rPr>
        <w:t xml:space="preserve"> </w:t>
      </w:r>
      <w:r w:rsidR="0066163C">
        <w:rPr>
          <w:shd w:val="clear" w:color="auto" w:fill="auto"/>
          <w:lang w:eastAsia="en-AU"/>
        </w:rPr>
        <w:t>the influence of state policy</w:t>
      </w:r>
      <w:r w:rsidR="00912F8C">
        <w:rPr>
          <w:shd w:val="clear" w:color="auto" w:fill="auto"/>
          <w:lang w:eastAsia="en-AU"/>
        </w:rPr>
        <w:t xml:space="preserve"> choices</w:t>
      </w:r>
      <w:r w:rsidR="0066163C">
        <w:rPr>
          <w:shd w:val="clear" w:color="auto" w:fill="auto"/>
          <w:lang w:eastAsia="en-AU"/>
        </w:rPr>
        <w:t xml:space="preserve"> </w:t>
      </w:r>
      <w:r w:rsidR="00532D47">
        <w:rPr>
          <w:shd w:val="clear" w:color="auto" w:fill="auto"/>
          <w:lang w:eastAsia="en-AU"/>
        </w:rPr>
        <w:t>on investment spending</w:t>
      </w:r>
      <w:r w:rsidR="00462A94">
        <w:rPr>
          <w:shd w:val="clear" w:color="auto" w:fill="auto"/>
          <w:lang w:eastAsia="en-AU"/>
        </w:rPr>
        <w:t>.</w:t>
      </w:r>
    </w:p>
    <w:p w14:paraId="1CEA4CD4" w14:textId="164FAF4A" w:rsidR="00A93058" w:rsidRDefault="00D72D64" w:rsidP="002C2E3D">
      <w:pPr>
        <w:pStyle w:val="BodyText"/>
        <w:rPr>
          <w:shd w:val="clear" w:color="auto" w:fill="auto"/>
          <w:lang w:eastAsia="en-AU"/>
        </w:rPr>
      </w:pPr>
      <w:r w:rsidRPr="00A93058">
        <w:rPr>
          <w:shd w:val="clear" w:color="auto" w:fill="auto"/>
          <w:lang w:eastAsia="en-AU"/>
        </w:rPr>
        <w:t xml:space="preserve">A state may have a share of </w:t>
      </w:r>
      <w:r>
        <w:rPr>
          <w:shd w:val="clear" w:color="auto" w:fill="auto"/>
          <w:lang w:eastAsia="en-AU"/>
        </w:rPr>
        <w:t xml:space="preserve">users of a particular </w:t>
      </w:r>
      <w:r w:rsidR="001F015B">
        <w:rPr>
          <w:shd w:val="clear" w:color="auto" w:fill="auto"/>
          <w:lang w:eastAsia="en-AU"/>
        </w:rPr>
        <w:t>infrastructure</w:t>
      </w:r>
      <w:r>
        <w:rPr>
          <w:shd w:val="clear" w:color="auto" w:fill="auto"/>
          <w:lang w:eastAsia="en-AU"/>
        </w:rPr>
        <w:t xml:space="preserve"> type that is different from its </w:t>
      </w:r>
      <w:r w:rsidRPr="00A93058">
        <w:rPr>
          <w:shd w:val="clear" w:color="auto" w:fill="auto"/>
          <w:lang w:eastAsia="en-AU"/>
        </w:rPr>
        <w:t>share of</w:t>
      </w:r>
      <w:r>
        <w:rPr>
          <w:shd w:val="clear" w:color="auto" w:fill="auto"/>
          <w:lang w:eastAsia="en-AU"/>
        </w:rPr>
        <w:t xml:space="preserve"> the national</w:t>
      </w:r>
      <w:r w:rsidRPr="00A93058">
        <w:rPr>
          <w:shd w:val="clear" w:color="auto" w:fill="auto"/>
          <w:lang w:eastAsia="en-AU"/>
        </w:rPr>
        <w:t xml:space="preserve"> population</w:t>
      </w:r>
      <w:r>
        <w:rPr>
          <w:shd w:val="clear" w:color="auto" w:fill="auto"/>
          <w:lang w:eastAsia="en-AU"/>
        </w:rPr>
        <w:t>. This influences</w:t>
      </w:r>
      <w:r w:rsidRPr="00D33E7E">
        <w:rPr>
          <w:shd w:val="clear" w:color="auto" w:fill="auto"/>
          <w:lang w:eastAsia="en-AU"/>
        </w:rPr>
        <w:t xml:space="preserve"> </w:t>
      </w:r>
      <w:r w:rsidRPr="00261831">
        <w:rPr>
          <w:shd w:val="clear" w:color="auto" w:fill="auto"/>
          <w:lang w:eastAsia="en-AU"/>
        </w:rPr>
        <w:t>how the Commission</w:t>
      </w:r>
      <w:r>
        <w:rPr>
          <w:shd w:val="clear" w:color="auto" w:fill="auto"/>
          <w:lang w:eastAsia="en-AU"/>
        </w:rPr>
        <w:t xml:space="preserve"> determines </w:t>
      </w:r>
      <w:r w:rsidRPr="00261831">
        <w:rPr>
          <w:shd w:val="clear" w:color="auto" w:fill="auto"/>
          <w:lang w:eastAsia="en-AU"/>
        </w:rPr>
        <w:t>investment needs</w:t>
      </w:r>
      <w:r>
        <w:rPr>
          <w:shd w:val="clear" w:color="auto" w:fill="auto"/>
          <w:lang w:eastAsia="en-AU"/>
        </w:rPr>
        <w:t>.</w:t>
      </w:r>
      <w:r w:rsidR="00FA6AA6">
        <w:rPr>
          <w:shd w:val="clear" w:color="auto" w:fill="auto"/>
          <w:lang w:eastAsia="en-AU"/>
        </w:rPr>
        <w:t xml:space="preserve"> </w:t>
      </w:r>
      <w:r w:rsidR="00536759">
        <w:rPr>
          <w:shd w:val="clear" w:color="auto" w:fill="auto"/>
          <w:lang w:eastAsia="en-AU"/>
        </w:rPr>
        <w:t xml:space="preserve">If the </w:t>
      </w:r>
      <w:r w:rsidR="00F21A3D">
        <w:rPr>
          <w:shd w:val="clear" w:color="auto" w:fill="auto"/>
          <w:lang w:eastAsia="en-AU"/>
        </w:rPr>
        <w:t>number of</w:t>
      </w:r>
      <w:r w:rsidR="00A4031D">
        <w:rPr>
          <w:shd w:val="clear" w:color="auto" w:fill="auto"/>
          <w:lang w:eastAsia="en-AU"/>
        </w:rPr>
        <w:t xml:space="preserve"> people who</w:t>
      </w:r>
      <w:r w:rsidR="00F21A3D">
        <w:rPr>
          <w:shd w:val="clear" w:color="auto" w:fill="auto"/>
          <w:lang w:eastAsia="en-AU"/>
        </w:rPr>
        <w:t xml:space="preserve"> use</w:t>
      </w:r>
      <w:r w:rsidR="0017184E">
        <w:rPr>
          <w:shd w:val="clear" w:color="auto" w:fill="auto"/>
          <w:lang w:eastAsia="en-AU"/>
        </w:rPr>
        <w:t xml:space="preserve"> a</w:t>
      </w:r>
      <w:r w:rsidR="001B58D4">
        <w:rPr>
          <w:shd w:val="clear" w:color="auto" w:fill="auto"/>
          <w:lang w:eastAsia="en-AU"/>
        </w:rPr>
        <w:t xml:space="preserve"> </w:t>
      </w:r>
      <w:r w:rsidR="001F015B">
        <w:rPr>
          <w:shd w:val="clear" w:color="auto" w:fill="auto"/>
          <w:lang w:eastAsia="en-AU"/>
        </w:rPr>
        <w:t>type</w:t>
      </w:r>
      <w:r w:rsidR="001B58D4">
        <w:rPr>
          <w:shd w:val="clear" w:color="auto" w:fill="auto"/>
          <w:lang w:eastAsia="en-AU"/>
        </w:rPr>
        <w:t xml:space="preserve"> of</w:t>
      </w:r>
      <w:r w:rsidR="00F67708">
        <w:rPr>
          <w:shd w:val="clear" w:color="auto" w:fill="auto"/>
          <w:lang w:eastAsia="en-AU"/>
        </w:rPr>
        <w:t xml:space="preserve"> infrastructure</w:t>
      </w:r>
      <w:r w:rsidR="00463DC8">
        <w:rPr>
          <w:shd w:val="clear" w:color="auto" w:fill="auto"/>
          <w:lang w:eastAsia="en-AU"/>
        </w:rPr>
        <w:t xml:space="preserve"> </w:t>
      </w:r>
      <w:r w:rsidR="00F67708">
        <w:rPr>
          <w:shd w:val="clear" w:color="auto" w:fill="auto"/>
          <w:lang w:eastAsia="en-AU"/>
        </w:rPr>
        <w:t>grows at a</w:t>
      </w:r>
      <w:r w:rsidR="00417C98">
        <w:rPr>
          <w:shd w:val="clear" w:color="auto" w:fill="auto"/>
          <w:lang w:eastAsia="en-AU"/>
        </w:rPr>
        <w:t xml:space="preserve"> rate</w:t>
      </w:r>
      <w:r w:rsidR="00F67708">
        <w:rPr>
          <w:shd w:val="clear" w:color="auto" w:fill="auto"/>
          <w:lang w:eastAsia="en-AU"/>
        </w:rPr>
        <w:t xml:space="preserve"> faster </w:t>
      </w:r>
      <w:r w:rsidR="00A06311">
        <w:rPr>
          <w:shd w:val="clear" w:color="auto" w:fill="auto"/>
          <w:lang w:eastAsia="en-AU"/>
        </w:rPr>
        <w:t xml:space="preserve">in one state </w:t>
      </w:r>
      <w:r w:rsidR="00F67708">
        <w:rPr>
          <w:shd w:val="clear" w:color="auto" w:fill="auto"/>
          <w:lang w:eastAsia="en-AU"/>
        </w:rPr>
        <w:t xml:space="preserve">than in other states, </w:t>
      </w:r>
      <w:r w:rsidR="00E57600">
        <w:rPr>
          <w:shd w:val="clear" w:color="auto" w:fill="auto"/>
          <w:lang w:eastAsia="en-AU"/>
        </w:rPr>
        <w:t xml:space="preserve">the Commission </w:t>
      </w:r>
      <w:r w:rsidR="00F67708">
        <w:rPr>
          <w:shd w:val="clear" w:color="auto" w:fill="auto"/>
          <w:lang w:eastAsia="en-AU"/>
        </w:rPr>
        <w:t xml:space="preserve">will assess </w:t>
      </w:r>
      <w:r w:rsidR="00E57600">
        <w:rPr>
          <w:shd w:val="clear" w:color="auto" w:fill="auto"/>
          <w:lang w:eastAsia="en-AU"/>
        </w:rPr>
        <w:t>this state</w:t>
      </w:r>
      <w:r w:rsidR="00F67708">
        <w:rPr>
          <w:shd w:val="clear" w:color="auto" w:fill="auto"/>
          <w:lang w:eastAsia="en-AU"/>
        </w:rPr>
        <w:t xml:space="preserve"> to</w:t>
      </w:r>
      <w:r w:rsidR="00DE288C">
        <w:rPr>
          <w:shd w:val="clear" w:color="auto" w:fill="auto"/>
          <w:lang w:eastAsia="en-AU"/>
        </w:rPr>
        <w:t xml:space="preserve"> have a</w:t>
      </w:r>
      <w:r w:rsidR="00AC7FCC">
        <w:rPr>
          <w:shd w:val="clear" w:color="auto" w:fill="auto"/>
          <w:lang w:eastAsia="en-AU"/>
        </w:rPr>
        <w:t xml:space="preserve"> greater need for</w:t>
      </w:r>
      <w:r w:rsidR="00AC7FCC">
        <w:rPr>
          <w:rStyle w:val="CommentReference"/>
          <w:rFonts w:ascii="Open Sans Light" w:hAnsi="Open Sans Light" w:cstheme="minorBidi"/>
          <w:color w:val="auto"/>
          <w:shd w:val="clear" w:color="auto" w:fill="auto"/>
        </w:rPr>
        <w:t xml:space="preserve"> </w:t>
      </w:r>
      <w:r w:rsidR="00AC7FCC">
        <w:rPr>
          <w:shd w:val="clear" w:color="auto" w:fill="auto"/>
          <w:lang w:eastAsia="en-AU"/>
        </w:rPr>
        <w:t>in</w:t>
      </w:r>
      <w:r w:rsidR="00087EF7">
        <w:rPr>
          <w:shd w:val="clear" w:color="auto" w:fill="auto"/>
          <w:lang w:eastAsia="en-AU"/>
        </w:rPr>
        <w:t>vestment</w:t>
      </w:r>
      <w:r w:rsidR="00DE288C">
        <w:rPr>
          <w:shd w:val="clear" w:color="auto" w:fill="auto"/>
          <w:lang w:eastAsia="en-AU"/>
        </w:rPr>
        <w:t xml:space="preserve">. </w:t>
      </w:r>
      <w:r w:rsidR="00087EF7">
        <w:rPr>
          <w:shd w:val="clear" w:color="auto" w:fill="auto"/>
          <w:lang w:eastAsia="en-AU"/>
        </w:rPr>
        <w:t xml:space="preserve">In turn, states with </w:t>
      </w:r>
      <w:r w:rsidR="0076690D">
        <w:rPr>
          <w:shd w:val="clear" w:color="auto" w:fill="auto"/>
          <w:lang w:eastAsia="en-AU"/>
        </w:rPr>
        <w:t>higher</w:t>
      </w:r>
      <w:r w:rsidR="00DE288C">
        <w:rPr>
          <w:shd w:val="clear" w:color="auto" w:fill="auto"/>
          <w:lang w:eastAsia="en-AU"/>
        </w:rPr>
        <w:t xml:space="preserve"> </w:t>
      </w:r>
      <w:r w:rsidR="00087EF7">
        <w:rPr>
          <w:shd w:val="clear" w:color="auto" w:fill="auto"/>
          <w:lang w:eastAsia="en-AU"/>
        </w:rPr>
        <w:t xml:space="preserve">investment </w:t>
      </w:r>
      <w:r w:rsidR="00C3353D">
        <w:rPr>
          <w:shd w:val="clear" w:color="auto" w:fill="auto"/>
          <w:lang w:eastAsia="en-AU"/>
        </w:rPr>
        <w:t>needs will have higher GST requirements.</w:t>
      </w:r>
    </w:p>
    <w:p w14:paraId="20D490DA" w14:textId="337E41B9" w:rsidR="00886A64" w:rsidRDefault="00C240FC" w:rsidP="00886A64">
      <w:pPr>
        <w:pStyle w:val="BodyText"/>
        <w:rPr>
          <w:shd w:val="clear" w:color="auto" w:fill="auto"/>
          <w:lang w:eastAsia="en-AU"/>
        </w:rPr>
      </w:pPr>
      <w:r>
        <w:rPr>
          <w:shd w:val="clear" w:color="auto" w:fill="auto"/>
          <w:lang w:eastAsia="en-AU"/>
        </w:rPr>
        <w:t>T</w:t>
      </w:r>
      <w:r w:rsidR="00284CE1" w:rsidRPr="00261831">
        <w:rPr>
          <w:shd w:val="clear" w:color="auto" w:fill="auto"/>
          <w:lang w:eastAsia="en-AU"/>
        </w:rPr>
        <w:t>he Commission</w:t>
      </w:r>
      <w:r w:rsidR="00284CE1">
        <w:rPr>
          <w:shd w:val="clear" w:color="auto" w:fill="auto"/>
          <w:lang w:eastAsia="en-AU"/>
        </w:rPr>
        <w:t>’</w:t>
      </w:r>
      <w:r w:rsidR="00284CE1" w:rsidRPr="00261831">
        <w:rPr>
          <w:shd w:val="clear" w:color="auto" w:fill="auto"/>
          <w:lang w:eastAsia="en-AU"/>
        </w:rPr>
        <w:t>s assessment of investment needs</w:t>
      </w:r>
      <w:r w:rsidR="00284CE1">
        <w:rPr>
          <w:shd w:val="clear" w:color="auto" w:fill="auto"/>
          <w:lang w:eastAsia="en-AU"/>
        </w:rPr>
        <w:t xml:space="preserve"> </w:t>
      </w:r>
      <w:r w:rsidR="001200DF">
        <w:rPr>
          <w:shd w:val="clear" w:color="auto" w:fill="auto"/>
          <w:lang w:eastAsia="en-AU"/>
        </w:rPr>
        <w:t>can</w:t>
      </w:r>
      <w:r w:rsidR="00284CE1">
        <w:rPr>
          <w:shd w:val="clear" w:color="auto" w:fill="auto"/>
          <w:lang w:eastAsia="en-AU"/>
        </w:rPr>
        <w:t xml:space="preserve"> also</w:t>
      </w:r>
      <w:r w:rsidR="00F60A2E">
        <w:rPr>
          <w:shd w:val="clear" w:color="auto" w:fill="auto"/>
          <w:lang w:eastAsia="en-AU"/>
        </w:rPr>
        <w:t xml:space="preserve"> be</w:t>
      </w:r>
      <w:r w:rsidR="00284CE1">
        <w:rPr>
          <w:shd w:val="clear" w:color="auto" w:fill="auto"/>
          <w:lang w:eastAsia="en-AU"/>
        </w:rPr>
        <w:t xml:space="preserve"> influenced </w:t>
      </w:r>
      <w:r>
        <w:rPr>
          <w:shd w:val="clear" w:color="auto" w:fill="auto"/>
          <w:lang w:eastAsia="en-AU"/>
        </w:rPr>
        <w:t>by</w:t>
      </w:r>
      <w:r w:rsidR="00284CE1" w:rsidRPr="00261831">
        <w:rPr>
          <w:shd w:val="clear" w:color="auto" w:fill="auto"/>
          <w:lang w:eastAsia="en-AU"/>
        </w:rPr>
        <w:t xml:space="preserve"> </w:t>
      </w:r>
      <w:r>
        <w:rPr>
          <w:shd w:val="clear" w:color="auto" w:fill="auto"/>
          <w:lang w:eastAsia="en-AU"/>
        </w:rPr>
        <w:t>t</w:t>
      </w:r>
      <w:r w:rsidR="00886A64" w:rsidRPr="00261831">
        <w:rPr>
          <w:shd w:val="clear" w:color="auto" w:fill="auto"/>
          <w:lang w:eastAsia="en-AU"/>
        </w:rPr>
        <w:t>he amount states collectively invest in</w:t>
      </w:r>
      <w:r w:rsidR="00DC3CD0">
        <w:rPr>
          <w:shd w:val="clear" w:color="auto" w:fill="auto"/>
          <w:lang w:eastAsia="en-AU"/>
        </w:rPr>
        <w:t xml:space="preserve"> a</w:t>
      </w:r>
      <w:r w:rsidR="00886A64" w:rsidRPr="00261831">
        <w:rPr>
          <w:shd w:val="clear" w:color="auto" w:fill="auto"/>
          <w:lang w:eastAsia="en-AU"/>
        </w:rPr>
        <w:t xml:space="preserve"> </w:t>
      </w:r>
      <w:r w:rsidR="00DC3CD0" w:rsidRPr="00DC3CD0">
        <w:rPr>
          <w:shd w:val="clear" w:color="auto" w:fill="auto"/>
          <w:lang w:eastAsia="en-AU"/>
        </w:rPr>
        <w:t>type of infrastructure</w:t>
      </w:r>
      <w:r w:rsidR="00456B08">
        <w:rPr>
          <w:shd w:val="clear" w:color="auto" w:fill="auto"/>
          <w:lang w:eastAsia="en-AU"/>
        </w:rPr>
        <w:t xml:space="preserve"> </w:t>
      </w:r>
      <w:r w:rsidR="00BD25AA">
        <w:rPr>
          <w:shd w:val="clear" w:color="auto" w:fill="auto"/>
          <w:lang w:eastAsia="en-AU"/>
        </w:rPr>
        <w:t>for</w:t>
      </w:r>
      <w:r w:rsidR="00456B08">
        <w:rPr>
          <w:shd w:val="clear" w:color="auto" w:fill="auto"/>
          <w:lang w:eastAsia="en-AU"/>
        </w:rPr>
        <w:t xml:space="preserve"> a </w:t>
      </w:r>
      <w:r w:rsidR="00B21DB0">
        <w:rPr>
          <w:shd w:val="clear" w:color="auto" w:fill="auto"/>
          <w:lang w:eastAsia="en-AU"/>
        </w:rPr>
        <w:t>particular year.</w:t>
      </w:r>
    </w:p>
    <w:p w14:paraId="6B2ED527" w14:textId="718E552F" w:rsidR="00600974" w:rsidRPr="00F2062E" w:rsidRDefault="00B438EE" w:rsidP="00600974">
      <w:pPr>
        <w:pStyle w:val="Heading2"/>
      </w:pPr>
      <w:r w:rsidRPr="00F2062E">
        <w:t>Introduction</w:t>
      </w:r>
    </w:p>
    <w:p w14:paraId="225BE19E" w14:textId="6DF73D52" w:rsidR="00C604F2" w:rsidRDefault="00C604F2" w:rsidP="00C604F2">
      <w:pPr>
        <w:pStyle w:val="BodyText"/>
        <w:rPr>
          <w:shd w:val="clear" w:color="auto" w:fill="auto"/>
          <w:lang w:eastAsia="en-AU"/>
        </w:rPr>
      </w:pPr>
      <w:r w:rsidRPr="00A062AE">
        <w:rPr>
          <w:shd w:val="clear" w:color="auto" w:fill="auto"/>
          <w:lang w:eastAsia="en-AU"/>
        </w:rPr>
        <w:t>In determining states</w:t>
      </w:r>
      <w:r w:rsidR="005659FF">
        <w:rPr>
          <w:shd w:val="clear" w:color="auto" w:fill="auto"/>
          <w:lang w:eastAsia="en-AU"/>
        </w:rPr>
        <w:t>’</w:t>
      </w:r>
      <w:r w:rsidRPr="00A062AE">
        <w:rPr>
          <w:shd w:val="clear" w:color="auto" w:fill="auto"/>
          <w:lang w:eastAsia="en-AU"/>
        </w:rPr>
        <w:t xml:space="preserve"> </w:t>
      </w:r>
      <w:r w:rsidR="00991CFE">
        <w:rPr>
          <w:shd w:val="clear" w:color="auto" w:fill="auto"/>
          <w:lang w:eastAsia="en-AU"/>
        </w:rPr>
        <w:t xml:space="preserve">fiscal </w:t>
      </w:r>
      <w:r w:rsidR="00643D5C" w:rsidRPr="00643D5C">
        <w:rPr>
          <w:shd w:val="clear" w:color="auto" w:fill="auto"/>
          <w:lang w:eastAsia="en-AU"/>
        </w:rPr>
        <w:t>capacit</w:t>
      </w:r>
      <w:r w:rsidR="00643D5C">
        <w:rPr>
          <w:shd w:val="clear" w:color="auto" w:fill="auto"/>
          <w:lang w:eastAsia="en-AU"/>
        </w:rPr>
        <w:t>ies</w:t>
      </w:r>
      <w:r w:rsidRPr="00A062AE">
        <w:rPr>
          <w:shd w:val="clear" w:color="auto" w:fill="auto"/>
          <w:lang w:eastAsia="en-AU"/>
        </w:rPr>
        <w:t>, the Commission assesses how expenditure needs vary across states. This, combined with an assessment of states’ capacities</w:t>
      </w:r>
      <w:r w:rsidR="005C2143">
        <w:rPr>
          <w:shd w:val="clear" w:color="auto" w:fill="auto"/>
          <w:lang w:eastAsia="en-AU"/>
        </w:rPr>
        <w:t xml:space="preserve"> to raise revenue</w:t>
      </w:r>
      <w:r w:rsidRPr="00A062AE">
        <w:rPr>
          <w:shd w:val="clear" w:color="auto" w:fill="auto"/>
          <w:lang w:eastAsia="en-AU"/>
        </w:rPr>
        <w:t xml:space="preserve">, determines the share of the GST pool </w:t>
      </w:r>
      <w:r w:rsidR="003D2E05">
        <w:rPr>
          <w:shd w:val="clear" w:color="auto" w:fill="auto"/>
          <w:lang w:eastAsia="en-AU"/>
        </w:rPr>
        <w:t xml:space="preserve">each </w:t>
      </w:r>
      <w:r w:rsidRPr="00A062AE">
        <w:rPr>
          <w:shd w:val="clear" w:color="auto" w:fill="auto"/>
          <w:lang w:eastAsia="en-AU"/>
        </w:rPr>
        <w:t>state require</w:t>
      </w:r>
      <w:r w:rsidR="003D2E05">
        <w:rPr>
          <w:shd w:val="clear" w:color="auto" w:fill="auto"/>
          <w:lang w:eastAsia="en-AU"/>
        </w:rPr>
        <w:t>s</w:t>
      </w:r>
      <w:r w:rsidRPr="00A062AE">
        <w:rPr>
          <w:shd w:val="clear" w:color="auto" w:fill="auto"/>
          <w:lang w:eastAsia="en-AU"/>
        </w:rPr>
        <w:t xml:space="preserve"> so that </w:t>
      </w:r>
      <w:r w:rsidR="003D2E05">
        <w:rPr>
          <w:shd w:val="clear" w:color="auto" w:fill="auto"/>
          <w:lang w:eastAsia="en-AU"/>
        </w:rPr>
        <w:t>it</w:t>
      </w:r>
      <w:r w:rsidR="00AD1833">
        <w:rPr>
          <w:shd w:val="clear" w:color="auto" w:fill="auto"/>
          <w:lang w:eastAsia="en-AU"/>
        </w:rPr>
        <w:t xml:space="preserve"> </w:t>
      </w:r>
      <w:r w:rsidR="008D3B15">
        <w:rPr>
          <w:shd w:val="clear" w:color="auto" w:fill="auto"/>
          <w:lang w:eastAsia="en-AU"/>
        </w:rPr>
        <w:t>can</w:t>
      </w:r>
      <w:r w:rsidRPr="00A062AE">
        <w:rPr>
          <w:shd w:val="clear" w:color="auto" w:fill="auto"/>
          <w:lang w:eastAsia="en-AU"/>
        </w:rPr>
        <w:t xml:space="preserve"> provide</w:t>
      </w:r>
      <w:r w:rsidR="00A51991">
        <w:rPr>
          <w:shd w:val="clear" w:color="auto" w:fill="auto"/>
          <w:lang w:eastAsia="en-AU"/>
        </w:rPr>
        <w:t xml:space="preserve"> a similar level</w:t>
      </w:r>
      <w:r w:rsidR="001A6471">
        <w:rPr>
          <w:shd w:val="clear" w:color="auto" w:fill="auto"/>
          <w:lang w:eastAsia="en-AU"/>
        </w:rPr>
        <w:t xml:space="preserve"> of</w:t>
      </w:r>
      <w:r w:rsidRPr="00A062AE">
        <w:rPr>
          <w:shd w:val="clear" w:color="auto" w:fill="auto"/>
          <w:lang w:eastAsia="en-AU"/>
        </w:rPr>
        <w:t xml:space="preserve"> services.</w:t>
      </w:r>
    </w:p>
    <w:p w14:paraId="77FEADF7" w14:textId="6CB844AB" w:rsidR="00227507" w:rsidRDefault="00F9643C" w:rsidP="00A158FB">
      <w:pPr>
        <w:pStyle w:val="BodyText"/>
      </w:pPr>
      <w:r w:rsidRPr="00F9643C">
        <w:t xml:space="preserve">A significant proportion of state budgets </w:t>
      </w:r>
      <w:r w:rsidRPr="00D33E7E">
        <w:t>relate</w:t>
      </w:r>
      <w:r w:rsidR="003449E4" w:rsidRPr="00D33E7E">
        <w:t>s</w:t>
      </w:r>
      <w:r w:rsidRPr="00F9643C">
        <w:t xml:space="preserve"> to investment in public infrastructure</w:t>
      </w:r>
      <w:r w:rsidR="002977A7">
        <w:t>, which in turn underpin</w:t>
      </w:r>
      <w:r w:rsidR="00FD0554">
        <w:t>s</w:t>
      </w:r>
      <w:r w:rsidR="002977A7">
        <w:t xml:space="preserve"> the delivery </w:t>
      </w:r>
      <w:r w:rsidR="000D42CF">
        <w:t>of state services</w:t>
      </w:r>
      <w:r w:rsidRPr="00F9643C">
        <w:t xml:space="preserve">. The Commission </w:t>
      </w:r>
      <w:r w:rsidR="008E4D1F">
        <w:t>includes</w:t>
      </w:r>
      <w:r w:rsidRPr="00F9643C">
        <w:t xml:space="preserve"> this type of spending </w:t>
      </w:r>
      <w:r w:rsidR="00680B4A">
        <w:t>in</w:t>
      </w:r>
      <w:r w:rsidRPr="00F9643C">
        <w:t xml:space="preserve"> its assessment of state fiscal capacities.</w:t>
      </w:r>
    </w:p>
    <w:p w14:paraId="742F43C3" w14:textId="17535F05" w:rsidR="00782308" w:rsidRDefault="00782308" w:rsidP="00A158FB">
      <w:pPr>
        <w:pStyle w:val="BodyText"/>
      </w:pPr>
      <w:r w:rsidRPr="0011178F">
        <w:t xml:space="preserve">Investment spending includes large upfront costs associated with public works programs, such as building new schools. This spending can vary significantly from year to year as state investment programs ramp up and down. In contrast, </w:t>
      </w:r>
      <w:r w:rsidR="00857494" w:rsidRPr="0011178F">
        <w:t>on</w:t>
      </w:r>
      <w:r w:rsidR="003C37BA" w:rsidRPr="0011178F">
        <w:t>going expenses</w:t>
      </w:r>
      <w:r w:rsidR="009532BF" w:rsidRPr="0011178F">
        <w:t xml:space="preserve"> </w:t>
      </w:r>
      <w:r w:rsidRPr="0011178F">
        <w:t xml:space="preserve">tend not to </w:t>
      </w:r>
      <w:r w:rsidR="002C7450" w:rsidRPr="0011178F">
        <w:t xml:space="preserve">have large annual </w:t>
      </w:r>
      <w:r w:rsidR="00AC04BA" w:rsidRPr="0011178F">
        <w:t>changes</w:t>
      </w:r>
      <w:r w:rsidRPr="0011178F">
        <w:t>.</w:t>
      </w:r>
      <w:r w:rsidR="009E3E68" w:rsidRPr="0011178F">
        <w:t xml:space="preserve"> </w:t>
      </w:r>
      <w:r w:rsidR="00024F28" w:rsidRPr="0011178F">
        <w:t>Con</w:t>
      </w:r>
      <w:r w:rsidR="003A2CFC" w:rsidRPr="0011178F">
        <w:t>sequent</w:t>
      </w:r>
      <w:r w:rsidR="009E3E68" w:rsidRPr="0011178F">
        <w:t>ly,</w:t>
      </w:r>
      <w:r w:rsidR="00B103FA" w:rsidRPr="0011178F">
        <w:t xml:space="preserve"> </w:t>
      </w:r>
      <w:r w:rsidR="009E3E68" w:rsidRPr="0011178F">
        <w:t>t</w:t>
      </w:r>
      <w:r w:rsidR="00454DC7" w:rsidRPr="0011178F">
        <w:t xml:space="preserve">hese two forms of spending are assessed separately </w:t>
      </w:r>
      <w:r w:rsidR="0039503E" w:rsidRPr="0011178F">
        <w:t>because</w:t>
      </w:r>
      <w:r w:rsidR="00767D14" w:rsidRPr="0011178F">
        <w:t xml:space="preserve"> often</w:t>
      </w:r>
      <w:r w:rsidR="00602208" w:rsidRPr="0011178F">
        <w:t xml:space="preserve"> different factors dri</w:t>
      </w:r>
      <w:r w:rsidR="00765F0F" w:rsidRPr="0011178F">
        <w:t>ve</w:t>
      </w:r>
      <w:r w:rsidR="007E7AFF" w:rsidRPr="0011178F">
        <w:t xml:space="preserve"> </w:t>
      </w:r>
      <w:r w:rsidR="00C81439" w:rsidRPr="0011178F">
        <w:t>their costs</w:t>
      </w:r>
      <w:r w:rsidR="00602208" w:rsidRPr="0011178F">
        <w:t>.</w:t>
      </w:r>
    </w:p>
    <w:p w14:paraId="263DE842" w14:textId="3DC9A10E" w:rsidR="00C46D21" w:rsidRPr="00F2062E" w:rsidRDefault="00E653FE" w:rsidP="00A158FB">
      <w:pPr>
        <w:pStyle w:val="BodyText"/>
      </w:pPr>
      <w:r>
        <w:t>S</w:t>
      </w:r>
      <w:r w:rsidR="00C46D21" w:rsidRPr="00F2062E">
        <w:t>tate government invest</w:t>
      </w:r>
      <w:r>
        <w:t>ment</w:t>
      </w:r>
      <w:r w:rsidR="00C46D21" w:rsidRPr="00F2062E">
        <w:t xml:space="preserve"> </w:t>
      </w:r>
      <w:r w:rsidR="00C3353D">
        <w:t xml:space="preserve">in infrastructure </w:t>
      </w:r>
      <w:r w:rsidR="00C46D21" w:rsidRPr="00F2062E">
        <w:t>can be</w:t>
      </w:r>
      <w:r w:rsidR="00676CC7" w:rsidRPr="00F2062E">
        <w:t xml:space="preserve"> </w:t>
      </w:r>
      <w:r w:rsidR="00C46D21" w:rsidRPr="00F2062E">
        <w:t>driven by multiple factors, such as:</w:t>
      </w:r>
    </w:p>
    <w:p w14:paraId="3003F795" w14:textId="208057FC" w:rsidR="00C46D21" w:rsidRPr="00E14906" w:rsidRDefault="00C46D21" w:rsidP="00E14906">
      <w:pPr>
        <w:pStyle w:val="CGCBullet1"/>
      </w:pPr>
      <w:r w:rsidRPr="00E14906">
        <w:t>responding to changes in</w:t>
      </w:r>
      <w:r w:rsidR="00772063">
        <w:t xml:space="preserve"> </w:t>
      </w:r>
      <w:r w:rsidR="00772063" w:rsidRPr="00772063">
        <w:t>population characteristics</w:t>
      </w:r>
    </w:p>
    <w:p w14:paraId="233DCD2C" w14:textId="0E1C5F4A" w:rsidR="00C46D21" w:rsidRPr="00F2062E" w:rsidRDefault="00C46D21" w:rsidP="00E14906">
      <w:pPr>
        <w:pStyle w:val="CGCBullet1"/>
      </w:pPr>
      <w:r w:rsidRPr="00F2062E">
        <w:t xml:space="preserve">addressing </w:t>
      </w:r>
      <w:r w:rsidR="00772063">
        <w:t>historical</w:t>
      </w:r>
      <w:r w:rsidR="00571DB5" w:rsidRPr="00F2062E">
        <w:t xml:space="preserve"> </w:t>
      </w:r>
      <w:r w:rsidRPr="00F2062E">
        <w:t>underinvestment</w:t>
      </w:r>
    </w:p>
    <w:p w14:paraId="14F4D3C0" w14:textId="5B6B46E6" w:rsidR="00C46D21" w:rsidRPr="00F2062E" w:rsidRDefault="004E3708" w:rsidP="00E14906">
      <w:pPr>
        <w:pStyle w:val="CGCBullet1"/>
      </w:pPr>
      <w:r w:rsidRPr="00F2062E">
        <w:t>aligning</w:t>
      </w:r>
      <w:r w:rsidR="00C46D21" w:rsidRPr="00F2062E">
        <w:t xml:space="preserve"> with national frameworks or agreements</w:t>
      </w:r>
      <w:r w:rsidR="00852D43" w:rsidRPr="00F2062E">
        <w:t xml:space="preserve"> made with the Commonwealth</w:t>
      </w:r>
    </w:p>
    <w:p w14:paraId="0F6C1A29" w14:textId="3A04E491" w:rsidR="00C46D21" w:rsidRDefault="00C46D21" w:rsidP="00E14906">
      <w:pPr>
        <w:pStyle w:val="CGCBullet1"/>
      </w:pPr>
      <w:r w:rsidRPr="00F2062E">
        <w:t>fulfilling a specific policy agenda</w:t>
      </w:r>
      <w:r w:rsidR="00FA761B">
        <w:t>, including responding to congestion</w:t>
      </w:r>
      <w:r w:rsidR="00852D43" w:rsidRPr="00F2062E">
        <w:t>.</w:t>
      </w:r>
    </w:p>
    <w:p w14:paraId="17503A67" w14:textId="548A9BD1" w:rsidR="00D97B54" w:rsidRDefault="00F86344" w:rsidP="001779A5">
      <w:pPr>
        <w:pStyle w:val="BodyText"/>
        <w:keepNext/>
        <w:keepLines/>
        <w:widowControl w:val="0"/>
      </w:pPr>
      <w:r>
        <w:lastRenderedPageBreak/>
        <w:t>I</w:t>
      </w:r>
      <w:r w:rsidR="009538CB">
        <w:t>n 2020</w:t>
      </w:r>
      <w:r w:rsidR="005A1429">
        <w:t>–</w:t>
      </w:r>
      <w:r w:rsidR="009538CB">
        <w:t xml:space="preserve">21, </w:t>
      </w:r>
      <w:r w:rsidR="003138BF">
        <w:t>15%</w:t>
      </w:r>
      <w:r w:rsidR="00B3624A">
        <w:t xml:space="preserve"> of all state expenditure </w:t>
      </w:r>
      <w:r w:rsidR="009538CB">
        <w:t>wa</w:t>
      </w:r>
      <w:r w:rsidR="00B3624A">
        <w:t>s for investment purposes</w:t>
      </w:r>
      <w:r w:rsidR="007C7F12">
        <w:t xml:space="preserve">. This </w:t>
      </w:r>
      <w:r w:rsidR="00556F47">
        <w:t>proportion varied by state</w:t>
      </w:r>
      <w:r>
        <w:t xml:space="preserve"> (</w:t>
      </w:r>
      <w:r w:rsidRPr="00D33E7E">
        <w:fldChar w:fldCharType="begin"/>
      </w:r>
      <w:r w:rsidRPr="00D33E7E">
        <w:instrText xml:space="preserve"> REF _Ref113622855 \h </w:instrText>
      </w:r>
      <w:r>
        <w:instrText xml:space="preserve"> \* MERGEFORMAT </w:instrText>
      </w:r>
      <w:r w:rsidRPr="00D33E7E">
        <w:fldChar w:fldCharType="separate"/>
      </w:r>
      <w:r w:rsidR="004D7CF5" w:rsidRPr="00616561">
        <w:t xml:space="preserve">Table </w:t>
      </w:r>
      <w:r w:rsidR="004D7CF5">
        <w:rPr>
          <w:noProof/>
        </w:rPr>
        <w:t>1</w:t>
      </w:r>
      <w:r w:rsidRPr="00D33E7E">
        <w:fldChar w:fldCharType="end"/>
      </w:r>
      <w:r>
        <w:t>)</w:t>
      </w:r>
      <w:r w:rsidR="00B3624A">
        <w:t>.</w:t>
      </w:r>
    </w:p>
    <w:p w14:paraId="0790C652" w14:textId="435ACF7A" w:rsidR="00A96507" w:rsidRPr="00616561" w:rsidRDefault="00A96507" w:rsidP="001779A5">
      <w:pPr>
        <w:pStyle w:val="Caption"/>
        <w:widowControl w:val="0"/>
      </w:pPr>
      <w:bookmarkStart w:id="0" w:name="_Ref113622855"/>
      <w:bookmarkStart w:id="1" w:name="_Ref115880513"/>
      <w:r w:rsidRPr="00616561">
        <w:t xml:space="preserve">Table </w:t>
      </w:r>
      <w:r>
        <w:fldChar w:fldCharType="begin"/>
      </w:r>
      <w:r>
        <w:instrText>SEQ Table \* ARABIC</w:instrText>
      </w:r>
      <w:r>
        <w:fldChar w:fldCharType="separate"/>
      </w:r>
      <w:r w:rsidR="004D7CF5">
        <w:rPr>
          <w:noProof/>
        </w:rPr>
        <w:t>1</w:t>
      </w:r>
      <w:r>
        <w:fldChar w:fldCharType="end"/>
      </w:r>
      <w:bookmarkEnd w:id="0"/>
      <w:r w:rsidRPr="00616561">
        <w:tab/>
        <w:t>Actual state expenditure, 2020</w:t>
      </w:r>
      <w:r w:rsidR="005A1429">
        <w:t>–</w:t>
      </w:r>
      <w:r w:rsidRPr="00616561">
        <w:t>21</w:t>
      </w:r>
      <w:bookmarkEnd w:id="1"/>
    </w:p>
    <w:tbl>
      <w:tblPr>
        <w:tblW w:w="9064" w:type="dxa"/>
        <w:tblLayout w:type="fixed"/>
        <w:tblLook w:val="04A0" w:firstRow="1" w:lastRow="0" w:firstColumn="1" w:lastColumn="0" w:noHBand="0" w:noVBand="1"/>
      </w:tblPr>
      <w:tblGrid>
        <w:gridCol w:w="2073"/>
        <w:gridCol w:w="750"/>
        <w:gridCol w:w="751"/>
        <w:gridCol w:w="821"/>
        <w:gridCol w:w="850"/>
        <w:gridCol w:w="709"/>
        <w:gridCol w:w="709"/>
        <w:gridCol w:w="708"/>
        <w:gridCol w:w="709"/>
        <w:gridCol w:w="984"/>
      </w:tblGrid>
      <w:tr w:rsidR="00886767" w:rsidRPr="00886767" w14:paraId="636A2D27" w14:textId="77777777" w:rsidTr="002575ED">
        <w:trPr>
          <w:trHeight w:val="375"/>
        </w:trPr>
        <w:tc>
          <w:tcPr>
            <w:tcW w:w="2073" w:type="dxa"/>
            <w:tcBorders>
              <w:top w:val="nil"/>
              <w:left w:val="nil"/>
              <w:bottom w:val="single" w:sz="8" w:space="0" w:color="CEE7B3"/>
              <w:right w:val="nil"/>
            </w:tcBorders>
            <w:shd w:val="clear" w:color="000000" w:fill="008069"/>
            <w:noWrap/>
            <w:vAlign w:val="center"/>
            <w:hideMark/>
          </w:tcPr>
          <w:p w14:paraId="331C51B1" w14:textId="77777777" w:rsidR="00886767" w:rsidRPr="00886767" w:rsidRDefault="00886767" w:rsidP="001779A5">
            <w:pPr>
              <w:keepNext/>
              <w:keepLines/>
              <w:widowControl w:val="0"/>
              <w:tabs>
                <w:tab w:val="clear" w:pos="567"/>
              </w:tabs>
              <w:spacing w:before="0" w:line="240" w:lineRule="auto"/>
              <w:rPr>
                <w:rFonts w:ascii="Work Sans" w:eastAsia="Times New Roman" w:hAnsi="Work Sans" w:cs="Times New Roman"/>
                <w:b/>
                <w:bCs/>
                <w:color w:val="FFFFFF"/>
                <w:sz w:val="16"/>
                <w:szCs w:val="16"/>
                <w:lang w:eastAsia="en-AU"/>
              </w:rPr>
            </w:pPr>
            <w:r w:rsidRPr="00886767">
              <w:rPr>
                <w:rFonts w:ascii="Work Sans" w:eastAsia="Times New Roman" w:hAnsi="Work Sans" w:cs="Times New Roman"/>
                <w:b/>
                <w:bCs/>
                <w:color w:val="FFFFFF"/>
                <w:sz w:val="16"/>
                <w:szCs w:val="16"/>
                <w:lang w:eastAsia="en-AU"/>
              </w:rPr>
              <w:t> </w:t>
            </w:r>
          </w:p>
        </w:tc>
        <w:tc>
          <w:tcPr>
            <w:tcW w:w="750" w:type="dxa"/>
            <w:tcBorders>
              <w:top w:val="nil"/>
              <w:left w:val="nil"/>
              <w:bottom w:val="single" w:sz="8" w:space="0" w:color="CEE7B3"/>
              <w:right w:val="nil"/>
            </w:tcBorders>
            <w:shd w:val="clear" w:color="000000" w:fill="008069"/>
            <w:noWrap/>
            <w:vAlign w:val="center"/>
            <w:hideMark/>
          </w:tcPr>
          <w:p w14:paraId="6076BB28"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FFFFFF"/>
                <w:sz w:val="16"/>
                <w:szCs w:val="16"/>
                <w:lang w:eastAsia="en-AU"/>
              </w:rPr>
            </w:pPr>
            <w:r w:rsidRPr="00886767">
              <w:rPr>
                <w:rFonts w:ascii="Work Sans SemiBold" w:eastAsia="Times New Roman" w:hAnsi="Work Sans SemiBold" w:cs="Times New Roman"/>
                <w:b/>
                <w:bCs/>
                <w:color w:val="FFFFFF"/>
                <w:sz w:val="16"/>
                <w:szCs w:val="16"/>
                <w:lang w:eastAsia="en-AU"/>
              </w:rPr>
              <w:t>NSW</w:t>
            </w:r>
          </w:p>
        </w:tc>
        <w:tc>
          <w:tcPr>
            <w:tcW w:w="751" w:type="dxa"/>
            <w:tcBorders>
              <w:top w:val="nil"/>
              <w:left w:val="nil"/>
              <w:bottom w:val="single" w:sz="8" w:space="0" w:color="CEE7B3"/>
              <w:right w:val="nil"/>
            </w:tcBorders>
            <w:shd w:val="clear" w:color="000000" w:fill="008069"/>
            <w:noWrap/>
            <w:vAlign w:val="center"/>
            <w:hideMark/>
          </w:tcPr>
          <w:p w14:paraId="45F6CECA"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FFFFFF"/>
                <w:sz w:val="16"/>
                <w:szCs w:val="16"/>
                <w:lang w:eastAsia="en-AU"/>
              </w:rPr>
            </w:pPr>
            <w:r w:rsidRPr="00886767">
              <w:rPr>
                <w:rFonts w:ascii="Work Sans SemiBold" w:eastAsia="Times New Roman" w:hAnsi="Work Sans SemiBold" w:cs="Times New Roman"/>
                <w:b/>
                <w:bCs/>
                <w:color w:val="FFFFFF"/>
                <w:sz w:val="16"/>
                <w:szCs w:val="16"/>
                <w:lang w:eastAsia="en-AU"/>
              </w:rPr>
              <w:t>Vic</w:t>
            </w:r>
          </w:p>
        </w:tc>
        <w:tc>
          <w:tcPr>
            <w:tcW w:w="821" w:type="dxa"/>
            <w:tcBorders>
              <w:top w:val="nil"/>
              <w:left w:val="nil"/>
              <w:bottom w:val="single" w:sz="8" w:space="0" w:color="CEE7B3"/>
              <w:right w:val="nil"/>
            </w:tcBorders>
            <w:shd w:val="clear" w:color="000000" w:fill="008069"/>
            <w:noWrap/>
            <w:vAlign w:val="center"/>
            <w:hideMark/>
          </w:tcPr>
          <w:p w14:paraId="2867EC62"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FFFFFF"/>
                <w:sz w:val="16"/>
                <w:szCs w:val="16"/>
                <w:lang w:eastAsia="en-AU"/>
              </w:rPr>
            </w:pPr>
            <w:r w:rsidRPr="00886767">
              <w:rPr>
                <w:rFonts w:ascii="Work Sans SemiBold" w:eastAsia="Times New Roman" w:hAnsi="Work Sans SemiBold" w:cs="Times New Roman"/>
                <w:b/>
                <w:bCs/>
                <w:color w:val="FFFFFF"/>
                <w:sz w:val="16"/>
                <w:szCs w:val="16"/>
                <w:lang w:eastAsia="en-AU"/>
              </w:rPr>
              <w:t>Qld</w:t>
            </w:r>
          </w:p>
        </w:tc>
        <w:tc>
          <w:tcPr>
            <w:tcW w:w="850" w:type="dxa"/>
            <w:tcBorders>
              <w:top w:val="nil"/>
              <w:left w:val="nil"/>
              <w:bottom w:val="single" w:sz="8" w:space="0" w:color="CEE7B3"/>
              <w:right w:val="nil"/>
            </w:tcBorders>
            <w:shd w:val="clear" w:color="000000" w:fill="008069"/>
            <w:noWrap/>
            <w:vAlign w:val="center"/>
            <w:hideMark/>
          </w:tcPr>
          <w:p w14:paraId="35E42CA4"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FFFFFF"/>
                <w:sz w:val="16"/>
                <w:szCs w:val="16"/>
                <w:lang w:eastAsia="en-AU"/>
              </w:rPr>
            </w:pPr>
            <w:r w:rsidRPr="00886767">
              <w:rPr>
                <w:rFonts w:ascii="Work Sans SemiBold" w:eastAsia="Times New Roman" w:hAnsi="Work Sans SemiBold" w:cs="Times New Roman"/>
                <w:b/>
                <w:bCs/>
                <w:color w:val="FFFFFF"/>
                <w:sz w:val="16"/>
                <w:szCs w:val="16"/>
                <w:lang w:eastAsia="en-AU"/>
              </w:rPr>
              <w:t>WA</w:t>
            </w:r>
          </w:p>
        </w:tc>
        <w:tc>
          <w:tcPr>
            <w:tcW w:w="709" w:type="dxa"/>
            <w:tcBorders>
              <w:top w:val="nil"/>
              <w:left w:val="nil"/>
              <w:bottom w:val="single" w:sz="8" w:space="0" w:color="CEE7B3"/>
              <w:right w:val="nil"/>
            </w:tcBorders>
            <w:shd w:val="clear" w:color="000000" w:fill="008069"/>
            <w:noWrap/>
            <w:vAlign w:val="center"/>
            <w:hideMark/>
          </w:tcPr>
          <w:p w14:paraId="0D915C88"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FFFFFF"/>
                <w:sz w:val="16"/>
                <w:szCs w:val="16"/>
                <w:lang w:eastAsia="en-AU"/>
              </w:rPr>
            </w:pPr>
            <w:r w:rsidRPr="00886767">
              <w:rPr>
                <w:rFonts w:ascii="Work Sans SemiBold" w:eastAsia="Times New Roman" w:hAnsi="Work Sans SemiBold" w:cs="Times New Roman"/>
                <w:b/>
                <w:bCs/>
                <w:color w:val="FFFFFF"/>
                <w:sz w:val="16"/>
                <w:szCs w:val="16"/>
                <w:lang w:eastAsia="en-AU"/>
              </w:rPr>
              <w:t>SA</w:t>
            </w:r>
          </w:p>
        </w:tc>
        <w:tc>
          <w:tcPr>
            <w:tcW w:w="709" w:type="dxa"/>
            <w:tcBorders>
              <w:top w:val="nil"/>
              <w:left w:val="nil"/>
              <w:bottom w:val="single" w:sz="8" w:space="0" w:color="CEE7B3"/>
              <w:right w:val="nil"/>
            </w:tcBorders>
            <w:shd w:val="clear" w:color="000000" w:fill="008069"/>
            <w:noWrap/>
            <w:vAlign w:val="center"/>
            <w:hideMark/>
          </w:tcPr>
          <w:p w14:paraId="1C9795CA"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FFFFFF"/>
                <w:sz w:val="16"/>
                <w:szCs w:val="16"/>
                <w:lang w:eastAsia="en-AU"/>
              </w:rPr>
            </w:pPr>
            <w:r w:rsidRPr="00886767">
              <w:rPr>
                <w:rFonts w:ascii="Work Sans SemiBold" w:eastAsia="Times New Roman" w:hAnsi="Work Sans SemiBold" w:cs="Times New Roman"/>
                <w:b/>
                <w:bCs/>
                <w:color w:val="FFFFFF"/>
                <w:sz w:val="16"/>
                <w:szCs w:val="16"/>
                <w:lang w:eastAsia="en-AU"/>
              </w:rPr>
              <w:t>Tas</w:t>
            </w:r>
          </w:p>
        </w:tc>
        <w:tc>
          <w:tcPr>
            <w:tcW w:w="708" w:type="dxa"/>
            <w:tcBorders>
              <w:top w:val="nil"/>
              <w:left w:val="nil"/>
              <w:bottom w:val="single" w:sz="8" w:space="0" w:color="CEE7B3"/>
              <w:right w:val="nil"/>
            </w:tcBorders>
            <w:shd w:val="clear" w:color="000000" w:fill="008069"/>
            <w:noWrap/>
            <w:vAlign w:val="center"/>
            <w:hideMark/>
          </w:tcPr>
          <w:p w14:paraId="7E5A2BB0"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FFFFFF"/>
                <w:sz w:val="16"/>
                <w:szCs w:val="16"/>
                <w:lang w:eastAsia="en-AU"/>
              </w:rPr>
            </w:pPr>
            <w:r w:rsidRPr="00886767">
              <w:rPr>
                <w:rFonts w:ascii="Work Sans SemiBold" w:eastAsia="Times New Roman" w:hAnsi="Work Sans SemiBold" w:cs="Times New Roman"/>
                <w:b/>
                <w:bCs/>
                <w:color w:val="FFFFFF"/>
                <w:sz w:val="16"/>
                <w:szCs w:val="16"/>
                <w:lang w:eastAsia="en-AU"/>
              </w:rPr>
              <w:t>ACT</w:t>
            </w:r>
          </w:p>
        </w:tc>
        <w:tc>
          <w:tcPr>
            <w:tcW w:w="709" w:type="dxa"/>
            <w:tcBorders>
              <w:top w:val="nil"/>
              <w:left w:val="nil"/>
              <w:bottom w:val="single" w:sz="8" w:space="0" w:color="CEE7B3"/>
              <w:right w:val="nil"/>
            </w:tcBorders>
            <w:shd w:val="clear" w:color="000000" w:fill="008069"/>
            <w:noWrap/>
            <w:vAlign w:val="center"/>
            <w:hideMark/>
          </w:tcPr>
          <w:p w14:paraId="644AFFD0"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FFFFFF"/>
                <w:sz w:val="16"/>
                <w:szCs w:val="16"/>
                <w:lang w:eastAsia="en-AU"/>
              </w:rPr>
            </w:pPr>
            <w:r w:rsidRPr="00886767">
              <w:rPr>
                <w:rFonts w:ascii="Work Sans SemiBold" w:eastAsia="Times New Roman" w:hAnsi="Work Sans SemiBold" w:cs="Times New Roman"/>
                <w:b/>
                <w:bCs/>
                <w:color w:val="FFFFFF"/>
                <w:sz w:val="16"/>
                <w:szCs w:val="16"/>
                <w:lang w:eastAsia="en-AU"/>
              </w:rPr>
              <w:t>NT</w:t>
            </w:r>
          </w:p>
        </w:tc>
        <w:tc>
          <w:tcPr>
            <w:tcW w:w="984" w:type="dxa"/>
            <w:tcBorders>
              <w:top w:val="nil"/>
              <w:left w:val="nil"/>
              <w:bottom w:val="single" w:sz="8" w:space="0" w:color="CEE7B3"/>
              <w:right w:val="nil"/>
            </w:tcBorders>
            <w:shd w:val="clear" w:color="000000" w:fill="008069"/>
            <w:vAlign w:val="center"/>
            <w:hideMark/>
          </w:tcPr>
          <w:p w14:paraId="2C44B896"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FFFFFF"/>
                <w:sz w:val="16"/>
                <w:szCs w:val="16"/>
                <w:lang w:eastAsia="en-AU"/>
              </w:rPr>
            </w:pPr>
            <w:r w:rsidRPr="00886767">
              <w:rPr>
                <w:rFonts w:ascii="Work Sans SemiBold" w:eastAsia="Times New Roman" w:hAnsi="Work Sans SemiBold" w:cs="Times New Roman"/>
                <w:b/>
                <w:bCs/>
                <w:color w:val="FFFFFF"/>
                <w:sz w:val="16"/>
                <w:szCs w:val="16"/>
                <w:lang w:eastAsia="en-AU"/>
              </w:rPr>
              <w:t>Total</w:t>
            </w:r>
          </w:p>
        </w:tc>
      </w:tr>
      <w:tr w:rsidR="00886767" w:rsidRPr="00886767" w14:paraId="65BAC1DE" w14:textId="77777777" w:rsidTr="002575ED">
        <w:trPr>
          <w:trHeight w:hRule="exact" w:val="556"/>
        </w:trPr>
        <w:tc>
          <w:tcPr>
            <w:tcW w:w="2073" w:type="dxa"/>
            <w:tcBorders>
              <w:top w:val="nil"/>
              <w:left w:val="nil"/>
              <w:bottom w:val="single" w:sz="8" w:space="0" w:color="CEE7B3"/>
              <w:right w:val="nil"/>
            </w:tcBorders>
            <w:shd w:val="clear" w:color="000000" w:fill="FFFFFF"/>
            <w:vAlign w:val="center"/>
            <w:hideMark/>
          </w:tcPr>
          <w:p w14:paraId="0E036257" w14:textId="77777777" w:rsidR="00886767" w:rsidRPr="00886767" w:rsidRDefault="00886767" w:rsidP="001779A5">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Investment expenditure ($m)</w:t>
            </w:r>
          </w:p>
        </w:tc>
        <w:tc>
          <w:tcPr>
            <w:tcW w:w="750" w:type="dxa"/>
            <w:tcBorders>
              <w:top w:val="nil"/>
              <w:left w:val="nil"/>
              <w:bottom w:val="single" w:sz="8" w:space="0" w:color="CEE7B3"/>
              <w:right w:val="nil"/>
            </w:tcBorders>
            <w:shd w:val="clear" w:color="000000" w:fill="FFFFFF"/>
            <w:noWrap/>
            <w:vAlign w:val="center"/>
            <w:hideMark/>
          </w:tcPr>
          <w:p w14:paraId="32E05882"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16,688</w:t>
            </w:r>
          </w:p>
        </w:tc>
        <w:tc>
          <w:tcPr>
            <w:tcW w:w="751" w:type="dxa"/>
            <w:tcBorders>
              <w:top w:val="nil"/>
              <w:left w:val="nil"/>
              <w:bottom w:val="single" w:sz="8" w:space="0" w:color="CEE7B3"/>
              <w:right w:val="nil"/>
            </w:tcBorders>
            <w:shd w:val="clear" w:color="000000" w:fill="FFFFFF"/>
            <w:noWrap/>
            <w:vAlign w:val="center"/>
            <w:hideMark/>
          </w:tcPr>
          <w:p w14:paraId="63B02FD7"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16,729</w:t>
            </w:r>
          </w:p>
        </w:tc>
        <w:tc>
          <w:tcPr>
            <w:tcW w:w="821" w:type="dxa"/>
            <w:tcBorders>
              <w:top w:val="nil"/>
              <w:left w:val="nil"/>
              <w:bottom w:val="single" w:sz="8" w:space="0" w:color="CEE7B3"/>
              <w:right w:val="nil"/>
            </w:tcBorders>
            <w:shd w:val="clear" w:color="000000" w:fill="FFFFFF"/>
            <w:noWrap/>
            <w:vAlign w:val="center"/>
            <w:hideMark/>
          </w:tcPr>
          <w:p w14:paraId="79284948"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7,248</w:t>
            </w:r>
          </w:p>
        </w:tc>
        <w:tc>
          <w:tcPr>
            <w:tcW w:w="850" w:type="dxa"/>
            <w:tcBorders>
              <w:top w:val="nil"/>
              <w:left w:val="nil"/>
              <w:bottom w:val="single" w:sz="8" w:space="0" w:color="CEE7B3"/>
              <w:right w:val="nil"/>
            </w:tcBorders>
            <w:shd w:val="clear" w:color="000000" w:fill="FFFFFF"/>
            <w:noWrap/>
            <w:vAlign w:val="center"/>
            <w:hideMark/>
          </w:tcPr>
          <w:p w14:paraId="19904ADE"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3,125</w:t>
            </w:r>
          </w:p>
        </w:tc>
        <w:tc>
          <w:tcPr>
            <w:tcW w:w="709" w:type="dxa"/>
            <w:tcBorders>
              <w:top w:val="nil"/>
              <w:left w:val="nil"/>
              <w:bottom w:val="single" w:sz="8" w:space="0" w:color="CEE7B3"/>
              <w:right w:val="nil"/>
            </w:tcBorders>
            <w:shd w:val="clear" w:color="000000" w:fill="FFFFFF"/>
            <w:noWrap/>
            <w:vAlign w:val="center"/>
            <w:hideMark/>
          </w:tcPr>
          <w:p w14:paraId="4F94D5ED"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2,411</w:t>
            </w:r>
          </w:p>
        </w:tc>
        <w:tc>
          <w:tcPr>
            <w:tcW w:w="709" w:type="dxa"/>
            <w:tcBorders>
              <w:top w:val="nil"/>
              <w:left w:val="nil"/>
              <w:bottom w:val="single" w:sz="8" w:space="0" w:color="CEE7B3"/>
              <w:right w:val="nil"/>
            </w:tcBorders>
            <w:shd w:val="clear" w:color="000000" w:fill="FFFFFF"/>
            <w:noWrap/>
            <w:vAlign w:val="center"/>
            <w:hideMark/>
          </w:tcPr>
          <w:p w14:paraId="1BDFD68B"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438</w:t>
            </w:r>
          </w:p>
        </w:tc>
        <w:tc>
          <w:tcPr>
            <w:tcW w:w="708" w:type="dxa"/>
            <w:tcBorders>
              <w:top w:val="nil"/>
              <w:left w:val="nil"/>
              <w:bottom w:val="single" w:sz="8" w:space="0" w:color="CEE7B3"/>
              <w:right w:val="nil"/>
            </w:tcBorders>
            <w:shd w:val="clear" w:color="000000" w:fill="FFFFFF"/>
            <w:noWrap/>
            <w:vAlign w:val="center"/>
            <w:hideMark/>
          </w:tcPr>
          <w:p w14:paraId="7536461E"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623</w:t>
            </w:r>
          </w:p>
        </w:tc>
        <w:tc>
          <w:tcPr>
            <w:tcW w:w="709" w:type="dxa"/>
            <w:tcBorders>
              <w:top w:val="nil"/>
              <w:left w:val="nil"/>
              <w:bottom w:val="single" w:sz="8" w:space="0" w:color="CEE7B3"/>
              <w:right w:val="nil"/>
            </w:tcBorders>
            <w:shd w:val="clear" w:color="000000" w:fill="FFFFFF"/>
            <w:noWrap/>
            <w:vAlign w:val="center"/>
            <w:hideMark/>
          </w:tcPr>
          <w:p w14:paraId="3E2CF2DF"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670</w:t>
            </w:r>
          </w:p>
        </w:tc>
        <w:tc>
          <w:tcPr>
            <w:tcW w:w="984" w:type="dxa"/>
            <w:tcBorders>
              <w:top w:val="nil"/>
              <w:left w:val="nil"/>
              <w:bottom w:val="single" w:sz="8" w:space="0" w:color="CEE7B3"/>
              <w:right w:val="nil"/>
            </w:tcBorders>
            <w:shd w:val="clear" w:color="000000" w:fill="FFFFFF"/>
            <w:noWrap/>
            <w:vAlign w:val="center"/>
            <w:hideMark/>
          </w:tcPr>
          <w:p w14:paraId="5D6E2628"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47,931</w:t>
            </w:r>
          </w:p>
        </w:tc>
      </w:tr>
      <w:tr w:rsidR="00886767" w:rsidRPr="00886767" w14:paraId="0342CFD5" w14:textId="77777777" w:rsidTr="002575ED">
        <w:trPr>
          <w:trHeight w:hRule="exact" w:val="318"/>
        </w:trPr>
        <w:tc>
          <w:tcPr>
            <w:tcW w:w="2073" w:type="dxa"/>
            <w:tcBorders>
              <w:top w:val="nil"/>
              <w:left w:val="nil"/>
              <w:bottom w:val="single" w:sz="8" w:space="0" w:color="CEE7B3"/>
              <w:right w:val="nil"/>
            </w:tcBorders>
            <w:shd w:val="clear" w:color="000000" w:fill="FFFFFF"/>
            <w:vAlign w:val="center"/>
            <w:hideMark/>
          </w:tcPr>
          <w:p w14:paraId="48AC4CB9" w14:textId="77777777" w:rsidR="00886767" w:rsidRPr="00886767" w:rsidRDefault="00886767" w:rsidP="001779A5">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Total expenditure ($m)</w:t>
            </w:r>
          </w:p>
        </w:tc>
        <w:tc>
          <w:tcPr>
            <w:tcW w:w="750" w:type="dxa"/>
            <w:tcBorders>
              <w:top w:val="nil"/>
              <w:left w:val="nil"/>
              <w:bottom w:val="single" w:sz="8" w:space="0" w:color="CEE7B3"/>
              <w:right w:val="nil"/>
            </w:tcBorders>
            <w:shd w:val="clear" w:color="000000" w:fill="FFFFFF"/>
            <w:noWrap/>
            <w:vAlign w:val="center"/>
            <w:hideMark/>
          </w:tcPr>
          <w:p w14:paraId="15081E57"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94,522</w:t>
            </w:r>
          </w:p>
        </w:tc>
        <w:tc>
          <w:tcPr>
            <w:tcW w:w="751" w:type="dxa"/>
            <w:tcBorders>
              <w:top w:val="nil"/>
              <w:left w:val="nil"/>
              <w:bottom w:val="single" w:sz="8" w:space="0" w:color="CEE7B3"/>
              <w:right w:val="nil"/>
            </w:tcBorders>
            <w:shd w:val="clear" w:color="000000" w:fill="FFFFFF"/>
            <w:noWrap/>
            <w:vAlign w:val="center"/>
            <w:hideMark/>
          </w:tcPr>
          <w:p w14:paraId="7380ADDE"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87,024</w:t>
            </w:r>
          </w:p>
        </w:tc>
        <w:tc>
          <w:tcPr>
            <w:tcW w:w="821" w:type="dxa"/>
            <w:tcBorders>
              <w:top w:val="nil"/>
              <w:left w:val="nil"/>
              <w:bottom w:val="single" w:sz="8" w:space="0" w:color="CEE7B3"/>
              <w:right w:val="nil"/>
            </w:tcBorders>
            <w:shd w:val="clear" w:color="000000" w:fill="FFFFFF"/>
            <w:noWrap/>
            <w:vAlign w:val="center"/>
            <w:hideMark/>
          </w:tcPr>
          <w:p w14:paraId="2A9B1BAE"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55,964</w:t>
            </w:r>
          </w:p>
        </w:tc>
        <w:tc>
          <w:tcPr>
            <w:tcW w:w="850" w:type="dxa"/>
            <w:tcBorders>
              <w:top w:val="nil"/>
              <w:left w:val="nil"/>
              <w:bottom w:val="single" w:sz="8" w:space="0" w:color="CEE7B3"/>
              <w:right w:val="nil"/>
            </w:tcBorders>
            <w:shd w:val="clear" w:color="000000" w:fill="FFFFFF"/>
            <w:noWrap/>
            <w:vAlign w:val="center"/>
            <w:hideMark/>
          </w:tcPr>
          <w:p w14:paraId="1B81A9C5"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33,479</w:t>
            </w:r>
          </w:p>
        </w:tc>
        <w:tc>
          <w:tcPr>
            <w:tcW w:w="709" w:type="dxa"/>
            <w:tcBorders>
              <w:top w:val="nil"/>
              <w:left w:val="nil"/>
              <w:bottom w:val="single" w:sz="8" w:space="0" w:color="CEE7B3"/>
              <w:right w:val="nil"/>
            </w:tcBorders>
            <w:shd w:val="clear" w:color="000000" w:fill="FFFFFF"/>
            <w:noWrap/>
            <w:vAlign w:val="center"/>
            <w:hideMark/>
          </w:tcPr>
          <w:p w14:paraId="585AAFF3"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20,143</w:t>
            </w:r>
          </w:p>
        </w:tc>
        <w:tc>
          <w:tcPr>
            <w:tcW w:w="709" w:type="dxa"/>
            <w:tcBorders>
              <w:top w:val="nil"/>
              <w:left w:val="nil"/>
              <w:bottom w:val="single" w:sz="8" w:space="0" w:color="CEE7B3"/>
              <w:right w:val="nil"/>
            </w:tcBorders>
            <w:shd w:val="clear" w:color="000000" w:fill="FFFFFF"/>
            <w:noWrap/>
            <w:vAlign w:val="center"/>
            <w:hideMark/>
          </w:tcPr>
          <w:p w14:paraId="2A1CDEC3"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6,297</w:t>
            </w:r>
          </w:p>
        </w:tc>
        <w:tc>
          <w:tcPr>
            <w:tcW w:w="708" w:type="dxa"/>
            <w:tcBorders>
              <w:top w:val="nil"/>
              <w:left w:val="nil"/>
              <w:bottom w:val="single" w:sz="8" w:space="0" w:color="CEE7B3"/>
              <w:right w:val="nil"/>
            </w:tcBorders>
            <w:shd w:val="clear" w:color="000000" w:fill="FFFFFF"/>
            <w:noWrap/>
            <w:vAlign w:val="center"/>
            <w:hideMark/>
          </w:tcPr>
          <w:p w14:paraId="309A9E61"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5,879</w:t>
            </w:r>
          </w:p>
        </w:tc>
        <w:tc>
          <w:tcPr>
            <w:tcW w:w="709" w:type="dxa"/>
            <w:tcBorders>
              <w:top w:val="nil"/>
              <w:left w:val="nil"/>
              <w:bottom w:val="single" w:sz="8" w:space="0" w:color="CEE7B3"/>
              <w:right w:val="nil"/>
            </w:tcBorders>
            <w:shd w:val="clear" w:color="000000" w:fill="FFFFFF"/>
            <w:noWrap/>
            <w:vAlign w:val="center"/>
            <w:hideMark/>
          </w:tcPr>
          <w:p w14:paraId="36BACA47"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6,360</w:t>
            </w:r>
          </w:p>
        </w:tc>
        <w:tc>
          <w:tcPr>
            <w:tcW w:w="984" w:type="dxa"/>
            <w:tcBorders>
              <w:top w:val="nil"/>
              <w:left w:val="nil"/>
              <w:bottom w:val="single" w:sz="8" w:space="0" w:color="CEE7B3"/>
              <w:right w:val="nil"/>
            </w:tcBorders>
            <w:shd w:val="clear" w:color="000000" w:fill="FFFFFF"/>
            <w:noWrap/>
            <w:vAlign w:val="center"/>
            <w:hideMark/>
          </w:tcPr>
          <w:p w14:paraId="36EED3DE" w14:textId="77777777" w:rsidR="00886767" w:rsidRPr="00886767" w:rsidRDefault="00886767" w:rsidP="005A4BED">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886767">
              <w:rPr>
                <w:rFonts w:ascii="Work Sans" w:eastAsia="Times New Roman" w:hAnsi="Work Sans" w:cs="Times New Roman"/>
                <w:color w:val="000000"/>
                <w:sz w:val="16"/>
                <w:szCs w:val="16"/>
                <w:lang w:eastAsia="en-AU"/>
              </w:rPr>
              <w:t>309,668</w:t>
            </w:r>
          </w:p>
        </w:tc>
      </w:tr>
      <w:tr w:rsidR="00886767" w:rsidRPr="00886767" w14:paraId="6C582C35" w14:textId="77777777" w:rsidTr="009803D3">
        <w:trPr>
          <w:trHeight w:hRule="exact" w:val="709"/>
        </w:trPr>
        <w:tc>
          <w:tcPr>
            <w:tcW w:w="2073" w:type="dxa"/>
            <w:tcBorders>
              <w:top w:val="nil"/>
              <w:left w:val="nil"/>
              <w:bottom w:val="single" w:sz="8" w:space="0" w:color="CEE7B3"/>
              <w:right w:val="nil"/>
            </w:tcBorders>
            <w:shd w:val="clear" w:color="auto" w:fill="auto"/>
            <w:vAlign w:val="center"/>
            <w:hideMark/>
          </w:tcPr>
          <w:p w14:paraId="352BCC3C" w14:textId="77777777" w:rsidR="00886767" w:rsidRPr="00886767" w:rsidRDefault="00886767" w:rsidP="001779A5">
            <w:pPr>
              <w:keepNext/>
              <w:keepLines/>
              <w:widowControl w:val="0"/>
              <w:tabs>
                <w:tab w:val="clear" w:pos="567"/>
              </w:tabs>
              <w:spacing w:before="0" w:line="240" w:lineRule="auto"/>
              <w:rPr>
                <w:rFonts w:ascii="Work Sans SemiBold" w:eastAsia="Times New Roman" w:hAnsi="Work Sans SemiBold" w:cs="Times New Roman"/>
                <w:b/>
                <w:bCs/>
                <w:color w:val="000000"/>
                <w:sz w:val="16"/>
                <w:szCs w:val="16"/>
                <w:lang w:eastAsia="en-AU"/>
              </w:rPr>
            </w:pPr>
            <w:r w:rsidRPr="00886767">
              <w:rPr>
                <w:rFonts w:ascii="Work Sans SemiBold" w:eastAsia="Times New Roman" w:hAnsi="Work Sans SemiBold" w:cs="Times New Roman"/>
                <w:b/>
                <w:bCs/>
                <w:color w:val="000000"/>
                <w:sz w:val="16"/>
                <w:szCs w:val="16"/>
                <w:lang w:eastAsia="en-AU"/>
              </w:rPr>
              <w:t>Investment as a proportion of total expenditure (%)</w:t>
            </w:r>
          </w:p>
        </w:tc>
        <w:tc>
          <w:tcPr>
            <w:tcW w:w="750" w:type="dxa"/>
            <w:tcBorders>
              <w:top w:val="nil"/>
              <w:left w:val="nil"/>
              <w:bottom w:val="single" w:sz="8" w:space="0" w:color="CEE7B3"/>
              <w:right w:val="nil"/>
            </w:tcBorders>
            <w:shd w:val="clear" w:color="auto" w:fill="auto"/>
            <w:vAlign w:val="center"/>
            <w:hideMark/>
          </w:tcPr>
          <w:p w14:paraId="6C46F9EE"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000000"/>
                <w:sz w:val="16"/>
                <w:szCs w:val="16"/>
                <w:lang w:eastAsia="en-AU"/>
              </w:rPr>
            </w:pPr>
            <w:r w:rsidRPr="00886767">
              <w:rPr>
                <w:rFonts w:ascii="Work Sans SemiBold" w:eastAsia="Times New Roman" w:hAnsi="Work Sans SemiBold" w:cs="Times New Roman"/>
                <w:b/>
                <w:bCs/>
                <w:color w:val="000000"/>
                <w:sz w:val="16"/>
                <w:szCs w:val="16"/>
                <w:lang w:eastAsia="en-AU"/>
              </w:rPr>
              <w:t>18</w:t>
            </w:r>
          </w:p>
        </w:tc>
        <w:tc>
          <w:tcPr>
            <w:tcW w:w="751" w:type="dxa"/>
            <w:tcBorders>
              <w:top w:val="nil"/>
              <w:left w:val="nil"/>
              <w:bottom w:val="single" w:sz="8" w:space="0" w:color="CEE7B3"/>
              <w:right w:val="nil"/>
            </w:tcBorders>
            <w:shd w:val="clear" w:color="auto" w:fill="auto"/>
            <w:vAlign w:val="center"/>
            <w:hideMark/>
          </w:tcPr>
          <w:p w14:paraId="79EF1206"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000000"/>
                <w:sz w:val="16"/>
                <w:szCs w:val="16"/>
                <w:lang w:eastAsia="en-AU"/>
              </w:rPr>
            </w:pPr>
            <w:r w:rsidRPr="00886767">
              <w:rPr>
                <w:rFonts w:ascii="Work Sans SemiBold" w:eastAsia="Times New Roman" w:hAnsi="Work Sans SemiBold" w:cs="Times New Roman"/>
                <w:b/>
                <w:bCs/>
                <w:color w:val="000000"/>
                <w:sz w:val="16"/>
                <w:szCs w:val="16"/>
                <w:lang w:eastAsia="en-AU"/>
              </w:rPr>
              <w:t>19</w:t>
            </w:r>
          </w:p>
        </w:tc>
        <w:tc>
          <w:tcPr>
            <w:tcW w:w="821" w:type="dxa"/>
            <w:tcBorders>
              <w:top w:val="nil"/>
              <w:left w:val="nil"/>
              <w:bottom w:val="single" w:sz="8" w:space="0" w:color="CEE7B3"/>
              <w:right w:val="nil"/>
            </w:tcBorders>
            <w:shd w:val="clear" w:color="auto" w:fill="auto"/>
            <w:vAlign w:val="center"/>
            <w:hideMark/>
          </w:tcPr>
          <w:p w14:paraId="6393660A"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000000"/>
                <w:sz w:val="16"/>
                <w:szCs w:val="16"/>
                <w:lang w:eastAsia="en-AU"/>
              </w:rPr>
            </w:pPr>
            <w:r w:rsidRPr="00886767">
              <w:rPr>
                <w:rFonts w:ascii="Work Sans SemiBold" w:eastAsia="Times New Roman" w:hAnsi="Work Sans SemiBold" w:cs="Times New Roman"/>
                <w:b/>
                <w:bCs/>
                <w:color w:val="000000"/>
                <w:sz w:val="16"/>
                <w:szCs w:val="16"/>
                <w:lang w:eastAsia="en-AU"/>
              </w:rPr>
              <w:t>13</w:t>
            </w:r>
          </w:p>
        </w:tc>
        <w:tc>
          <w:tcPr>
            <w:tcW w:w="850" w:type="dxa"/>
            <w:tcBorders>
              <w:top w:val="nil"/>
              <w:left w:val="nil"/>
              <w:bottom w:val="single" w:sz="8" w:space="0" w:color="CEE7B3"/>
              <w:right w:val="nil"/>
            </w:tcBorders>
            <w:shd w:val="clear" w:color="auto" w:fill="auto"/>
            <w:vAlign w:val="center"/>
            <w:hideMark/>
          </w:tcPr>
          <w:p w14:paraId="28BE8332"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000000"/>
                <w:sz w:val="16"/>
                <w:szCs w:val="16"/>
                <w:lang w:eastAsia="en-AU"/>
              </w:rPr>
            </w:pPr>
            <w:r w:rsidRPr="00886767">
              <w:rPr>
                <w:rFonts w:ascii="Work Sans SemiBold" w:eastAsia="Times New Roman" w:hAnsi="Work Sans SemiBold" w:cs="Times New Roman"/>
                <w:b/>
                <w:bCs/>
                <w:color w:val="000000"/>
                <w:sz w:val="16"/>
                <w:szCs w:val="16"/>
                <w:lang w:eastAsia="en-AU"/>
              </w:rPr>
              <w:t>9</w:t>
            </w:r>
          </w:p>
        </w:tc>
        <w:tc>
          <w:tcPr>
            <w:tcW w:w="709" w:type="dxa"/>
            <w:tcBorders>
              <w:top w:val="nil"/>
              <w:left w:val="nil"/>
              <w:bottom w:val="single" w:sz="8" w:space="0" w:color="CEE7B3"/>
              <w:right w:val="nil"/>
            </w:tcBorders>
            <w:shd w:val="clear" w:color="auto" w:fill="auto"/>
            <w:vAlign w:val="center"/>
            <w:hideMark/>
          </w:tcPr>
          <w:p w14:paraId="2FBBEEC8"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000000"/>
                <w:sz w:val="16"/>
                <w:szCs w:val="16"/>
                <w:lang w:eastAsia="en-AU"/>
              </w:rPr>
            </w:pPr>
            <w:r w:rsidRPr="00886767">
              <w:rPr>
                <w:rFonts w:ascii="Work Sans SemiBold" w:eastAsia="Times New Roman" w:hAnsi="Work Sans SemiBold" w:cs="Times New Roman"/>
                <w:b/>
                <w:bCs/>
                <w:color w:val="000000"/>
                <w:sz w:val="16"/>
                <w:szCs w:val="16"/>
                <w:lang w:eastAsia="en-AU"/>
              </w:rPr>
              <w:t>12</w:t>
            </w:r>
          </w:p>
        </w:tc>
        <w:tc>
          <w:tcPr>
            <w:tcW w:w="709" w:type="dxa"/>
            <w:tcBorders>
              <w:top w:val="nil"/>
              <w:left w:val="nil"/>
              <w:bottom w:val="single" w:sz="8" w:space="0" w:color="CEE7B3"/>
              <w:right w:val="nil"/>
            </w:tcBorders>
            <w:shd w:val="clear" w:color="auto" w:fill="auto"/>
            <w:vAlign w:val="center"/>
            <w:hideMark/>
          </w:tcPr>
          <w:p w14:paraId="57C42B6C"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000000"/>
                <w:sz w:val="16"/>
                <w:szCs w:val="16"/>
                <w:lang w:eastAsia="en-AU"/>
              </w:rPr>
            </w:pPr>
            <w:r w:rsidRPr="00886767">
              <w:rPr>
                <w:rFonts w:ascii="Work Sans SemiBold" w:eastAsia="Times New Roman" w:hAnsi="Work Sans SemiBold" w:cs="Times New Roman"/>
                <w:b/>
                <w:bCs/>
                <w:color w:val="000000"/>
                <w:sz w:val="16"/>
                <w:szCs w:val="16"/>
                <w:lang w:eastAsia="en-AU"/>
              </w:rPr>
              <w:t>7</w:t>
            </w:r>
          </w:p>
        </w:tc>
        <w:tc>
          <w:tcPr>
            <w:tcW w:w="708" w:type="dxa"/>
            <w:tcBorders>
              <w:top w:val="nil"/>
              <w:left w:val="nil"/>
              <w:bottom w:val="single" w:sz="8" w:space="0" w:color="CEE7B3"/>
              <w:right w:val="nil"/>
            </w:tcBorders>
            <w:shd w:val="clear" w:color="auto" w:fill="auto"/>
            <w:vAlign w:val="center"/>
            <w:hideMark/>
          </w:tcPr>
          <w:p w14:paraId="1BC2B3FD"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000000"/>
                <w:sz w:val="16"/>
                <w:szCs w:val="16"/>
                <w:lang w:eastAsia="en-AU"/>
              </w:rPr>
            </w:pPr>
            <w:r w:rsidRPr="00886767">
              <w:rPr>
                <w:rFonts w:ascii="Work Sans SemiBold" w:eastAsia="Times New Roman" w:hAnsi="Work Sans SemiBold" w:cs="Times New Roman"/>
                <w:b/>
                <w:bCs/>
                <w:color w:val="000000"/>
                <w:sz w:val="16"/>
                <w:szCs w:val="16"/>
                <w:lang w:eastAsia="en-AU"/>
              </w:rPr>
              <w:t>11</w:t>
            </w:r>
          </w:p>
        </w:tc>
        <w:tc>
          <w:tcPr>
            <w:tcW w:w="709" w:type="dxa"/>
            <w:tcBorders>
              <w:top w:val="nil"/>
              <w:left w:val="nil"/>
              <w:bottom w:val="single" w:sz="8" w:space="0" w:color="CEE7B3"/>
              <w:right w:val="nil"/>
            </w:tcBorders>
            <w:shd w:val="clear" w:color="auto" w:fill="auto"/>
            <w:vAlign w:val="center"/>
            <w:hideMark/>
          </w:tcPr>
          <w:p w14:paraId="177FBE04"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000000"/>
                <w:sz w:val="16"/>
                <w:szCs w:val="16"/>
                <w:lang w:eastAsia="en-AU"/>
              </w:rPr>
            </w:pPr>
            <w:r w:rsidRPr="00886767">
              <w:rPr>
                <w:rFonts w:ascii="Work Sans SemiBold" w:eastAsia="Times New Roman" w:hAnsi="Work Sans SemiBold" w:cs="Times New Roman"/>
                <w:b/>
                <w:bCs/>
                <w:color w:val="000000"/>
                <w:sz w:val="16"/>
                <w:szCs w:val="16"/>
                <w:lang w:eastAsia="en-AU"/>
              </w:rPr>
              <w:t>11</w:t>
            </w:r>
          </w:p>
        </w:tc>
        <w:tc>
          <w:tcPr>
            <w:tcW w:w="984" w:type="dxa"/>
            <w:tcBorders>
              <w:top w:val="nil"/>
              <w:left w:val="nil"/>
              <w:bottom w:val="single" w:sz="8" w:space="0" w:color="CEE7B3"/>
              <w:right w:val="nil"/>
            </w:tcBorders>
            <w:shd w:val="clear" w:color="auto" w:fill="auto"/>
            <w:vAlign w:val="center"/>
            <w:hideMark/>
          </w:tcPr>
          <w:p w14:paraId="1AA94F69" w14:textId="77777777" w:rsidR="00886767" w:rsidRPr="00886767" w:rsidRDefault="00886767" w:rsidP="001779A5">
            <w:pPr>
              <w:keepNext/>
              <w:keepLines/>
              <w:widowControl w:val="0"/>
              <w:tabs>
                <w:tab w:val="clear" w:pos="567"/>
              </w:tabs>
              <w:spacing w:before="0" w:line="240" w:lineRule="auto"/>
              <w:jc w:val="right"/>
              <w:rPr>
                <w:rFonts w:ascii="Work Sans SemiBold" w:eastAsia="Times New Roman" w:hAnsi="Work Sans SemiBold" w:cs="Times New Roman"/>
                <w:b/>
                <w:bCs/>
                <w:color w:val="000000"/>
                <w:sz w:val="16"/>
                <w:szCs w:val="16"/>
                <w:lang w:eastAsia="en-AU"/>
              </w:rPr>
            </w:pPr>
            <w:r w:rsidRPr="00886767">
              <w:rPr>
                <w:rFonts w:ascii="Work Sans SemiBold" w:eastAsia="Times New Roman" w:hAnsi="Work Sans SemiBold" w:cs="Times New Roman"/>
                <w:b/>
                <w:bCs/>
                <w:color w:val="000000"/>
                <w:sz w:val="16"/>
                <w:szCs w:val="16"/>
                <w:lang w:eastAsia="en-AU"/>
              </w:rPr>
              <w:t>15</w:t>
            </w:r>
          </w:p>
        </w:tc>
      </w:tr>
    </w:tbl>
    <w:p w14:paraId="713E0990" w14:textId="013DB9D2" w:rsidR="00E966C5" w:rsidRPr="009B679B" w:rsidRDefault="00886767" w:rsidP="001779A5">
      <w:pPr>
        <w:pStyle w:val="CGCTablenote"/>
        <w:numPr>
          <w:ilvl w:val="0"/>
          <w:numId w:val="0"/>
        </w:numPr>
      </w:pPr>
      <w:r w:rsidRPr="009B679B">
        <w:t>Source:</w:t>
      </w:r>
      <w:r w:rsidRPr="009B679B">
        <w:tab/>
      </w:r>
      <w:r w:rsidR="001441E5" w:rsidRPr="009B679B">
        <w:t>State data</w:t>
      </w:r>
      <w:r w:rsidRPr="009B679B">
        <w:t>, 2022 Update.</w:t>
      </w:r>
    </w:p>
    <w:p w14:paraId="00D8543B" w14:textId="37DE17BE" w:rsidR="00FF607B" w:rsidRDefault="00FF607B" w:rsidP="00A158FB">
      <w:pPr>
        <w:pStyle w:val="BodyText"/>
      </w:pPr>
      <w:r w:rsidRPr="00A158FB">
        <w:fldChar w:fldCharType="begin"/>
      </w:r>
      <w:r w:rsidRPr="00A158FB">
        <w:instrText xml:space="preserve"> REF _Ref113623706 \h </w:instrText>
      </w:r>
      <w:r w:rsidR="00D33E7E" w:rsidRPr="00A158FB">
        <w:instrText xml:space="preserve"> \* MERGEFORMAT </w:instrText>
      </w:r>
      <w:r w:rsidRPr="00A158FB">
        <w:fldChar w:fldCharType="separate"/>
      </w:r>
      <w:r w:rsidR="004D7CF5">
        <w:t>Figure 1</w:t>
      </w:r>
      <w:r w:rsidRPr="00A158FB">
        <w:fldChar w:fldCharType="end"/>
      </w:r>
      <w:r w:rsidRPr="00A158FB">
        <w:t xml:space="preserve"> presents a breakdown of the types of state investment</w:t>
      </w:r>
      <w:r w:rsidR="007E4153">
        <w:t xml:space="preserve"> in A</w:t>
      </w:r>
      <w:r w:rsidR="0002640A">
        <w:t>ustralia and</w:t>
      </w:r>
      <w:r w:rsidR="00BE50FB">
        <w:t xml:space="preserve"> shows t</w:t>
      </w:r>
      <w:r w:rsidRPr="00A158FB">
        <w:t>he</w:t>
      </w:r>
      <w:r w:rsidR="00FA7D21">
        <w:t xml:space="preserve"> </w:t>
      </w:r>
      <w:r w:rsidRPr="00A158FB">
        <w:t xml:space="preserve">contribution </w:t>
      </w:r>
      <w:r w:rsidR="00FA7D21">
        <w:t xml:space="preserve">of each </w:t>
      </w:r>
      <w:r w:rsidRPr="00A158FB">
        <w:t xml:space="preserve">to </w:t>
      </w:r>
      <w:r w:rsidR="00473BF3">
        <w:t>total</w:t>
      </w:r>
      <w:r w:rsidRPr="00A158FB">
        <w:t xml:space="preserve"> investment expenditure. In 2020</w:t>
      </w:r>
      <w:r w:rsidR="005A1429">
        <w:t>–</w:t>
      </w:r>
      <w:r w:rsidRPr="00A158FB">
        <w:t xml:space="preserve">21, urban transport, health, </w:t>
      </w:r>
      <w:proofErr w:type="gramStart"/>
      <w:r w:rsidRPr="00A158FB">
        <w:t>roads</w:t>
      </w:r>
      <w:proofErr w:type="gramEnd"/>
      <w:r w:rsidRPr="00A158FB">
        <w:t xml:space="preserve"> and schools accounted for about 75% of all state investment</w:t>
      </w:r>
      <w:r w:rsidR="0081003B">
        <w:t xml:space="preserve"> in public infrast</w:t>
      </w:r>
      <w:r w:rsidR="00695C3F">
        <w:t>ructure</w:t>
      </w:r>
      <w:r w:rsidRPr="00A158FB">
        <w:t>.</w:t>
      </w:r>
    </w:p>
    <w:p w14:paraId="06241D4D" w14:textId="02C03933" w:rsidR="00FF607B" w:rsidRDefault="00F8589C" w:rsidP="00BA7817">
      <w:pPr>
        <w:pStyle w:val="Caption"/>
        <w:widowControl w:val="0"/>
      </w:pPr>
      <w:bookmarkStart w:id="2" w:name="_Ref113623706"/>
      <w:r w:rsidRPr="00F2062E">
        <w:rPr>
          <w:noProof/>
        </w:rPr>
        <w:drawing>
          <wp:anchor distT="0" distB="0" distL="114300" distR="114300" simplePos="0" relativeHeight="251658248" behindDoc="1" locked="1" layoutInCell="1" allowOverlap="1" wp14:anchorId="04C79881" wp14:editId="40AA084E">
            <wp:simplePos x="0" y="0"/>
            <wp:positionH relativeFrom="page">
              <wp:align>right</wp:align>
            </wp:positionH>
            <wp:positionV relativeFrom="page">
              <wp:align>top</wp:align>
            </wp:positionV>
            <wp:extent cx="7563485" cy="10690225"/>
            <wp:effectExtent l="0" t="0" r="0" b="0"/>
            <wp:wrapNone/>
            <wp:docPr id="77" name="Picture 7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r w:rsidR="00FF607B">
        <w:t xml:space="preserve">Figure </w:t>
      </w:r>
      <w:r>
        <w:fldChar w:fldCharType="begin"/>
      </w:r>
      <w:r>
        <w:instrText>SEQ Figure \* ARABIC</w:instrText>
      </w:r>
      <w:r>
        <w:fldChar w:fldCharType="separate"/>
      </w:r>
      <w:r w:rsidR="004D7CF5">
        <w:rPr>
          <w:noProof/>
        </w:rPr>
        <w:t>1</w:t>
      </w:r>
      <w:r>
        <w:fldChar w:fldCharType="end"/>
      </w:r>
      <w:bookmarkEnd w:id="2"/>
      <w:r w:rsidR="00FF607B">
        <w:tab/>
        <w:t>Breakdown of state investment by investment type, 2020</w:t>
      </w:r>
      <w:r w:rsidR="005A1429">
        <w:t>–</w:t>
      </w:r>
      <w:r w:rsidR="00FF607B">
        <w:t>21</w:t>
      </w:r>
    </w:p>
    <w:p w14:paraId="5902F4CA" w14:textId="5F55401B" w:rsidR="00935D93" w:rsidRPr="00E14906" w:rsidRDefault="00B1579E" w:rsidP="00BA7817">
      <w:pPr>
        <w:pStyle w:val="BodyText"/>
        <w:keepNext/>
        <w:keepLines/>
        <w:widowControl w:val="0"/>
      </w:pPr>
      <w:r w:rsidRPr="00B1579E">
        <w:rPr>
          <w:noProof/>
        </w:rPr>
        <w:drawing>
          <wp:inline distT="0" distB="0" distL="0" distR="0" wp14:anchorId="3AACE895" wp14:editId="64894364">
            <wp:extent cx="5666400" cy="357480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6400" cy="3574800"/>
                    </a:xfrm>
                    <a:prstGeom prst="rect">
                      <a:avLst/>
                    </a:prstGeom>
                    <a:noFill/>
                    <a:ln>
                      <a:noFill/>
                    </a:ln>
                  </pic:spPr>
                </pic:pic>
              </a:graphicData>
            </a:graphic>
          </wp:inline>
        </w:drawing>
      </w:r>
    </w:p>
    <w:p w14:paraId="748F4400" w14:textId="6261FD8E" w:rsidR="00445EF3" w:rsidRPr="009B679B" w:rsidRDefault="00FF607B" w:rsidP="001779A5">
      <w:pPr>
        <w:pStyle w:val="CGCTablenote"/>
        <w:numPr>
          <w:ilvl w:val="0"/>
          <w:numId w:val="17"/>
        </w:numPr>
        <w:tabs>
          <w:tab w:val="clear" w:pos="993"/>
          <w:tab w:val="left" w:pos="709"/>
        </w:tabs>
        <w:ind w:left="709" w:hanging="709"/>
      </w:pPr>
      <w:r w:rsidRPr="009B679B">
        <w:t>‘Other categories’ includes land, non-urban transport, post-secondary education, services to communities, services to industry and welfare.</w:t>
      </w:r>
      <w:r w:rsidR="00420A79" w:rsidRPr="009B679B">
        <w:t xml:space="preserve"> </w:t>
      </w:r>
      <w:r w:rsidRPr="009B679B">
        <w:t xml:space="preserve">These areas of state investment each contribute less than 2% </w:t>
      </w:r>
      <w:r w:rsidR="009979D8">
        <w:t>of</w:t>
      </w:r>
      <w:r w:rsidR="009979D8" w:rsidRPr="009B679B">
        <w:t xml:space="preserve"> </w:t>
      </w:r>
      <w:r w:rsidRPr="009B679B">
        <w:t>the national total</w:t>
      </w:r>
      <w:r w:rsidR="009979D8">
        <w:t xml:space="preserve"> investment spend</w:t>
      </w:r>
      <w:r w:rsidRPr="009B679B">
        <w:t>.</w:t>
      </w:r>
      <w:r w:rsidR="00E23A56" w:rsidRPr="009B679B">
        <w:t xml:space="preserve"> </w:t>
      </w:r>
    </w:p>
    <w:p w14:paraId="14AE923C" w14:textId="19EE6F20" w:rsidR="0012200F" w:rsidRDefault="00E23A56" w:rsidP="00053959">
      <w:pPr>
        <w:pStyle w:val="CGCTablenote"/>
        <w:numPr>
          <w:ilvl w:val="0"/>
          <w:numId w:val="0"/>
        </w:numPr>
        <w:tabs>
          <w:tab w:val="clear" w:pos="993"/>
          <w:tab w:val="left" w:pos="709"/>
        </w:tabs>
      </w:pPr>
      <w:r w:rsidRPr="009B679B">
        <w:t>Source:</w:t>
      </w:r>
      <w:r w:rsidR="00053959">
        <w:tab/>
      </w:r>
      <w:r w:rsidRPr="009B679B">
        <w:t>State data, 2022 Update.</w:t>
      </w:r>
    </w:p>
    <w:p w14:paraId="7EC13524" w14:textId="77777777" w:rsidR="00942D6F" w:rsidRPr="00942D6F" w:rsidRDefault="00942D6F" w:rsidP="00942D6F"/>
    <w:p w14:paraId="70B7D18F" w14:textId="175AEFB3" w:rsidR="00D56892" w:rsidRPr="00F2062E" w:rsidRDefault="00D56892" w:rsidP="00BA7817">
      <w:pPr>
        <w:pStyle w:val="BodyText"/>
        <w:keepNext/>
        <w:keepLines/>
        <w:widowControl w:val="0"/>
      </w:pPr>
      <w:r>
        <w:lastRenderedPageBreak/>
        <w:t xml:space="preserve">Current and projected population numbers </w:t>
      </w:r>
      <w:r w:rsidR="00114424">
        <w:t xml:space="preserve">are major considerations </w:t>
      </w:r>
      <w:r w:rsidR="00B41D3A">
        <w:t xml:space="preserve">in </w:t>
      </w:r>
      <w:r w:rsidR="00B41D3A" w:rsidRPr="00F2062E">
        <w:t>state</w:t>
      </w:r>
      <w:r w:rsidRPr="00F2062E">
        <w:t xml:space="preserve"> decisions on the type </w:t>
      </w:r>
      <w:r w:rsidR="00682DC7">
        <w:t xml:space="preserve">and </w:t>
      </w:r>
      <w:r w:rsidRPr="00F2062E">
        <w:t>level of investment</w:t>
      </w:r>
      <w:r w:rsidR="00E7300D">
        <w:t xml:space="preserve"> in public infrastructure</w:t>
      </w:r>
      <w:r w:rsidRPr="00F2062E">
        <w:t>.</w:t>
      </w:r>
      <w:r w:rsidRPr="00F2062E">
        <w:rPr>
          <w:rStyle w:val="FootnoteReference"/>
        </w:rPr>
        <w:footnoteReference w:id="2"/>
      </w:r>
      <w:r>
        <w:t xml:space="preserve"> </w:t>
      </w:r>
      <w:r w:rsidR="00027151">
        <w:t xml:space="preserve">Population </w:t>
      </w:r>
      <w:r w:rsidR="00EB04C7">
        <w:t>a</w:t>
      </w:r>
      <w:r w:rsidR="00027151">
        <w:t>ffects two</w:t>
      </w:r>
      <w:r w:rsidR="00B41D3A">
        <w:t xml:space="preserve"> </w:t>
      </w:r>
      <w:r w:rsidRPr="00F2062E">
        <w:t xml:space="preserve">types of </w:t>
      </w:r>
      <w:r>
        <w:t xml:space="preserve">state </w:t>
      </w:r>
      <w:r w:rsidRPr="00F2062E">
        <w:t>invest</w:t>
      </w:r>
      <w:r w:rsidR="00B408B5">
        <w:t>ment</w:t>
      </w:r>
      <w:r>
        <w:t>:</w:t>
      </w:r>
    </w:p>
    <w:p w14:paraId="56EF57A1" w14:textId="3F7D9993" w:rsidR="00D56892" w:rsidRPr="00F2062E" w:rsidRDefault="00D56892" w:rsidP="00BA7817">
      <w:pPr>
        <w:pStyle w:val="CGCBullet1"/>
        <w:keepNext/>
        <w:keepLines/>
        <w:widowControl w:val="0"/>
      </w:pPr>
      <w:r>
        <w:t xml:space="preserve">States invest in </w:t>
      </w:r>
      <w:r w:rsidRPr="00F2062E">
        <w:t xml:space="preserve">infrastructure </w:t>
      </w:r>
      <w:r w:rsidR="00E41F6B">
        <w:t xml:space="preserve">for </w:t>
      </w:r>
      <w:r w:rsidRPr="00F2062E">
        <w:t>new users</w:t>
      </w:r>
      <w:r>
        <w:t>.</w:t>
      </w:r>
      <w:r w:rsidRPr="009626A7">
        <w:t xml:space="preserve"> </w:t>
      </w:r>
      <w:r w:rsidRPr="00F2062E">
        <w:t xml:space="preserve">For example, </w:t>
      </w:r>
      <w:r w:rsidR="00A80E11">
        <w:t xml:space="preserve">a </w:t>
      </w:r>
      <w:r w:rsidRPr="00F2062E">
        <w:t xml:space="preserve">state </w:t>
      </w:r>
      <w:r w:rsidR="006106E7">
        <w:t xml:space="preserve">with a growing population </w:t>
      </w:r>
      <w:r w:rsidR="00BE1D8E">
        <w:t xml:space="preserve">may </w:t>
      </w:r>
      <w:r w:rsidRPr="00F2062E">
        <w:t xml:space="preserve">invest in more hospitals </w:t>
      </w:r>
      <w:r w:rsidR="008E3203">
        <w:t>to</w:t>
      </w:r>
      <w:r w:rsidR="007E5588">
        <w:t xml:space="preserve"> </w:t>
      </w:r>
      <w:r w:rsidRPr="00F2062E">
        <w:t>avoid overcrowding in current hospitals.</w:t>
      </w:r>
    </w:p>
    <w:p w14:paraId="37019EEB" w14:textId="646ECCFF" w:rsidR="00D56892" w:rsidRPr="00F2062E" w:rsidRDefault="00D56892" w:rsidP="00BA7817">
      <w:pPr>
        <w:pStyle w:val="CGCBullet1"/>
        <w:keepNext/>
        <w:keepLines/>
        <w:widowControl w:val="0"/>
      </w:pPr>
      <w:r>
        <w:t xml:space="preserve">States </w:t>
      </w:r>
      <w:r w:rsidRPr="00F2062E">
        <w:t xml:space="preserve">replace assets or purchase </w:t>
      </w:r>
      <w:r>
        <w:t>new assets</w:t>
      </w:r>
      <w:r w:rsidRPr="00F2062E">
        <w:t xml:space="preserve"> </w:t>
      </w:r>
      <w:r>
        <w:t>for</w:t>
      </w:r>
      <w:r w:rsidRPr="00F2062E">
        <w:t xml:space="preserve"> th</w:t>
      </w:r>
      <w:r>
        <w:t xml:space="preserve">e existing </w:t>
      </w:r>
      <w:r w:rsidRPr="00F2062E">
        <w:t>user</w:t>
      </w:r>
      <w:r w:rsidR="007E5588">
        <w:t>s</w:t>
      </w:r>
      <w:r w:rsidR="005001BC">
        <w:t xml:space="preserve"> of the asset</w:t>
      </w:r>
      <w:r w:rsidRPr="00F2062E">
        <w:t xml:space="preserve">. For example, a state might invest </w:t>
      </w:r>
      <w:r w:rsidR="00D157AD">
        <w:t xml:space="preserve">in new train carriages </w:t>
      </w:r>
      <w:r w:rsidRPr="00F2062E">
        <w:t xml:space="preserve">to replace </w:t>
      </w:r>
      <w:r w:rsidR="00D157AD">
        <w:t>those</w:t>
      </w:r>
      <w:r w:rsidRPr="00F2062E">
        <w:t xml:space="preserve"> that </w:t>
      </w:r>
      <w:r w:rsidR="00F2248A">
        <w:t xml:space="preserve">no longer </w:t>
      </w:r>
      <w:r w:rsidR="005F7371">
        <w:t>function efficiently</w:t>
      </w:r>
      <w:r w:rsidR="00E55308">
        <w:t>,</w:t>
      </w:r>
      <w:r w:rsidRPr="00F2062E">
        <w:t xml:space="preserve"> or</w:t>
      </w:r>
      <w:r w:rsidRPr="00F2062E" w:rsidDel="007335F6">
        <w:t xml:space="preserve"> </w:t>
      </w:r>
      <w:r w:rsidR="00CD0D28">
        <w:t>to improve passenger</w:t>
      </w:r>
      <w:r w:rsidRPr="00F2062E">
        <w:t xml:space="preserve"> comfort.</w:t>
      </w:r>
    </w:p>
    <w:p w14:paraId="77D9BC57" w14:textId="3AA65681" w:rsidR="00AB1BFD" w:rsidRDefault="007618CE" w:rsidP="00A158FB">
      <w:pPr>
        <w:pStyle w:val="BodyText"/>
      </w:pPr>
      <w:r w:rsidRPr="00F930C6">
        <w:t>D</w:t>
      </w:r>
      <w:r w:rsidR="00B45967" w:rsidRPr="00F930C6">
        <w:t>ecision</w:t>
      </w:r>
      <w:r w:rsidR="00E60917" w:rsidRPr="00F930C6">
        <w:t>s on how much</w:t>
      </w:r>
      <w:r w:rsidR="00B45967" w:rsidRPr="00F930C6">
        <w:t xml:space="preserve"> to invest in </w:t>
      </w:r>
      <w:r w:rsidR="00E60917" w:rsidRPr="00F930C6">
        <w:t>public infrastructure</w:t>
      </w:r>
      <w:r w:rsidR="00B45967" w:rsidRPr="00F930C6">
        <w:t xml:space="preserve"> </w:t>
      </w:r>
      <w:r w:rsidR="00B573CF" w:rsidRPr="00F930C6">
        <w:t>are</w:t>
      </w:r>
      <w:r w:rsidR="00B45967" w:rsidRPr="00F930C6">
        <w:t xml:space="preserve"> largely a policy matter for state governments.</w:t>
      </w:r>
      <w:r w:rsidR="003A7419" w:rsidRPr="00F930C6">
        <w:t xml:space="preserve"> </w:t>
      </w:r>
      <w:r w:rsidR="00506EA2" w:rsidRPr="00F1741C">
        <w:t xml:space="preserve">The </w:t>
      </w:r>
      <w:r w:rsidR="00E60917" w:rsidRPr="00F1741C">
        <w:t>C</w:t>
      </w:r>
      <w:r w:rsidR="007D197A" w:rsidRPr="00F1741C">
        <w:t>ommission</w:t>
      </w:r>
      <w:r w:rsidR="00E969F2">
        <w:t>,</w:t>
      </w:r>
      <w:r w:rsidR="00295F64" w:rsidRPr="00F1741C">
        <w:t xml:space="preserve"> in assessing investment needs</w:t>
      </w:r>
      <w:r w:rsidR="00E969F2">
        <w:t>,</w:t>
      </w:r>
      <w:r w:rsidR="007D197A" w:rsidRPr="00F1741C">
        <w:t xml:space="preserve"> </w:t>
      </w:r>
      <w:r w:rsidR="00F04F99" w:rsidRPr="00F1741C">
        <w:t xml:space="preserve">looks </w:t>
      </w:r>
      <w:r w:rsidR="00F1476E" w:rsidRPr="00F1741C">
        <w:t xml:space="preserve">for drivers of investment that are </w:t>
      </w:r>
      <w:r w:rsidR="00760E26" w:rsidRPr="00F930C6">
        <w:t>beyond</w:t>
      </w:r>
      <w:r w:rsidR="00760E26" w:rsidRPr="00F1741C">
        <w:t xml:space="preserve"> </w:t>
      </w:r>
      <w:r w:rsidR="00D103E7" w:rsidRPr="00F930C6">
        <w:t>states’</w:t>
      </w:r>
      <w:r w:rsidR="00F1476E" w:rsidRPr="00F1741C">
        <w:t xml:space="preserve"> </w:t>
      </w:r>
      <w:r w:rsidR="006100AD" w:rsidRPr="00F1741C">
        <w:t>control</w:t>
      </w:r>
      <w:r w:rsidR="00690442" w:rsidRPr="00F1741C">
        <w:t xml:space="preserve"> to remove the influence of state policy choices</w:t>
      </w:r>
      <w:r w:rsidRPr="00F1741C">
        <w:t>.</w:t>
      </w:r>
      <w:r w:rsidR="00585539">
        <w:t xml:space="preserve"> Accordingly,</w:t>
      </w:r>
      <w:r>
        <w:t xml:space="preserve"> </w:t>
      </w:r>
      <w:r w:rsidR="00585539">
        <w:t>i</w:t>
      </w:r>
      <w:r>
        <w:t xml:space="preserve">t </w:t>
      </w:r>
      <w:r w:rsidR="00B53065">
        <w:t xml:space="preserve">has concluded </w:t>
      </w:r>
      <w:r w:rsidR="007D197A" w:rsidRPr="00F2062E">
        <w:t xml:space="preserve">that population is </w:t>
      </w:r>
      <w:r w:rsidR="007D197A">
        <w:t xml:space="preserve">the most policy neutral driver </w:t>
      </w:r>
      <w:r w:rsidR="007D197A" w:rsidRPr="00F2062E">
        <w:t xml:space="preserve">of </w:t>
      </w:r>
      <w:r w:rsidR="00B53065">
        <w:t>state investment needs.</w:t>
      </w:r>
    </w:p>
    <w:p w14:paraId="3C4F7B6F" w14:textId="0696079E" w:rsidR="00144F5E" w:rsidRDefault="00777EA3" w:rsidP="00793EC7">
      <w:pPr>
        <w:pStyle w:val="BodyText"/>
        <w:rPr>
          <w:shd w:val="clear" w:color="auto" w:fill="auto"/>
          <w:lang w:eastAsia="en-AU"/>
        </w:rPr>
      </w:pPr>
      <w:r w:rsidRPr="00F930C6">
        <w:rPr>
          <w:lang w:eastAsia="en-AU"/>
        </w:rPr>
        <w:t xml:space="preserve">The </w:t>
      </w:r>
      <w:r w:rsidR="00813456" w:rsidRPr="00F930C6">
        <w:rPr>
          <w:lang w:eastAsia="en-AU"/>
        </w:rPr>
        <w:t>size</w:t>
      </w:r>
      <w:r w:rsidRPr="00F930C6">
        <w:rPr>
          <w:lang w:eastAsia="en-AU"/>
        </w:rPr>
        <w:t xml:space="preserve"> of the population that uses</w:t>
      </w:r>
      <w:r w:rsidR="0058454B" w:rsidRPr="00F930C6">
        <w:rPr>
          <w:lang w:eastAsia="en-AU"/>
        </w:rPr>
        <w:t xml:space="preserve"> </w:t>
      </w:r>
      <w:r w:rsidRPr="00F930C6">
        <w:rPr>
          <w:lang w:eastAsia="en-AU"/>
        </w:rPr>
        <w:t>types of infrastructure (referred to as the ‘user</w:t>
      </w:r>
      <w:r w:rsidR="00687BA3" w:rsidRPr="00F930C6">
        <w:rPr>
          <w:lang w:eastAsia="en-AU"/>
        </w:rPr>
        <w:noBreakHyphen/>
      </w:r>
      <w:r w:rsidRPr="00F930C6">
        <w:rPr>
          <w:lang w:eastAsia="en-AU"/>
        </w:rPr>
        <w:t>population’</w:t>
      </w:r>
      <w:r w:rsidR="00967CF5" w:rsidRPr="00F930C6">
        <w:rPr>
          <w:rStyle w:val="FootnoteReference"/>
        </w:rPr>
        <w:footnoteReference w:id="3"/>
      </w:r>
      <w:r w:rsidRPr="00F930C6">
        <w:rPr>
          <w:lang w:eastAsia="en-AU"/>
        </w:rPr>
        <w:t>) differs from state to state</w:t>
      </w:r>
      <w:r w:rsidR="003060A6" w:rsidRPr="00F930C6">
        <w:rPr>
          <w:lang w:eastAsia="en-AU"/>
        </w:rPr>
        <w:t>,</w:t>
      </w:r>
      <w:r w:rsidRPr="00F930C6">
        <w:rPr>
          <w:lang w:eastAsia="en-AU"/>
        </w:rPr>
        <w:t xml:space="preserve"> as does the growth</w:t>
      </w:r>
      <w:r w:rsidR="00EC1BBB" w:rsidRPr="00F930C6">
        <w:rPr>
          <w:lang w:eastAsia="en-AU"/>
        </w:rPr>
        <w:t xml:space="preserve"> rate</w:t>
      </w:r>
      <w:r w:rsidRPr="00F930C6">
        <w:rPr>
          <w:lang w:eastAsia="en-AU"/>
        </w:rPr>
        <w:t xml:space="preserve"> of this population. A state with </w:t>
      </w:r>
      <w:r w:rsidR="003060A6" w:rsidRPr="00F930C6">
        <w:rPr>
          <w:lang w:eastAsia="en-AU"/>
        </w:rPr>
        <w:t>a</w:t>
      </w:r>
      <w:r w:rsidRPr="00F930C6">
        <w:rPr>
          <w:lang w:eastAsia="en-AU"/>
        </w:rPr>
        <w:t xml:space="preserve"> </w:t>
      </w:r>
      <w:r w:rsidR="00085ED5" w:rsidRPr="00F930C6">
        <w:rPr>
          <w:shd w:val="clear" w:color="auto" w:fill="auto"/>
          <w:lang w:eastAsia="en-AU"/>
        </w:rPr>
        <w:t xml:space="preserve">higher </w:t>
      </w:r>
      <w:r w:rsidRPr="00F930C6">
        <w:rPr>
          <w:lang w:eastAsia="en-AU"/>
        </w:rPr>
        <w:t>user-population growth</w:t>
      </w:r>
      <w:r w:rsidR="00A960AD" w:rsidRPr="00F930C6">
        <w:rPr>
          <w:lang w:eastAsia="en-AU"/>
        </w:rPr>
        <w:t xml:space="preserve"> rate</w:t>
      </w:r>
      <w:r w:rsidRPr="00F930C6">
        <w:rPr>
          <w:lang w:eastAsia="en-AU"/>
        </w:rPr>
        <w:t xml:space="preserve"> than the national average will be assessed as needing to invest more in infrastructure than a state with </w:t>
      </w:r>
      <w:r w:rsidR="003060A6" w:rsidRPr="00F930C6">
        <w:rPr>
          <w:lang w:eastAsia="en-AU"/>
        </w:rPr>
        <w:t xml:space="preserve">a </w:t>
      </w:r>
      <w:r w:rsidRPr="00F930C6">
        <w:rPr>
          <w:lang w:eastAsia="en-AU"/>
        </w:rPr>
        <w:t>lower growth</w:t>
      </w:r>
      <w:r w:rsidR="00A960AD" w:rsidRPr="00F930C6">
        <w:rPr>
          <w:lang w:eastAsia="en-AU"/>
        </w:rPr>
        <w:t xml:space="preserve"> rate</w:t>
      </w:r>
      <w:r w:rsidRPr="00F930C6">
        <w:rPr>
          <w:lang w:eastAsia="en-AU"/>
        </w:rPr>
        <w:t>.</w:t>
      </w:r>
    </w:p>
    <w:p w14:paraId="2014FA5F" w14:textId="4C91D6BE" w:rsidR="00B53065" w:rsidRPr="00F2062E" w:rsidRDefault="00B53065" w:rsidP="00A158FB">
      <w:pPr>
        <w:pStyle w:val="BodyText"/>
        <w:rPr>
          <w:shd w:val="clear" w:color="auto" w:fill="auto"/>
          <w:lang w:eastAsia="en-AU"/>
        </w:rPr>
      </w:pPr>
      <w:r w:rsidRPr="00F2062E">
        <w:rPr>
          <w:shd w:val="clear" w:color="auto" w:fill="auto"/>
          <w:lang w:eastAsia="en-AU"/>
        </w:rPr>
        <w:t xml:space="preserve">This paper </w:t>
      </w:r>
      <w:r w:rsidR="00F34EB2">
        <w:rPr>
          <w:shd w:val="clear" w:color="auto" w:fill="auto"/>
          <w:lang w:eastAsia="en-AU"/>
        </w:rPr>
        <w:t>describes</w:t>
      </w:r>
      <w:r w:rsidR="002D04F2">
        <w:rPr>
          <w:shd w:val="clear" w:color="auto" w:fill="auto"/>
          <w:lang w:eastAsia="en-AU"/>
        </w:rPr>
        <w:t xml:space="preserve"> </w:t>
      </w:r>
      <w:r w:rsidRPr="00F2062E">
        <w:rPr>
          <w:shd w:val="clear" w:color="auto" w:fill="auto"/>
          <w:lang w:eastAsia="en-AU"/>
        </w:rPr>
        <w:t xml:space="preserve">how the </w:t>
      </w:r>
      <w:r w:rsidR="00162D76">
        <w:rPr>
          <w:shd w:val="clear" w:color="auto" w:fill="auto"/>
          <w:lang w:eastAsia="en-AU"/>
        </w:rPr>
        <w:t xml:space="preserve">Commission </w:t>
      </w:r>
      <w:r w:rsidR="005014D4">
        <w:rPr>
          <w:shd w:val="clear" w:color="auto" w:fill="auto"/>
          <w:lang w:eastAsia="en-AU"/>
        </w:rPr>
        <w:t xml:space="preserve">assesses </w:t>
      </w:r>
      <w:r w:rsidR="007C039A">
        <w:rPr>
          <w:shd w:val="clear" w:color="auto" w:fill="auto"/>
          <w:lang w:eastAsia="en-AU"/>
        </w:rPr>
        <w:t>state investment needs.</w:t>
      </w:r>
      <w:r w:rsidRPr="00F2062E">
        <w:rPr>
          <w:shd w:val="clear" w:color="auto" w:fill="auto"/>
          <w:lang w:eastAsia="en-AU"/>
        </w:rPr>
        <w:t xml:space="preserve"> It uses </w:t>
      </w:r>
      <w:r w:rsidR="00AB1BFD">
        <w:rPr>
          <w:shd w:val="clear" w:color="auto" w:fill="auto"/>
          <w:lang w:eastAsia="en-AU"/>
        </w:rPr>
        <w:t xml:space="preserve">the </w:t>
      </w:r>
      <w:proofErr w:type="gramStart"/>
      <w:r>
        <w:rPr>
          <w:shd w:val="clear" w:color="auto" w:fill="auto"/>
          <w:lang w:eastAsia="en-AU"/>
        </w:rPr>
        <w:t>schools</w:t>
      </w:r>
      <w:proofErr w:type="gramEnd"/>
      <w:r>
        <w:rPr>
          <w:shd w:val="clear" w:color="auto" w:fill="auto"/>
          <w:lang w:eastAsia="en-AU"/>
        </w:rPr>
        <w:t xml:space="preserve"> </w:t>
      </w:r>
      <w:r w:rsidRPr="00F2062E">
        <w:rPr>
          <w:shd w:val="clear" w:color="auto" w:fill="auto"/>
          <w:lang w:eastAsia="en-AU"/>
        </w:rPr>
        <w:t xml:space="preserve">investment </w:t>
      </w:r>
      <w:r w:rsidR="00AB1BFD">
        <w:rPr>
          <w:shd w:val="clear" w:color="auto" w:fill="auto"/>
          <w:lang w:eastAsia="en-AU"/>
        </w:rPr>
        <w:t xml:space="preserve">assessment </w:t>
      </w:r>
      <w:r w:rsidRPr="00F2062E">
        <w:rPr>
          <w:shd w:val="clear" w:color="auto" w:fill="auto"/>
          <w:lang w:eastAsia="en-AU"/>
        </w:rPr>
        <w:t xml:space="preserve">to </w:t>
      </w:r>
      <w:r w:rsidR="00226F3B">
        <w:rPr>
          <w:shd w:val="clear" w:color="auto" w:fill="auto"/>
          <w:lang w:eastAsia="en-AU"/>
        </w:rPr>
        <w:t>show</w:t>
      </w:r>
      <w:r w:rsidRPr="00F2062E">
        <w:rPr>
          <w:shd w:val="clear" w:color="auto" w:fill="auto"/>
          <w:lang w:eastAsia="en-AU"/>
        </w:rPr>
        <w:t xml:space="preserve"> how </w:t>
      </w:r>
      <w:r>
        <w:rPr>
          <w:shd w:val="clear" w:color="auto" w:fill="auto"/>
          <w:lang w:eastAsia="en-AU"/>
        </w:rPr>
        <w:t xml:space="preserve">the Commission’s assessment of </w:t>
      </w:r>
      <w:r w:rsidRPr="00F2062E">
        <w:rPr>
          <w:shd w:val="clear" w:color="auto" w:fill="auto"/>
          <w:lang w:eastAsia="en-AU"/>
        </w:rPr>
        <w:t>a state’s investment needs can change from year to year.</w:t>
      </w:r>
    </w:p>
    <w:p w14:paraId="7838ABF6" w14:textId="29311AC8" w:rsidR="0016560F" w:rsidRPr="00F2062E" w:rsidRDefault="00F8589C" w:rsidP="00392CC9">
      <w:pPr>
        <w:pStyle w:val="Heading2"/>
      </w:pPr>
      <w:r w:rsidRPr="00F2062E">
        <w:rPr>
          <w:noProof/>
        </w:rPr>
        <w:drawing>
          <wp:anchor distT="0" distB="0" distL="114300" distR="114300" simplePos="0" relativeHeight="251658249" behindDoc="1" locked="1" layoutInCell="1" allowOverlap="1" wp14:anchorId="5BDD31B0" wp14:editId="594C276F">
            <wp:simplePos x="0" y="0"/>
            <wp:positionH relativeFrom="page">
              <wp:posOffset>7620</wp:posOffset>
            </wp:positionH>
            <wp:positionV relativeFrom="page">
              <wp:posOffset>6350</wp:posOffset>
            </wp:positionV>
            <wp:extent cx="7563485" cy="10690225"/>
            <wp:effectExtent l="0" t="0" r="0" b="0"/>
            <wp:wrapNone/>
            <wp:docPr id="78" name="Picture 7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r w:rsidR="00E33BAA">
        <w:t>The investment assessment: a framework</w:t>
      </w:r>
    </w:p>
    <w:p w14:paraId="7CB81914" w14:textId="0C0AD591" w:rsidR="00C864C5" w:rsidRDefault="0082499A" w:rsidP="00A158FB">
      <w:pPr>
        <w:pStyle w:val="BodyText"/>
      </w:pPr>
      <w:r>
        <w:t>T</w:t>
      </w:r>
      <w:r w:rsidR="00F92119">
        <w:t xml:space="preserve">he </w:t>
      </w:r>
      <w:r w:rsidR="002564FE">
        <w:t>Commission</w:t>
      </w:r>
      <w:r w:rsidR="0074403A">
        <w:t xml:space="preserve">’s task is </w:t>
      </w:r>
      <w:r w:rsidR="00D97B10">
        <w:t xml:space="preserve">to </w:t>
      </w:r>
      <w:r w:rsidR="00C864C5">
        <w:t xml:space="preserve">determine </w:t>
      </w:r>
      <w:r w:rsidR="004C68B9">
        <w:t xml:space="preserve">every year </w:t>
      </w:r>
      <w:r w:rsidR="00C864C5">
        <w:t>how much</w:t>
      </w:r>
      <w:r w:rsidR="008F5C27">
        <w:t xml:space="preserve"> more or less than </w:t>
      </w:r>
      <w:r w:rsidR="003A17DA">
        <w:t xml:space="preserve">the </w:t>
      </w:r>
      <w:r w:rsidR="008F5C27">
        <w:t xml:space="preserve">average </w:t>
      </w:r>
      <w:r w:rsidR="00325A07">
        <w:t xml:space="preserve">each state needs to spend to provide the average level of </w:t>
      </w:r>
      <w:r w:rsidR="00A23C1F">
        <w:t>infrastructure.</w:t>
      </w:r>
      <w:r w:rsidR="00774CC5">
        <w:t xml:space="preserve"> This assessment is not based on how much </w:t>
      </w:r>
      <w:r w:rsidR="00216127">
        <w:t>an individual</w:t>
      </w:r>
      <w:r w:rsidR="00774CC5">
        <w:t xml:space="preserve"> state </w:t>
      </w:r>
      <w:proofErr w:type="gramStart"/>
      <w:r w:rsidR="00774CC5">
        <w:t>actually spends</w:t>
      </w:r>
      <w:proofErr w:type="gramEnd"/>
      <w:r w:rsidR="00774CC5">
        <w:t xml:space="preserve">, but rather how much </w:t>
      </w:r>
      <w:r w:rsidR="00AF1C5A">
        <w:t xml:space="preserve">it </w:t>
      </w:r>
      <w:r w:rsidR="00774CC5">
        <w:t>need</w:t>
      </w:r>
      <w:r w:rsidR="00AF1C5A">
        <w:t>s</w:t>
      </w:r>
      <w:r w:rsidR="00774CC5">
        <w:t xml:space="preserve"> to spend to </w:t>
      </w:r>
      <w:r w:rsidR="0012626C">
        <w:t>achieve</w:t>
      </w:r>
      <w:r w:rsidR="00636773">
        <w:t xml:space="preserve"> the average level of infrastructure </w:t>
      </w:r>
      <w:r w:rsidR="006D6D92">
        <w:t xml:space="preserve">across Australia </w:t>
      </w:r>
      <w:r w:rsidR="0057348A">
        <w:t>(</w:t>
      </w:r>
      <w:r w:rsidR="00636773">
        <w:t xml:space="preserve">based on </w:t>
      </w:r>
      <w:r w:rsidR="00AF1C5A">
        <w:t xml:space="preserve">its </w:t>
      </w:r>
      <w:r w:rsidR="00636773">
        <w:t>population’s size and needs</w:t>
      </w:r>
      <w:r w:rsidR="0057348A">
        <w:t>)</w:t>
      </w:r>
      <w:r w:rsidR="00636773">
        <w:t>.</w:t>
      </w:r>
    </w:p>
    <w:p w14:paraId="31417094" w14:textId="111304EF" w:rsidR="0016560F" w:rsidRPr="00F2062E" w:rsidRDefault="009E3010" w:rsidP="00A158FB">
      <w:pPr>
        <w:pStyle w:val="BodyText"/>
      </w:pPr>
      <w:r w:rsidRPr="00F2062E">
        <w:t>S</w:t>
      </w:r>
      <w:r w:rsidR="0005563F" w:rsidRPr="00F2062E">
        <w:t xml:space="preserve">tates </w:t>
      </w:r>
      <w:r w:rsidRPr="00F2062E">
        <w:t>hav</w:t>
      </w:r>
      <w:r w:rsidR="003B5919" w:rsidRPr="00F2062E">
        <w:t>e</w:t>
      </w:r>
      <w:r w:rsidRPr="00F2062E">
        <w:t xml:space="preserve"> different investment needs because of</w:t>
      </w:r>
      <w:r w:rsidR="00F07DCF" w:rsidRPr="00F07DCF">
        <w:t xml:space="preserve"> </w:t>
      </w:r>
      <w:r w:rsidR="00F07DCF">
        <w:t>differences between states in</w:t>
      </w:r>
      <w:r w:rsidRPr="00F2062E">
        <w:t>:</w:t>
      </w:r>
    </w:p>
    <w:p w14:paraId="3688BA3A" w14:textId="6DE96BBA" w:rsidR="0016560F" w:rsidRPr="00F2062E" w:rsidRDefault="008A05EC" w:rsidP="00E14906">
      <w:pPr>
        <w:pStyle w:val="CGCBullet1"/>
      </w:pPr>
      <w:r>
        <w:t>the user-</w:t>
      </w:r>
      <w:r w:rsidR="008030F6" w:rsidRPr="00F2062E">
        <w:t>population</w:t>
      </w:r>
      <w:r>
        <w:t xml:space="preserve"> of each asset type, </w:t>
      </w:r>
      <w:r w:rsidR="002C38FE" w:rsidRPr="00F2062E">
        <w:t xml:space="preserve">and the </w:t>
      </w:r>
      <w:r w:rsidR="00BF3092" w:rsidRPr="00F2062E">
        <w:t>degree to which</w:t>
      </w:r>
      <w:r w:rsidR="002C38FE" w:rsidRPr="00F2062E">
        <w:t xml:space="preserve"> </w:t>
      </w:r>
      <w:r w:rsidR="00410F36" w:rsidRPr="00F2062E">
        <w:t xml:space="preserve">that </w:t>
      </w:r>
      <w:r w:rsidR="002C38FE" w:rsidRPr="00F2062E">
        <w:t>population</w:t>
      </w:r>
      <w:r w:rsidR="00BE1BEC" w:rsidRPr="00F2062E">
        <w:t xml:space="preserve"> </w:t>
      </w:r>
      <w:r w:rsidR="00D54A4F" w:rsidRPr="00F2062E">
        <w:t xml:space="preserve">changes during </w:t>
      </w:r>
      <w:r w:rsidR="000B4960">
        <w:t>the</w:t>
      </w:r>
      <w:r w:rsidR="000B4960" w:rsidRPr="00F2062E">
        <w:t xml:space="preserve"> </w:t>
      </w:r>
      <w:r w:rsidR="00D54A4F" w:rsidRPr="00F2062E">
        <w:t>year</w:t>
      </w:r>
    </w:p>
    <w:p w14:paraId="365D2274" w14:textId="040B3149" w:rsidR="0016560F" w:rsidRDefault="0016560F" w:rsidP="00E14906">
      <w:pPr>
        <w:pStyle w:val="CGCBullet1"/>
      </w:pPr>
      <w:r w:rsidRPr="00F2062E">
        <w:t>the unit cost of building such infrastructure</w:t>
      </w:r>
      <w:r w:rsidR="00CD4F9C" w:rsidRPr="00F2062E">
        <w:t>.</w:t>
      </w:r>
    </w:p>
    <w:p w14:paraId="526A772F" w14:textId="6570F032" w:rsidR="00562779" w:rsidRDefault="00D849BE" w:rsidP="00D849BE">
      <w:pPr>
        <w:pStyle w:val="BodyText"/>
      </w:pPr>
      <w:r>
        <w:t>The Commission</w:t>
      </w:r>
      <w:r w:rsidR="00C3286C">
        <w:t xml:space="preserve"> measures</w:t>
      </w:r>
      <w:r w:rsidR="00C3286C">
        <w:rPr>
          <w:rStyle w:val="CommentReference"/>
          <w:rFonts w:ascii="Open Sans Light" w:hAnsi="Open Sans Light" w:cstheme="minorBidi"/>
          <w:color w:val="auto"/>
          <w:shd w:val="clear" w:color="auto" w:fill="auto"/>
        </w:rPr>
        <w:t xml:space="preserve"> </w:t>
      </w:r>
      <w:r w:rsidR="00C3286C">
        <w:t>the d</w:t>
      </w:r>
      <w:r w:rsidRPr="002166B9">
        <w:t>ifference between the size of the population estimated to use an asset at the start and at the end of the year.</w:t>
      </w:r>
    </w:p>
    <w:p w14:paraId="1DC8868D" w14:textId="793D6321" w:rsidR="00D849BE" w:rsidRDefault="0007399D" w:rsidP="00D849BE">
      <w:pPr>
        <w:pStyle w:val="BodyText"/>
      </w:pPr>
      <w:r>
        <w:t>A s</w:t>
      </w:r>
      <w:r w:rsidR="00D849BE" w:rsidRPr="002166B9">
        <w:t>tate with above</w:t>
      </w:r>
      <w:r w:rsidR="00D849BE" w:rsidRPr="002166B9">
        <w:noBreakHyphen/>
        <w:t>average growth in its user</w:t>
      </w:r>
      <w:r w:rsidR="00D849BE" w:rsidRPr="002166B9">
        <w:noBreakHyphen/>
        <w:t xml:space="preserve">population </w:t>
      </w:r>
      <w:r w:rsidR="004A1784">
        <w:t xml:space="preserve">is assessed as </w:t>
      </w:r>
      <w:r w:rsidR="00D849BE" w:rsidRPr="002166B9">
        <w:t>requir</w:t>
      </w:r>
      <w:r w:rsidR="004A1784">
        <w:t>ing</w:t>
      </w:r>
      <w:r w:rsidR="00D849BE">
        <w:t xml:space="preserve"> more investment than </w:t>
      </w:r>
      <w:r>
        <w:t>one</w:t>
      </w:r>
      <w:r w:rsidR="00D849BE">
        <w:t xml:space="preserve"> with below-average growth.</w:t>
      </w:r>
    </w:p>
    <w:p w14:paraId="0C25B61F" w14:textId="13C0778A" w:rsidR="00D849BE" w:rsidRDefault="001F1B7D" w:rsidP="005F7DA8">
      <w:pPr>
        <w:pStyle w:val="BodyText"/>
      </w:pPr>
      <w:r w:rsidRPr="00F2062E">
        <w:rPr>
          <w:noProof/>
        </w:rPr>
        <w:drawing>
          <wp:anchor distT="0" distB="0" distL="114300" distR="114300" simplePos="0" relativeHeight="251658251" behindDoc="1" locked="1" layoutInCell="1" allowOverlap="1" wp14:anchorId="3CEC86C2" wp14:editId="675B9599">
            <wp:simplePos x="0" y="0"/>
            <wp:positionH relativeFrom="page">
              <wp:align>left</wp:align>
            </wp:positionH>
            <wp:positionV relativeFrom="page">
              <wp:align>bottom</wp:align>
            </wp:positionV>
            <wp:extent cx="7563485" cy="10690225"/>
            <wp:effectExtent l="0" t="0" r="0" b="0"/>
            <wp:wrapNone/>
            <wp:docPr id="7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r w:rsidR="00FA63AD">
        <w:t>I</w:t>
      </w:r>
      <w:r w:rsidR="00D849BE">
        <w:t xml:space="preserve">n the case of the </w:t>
      </w:r>
      <w:proofErr w:type="gramStart"/>
      <w:r w:rsidR="00D849BE">
        <w:t>schools</w:t>
      </w:r>
      <w:proofErr w:type="gramEnd"/>
      <w:r w:rsidR="00D849BE">
        <w:t xml:space="preserve"> investment assessment, the user</w:t>
      </w:r>
      <w:r w:rsidR="00D849BE">
        <w:noBreakHyphen/>
        <w:t xml:space="preserve">population relates to the number of </w:t>
      </w:r>
      <w:r w:rsidR="00D849BE" w:rsidRPr="00CF11C9">
        <w:t xml:space="preserve">students </w:t>
      </w:r>
      <w:r w:rsidR="00D849BE">
        <w:t>enrolled in government schools.</w:t>
      </w:r>
      <w:r w:rsidR="00D849BE" w:rsidRPr="00F2062E">
        <w:rPr>
          <w:rStyle w:val="FootnoteReference"/>
        </w:rPr>
        <w:footnoteReference w:id="4"/>
      </w:r>
      <w:r w:rsidR="00D849BE">
        <w:t xml:space="preserve"> </w:t>
      </w:r>
      <w:r w:rsidR="00CA1EB1">
        <w:t xml:space="preserve">Figure 2 shows how </w:t>
      </w:r>
      <w:r w:rsidR="004C311B">
        <w:t>changes in user</w:t>
      </w:r>
      <w:r w:rsidR="002E441E">
        <w:noBreakHyphen/>
      </w:r>
      <w:r w:rsidR="004C311B">
        <w:t xml:space="preserve">populations </w:t>
      </w:r>
      <w:r w:rsidR="0018745F">
        <w:t xml:space="preserve">are used to determine </w:t>
      </w:r>
      <w:r w:rsidR="005F7DA8">
        <w:t>GST requirements</w:t>
      </w:r>
      <w:r w:rsidR="00A406C7">
        <w:t>,</w:t>
      </w:r>
      <w:r w:rsidR="005F7DA8">
        <w:t xml:space="preserve"> u</w:t>
      </w:r>
      <w:r w:rsidR="00CA1EB1" w:rsidRPr="00F2062E">
        <w:t xml:space="preserve">sing </w:t>
      </w:r>
      <w:r w:rsidR="00CA1EB1">
        <w:t xml:space="preserve">the schools investment assessment </w:t>
      </w:r>
      <w:r w:rsidR="00CA1EB1" w:rsidRPr="00F2062E">
        <w:t>as an example.</w:t>
      </w:r>
    </w:p>
    <w:p w14:paraId="1141B513" w14:textId="2876462F" w:rsidR="009A51DE" w:rsidRDefault="00C32D1A" w:rsidP="00370BCB">
      <w:pPr>
        <w:pStyle w:val="Caption"/>
      </w:pPr>
      <w:bookmarkStart w:id="3" w:name="_Ref113972273"/>
      <w:bookmarkStart w:id="4" w:name="_Ref115878762"/>
      <w:r>
        <w:lastRenderedPageBreak/>
        <w:t>Figure</w:t>
      </w:r>
      <w:r w:rsidR="001C6FE6">
        <w:t> </w:t>
      </w:r>
      <w:r>
        <w:fldChar w:fldCharType="begin"/>
      </w:r>
      <w:r>
        <w:instrText>SEQ Figure \* ARABIC</w:instrText>
      </w:r>
      <w:r>
        <w:fldChar w:fldCharType="separate"/>
      </w:r>
      <w:r w:rsidR="004D7CF5">
        <w:rPr>
          <w:noProof/>
        </w:rPr>
        <w:t>2</w:t>
      </w:r>
      <w:r>
        <w:fldChar w:fldCharType="end"/>
      </w:r>
      <w:bookmarkEnd w:id="3"/>
      <w:r>
        <w:tab/>
      </w:r>
      <w:r w:rsidR="00A406C7">
        <w:t>I</w:t>
      </w:r>
      <w:r w:rsidRPr="00E23BD8">
        <w:t>llustration</w:t>
      </w:r>
      <w:r w:rsidR="008B7D3B" w:rsidRPr="00E23BD8">
        <w:t xml:space="preserve"> of</w:t>
      </w:r>
      <w:r w:rsidRPr="006243C5">
        <w:t xml:space="preserve"> </w:t>
      </w:r>
      <w:bookmarkStart w:id="5" w:name="_Hlk115878736"/>
      <w:proofErr w:type="gramStart"/>
      <w:r w:rsidRPr="006243C5">
        <w:t>schools</w:t>
      </w:r>
      <w:proofErr w:type="gramEnd"/>
      <w:r w:rsidRPr="006243C5">
        <w:t xml:space="preserve"> investment assessment</w:t>
      </w:r>
      <w:bookmarkEnd w:id="4"/>
      <w:bookmarkEnd w:id="5"/>
      <w:r w:rsidR="00835E13" w:rsidRPr="00E23BD8">
        <w:t xml:space="preserve"> method</w:t>
      </w:r>
    </w:p>
    <w:p w14:paraId="5BCC50DD" w14:textId="70345F3F" w:rsidR="009A51DE" w:rsidRDefault="00370BCB" w:rsidP="00A158FB">
      <w:pPr>
        <w:pStyle w:val="BodyText"/>
      </w:pPr>
      <w:r>
        <w:rPr>
          <w:noProof/>
        </w:rPr>
        <w:drawing>
          <wp:inline distT="0" distB="0" distL="0" distR="0" wp14:anchorId="79E1CE4F" wp14:editId="48AFBD58">
            <wp:extent cx="5148000" cy="6302206"/>
            <wp:effectExtent l="19050" t="19050" r="1460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8000" cy="6302206"/>
                    </a:xfrm>
                    <a:prstGeom prst="rect">
                      <a:avLst/>
                    </a:prstGeom>
                    <a:noFill/>
                    <a:ln>
                      <a:solidFill>
                        <a:srgbClr val="CEE7B3"/>
                      </a:solidFill>
                    </a:ln>
                  </pic:spPr>
                </pic:pic>
              </a:graphicData>
            </a:graphic>
          </wp:inline>
        </w:drawing>
      </w:r>
    </w:p>
    <w:p w14:paraId="099D0203" w14:textId="6D225CDA" w:rsidR="00C32D1A" w:rsidRPr="009B679B" w:rsidRDefault="00C32D1A" w:rsidP="00936526">
      <w:pPr>
        <w:pStyle w:val="CGCTablenote"/>
        <w:numPr>
          <w:ilvl w:val="0"/>
          <w:numId w:val="0"/>
        </w:numPr>
        <w:ind w:left="709" w:hanging="709"/>
      </w:pPr>
      <w:r w:rsidRPr="009B679B">
        <w:t>Source:</w:t>
      </w:r>
      <w:r w:rsidRPr="009B679B">
        <w:tab/>
        <w:t>2020 Methodology Review.</w:t>
      </w:r>
    </w:p>
    <w:p w14:paraId="56A5B598" w14:textId="2FC161D3" w:rsidR="001E263E" w:rsidRPr="00F2062E" w:rsidRDefault="001F1B7D" w:rsidP="00A158FB">
      <w:pPr>
        <w:pStyle w:val="BodyText"/>
      </w:pPr>
      <w:r w:rsidRPr="00F2062E">
        <w:rPr>
          <w:noProof/>
        </w:rPr>
        <w:drawing>
          <wp:anchor distT="0" distB="0" distL="114300" distR="114300" simplePos="0" relativeHeight="251658252" behindDoc="1" locked="1" layoutInCell="1" allowOverlap="1" wp14:anchorId="1C402513" wp14:editId="3655A1AB">
            <wp:simplePos x="0" y="0"/>
            <wp:positionH relativeFrom="page">
              <wp:posOffset>4445</wp:posOffset>
            </wp:positionH>
            <wp:positionV relativeFrom="page">
              <wp:posOffset>7620</wp:posOffset>
            </wp:positionV>
            <wp:extent cx="7563485" cy="10690225"/>
            <wp:effectExtent l="0" t="0" r="0" b="0"/>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r w:rsidR="00A629EB">
        <w:t>T</w:t>
      </w:r>
      <w:r w:rsidR="00F42A30">
        <w:t>he Commission collects data from each state</w:t>
      </w:r>
      <w:r w:rsidR="00F42A30" w:rsidRPr="00D33E7E">
        <w:t xml:space="preserve"> </w:t>
      </w:r>
      <w:r w:rsidR="00F42A30">
        <w:t xml:space="preserve">on </w:t>
      </w:r>
      <w:r w:rsidR="00F42A30" w:rsidRPr="00D33E7E">
        <w:t>the value of</w:t>
      </w:r>
      <w:r w:rsidR="00F42A30">
        <w:t xml:space="preserve"> its</w:t>
      </w:r>
      <w:r w:rsidR="00F42A30" w:rsidRPr="00D33E7E">
        <w:t xml:space="preserve"> </w:t>
      </w:r>
      <w:r w:rsidR="00F42A30">
        <w:t xml:space="preserve">infrastructure </w:t>
      </w:r>
      <w:r w:rsidR="00F42A30" w:rsidRPr="00D33E7E">
        <w:t>assets at the end of each</w:t>
      </w:r>
      <w:r w:rsidR="00F42A30">
        <w:t xml:space="preserve"> </w:t>
      </w:r>
      <w:r w:rsidR="00686A32">
        <w:t>financial</w:t>
      </w:r>
      <w:r w:rsidR="009A085F" w:rsidRPr="00D33E7E">
        <w:t xml:space="preserve"> </w:t>
      </w:r>
      <w:r w:rsidR="00F42A30" w:rsidRPr="00D33E7E">
        <w:t>year</w:t>
      </w:r>
      <w:r w:rsidR="00A629EB">
        <w:t>,</w:t>
      </w:r>
      <w:r w:rsidR="00F42A30" w:rsidRPr="00D33E7E">
        <w:t xml:space="preserve"> and the total amount </w:t>
      </w:r>
      <w:r w:rsidR="00F42A30">
        <w:t xml:space="preserve">it </w:t>
      </w:r>
      <w:r w:rsidR="00F42A30" w:rsidRPr="00D33E7E">
        <w:t xml:space="preserve">invested in infrastructure </w:t>
      </w:r>
      <w:r w:rsidR="00604D34">
        <w:t>that</w:t>
      </w:r>
      <w:r w:rsidR="00F42A30" w:rsidRPr="00D33E7E">
        <w:t xml:space="preserve"> year.</w:t>
      </w:r>
      <w:r w:rsidR="00F42A30">
        <w:t xml:space="preserve"> </w:t>
      </w:r>
      <w:r w:rsidR="00F64DD9" w:rsidRPr="00D33E7E">
        <w:t xml:space="preserve">These are </w:t>
      </w:r>
      <w:r w:rsidR="00DE5B2A" w:rsidRPr="00D33E7E">
        <w:t xml:space="preserve">actual data </w:t>
      </w:r>
      <w:r w:rsidR="00F64DD9" w:rsidRPr="00D33E7E">
        <w:t xml:space="preserve">collected from all states on an </w:t>
      </w:r>
      <w:r w:rsidR="00544472" w:rsidRPr="00D33E7E">
        <w:t>annual basis</w:t>
      </w:r>
      <w:r w:rsidR="001E263E" w:rsidRPr="000E319F">
        <w:t xml:space="preserve"> </w:t>
      </w:r>
      <w:r w:rsidR="001E263E" w:rsidRPr="00D33E7E">
        <w:t>by function</w:t>
      </w:r>
      <w:r w:rsidR="00544472" w:rsidRPr="00D33E7E">
        <w:t>.</w:t>
      </w:r>
      <w:r w:rsidR="001E263E" w:rsidRPr="00D33E7E">
        <w:rPr>
          <w:vertAlign w:val="superscript"/>
        </w:rPr>
        <w:footnoteReference w:id="5"/>
      </w:r>
      <w:r w:rsidR="00644874">
        <w:t xml:space="preserve"> </w:t>
      </w:r>
      <w:r w:rsidR="00F11DEF">
        <w:t>For</w:t>
      </w:r>
      <w:r w:rsidR="00BA05B7">
        <w:t xml:space="preserve"> </w:t>
      </w:r>
      <w:r w:rsidR="004C4DBE">
        <w:t xml:space="preserve">the </w:t>
      </w:r>
      <w:proofErr w:type="gramStart"/>
      <w:r w:rsidR="00BA05B7">
        <w:t>schools</w:t>
      </w:r>
      <w:proofErr w:type="gramEnd"/>
      <w:r w:rsidR="00BA05B7">
        <w:t xml:space="preserve"> investment</w:t>
      </w:r>
      <w:r w:rsidR="00487BC1">
        <w:t xml:space="preserve"> assessment</w:t>
      </w:r>
      <w:r w:rsidR="00BA05B7">
        <w:t>,</w:t>
      </w:r>
      <w:r w:rsidR="00C177C1">
        <w:t xml:space="preserve"> </w:t>
      </w:r>
      <w:r w:rsidR="00BA05B7">
        <w:t>t</w:t>
      </w:r>
      <w:r w:rsidR="00FF0CCF" w:rsidRPr="00D33E7E">
        <w:t>he Commission</w:t>
      </w:r>
      <w:r w:rsidR="00644874">
        <w:t xml:space="preserve"> </w:t>
      </w:r>
      <w:r w:rsidR="00FF0CCF" w:rsidRPr="00D33E7E">
        <w:t xml:space="preserve">requests </w:t>
      </w:r>
      <w:r w:rsidR="001E263E" w:rsidRPr="00D33E7E">
        <w:t xml:space="preserve">the total value of </w:t>
      </w:r>
      <w:r w:rsidR="00162343">
        <w:t xml:space="preserve">each state’s </w:t>
      </w:r>
      <w:r w:rsidR="001E263E" w:rsidRPr="00D33E7E">
        <w:t xml:space="preserve">school infrastructure, and how much </w:t>
      </w:r>
      <w:r w:rsidR="00604D34">
        <w:t>it</w:t>
      </w:r>
      <w:r w:rsidR="001E263E" w:rsidRPr="00D33E7E">
        <w:t xml:space="preserve"> has invested in </w:t>
      </w:r>
      <w:r w:rsidR="00011BC3">
        <w:t xml:space="preserve">new </w:t>
      </w:r>
      <w:r w:rsidR="00DF497A">
        <w:t xml:space="preserve">school </w:t>
      </w:r>
      <w:r w:rsidR="002405C5">
        <w:t xml:space="preserve">infrastructure </w:t>
      </w:r>
      <w:r w:rsidR="00CB501B">
        <w:t>and</w:t>
      </w:r>
      <w:r w:rsidR="002405C5">
        <w:t xml:space="preserve"> assets.</w:t>
      </w:r>
      <w:r w:rsidR="001E263E" w:rsidRPr="00D33E7E">
        <w:t xml:space="preserve"> </w:t>
      </w:r>
    </w:p>
    <w:p w14:paraId="2D93C93D" w14:textId="5EC0B9F4" w:rsidR="001E263E" w:rsidRPr="00F2062E" w:rsidRDefault="001E263E" w:rsidP="004343B2">
      <w:pPr>
        <w:pStyle w:val="BodyText"/>
        <w:keepNext/>
        <w:keepLines/>
        <w:widowControl w:val="0"/>
      </w:pPr>
      <w:r w:rsidRPr="00F2062E">
        <w:lastRenderedPageBreak/>
        <w:t xml:space="preserve">By </w:t>
      </w:r>
      <w:r w:rsidR="002F6184">
        <w:t>combining</w:t>
      </w:r>
      <w:r w:rsidRPr="00F2062E">
        <w:t xml:space="preserve"> all state data, the Commission determines:</w:t>
      </w:r>
    </w:p>
    <w:p w14:paraId="199BFD02" w14:textId="749E02B6" w:rsidR="001E263E" w:rsidRPr="00F2062E" w:rsidRDefault="001E263E" w:rsidP="004343B2">
      <w:pPr>
        <w:pStyle w:val="CGCBullet1"/>
        <w:keepNext/>
        <w:keepLines/>
        <w:widowControl w:val="0"/>
      </w:pPr>
      <w:r w:rsidRPr="00F2062E">
        <w:t xml:space="preserve">the national level of investment </w:t>
      </w:r>
      <w:r w:rsidR="000F3FBC">
        <w:t>for</w:t>
      </w:r>
      <w:r w:rsidRPr="00F2062E">
        <w:t xml:space="preserve"> the year</w:t>
      </w:r>
    </w:p>
    <w:p w14:paraId="1045F305" w14:textId="18AA1D1C" w:rsidR="001E263E" w:rsidRPr="00F2062E" w:rsidRDefault="001E263E" w:rsidP="004343B2">
      <w:pPr>
        <w:pStyle w:val="CGCBullet1"/>
        <w:keepNext/>
        <w:keepLines/>
        <w:widowControl w:val="0"/>
      </w:pPr>
      <w:r w:rsidRPr="00F2062E">
        <w:t xml:space="preserve">the value of </w:t>
      </w:r>
      <w:r w:rsidR="0050139E" w:rsidRPr="0050139E">
        <w:t>all assets</w:t>
      </w:r>
      <w:r w:rsidRPr="00F2062E">
        <w:t xml:space="preserve"> at the end of the year</w:t>
      </w:r>
    </w:p>
    <w:p w14:paraId="6688D09E" w14:textId="5AAB893A" w:rsidR="001E263E" w:rsidRPr="00F2062E" w:rsidRDefault="001E263E" w:rsidP="004343B2">
      <w:pPr>
        <w:pStyle w:val="CGCBullet1"/>
        <w:keepNext/>
        <w:keepLines/>
        <w:widowControl w:val="0"/>
      </w:pPr>
      <w:r>
        <w:t>the</w:t>
      </w:r>
      <w:r w:rsidR="005B3DCE">
        <w:t xml:space="preserve"> assessed</w:t>
      </w:r>
      <w:r>
        <w:t xml:space="preserve"> value of </w:t>
      </w:r>
      <w:bookmarkStart w:id="6" w:name="_Hlk117090239"/>
      <w:r>
        <w:t>all</w:t>
      </w:r>
      <w:r w:rsidR="008D377B">
        <w:t xml:space="preserve"> </w:t>
      </w:r>
      <w:r>
        <w:t>assets</w:t>
      </w:r>
      <w:r w:rsidRPr="00F2062E">
        <w:t xml:space="preserve"> </w:t>
      </w:r>
      <w:bookmarkEnd w:id="6"/>
      <w:r w:rsidRPr="00F2062E">
        <w:t xml:space="preserve">at the start of the year by taking the difference of the two (Step </w:t>
      </w:r>
      <w:r w:rsidR="00293B09">
        <w:t>1</w:t>
      </w:r>
      <w:r w:rsidRPr="00F2062E">
        <w:t>,</w:t>
      </w:r>
      <w:r w:rsidR="00924227">
        <w:t xml:space="preserve"> </w:t>
      </w:r>
      <w:r w:rsidR="00924227" w:rsidRPr="00D33E7E">
        <w:fldChar w:fldCharType="begin"/>
      </w:r>
      <w:r w:rsidR="00924227" w:rsidRPr="00D33E7E">
        <w:instrText xml:space="preserve"> REF _Ref113972273 \h </w:instrText>
      </w:r>
      <w:r w:rsidR="00D33E7E">
        <w:instrText xml:space="preserve"> \* MERGEFORMAT </w:instrText>
      </w:r>
      <w:r w:rsidR="00924227" w:rsidRPr="00D33E7E">
        <w:fldChar w:fldCharType="separate"/>
      </w:r>
      <w:r w:rsidR="004D7CF5">
        <w:t>Figure 2</w:t>
      </w:r>
      <w:r w:rsidR="00924227" w:rsidRPr="00D33E7E">
        <w:fldChar w:fldCharType="end"/>
      </w:r>
      <w:r w:rsidRPr="00F2062E">
        <w:t>).</w:t>
      </w:r>
    </w:p>
    <w:p w14:paraId="5508B6AC" w14:textId="638B3391" w:rsidR="004F3AAE" w:rsidRDefault="008C41BA" w:rsidP="008C41BA">
      <w:pPr>
        <w:pStyle w:val="BodyText"/>
      </w:pPr>
      <w:r w:rsidRPr="00D33E7E">
        <w:t>Step </w:t>
      </w:r>
      <w:r>
        <w:t>2 of</w:t>
      </w:r>
      <w:r w:rsidRPr="00D33E7E">
        <w:t xml:space="preserve"> </w:t>
      </w:r>
      <w:r w:rsidRPr="00D33E7E">
        <w:fldChar w:fldCharType="begin"/>
      </w:r>
      <w:r w:rsidRPr="00D33E7E">
        <w:instrText xml:space="preserve"> REF _Ref113972273 \h  \* MERGEFORMAT </w:instrText>
      </w:r>
      <w:r w:rsidRPr="00D33E7E">
        <w:fldChar w:fldCharType="separate"/>
      </w:r>
      <w:r w:rsidR="004D7CF5">
        <w:t>Figure 2</w:t>
      </w:r>
      <w:r w:rsidRPr="00D33E7E">
        <w:fldChar w:fldCharType="end"/>
      </w:r>
      <w:r>
        <w:t xml:space="preserve"> </w:t>
      </w:r>
      <w:r w:rsidR="009C04C0">
        <w:t xml:space="preserve">shows </w:t>
      </w:r>
      <w:r>
        <w:t>how the Commission calculates the</w:t>
      </w:r>
      <w:r w:rsidRPr="00D33E7E">
        <w:t xml:space="preserve"> average asset value </w:t>
      </w:r>
      <w:r w:rsidR="00AC48BC">
        <w:t xml:space="preserve">per </w:t>
      </w:r>
      <w:r w:rsidR="00406977">
        <w:t>student</w:t>
      </w:r>
      <w:r w:rsidRPr="00D33E7E">
        <w:t xml:space="preserve"> at the start </w:t>
      </w:r>
      <w:r>
        <w:t xml:space="preserve">and end </w:t>
      </w:r>
      <w:r w:rsidRPr="00D33E7E">
        <w:t>of the year</w:t>
      </w:r>
      <w:r w:rsidR="00494A2F">
        <w:t xml:space="preserve">. </w:t>
      </w:r>
      <w:r w:rsidR="00E909EE">
        <w:t>It</w:t>
      </w:r>
      <w:r>
        <w:t xml:space="preserve"> divid</w:t>
      </w:r>
      <w:r w:rsidR="00E909EE">
        <w:t>es</w:t>
      </w:r>
      <w:r>
        <w:t xml:space="preserve"> the </w:t>
      </w:r>
      <w:r w:rsidRPr="00D33E7E">
        <w:t xml:space="preserve">national value of assets by the total number of </w:t>
      </w:r>
      <w:r w:rsidR="00712ECA">
        <w:t>students</w:t>
      </w:r>
      <w:r w:rsidRPr="00D33E7E">
        <w:t>.</w:t>
      </w:r>
    </w:p>
    <w:p w14:paraId="5092A55B" w14:textId="0163FF1A" w:rsidR="009F0E86" w:rsidRDefault="008C41BA" w:rsidP="00A158FB">
      <w:pPr>
        <w:pStyle w:val="BodyText"/>
      </w:pPr>
      <w:r w:rsidRPr="00D33E7E">
        <w:fldChar w:fldCharType="begin"/>
      </w:r>
      <w:r w:rsidRPr="00D33E7E">
        <w:instrText xml:space="preserve"> REF _Ref113973502 \h  \* MERGEFORMAT </w:instrText>
      </w:r>
      <w:r w:rsidRPr="00D33E7E">
        <w:fldChar w:fldCharType="separate"/>
      </w:r>
      <w:r w:rsidR="004D7CF5" w:rsidRPr="00CC69AF">
        <w:t xml:space="preserve">Table </w:t>
      </w:r>
      <w:r w:rsidR="004D7CF5" w:rsidRPr="004D7CF5">
        <w:rPr>
          <w:noProof/>
        </w:rPr>
        <w:t>2</w:t>
      </w:r>
      <w:r w:rsidRPr="00D33E7E">
        <w:fldChar w:fldCharType="end"/>
      </w:r>
      <w:r>
        <w:t xml:space="preserve"> shows that t</w:t>
      </w:r>
      <w:r w:rsidRPr="00E5317C">
        <w:t xml:space="preserve">he </w:t>
      </w:r>
      <w:r w:rsidR="00C11199">
        <w:t xml:space="preserve">total </w:t>
      </w:r>
      <w:r w:rsidRPr="00E5317C">
        <w:t xml:space="preserve">value of schools’ assets </w:t>
      </w:r>
      <w:r w:rsidR="00FA51E4">
        <w:t xml:space="preserve">across Australia </w:t>
      </w:r>
      <w:r w:rsidRPr="00E5317C">
        <w:t>was</w:t>
      </w:r>
      <w:r>
        <w:t xml:space="preserve"> estimated to be</w:t>
      </w:r>
      <w:r w:rsidRPr="00E5317C">
        <w:t xml:space="preserve"> </w:t>
      </w:r>
      <w:r w:rsidR="00003552">
        <w:t xml:space="preserve">about </w:t>
      </w:r>
      <w:r w:rsidRPr="00E5317C">
        <w:t>$68</w:t>
      </w:r>
      <w:r w:rsidR="00AE7C54">
        <w:t> </w:t>
      </w:r>
      <w:r w:rsidRPr="00E5317C">
        <w:t>billion at the beginning of 2020</w:t>
      </w:r>
      <w:r w:rsidR="00D22006">
        <w:t>–</w:t>
      </w:r>
      <w:r w:rsidRPr="00E5317C">
        <w:t>21</w:t>
      </w:r>
      <w:r w:rsidR="00407D41">
        <w:t xml:space="preserve"> (opening stock) and the total number of</w:t>
      </w:r>
      <w:r w:rsidR="000D7357">
        <w:t xml:space="preserve"> government</w:t>
      </w:r>
      <w:r w:rsidR="00003552">
        <w:t xml:space="preserve"> school students</w:t>
      </w:r>
      <w:r w:rsidR="007769BB">
        <w:t xml:space="preserve"> </w:t>
      </w:r>
      <w:r w:rsidR="007769BB" w:rsidRPr="00D33E7E">
        <w:t>(user</w:t>
      </w:r>
      <w:r w:rsidR="007769BB">
        <w:noBreakHyphen/>
      </w:r>
      <w:r w:rsidR="007769BB" w:rsidRPr="00D33E7E">
        <w:t>population)</w:t>
      </w:r>
      <w:r w:rsidR="00003552">
        <w:t xml:space="preserve"> </w:t>
      </w:r>
      <w:r w:rsidR="009F08D1">
        <w:t xml:space="preserve">at the start of the year </w:t>
      </w:r>
      <w:r w:rsidR="00FA51E4">
        <w:t xml:space="preserve">was estimated </w:t>
      </w:r>
      <w:r w:rsidR="00003552">
        <w:t>to be about 2.</w:t>
      </w:r>
      <w:r w:rsidR="00C44978">
        <w:t>59</w:t>
      </w:r>
      <w:r w:rsidR="008B5F9F">
        <w:t> </w:t>
      </w:r>
      <w:r w:rsidR="00003552">
        <w:t>million</w:t>
      </w:r>
      <w:r w:rsidR="00A66532" w:rsidRPr="00D33E7E">
        <w:t>.</w:t>
      </w:r>
      <w:r w:rsidR="00A66532">
        <w:t xml:space="preserve"> </w:t>
      </w:r>
      <w:r w:rsidR="006278A9">
        <w:t>This means</w:t>
      </w:r>
      <w:r w:rsidR="00D60C31">
        <w:t xml:space="preserve"> </w:t>
      </w:r>
      <w:r w:rsidR="006278A9">
        <w:t>t</w:t>
      </w:r>
      <w:r w:rsidR="00D60C31">
        <w:t xml:space="preserve">he average </w:t>
      </w:r>
      <w:r w:rsidR="00D60C31" w:rsidRPr="00D33E7E">
        <w:t xml:space="preserve">asset value </w:t>
      </w:r>
      <w:r w:rsidR="003871FF">
        <w:t xml:space="preserve">per student </w:t>
      </w:r>
      <w:r w:rsidR="00D60C31">
        <w:t xml:space="preserve">at the start of the year </w:t>
      </w:r>
      <w:r w:rsidR="00FA51E4">
        <w:t xml:space="preserve">was </w:t>
      </w:r>
      <w:r w:rsidR="00D60C31">
        <w:t>$26,354.</w:t>
      </w:r>
    </w:p>
    <w:p w14:paraId="3B6002B1" w14:textId="1E50D408" w:rsidR="005049F8" w:rsidRDefault="00063684" w:rsidP="004945DE">
      <w:pPr>
        <w:pStyle w:val="BodyText"/>
      </w:pPr>
      <w:r>
        <w:t>A similar calculation gives</w:t>
      </w:r>
      <w:r w:rsidR="00377163">
        <w:t xml:space="preserve"> the average </w:t>
      </w:r>
      <w:r w:rsidR="00377163" w:rsidRPr="00D33E7E">
        <w:t xml:space="preserve">asset value </w:t>
      </w:r>
      <w:r w:rsidR="003871FF">
        <w:t xml:space="preserve">per student </w:t>
      </w:r>
      <w:r w:rsidR="00377163">
        <w:t>at the end of the year</w:t>
      </w:r>
      <w:r w:rsidR="002B596B">
        <w:t>.</w:t>
      </w:r>
      <w:r w:rsidR="000E5D95">
        <w:t xml:space="preserve"> T</w:t>
      </w:r>
      <w:r w:rsidR="00F41585">
        <w:t>he</w:t>
      </w:r>
      <w:r w:rsidR="004C2008">
        <w:t xml:space="preserve"> total v</w:t>
      </w:r>
      <w:r w:rsidRPr="00E5317C">
        <w:t xml:space="preserve">alue of schools’ assets </w:t>
      </w:r>
      <w:r w:rsidR="00F41585">
        <w:t xml:space="preserve">at the end of </w:t>
      </w:r>
      <w:r w:rsidR="00132282">
        <w:t>2020</w:t>
      </w:r>
      <w:r w:rsidR="00D22006">
        <w:t>–</w:t>
      </w:r>
      <w:r w:rsidR="00132282">
        <w:t xml:space="preserve">21 </w:t>
      </w:r>
      <w:r w:rsidR="00F41585">
        <w:t>(</w:t>
      </w:r>
      <w:r w:rsidR="00132282">
        <w:t>closing stock</w:t>
      </w:r>
      <w:r w:rsidR="001F5E9D">
        <w:t>, $73</w:t>
      </w:r>
      <w:r w:rsidR="00D60C31">
        <w:t> </w:t>
      </w:r>
      <w:r w:rsidR="00DA1CA4">
        <w:t>billion</w:t>
      </w:r>
      <w:r w:rsidR="00971D1D">
        <w:t>) is</w:t>
      </w:r>
      <w:r w:rsidR="001F5E9D">
        <w:t xml:space="preserve"> </w:t>
      </w:r>
      <w:r w:rsidR="00132282">
        <w:t>divided by the</w:t>
      </w:r>
      <w:r w:rsidR="00986126">
        <w:t xml:space="preserve"> </w:t>
      </w:r>
      <w:r w:rsidR="00C44978">
        <w:t xml:space="preserve">number of </w:t>
      </w:r>
      <w:r w:rsidR="00FA6C94">
        <w:t>government school students</w:t>
      </w:r>
      <w:r w:rsidR="008119DF">
        <w:t xml:space="preserve"> </w:t>
      </w:r>
      <w:r w:rsidR="00986126">
        <w:t>at the end of the yea</w:t>
      </w:r>
      <w:r w:rsidR="008119DF">
        <w:t>r</w:t>
      </w:r>
      <w:r w:rsidR="007F45C7">
        <w:t xml:space="preserve"> (2.62 million)</w:t>
      </w:r>
      <w:r w:rsidR="008119DF">
        <w:t>.</w:t>
      </w:r>
      <w:r w:rsidR="00A27986">
        <w:t xml:space="preserve"> Th</w:t>
      </w:r>
      <w:r w:rsidR="006278A9">
        <w:t xml:space="preserve">is means </w:t>
      </w:r>
      <w:r w:rsidR="00A27986">
        <w:t xml:space="preserve">the average </w:t>
      </w:r>
      <w:r w:rsidR="00A27986" w:rsidRPr="00D33E7E">
        <w:t xml:space="preserve">asset value </w:t>
      </w:r>
      <w:r w:rsidR="00722ABD">
        <w:t xml:space="preserve">per student </w:t>
      </w:r>
      <w:r w:rsidR="00A06D9D">
        <w:t xml:space="preserve">across Australia </w:t>
      </w:r>
      <w:r w:rsidR="00A27986">
        <w:t xml:space="preserve">at the </w:t>
      </w:r>
      <w:r w:rsidR="009B2442">
        <w:t xml:space="preserve">end </w:t>
      </w:r>
      <w:r w:rsidR="00A27986">
        <w:t>of the year</w:t>
      </w:r>
      <w:r w:rsidR="006278A9">
        <w:t xml:space="preserve"> </w:t>
      </w:r>
      <w:r w:rsidR="00722ABD">
        <w:t xml:space="preserve">was </w:t>
      </w:r>
      <w:r w:rsidR="009B2442">
        <w:t>$27,966</w:t>
      </w:r>
      <w:r w:rsidR="00A27986">
        <w:t>.</w:t>
      </w:r>
    </w:p>
    <w:p w14:paraId="463C519B" w14:textId="07B4D360" w:rsidR="00183CB6" w:rsidRPr="00CC69AF" w:rsidRDefault="007438C5" w:rsidP="007C4C74">
      <w:pPr>
        <w:pStyle w:val="Caption"/>
        <w:widowControl w:val="0"/>
        <w:rPr>
          <w:b w:val="0"/>
          <w:bCs w:val="0"/>
        </w:rPr>
      </w:pPr>
      <w:bookmarkStart w:id="7" w:name="_Ref113973502"/>
      <w:r w:rsidRPr="00F2062E">
        <w:rPr>
          <w:noProof/>
        </w:rPr>
        <w:drawing>
          <wp:anchor distT="0" distB="0" distL="114300" distR="114300" simplePos="0" relativeHeight="251658253" behindDoc="1" locked="1" layoutInCell="1" allowOverlap="1" wp14:anchorId="5F8FFA2E" wp14:editId="3EA5E016">
            <wp:simplePos x="0" y="0"/>
            <wp:positionH relativeFrom="page">
              <wp:align>left</wp:align>
            </wp:positionH>
            <wp:positionV relativeFrom="page">
              <wp:align>bottom</wp:align>
            </wp:positionV>
            <wp:extent cx="7563485" cy="10690225"/>
            <wp:effectExtent l="0" t="0" r="0" b="0"/>
            <wp:wrapNone/>
            <wp:docPr id="10" name="Picture 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r w:rsidR="00183CB6" w:rsidRPr="00CC69AF">
        <w:rPr>
          <w:b w:val="0"/>
          <w:bCs w:val="0"/>
        </w:rPr>
        <w:t xml:space="preserve">Table </w:t>
      </w:r>
      <w:r w:rsidR="00183CB6" w:rsidRPr="00CC69AF">
        <w:rPr>
          <w:b w:val="0"/>
          <w:bCs w:val="0"/>
        </w:rPr>
        <w:fldChar w:fldCharType="begin"/>
      </w:r>
      <w:r w:rsidR="00183CB6" w:rsidRPr="00CC69AF">
        <w:rPr>
          <w:b w:val="0"/>
          <w:bCs w:val="0"/>
        </w:rPr>
        <w:instrText xml:space="preserve"> SEQ Table \* ARABIC </w:instrText>
      </w:r>
      <w:r w:rsidR="00183CB6" w:rsidRPr="00CC69AF">
        <w:rPr>
          <w:b w:val="0"/>
          <w:bCs w:val="0"/>
        </w:rPr>
        <w:fldChar w:fldCharType="separate"/>
      </w:r>
      <w:r w:rsidR="004D7CF5">
        <w:rPr>
          <w:b w:val="0"/>
          <w:bCs w:val="0"/>
          <w:noProof/>
        </w:rPr>
        <w:t>2</w:t>
      </w:r>
      <w:r w:rsidR="00183CB6" w:rsidRPr="00CC69AF">
        <w:rPr>
          <w:b w:val="0"/>
          <w:bCs w:val="0"/>
        </w:rPr>
        <w:fldChar w:fldCharType="end"/>
      </w:r>
      <w:bookmarkEnd w:id="7"/>
      <w:r w:rsidR="00CE527D" w:rsidRPr="00CC69AF">
        <w:rPr>
          <w:b w:val="0"/>
          <w:bCs w:val="0"/>
        </w:rPr>
        <w:tab/>
      </w:r>
      <w:r w:rsidR="007154C4">
        <w:rPr>
          <w:b w:val="0"/>
          <w:bCs w:val="0"/>
        </w:rPr>
        <w:t>U</w:t>
      </w:r>
      <w:r w:rsidR="0060151C" w:rsidRPr="000733E4">
        <w:rPr>
          <w:b w:val="0"/>
          <w:bCs w:val="0"/>
        </w:rPr>
        <w:t>ser-population</w:t>
      </w:r>
      <w:r w:rsidR="00566A0E">
        <w:rPr>
          <w:b w:val="0"/>
          <w:bCs w:val="0"/>
        </w:rPr>
        <w:t xml:space="preserve"> and </w:t>
      </w:r>
      <w:r w:rsidR="008A7305">
        <w:rPr>
          <w:b w:val="0"/>
          <w:bCs w:val="0"/>
        </w:rPr>
        <w:t>stock</w:t>
      </w:r>
      <w:r w:rsidR="0060151C" w:rsidRPr="000733E4">
        <w:rPr>
          <w:b w:val="0"/>
          <w:bCs w:val="0"/>
        </w:rPr>
        <w:t xml:space="preserve"> </w:t>
      </w:r>
      <w:r w:rsidR="008A65B6">
        <w:rPr>
          <w:b w:val="0"/>
          <w:bCs w:val="0"/>
        </w:rPr>
        <w:t>i</w:t>
      </w:r>
      <w:r w:rsidR="0060151C" w:rsidRPr="000733E4">
        <w:rPr>
          <w:b w:val="0"/>
          <w:bCs w:val="0"/>
        </w:rPr>
        <w:t>n</w:t>
      </w:r>
      <w:r w:rsidR="00556CC9">
        <w:rPr>
          <w:b w:val="0"/>
          <w:bCs w:val="0"/>
        </w:rPr>
        <w:t xml:space="preserve"> a</w:t>
      </w:r>
      <w:r w:rsidR="00183CB6" w:rsidRPr="00CC69AF">
        <w:rPr>
          <w:b w:val="0"/>
          <w:bCs w:val="0"/>
        </w:rPr>
        <w:t xml:space="preserve">ssessed </w:t>
      </w:r>
      <w:proofErr w:type="gramStart"/>
      <w:r w:rsidR="00183CB6" w:rsidRPr="00CC69AF">
        <w:rPr>
          <w:b w:val="0"/>
          <w:bCs w:val="0"/>
        </w:rPr>
        <w:t>schools</w:t>
      </w:r>
      <w:proofErr w:type="gramEnd"/>
      <w:r w:rsidR="00183CB6" w:rsidRPr="00CC69AF">
        <w:rPr>
          <w:b w:val="0"/>
          <w:bCs w:val="0"/>
        </w:rPr>
        <w:t xml:space="preserve"> investment</w:t>
      </w:r>
      <w:r w:rsidR="0060151C" w:rsidRPr="000733E4">
        <w:rPr>
          <w:b w:val="0"/>
          <w:bCs w:val="0"/>
        </w:rPr>
        <w:t>,</w:t>
      </w:r>
      <w:r w:rsidR="00183CB6" w:rsidRPr="000733E4">
        <w:rPr>
          <w:b w:val="0"/>
          <w:bCs w:val="0"/>
        </w:rPr>
        <w:t xml:space="preserve"> 2020</w:t>
      </w:r>
      <w:r w:rsidR="00D22006" w:rsidRPr="000733E4">
        <w:rPr>
          <w:b w:val="0"/>
          <w:bCs w:val="0"/>
        </w:rPr>
        <w:t>–</w:t>
      </w:r>
      <w:r w:rsidR="00183CB6" w:rsidRPr="000733E4">
        <w:rPr>
          <w:b w:val="0"/>
          <w:bCs w:val="0"/>
        </w:rPr>
        <w:t>21</w:t>
      </w:r>
    </w:p>
    <w:tbl>
      <w:tblPr>
        <w:tblW w:w="9064" w:type="dxa"/>
        <w:tblLook w:val="04A0" w:firstRow="1" w:lastRow="0" w:firstColumn="1" w:lastColumn="0" w:noHBand="0" w:noVBand="1"/>
      </w:tblPr>
      <w:tblGrid>
        <w:gridCol w:w="3392"/>
        <w:gridCol w:w="670"/>
        <w:gridCol w:w="657"/>
        <w:gridCol w:w="696"/>
        <w:gridCol w:w="594"/>
        <w:gridCol w:w="651"/>
        <w:gridCol w:w="608"/>
        <w:gridCol w:w="567"/>
        <w:gridCol w:w="507"/>
        <w:gridCol w:w="724"/>
      </w:tblGrid>
      <w:tr w:rsidR="00964FE1" w:rsidRPr="002D10A7" w14:paraId="27DB5121" w14:textId="77777777" w:rsidTr="00010C15">
        <w:trPr>
          <w:trHeight w:val="375"/>
        </w:trPr>
        <w:tc>
          <w:tcPr>
            <w:tcW w:w="3392" w:type="dxa"/>
            <w:tcBorders>
              <w:top w:val="nil"/>
              <w:left w:val="nil"/>
              <w:bottom w:val="single" w:sz="8" w:space="0" w:color="CEE7B3"/>
              <w:right w:val="nil"/>
            </w:tcBorders>
            <w:shd w:val="clear" w:color="000000" w:fill="008069"/>
            <w:noWrap/>
            <w:vAlign w:val="center"/>
            <w:hideMark/>
          </w:tcPr>
          <w:p w14:paraId="131389C4" w14:textId="77777777" w:rsidR="00183CB6" w:rsidRPr="002620DC" w:rsidRDefault="00183CB6" w:rsidP="007C4C74">
            <w:pPr>
              <w:keepNext/>
              <w:keepLines/>
              <w:widowControl w:val="0"/>
              <w:tabs>
                <w:tab w:val="clear" w:pos="567"/>
              </w:tabs>
              <w:spacing w:before="0" w:line="240" w:lineRule="auto"/>
              <w:rPr>
                <w:rFonts w:ascii="Work Sans SemiBold" w:eastAsia="Times New Roman" w:hAnsi="Work Sans SemiBold" w:cs="Calibri"/>
                <w:color w:val="FFFFFF"/>
                <w:sz w:val="16"/>
                <w:szCs w:val="16"/>
                <w:lang w:eastAsia="en-AU"/>
              </w:rPr>
            </w:pPr>
            <w:r w:rsidRPr="002620DC">
              <w:rPr>
                <w:rFonts w:ascii="Work Sans SemiBold" w:eastAsia="Times New Roman" w:hAnsi="Work Sans SemiBold" w:cs="Calibri"/>
                <w:color w:val="FFFFFF"/>
                <w:sz w:val="16"/>
                <w:szCs w:val="16"/>
                <w:lang w:eastAsia="en-AU"/>
              </w:rPr>
              <w:t> </w:t>
            </w:r>
          </w:p>
        </w:tc>
        <w:tc>
          <w:tcPr>
            <w:tcW w:w="668" w:type="dxa"/>
            <w:tcBorders>
              <w:top w:val="nil"/>
              <w:left w:val="nil"/>
              <w:bottom w:val="single" w:sz="8" w:space="0" w:color="CEE7B3"/>
              <w:right w:val="nil"/>
            </w:tcBorders>
            <w:shd w:val="clear" w:color="000000" w:fill="008069"/>
            <w:noWrap/>
            <w:vAlign w:val="center"/>
            <w:hideMark/>
          </w:tcPr>
          <w:p w14:paraId="6F98F19A" w14:textId="77777777" w:rsidR="00183CB6" w:rsidRPr="002620DC"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FFFFFF"/>
                <w:sz w:val="16"/>
                <w:szCs w:val="16"/>
                <w:lang w:eastAsia="en-AU"/>
              </w:rPr>
            </w:pPr>
            <w:r w:rsidRPr="002620DC">
              <w:rPr>
                <w:rFonts w:ascii="Work Sans SemiBold" w:eastAsia="Times New Roman" w:hAnsi="Work Sans SemiBold" w:cs="Calibri"/>
                <w:color w:val="FFFFFF"/>
                <w:sz w:val="16"/>
                <w:szCs w:val="16"/>
                <w:lang w:eastAsia="en-AU"/>
              </w:rPr>
              <w:t>NSW</w:t>
            </w:r>
          </w:p>
        </w:tc>
        <w:tc>
          <w:tcPr>
            <w:tcW w:w="657" w:type="dxa"/>
            <w:tcBorders>
              <w:top w:val="nil"/>
              <w:left w:val="nil"/>
              <w:bottom w:val="single" w:sz="8" w:space="0" w:color="CEE7B3"/>
              <w:right w:val="nil"/>
            </w:tcBorders>
            <w:shd w:val="clear" w:color="000000" w:fill="008069"/>
            <w:noWrap/>
            <w:vAlign w:val="center"/>
            <w:hideMark/>
          </w:tcPr>
          <w:p w14:paraId="59799323" w14:textId="77777777" w:rsidR="00183CB6" w:rsidRPr="002620DC"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FFFFFF"/>
                <w:sz w:val="16"/>
                <w:szCs w:val="16"/>
                <w:lang w:eastAsia="en-AU"/>
              </w:rPr>
            </w:pPr>
            <w:r w:rsidRPr="002620DC">
              <w:rPr>
                <w:rFonts w:ascii="Work Sans SemiBold" w:eastAsia="Times New Roman" w:hAnsi="Work Sans SemiBold" w:cs="Calibri"/>
                <w:color w:val="FFFFFF"/>
                <w:sz w:val="16"/>
                <w:szCs w:val="16"/>
                <w:lang w:eastAsia="en-AU"/>
              </w:rPr>
              <w:t>Vic</w:t>
            </w:r>
          </w:p>
        </w:tc>
        <w:tc>
          <w:tcPr>
            <w:tcW w:w="696" w:type="dxa"/>
            <w:tcBorders>
              <w:top w:val="nil"/>
              <w:left w:val="nil"/>
              <w:bottom w:val="single" w:sz="8" w:space="0" w:color="CEE7B3"/>
              <w:right w:val="nil"/>
            </w:tcBorders>
            <w:shd w:val="clear" w:color="000000" w:fill="008069"/>
            <w:noWrap/>
            <w:vAlign w:val="center"/>
            <w:hideMark/>
          </w:tcPr>
          <w:p w14:paraId="280E78AA" w14:textId="77777777" w:rsidR="00183CB6" w:rsidRPr="002620DC"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FFFFFF"/>
                <w:sz w:val="16"/>
                <w:szCs w:val="16"/>
                <w:lang w:eastAsia="en-AU"/>
              </w:rPr>
            </w:pPr>
            <w:r w:rsidRPr="002620DC">
              <w:rPr>
                <w:rFonts w:ascii="Work Sans SemiBold" w:eastAsia="Times New Roman" w:hAnsi="Work Sans SemiBold" w:cs="Calibri"/>
                <w:color w:val="FFFFFF"/>
                <w:sz w:val="16"/>
                <w:szCs w:val="16"/>
                <w:lang w:eastAsia="en-AU"/>
              </w:rPr>
              <w:t>Qld</w:t>
            </w:r>
          </w:p>
        </w:tc>
        <w:tc>
          <w:tcPr>
            <w:tcW w:w="594" w:type="dxa"/>
            <w:tcBorders>
              <w:top w:val="nil"/>
              <w:left w:val="nil"/>
              <w:bottom w:val="single" w:sz="8" w:space="0" w:color="CEE7B3"/>
              <w:right w:val="nil"/>
            </w:tcBorders>
            <w:shd w:val="clear" w:color="000000" w:fill="008069"/>
            <w:noWrap/>
            <w:vAlign w:val="center"/>
            <w:hideMark/>
          </w:tcPr>
          <w:p w14:paraId="4E37C828" w14:textId="77777777" w:rsidR="00183CB6" w:rsidRPr="002620DC"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FFFFFF"/>
                <w:sz w:val="16"/>
                <w:szCs w:val="16"/>
                <w:lang w:eastAsia="en-AU"/>
              </w:rPr>
            </w:pPr>
            <w:r w:rsidRPr="002620DC">
              <w:rPr>
                <w:rFonts w:ascii="Work Sans SemiBold" w:eastAsia="Times New Roman" w:hAnsi="Work Sans SemiBold" w:cs="Calibri"/>
                <w:color w:val="FFFFFF"/>
                <w:sz w:val="16"/>
                <w:szCs w:val="16"/>
                <w:lang w:eastAsia="en-AU"/>
              </w:rPr>
              <w:t>WA</w:t>
            </w:r>
          </w:p>
        </w:tc>
        <w:tc>
          <w:tcPr>
            <w:tcW w:w="651" w:type="dxa"/>
            <w:tcBorders>
              <w:top w:val="nil"/>
              <w:left w:val="nil"/>
              <w:bottom w:val="single" w:sz="8" w:space="0" w:color="CEE7B3"/>
              <w:right w:val="nil"/>
            </w:tcBorders>
            <w:shd w:val="clear" w:color="000000" w:fill="008069"/>
            <w:noWrap/>
            <w:vAlign w:val="center"/>
            <w:hideMark/>
          </w:tcPr>
          <w:p w14:paraId="4D067B6D" w14:textId="77777777" w:rsidR="00183CB6" w:rsidRPr="002620DC"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FFFFFF"/>
                <w:sz w:val="16"/>
                <w:szCs w:val="16"/>
                <w:lang w:eastAsia="en-AU"/>
              </w:rPr>
            </w:pPr>
            <w:r w:rsidRPr="002620DC">
              <w:rPr>
                <w:rFonts w:ascii="Work Sans SemiBold" w:eastAsia="Times New Roman" w:hAnsi="Work Sans SemiBold" w:cs="Calibri"/>
                <w:color w:val="FFFFFF"/>
                <w:sz w:val="16"/>
                <w:szCs w:val="16"/>
                <w:lang w:eastAsia="en-AU"/>
              </w:rPr>
              <w:t>SA</w:t>
            </w:r>
          </w:p>
        </w:tc>
        <w:tc>
          <w:tcPr>
            <w:tcW w:w="608" w:type="dxa"/>
            <w:tcBorders>
              <w:top w:val="nil"/>
              <w:left w:val="nil"/>
              <w:bottom w:val="single" w:sz="8" w:space="0" w:color="CEE7B3"/>
              <w:right w:val="nil"/>
            </w:tcBorders>
            <w:shd w:val="clear" w:color="000000" w:fill="008069"/>
            <w:noWrap/>
            <w:vAlign w:val="center"/>
            <w:hideMark/>
          </w:tcPr>
          <w:p w14:paraId="0CB9D6B9" w14:textId="77777777" w:rsidR="00183CB6" w:rsidRPr="002620DC"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FFFFFF"/>
                <w:sz w:val="16"/>
                <w:szCs w:val="16"/>
                <w:lang w:eastAsia="en-AU"/>
              </w:rPr>
            </w:pPr>
            <w:r w:rsidRPr="002620DC">
              <w:rPr>
                <w:rFonts w:ascii="Work Sans SemiBold" w:eastAsia="Times New Roman" w:hAnsi="Work Sans SemiBold" w:cs="Calibri"/>
                <w:color w:val="FFFFFF"/>
                <w:sz w:val="16"/>
                <w:szCs w:val="16"/>
                <w:lang w:eastAsia="en-AU"/>
              </w:rPr>
              <w:t>Tas</w:t>
            </w:r>
          </w:p>
        </w:tc>
        <w:tc>
          <w:tcPr>
            <w:tcW w:w="567" w:type="dxa"/>
            <w:tcBorders>
              <w:top w:val="nil"/>
              <w:left w:val="nil"/>
              <w:bottom w:val="single" w:sz="8" w:space="0" w:color="CEE7B3"/>
              <w:right w:val="nil"/>
            </w:tcBorders>
            <w:shd w:val="clear" w:color="000000" w:fill="008069"/>
            <w:noWrap/>
            <w:vAlign w:val="center"/>
            <w:hideMark/>
          </w:tcPr>
          <w:p w14:paraId="506F2DAE" w14:textId="77777777" w:rsidR="00183CB6" w:rsidRPr="002620DC"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FFFFFF"/>
                <w:sz w:val="16"/>
                <w:szCs w:val="16"/>
                <w:lang w:eastAsia="en-AU"/>
              </w:rPr>
            </w:pPr>
            <w:r w:rsidRPr="002620DC">
              <w:rPr>
                <w:rFonts w:ascii="Work Sans SemiBold" w:eastAsia="Times New Roman" w:hAnsi="Work Sans SemiBold" w:cs="Calibri"/>
                <w:color w:val="FFFFFF"/>
                <w:sz w:val="16"/>
                <w:szCs w:val="16"/>
                <w:lang w:eastAsia="en-AU"/>
              </w:rPr>
              <w:t>ACT</w:t>
            </w:r>
          </w:p>
        </w:tc>
        <w:tc>
          <w:tcPr>
            <w:tcW w:w="507" w:type="dxa"/>
            <w:tcBorders>
              <w:top w:val="nil"/>
              <w:left w:val="nil"/>
              <w:bottom w:val="single" w:sz="8" w:space="0" w:color="CEE7B3"/>
              <w:right w:val="nil"/>
            </w:tcBorders>
            <w:shd w:val="clear" w:color="000000" w:fill="008069"/>
            <w:noWrap/>
            <w:vAlign w:val="center"/>
            <w:hideMark/>
          </w:tcPr>
          <w:p w14:paraId="54384812" w14:textId="77777777" w:rsidR="00183CB6" w:rsidRPr="002620DC"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FFFFFF"/>
                <w:sz w:val="16"/>
                <w:szCs w:val="16"/>
                <w:lang w:eastAsia="en-AU"/>
              </w:rPr>
            </w:pPr>
            <w:r w:rsidRPr="002620DC">
              <w:rPr>
                <w:rFonts w:ascii="Work Sans SemiBold" w:eastAsia="Times New Roman" w:hAnsi="Work Sans SemiBold" w:cs="Calibri"/>
                <w:color w:val="FFFFFF"/>
                <w:sz w:val="16"/>
                <w:szCs w:val="16"/>
                <w:lang w:eastAsia="en-AU"/>
              </w:rPr>
              <w:t>NT</w:t>
            </w:r>
          </w:p>
        </w:tc>
        <w:tc>
          <w:tcPr>
            <w:tcW w:w="724" w:type="dxa"/>
            <w:tcBorders>
              <w:top w:val="nil"/>
              <w:left w:val="nil"/>
              <w:bottom w:val="single" w:sz="8" w:space="0" w:color="CEE7B3"/>
              <w:right w:val="nil"/>
            </w:tcBorders>
            <w:shd w:val="clear" w:color="000000" w:fill="008069"/>
            <w:vAlign w:val="center"/>
            <w:hideMark/>
          </w:tcPr>
          <w:p w14:paraId="0E31CEE8" w14:textId="77777777" w:rsidR="00183CB6" w:rsidRPr="002620DC"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FFFFFF"/>
                <w:sz w:val="16"/>
                <w:szCs w:val="16"/>
                <w:lang w:eastAsia="en-AU"/>
              </w:rPr>
            </w:pPr>
            <w:r w:rsidRPr="002620DC">
              <w:rPr>
                <w:rFonts w:ascii="Work Sans SemiBold" w:eastAsia="Times New Roman" w:hAnsi="Work Sans SemiBold" w:cs="Calibri"/>
                <w:color w:val="FFFFFF"/>
                <w:sz w:val="16"/>
                <w:szCs w:val="16"/>
                <w:lang w:eastAsia="en-AU"/>
              </w:rPr>
              <w:t>Total</w:t>
            </w:r>
          </w:p>
        </w:tc>
      </w:tr>
      <w:tr w:rsidR="00964FE1" w:rsidRPr="002D10A7" w14:paraId="03ECE1AC" w14:textId="77777777" w:rsidTr="00010C15">
        <w:trPr>
          <w:trHeight w:val="315"/>
        </w:trPr>
        <w:tc>
          <w:tcPr>
            <w:tcW w:w="3392" w:type="dxa"/>
            <w:tcBorders>
              <w:top w:val="nil"/>
              <w:left w:val="nil"/>
              <w:bottom w:val="single" w:sz="8" w:space="0" w:color="CEE7B3"/>
              <w:right w:val="nil"/>
            </w:tcBorders>
            <w:shd w:val="clear" w:color="auto" w:fill="auto"/>
            <w:vAlign w:val="center"/>
            <w:hideMark/>
          </w:tcPr>
          <w:p w14:paraId="23C43755" w14:textId="77777777" w:rsidR="00183CB6" w:rsidRPr="00254F09" w:rsidRDefault="00183CB6" w:rsidP="007C4C74">
            <w:pPr>
              <w:keepNext/>
              <w:keepLines/>
              <w:widowControl w:val="0"/>
              <w:tabs>
                <w:tab w:val="clear" w:pos="567"/>
              </w:tabs>
              <w:spacing w:before="0" w:line="240" w:lineRule="auto"/>
              <w:rPr>
                <w:rFonts w:ascii="Work Sans SemiBold" w:eastAsia="Times New Roman" w:hAnsi="Work Sans SemiBold" w:cs="Calibri"/>
                <w:color w:val="000000"/>
                <w:sz w:val="16"/>
                <w:szCs w:val="16"/>
                <w:lang w:eastAsia="en-AU"/>
              </w:rPr>
            </w:pPr>
            <w:r w:rsidRPr="00254F09">
              <w:rPr>
                <w:rFonts w:ascii="Work Sans SemiBold" w:eastAsia="Times New Roman" w:hAnsi="Work Sans SemiBold" w:cs="Calibri"/>
                <w:color w:val="000000"/>
                <w:sz w:val="16"/>
                <w:szCs w:val="16"/>
                <w:lang w:eastAsia="en-AU"/>
              </w:rPr>
              <w:t>Opening user-population ('000)</w:t>
            </w:r>
          </w:p>
        </w:tc>
        <w:tc>
          <w:tcPr>
            <w:tcW w:w="668" w:type="dxa"/>
            <w:tcBorders>
              <w:top w:val="nil"/>
              <w:left w:val="nil"/>
              <w:bottom w:val="single" w:sz="8" w:space="0" w:color="CEE7B3"/>
              <w:right w:val="nil"/>
            </w:tcBorders>
            <w:shd w:val="clear" w:color="auto" w:fill="auto"/>
            <w:vAlign w:val="center"/>
            <w:hideMark/>
          </w:tcPr>
          <w:p w14:paraId="398B7146"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806</w:t>
            </w:r>
          </w:p>
        </w:tc>
        <w:tc>
          <w:tcPr>
            <w:tcW w:w="657" w:type="dxa"/>
            <w:tcBorders>
              <w:top w:val="nil"/>
              <w:left w:val="nil"/>
              <w:bottom w:val="single" w:sz="8" w:space="0" w:color="CEE7B3"/>
              <w:right w:val="nil"/>
            </w:tcBorders>
            <w:shd w:val="clear" w:color="auto" w:fill="auto"/>
            <w:vAlign w:val="center"/>
            <w:hideMark/>
          </w:tcPr>
          <w:p w14:paraId="35856984"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627</w:t>
            </w:r>
          </w:p>
        </w:tc>
        <w:tc>
          <w:tcPr>
            <w:tcW w:w="696" w:type="dxa"/>
            <w:tcBorders>
              <w:top w:val="nil"/>
              <w:left w:val="nil"/>
              <w:bottom w:val="single" w:sz="8" w:space="0" w:color="CEE7B3"/>
              <w:right w:val="nil"/>
            </w:tcBorders>
            <w:shd w:val="clear" w:color="auto" w:fill="auto"/>
            <w:vAlign w:val="center"/>
            <w:hideMark/>
          </w:tcPr>
          <w:p w14:paraId="5A2DB3AF"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563</w:t>
            </w:r>
          </w:p>
        </w:tc>
        <w:tc>
          <w:tcPr>
            <w:tcW w:w="594" w:type="dxa"/>
            <w:tcBorders>
              <w:top w:val="nil"/>
              <w:left w:val="nil"/>
              <w:bottom w:val="single" w:sz="8" w:space="0" w:color="CEE7B3"/>
              <w:right w:val="nil"/>
            </w:tcBorders>
            <w:shd w:val="clear" w:color="auto" w:fill="auto"/>
            <w:vAlign w:val="center"/>
            <w:hideMark/>
          </w:tcPr>
          <w:p w14:paraId="26532C66"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285</w:t>
            </w:r>
          </w:p>
        </w:tc>
        <w:tc>
          <w:tcPr>
            <w:tcW w:w="651" w:type="dxa"/>
            <w:tcBorders>
              <w:top w:val="nil"/>
              <w:left w:val="nil"/>
              <w:bottom w:val="single" w:sz="8" w:space="0" w:color="CEE7B3"/>
              <w:right w:val="nil"/>
            </w:tcBorders>
            <w:shd w:val="clear" w:color="auto" w:fill="auto"/>
            <w:vAlign w:val="center"/>
            <w:hideMark/>
          </w:tcPr>
          <w:p w14:paraId="5FDB0724"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175</w:t>
            </w:r>
          </w:p>
        </w:tc>
        <w:tc>
          <w:tcPr>
            <w:tcW w:w="608" w:type="dxa"/>
            <w:tcBorders>
              <w:top w:val="nil"/>
              <w:left w:val="nil"/>
              <w:bottom w:val="single" w:sz="8" w:space="0" w:color="CEE7B3"/>
              <w:right w:val="nil"/>
            </w:tcBorders>
            <w:shd w:val="clear" w:color="auto" w:fill="auto"/>
            <w:vAlign w:val="center"/>
            <w:hideMark/>
          </w:tcPr>
          <w:p w14:paraId="70ADD1DB"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56</w:t>
            </w:r>
          </w:p>
        </w:tc>
        <w:tc>
          <w:tcPr>
            <w:tcW w:w="567" w:type="dxa"/>
            <w:tcBorders>
              <w:top w:val="nil"/>
              <w:left w:val="nil"/>
              <w:bottom w:val="single" w:sz="8" w:space="0" w:color="CEE7B3"/>
              <w:right w:val="nil"/>
            </w:tcBorders>
            <w:shd w:val="clear" w:color="auto" w:fill="auto"/>
            <w:vAlign w:val="center"/>
            <w:hideMark/>
          </w:tcPr>
          <w:p w14:paraId="5758C055"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44</w:t>
            </w:r>
          </w:p>
        </w:tc>
        <w:tc>
          <w:tcPr>
            <w:tcW w:w="507" w:type="dxa"/>
            <w:tcBorders>
              <w:top w:val="nil"/>
              <w:left w:val="nil"/>
              <w:bottom w:val="single" w:sz="8" w:space="0" w:color="CEE7B3"/>
              <w:right w:val="nil"/>
            </w:tcBorders>
            <w:shd w:val="clear" w:color="auto" w:fill="auto"/>
            <w:vAlign w:val="center"/>
            <w:hideMark/>
          </w:tcPr>
          <w:p w14:paraId="02D76DCD"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34</w:t>
            </w:r>
          </w:p>
        </w:tc>
        <w:tc>
          <w:tcPr>
            <w:tcW w:w="724" w:type="dxa"/>
            <w:tcBorders>
              <w:top w:val="nil"/>
              <w:left w:val="nil"/>
              <w:bottom w:val="single" w:sz="8" w:space="0" w:color="CEE7B3"/>
              <w:right w:val="nil"/>
            </w:tcBorders>
            <w:shd w:val="clear" w:color="auto" w:fill="auto"/>
            <w:vAlign w:val="center"/>
            <w:hideMark/>
          </w:tcPr>
          <w:p w14:paraId="1D9BFAB0"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2,590</w:t>
            </w:r>
          </w:p>
        </w:tc>
      </w:tr>
      <w:tr w:rsidR="00964FE1" w:rsidRPr="002D10A7" w14:paraId="79B5E4F8" w14:textId="77777777" w:rsidTr="00010C15">
        <w:trPr>
          <w:trHeight w:val="315"/>
        </w:trPr>
        <w:tc>
          <w:tcPr>
            <w:tcW w:w="3392" w:type="dxa"/>
            <w:tcBorders>
              <w:top w:val="nil"/>
              <w:left w:val="nil"/>
              <w:bottom w:val="single" w:sz="8" w:space="0" w:color="CEE7B3"/>
              <w:right w:val="nil"/>
            </w:tcBorders>
            <w:shd w:val="clear" w:color="auto" w:fill="auto"/>
            <w:vAlign w:val="center"/>
            <w:hideMark/>
          </w:tcPr>
          <w:p w14:paraId="319A42A6" w14:textId="3DB36C76" w:rsidR="00183CB6" w:rsidRPr="002D10A7" w:rsidRDefault="00964FE1" w:rsidP="007C4C74">
            <w:pPr>
              <w:keepNext/>
              <w:keepLines/>
              <w:widowControl w:val="0"/>
              <w:tabs>
                <w:tab w:val="clear" w:pos="567"/>
              </w:tabs>
              <w:spacing w:before="0" w:line="240" w:lineRule="auto"/>
              <w:rPr>
                <w:rFonts w:ascii="Work Sans" w:eastAsia="Times New Roman" w:hAnsi="Work Sans" w:cs="Calibri"/>
                <w:color w:val="000000"/>
                <w:sz w:val="16"/>
                <w:szCs w:val="16"/>
                <w:lang w:eastAsia="en-AU"/>
              </w:rPr>
            </w:pPr>
            <w:r>
              <w:rPr>
                <w:rFonts w:ascii="Work Sans" w:eastAsia="Times New Roman" w:hAnsi="Work Sans" w:cs="Calibri"/>
                <w:color w:val="000000"/>
                <w:sz w:val="16"/>
                <w:szCs w:val="16"/>
                <w:lang w:eastAsia="en-AU"/>
              </w:rPr>
              <w:t xml:space="preserve">  </w:t>
            </w:r>
            <w:r w:rsidR="00183CB6" w:rsidRPr="002D10A7">
              <w:rPr>
                <w:rFonts w:ascii="Work Sans" w:eastAsia="Times New Roman" w:hAnsi="Work Sans" w:cs="Calibri"/>
                <w:color w:val="000000"/>
                <w:sz w:val="16"/>
                <w:szCs w:val="16"/>
                <w:lang w:eastAsia="en-AU"/>
              </w:rPr>
              <w:t>Opening stock ($m)</w:t>
            </w:r>
          </w:p>
        </w:tc>
        <w:tc>
          <w:tcPr>
            <w:tcW w:w="668" w:type="dxa"/>
            <w:tcBorders>
              <w:top w:val="nil"/>
              <w:left w:val="nil"/>
              <w:bottom w:val="single" w:sz="8" w:space="0" w:color="CEE7B3"/>
              <w:right w:val="nil"/>
            </w:tcBorders>
            <w:shd w:val="clear" w:color="auto" w:fill="auto"/>
            <w:noWrap/>
            <w:vAlign w:val="center"/>
            <w:hideMark/>
          </w:tcPr>
          <w:p w14:paraId="05FBB8DE"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57" w:type="dxa"/>
            <w:tcBorders>
              <w:top w:val="nil"/>
              <w:left w:val="nil"/>
              <w:bottom w:val="single" w:sz="8" w:space="0" w:color="CEE7B3"/>
              <w:right w:val="nil"/>
            </w:tcBorders>
            <w:shd w:val="clear" w:color="auto" w:fill="auto"/>
            <w:noWrap/>
            <w:vAlign w:val="center"/>
            <w:hideMark/>
          </w:tcPr>
          <w:p w14:paraId="24EFD8F8"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96" w:type="dxa"/>
            <w:tcBorders>
              <w:top w:val="nil"/>
              <w:left w:val="nil"/>
              <w:bottom w:val="single" w:sz="8" w:space="0" w:color="CEE7B3"/>
              <w:right w:val="nil"/>
            </w:tcBorders>
            <w:shd w:val="clear" w:color="auto" w:fill="auto"/>
            <w:noWrap/>
            <w:vAlign w:val="center"/>
            <w:hideMark/>
          </w:tcPr>
          <w:p w14:paraId="20635E0A"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594" w:type="dxa"/>
            <w:tcBorders>
              <w:top w:val="nil"/>
              <w:left w:val="nil"/>
              <w:bottom w:val="single" w:sz="8" w:space="0" w:color="CEE7B3"/>
              <w:right w:val="nil"/>
            </w:tcBorders>
            <w:shd w:val="clear" w:color="auto" w:fill="auto"/>
            <w:noWrap/>
            <w:vAlign w:val="center"/>
            <w:hideMark/>
          </w:tcPr>
          <w:p w14:paraId="1F1B6519"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51" w:type="dxa"/>
            <w:tcBorders>
              <w:top w:val="nil"/>
              <w:left w:val="nil"/>
              <w:bottom w:val="single" w:sz="8" w:space="0" w:color="CEE7B3"/>
              <w:right w:val="nil"/>
            </w:tcBorders>
            <w:shd w:val="clear" w:color="auto" w:fill="auto"/>
            <w:noWrap/>
            <w:vAlign w:val="center"/>
            <w:hideMark/>
          </w:tcPr>
          <w:p w14:paraId="79024426"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08" w:type="dxa"/>
            <w:tcBorders>
              <w:top w:val="nil"/>
              <w:left w:val="nil"/>
              <w:bottom w:val="single" w:sz="8" w:space="0" w:color="CEE7B3"/>
              <w:right w:val="nil"/>
            </w:tcBorders>
            <w:shd w:val="clear" w:color="auto" w:fill="auto"/>
            <w:noWrap/>
            <w:vAlign w:val="center"/>
            <w:hideMark/>
          </w:tcPr>
          <w:p w14:paraId="66FD5E5D"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567" w:type="dxa"/>
            <w:tcBorders>
              <w:top w:val="nil"/>
              <w:left w:val="nil"/>
              <w:bottom w:val="single" w:sz="8" w:space="0" w:color="CEE7B3"/>
              <w:right w:val="nil"/>
            </w:tcBorders>
            <w:shd w:val="clear" w:color="auto" w:fill="auto"/>
            <w:noWrap/>
            <w:vAlign w:val="center"/>
            <w:hideMark/>
          </w:tcPr>
          <w:p w14:paraId="2119F9AB"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507" w:type="dxa"/>
            <w:tcBorders>
              <w:top w:val="nil"/>
              <w:left w:val="nil"/>
              <w:bottom w:val="single" w:sz="8" w:space="0" w:color="CEE7B3"/>
              <w:right w:val="nil"/>
            </w:tcBorders>
            <w:shd w:val="clear" w:color="auto" w:fill="auto"/>
            <w:noWrap/>
            <w:vAlign w:val="center"/>
            <w:hideMark/>
          </w:tcPr>
          <w:p w14:paraId="7C8BCD77"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724" w:type="dxa"/>
            <w:tcBorders>
              <w:top w:val="nil"/>
              <w:left w:val="nil"/>
              <w:bottom w:val="single" w:sz="8" w:space="0" w:color="CEE7B3"/>
              <w:right w:val="nil"/>
            </w:tcBorders>
            <w:shd w:val="clear" w:color="auto" w:fill="auto"/>
            <w:noWrap/>
            <w:vAlign w:val="center"/>
            <w:hideMark/>
          </w:tcPr>
          <w:p w14:paraId="1A563EDA"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68,267</w:t>
            </w:r>
          </w:p>
        </w:tc>
      </w:tr>
      <w:tr w:rsidR="00964FE1" w:rsidRPr="002D10A7" w14:paraId="7B38C26D" w14:textId="77777777" w:rsidTr="00010C15">
        <w:trPr>
          <w:trHeight w:val="315"/>
        </w:trPr>
        <w:tc>
          <w:tcPr>
            <w:tcW w:w="3392" w:type="dxa"/>
            <w:tcBorders>
              <w:top w:val="nil"/>
              <w:left w:val="nil"/>
              <w:bottom w:val="single" w:sz="8" w:space="0" w:color="CEE7B3"/>
              <w:right w:val="nil"/>
            </w:tcBorders>
            <w:shd w:val="clear" w:color="auto" w:fill="auto"/>
            <w:vAlign w:val="center"/>
            <w:hideMark/>
          </w:tcPr>
          <w:p w14:paraId="521DEBA3" w14:textId="78F451F8" w:rsidR="00183CB6" w:rsidRPr="00D33E7E" w:rsidRDefault="00964FE1" w:rsidP="007C4C74">
            <w:pPr>
              <w:keepNext/>
              <w:keepLines/>
              <w:widowControl w:val="0"/>
              <w:tabs>
                <w:tab w:val="clear" w:pos="567"/>
              </w:tabs>
              <w:spacing w:before="0" w:line="240" w:lineRule="auto"/>
              <w:rPr>
                <w:rFonts w:ascii="Work Sans" w:eastAsia="Times New Roman" w:hAnsi="Work Sans" w:cs="Calibri"/>
                <w:color w:val="000000"/>
                <w:sz w:val="16"/>
                <w:szCs w:val="16"/>
                <w:lang w:eastAsia="en-AU"/>
              </w:rPr>
            </w:pPr>
            <w:r w:rsidRPr="00D33E7E">
              <w:rPr>
                <w:rFonts w:ascii="Work Sans" w:eastAsia="Times New Roman" w:hAnsi="Work Sans" w:cs="Calibri"/>
                <w:color w:val="000000"/>
                <w:sz w:val="16"/>
                <w:szCs w:val="16"/>
                <w:lang w:eastAsia="en-AU"/>
              </w:rPr>
              <w:t xml:space="preserve">  </w:t>
            </w:r>
            <w:r w:rsidR="00183CB6" w:rsidRPr="00D33E7E">
              <w:rPr>
                <w:rFonts w:ascii="Work Sans" w:eastAsia="Times New Roman" w:hAnsi="Work Sans" w:cs="Calibri"/>
                <w:color w:val="000000"/>
                <w:sz w:val="16"/>
                <w:szCs w:val="16"/>
                <w:lang w:eastAsia="en-AU"/>
              </w:rPr>
              <w:t>Stock per user at start of year ($)</w:t>
            </w:r>
          </w:p>
        </w:tc>
        <w:tc>
          <w:tcPr>
            <w:tcW w:w="668" w:type="dxa"/>
            <w:tcBorders>
              <w:top w:val="nil"/>
              <w:left w:val="nil"/>
              <w:bottom w:val="single" w:sz="8" w:space="0" w:color="CEE7B3"/>
              <w:right w:val="nil"/>
            </w:tcBorders>
            <w:shd w:val="clear" w:color="auto" w:fill="auto"/>
            <w:vAlign w:val="center"/>
            <w:hideMark/>
          </w:tcPr>
          <w:p w14:paraId="60E5BBA2"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57" w:type="dxa"/>
            <w:tcBorders>
              <w:top w:val="nil"/>
              <w:left w:val="nil"/>
              <w:bottom w:val="single" w:sz="8" w:space="0" w:color="CEE7B3"/>
              <w:right w:val="nil"/>
            </w:tcBorders>
            <w:shd w:val="clear" w:color="auto" w:fill="auto"/>
            <w:vAlign w:val="center"/>
            <w:hideMark/>
          </w:tcPr>
          <w:p w14:paraId="685C1383"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96" w:type="dxa"/>
            <w:tcBorders>
              <w:top w:val="nil"/>
              <w:left w:val="nil"/>
              <w:bottom w:val="single" w:sz="8" w:space="0" w:color="CEE7B3"/>
              <w:right w:val="nil"/>
            </w:tcBorders>
            <w:shd w:val="clear" w:color="auto" w:fill="auto"/>
            <w:vAlign w:val="center"/>
            <w:hideMark/>
          </w:tcPr>
          <w:p w14:paraId="2F656461"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594" w:type="dxa"/>
            <w:tcBorders>
              <w:top w:val="nil"/>
              <w:left w:val="nil"/>
              <w:bottom w:val="single" w:sz="8" w:space="0" w:color="CEE7B3"/>
              <w:right w:val="nil"/>
            </w:tcBorders>
            <w:shd w:val="clear" w:color="auto" w:fill="auto"/>
            <w:vAlign w:val="center"/>
            <w:hideMark/>
          </w:tcPr>
          <w:p w14:paraId="5FC8A445"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51" w:type="dxa"/>
            <w:tcBorders>
              <w:top w:val="nil"/>
              <w:left w:val="nil"/>
              <w:bottom w:val="single" w:sz="8" w:space="0" w:color="CEE7B3"/>
              <w:right w:val="nil"/>
            </w:tcBorders>
            <w:shd w:val="clear" w:color="auto" w:fill="auto"/>
            <w:vAlign w:val="center"/>
            <w:hideMark/>
          </w:tcPr>
          <w:p w14:paraId="2F52CC66"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08" w:type="dxa"/>
            <w:tcBorders>
              <w:top w:val="nil"/>
              <w:left w:val="nil"/>
              <w:bottom w:val="single" w:sz="8" w:space="0" w:color="CEE7B3"/>
              <w:right w:val="nil"/>
            </w:tcBorders>
            <w:shd w:val="clear" w:color="auto" w:fill="auto"/>
            <w:vAlign w:val="center"/>
            <w:hideMark/>
          </w:tcPr>
          <w:p w14:paraId="16783D06"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567" w:type="dxa"/>
            <w:tcBorders>
              <w:top w:val="nil"/>
              <w:left w:val="nil"/>
              <w:bottom w:val="single" w:sz="8" w:space="0" w:color="CEE7B3"/>
              <w:right w:val="nil"/>
            </w:tcBorders>
            <w:shd w:val="clear" w:color="auto" w:fill="auto"/>
            <w:vAlign w:val="center"/>
            <w:hideMark/>
          </w:tcPr>
          <w:p w14:paraId="1DC9CC19"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507" w:type="dxa"/>
            <w:tcBorders>
              <w:top w:val="nil"/>
              <w:left w:val="nil"/>
              <w:bottom w:val="single" w:sz="8" w:space="0" w:color="CEE7B3"/>
              <w:right w:val="nil"/>
            </w:tcBorders>
            <w:shd w:val="clear" w:color="auto" w:fill="auto"/>
            <w:vAlign w:val="center"/>
            <w:hideMark/>
          </w:tcPr>
          <w:p w14:paraId="61A7A868"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724" w:type="dxa"/>
            <w:tcBorders>
              <w:top w:val="nil"/>
              <w:left w:val="nil"/>
              <w:bottom w:val="single" w:sz="8" w:space="0" w:color="CEE7B3"/>
              <w:right w:val="nil"/>
            </w:tcBorders>
            <w:shd w:val="clear" w:color="auto" w:fill="auto"/>
            <w:vAlign w:val="center"/>
            <w:hideMark/>
          </w:tcPr>
          <w:p w14:paraId="77F48900"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26,354</w:t>
            </w:r>
          </w:p>
        </w:tc>
      </w:tr>
      <w:tr w:rsidR="00964FE1" w:rsidRPr="002D10A7" w14:paraId="50782DC5" w14:textId="77777777" w:rsidTr="00010C15">
        <w:trPr>
          <w:trHeight w:val="315"/>
        </w:trPr>
        <w:tc>
          <w:tcPr>
            <w:tcW w:w="3392" w:type="dxa"/>
            <w:tcBorders>
              <w:top w:val="nil"/>
              <w:left w:val="nil"/>
              <w:bottom w:val="single" w:sz="8" w:space="0" w:color="CEE7B3"/>
              <w:right w:val="nil"/>
            </w:tcBorders>
            <w:shd w:val="clear" w:color="auto" w:fill="auto"/>
            <w:vAlign w:val="center"/>
            <w:hideMark/>
          </w:tcPr>
          <w:p w14:paraId="4B87D27F" w14:textId="31C71778" w:rsidR="00183CB6" w:rsidRPr="002D10A7" w:rsidRDefault="00964FE1" w:rsidP="007C4C74">
            <w:pPr>
              <w:keepNext/>
              <w:keepLines/>
              <w:widowControl w:val="0"/>
              <w:tabs>
                <w:tab w:val="clear" w:pos="567"/>
              </w:tabs>
              <w:spacing w:before="0" w:line="240" w:lineRule="auto"/>
              <w:rPr>
                <w:rFonts w:ascii="Work Sans" w:eastAsia="Times New Roman" w:hAnsi="Work Sans" w:cs="Calibri"/>
                <w:color w:val="000000"/>
                <w:sz w:val="16"/>
                <w:szCs w:val="16"/>
                <w:lang w:eastAsia="en-AU"/>
              </w:rPr>
            </w:pPr>
            <w:r>
              <w:rPr>
                <w:rFonts w:ascii="Work Sans" w:eastAsia="Times New Roman" w:hAnsi="Work Sans" w:cs="Calibri"/>
                <w:color w:val="000000"/>
                <w:sz w:val="16"/>
                <w:szCs w:val="16"/>
                <w:lang w:eastAsia="en-AU"/>
              </w:rPr>
              <w:t xml:space="preserve">  </w:t>
            </w:r>
            <w:r w:rsidR="00183CB6" w:rsidRPr="002D10A7">
              <w:rPr>
                <w:rFonts w:ascii="Work Sans" w:eastAsia="Times New Roman" w:hAnsi="Work Sans" w:cs="Calibri"/>
                <w:color w:val="000000"/>
                <w:sz w:val="16"/>
                <w:szCs w:val="16"/>
                <w:lang w:eastAsia="en-AU"/>
              </w:rPr>
              <w:t>Assessed value of opening stock ($m)</w:t>
            </w:r>
          </w:p>
        </w:tc>
        <w:tc>
          <w:tcPr>
            <w:tcW w:w="668" w:type="dxa"/>
            <w:tcBorders>
              <w:top w:val="nil"/>
              <w:left w:val="nil"/>
              <w:bottom w:val="single" w:sz="8" w:space="0" w:color="CEE7B3"/>
              <w:right w:val="nil"/>
            </w:tcBorders>
            <w:shd w:val="clear" w:color="auto" w:fill="auto"/>
            <w:vAlign w:val="center"/>
            <w:hideMark/>
          </w:tcPr>
          <w:p w14:paraId="34A33891"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21,237</w:t>
            </w:r>
          </w:p>
        </w:tc>
        <w:tc>
          <w:tcPr>
            <w:tcW w:w="657" w:type="dxa"/>
            <w:tcBorders>
              <w:top w:val="nil"/>
              <w:left w:val="nil"/>
              <w:bottom w:val="single" w:sz="8" w:space="0" w:color="CEE7B3"/>
              <w:right w:val="nil"/>
            </w:tcBorders>
            <w:shd w:val="clear" w:color="auto" w:fill="auto"/>
            <w:vAlign w:val="center"/>
            <w:hideMark/>
          </w:tcPr>
          <w:p w14:paraId="74BDD1C3"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16,515</w:t>
            </w:r>
          </w:p>
        </w:tc>
        <w:tc>
          <w:tcPr>
            <w:tcW w:w="696" w:type="dxa"/>
            <w:tcBorders>
              <w:top w:val="nil"/>
              <w:left w:val="nil"/>
              <w:bottom w:val="single" w:sz="8" w:space="0" w:color="CEE7B3"/>
              <w:right w:val="nil"/>
            </w:tcBorders>
            <w:shd w:val="clear" w:color="auto" w:fill="auto"/>
            <w:vAlign w:val="center"/>
            <w:hideMark/>
          </w:tcPr>
          <w:p w14:paraId="312523CC"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14,827</w:t>
            </w:r>
          </w:p>
        </w:tc>
        <w:tc>
          <w:tcPr>
            <w:tcW w:w="594" w:type="dxa"/>
            <w:tcBorders>
              <w:top w:val="nil"/>
              <w:left w:val="nil"/>
              <w:bottom w:val="single" w:sz="8" w:space="0" w:color="CEE7B3"/>
              <w:right w:val="nil"/>
            </w:tcBorders>
            <w:shd w:val="clear" w:color="auto" w:fill="auto"/>
            <w:vAlign w:val="center"/>
            <w:hideMark/>
          </w:tcPr>
          <w:p w14:paraId="78DB099F"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7,516</w:t>
            </w:r>
          </w:p>
        </w:tc>
        <w:tc>
          <w:tcPr>
            <w:tcW w:w="651" w:type="dxa"/>
            <w:tcBorders>
              <w:top w:val="nil"/>
              <w:left w:val="nil"/>
              <w:bottom w:val="single" w:sz="8" w:space="0" w:color="CEE7B3"/>
              <w:right w:val="nil"/>
            </w:tcBorders>
            <w:shd w:val="clear" w:color="auto" w:fill="auto"/>
            <w:vAlign w:val="center"/>
            <w:hideMark/>
          </w:tcPr>
          <w:p w14:paraId="060D01AA"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4,623</w:t>
            </w:r>
          </w:p>
        </w:tc>
        <w:tc>
          <w:tcPr>
            <w:tcW w:w="608" w:type="dxa"/>
            <w:tcBorders>
              <w:top w:val="nil"/>
              <w:left w:val="nil"/>
              <w:bottom w:val="single" w:sz="8" w:space="0" w:color="CEE7B3"/>
              <w:right w:val="nil"/>
            </w:tcBorders>
            <w:shd w:val="clear" w:color="auto" w:fill="auto"/>
            <w:vAlign w:val="center"/>
            <w:hideMark/>
          </w:tcPr>
          <w:p w14:paraId="3C0595A0"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1,488</w:t>
            </w:r>
          </w:p>
        </w:tc>
        <w:tc>
          <w:tcPr>
            <w:tcW w:w="567" w:type="dxa"/>
            <w:tcBorders>
              <w:top w:val="nil"/>
              <w:left w:val="nil"/>
              <w:bottom w:val="single" w:sz="8" w:space="0" w:color="CEE7B3"/>
              <w:right w:val="nil"/>
            </w:tcBorders>
            <w:shd w:val="clear" w:color="auto" w:fill="auto"/>
            <w:vAlign w:val="center"/>
            <w:hideMark/>
          </w:tcPr>
          <w:p w14:paraId="3D49DDD0"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1,153</w:t>
            </w:r>
          </w:p>
        </w:tc>
        <w:tc>
          <w:tcPr>
            <w:tcW w:w="507" w:type="dxa"/>
            <w:tcBorders>
              <w:top w:val="nil"/>
              <w:left w:val="nil"/>
              <w:bottom w:val="single" w:sz="8" w:space="0" w:color="CEE7B3"/>
              <w:right w:val="nil"/>
            </w:tcBorders>
            <w:shd w:val="clear" w:color="auto" w:fill="auto"/>
            <w:vAlign w:val="center"/>
            <w:hideMark/>
          </w:tcPr>
          <w:p w14:paraId="55CF415D"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909</w:t>
            </w:r>
          </w:p>
        </w:tc>
        <w:tc>
          <w:tcPr>
            <w:tcW w:w="724" w:type="dxa"/>
            <w:tcBorders>
              <w:top w:val="nil"/>
              <w:left w:val="nil"/>
              <w:bottom w:val="single" w:sz="8" w:space="0" w:color="CEE7B3"/>
              <w:right w:val="nil"/>
            </w:tcBorders>
            <w:shd w:val="clear" w:color="auto" w:fill="auto"/>
            <w:vAlign w:val="center"/>
            <w:hideMark/>
          </w:tcPr>
          <w:p w14:paraId="0B0B6D99"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68,267</w:t>
            </w:r>
          </w:p>
        </w:tc>
      </w:tr>
      <w:tr w:rsidR="00964FE1" w:rsidRPr="002D10A7" w14:paraId="64064C7C" w14:textId="77777777" w:rsidTr="00010C15">
        <w:trPr>
          <w:trHeight w:val="315"/>
        </w:trPr>
        <w:tc>
          <w:tcPr>
            <w:tcW w:w="3392" w:type="dxa"/>
            <w:tcBorders>
              <w:top w:val="nil"/>
              <w:left w:val="nil"/>
              <w:bottom w:val="single" w:sz="8" w:space="0" w:color="CEE7B3"/>
              <w:right w:val="nil"/>
            </w:tcBorders>
            <w:shd w:val="clear" w:color="auto" w:fill="auto"/>
            <w:vAlign w:val="center"/>
            <w:hideMark/>
          </w:tcPr>
          <w:p w14:paraId="2D80B855" w14:textId="77777777" w:rsidR="00183CB6" w:rsidRPr="00254F09" w:rsidRDefault="00183CB6" w:rsidP="007C4C74">
            <w:pPr>
              <w:keepNext/>
              <w:keepLines/>
              <w:widowControl w:val="0"/>
              <w:tabs>
                <w:tab w:val="clear" w:pos="567"/>
              </w:tabs>
              <w:spacing w:before="0" w:line="240" w:lineRule="auto"/>
              <w:rPr>
                <w:rFonts w:ascii="Work Sans SemiBold" w:eastAsia="Times New Roman" w:hAnsi="Work Sans SemiBold" w:cs="Calibri"/>
                <w:color w:val="000000"/>
                <w:sz w:val="16"/>
                <w:szCs w:val="16"/>
                <w:lang w:eastAsia="en-AU"/>
              </w:rPr>
            </w:pPr>
            <w:r w:rsidRPr="00254F09">
              <w:rPr>
                <w:rFonts w:ascii="Work Sans SemiBold" w:eastAsia="Times New Roman" w:hAnsi="Work Sans SemiBold" w:cs="Calibri"/>
                <w:color w:val="000000"/>
                <w:sz w:val="16"/>
                <w:szCs w:val="16"/>
                <w:lang w:eastAsia="en-AU"/>
              </w:rPr>
              <w:t>Closing user-population ('000)</w:t>
            </w:r>
          </w:p>
        </w:tc>
        <w:tc>
          <w:tcPr>
            <w:tcW w:w="668" w:type="dxa"/>
            <w:tcBorders>
              <w:top w:val="nil"/>
              <w:left w:val="nil"/>
              <w:bottom w:val="single" w:sz="8" w:space="0" w:color="CEE7B3"/>
              <w:right w:val="nil"/>
            </w:tcBorders>
            <w:shd w:val="clear" w:color="auto" w:fill="auto"/>
            <w:vAlign w:val="center"/>
            <w:hideMark/>
          </w:tcPr>
          <w:p w14:paraId="3E2C5F95"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810</w:t>
            </w:r>
          </w:p>
        </w:tc>
        <w:tc>
          <w:tcPr>
            <w:tcW w:w="657" w:type="dxa"/>
            <w:tcBorders>
              <w:top w:val="nil"/>
              <w:left w:val="nil"/>
              <w:bottom w:val="single" w:sz="8" w:space="0" w:color="CEE7B3"/>
              <w:right w:val="nil"/>
            </w:tcBorders>
            <w:shd w:val="clear" w:color="auto" w:fill="auto"/>
            <w:vAlign w:val="center"/>
            <w:hideMark/>
          </w:tcPr>
          <w:p w14:paraId="475BB4A4"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637</w:t>
            </w:r>
          </w:p>
        </w:tc>
        <w:tc>
          <w:tcPr>
            <w:tcW w:w="696" w:type="dxa"/>
            <w:tcBorders>
              <w:top w:val="nil"/>
              <w:left w:val="nil"/>
              <w:bottom w:val="single" w:sz="8" w:space="0" w:color="CEE7B3"/>
              <w:right w:val="nil"/>
            </w:tcBorders>
            <w:shd w:val="clear" w:color="auto" w:fill="auto"/>
            <w:vAlign w:val="center"/>
            <w:hideMark/>
          </w:tcPr>
          <w:p w14:paraId="242DC56E"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576</w:t>
            </w:r>
          </w:p>
        </w:tc>
        <w:tc>
          <w:tcPr>
            <w:tcW w:w="594" w:type="dxa"/>
            <w:tcBorders>
              <w:top w:val="nil"/>
              <w:left w:val="nil"/>
              <w:bottom w:val="single" w:sz="8" w:space="0" w:color="CEE7B3"/>
              <w:right w:val="nil"/>
            </w:tcBorders>
            <w:shd w:val="clear" w:color="auto" w:fill="auto"/>
            <w:vAlign w:val="center"/>
            <w:hideMark/>
          </w:tcPr>
          <w:p w14:paraId="0AFBDC3D"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290</w:t>
            </w:r>
          </w:p>
        </w:tc>
        <w:tc>
          <w:tcPr>
            <w:tcW w:w="651" w:type="dxa"/>
            <w:tcBorders>
              <w:top w:val="nil"/>
              <w:left w:val="nil"/>
              <w:bottom w:val="single" w:sz="8" w:space="0" w:color="CEE7B3"/>
              <w:right w:val="nil"/>
            </w:tcBorders>
            <w:shd w:val="clear" w:color="auto" w:fill="auto"/>
            <w:vAlign w:val="center"/>
            <w:hideMark/>
          </w:tcPr>
          <w:p w14:paraId="7B3CCA60"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175</w:t>
            </w:r>
          </w:p>
        </w:tc>
        <w:tc>
          <w:tcPr>
            <w:tcW w:w="608" w:type="dxa"/>
            <w:tcBorders>
              <w:top w:val="nil"/>
              <w:left w:val="nil"/>
              <w:bottom w:val="single" w:sz="8" w:space="0" w:color="CEE7B3"/>
              <w:right w:val="nil"/>
            </w:tcBorders>
            <w:shd w:val="clear" w:color="auto" w:fill="auto"/>
            <w:vAlign w:val="center"/>
            <w:hideMark/>
          </w:tcPr>
          <w:p w14:paraId="662CCA3F"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56</w:t>
            </w:r>
          </w:p>
        </w:tc>
        <w:tc>
          <w:tcPr>
            <w:tcW w:w="567" w:type="dxa"/>
            <w:tcBorders>
              <w:top w:val="nil"/>
              <w:left w:val="nil"/>
              <w:bottom w:val="single" w:sz="8" w:space="0" w:color="CEE7B3"/>
              <w:right w:val="nil"/>
            </w:tcBorders>
            <w:shd w:val="clear" w:color="auto" w:fill="auto"/>
            <w:vAlign w:val="center"/>
            <w:hideMark/>
          </w:tcPr>
          <w:p w14:paraId="5F57B903"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45</w:t>
            </w:r>
          </w:p>
        </w:tc>
        <w:tc>
          <w:tcPr>
            <w:tcW w:w="507" w:type="dxa"/>
            <w:tcBorders>
              <w:top w:val="nil"/>
              <w:left w:val="nil"/>
              <w:bottom w:val="single" w:sz="8" w:space="0" w:color="CEE7B3"/>
              <w:right w:val="nil"/>
            </w:tcBorders>
            <w:shd w:val="clear" w:color="auto" w:fill="auto"/>
            <w:vAlign w:val="center"/>
            <w:hideMark/>
          </w:tcPr>
          <w:p w14:paraId="43619808"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35</w:t>
            </w:r>
          </w:p>
        </w:tc>
        <w:tc>
          <w:tcPr>
            <w:tcW w:w="724" w:type="dxa"/>
            <w:tcBorders>
              <w:top w:val="nil"/>
              <w:left w:val="nil"/>
              <w:bottom w:val="single" w:sz="8" w:space="0" w:color="CEE7B3"/>
              <w:right w:val="nil"/>
            </w:tcBorders>
            <w:shd w:val="clear" w:color="auto" w:fill="auto"/>
            <w:vAlign w:val="center"/>
            <w:hideMark/>
          </w:tcPr>
          <w:p w14:paraId="121252FC"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2,625</w:t>
            </w:r>
          </w:p>
        </w:tc>
      </w:tr>
      <w:tr w:rsidR="00964FE1" w:rsidRPr="002D10A7" w14:paraId="6A2367AA" w14:textId="77777777" w:rsidTr="00010C15">
        <w:trPr>
          <w:trHeight w:val="315"/>
        </w:trPr>
        <w:tc>
          <w:tcPr>
            <w:tcW w:w="3392" w:type="dxa"/>
            <w:tcBorders>
              <w:top w:val="nil"/>
              <w:left w:val="nil"/>
              <w:bottom w:val="single" w:sz="8" w:space="0" w:color="CEE7B3"/>
              <w:right w:val="nil"/>
            </w:tcBorders>
            <w:shd w:val="clear" w:color="auto" w:fill="auto"/>
            <w:vAlign w:val="center"/>
            <w:hideMark/>
          </w:tcPr>
          <w:p w14:paraId="60B12110" w14:textId="0F55E059" w:rsidR="00183CB6" w:rsidRPr="002D10A7" w:rsidRDefault="00964FE1" w:rsidP="007C4C74">
            <w:pPr>
              <w:keepNext/>
              <w:keepLines/>
              <w:widowControl w:val="0"/>
              <w:tabs>
                <w:tab w:val="clear" w:pos="567"/>
              </w:tabs>
              <w:spacing w:before="0" w:line="240" w:lineRule="auto"/>
              <w:rPr>
                <w:rFonts w:ascii="Work Sans" w:eastAsia="Times New Roman" w:hAnsi="Work Sans" w:cs="Calibri"/>
                <w:color w:val="000000"/>
                <w:sz w:val="16"/>
                <w:szCs w:val="16"/>
                <w:lang w:eastAsia="en-AU"/>
              </w:rPr>
            </w:pPr>
            <w:r>
              <w:rPr>
                <w:rFonts w:ascii="Work Sans" w:eastAsia="Times New Roman" w:hAnsi="Work Sans" w:cs="Calibri"/>
                <w:color w:val="000000"/>
                <w:sz w:val="16"/>
                <w:szCs w:val="16"/>
                <w:lang w:eastAsia="en-AU"/>
              </w:rPr>
              <w:t xml:space="preserve">  </w:t>
            </w:r>
            <w:r w:rsidR="008D377B">
              <w:rPr>
                <w:rFonts w:ascii="Work Sans" w:eastAsia="Times New Roman" w:hAnsi="Work Sans" w:cs="Calibri"/>
                <w:color w:val="000000"/>
                <w:sz w:val="16"/>
                <w:szCs w:val="16"/>
                <w:lang w:eastAsia="en-AU"/>
              </w:rPr>
              <w:t>Closing</w:t>
            </w:r>
            <w:r w:rsidR="00183CB6" w:rsidRPr="002D10A7">
              <w:rPr>
                <w:rFonts w:ascii="Work Sans" w:eastAsia="Times New Roman" w:hAnsi="Work Sans" w:cs="Calibri"/>
                <w:color w:val="000000"/>
                <w:sz w:val="16"/>
                <w:szCs w:val="16"/>
                <w:lang w:eastAsia="en-AU"/>
              </w:rPr>
              <w:t xml:space="preserve"> stock ($m)</w:t>
            </w:r>
          </w:p>
        </w:tc>
        <w:tc>
          <w:tcPr>
            <w:tcW w:w="668" w:type="dxa"/>
            <w:tcBorders>
              <w:top w:val="nil"/>
              <w:left w:val="nil"/>
              <w:bottom w:val="single" w:sz="8" w:space="0" w:color="CEE7B3"/>
              <w:right w:val="nil"/>
            </w:tcBorders>
            <w:shd w:val="clear" w:color="auto" w:fill="auto"/>
            <w:noWrap/>
            <w:vAlign w:val="center"/>
            <w:hideMark/>
          </w:tcPr>
          <w:p w14:paraId="064E51DC"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57" w:type="dxa"/>
            <w:tcBorders>
              <w:top w:val="nil"/>
              <w:left w:val="nil"/>
              <w:bottom w:val="single" w:sz="8" w:space="0" w:color="CEE7B3"/>
              <w:right w:val="nil"/>
            </w:tcBorders>
            <w:shd w:val="clear" w:color="auto" w:fill="auto"/>
            <w:noWrap/>
            <w:vAlign w:val="center"/>
            <w:hideMark/>
          </w:tcPr>
          <w:p w14:paraId="05A71FBF"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96" w:type="dxa"/>
            <w:tcBorders>
              <w:top w:val="nil"/>
              <w:left w:val="nil"/>
              <w:bottom w:val="single" w:sz="8" w:space="0" w:color="CEE7B3"/>
              <w:right w:val="nil"/>
            </w:tcBorders>
            <w:shd w:val="clear" w:color="auto" w:fill="auto"/>
            <w:noWrap/>
            <w:vAlign w:val="center"/>
            <w:hideMark/>
          </w:tcPr>
          <w:p w14:paraId="7779860D"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594" w:type="dxa"/>
            <w:tcBorders>
              <w:top w:val="nil"/>
              <w:left w:val="nil"/>
              <w:bottom w:val="single" w:sz="8" w:space="0" w:color="CEE7B3"/>
              <w:right w:val="nil"/>
            </w:tcBorders>
            <w:shd w:val="clear" w:color="auto" w:fill="auto"/>
            <w:noWrap/>
            <w:vAlign w:val="center"/>
            <w:hideMark/>
          </w:tcPr>
          <w:p w14:paraId="0C188C40"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51" w:type="dxa"/>
            <w:tcBorders>
              <w:top w:val="nil"/>
              <w:left w:val="nil"/>
              <w:bottom w:val="single" w:sz="8" w:space="0" w:color="CEE7B3"/>
              <w:right w:val="nil"/>
            </w:tcBorders>
            <w:shd w:val="clear" w:color="auto" w:fill="auto"/>
            <w:noWrap/>
            <w:vAlign w:val="center"/>
            <w:hideMark/>
          </w:tcPr>
          <w:p w14:paraId="24C9198A"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08" w:type="dxa"/>
            <w:tcBorders>
              <w:top w:val="nil"/>
              <w:left w:val="nil"/>
              <w:bottom w:val="single" w:sz="8" w:space="0" w:color="CEE7B3"/>
              <w:right w:val="nil"/>
            </w:tcBorders>
            <w:shd w:val="clear" w:color="auto" w:fill="auto"/>
            <w:noWrap/>
            <w:vAlign w:val="center"/>
            <w:hideMark/>
          </w:tcPr>
          <w:p w14:paraId="51E59601"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567" w:type="dxa"/>
            <w:tcBorders>
              <w:top w:val="nil"/>
              <w:left w:val="nil"/>
              <w:bottom w:val="single" w:sz="8" w:space="0" w:color="CEE7B3"/>
              <w:right w:val="nil"/>
            </w:tcBorders>
            <w:shd w:val="clear" w:color="auto" w:fill="auto"/>
            <w:noWrap/>
            <w:vAlign w:val="center"/>
            <w:hideMark/>
          </w:tcPr>
          <w:p w14:paraId="6FB87A27"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507" w:type="dxa"/>
            <w:tcBorders>
              <w:top w:val="nil"/>
              <w:left w:val="nil"/>
              <w:bottom w:val="single" w:sz="8" w:space="0" w:color="CEE7B3"/>
              <w:right w:val="nil"/>
            </w:tcBorders>
            <w:shd w:val="clear" w:color="auto" w:fill="auto"/>
            <w:noWrap/>
            <w:vAlign w:val="center"/>
            <w:hideMark/>
          </w:tcPr>
          <w:p w14:paraId="1333298D"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724" w:type="dxa"/>
            <w:tcBorders>
              <w:top w:val="nil"/>
              <w:left w:val="nil"/>
              <w:bottom w:val="single" w:sz="8" w:space="0" w:color="CEE7B3"/>
              <w:right w:val="nil"/>
            </w:tcBorders>
            <w:shd w:val="clear" w:color="auto" w:fill="auto"/>
            <w:noWrap/>
            <w:vAlign w:val="center"/>
            <w:hideMark/>
          </w:tcPr>
          <w:p w14:paraId="2CCDB19C"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73,403</w:t>
            </w:r>
          </w:p>
        </w:tc>
      </w:tr>
      <w:tr w:rsidR="00964FE1" w:rsidRPr="002D10A7" w14:paraId="4B835F71" w14:textId="77777777" w:rsidTr="00010C15">
        <w:trPr>
          <w:trHeight w:val="315"/>
        </w:trPr>
        <w:tc>
          <w:tcPr>
            <w:tcW w:w="3392" w:type="dxa"/>
            <w:tcBorders>
              <w:top w:val="nil"/>
              <w:left w:val="nil"/>
              <w:bottom w:val="single" w:sz="8" w:space="0" w:color="CEE7B3"/>
              <w:right w:val="nil"/>
            </w:tcBorders>
            <w:shd w:val="clear" w:color="auto" w:fill="auto"/>
            <w:vAlign w:val="center"/>
            <w:hideMark/>
          </w:tcPr>
          <w:p w14:paraId="6B4CD539" w14:textId="2327A5B7" w:rsidR="00183CB6" w:rsidRPr="002D10A7" w:rsidRDefault="00964FE1" w:rsidP="007C4C74">
            <w:pPr>
              <w:keepNext/>
              <w:keepLines/>
              <w:widowControl w:val="0"/>
              <w:tabs>
                <w:tab w:val="clear" w:pos="567"/>
              </w:tabs>
              <w:spacing w:before="0" w:line="240" w:lineRule="auto"/>
              <w:rPr>
                <w:rFonts w:ascii="Work Sans" w:eastAsia="Times New Roman" w:hAnsi="Work Sans" w:cs="Calibri"/>
                <w:color w:val="000000"/>
                <w:sz w:val="16"/>
                <w:szCs w:val="16"/>
                <w:lang w:eastAsia="en-AU"/>
              </w:rPr>
            </w:pPr>
            <w:r w:rsidRPr="00D33E7E">
              <w:rPr>
                <w:rFonts w:ascii="Work Sans" w:eastAsia="Times New Roman" w:hAnsi="Work Sans" w:cs="Calibri"/>
                <w:color w:val="000000"/>
                <w:sz w:val="16"/>
                <w:szCs w:val="16"/>
                <w:lang w:eastAsia="en-AU"/>
              </w:rPr>
              <w:t xml:space="preserve">  </w:t>
            </w:r>
            <w:r w:rsidR="00183CB6" w:rsidRPr="00D33E7E">
              <w:rPr>
                <w:rFonts w:ascii="Work Sans" w:eastAsia="Times New Roman" w:hAnsi="Work Sans" w:cs="Calibri"/>
                <w:color w:val="000000"/>
                <w:sz w:val="16"/>
                <w:szCs w:val="16"/>
                <w:lang w:eastAsia="en-AU"/>
              </w:rPr>
              <w:t>Stock per user at end of year ($)</w:t>
            </w:r>
          </w:p>
        </w:tc>
        <w:tc>
          <w:tcPr>
            <w:tcW w:w="668" w:type="dxa"/>
            <w:tcBorders>
              <w:top w:val="nil"/>
              <w:left w:val="nil"/>
              <w:bottom w:val="single" w:sz="8" w:space="0" w:color="CEE7B3"/>
              <w:right w:val="nil"/>
            </w:tcBorders>
            <w:shd w:val="clear" w:color="auto" w:fill="auto"/>
            <w:noWrap/>
            <w:vAlign w:val="center"/>
            <w:hideMark/>
          </w:tcPr>
          <w:p w14:paraId="7D9CDE32"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57" w:type="dxa"/>
            <w:tcBorders>
              <w:top w:val="nil"/>
              <w:left w:val="nil"/>
              <w:bottom w:val="single" w:sz="8" w:space="0" w:color="CEE7B3"/>
              <w:right w:val="nil"/>
            </w:tcBorders>
            <w:shd w:val="clear" w:color="auto" w:fill="auto"/>
            <w:noWrap/>
            <w:vAlign w:val="center"/>
            <w:hideMark/>
          </w:tcPr>
          <w:p w14:paraId="060512FD"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96" w:type="dxa"/>
            <w:tcBorders>
              <w:top w:val="nil"/>
              <w:left w:val="nil"/>
              <w:bottom w:val="single" w:sz="8" w:space="0" w:color="CEE7B3"/>
              <w:right w:val="nil"/>
            </w:tcBorders>
            <w:shd w:val="clear" w:color="auto" w:fill="auto"/>
            <w:noWrap/>
            <w:vAlign w:val="center"/>
            <w:hideMark/>
          </w:tcPr>
          <w:p w14:paraId="0BB619E7"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594" w:type="dxa"/>
            <w:tcBorders>
              <w:top w:val="nil"/>
              <w:left w:val="nil"/>
              <w:bottom w:val="single" w:sz="8" w:space="0" w:color="CEE7B3"/>
              <w:right w:val="nil"/>
            </w:tcBorders>
            <w:shd w:val="clear" w:color="auto" w:fill="auto"/>
            <w:noWrap/>
            <w:vAlign w:val="center"/>
            <w:hideMark/>
          </w:tcPr>
          <w:p w14:paraId="640C69EA"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51" w:type="dxa"/>
            <w:tcBorders>
              <w:top w:val="nil"/>
              <w:left w:val="nil"/>
              <w:bottom w:val="single" w:sz="8" w:space="0" w:color="CEE7B3"/>
              <w:right w:val="nil"/>
            </w:tcBorders>
            <w:shd w:val="clear" w:color="auto" w:fill="auto"/>
            <w:noWrap/>
            <w:vAlign w:val="center"/>
            <w:hideMark/>
          </w:tcPr>
          <w:p w14:paraId="4B481C49"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608" w:type="dxa"/>
            <w:tcBorders>
              <w:top w:val="nil"/>
              <w:left w:val="nil"/>
              <w:bottom w:val="single" w:sz="8" w:space="0" w:color="CEE7B3"/>
              <w:right w:val="nil"/>
            </w:tcBorders>
            <w:shd w:val="clear" w:color="auto" w:fill="auto"/>
            <w:noWrap/>
            <w:vAlign w:val="center"/>
            <w:hideMark/>
          </w:tcPr>
          <w:p w14:paraId="2871F40A"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567" w:type="dxa"/>
            <w:tcBorders>
              <w:top w:val="nil"/>
              <w:left w:val="nil"/>
              <w:bottom w:val="single" w:sz="8" w:space="0" w:color="CEE7B3"/>
              <w:right w:val="nil"/>
            </w:tcBorders>
            <w:shd w:val="clear" w:color="auto" w:fill="auto"/>
            <w:noWrap/>
            <w:vAlign w:val="center"/>
            <w:hideMark/>
          </w:tcPr>
          <w:p w14:paraId="36ABDD1B"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507" w:type="dxa"/>
            <w:tcBorders>
              <w:top w:val="nil"/>
              <w:left w:val="nil"/>
              <w:bottom w:val="single" w:sz="8" w:space="0" w:color="CEE7B3"/>
              <w:right w:val="nil"/>
            </w:tcBorders>
            <w:shd w:val="clear" w:color="auto" w:fill="auto"/>
            <w:noWrap/>
            <w:vAlign w:val="center"/>
            <w:hideMark/>
          </w:tcPr>
          <w:p w14:paraId="7A4E147F"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 </w:t>
            </w:r>
          </w:p>
        </w:tc>
        <w:tc>
          <w:tcPr>
            <w:tcW w:w="724" w:type="dxa"/>
            <w:tcBorders>
              <w:top w:val="nil"/>
              <w:left w:val="nil"/>
              <w:bottom w:val="single" w:sz="8" w:space="0" w:color="CEE7B3"/>
              <w:right w:val="nil"/>
            </w:tcBorders>
            <w:shd w:val="clear" w:color="auto" w:fill="auto"/>
            <w:noWrap/>
            <w:vAlign w:val="center"/>
            <w:hideMark/>
          </w:tcPr>
          <w:p w14:paraId="2075351D"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27,966</w:t>
            </w:r>
          </w:p>
        </w:tc>
      </w:tr>
      <w:tr w:rsidR="00964FE1" w:rsidRPr="002D10A7" w14:paraId="6E5BA1D4" w14:textId="77777777" w:rsidTr="00010C15">
        <w:trPr>
          <w:trHeight w:val="315"/>
        </w:trPr>
        <w:tc>
          <w:tcPr>
            <w:tcW w:w="3392" w:type="dxa"/>
            <w:tcBorders>
              <w:top w:val="nil"/>
              <w:left w:val="nil"/>
              <w:bottom w:val="single" w:sz="8" w:space="0" w:color="CEE7B3"/>
              <w:right w:val="nil"/>
            </w:tcBorders>
            <w:shd w:val="clear" w:color="auto" w:fill="auto"/>
            <w:vAlign w:val="center"/>
            <w:hideMark/>
          </w:tcPr>
          <w:p w14:paraId="09F15DF3" w14:textId="698C5EF0" w:rsidR="00183CB6" w:rsidRPr="002D10A7" w:rsidRDefault="00964FE1" w:rsidP="007C4C74">
            <w:pPr>
              <w:keepNext/>
              <w:keepLines/>
              <w:widowControl w:val="0"/>
              <w:tabs>
                <w:tab w:val="clear" w:pos="567"/>
              </w:tabs>
              <w:spacing w:before="0" w:line="240" w:lineRule="auto"/>
              <w:rPr>
                <w:rFonts w:ascii="Work Sans" w:eastAsia="Times New Roman" w:hAnsi="Work Sans" w:cs="Calibri"/>
                <w:color w:val="000000"/>
                <w:sz w:val="16"/>
                <w:szCs w:val="16"/>
                <w:lang w:eastAsia="en-AU"/>
              </w:rPr>
            </w:pPr>
            <w:r>
              <w:rPr>
                <w:rFonts w:ascii="Work Sans" w:eastAsia="Times New Roman" w:hAnsi="Work Sans" w:cs="Calibri"/>
                <w:color w:val="000000"/>
                <w:sz w:val="16"/>
                <w:szCs w:val="16"/>
                <w:lang w:eastAsia="en-AU"/>
              </w:rPr>
              <w:t xml:space="preserve">  </w:t>
            </w:r>
            <w:r w:rsidR="00183CB6" w:rsidRPr="002D10A7">
              <w:rPr>
                <w:rFonts w:ascii="Work Sans" w:eastAsia="Times New Roman" w:hAnsi="Work Sans" w:cs="Calibri"/>
                <w:color w:val="000000"/>
                <w:sz w:val="16"/>
                <w:szCs w:val="16"/>
                <w:lang w:eastAsia="en-AU"/>
              </w:rPr>
              <w:t>Assessed value of closing stock ($m)</w:t>
            </w:r>
          </w:p>
        </w:tc>
        <w:tc>
          <w:tcPr>
            <w:tcW w:w="668" w:type="dxa"/>
            <w:tcBorders>
              <w:top w:val="nil"/>
              <w:left w:val="nil"/>
              <w:bottom w:val="single" w:sz="8" w:space="0" w:color="CEE7B3"/>
              <w:right w:val="nil"/>
            </w:tcBorders>
            <w:shd w:val="clear" w:color="auto" w:fill="auto"/>
            <w:vAlign w:val="center"/>
            <w:hideMark/>
          </w:tcPr>
          <w:p w14:paraId="0BADFC56"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22,659</w:t>
            </w:r>
          </w:p>
        </w:tc>
        <w:tc>
          <w:tcPr>
            <w:tcW w:w="657" w:type="dxa"/>
            <w:tcBorders>
              <w:top w:val="nil"/>
              <w:left w:val="nil"/>
              <w:bottom w:val="single" w:sz="8" w:space="0" w:color="CEE7B3"/>
              <w:right w:val="nil"/>
            </w:tcBorders>
            <w:shd w:val="clear" w:color="auto" w:fill="auto"/>
            <w:vAlign w:val="center"/>
            <w:hideMark/>
          </w:tcPr>
          <w:p w14:paraId="2CB6268A"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17,813</w:t>
            </w:r>
          </w:p>
        </w:tc>
        <w:tc>
          <w:tcPr>
            <w:tcW w:w="696" w:type="dxa"/>
            <w:tcBorders>
              <w:top w:val="nil"/>
              <w:left w:val="nil"/>
              <w:bottom w:val="single" w:sz="8" w:space="0" w:color="CEE7B3"/>
              <w:right w:val="nil"/>
            </w:tcBorders>
            <w:shd w:val="clear" w:color="auto" w:fill="auto"/>
            <w:vAlign w:val="center"/>
            <w:hideMark/>
          </w:tcPr>
          <w:p w14:paraId="62F157EB"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16,097</w:t>
            </w:r>
          </w:p>
        </w:tc>
        <w:tc>
          <w:tcPr>
            <w:tcW w:w="594" w:type="dxa"/>
            <w:tcBorders>
              <w:top w:val="nil"/>
              <w:left w:val="nil"/>
              <w:bottom w:val="single" w:sz="8" w:space="0" w:color="CEE7B3"/>
              <w:right w:val="nil"/>
            </w:tcBorders>
            <w:shd w:val="clear" w:color="auto" w:fill="auto"/>
            <w:vAlign w:val="center"/>
            <w:hideMark/>
          </w:tcPr>
          <w:p w14:paraId="5FC6BFC4"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8,117</w:t>
            </w:r>
          </w:p>
        </w:tc>
        <w:tc>
          <w:tcPr>
            <w:tcW w:w="651" w:type="dxa"/>
            <w:tcBorders>
              <w:top w:val="nil"/>
              <w:left w:val="nil"/>
              <w:bottom w:val="single" w:sz="8" w:space="0" w:color="CEE7B3"/>
              <w:right w:val="nil"/>
            </w:tcBorders>
            <w:shd w:val="clear" w:color="auto" w:fill="auto"/>
            <w:vAlign w:val="center"/>
            <w:hideMark/>
          </w:tcPr>
          <w:p w14:paraId="66B7A388"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4,901</w:t>
            </w:r>
          </w:p>
        </w:tc>
        <w:tc>
          <w:tcPr>
            <w:tcW w:w="608" w:type="dxa"/>
            <w:tcBorders>
              <w:top w:val="nil"/>
              <w:left w:val="nil"/>
              <w:bottom w:val="single" w:sz="8" w:space="0" w:color="CEE7B3"/>
              <w:right w:val="nil"/>
            </w:tcBorders>
            <w:shd w:val="clear" w:color="auto" w:fill="auto"/>
            <w:vAlign w:val="center"/>
            <w:hideMark/>
          </w:tcPr>
          <w:p w14:paraId="2E0996BD"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1,578</w:t>
            </w:r>
          </w:p>
        </w:tc>
        <w:tc>
          <w:tcPr>
            <w:tcW w:w="567" w:type="dxa"/>
            <w:tcBorders>
              <w:top w:val="nil"/>
              <w:left w:val="nil"/>
              <w:bottom w:val="single" w:sz="8" w:space="0" w:color="CEE7B3"/>
              <w:right w:val="nil"/>
            </w:tcBorders>
            <w:shd w:val="clear" w:color="auto" w:fill="auto"/>
            <w:vAlign w:val="center"/>
            <w:hideMark/>
          </w:tcPr>
          <w:p w14:paraId="40E88D94"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1,261</w:t>
            </w:r>
          </w:p>
        </w:tc>
        <w:tc>
          <w:tcPr>
            <w:tcW w:w="507" w:type="dxa"/>
            <w:tcBorders>
              <w:top w:val="nil"/>
              <w:left w:val="nil"/>
              <w:bottom w:val="single" w:sz="8" w:space="0" w:color="CEE7B3"/>
              <w:right w:val="nil"/>
            </w:tcBorders>
            <w:shd w:val="clear" w:color="auto" w:fill="auto"/>
            <w:vAlign w:val="center"/>
            <w:hideMark/>
          </w:tcPr>
          <w:p w14:paraId="348C3418"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979</w:t>
            </w:r>
          </w:p>
        </w:tc>
        <w:tc>
          <w:tcPr>
            <w:tcW w:w="724" w:type="dxa"/>
            <w:tcBorders>
              <w:top w:val="nil"/>
              <w:left w:val="nil"/>
              <w:bottom w:val="single" w:sz="8" w:space="0" w:color="CEE7B3"/>
              <w:right w:val="nil"/>
            </w:tcBorders>
            <w:shd w:val="clear" w:color="auto" w:fill="auto"/>
            <w:vAlign w:val="center"/>
            <w:hideMark/>
          </w:tcPr>
          <w:p w14:paraId="01B74195" w14:textId="77777777" w:rsidR="00183CB6" w:rsidRPr="00964FE1" w:rsidRDefault="00183CB6" w:rsidP="007C4C74">
            <w:pPr>
              <w:keepNext/>
              <w:keepLines/>
              <w:widowControl w:val="0"/>
              <w:tabs>
                <w:tab w:val="clear" w:pos="567"/>
              </w:tabs>
              <w:spacing w:before="0" w:line="240" w:lineRule="auto"/>
              <w:jc w:val="right"/>
              <w:rPr>
                <w:rFonts w:ascii="Work Sans" w:eastAsia="Times New Roman" w:hAnsi="Work Sans" w:cs="Calibri"/>
                <w:color w:val="000000"/>
                <w:sz w:val="14"/>
                <w:szCs w:val="14"/>
                <w:lang w:eastAsia="en-AU"/>
              </w:rPr>
            </w:pPr>
            <w:r w:rsidRPr="00964FE1">
              <w:rPr>
                <w:rFonts w:ascii="Work Sans" w:eastAsia="Times New Roman" w:hAnsi="Work Sans" w:cs="Calibri"/>
                <w:color w:val="000000"/>
                <w:sz w:val="14"/>
                <w:szCs w:val="14"/>
                <w:lang w:eastAsia="en-AU"/>
              </w:rPr>
              <w:t>73,403</w:t>
            </w:r>
          </w:p>
        </w:tc>
      </w:tr>
      <w:tr w:rsidR="00964FE1" w:rsidRPr="002D10A7" w14:paraId="4FFDA3F7" w14:textId="77777777" w:rsidTr="00010C15">
        <w:trPr>
          <w:trHeight w:val="315"/>
        </w:trPr>
        <w:tc>
          <w:tcPr>
            <w:tcW w:w="3392" w:type="dxa"/>
            <w:tcBorders>
              <w:top w:val="nil"/>
              <w:left w:val="nil"/>
              <w:bottom w:val="single" w:sz="8" w:space="0" w:color="CEE7B3"/>
              <w:right w:val="nil"/>
            </w:tcBorders>
            <w:shd w:val="clear" w:color="000000" w:fill="99CCC3"/>
            <w:vAlign w:val="center"/>
            <w:hideMark/>
          </w:tcPr>
          <w:p w14:paraId="4C5C44C4" w14:textId="77777777" w:rsidR="00183CB6" w:rsidRPr="002620DC" w:rsidRDefault="00183CB6" w:rsidP="007C4C74">
            <w:pPr>
              <w:keepNext/>
              <w:keepLines/>
              <w:widowControl w:val="0"/>
              <w:tabs>
                <w:tab w:val="clear" w:pos="567"/>
              </w:tabs>
              <w:spacing w:before="0" w:line="240" w:lineRule="auto"/>
              <w:rPr>
                <w:rFonts w:ascii="Work Sans SemiBold" w:eastAsia="Times New Roman" w:hAnsi="Work Sans SemiBold" w:cs="Calibri"/>
                <w:color w:val="000000"/>
                <w:sz w:val="16"/>
                <w:szCs w:val="16"/>
                <w:lang w:eastAsia="en-AU"/>
              </w:rPr>
            </w:pPr>
            <w:r w:rsidRPr="002620DC">
              <w:rPr>
                <w:rFonts w:ascii="Work Sans SemiBold" w:eastAsia="Times New Roman" w:hAnsi="Work Sans SemiBold" w:cs="Calibri"/>
                <w:color w:val="000000"/>
                <w:sz w:val="16"/>
                <w:szCs w:val="16"/>
                <w:lang w:eastAsia="en-AU"/>
              </w:rPr>
              <w:t>Assessed investment ($m)</w:t>
            </w:r>
          </w:p>
        </w:tc>
        <w:tc>
          <w:tcPr>
            <w:tcW w:w="668" w:type="dxa"/>
            <w:tcBorders>
              <w:top w:val="nil"/>
              <w:left w:val="nil"/>
              <w:bottom w:val="single" w:sz="8" w:space="0" w:color="CEE7B3"/>
              <w:right w:val="nil"/>
            </w:tcBorders>
            <w:shd w:val="clear" w:color="000000" w:fill="99CCC3"/>
            <w:noWrap/>
            <w:vAlign w:val="center"/>
            <w:hideMark/>
          </w:tcPr>
          <w:p w14:paraId="0AC702A0"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1,422</w:t>
            </w:r>
          </w:p>
        </w:tc>
        <w:tc>
          <w:tcPr>
            <w:tcW w:w="657" w:type="dxa"/>
            <w:tcBorders>
              <w:top w:val="nil"/>
              <w:left w:val="nil"/>
              <w:bottom w:val="single" w:sz="8" w:space="0" w:color="CEE7B3"/>
              <w:right w:val="nil"/>
            </w:tcBorders>
            <w:shd w:val="clear" w:color="000000" w:fill="99CCC3"/>
            <w:noWrap/>
            <w:vAlign w:val="center"/>
            <w:hideMark/>
          </w:tcPr>
          <w:p w14:paraId="0FBC6B6D"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1,298</w:t>
            </w:r>
          </w:p>
        </w:tc>
        <w:tc>
          <w:tcPr>
            <w:tcW w:w="696" w:type="dxa"/>
            <w:tcBorders>
              <w:top w:val="nil"/>
              <w:left w:val="nil"/>
              <w:bottom w:val="single" w:sz="8" w:space="0" w:color="CEE7B3"/>
              <w:right w:val="nil"/>
            </w:tcBorders>
            <w:shd w:val="clear" w:color="000000" w:fill="99CCC3"/>
            <w:noWrap/>
            <w:vAlign w:val="center"/>
            <w:hideMark/>
          </w:tcPr>
          <w:p w14:paraId="4A71EA05"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1,270</w:t>
            </w:r>
          </w:p>
        </w:tc>
        <w:tc>
          <w:tcPr>
            <w:tcW w:w="594" w:type="dxa"/>
            <w:tcBorders>
              <w:top w:val="nil"/>
              <w:left w:val="nil"/>
              <w:bottom w:val="single" w:sz="8" w:space="0" w:color="CEE7B3"/>
              <w:right w:val="nil"/>
            </w:tcBorders>
            <w:shd w:val="clear" w:color="000000" w:fill="99CCC3"/>
            <w:noWrap/>
            <w:vAlign w:val="center"/>
            <w:hideMark/>
          </w:tcPr>
          <w:p w14:paraId="0F2BAF37"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600</w:t>
            </w:r>
          </w:p>
        </w:tc>
        <w:tc>
          <w:tcPr>
            <w:tcW w:w="651" w:type="dxa"/>
            <w:tcBorders>
              <w:top w:val="nil"/>
              <w:left w:val="nil"/>
              <w:bottom w:val="single" w:sz="8" w:space="0" w:color="CEE7B3"/>
              <w:right w:val="nil"/>
            </w:tcBorders>
            <w:shd w:val="clear" w:color="000000" w:fill="99CCC3"/>
            <w:noWrap/>
            <w:vAlign w:val="center"/>
            <w:hideMark/>
          </w:tcPr>
          <w:p w14:paraId="19ED8BF4"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277</w:t>
            </w:r>
          </w:p>
        </w:tc>
        <w:tc>
          <w:tcPr>
            <w:tcW w:w="608" w:type="dxa"/>
            <w:tcBorders>
              <w:top w:val="nil"/>
              <w:left w:val="nil"/>
              <w:bottom w:val="single" w:sz="8" w:space="0" w:color="CEE7B3"/>
              <w:right w:val="nil"/>
            </w:tcBorders>
            <w:shd w:val="clear" w:color="000000" w:fill="99CCC3"/>
            <w:noWrap/>
            <w:vAlign w:val="center"/>
            <w:hideMark/>
          </w:tcPr>
          <w:p w14:paraId="491EC13E"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90</w:t>
            </w:r>
          </w:p>
        </w:tc>
        <w:tc>
          <w:tcPr>
            <w:tcW w:w="567" w:type="dxa"/>
            <w:tcBorders>
              <w:top w:val="nil"/>
              <w:left w:val="nil"/>
              <w:bottom w:val="single" w:sz="8" w:space="0" w:color="CEE7B3"/>
              <w:right w:val="nil"/>
            </w:tcBorders>
            <w:shd w:val="clear" w:color="000000" w:fill="99CCC3"/>
            <w:noWrap/>
            <w:vAlign w:val="center"/>
            <w:hideMark/>
          </w:tcPr>
          <w:p w14:paraId="3BE84ACE"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108</w:t>
            </w:r>
          </w:p>
        </w:tc>
        <w:tc>
          <w:tcPr>
            <w:tcW w:w="507" w:type="dxa"/>
            <w:tcBorders>
              <w:top w:val="nil"/>
              <w:left w:val="nil"/>
              <w:bottom w:val="single" w:sz="8" w:space="0" w:color="CEE7B3"/>
              <w:right w:val="nil"/>
            </w:tcBorders>
            <w:shd w:val="clear" w:color="000000" w:fill="99CCC3"/>
            <w:noWrap/>
            <w:vAlign w:val="center"/>
            <w:hideMark/>
          </w:tcPr>
          <w:p w14:paraId="598A8E29"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71</w:t>
            </w:r>
          </w:p>
        </w:tc>
        <w:tc>
          <w:tcPr>
            <w:tcW w:w="724" w:type="dxa"/>
            <w:tcBorders>
              <w:top w:val="nil"/>
              <w:left w:val="nil"/>
              <w:bottom w:val="single" w:sz="8" w:space="0" w:color="CEE7B3"/>
              <w:right w:val="nil"/>
            </w:tcBorders>
            <w:shd w:val="clear" w:color="000000" w:fill="99CCC3"/>
            <w:noWrap/>
            <w:vAlign w:val="center"/>
            <w:hideMark/>
          </w:tcPr>
          <w:p w14:paraId="337CA61E"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5,136</w:t>
            </w:r>
          </w:p>
        </w:tc>
      </w:tr>
      <w:tr w:rsidR="00964FE1" w:rsidRPr="002D10A7" w14:paraId="1028CFE1" w14:textId="77777777" w:rsidTr="00010C15">
        <w:trPr>
          <w:trHeight w:val="315"/>
        </w:trPr>
        <w:tc>
          <w:tcPr>
            <w:tcW w:w="3392" w:type="dxa"/>
            <w:tcBorders>
              <w:top w:val="nil"/>
              <w:left w:val="nil"/>
              <w:bottom w:val="single" w:sz="8" w:space="0" w:color="CEE7B3"/>
              <w:right w:val="nil"/>
            </w:tcBorders>
            <w:shd w:val="clear" w:color="000000" w:fill="66B3A5"/>
            <w:vAlign w:val="center"/>
            <w:hideMark/>
          </w:tcPr>
          <w:p w14:paraId="5088171E" w14:textId="77777777" w:rsidR="00183CB6" w:rsidRPr="002620DC" w:rsidRDefault="00183CB6" w:rsidP="007C4C74">
            <w:pPr>
              <w:keepNext/>
              <w:keepLines/>
              <w:widowControl w:val="0"/>
              <w:tabs>
                <w:tab w:val="clear" w:pos="567"/>
              </w:tabs>
              <w:spacing w:before="0" w:line="240" w:lineRule="auto"/>
              <w:rPr>
                <w:rFonts w:ascii="Work Sans SemiBold" w:eastAsia="Times New Roman" w:hAnsi="Work Sans SemiBold" w:cs="Calibri"/>
                <w:color w:val="000000"/>
                <w:sz w:val="16"/>
                <w:szCs w:val="16"/>
                <w:lang w:eastAsia="en-AU"/>
              </w:rPr>
            </w:pPr>
            <w:r w:rsidRPr="002620DC">
              <w:rPr>
                <w:rFonts w:ascii="Work Sans SemiBold" w:eastAsia="Times New Roman" w:hAnsi="Work Sans SemiBold" w:cs="Calibri"/>
                <w:color w:val="000000"/>
                <w:sz w:val="16"/>
                <w:szCs w:val="16"/>
                <w:lang w:eastAsia="en-AU"/>
              </w:rPr>
              <w:t>Assessed investment ($pc)</w:t>
            </w:r>
          </w:p>
        </w:tc>
        <w:tc>
          <w:tcPr>
            <w:tcW w:w="668" w:type="dxa"/>
            <w:tcBorders>
              <w:top w:val="nil"/>
              <w:left w:val="nil"/>
              <w:bottom w:val="single" w:sz="8" w:space="0" w:color="CEE7B3"/>
              <w:right w:val="nil"/>
            </w:tcBorders>
            <w:shd w:val="clear" w:color="000000" w:fill="66B3A5"/>
            <w:noWrap/>
            <w:vAlign w:val="center"/>
            <w:hideMark/>
          </w:tcPr>
          <w:p w14:paraId="0FEBB251"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174</w:t>
            </w:r>
          </w:p>
        </w:tc>
        <w:tc>
          <w:tcPr>
            <w:tcW w:w="657" w:type="dxa"/>
            <w:tcBorders>
              <w:top w:val="nil"/>
              <w:left w:val="nil"/>
              <w:bottom w:val="single" w:sz="8" w:space="0" w:color="CEE7B3"/>
              <w:right w:val="nil"/>
            </w:tcBorders>
            <w:shd w:val="clear" w:color="000000" w:fill="66B3A5"/>
            <w:noWrap/>
            <w:vAlign w:val="center"/>
            <w:hideMark/>
          </w:tcPr>
          <w:p w14:paraId="60248DCA"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195</w:t>
            </w:r>
          </w:p>
        </w:tc>
        <w:tc>
          <w:tcPr>
            <w:tcW w:w="696" w:type="dxa"/>
            <w:tcBorders>
              <w:top w:val="nil"/>
              <w:left w:val="nil"/>
              <w:bottom w:val="single" w:sz="8" w:space="0" w:color="CEE7B3"/>
              <w:right w:val="nil"/>
            </w:tcBorders>
            <w:shd w:val="clear" w:color="000000" w:fill="66B3A5"/>
            <w:noWrap/>
            <w:vAlign w:val="center"/>
            <w:hideMark/>
          </w:tcPr>
          <w:p w14:paraId="75605958"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245</w:t>
            </w:r>
          </w:p>
        </w:tc>
        <w:tc>
          <w:tcPr>
            <w:tcW w:w="594" w:type="dxa"/>
            <w:tcBorders>
              <w:top w:val="nil"/>
              <w:left w:val="nil"/>
              <w:bottom w:val="single" w:sz="8" w:space="0" w:color="CEE7B3"/>
              <w:right w:val="nil"/>
            </w:tcBorders>
            <w:shd w:val="clear" w:color="000000" w:fill="66B3A5"/>
            <w:noWrap/>
            <w:vAlign w:val="center"/>
            <w:hideMark/>
          </w:tcPr>
          <w:p w14:paraId="0C507271"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225</w:t>
            </w:r>
          </w:p>
        </w:tc>
        <w:tc>
          <w:tcPr>
            <w:tcW w:w="651" w:type="dxa"/>
            <w:tcBorders>
              <w:top w:val="nil"/>
              <w:left w:val="nil"/>
              <w:bottom w:val="single" w:sz="8" w:space="0" w:color="CEE7B3"/>
              <w:right w:val="nil"/>
            </w:tcBorders>
            <w:shd w:val="clear" w:color="000000" w:fill="66B3A5"/>
            <w:noWrap/>
            <w:vAlign w:val="center"/>
            <w:hideMark/>
          </w:tcPr>
          <w:p w14:paraId="05431B11"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157</w:t>
            </w:r>
          </w:p>
        </w:tc>
        <w:tc>
          <w:tcPr>
            <w:tcW w:w="608" w:type="dxa"/>
            <w:tcBorders>
              <w:top w:val="nil"/>
              <w:left w:val="nil"/>
              <w:bottom w:val="single" w:sz="8" w:space="0" w:color="CEE7B3"/>
              <w:right w:val="nil"/>
            </w:tcBorders>
            <w:shd w:val="clear" w:color="000000" w:fill="66B3A5"/>
            <w:noWrap/>
            <w:vAlign w:val="center"/>
            <w:hideMark/>
          </w:tcPr>
          <w:p w14:paraId="7A720F9F"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166</w:t>
            </w:r>
          </w:p>
        </w:tc>
        <w:tc>
          <w:tcPr>
            <w:tcW w:w="567" w:type="dxa"/>
            <w:tcBorders>
              <w:top w:val="nil"/>
              <w:left w:val="nil"/>
              <w:bottom w:val="single" w:sz="8" w:space="0" w:color="CEE7B3"/>
              <w:right w:val="nil"/>
            </w:tcBorders>
            <w:shd w:val="clear" w:color="000000" w:fill="66B3A5"/>
            <w:noWrap/>
            <w:vAlign w:val="center"/>
            <w:hideMark/>
          </w:tcPr>
          <w:p w14:paraId="04CE4CAA"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249</w:t>
            </w:r>
          </w:p>
        </w:tc>
        <w:tc>
          <w:tcPr>
            <w:tcW w:w="507" w:type="dxa"/>
            <w:tcBorders>
              <w:top w:val="nil"/>
              <w:left w:val="nil"/>
              <w:bottom w:val="single" w:sz="8" w:space="0" w:color="CEE7B3"/>
              <w:right w:val="nil"/>
            </w:tcBorders>
            <w:shd w:val="clear" w:color="000000" w:fill="66B3A5"/>
            <w:noWrap/>
            <w:vAlign w:val="center"/>
            <w:hideMark/>
          </w:tcPr>
          <w:p w14:paraId="795FB9A5"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287</w:t>
            </w:r>
          </w:p>
        </w:tc>
        <w:tc>
          <w:tcPr>
            <w:tcW w:w="724" w:type="dxa"/>
            <w:tcBorders>
              <w:top w:val="nil"/>
              <w:left w:val="nil"/>
              <w:bottom w:val="single" w:sz="8" w:space="0" w:color="CEE7B3"/>
              <w:right w:val="nil"/>
            </w:tcBorders>
            <w:shd w:val="clear" w:color="000000" w:fill="66B3A5"/>
            <w:noWrap/>
            <w:vAlign w:val="center"/>
            <w:hideMark/>
          </w:tcPr>
          <w:p w14:paraId="6861EF5E" w14:textId="77777777" w:rsidR="00183CB6" w:rsidRPr="00964FE1" w:rsidRDefault="00183CB6" w:rsidP="007C4C74">
            <w:pPr>
              <w:keepNext/>
              <w:keepLines/>
              <w:widowControl w:val="0"/>
              <w:tabs>
                <w:tab w:val="clear" w:pos="567"/>
              </w:tabs>
              <w:spacing w:before="0" w:line="240" w:lineRule="auto"/>
              <w:jc w:val="right"/>
              <w:rPr>
                <w:rFonts w:ascii="Work Sans SemiBold" w:eastAsia="Times New Roman" w:hAnsi="Work Sans SemiBold" w:cs="Calibri"/>
                <w:color w:val="000000"/>
                <w:sz w:val="14"/>
                <w:szCs w:val="14"/>
                <w:lang w:eastAsia="en-AU"/>
              </w:rPr>
            </w:pPr>
            <w:r w:rsidRPr="00964FE1">
              <w:rPr>
                <w:rFonts w:ascii="Work Sans SemiBold" w:eastAsia="Times New Roman" w:hAnsi="Work Sans SemiBold" w:cs="Calibri"/>
                <w:color w:val="000000"/>
                <w:sz w:val="14"/>
                <w:szCs w:val="14"/>
                <w:lang w:eastAsia="en-AU"/>
              </w:rPr>
              <w:t>200</w:t>
            </w:r>
          </w:p>
        </w:tc>
      </w:tr>
    </w:tbl>
    <w:p w14:paraId="08BB9F57" w14:textId="77777777" w:rsidR="00183CB6" w:rsidRPr="00F2062E" w:rsidRDefault="00183CB6" w:rsidP="00A52A18">
      <w:pPr>
        <w:pStyle w:val="CGCTablenote"/>
        <w:numPr>
          <w:ilvl w:val="0"/>
          <w:numId w:val="0"/>
        </w:numPr>
        <w:ind w:left="709" w:hanging="709"/>
      </w:pPr>
      <w:r w:rsidRPr="00F2062E">
        <w:t>Source:</w:t>
      </w:r>
      <w:r w:rsidRPr="00F2062E">
        <w:tab/>
        <w:t>Commission calculation, 2022 Update.</w:t>
      </w:r>
    </w:p>
    <w:p w14:paraId="55E7A384" w14:textId="79882DAA" w:rsidR="00955F53" w:rsidRPr="00D33E7E" w:rsidRDefault="00CE69D0" w:rsidP="00A158FB">
      <w:pPr>
        <w:pStyle w:val="BodyText"/>
      </w:pPr>
      <w:r>
        <w:t xml:space="preserve">In this example, </w:t>
      </w:r>
      <w:r w:rsidR="00125304" w:rsidRPr="00D33E7E">
        <w:t>the average value of</w:t>
      </w:r>
      <w:r w:rsidR="004A6AE3">
        <w:t xml:space="preserve"> </w:t>
      </w:r>
      <w:r w:rsidR="00125304" w:rsidRPr="00D33E7E">
        <w:t xml:space="preserve">assets per student </w:t>
      </w:r>
      <w:r w:rsidR="00E36442">
        <w:t xml:space="preserve">across Australia </w:t>
      </w:r>
      <w:r>
        <w:t>grew</w:t>
      </w:r>
      <w:r w:rsidR="00AF4570">
        <w:t xml:space="preserve"> by </w:t>
      </w:r>
      <w:r w:rsidR="00AF4570" w:rsidRPr="00F2062E">
        <w:t>$1,612</w:t>
      </w:r>
      <w:r w:rsidR="009C4D7C">
        <w:t xml:space="preserve"> in </w:t>
      </w:r>
      <w:r w:rsidR="009C4D7C" w:rsidRPr="009C4D7C">
        <w:t>2020</w:t>
      </w:r>
      <w:r w:rsidR="00020972">
        <w:t>–</w:t>
      </w:r>
      <w:r w:rsidR="009C4D7C" w:rsidRPr="009C4D7C">
        <w:t>21</w:t>
      </w:r>
      <w:r w:rsidR="009E3FA4">
        <w:t>.</w:t>
      </w:r>
    </w:p>
    <w:p w14:paraId="23C3628F" w14:textId="6D1A8879" w:rsidR="001E263E" w:rsidRDefault="00D513C5" w:rsidP="00A158FB">
      <w:pPr>
        <w:pStyle w:val="BodyText"/>
      </w:pPr>
      <w:r>
        <w:t>The</w:t>
      </w:r>
      <w:r w:rsidR="001E263E" w:rsidRPr="00F2062E">
        <w:t xml:space="preserve"> </w:t>
      </w:r>
      <w:r w:rsidR="001E263E">
        <w:t xml:space="preserve">Commission </w:t>
      </w:r>
      <w:r w:rsidR="00DE67E2">
        <w:t xml:space="preserve">next </w:t>
      </w:r>
      <w:r w:rsidR="009E0EFF">
        <w:t xml:space="preserve">determines </w:t>
      </w:r>
      <w:r w:rsidR="001E263E">
        <w:t>the</w:t>
      </w:r>
      <w:r w:rsidR="001B7D9F">
        <w:t xml:space="preserve"> assessed</w:t>
      </w:r>
      <w:r w:rsidR="001E263E">
        <w:t xml:space="preserve"> </w:t>
      </w:r>
      <w:r w:rsidR="001E263E" w:rsidRPr="00F2062E">
        <w:t xml:space="preserve">value </w:t>
      </w:r>
      <w:r w:rsidR="001E263E">
        <w:t xml:space="preserve">of </w:t>
      </w:r>
      <w:r w:rsidR="00DA60C2">
        <w:t xml:space="preserve">the </w:t>
      </w:r>
      <w:r w:rsidR="001E263E">
        <w:t xml:space="preserve">opening and closing stock </w:t>
      </w:r>
      <w:r w:rsidR="00DA60C2">
        <w:t xml:space="preserve">of assets </w:t>
      </w:r>
      <w:r w:rsidR="001E263E">
        <w:t>held by each state</w:t>
      </w:r>
      <w:r w:rsidRPr="00D513C5">
        <w:t xml:space="preserve"> </w:t>
      </w:r>
      <w:r>
        <w:t>(</w:t>
      </w:r>
      <w:r w:rsidRPr="00D33E7E">
        <w:t>Step </w:t>
      </w:r>
      <w:r>
        <w:t>3,</w:t>
      </w:r>
      <w:r w:rsidRPr="00D33E7E">
        <w:t xml:space="preserve"> </w:t>
      </w:r>
      <w:r w:rsidRPr="00D33E7E">
        <w:fldChar w:fldCharType="begin"/>
      </w:r>
      <w:r w:rsidRPr="00D33E7E">
        <w:instrText xml:space="preserve"> REF _Ref113972273 \h  \* MERGEFORMAT </w:instrText>
      </w:r>
      <w:r w:rsidRPr="00D33E7E">
        <w:fldChar w:fldCharType="separate"/>
      </w:r>
      <w:r w:rsidR="004D7CF5">
        <w:t>Figure 2</w:t>
      </w:r>
      <w:r w:rsidRPr="00D33E7E">
        <w:fldChar w:fldCharType="end"/>
      </w:r>
      <w:r>
        <w:t>)</w:t>
      </w:r>
      <w:r w:rsidR="001E263E">
        <w:t xml:space="preserve">. </w:t>
      </w:r>
      <w:r w:rsidR="0050765A" w:rsidRPr="00A335CC">
        <w:t xml:space="preserve">This is the </w:t>
      </w:r>
      <w:r w:rsidR="00DE3291" w:rsidRPr="00A335CC">
        <w:t>value</w:t>
      </w:r>
      <w:r w:rsidR="00D37BFE" w:rsidRPr="00A335CC">
        <w:t xml:space="preserve"> of assets</w:t>
      </w:r>
      <w:r w:rsidR="0050765A" w:rsidRPr="00A335CC">
        <w:t xml:space="preserve"> </w:t>
      </w:r>
      <w:r w:rsidR="00E12B26" w:rsidRPr="00A335CC">
        <w:t>each</w:t>
      </w:r>
      <w:r w:rsidR="0050765A" w:rsidRPr="00A335CC">
        <w:t xml:space="preserve"> state </w:t>
      </w:r>
      <w:r w:rsidR="006E08E1" w:rsidRPr="00A335CC">
        <w:t xml:space="preserve">needed to </w:t>
      </w:r>
      <w:r w:rsidR="008C5F1A" w:rsidRPr="00A335CC">
        <w:t>hold</w:t>
      </w:r>
      <w:r w:rsidR="006E08E1" w:rsidRPr="00A335CC">
        <w:t xml:space="preserve"> to</w:t>
      </w:r>
      <w:r w:rsidR="007A46FB" w:rsidRPr="00A335CC">
        <w:t xml:space="preserve"> </w:t>
      </w:r>
      <w:r w:rsidR="00AE7835" w:rsidRPr="00A335CC">
        <w:t xml:space="preserve">meet the </w:t>
      </w:r>
      <w:r w:rsidR="008A361F" w:rsidRPr="00A335CC">
        <w:t xml:space="preserve">average </w:t>
      </w:r>
      <w:r w:rsidR="001B206B" w:rsidRPr="00A335CC">
        <w:t>value</w:t>
      </w:r>
      <w:r w:rsidR="007859A4" w:rsidRPr="00A335CC">
        <w:t xml:space="preserve"> of assets</w:t>
      </w:r>
      <w:r w:rsidR="00C800A9" w:rsidRPr="00A335CC">
        <w:t xml:space="preserve"> per student</w:t>
      </w:r>
      <w:r w:rsidR="00540E5D" w:rsidRPr="00A335CC">
        <w:t xml:space="preserve"> across Australia</w:t>
      </w:r>
      <w:r w:rsidR="00123C67" w:rsidRPr="00A335CC">
        <w:t xml:space="preserve"> rather than </w:t>
      </w:r>
      <w:r w:rsidR="00F21DFD" w:rsidRPr="00A335CC">
        <w:t xml:space="preserve">the actual </w:t>
      </w:r>
      <w:r w:rsidR="007209DA" w:rsidRPr="00A335CC">
        <w:t>value</w:t>
      </w:r>
      <w:r w:rsidR="00C800A9" w:rsidRPr="00A335CC">
        <w:t>.</w:t>
      </w:r>
      <w:r w:rsidR="0009326E" w:rsidRPr="00A335CC">
        <w:t xml:space="preserve"> To do this,</w:t>
      </w:r>
      <w:r w:rsidR="006E08E1" w:rsidRPr="00A335CC">
        <w:t xml:space="preserve"> </w:t>
      </w:r>
      <w:r w:rsidR="0009326E" w:rsidRPr="00A335CC">
        <w:t>the Commission</w:t>
      </w:r>
      <w:r w:rsidR="001E263E">
        <w:t xml:space="preserve"> multipl</w:t>
      </w:r>
      <w:r w:rsidR="00B802D0">
        <w:t>ies</w:t>
      </w:r>
      <w:r w:rsidR="001E263E">
        <w:t xml:space="preserve"> the </w:t>
      </w:r>
      <w:r w:rsidR="001E263E" w:rsidRPr="00E312EE">
        <w:t xml:space="preserve">average value </w:t>
      </w:r>
      <w:r w:rsidR="00A30D52" w:rsidRPr="00A335CC">
        <w:t>of assets</w:t>
      </w:r>
      <w:r w:rsidR="001E263E" w:rsidRPr="00A335CC">
        <w:t xml:space="preserve"> </w:t>
      </w:r>
      <w:r w:rsidR="00586848">
        <w:t xml:space="preserve">per </w:t>
      </w:r>
      <w:r w:rsidR="00394CED" w:rsidRPr="00A335CC">
        <w:t>student</w:t>
      </w:r>
      <w:r w:rsidR="00134CE0">
        <w:t xml:space="preserve"> </w:t>
      </w:r>
      <w:r w:rsidR="005C40C2">
        <w:t xml:space="preserve">in Australia </w:t>
      </w:r>
      <w:r w:rsidR="00134CE0">
        <w:t xml:space="preserve">at </w:t>
      </w:r>
      <w:r w:rsidR="00B11C4C">
        <w:t>the start and end of a year</w:t>
      </w:r>
      <w:r w:rsidR="001E263E">
        <w:t xml:space="preserve"> by </w:t>
      </w:r>
      <w:r w:rsidR="00187384" w:rsidRPr="00A335CC">
        <w:t>each state’s user</w:t>
      </w:r>
      <w:r w:rsidR="00690F81" w:rsidRPr="00A335CC">
        <w:noBreakHyphen/>
      </w:r>
      <w:r w:rsidR="001E263E">
        <w:t xml:space="preserve">population </w:t>
      </w:r>
      <w:r w:rsidR="00690F81" w:rsidRPr="00A335CC">
        <w:t>(</w:t>
      </w:r>
      <w:r w:rsidR="001E263E" w:rsidRPr="00A335CC">
        <w:t>the</w:t>
      </w:r>
      <w:r w:rsidR="00E917CE" w:rsidRPr="00A335CC">
        <w:t xml:space="preserve"> </w:t>
      </w:r>
      <w:r w:rsidR="00C431D4" w:rsidRPr="00A335CC">
        <w:t xml:space="preserve">number </w:t>
      </w:r>
      <w:r w:rsidR="001E263E" w:rsidRPr="00A335CC">
        <w:t xml:space="preserve">of </w:t>
      </w:r>
      <w:r w:rsidR="00C431D4" w:rsidRPr="00A335CC">
        <w:t>students</w:t>
      </w:r>
      <w:r w:rsidR="00E62815" w:rsidRPr="00A335CC">
        <w:t>)</w:t>
      </w:r>
      <w:r w:rsidR="006D0CFC" w:rsidRPr="00A335CC">
        <w:t>.</w:t>
      </w:r>
      <w:r w:rsidR="00134CE0">
        <w:t xml:space="preserve"> </w:t>
      </w:r>
      <w:r w:rsidR="00E81D41">
        <w:t>I</w:t>
      </w:r>
      <w:r w:rsidR="00207FC6">
        <w:t>n 2020</w:t>
      </w:r>
      <w:r w:rsidR="00020972">
        <w:t>–</w:t>
      </w:r>
      <w:r w:rsidR="00207FC6">
        <w:t>21</w:t>
      </w:r>
      <w:r w:rsidR="002F62B4">
        <w:t xml:space="preserve"> </w:t>
      </w:r>
      <w:r w:rsidR="001E263E">
        <w:t>New South Wales is assessed to have an opening stock value of $21,237 million and a closing stock value of $22,659 million.</w:t>
      </w:r>
      <w:r w:rsidR="001E263E">
        <w:rPr>
          <w:rStyle w:val="FootnoteReference"/>
        </w:rPr>
        <w:footnoteReference w:id="6"/>
      </w:r>
    </w:p>
    <w:p w14:paraId="73AA9D00" w14:textId="1A41C2BC" w:rsidR="00FD091F" w:rsidRDefault="001E263E" w:rsidP="00A158FB">
      <w:pPr>
        <w:pStyle w:val="BodyText"/>
      </w:pPr>
      <w:r w:rsidRPr="00F2062E">
        <w:t xml:space="preserve">The difference between </w:t>
      </w:r>
      <w:r w:rsidR="00D64C76">
        <w:t>the</w:t>
      </w:r>
      <w:r w:rsidRPr="00F2062E">
        <w:t xml:space="preserve"> assessed value </w:t>
      </w:r>
      <w:r w:rsidR="008712CA">
        <w:t xml:space="preserve">of each state’s </w:t>
      </w:r>
      <w:r w:rsidR="00DB4FEE">
        <w:t xml:space="preserve">opening and </w:t>
      </w:r>
      <w:r w:rsidR="00AC697A">
        <w:t xml:space="preserve">closing stock </w:t>
      </w:r>
      <w:r w:rsidRPr="00F2062E">
        <w:t xml:space="preserve">is </w:t>
      </w:r>
      <w:r w:rsidR="00083495">
        <w:t xml:space="preserve">the level of </w:t>
      </w:r>
      <w:r w:rsidRPr="00F2062E">
        <w:t xml:space="preserve">investment </w:t>
      </w:r>
      <w:r w:rsidR="00765DF9">
        <w:t xml:space="preserve">needed </w:t>
      </w:r>
      <w:r w:rsidR="00682545">
        <w:t>by each state</w:t>
      </w:r>
      <w:r w:rsidR="0084268D">
        <w:t xml:space="preserve"> </w:t>
      </w:r>
      <w:r>
        <w:t>(</w:t>
      </w:r>
      <w:r w:rsidRPr="00F2062E">
        <w:t>Step </w:t>
      </w:r>
      <w:r w:rsidR="000C48D7">
        <w:t>4</w:t>
      </w:r>
      <w:r w:rsidRPr="00F2062E">
        <w:t>,</w:t>
      </w:r>
      <w:r w:rsidR="004972DE">
        <w:t> </w:t>
      </w:r>
      <w:r w:rsidR="006E3C7E" w:rsidRPr="00D33E7E">
        <w:fldChar w:fldCharType="begin"/>
      </w:r>
      <w:r w:rsidR="006E3C7E" w:rsidRPr="00D33E7E">
        <w:instrText xml:space="preserve"> REF _Ref113972273 \h </w:instrText>
      </w:r>
      <w:r w:rsidR="00D33E7E">
        <w:instrText xml:space="preserve"> \* MERGEFORMAT </w:instrText>
      </w:r>
      <w:r w:rsidR="006E3C7E" w:rsidRPr="00D33E7E">
        <w:fldChar w:fldCharType="separate"/>
      </w:r>
      <w:r w:rsidR="004D7CF5">
        <w:t>Figure 2</w:t>
      </w:r>
      <w:r w:rsidR="006E3C7E" w:rsidRPr="00D33E7E">
        <w:fldChar w:fldCharType="end"/>
      </w:r>
      <w:r w:rsidRPr="00D33E7E">
        <w:t>).</w:t>
      </w:r>
      <w:r>
        <w:t xml:space="preserve"> </w:t>
      </w:r>
      <w:r w:rsidR="00056784">
        <w:t>For example, in 2020</w:t>
      </w:r>
      <w:r w:rsidR="00020972">
        <w:t>–</w:t>
      </w:r>
      <w:r w:rsidR="00056784">
        <w:t xml:space="preserve">21 </w:t>
      </w:r>
      <w:r>
        <w:lastRenderedPageBreak/>
        <w:t xml:space="preserve">New South Wales is assessed to require </w:t>
      </w:r>
      <w:r w:rsidR="00A611F9">
        <w:t>$</w:t>
      </w:r>
      <w:r>
        <w:t xml:space="preserve">1,422 million of investment for </w:t>
      </w:r>
      <w:r w:rsidR="009075D1">
        <w:t>school</w:t>
      </w:r>
      <w:r>
        <w:t xml:space="preserve"> infrastructure</w:t>
      </w:r>
      <w:r w:rsidR="00B34B77">
        <w:t>.</w:t>
      </w:r>
      <w:r w:rsidR="00B34B77">
        <w:rPr>
          <w:rStyle w:val="FootnoteReference"/>
        </w:rPr>
        <w:footnoteReference w:id="7"/>
      </w:r>
    </w:p>
    <w:p w14:paraId="68A87733" w14:textId="350FA6DC" w:rsidR="00B4401D" w:rsidRDefault="00F81A5F" w:rsidP="00F81A5F">
      <w:pPr>
        <w:pStyle w:val="Heading3"/>
      </w:pPr>
      <w:r>
        <w:t>Annual p</w:t>
      </w:r>
      <w:r w:rsidR="00E0685B">
        <w:t>opu</w:t>
      </w:r>
      <w:r>
        <w:t>lation growth and capital improvements</w:t>
      </w:r>
      <w:r w:rsidR="00562DD3">
        <w:t xml:space="preserve"> </w:t>
      </w:r>
      <w:r>
        <w:t>drive state investment needs</w:t>
      </w:r>
    </w:p>
    <w:p w14:paraId="61673E14" w14:textId="62B7CDBA" w:rsidR="001434E4" w:rsidRPr="0021141F" w:rsidRDefault="00241E4D" w:rsidP="0021141F">
      <w:pPr>
        <w:pStyle w:val="BodyText"/>
      </w:pPr>
      <w:r>
        <w:t xml:space="preserve">The </w:t>
      </w:r>
      <w:r w:rsidR="00837894">
        <w:t>Commission</w:t>
      </w:r>
      <w:r w:rsidR="008607D8">
        <w:t>'</w:t>
      </w:r>
      <w:r w:rsidR="00837894">
        <w:t>s assessment of state investment</w:t>
      </w:r>
      <w:r w:rsidR="00622A61" w:rsidRPr="0021141F">
        <w:t xml:space="preserve"> </w:t>
      </w:r>
      <w:r w:rsidR="00184B29" w:rsidRPr="00696543">
        <w:rPr>
          <w:noProof/>
        </w:rPr>
        <w:drawing>
          <wp:anchor distT="0" distB="0" distL="114300" distR="114300" simplePos="0" relativeHeight="251658240" behindDoc="1" locked="1" layoutInCell="1" allowOverlap="1" wp14:anchorId="7337ABE5" wp14:editId="73E97AC8">
            <wp:simplePos x="0" y="0"/>
            <wp:positionH relativeFrom="page">
              <wp:align>left</wp:align>
            </wp:positionH>
            <wp:positionV relativeFrom="page">
              <wp:posOffset>-635</wp:posOffset>
            </wp:positionV>
            <wp:extent cx="7563485" cy="10690225"/>
            <wp:effectExtent l="0" t="0" r="0" b="0"/>
            <wp:wrapNone/>
            <wp:docPr id="22" name="Picture 2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r w:rsidR="00837894" w:rsidRPr="00696543">
        <w:t>need</w:t>
      </w:r>
      <w:r w:rsidR="00696543">
        <w:t>s</w:t>
      </w:r>
      <w:r w:rsidR="00362206">
        <w:t xml:space="preserve"> </w:t>
      </w:r>
      <w:r w:rsidR="00665AD7" w:rsidRPr="0021141F">
        <w:t>capture</w:t>
      </w:r>
      <w:r w:rsidR="00665AD7">
        <w:t>s</w:t>
      </w:r>
      <w:r w:rsidR="0013247A" w:rsidRPr="0021141F">
        <w:t xml:space="preserve"> two </w:t>
      </w:r>
      <w:r w:rsidR="002B1B2A">
        <w:t xml:space="preserve">main </w:t>
      </w:r>
      <w:r w:rsidR="0013247A" w:rsidRPr="0021141F">
        <w:t>drivers</w:t>
      </w:r>
      <w:r w:rsidR="003C3A7E">
        <w:t xml:space="preserve">: </w:t>
      </w:r>
      <w:r w:rsidR="00362206">
        <w:t>population growth and capital improvements.</w:t>
      </w:r>
    </w:p>
    <w:p w14:paraId="66FA67A7" w14:textId="2301C2F0" w:rsidR="004F6151" w:rsidRPr="00F2062E" w:rsidRDefault="00F556AD" w:rsidP="00E14906">
      <w:pPr>
        <w:pStyle w:val="CGCBullet1"/>
      </w:pPr>
      <w:r>
        <w:rPr>
          <w:rStyle w:val="Heading4Char"/>
          <w:rFonts w:ascii="Work Sans" w:hAnsi="Work Sans"/>
          <w:sz w:val="24"/>
          <w:szCs w:val="24"/>
        </w:rPr>
        <w:t>Population growth</w:t>
      </w:r>
      <w:r w:rsidR="001F62A9">
        <w:rPr>
          <w:rStyle w:val="Heading4Char"/>
          <w:rFonts w:ascii="Work Sans" w:hAnsi="Work Sans"/>
          <w:sz w:val="24"/>
          <w:szCs w:val="24"/>
        </w:rPr>
        <w:t xml:space="preserve">. </w:t>
      </w:r>
      <w:r w:rsidR="00B8148F" w:rsidRPr="00F2062E">
        <w:t xml:space="preserve">A state with fast population growth will require </w:t>
      </w:r>
      <w:r w:rsidR="004D397E" w:rsidRPr="00F2062E">
        <w:t>more investment. For example, Queenslan</w:t>
      </w:r>
      <w:r w:rsidR="008E13A7">
        <w:t xml:space="preserve">d’s student population grew by </w:t>
      </w:r>
      <w:r w:rsidR="001C4216">
        <w:t>nearly</w:t>
      </w:r>
      <w:r w:rsidR="00804952" w:rsidRPr="00F2062E">
        <w:t xml:space="preserve"> 13</w:t>
      </w:r>
      <w:r w:rsidR="00081F1B">
        <w:t xml:space="preserve">,000 </w:t>
      </w:r>
      <w:r w:rsidR="00894F40">
        <w:t xml:space="preserve">in </w:t>
      </w:r>
      <w:r w:rsidR="00C660B2">
        <w:t>2020</w:t>
      </w:r>
      <w:r w:rsidR="00020972">
        <w:t>–</w:t>
      </w:r>
      <w:r w:rsidR="001D198E">
        <w:t>‍</w:t>
      </w:r>
      <w:r w:rsidR="00C660B2">
        <w:t>21</w:t>
      </w:r>
      <w:r w:rsidR="008B6DA7">
        <w:t>, accounting for 38</w:t>
      </w:r>
      <w:r w:rsidR="00FD2C61">
        <w:t xml:space="preserve">% of all growth in </w:t>
      </w:r>
      <w:r w:rsidR="003824CD">
        <w:t>the national student</w:t>
      </w:r>
      <w:r w:rsidR="008B6DA7">
        <w:t xml:space="preserve"> population</w:t>
      </w:r>
      <w:r w:rsidR="00056AFB">
        <w:t xml:space="preserve"> (</w:t>
      </w:r>
      <w:r w:rsidR="00056AFB" w:rsidRPr="0021141F">
        <w:fldChar w:fldCharType="begin"/>
      </w:r>
      <w:r w:rsidR="00056AFB" w:rsidRPr="0021141F">
        <w:instrText xml:space="preserve"> REF _Ref113973502 \h  \* MERGEFORMAT </w:instrText>
      </w:r>
      <w:r w:rsidR="00056AFB" w:rsidRPr="0021141F">
        <w:fldChar w:fldCharType="separate"/>
      </w:r>
      <w:r w:rsidR="004D7CF5" w:rsidRPr="00CC69AF">
        <w:rPr>
          <w:bCs w:val="0"/>
        </w:rPr>
        <w:t xml:space="preserve">Table </w:t>
      </w:r>
      <w:r w:rsidR="004D7CF5" w:rsidRPr="004D7CF5">
        <w:rPr>
          <w:bCs w:val="0"/>
          <w:noProof/>
        </w:rPr>
        <w:t>2</w:t>
      </w:r>
      <w:r w:rsidR="00056AFB" w:rsidRPr="0021141F">
        <w:fldChar w:fldCharType="end"/>
      </w:r>
      <w:r w:rsidR="00056AFB">
        <w:t>)</w:t>
      </w:r>
      <w:r w:rsidR="008B6DA7">
        <w:t>.</w:t>
      </w:r>
      <w:r w:rsidR="00081F1B">
        <w:t xml:space="preserve"> It required </w:t>
      </w:r>
      <w:r w:rsidR="00641A86">
        <w:t xml:space="preserve">additional investment </w:t>
      </w:r>
      <w:r w:rsidR="00EC55F0" w:rsidRPr="00F2062E">
        <w:t xml:space="preserve">to provide each of these </w:t>
      </w:r>
      <w:r w:rsidR="00641A86">
        <w:t xml:space="preserve">new </w:t>
      </w:r>
      <w:r w:rsidR="00EC55F0" w:rsidRPr="00F2062E">
        <w:t xml:space="preserve">students with </w:t>
      </w:r>
      <w:r w:rsidR="00105B35" w:rsidRPr="00F2062E">
        <w:t>$26,354 of school infrastructure.</w:t>
      </w:r>
    </w:p>
    <w:p w14:paraId="14F63249" w14:textId="26B6B22C" w:rsidR="00622A61" w:rsidRDefault="005A2E84" w:rsidP="00622A61">
      <w:pPr>
        <w:pStyle w:val="CGCBullet1"/>
      </w:pPr>
      <w:r w:rsidRPr="00E91E05">
        <w:rPr>
          <w:rStyle w:val="Heading4Char"/>
          <w:rFonts w:ascii="Work Sans" w:hAnsi="Work Sans"/>
          <w:sz w:val="24"/>
          <w:szCs w:val="24"/>
        </w:rPr>
        <w:t>Capital improvements</w:t>
      </w:r>
      <w:r w:rsidR="001F62A9">
        <w:rPr>
          <w:rStyle w:val="Heading4Char"/>
          <w:rFonts w:ascii="Work Sans" w:hAnsi="Work Sans"/>
          <w:sz w:val="24"/>
          <w:szCs w:val="24"/>
        </w:rPr>
        <w:t xml:space="preserve">. </w:t>
      </w:r>
      <w:r w:rsidR="00641A86">
        <w:t>In 20</w:t>
      </w:r>
      <w:r w:rsidR="00613B02">
        <w:t>20</w:t>
      </w:r>
      <w:r w:rsidR="00EC5DAA">
        <w:t>–</w:t>
      </w:r>
      <w:r w:rsidR="00613B02">
        <w:t>21</w:t>
      </w:r>
      <w:r w:rsidR="00D86B32" w:rsidRPr="00F2062E">
        <w:t>, the</w:t>
      </w:r>
      <w:r w:rsidRPr="00F2062E">
        <w:t xml:space="preserve"> average</w:t>
      </w:r>
      <w:r w:rsidR="007F1A20">
        <w:t xml:space="preserve"> value</w:t>
      </w:r>
      <w:r w:rsidR="008846A8" w:rsidRPr="00F2062E">
        <w:t xml:space="preserve"> </w:t>
      </w:r>
      <w:r w:rsidR="00CF1FBA" w:rsidRPr="00F2062E">
        <w:t xml:space="preserve">of </w:t>
      </w:r>
      <w:r w:rsidR="009075D1" w:rsidRPr="00F2062E">
        <w:t>schools’</w:t>
      </w:r>
      <w:r w:rsidRPr="00F2062E">
        <w:t xml:space="preserve"> </w:t>
      </w:r>
      <w:r w:rsidR="00CF1FBA" w:rsidRPr="00F2062E">
        <w:t>infrastructure increased by $1,612</w:t>
      </w:r>
      <w:r w:rsidR="008846A8" w:rsidRPr="00F2062E">
        <w:t xml:space="preserve"> per student, from $26,354 to </w:t>
      </w:r>
      <w:r w:rsidR="00383D45">
        <w:t>$</w:t>
      </w:r>
      <w:r w:rsidR="008846A8" w:rsidRPr="00F2062E">
        <w:t>27,966</w:t>
      </w:r>
      <w:r w:rsidR="003308CC" w:rsidRPr="00F2062E">
        <w:t xml:space="preserve">. All states </w:t>
      </w:r>
      <w:r w:rsidR="00091CF7" w:rsidRPr="00F2062E">
        <w:t>require</w:t>
      </w:r>
      <w:r w:rsidR="005B3CDE">
        <w:t>d</w:t>
      </w:r>
      <w:r w:rsidR="00067870">
        <w:t xml:space="preserve"> an additional</w:t>
      </w:r>
      <w:r w:rsidR="005B3CDE">
        <w:t xml:space="preserve"> investment of </w:t>
      </w:r>
      <w:r w:rsidR="00091CF7" w:rsidRPr="00F2062E">
        <w:t>$1</w:t>
      </w:r>
      <w:r w:rsidR="00AC62E8" w:rsidRPr="00F2062E">
        <w:t>,</w:t>
      </w:r>
      <w:r w:rsidR="00091CF7" w:rsidRPr="00F2062E">
        <w:t>612 per student</w:t>
      </w:r>
      <w:r w:rsidR="00AC62E8" w:rsidRPr="00F2062E">
        <w:t xml:space="preserve"> for capital improvements</w:t>
      </w:r>
      <w:r w:rsidR="00056AFB">
        <w:t xml:space="preserve"> (</w:t>
      </w:r>
      <w:r w:rsidR="00056AFB" w:rsidRPr="0021141F">
        <w:fldChar w:fldCharType="begin"/>
      </w:r>
      <w:r w:rsidR="00056AFB" w:rsidRPr="0021141F">
        <w:instrText xml:space="preserve"> REF _Ref113973502 \h  \* MERGEFORMAT </w:instrText>
      </w:r>
      <w:r w:rsidR="00056AFB" w:rsidRPr="0021141F">
        <w:fldChar w:fldCharType="separate"/>
      </w:r>
      <w:r w:rsidR="004D7CF5" w:rsidRPr="00CC69AF">
        <w:rPr>
          <w:bCs w:val="0"/>
        </w:rPr>
        <w:t xml:space="preserve">Table </w:t>
      </w:r>
      <w:r w:rsidR="004D7CF5" w:rsidRPr="004D7CF5">
        <w:rPr>
          <w:bCs w:val="0"/>
          <w:noProof/>
        </w:rPr>
        <w:t>2</w:t>
      </w:r>
      <w:r w:rsidR="00056AFB" w:rsidRPr="0021141F">
        <w:fldChar w:fldCharType="end"/>
      </w:r>
      <w:r w:rsidR="00056AFB">
        <w:t>)</w:t>
      </w:r>
      <w:r w:rsidR="004B7105">
        <w:t>.</w:t>
      </w:r>
      <w:r w:rsidR="00383D45">
        <w:rPr>
          <w:rStyle w:val="FootnoteReference"/>
        </w:rPr>
        <w:footnoteReference w:id="8"/>
      </w:r>
      <w:r w:rsidR="00B836BB">
        <w:t xml:space="preserve"> </w:t>
      </w:r>
      <w:r w:rsidR="00AA1A29">
        <w:t xml:space="preserve">The distribution of GST in response to this </w:t>
      </w:r>
      <w:r w:rsidR="00EE2012">
        <w:t xml:space="preserve">increased need for investment </w:t>
      </w:r>
      <w:r w:rsidR="009A3076">
        <w:t xml:space="preserve">is allocated </w:t>
      </w:r>
      <w:r w:rsidR="002D1D2E">
        <w:t xml:space="preserve">based on </w:t>
      </w:r>
      <w:r w:rsidR="009A3076">
        <w:t>the number of students in each state</w:t>
      </w:r>
      <w:r w:rsidR="001055DE">
        <w:t>.</w:t>
      </w:r>
    </w:p>
    <w:p w14:paraId="042166D0" w14:textId="3CB6DCD3" w:rsidR="004B0E48" w:rsidRDefault="00221019" w:rsidP="00221019">
      <w:pPr>
        <w:pStyle w:val="BodyText"/>
      </w:pPr>
      <w:r>
        <w:t>The Commission also considers differences between states in the costs of construction (Step 5, </w:t>
      </w:r>
      <w:r>
        <w:fldChar w:fldCharType="begin"/>
      </w:r>
      <w:r>
        <w:instrText xml:space="preserve"> REF _Ref113972273 \h  \* MERGEFORMAT </w:instrText>
      </w:r>
      <w:r>
        <w:fldChar w:fldCharType="separate"/>
      </w:r>
      <w:r w:rsidR="004D7CF5">
        <w:t>Figure 2</w:t>
      </w:r>
      <w:r>
        <w:fldChar w:fldCharType="end"/>
      </w:r>
      <w:r>
        <w:t>)</w:t>
      </w:r>
      <w:r w:rsidR="009F483C">
        <w:t>, but the</w:t>
      </w:r>
      <w:r w:rsidR="005439DD">
        <w:t>se</w:t>
      </w:r>
      <w:r w:rsidR="00FA4F48">
        <w:t xml:space="preserve"> e</w:t>
      </w:r>
      <w:r w:rsidR="001E1164">
        <w:t>ffects</w:t>
      </w:r>
      <w:r w:rsidR="009F483C">
        <w:t xml:space="preserve"> </w:t>
      </w:r>
      <w:r w:rsidR="00DB0A6B">
        <w:t>have not been</w:t>
      </w:r>
      <w:r w:rsidR="00BF77DD">
        <w:t xml:space="preserve"> </w:t>
      </w:r>
      <w:r w:rsidR="006F03B1">
        <w:t>presented</w:t>
      </w:r>
      <w:r w:rsidR="00BF77DD">
        <w:t xml:space="preserve"> in </w:t>
      </w:r>
      <w:r>
        <w:fldChar w:fldCharType="begin"/>
      </w:r>
      <w:r>
        <w:instrText xml:space="preserve"> REF _Ref113973502 \h  \* MERGEFORMAT </w:instrText>
      </w:r>
      <w:r>
        <w:fldChar w:fldCharType="separate"/>
      </w:r>
      <w:r w:rsidR="004D7CF5" w:rsidRPr="00CC69AF">
        <w:t xml:space="preserve">Table </w:t>
      </w:r>
      <w:r w:rsidR="004D7CF5" w:rsidRPr="004D7CF5">
        <w:rPr>
          <w:noProof/>
        </w:rPr>
        <w:t>2</w:t>
      </w:r>
      <w:r>
        <w:fldChar w:fldCharType="end"/>
      </w:r>
      <w:r w:rsidR="00DB0A6B">
        <w:t xml:space="preserve"> for </w:t>
      </w:r>
      <w:r w:rsidR="00DA1227">
        <w:t>illustrative purp</w:t>
      </w:r>
      <w:r w:rsidR="00482279">
        <w:t>oses</w:t>
      </w:r>
      <w:r w:rsidR="00A868D9">
        <w:t xml:space="preserve"> because they are small in comparison</w:t>
      </w:r>
      <w:r>
        <w:t>.</w:t>
      </w:r>
      <w:r w:rsidR="00EF323F">
        <w:t xml:space="preserve"> </w:t>
      </w:r>
      <w:r w:rsidR="00133AE2">
        <w:t xml:space="preserve">The </w:t>
      </w:r>
      <w:r w:rsidR="00F32580">
        <w:t xml:space="preserve">factors </w:t>
      </w:r>
      <w:r w:rsidR="14B02384">
        <w:t>a</w:t>
      </w:r>
      <w:r w:rsidR="00F32580">
        <w:t>ffecting costs of construction are more sta</w:t>
      </w:r>
      <w:r w:rsidR="00DA63FA">
        <w:t>ble</w:t>
      </w:r>
      <w:r w:rsidR="00F20B97">
        <w:t xml:space="preserve"> than </w:t>
      </w:r>
      <w:r w:rsidR="00362ADB">
        <w:t xml:space="preserve">those </w:t>
      </w:r>
      <w:r w:rsidR="00C527EE">
        <w:t>influenc</w:t>
      </w:r>
      <w:r w:rsidR="00362ADB">
        <w:t xml:space="preserve">ing </w:t>
      </w:r>
      <w:r w:rsidR="00DA63FA">
        <w:t>a state’s</w:t>
      </w:r>
      <w:r w:rsidR="001033B8">
        <w:t xml:space="preserve"> a</w:t>
      </w:r>
      <w:r w:rsidR="00EF323F">
        <w:t xml:space="preserve">nnual </w:t>
      </w:r>
      <w:r w:rsidR="003B1D40">
        <w:t>user-</w:t>
      </w:r>
      <w:r w:rsidR="001D5A37">
        <w:t>population growth rate</w:t>
      </w:r>
      <w:r w:rsidR="007C1BA7">
        <w:t xml:space="preserve"> </w:t>
      </w:r>
      <w:r w:rsidR="00C527EE">
        <w:t>or the</w:t>
      </w:r>
      <w:r w:rsidR="007C1BA7">
        <w:t xml:space="preserve"> </w:t>
      </w:r>
      <w:r w:rsidR="00CB2B98">
        <w:t xml:space="preserve">average value of </w:t>
      </w:r>
      <w:r w:rsidR="005613F4">
        <w:t>infrastructure</w:t>
      </w:r>
      <w:r w:rsidR="00551FA2">
        <w:t xml:space="preserve"> type</w:t>
      </w:r>
      <w:r w:rsidR="0067033B">
        <w:t xml:space="preserve"> per </w:t>
      </w:r>
      <w:r w:rsidR="003B1D40">
        <w:t>user</w:t>
      </w:r>
      <w:r w:rsidR="0067033B">
        <w:t xml:space="preserve"> across Australia</w:t>
      </w:r>
      <w:r w:rsidR="00334B11">
        <w:t>.</w:t>
      </w:r>
      <w:r w:rsidR="00E06319">
        <w:t xml:space="preserve"> </w:t>
      </w:r>
      <w:r w:rsidR="00D12827">
        <w:t>Therefore,</w:t>
      </w:r>
      <w:r w:rsidR="00E50CFA">
        <w:t xml:space="preserve"> </w:t>
      </w:r>
      <w:r w:rsidR="00703DCB">
        <w:t>they</w:t>
      </w:r>
      <w:r w:rsidR="007B4A8F">
        <w:t xml:space="preserve"> ha</w:t>
      </w:r>
      <w:r w:rsidR="00703DCB">
        <w:t>ve</w:t>
      </w:r>
      <w:r w:rsidR="007B4A8F">
        <w:t xml:space="preserve"> less </w:t>
      </w:r>
      <w:r w:rsidR="00D31507">
        <w:t>effect</w:t>
      </w:r>
      <w:r w:rsidR="007B4A8F">
        <w:t xml:space="preserve"> on changing </w:t>
      </w:r>
      <w:r w:rsidR="00DB10B0">
        <w:t>i</w:t>
      </w:r>
      <w:r w:rsidR="007B4A8F">
        <w:t>nvestment needs.</w:t>
      </w:r>
    </w:p>
    <w:p w14:paraId="19391D07" w14:textId="7DEEB46E" w:rsidR="008F3E1B" w:rsidRDefault="00221019" w:rsidP="00441483">
      <w:pPr>
        <w:pStyle w:val="BodyText"/>
      </w:pPr>
      <w:r w:rsidRPr="00B26A72">
        <w:t>Construction in remote areas is generally more expensive than in cities or inner regional areas because of the costs of transporting materials and attracting qualified labour.</w:t>
      </w:r>
      <w:r w:rsidR="004B0E48">
        <w:t xml:space="preserve"> </w:t>
      </w:r>
      <w:r w:rsidRPr="00D33E7E">
        <w:t>Geographically large states with dispersed remote populations, such as the Northern</w:t>
      </w:r>
      <w:r w:rsidR="003E2319">
        <w:t> </w:t>
      </w:r>
      <w:r w:rsidRPr="00D33E7E">
        <w:t>Territory</w:t>
      </w:r>
      <w:r>
        <w:t>, Queensland</w:t>
      </w:r>
      <w:r w:rsidRPr="00D33E7E">
        <w:t xml:space="preserve"> and Western Australia, experience</w:t>
      </w:r>
      <w:r>
        <w:t xml:space="preserve"> larger location-based </w:t>
      </w:r>
      <w:r w:rsidRPr="00D33E7E">
        <w:t>costs than less dispersed states</w:t>
      </w:r>
      <w:r>
        <w:t>.</w:t>
      </w:r>
    </w:p>
    <w:p w14:paraId="78F80093" w14:textId="5A55660E" w:rsidR="003E47B2" w:rsidRDefault="00221019" w:rsidP="00441483">
      <w:pPr>
        <w:pStyle w:val="BodyText"/>
      </w:pPr>
      <w:r>
        <w:t>T</w:t>
      </w:r>
      <w:r w:rsidRPr="00D33E7E">
        <w:t>he</w:t>
      </w:r>
      <w:r>
        <w:t xml:space="preserve">re are </w:t>
      </w:r>
      <w:r w:rsidRPr="00D33E7E">
        <w:t>also</w:t>
      </w:r>
      <w:r>
        <w:t xml:space="preserve"> </w:t>
      </w:r>
      <w:r w:rsidRPr="00D33E7E">
        <w:t xml:space="preserve">differences </w:t>
      </w:r>
      <w:r>
        <w:t>between</w:t>
      </w:r>
      <w:r w:rsidRPr="00D33E7E">
        <w:t xml:space="preserve"> capital cities</w:t>
      </w:r>
      <w:r>
        <w:t>.</w:t>
      </w:r>
      <w:r w:rsidRPr="00D33E7E">
        <w:rPr>
          <w:rStyle w:val="FootnoteReference"/>
        </w:rPr>
        <w:footnoteReference w:id="9"/>
      </w:r>
      <w:r>
        <w:t xml:space="preserve"> </w:t>
      </w:r>
      <w:r w:rsidRPr="00D33E7E">
        <w:t>For example, construction costs in Canberra are about 10% more expensive than in Brisbane</w:t>
      </w:r>
      <w:r w:rsidR="0000561F">
        <w:t>.</w:t>
      </w:r>
    </w:p>
    <w:p w14:paraId="772CF62E" w14:textId="428FB66A" w:rsidR="00845FC4" w:rsidRPr="0041449C" w:rsidRDefault="00845FC4" w:rsidP="0041449C">
      <w:pPr>
        <w:pStyle w:val="Heading3"/>
        <w:keepNext/>
        <w:keepLines/>
        <w:widowControl w:val="0"/>
      </w:pPr>
      <w:r w:rsidRPr="0041449C">
        <w:t xml:space="preserve">Impact </w:t>
      </w:r>
      <w:r w:rsidR="002E23DE" w:rsidRPr="0041449C">
        <w:t xml:space="preserve">of </w:t>
      </w:r>
      <w:r w:rsidR="008939FE" w:rsidRPr="0041449C">
        <w:t>i</w:t>
      </w:r>
      <w:r w:rsidR="002E23DE" w:rsidRPr="0041449C">
        <w:t>nvestment on GST distribution</w:t>
      </w:r>
    </w:p>
    <w:p w14:paraId="46589E69" w14:textId="094A1F7F" w:rsidR="005E4AFE" w:rsidRDefault="003C1812" w:rsidP="00A158FB">
      <w:pPr>
        <w:pStyle w:val="BodyText"/>
      </w:pPr>
      <w:r w:rsidRPr="0041449C">
        <w:fldChar w:fldCharType="begin"/>
      </w:r>
      <w:r w:rsidRPr="0041449C">
        <w:instrText xml:space="preserve"> REF _Ref113025424 \h </w:instrText>
      </w:r>
      <w:r w:rsidR="00F2062E" w:rsidRPr="0041449C">
        <w:instrText xml:space="preserve"> \* MERGEFORMAT </w:instrText>
      </w:r>
      <w:r w:rsidRPr="0041449C">
        <w:fldChar w:fldCharType="separate"/>
      </w:r>
      <w:r w:rsidR="004D7CF5" w:rsidRPr="00F2062E">
        <w:t xml:space="preserve">Table </w:t>
      </w:r>
      <w:r w:rsidR="004D7CF5">
        <w:rPr>
          <w:noProof/>
        </w:rPr>
        <w:t>3</w:t>
      </w:r>
      <w:r w:rsidRPr="0041449C">
        <w:fldChar w:fldCharType="end"/>
      </w:r>
      <w:r w:rsidRPr="0041449C">
        <w:t xml:space="preserve"> presents </w:t>
      </w:r>
      <w:r w:rsidR="00524F7D">
        <w:t xml:space="preserve">the </w:t>
      </w:r>
      <w:r w:rsidR="005E5DCE">
        <w:t>main</w:t>
      </w:r>
      <w:r w:rsidR="00B9496E">
        <w:t xml:space="preserve"> </w:t>
      </w:r>
      <w:r w:rsidR="00D60719" w:rsidRPr="00F2062E">
        <w:t xml:space="preserve">drivers of </w:t>
      </w:r>
      <w:r w:rsidR="0051419D">
        <w:t xml:space="preserve">difference </w:t>
      </w:r>
      <w:r w:rsidR="00900E01">
        <w:t>in</w:t>
      </w:r>
      <w:r w:rsidR="00C26D99">
        <w:t xml:space="preserve"> </w:t>
      </w:r>
      <w:r w:rsidR="003D034C">
        <w:t xml:space="preserve">each </w:t>
      </w:r>
      <w:r w:rsidR="00C26D99">
        <w:t>state</w:t>
      </w:r>
      <w:r w:rsidR="00B4320D">
        <w:t>’</w:t>
      </w:r>
      <w:r w:rsidR="00C26D99">
        <w:t xml:space="preserve">s assessed </w:t>
      </w:r>
      <w:r w:rsidR="00FB680B">
        <w:t xml:space="preserve">GST </w:t>
      </w:r>
      <w:r w:rsidR="00E51BFE">
        <w:t>requirement</w:t>
      </w:r>
      <w:r w:rsidR="00C26D99">
        <w:t xml:space="preserve"> </w:t>
      </w:r>
      <w:r w:rsidR="00FB680B">
        <w:t>for</w:t>
      </w:r>
      <w:r w:rsidR="002C667B">
        <w:t xml:space="preserve"> all </w:t>
      </w:r>
      <w:r w:rsidR="00FB680B">
        <w:t xml:space="preserve">investment </w:t>
      </w:r>
      <w:r w:rsidR="002C667B">
        <w:t xml:space="preserve">types </w:t>
      </w:r>
      <w:r w:rsidR="00C26D99">
        <w:t>in 20</w:t>
      </w:r>
      <w:r w:rsidR="00D507D1">
        <w:t>22</w:t>
      </w:r>
      <w:r w:rsidR="00EC5DAA">
        <w:t>–</w:t>
      </w:r>
      <w:r w:rsidR="00D507D1">
        <w:t>2</w:t>
      </w:r>
      <w:r w:rsidR="00963480">
        <w:t>3.</w:t>
      </w:r>
    </w:p>
    <w:p w14:paraId="28D9E3E7" w14:textId="14049450" w:rsidR="00385C12" w:rsidRDefault="003D2923" w:rsidP="003D2923">
      <w:pPr>
        <w:pStyle w:val="BodyText"/>
      </w:pPr>
      <w:r>
        <w:t xml:space="preserve">The </w:t>
      </w:r>
      <w:r w:rsidR="00BF16BD">
        <w:t>difference</w:t>
      </w:r>
      <w:r w:rsidR="00900E01">
        <w:t xml:space="preserve"> in the </w:t>
      </w:r>
      <w:r>
        <w:t xml:space="preserve">GST </w:t>
      </w:r>
      <w:r w:rsidR="00E630BE">
        <w:t>requirement</w:t>
      </w:r>
      <w:r>
        <w:t xml:space="preserve"> of </w:t>
      </w:r>
      <w:r w:rsidR="003D034C">
        <w:t xml:space="preserve">a </w:t>
      </w:r>
      <w:r>
        <w:t>state</w:t>
      </w:r>
      <w:r w:rsidR="00DC24AC">
        <w:t xml:space="preserve"> reflect</w:t>
      </w:r>
      <w:r w:rsidR="003D034C">
        <w:t>s</w:t>
      </w:r>
      <w:r w:rsidR="00385C12">
        <w:t xml:space="preserve"> </w:t>
      </w:r>
      <w:r>
        <w:t>the difference between</w:t>
      </w:r>
      <w:r w:rsidR="00385C12">
        <w:t>:</w:t>
      </w:r>
    </w:p>
    <w:p w14:paraId="54B30F2B" w14:textId="659DDF9C" w:rsidR="00E8633B" w:rsidRDefault="003D2923" w:rsidP="00E8633B">
      <w:pPr>
        <w:pStyle w:val="CGCBullet1"/>
      </w:pPr>
      <w:r>
        <w:t>the amount of investment need</w:t>
      </w:r>
      <w:r w:rsidR="00E8633B">
        <w:t>ed</w:t>
      </w:r>
      <w:r>
        <w:t xml:space="preserve"> to provide the average level of infrastructure (accounting for factors beyond its control) </w:t>
      </w:r>
    </w:p>
    <w:p w14:paraId="6FDF2813" w14:textId="1A29E7EC" w:rsidR="003D2923" w:rsidRDefault="003D2923" w:rsidP="00E8633B">
      <w:pPr>
        <w:pStyle w:val="CGCBullet1"/>
      </w:pPr>
      <w:r>
        <w:t>the amount of GST a state would receive if GST revenue was distributed on an equal per capita (EPC) basis.</w:t>
      </w:r>
    </w:p>
    <w:p w14:paraId="08CC5F24" w14:textId="47993274" w:rsidR="005804A8" w:rsidRPr="007316A1" w:rsidRDefault="009A1805" w:rsidP="00A158FB">
      <w:pPr>
        <w:pStyle w:val="BodyText"/>
      </w:pPr>
      <w:r w:rsidRPr="007316A1">
        <w:t xml:space="preserve">Since </w:t>
      </w:r>
      <w:r w:rsidR="000914E7" w:rsidRPr="007316A1">
        <w:t xml:space="preserve">the </w:t>
      </w:r>
      <w:r w:rsidRPr="007316A1">
        <w:t>GST</w:t>
      </w:r>
      <w:r w:rsidR="00AC66F9" w:rsidRPr="007316A1">
        <w:t xml:space="preserve"> </w:t>
      </w:r>
      <w:r w:rsidR="00F01FB8" w:rsidRPr="007316A1">
        <w:t>requirement</w:t>
      </w:r>
      <w:r w:rsidR="000914E7" w:rsidRPr="007316A1">
        <w:t xml:space="preserve"> of each state</w:t>
      </w:r>
      <w:r w:rsidR="0039404F" w:rsidRPr="007316A1">
        <w:t xml:space="preserve"> is</w:t>
      </w:r>
      <w:r w:rsidR="00AC66F9" w:rsidRPr="007316A1">
        <w:t xml:space="preserve"> </w:t>
      </w:r>
      <w:r w:rsidR="00AB52B0" w:rsidRPr="007316A1">
        <w:t>based on a national average,</w:t>
      </w:r>
      <w:r w:rsidRPr="007316A1">
        <w:t xml:space="preserve"> </w:t>
      </w:r>
      <w:r w:rsidR="002214C0" w:rsidRPr="007316A1">
        <w:t>changes in one state</w:t>
      </w:r>
      <w:r w:rsidR="00D97E5D" w:rsidRPr="007316A1">
        <w:t xml:space="preserve"> </w:t>
      </w:r>
      <w:r w:rsidR="004A3447" w:rsidRPr="007316A1">
        <w:t xml:space="preserve">also </w:t>
      </w:r>
      <w:r w:rsidR="00D97E5D" w:rsidRPr="007316A1">
        <w:t>affect the GST</w:t>
      </w:r>
      <w:r w:rsidR="002214C0" w:rsidRPr="007316A1">
        <w:t xml:space="preserve"> </w:t>
      </w:r>
      <w:r w:rsidRPr="007316A1">
        <w:t>re</w:t>
      </w:r>
      <w:r w:rsidR="00A963F7" w:rsidRPr="007316A1">
        <w:t>quirement</w:t>
      </w:r>
      <w:r w:rsidR="009C2FCB">
        <w:t>s</w:t>
      </w:r>
      <w:r w:rsidR="00D97E5D" w:rsidRPr="007316A1">
        <w:t xml:space="preserve"> </w:t>
      </w:r>
      <w:r w:rsidR="00DA02BE" w:rsidRPr="007316A1">
        <w:t xml:space="preserve">of </w:t>
      </w:r>
      <w:r w:rsidR="00916A4F" w:rsidRPr="007316A1">
        <w:t>other</w:t>
      </w:r>
      <w:r w:rsidR="00DA02BE" w:rsidRPr="007316A1">
        <w:t xml:space="preserve"> states.</w:t>
      </w:r>
    </w:p>
    <w:p w14:paraId="04F6D20C" w14:textId="586A0E37" w:rsidR="000664C4" w:rsidRDefault="00AB52B0" w:rsidP="00A158FB">
      <w:pPr>
        <w:pStyle w:val="BodyText"/>
      </w:pPr>
      <w:r w:rsidRPr="007316A1">
        <w:lastRenderedPageBreak/>
        <w:t>For</w:t>
      </w:r>
      <w:r w:rsidR="00DA02BE" w:rsidRPr="007316A1">
        <w:t xml:space="preserve"> example,</w:t>
      </w:r>
      <w:r w:rsidR="00A963F7" w:rsidRPr="007316A1">
        <w:t xml:space="preserve"> </w:t>
      </w:r>
      <w:r w:rsidR="00DA02BE" w:rsidRPr="007316A1">
        <w:t>s</w:t>
      </w:r>
      <w:r w:rsidR="00B81802" w:rsidRPr="007316A1">
        <w:t>tates</w:t>
      </w:r>
      <w:r w:rsidR="00B81802" w:rsidRPr="00F2062E">
        <w:t xml:space="preserve"> with </w:t>
      </w:r>
      <w:r w:rsidR="00CF6329">
        <w:t>population growth</w:t>
      </w:r>
      <w:r w:rsidR="00645FEC">
        <w:t xml:space="preserve"> </w:t>
      </w:r>
      <w:r w:rsidR="004F2D30">
        <w:t xml:space="preserve">above the national </w:t>
      </w:r>
      <w:r w:rsidR="007A795D">
        <w:t>average</w:t>
      </w:r>
      <w:r w:rsidR="00664553">
        <w:t xml:space="preserve"> </w:t>
      </w:r>
      <w:r w:rsidR="004F2D30">
        <w:t>across all assessment years</w:t>
      </w:r>
      <w:r w:rsidR="00EE194A">
        <w:rPr>
          <w:rStyle w:val="FootnoteReference"/>
        </w:rPr>
        <w:footnoteReference w:id="10"/>
      </w:r>
      <w:r w:rsidR="006540B8">
        <w:t xml:space="preserve"> </w:t>
      </w:r>
      <w:r w:rsidR="00664553" w:rsidRPr="007316A1">
        <w:t>ha</w:t>
      </w:r>
      <w:r w:rsidR="0072565F" w:rsidRPr="007316A1">
        <w:t>ve</w:t>
      </w:r>
      <w:r w:rsidR="00664553">
        <w:t xml:space="preserve"> </w:t>
      </w:r>
      <w:r w:rsidR="002038EE">
        <w:t xml:space="preserve">higher </w:t>
      </w:r>
      <w:r w:rsidR="00656CD1">
        <w:t>needs</w:t>
      </w:r>
      <w:r w:rsidR="00574F6E">
        <w:t>.</w:t>
      </w:r>
      <w:r w:rsidR="001F033C">
        <w:t xml:space="preserve"> </w:t>
      </w:r>
      <w:r w:rsidR="001255E1">
        <w:t xml:space="preserve">From the end of 2017–18 to the end of 2020–21 </w:t>
      </w:r>
      <w:r w:rsidR="00D7409F">
        <w:t xml:space="preserve">Victoria’s and Queensland’s </w:t>
      </w:r>
      <w:r w:rsidR="0039271C">
        <w:t xml:space="preserve">populations grew by </w:t>
      </w:r>
      <w:r w:rsidR="00E56148">
        <w:t>4.2% and 4.6</w:t>
      </w:r>
      <w:r w:rsidR="00E56148" w:rsidRPr="007316A1">
        <w:t>%</w:t>
      </w:r>
      <w:r w:rsidR="00A01D67" w:rsidRPr="007316A1">
        <w:t>, respectively</w:t>
      </w:r>
      <w:r w:rsidR="007F3385" w:rsidRPr="007316A1">
        <w:t>.</w:t>
      </w:r>
      <w:r w:rsidR="007F3385">
        <w:t xml:space="preserve"> This </w:t>
      </w:r>
      <w:r w:rsidR="0039271C">
        <w:t>was above the national growth rate of 3.7% during this same period.</w:t>
      </w:r>
      <w:r w:rsidR="006540B8">
        <w:t xml:space="preserve"> For this reason,</w:t>
      </w:r>
      <w:r w:rsidR="00283974">
        <w:t xml:space="preserve"> Victoria </w:t>
      </w:r>
      <w:r w:rsidR="00BD1B59">
        <w:t xml:space="preserve">and Queensland </w:t>
      </w:r>
      <w:r w:rsidR="00283974">
        <w:t>w</w:t>
      </w:r>
      <w:r w:rsidR="00BD1B59">
        <w:t>ere</w:t>
      </w:r>
      <w:r w:rsidR="006474D2">
        <w:t xml:space="preserve"> </w:t>
      </w:r>
      <w:r w:rsidR="00283974">
        <w:t xml:space="preserve">assessed to need </w:t>
      </w:r>
      <w:r w:rsidR="004F028F" w:rsidRPr="00F2062E">
        <w:t>$</w:t>
      </w:r>
      <w:r w:rsidR="00F364B7" w:rsidRPr="00F2062E">
        <w:t>399</w:t>
      </w:r>
      <w:r w:rsidR="00905D1A">
        <w:t> </w:t>
      </w:r>
      <w:r w:rsidR="00F364B7" w:rsidRPr="00F2062E">
        <w:t>million</w:t>
      </w:r>
      <w:r w:rsidR="00BD1B59">
        <w:t xml:space="preserve"> and $420</w:t>
      </w:r>
      <w:r w:rsidR="006D0085">
        <w:t> </w:t>
      </w:r>
      <w:r w:rsidR="00BD1B59">
        <w:t>million</w:t>
      </w:r>
      <w:r w:rsidR="00BE11D9">
        <w:t xml:space="preserve"> </w:t>
      </w:r>
      <w:r w:rsidR="00283974">
        <w:t xml:space="preserve">more </w:t>
      </w:r>
      <w:r w:rsidR="00017B85">
        <w:t xml:space="preserve">respectively </w:t>
      </w:r>
      <w:r w:rsidR="00283974">
        <w:t xml:space="preserve">than an </w:t>
      </w:r>
      <w:r w:rsidR="00BE11D9">
        <w:t>EPC distribution</w:t>
      </w:r>
      <w:r w:rsidR="00FE56A1">
        <w:t>.</w:t>
      </w:r>
    </w:p>
    <w:p w14:paraId="06FD3A7F" w14:textId="2B66118F" w:rsidR="00BE11D9" w:rsidRDefault="00FE56A1" w:rsidP="00A158FB">
      <w:pPr>
        <w:pStyle w:val="BodyText"/>
      </w:pPr>
      <w:r>
        <w:t>All other states</w:t>
      </w:r>
      <w:r w:rsidR="009E7828">
        <w:t xml:space="preserve"> were assessed to</w:t>
      </w:r>
      <w:r>
        <w:t xml:space="preserve"> require less than an EPC</w:t>
      </w:r>
      <w:r w:rsidR="000664C4">
        <w:t xml:space="preserve"> </w:t>
      </w:r>
      <w:r>
        <w:t xml:space="preserve">distribution </w:t>
      </w:r>
      <w:r w:rsidR="007446A2">
        <w:t xml:space="preserve">for infrastructure investment </w:t>
      </w:r>
      <w:r w:rsidR="00977213">
        <w:t xml:space="preserve">because the </w:t>
      </w:r>
      <w:r w:rsidR="007446A2">
        <w:t>population growth</w:t>
      </w:r>
      <w:r w:rsidR="00977213">
        <w:t xml:space="preserve"> rates of these states </w:t>
      </w:r>
      <w:r w:rsidR="006A0CD4">
        <w:t>were</w:t>
      </w:r>
      <w:r w:rsidR="00977213">
        <w:t xml:space="preserve"> below the</w:t>
      </w:r>
      <w:r w:rsidR="00694C0B">
        <w:t xml:space="preserve"> national average</w:t>
      </w:r>
      <w:r w:rsidR="001D0884" w:rsidRPr="001D0884">
        <w:t xml:space="preserve"> </w:t>
      </w:r>
      <w:r w:rsidR="001D0884">
        <w:t>from the end of 2017</w:t>
      </w:r>
      <w:r w:rsidR="008F2AE4">
        <w:t>–</w:t>
      </w:r>
      <w:r w:rsidR="001D0884">
        <w:t>18 to the end of 2020</w:t>
      </w:r>
      <w:r w:rsidR="008F2AE4">
        <w:t>–</w:t>
      </w:r>
      <w:r w:rsidR="001D0884">
        <w:t>21.</w:t>
      </w:r>
    </w:p>
    <w:p w14:paraId="006B6B0E" w14:textId="0F170C26" w:rsidR="00326E5A" w:rsidRPr="00F2062E" w:rsidRDefault="002E23DE" w:rsidP="00B902C7">
      <w:pPr>
        <w:pStyle w:val="Caption"/>
      </w:pPr>
      <w:bookmarkStart w:id="8" w:name="_Ref113025424"/>
      <w:r w:rsidRPr="00F2062E">
        <w:t xml:space="preserve">Table </w:t>
      </w:r>
      <w:r>
        <w:fldChar w:fldCharType="begin"/>
      </w:r>
      <w:r>
        <w:instrText>SEQ Table \* ARABIC</w:instrText>
      </w:r>
      <w:r>
        <w:fldChar w:fldCharType="separate"/>
      </w:r>
      <w:r w:rsidR="004D7CF5">
        <w:rPr>
          <w:noProof/>
        </w:rPr>
        <w:t>3</w:t>
      </w:r>
      <w:r>
        <w:fldChar w:fldCharType="end"/>
      </w:r>
      <w:bookmarkEnd w:id="8"/>
      <w:r w:rsidR="00A715F2" w:rsidRPr="00F2062E">
        <w:rPr>
          <w:noProof/>
        </w:rPr>
        <w:drawing>
          <wp:anchor distT="0" distB="0" distL="114300" distR="114300" simplePos="0" relativeHeight="251658242" behindDoc="1" locked="1" layoutInCell="1" allowOverlap="1" wp14:anchorId="5549031F" wp14:editId="743C8D04">
            <wp:simplePos x="0" y="0"/>
            <wp:positionH relativeFrom="page">
              <wp:posOffset>-10160</wp:posOffset>
            </wp:positionH>
            <wp:positionV relativeFrom="page">
              <wp:align>top</wp:align>
            </wp:positionV>
            <wp:extent cx="7563485" cy="10690225"/>
            <wp:effectExtent l="0" t="0" r="0" b="0"/>
            <wp:wrapNone/>
            <wp:docPr id="31" name="Picture 3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r w:rsidRPr="00F2062E">
        <w:tab/>
      </w:r>
      <w:r w:rsidR="005C3777" w:rsidRPr="00F2062E">
        <w:t>Drivers of difference from an EPC distribution of GST</w:t>
      </w:r>
      <w:r w:rsidR="0091411F">
        <w:t xml:space="preserve"> for all investment types</w:t>
      </w:r>
      <w:r w:rsidR="00A24E69">
        <w:t>, 20</w:t>
      </w:r>
      <w:r w:rsidR="00E62B88">
        <w:t>22</w:t>
      </w:r>
      <w:r w:rsidR="00EC39DA">
        <w:t>–23</w:t>
      </w:r>
    </w:p>
    <w:tbl>
      <w:tblPr>
        <w:tblW w:w="9120" w:type="dxa"/>
        <w:tblLook w:val="04A0" w:firstRow="1" w:lastRow="0" w:firstColumn="1" w:lastColumn="0" w:noHBand="0" w:noVBand="1"/>
      </w:tblPr>
      <w:tblGrid>
        <w:gridCol w:w="2280"/>
        <w:gridCol w:w="760"/>
        <w:gridCol w:w="760"/>
        <w:gridCol w:w="760"/>
        <w:gridCol w:w="760"/>
        <w:gridCol w:w="760"/>
        <w:gridCol w:w="760"/>
        <w:gridCol w:w="760"/>
        <w:gridCol w:w="760"/>
        <w:gridCol w:w="760"/>
      </w:tblGrid>
      <w:tr w:rsidR="00697F06" w:rsidRPr="00CD339F" w14:paraId="27DAE3B9" w14:textId="77777777" w:rsidTr="00CD339F">
        <w:trPr>
          <w:trHeight w:val="375"/>
        </w:trPr>
        <w:tc>
          <w:tcPr>
            <w:tcW w:w="2280" w:type="dxa"/>
            <w:tcBorders>
              <w:top w:val="nil"/>
              <w:left w:val="nil"/>
              <w:bottom w:val="single" w:sz="8" w:space="0" w:color="CEE7B3"/>
              <w:right w:val="nil"/>
            </w:tcBorders>
            <w:shd w:val="clear" w:color="000000" w:fill="008069"/>
            <w:noWrap/>
            <w:vAlign w:val="center"/>
            <w:hideMark/>
          </w:tcPr>
          <w:p w14:paraId="692BE792" w14:textId="77777777" w:rsidR="00697F06" w:rsidRPr="00CD339F" w:rsidRDefault="00697F06" w:rsidP="00697F06">
            <w:pPr>
              <w:tabs>
                <w:tab w:val="clear" w:pos="567"/>
              </w:tabs>
              <w:spacing w:before="0" w:line="240" w:lineRule="auto"/>
              <w:rPr>
                <w:rFonts w:ascii="Work Sans SemiBold" w:eastAsia="Times New Roman" w:hAnsi="Work Sans SemiBold" w:cs="Times New Roman"/>
                <w:color w:val="FFFFFF"/>
                <w:sz w:val="16"/>
                <w:szCs w:val="16"/>
                <w:lang w:eastAsia="en-AU"/>
              </w:rPr>
            </w:pPr>
            <w:r w:rsidRPr="00CD339F">
              <w:rPr>
                <w:rFonts w:ascii="Work Sans SemiBold" w:eastAsia="Times New Roman" w:hAnsi="Work Sans SemiBold" w:cs="Times New Roman"/>
                <w:color w:val="FFFFFF"/>
                <w:sz w:val="16"/>
                <w:szCs w:val="16"/>
                <w:lang w:eastAsia="en-AU"/>
              </w:rPr>
              <w:t> </w:t>
            </w:r>
          </w:p>
        </w:tc>
        <w:tc>
          <w:tcPr>
            <w:tcW w:w="760" w:type="dxa"/>
            <w:tcBorders>
              <w:top w:val="nil"/>
              <w:left w:val="nil"/>
              <w:bottom w:val="single" w:sz="8" w:space="0" w:color="CEE7B3"/>
              <w:right w:val="nil"/>
            </w:tcBorders>
            <w:shd w:val="clear" w:color="000000" w:fill="008069"/>
            <w:noWrap/>
            <w:vAlign w:val="center"/>
            <w:hideMark/>
          </w:tcPr>
          <w:p w14:paraId="545FBF34"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CD339F">
              <w:rPr>
                <w:rFonts w:ascii="Work Sans SemiBold" w:eastAsia="Times New Roman" w:hAnsi="Work Sans SemiBold" w:cs="Times New Roman"/>
                <w:color w:val="FFFFFF"/>
                <w:sz w:val="16"/>
                <w:szCs w:val="16"/>
                <w:lang w:eastAsia="en-AU"/>
              </w:rPr>
              <w:t>NSW</w:t>
            </w:r>
          </w:p>
        </w:tc>
        <w:tc>
          <w:tcPr>
            <w:tcW w:w="760" w:type="dxa"/>
            <w:tcBorders>
              <w:top w:val="nil"/>
              <w:left w:val="nil"/>
              <w:bottom w:val="single" w:sz="8" w:space="0" w:color="CEE7B3"/>
              <w:right w:val="nil"/>
            </w:tcBorders>
            <w:shd w:val="clear" w:color="000000" w:fill="008069"/>
            <w:noWrap/>
            <w:vAlign w:val="center"/>
            <w:hideMark/>
          </w:tcPr>
          <w:p w14:paraId="78370EB2"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CD339F">
              <w:rPr>
                <w:rFonts w:ascii="Work Sans SemiBold" w:eastAsia="Times New Roman" w:hAnsi="Work Sans SemiBold" w:cs="Times New Roman"/>
                <w:color w:val="FFFFFF"/>
                <w:sz w:val="16"/>
                <w:szCs w:val="16"/>
                <w:lang w:eastAsia="en-AU"/>
              </w:rPr>
              <w:t>Vic</w:t>
            </w:r>
          </w:p>
        </w:tc>
        <w:tc>
          <w:tcPr>
            <w:tcW w:w="760" w:type="dxa"/>
            <w:tcBorders>
              <w:top w:val="nil"/>
              <w:left w:val="nil"/>
              <w:bottom w:val="single" w:sz="8" w:space="0" w:color="CEE7B3"/>
              <w:right w:val="nil"/>
            </w:tcBorders>
            <w:shd w:val="clear" w:color="000000" w:fill="008069"/>
            <w:noWrap/>
            <w:vAlign w:val="center"/>
            <w:hideMark/>
          </w:tcPr>
          <w:p w14:paraId="733BB693"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CD339F">
              <w:rPr>
                <w:rFonts w:ascii="Work Sans SemiBold" w:eastAsia="Times New Roman" w:hAnsi="Work Sans SemiBold" w:cs="Times New Roman"/>
                <w:color w:val="FFFFFF"/>
                <w:sz w:val="16"/>
                <w:szCs w:val="16"/>
                <w:lang w:eastAsia="en-AU"/>
              </w:rPr>
              <w:t>Qld</w:t>
            </w:r>
          </w:p>
        </w:tc>
        <w:tc>
          <w:tcPr>
            <w:tcW w:w="760" w:type="dxa"/>
            <w:tcBorders>
              <w:top w:val="nil"/>
              <w:left w:val="nil"/>
              <w:bottom w:val="single" w:sz="8" w:space="0" w:color="CEE7B3"/>
              <w:right w:val="nil"/>
            </w:tcBorders>
            <w:shd w:val="clear" w:color="000000" w:fill="008069"/>
            <w:noWrap/>
            <w:vAlign w:val="center"/>
            <w:hideMark/>
          </w:tcPr>
          <w:p w14:paraId="54D8259B"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CD339F">
              <w:rPr>
                <w:rFonts w:ascii="Work Sans SemiBold" w:eastAsia="Times New Roman" w:hAnsi="Work Sans SemiBold" w:cs="Times New Roman"/>
                <w:color w:val="FFFFFF"/>
                <w:sz w:val="16"/>
                <w:szCs w:val="16"/>
                <w:lang w:eastAsia="en-AU"/>
              </w:rPr>
              <w:t>WA</w:t>
            </w:r>
          </w:p>
        </w:tc>
        <w:tc>
          <w:tcPr>
            <w:tcW w:w="760" w:type="dxa"/>
            <w:tcBorders>
              <w:top w:val="nil"/>
              <w:left w:val="nil"/>
              <w:bottom w:val="single" w:sz="8" w:space="0" w:color="CEE7B3"/>
              <w:right w:val="nil"/>
            </w:tcBorders>
            <w:shd w:val="clear" w:color="000000" w:fill="008069"/>
            <w:noWrap/>
            <w:vAlign w:val="center"/>
            <w:hideMark/>
          </w:tcPr>
          <w:p w14:paraId="03277D0F"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CD339F">
              <w:rPr>
                <w:rFonts w:ascii="Work Sans SemiBold" w:eastAsia="Times New Roman" w:hAnsi="Work Sans SemiBold" w:cs="Times New Roman"/>
                <w:color w:val="FFFFFF"/>
                <w:sz w:val="16"/>
                <w:szCs w:val="16"/>
                <w:lang w:eastAsia="en-AU"/>
              </w:rPr>
              <w:t>SA</w:t>
            </w:r>
          </w:p>
        </w:tc>
        <w:tc>
          <w:tcPr>
            <w:tcW w:w="760" w:type="dxa"/>
            <w:tcBorders>
              <w:top w:val="nil"/>
              <w:left w:val="nil"/>
              <w:bottom w:val="single" w:sz="8" w:space="0" w:color="CEE7B3"/>
              <w:right w:val="nil"/>
            </w:tcBorders>
            <w:shd w:val="clear" w:color="000000" w:fill="008069"/>
            <w:noWrap/>
            <w:vAlign w:val="center"/>
            <w:hideMark/>
          </w:tcPr>
          <w:p w14:paraId="1CF56272"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CD339F">
              <w:rPr>
                <w:rFonts w:ascii="Work Sans SemiBold" w:eastAsia="Times New Roman" w:hAnsi="Work Sans SemiBold" w:cs="Times New Roman"/>
                <w:color w:val="FFFFFF"/>
                <w:sz w:val="16"/>
                <w:szCs w:val="16"/>
                <w:lang w:eastAsia="en-AU"/>
              </w:rPr>
              <w:t>Tas</w:t>
            </w:r>
          </w:p>
        </w:tc>
        <w:tc>
          <w:tcPr>
            <w:tcW w:w="760" w:type="dxa"/>
            <w:tcBorders>
              <w:top w:val="nil"/>
              <w:left w:val="nil"/>
              <w:bottom w:val="single" w:sz="8" w:space="0" w:color="CEE7B3"/>
              <w:right w:val="nil"/>
            </w:tcBorders>
            <w:shd w:val="clear" w:color="000000" w:fill="008069"/>
            <w:noWrap/>
            <w:vAlign w:val="center"/>
            <w:hideMark/>
          </w:tcPr>
          <w:p w14:paraId="0CCE7986"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CD339F">
              <w:rPr>
                <w:rFonts w:ascii="Work Sans SemiBold" w:eastAsia="Times New Roman" w:hAnsi="Work Sans SemiBold" w:cs="Times New Roman"/>
                <w:color w:val="FFFFFF"/>
                <w:sz w:val="16"/>
                <w:szCs w:val="16"/>
                <w:lang w:eastAsia="en-AU"/>
              </w:rPr>
              <w:t>ACT</w:t>
            </w:r>
          </w:p>
        </w:tc>
        <w:tc>
          <w:tcPr>
            <w:tcW w:w="760" w:type="dxa"/>
            <w:tcBorders>
              <w:top w:val="nil"/>
              <w:left w:val="nil"/>
              <w:bottom w:val="single" w:sz="8" w:space="0" w:color="CEE7B3"/>
              <w:right w:val="nil"/>
            </w:tcBorders>
            <w:shd w:val="clear" w:color="000000" w:fill="008069"/>
            <w:noWrap/>
            <w:vAlign w:val="center"/>
            <w:hideMark/>
          </w:tcPr>
          <w:p w14:paraId="6818C672"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CD339F">
              <w:rPr>
                <w:rFonts w:ascii="Work Sans SemiBold" w:eastAsia="Times New Roman" w:hAnsi="Work Sans SemiBold" w:cs="Times New Roman"/>
                <w:color w:val="FFFFFF"/>
                <w:sz w:val="16"/>
                <w:szCs w:val="16"/>
                <w:lang w:eastAsia="en-AU"/>
              </w:rPr>
              <w:t>NT</w:t>
            </w:r>
          </w:p>
        </w:tc>
        <w:tc>
          <w:tcPr>
            <w:tcW w:w="760" w:type="dxa"/>
            <w:tcBorders>
              <w:top w:val="nil"/>
              <w:left w:val="nil"/>
              <w:bottom w:val="single" w:sz="8" w:space="0" w:color="CEE7B3"/>
              <w:right w:val="nil"/>
            </w:tcBorders>
            <w:shd w:val="clear" w:color="000000" w:fill="008069"/>
            <w:vAlign w:val="center"/>
            <w:hideMark/>
          </w:tcPr>
          <w:p w14:paraId="1981E92B"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FFFFFF"/>
                <w:sz w:val="16"/>
                <w:szCs w:val="16"/>
                <w:lang w:eastAsia="en-AU"/>
              </w:rPr>
            </w:pPr>
            <w:proofErr w:type="spellStart"/>
            <w:r w:rsidRPr="00CD339F">
              <w:rPr>
                <w:rFonts w:ascii="Work Sans SemiBold" w:eastAsia="Times New Roman" w:hAnsi="Work Sans SemiBold" w:cs="Times New Roman"/>
                <w:color w:val="FFFFFF"/>
                <w:sz w:val="16"/>
                <w:szCs w:val="16"/>
                <w:lang w:eastAsia="en-AU"/>
              </w:rPr>
              <w:t>Redist</w:t>
            </w:r>
            <w:proofErr w:type="spellEnd"/>
          </w:p>
        </w:tc>
      </w:tr>
      <w:tr w:rsidR="00697F06" w:rsidRPr="00CD339F" w14:paraId="4C23C03B" w14:textId="77777777" w:rsidTr="00CD339F">
        <w:trPr>
          <w:trHeight w:val="259"/>
        </w:trPr>
        <w:tc>
          <w:tcPr>
            <w:tcW w:w="2280" w:type="dxa"/>
            <w:tcBorders>
              <w:top w:val="nil"/>
              <w:left w:val="nil"/>
              <w:bottom w:val="single" w:sz="8" w:space="0" w:color="CEE7B3"/>
              <w:right w:val="nil"/>
            </w:tcBorders>
            <w:shd w:val="clear" w:color="000000" w:fill="66B3A5"/>
            <w:vAlign w:val="center"/>
            <w:hideMark/>
          </w:tcPr>
          <w:p w14:paraId="135F0687" w14:textId="77777777" w:rsidR="00697F06" w:rsidRPr="00CD339F" w:rsidRDefault="00697F06" w:rsidP="00697F06">
            <w:pPr>
              <w:tabs>
                <w:tab w:val="clear" w:pos="567"/>
              </w:tabs>
              <w:spacing w:before="0" w:line="240" w:lineRule="auto"/>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 </w:t>
            </w:r>
          </w:p>
        </w:tc>
        <w:tc>
          <w:tcPr>
            <w:tcW w:w="760" w:type="dxa"/>
            <w:tcBorders>
              <w:top w:val="nil"/>
              <w:left w:val="nil"/>
              <w:bottom w:val="single" w:sz="8" w:space="0" w:color="CEE7B3"/>
              <w:right w:val="nil"/>
            </w:tcBorders>
            <w:shd w:val="clear" w:color="000000" w:fill="66B3A5"/>
            <w:noWrap/>
            <w:vAlign w:val="center"/>
            <w:hideMark/>
          </w:tcPr>
          <w:p w14:paraId="3F8A261C"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$m</w:t>
            </w:r>
          </w:p>
        </w:tc>
        <w:tc>
          <w:tcPr>
            <w:tcW w:w="760" w:type="dxa"/>
            <w:tcBorders>
              <w:top w:val="nil"/>
              <w:left w:val="nil"/>
              <w:bottom w:val="single" w:sz="8" w:space="0" w:color="CEE7B3"/>
              <w:right w:val="nil"/>
            </w:tcBorders>
            <w:shd w:val="clear" w:color="000000" w:fill="66B3A5"/>
            <w:noWrap/>
            <w:vAlign w:val="center"/>
            <w:hideMark/>
          </w:tcPr>
          <w:p w14:paraId="31E4DB70"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$m</w:t>
            </w:r>
          </w:p>
        </w:tc>
        <w:tc>
          <w:tcPr>
            <w:tcW w:w="760" w:type="dxa"/>
            <w:tcBorders>
              <w:top w:val="nil"/>
              <w:left w:val="nil"/>
              <w:bottom w:val="single" w:sz="8" w:space="0" w:color="CEE7B3"/>
              <w:right w:val="nil"/>
            </w:tcBorders>
            <w:shd w:val="clear" w:color="000000" w:fill="66B3A5"/>
            <w:noWrap/>
            <w:vAlign w:val="center"/>
            <w:hideMark/>
          </w:tcPr>
          <w:p w14:paraId="33C3144E"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$m</w:t>
            </w:r>
          </w:p>
        </w:tc>
        <w:tc>
          <w:tcPr>
            <w:tcW w:w="760" w:type="dxa"/>
            <w:tcBorders>
              <w:top w:val="nil"/>
              <w:left w:val="nil"/>
              <w:bottom w:val="single" w:sz="8" w:space="0" w:color="CEE7B3"/>
              <w:right w:val="nil"/>
            </w:tcBorders>
            <w:shd w:val="clear" w:color="000000" w:fill="66B3A5"/>
            <w:noWrap/>
            <w:vAlign w:val="center"/>
            <w:hideMark/>
          </w:tcPr>
          <w:p w14:paraId="5DEECC27"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$m</w:t>
            </w:r>
          </w:p>
        </w:tc>
        <w:tc>
          <w:tcPr>
            <w:tcW w:w="760" w:type="dxa"/>
            <w:tcBorders>
              <w:top w:val="nil"/>
              <w:left w:val="nil"/>
              <w:bottom w:val="single" w:sz="8" w:space="0" w:color="CEE7B3"/>
              <w:right w:val="nil"/>
            </w:tcBorders>
            <w:shd w:val="clear" w:color="000000" w:fill="66B3A5"/>
            <w:noWrap/>
            <w:vAlign w:val="center"/>
            <w:hideMark/>
          </w:tcPr>
          <w:p w14:paraId="2D1AC983"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$m</w:t>
            </w:r>
          </w:p>
        </w:tc>
        <w:tc>
          <w:tcPr>
            <w:tcW w:w="760" w:type="dxa"/>
            <w:tcBorders>
              <w:top w:val="nil"/>
              <w:left w:val="nil"/>
              <w:bottom w:val="single" w:sz="8" w:space="0" w:color="CEE7B3"/>
              <w:right w:val="nil"/>
            </w:tcBorders>
            <w:shd w:val="clear" w:color="000000" w:fill="66B3A5"/>
            <w:noWrap/>
            <w:vAlign w:val="center"/>
            <w:hideMark/>
          </w:tcPr>
          <w:p w14:paraId="77B17C28"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$m</w:t>
            </w:r>
          </w:p>
        </w:tc>
        <w:tc>
          <w:tcPr>
            <w:tcW w:w="760" w:type="dxa"/>
            <w:tcBorders>
              <w:top w:val="nil"/>
              <w:left w:val="nil"/>
              <w:bottom w:val="single" w:sz="8" w:space="0" w:color="CEE7B3"/>
              <w:right w:val="nil"/>
            </w:tcBorders>
            <w:shd w:val="clear" w:color="000000" w:fill="66B3A5"/>
            <w:noWrap/>
            <w:vAlign w:val="center"/>
            <w:hideMark/>
          </w:tcPr>
          <w:p w14:paraId="6EF4F500"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$m</w:t>
            </w:r>
          </w:p>
        </w:tc>
        <w:tc>
          <w:tcPr>
            <w:tcW w:w="760" w:type="dxa"/>
            <w:tcBorders>
              <w:top w:val="nil"/>
              <w:left w:val="nil"/>
              <w:bottom w:val="single" w:sz="8" w:space="0" w:color="CEE7B3"/>
              <w:right w:val="nil"/>
            </w:tcBorders>
            <w:shd w:val="clear" w:color="000000" w:fill="66B3A5"/>
            <w:noWrap/>
            <w:vAlign w:val="center"/>
            <w:hideMark/>
          </w:tcPr>
          <w:p w14:paraId="4668058C"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$m</w:t>
            </w:r>
          </w:p>
        </w:tc>
        <w:tc>
          <w:tcPr>
            <w:tcW w:w="760" w:type="dxa"/>
            <w:tcBorders>
              <w:top w:val="nil"/>
              <w:left w:val="nil"/>
              <w:bottom w:val="single" w:sz="8" w:space="0" w:color="CEE7B3"/>
              <w:right w:val="nil"/>
            </w:tcBorders>
            <w:shd w:val="clear" w:color="000000" w:fill="66B3A5"/>
            <w:noWrap/>
            <w:vAlign w:val="center"/>
            <w:hideMark/>
          </w:tcPr>
          <w:p w14:paraId="1FA9B224"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$m</w:t>
            </w:r>
          </w:p>
        </w:tc>
      </w:tr>
      <w:tr w:rsidR="00697F06" w:rsidRPr="00CD339F" w14:paraId="0B21533F" w14:textId="77777777" w:rsidTr="00CD339F">
        <w:trPr>
          <w:trHeight w:val="315"/>
        </w:trPr>
        <w:tc>
          <w:tcPr>
            <w:tcW w:w="2280" w:type="dxa"/>
            <w:tcBorders>
              <w:top w:val="nil"/>
              <w:left w:val="nil"/>
              <w:bottom w:val="single" w:sz="8" w:space="0" w:color="CEE7B3"/>
              <w:right w:val="nil"/>
            </w:tcBorders>
            <w:shd w:val="clear" w:color="000000" w:fill="FFFFFF"/>
            <w:vAlign w:val="center"/>
            <w:hideMark/>
          </w:tcPr>
          <w:p w14:paraId="12927745" w14:textId="77777777" w:rsidR="00697F06" w:rsidRPr="00CD339F" w:rsidRDefault="00697F06" w:rsidP="00697F06">
            <w:pPr>
              <w:tabs>
                <w:tab w:val="clear" w:pos="567"/>
              </w:tabs>
              <w:spacing w:before="0" w:line="240" w:lineRule="auto"/>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Population growth</w:t>
            </w:r>
          </w:p>
        </w:tc>
        <w:tc>
          <w:tcPr>
            <w:tcW w:w="760" w:type="dxa"/>
            <w:tcBorders>
              <w:top w:val="nil"/>
              <w:left w:val="nil"/>
              <w:bottom w:val="single" w:sz="8" w:space="0" w:color="CEE7B3"/>
              <w:right w:val="nil"/>
            </w:tcBorders>
            <w:shd w:val="clear" w:color="000000" w:fill="FFFFFF"/>
            <w:noWrap/>
            <w:vAlign w:val="center"/>
            <w:hideMark/>
          </w:tcPr>
          <w:p w14:paraId="17F651C2"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-371</w:t>
            </w:r>
          </w:p>
        </w:tc>
        <w:tc>
          <w:tcPr>
            <w:tcW w:w="760" w:type="dxa"/>
            <w:tcBorders>
              <w:top w:val="nil"/>
              <w:left w:val="nil"/>
              <w:bottom w:val="single" w:sz="8" w:space="0" w:color="CEE7B3"/>
              <w:right w:val="nil"/>
            </w:tcBorders>
            <w:shd w:val="clear" w:color="000000" w:fill="FFFFFF"/>
            <w:noWrap/>
            <w:vAlign w:val="center"/>
            <w:hideMark/>
          </w:tcPr>
          <w:p w14:paraId="5FAB4216"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399</w:t>
            </w:r>
          </w:p>
        </w:tc>
        <w:tc>
          <w:tcPr>
            <w:tcW w:w="760" w:type="dxa"/>
            <w:tcBorders>
              <w:top w:val="nil"/>
              <w:left w:val="nil"/>
              <w:bottom w:val="single" w:sz="8" w:space="0" w:color="CEE7B3"/>
              <w:right w:val="nil"/>
            </w:tcBorders>
            <w:shd w:val="clear" w:color="000000" w:fill="FFFFFF"/>
            <w:noWrap/>
            <w:vAlign w:val="center"/>
            <w:hideMark/>
          </w:tcPr>
          <w:p w14:paraId="48133230"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420</w:t>
            </w:r>
          </w:p>
        </w:tc>
        <w:tc>
          <w:tcPr>
            <w:tcW w:w="760" w:type="dxa"/>
            <w:tcBorders>
              <w:top w:val="nil"/>
              <w:left w:val="nil"/>
              <w:bottom w:val="single" w:sz="8" w:space="0" w:color="CEE7B3"/>
              <w:right w:val="nil"/>
            </w:tcBorders>
            <w:shd w:val="clear" w:color="000000" w:fill="FFFFFF"/>
            <w:noWrap/>
            <w:vAlign w:val="center"/>
            <w:hideMark/>
          </w:tcPr>
          <w:p w14:paraId="2379405E"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-23</w:t>
            </w:r>
          </w:p>
        </w:tc>
        <w:tc>
          <w:tcPr>
            <w:tcW w:w="760" w:type="dxa"/>
            <w:tcBorders>
              <w:top w:val="nil"/>
              <w:left w:val="nil"/>
              <w:bottom w:val="single" w:sz="8" w:space="0" w:color="CEE7B3"/>
              <w:right w:val="nil"/>
            </w:tcBorders>
            <w:shd w:val="clear" w:color="000000" w:fill="FFFFFF"/>
            <w:noWrap/>
            <w:vAlign w:val="center"/>
            <w:hideMark/>
          </w:tcPr>
          <w:p w14:paraId="7DA72352"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-278</w:t>
            </w:r>
          </w:p>
        </w:tc>
        <w:tc>
          <w:tcPr>
            <w:tcW w:w="760" w:type="dxa"/>
            <w:tcBorders>
              <w:top w:val="nil"/>
              <w:left w:val="nil"/>
              <w:bottom w:val="single" w:sz="8" w:space="0" w:color="CEE7B3"/>
              <w:right w:val="nil"/>
            </w:tcBorders>
            <w:shd w:val="clear" w:color="000000" w:fill="FFFFFF"/>
            <w:noWrap/>
            <w:vAlign w:val="center"/>
            <w:hideMark/>
          </w:tcPr>
          <w:p w14:paraId="10030471"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-57</w:t>
            </w:r>
          </w:p>
        </w:tc>
        <w:tc>
          <w:tcPr>
            <w:tcW w:w="760" w:type="dxa"/>
            <w:tcBorders>
              <w:top w:val="nil"/>
              <w:left w:val="nil"/>
              <w:bottom w:val="single" w:sz="8" w:space="0" w:color="CEE7B3"/>
              <w:right w:val="nil"/>
            </w:tcBorders>
            <w:shd w:val="clear" w:color="000000" w:fill="FFFFFF"/>
            <w:noWrap/>
            <w:vAlign w:val="center"/>
            <w:hideMark/>
          </w:tcPr>
          <w:p w14:paraId="5ECE1C12"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-18</w:t>
            </w:r>
          </w:p>
        </w:tc>
        <w:tc>
          <w:tcPr>
            <w:tcW w:w="760" w:type="dxa"/>
            <w:tcBorders>
              <w:top w:val="nil"/>
              <w:left w:val="nil"/>
              <w:bottom w:val="single" w:sz="8" w:space="0" w:color="CEE7B3"/>
              <w:right w:val="nil"/>
            </w:tcBorders>
            <w:shd w:val="clear" w:color="000000" w:fill="FFFFFF"/>
            <w:noWrap/>
            <w:vAlign w:val="center"/>
            <w:hideMark/>
          </w:tcPr>
          <w:p w14:paraId="2417C126"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-72</w:t>
            </w:r>
          </w:p>
        </w:tc>
        <w:tc>
          <w:tcPr>
            <w:tcW w:w="760" w:type="dxa"/>
            <w:tcBorders>
              <w:top w:val="nil"/>
              <w:left w:val="nil"/>
              <w:bottom w:val="single" w:sz="8" w:space="0" w:color="CEE7B3"/>
              <w:right w:val="nil"/>
            </w:tcBorders>
            <w:shd w:val="clear" w:color="000000" w:fill="FFFFFF"/>
            <w:noWrap/>
            <w:vAlign w:val="center"/>
            <w:hideMark/>
          </w:tcPr>
          <w:p w14:paraId="3E5983C8"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819</w:t>
            </w:r>
          </w:p>
        </w:tc>
      </w:tr>
      <w:tr w:rsidR="00697F06" w:rsidRPr="00CD339F" w14:paraId="01E16525" w14:textId="77777777" w:rsidTr="00CD339F">
        <w:trPr>
          <w:trHeight w:val="315"/>
        </w:trPr>
        <w:tc>
          <w:tcPr>
            <w:tcW w:w="2280" w:type="dxa"/>
            <w:tcBorders>
              <w:top w:val="nil"/>
              <w:left w:val="nil"/>
              <w:bottom w:val="single" w:sz="8" w:space="0" w:color="CEE7B3"/>
              <w:right w:val="nil"/>
            </w:tcBorders>
            <w:shd w:val="clear" w:color="000000" w:fill="FFFFFF"/>
            <w:vAlign w:val="center"/>
            <w:hideMark/>
          </w:tcPr>
          <w:p w14:paraId="18834539" w14:textId="77777777" w:rsidR="00697F06" w:rsidRPr="00CD339F" w:rsidRDefault="004369F8" w:rsidP="00697F06">
            <w:pPr>
              <w:tabs>
                <w:tab w:val="clear" w:pos="567"/>
              </w:tabs>
              <w:spacing w:before="0" w:line="240" w:lineRule="auto"/>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Capital improvements</w:t>
            </w:r>
            <w:r w:rsidR="00697F06" w:rsidRPr="00CD339F">
              <w:rPr>
                <w:rFonts w:ascii="Work Sans" w:eastAsia="Times New Roman" w:hAnsi="Work Sans" w:cs="Times New Roman"/>
                <w:color w:val="000000"/>
                <w:sz w:val="16"/>
                <w:szCs w:val="16"/>
                <w:lang w:eastAsia="en-AU"/>
              </w:rPr>
              <w:t xml:space="preserve"> </w:t>
            </w:r>
          </w:p>
        </w:tc>
        <w:tc>
          <w:tcPr>
            <w:tcW w:w="760" w:type="dxa"/>
            <w:tcBorders>
              <w:top w:val="nil"/>
              <w:left w:val="nil"/>
              <w:bottom w:val="single" w:sz="8" w:space="0" w:color="CEE7B3"/>
              <w:right w:val="nil"/>
            </w:tcBorders>
            <w:shd w:val="clear" w:color="000000" w:fill="FFFFFF"/>
            <w:noWrap/>
            <w:vAlign w:val="center"/>
            <w:hideMark/>
          </w:tcPr>
          <w:p w14:paraId="7F034B0F"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319</w:t>
            </w:r>
          </w:p>
        </w:tc>
        <w:tc>
          <w:tcPr>
            <w:tcW w:w="760" w:type="dxa"/>
            <w:tcBorders>
              <w:top w:val="nil"/>
              <w:left w:val="nil"/>
              <w:bottom w:val="single" w:sz="8" w:space="0" w:color="CEE7B3"/>
              <w:right w:val="nil"/>
            </w:tcBorders>
            <w:shd w:val="clear" w:color="000000" w:fill="FFFFFF"/>
            <w:noWrap/>
            <w:vAlign w:val="center"/>
            <w:hideMark/>
          </w:tcPr>
          <w:p w14:paraId="3C6376DC"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-403</w:t>
            </w:r>
          </w:p>
        </w:tc>
        <w:tc>
          <w:tcPr>
            <w:tcW w:w="760" w:type="dxa"/>
            <w:tcBorders>
              <w:top w:val="nil"/>
              <w:left w:val="nil"/>
              <w:bottom w:val="single" w:sz="8" w:space="0" w:color="CEE7B3"/>
              <w:right w:val="nil"/>
            </w:tcBorders>
            <w:shd w:val="clear" w:color="000000" w:fill="FFFFFF"/>
            <w:noWrap/>
            <w:vAlign w:val="center"/>
            <w:hideMark/>
          </w:tcPr>
          <w:p w14:paraId="4ED3ABDD"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-75</w:t>
            </w:r>
          </w:p>
        </w:tc>
        <w:tc>
          <w:tcPr>
            <w:tcW w:w="760" w:type="dxa"/>
            <w:tcBorders>
              <w:top w:val="nil"/>
              <w:left w:val="nil"/>
              <w:bottom w:val="single" w:sz="8" w:space="0" w:color="CEE7B3"/>
              <w:right w:val="nil"/>
            </w:tcBorders>
            <w:shd w:val="clear" w:color="000000" w:fill="FFFFFF"/>
            <w:noWrap/>
            <w:vAlign w:val="center"/>
            <w:hideMark/>
          </w:tcPr>
          <w:p w14:paraId="2975243D"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142</w:t>
            </w:r>
          </w:p>
        </w:tc>
        <w:tc>
          <w:tcPr>
            <w:tcW w:w="760" w:type="dxa"/>
            <w:tcBorders>
              <w:top w:val="nil"/>
              <w:left w:val="nil"/>
              <w:bottom w:val="single" w:sz="8" w:space="0" w:color="CEE7B3"/>
              <w:right w:val="nil"/>
            </w:tcBorders>
            <w:shd w:val="clear" w:color="000000" w:fill="FFFFFF"/>
            <w:noWrap/>
            <w:vAlign w:val="center"/>
            <w:hideMark/>
          </w:tcPr>
          <w:p w14:paraId="0DFC01AB"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-131</w:t>
            </w:r>
          </w:p>
        </w:tc>
        <w:tc>
          <w:tcPr>
            <w:tcW w:w="760" w:type="dxa"/>
            <w:tcBorders>
              <w:top w:val="nil"/>
              <w:left w:val="nil"/>
              <w:bottom w:val="single" w:sz="8" w:space="0" w:color="CEE7B3"/>
              <w:right w:val="nil"/>
            </w:tcBorders>
            <w:shd w:val="clear" w:color="000000" w:fill="FFFFFF"/>
            <w:noWrap/>
            <w:vAlign w:val="center"/>
            <w:hideMark/>
          </w:tcPr>
          <w:p w14:paraId="17D8B7DE"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-88</w:t>
            </w:r>
          </w:p>
        </w:tc>
        <w:tc>
          <w:tcPr>
            <w:tcW w:w="760" w:type="dxa"/>
            <w:tcBorders>
              <w:top w:val="nil"/>
              <w:left w:val="nil"/>
              <w:bottom w:val="single" w:sz="8" w:space="0" w:color="CEE7B3"/>
              <w:right w:val="nil"/>
            </w:tcBorders>
            <w:shd w:val="clear" w:color="000000" w:fill="FFFFFF"/>
            <w:noWrap/>
            <w:vAlign w:val="center"/>
            <w:hideMark/>
          </w:tcPr>
          <w:p w14:paraId="701282B5"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-161</w:t>
            </w:r>
          </w:p>
        </w:tc>
        <w:tc>
          <w:tcPr>
            <w:tcW w:w="760" w:type="dxa"/>
            <w:tcBorders>
              <w:top w:val="nil"/>
              <w:left w:val="nil"/>
              <w:bottom w:val="single" w:sz="8" w:space="0" w:color="CEE7B3"/>
              <w:right w:val="nil"/>
            </w:tcBorders>
            <w:shd w:val="clear" w:color="000000" w:fill="FFFFFF"/>
            <w:noWrap/>
            <w:vAlign w:val="center"/>
            <w:hideMark/>
          </w:tcPr>
          <w:p w14:paraId="112D4966"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398</w:t>
            </w:r>
          </w:p>
        </w:tc>
        <w:tc>
          <w:tcPr>
            <w:tcW w:w="760" w:type="dxa"/>
            <w:tcBorders>
              <w:top w:val="nil"/>
              <w:left w:val="nil"/>
              <w:bottom w:val="single" w:sz="8" w:space="0" w:color="CEE7B3"/>
              <w:right w:val="nil"/>
            </w:tcBorders>
            <w:shd w:val="clear" w:color="000000" w:fill="FFFFFF"/>
            <w:noWrap/>
            <w:vAlign w:val="center"/>
            <w:hideMark/>
          </w:tcPr>
          <w:p w14:paraId="11659A69"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858</w:t>
            </w:r>
          </w:p>
        </w:tc>
      </w:tr>
      <w:tr w:rsidR="00697F06" w:rsidRPr="00CD339F" w14:paraId="19977B48" w14:textId="77777777" w:rsidTr="00CD339F">
        <w:trPr>
          <w:trHeight w:val="315"/>
        </w:trPr>
        <w:tc>
          <w:tcPr>
            <w:tcW w:w="2280" w:type="dxa"/>
            <w:tcBorders>
              <w:top w:val="nil"/>
              <w:left w:val="nil"/>
              <w:bottom w:val="single" w:sz="8" w:space="0" w:color="CEE7B3"/>
              <w:right w:val="nil"/>
            </w:tcBorders>
            <w:shd w:val="clear" w:color="000000" w:fill="FFFFFF"/>
            <w:vAlign w:val="center"/>
            <w:hideMark/>
          </w:tcPr>
          <w:p w14:paraId="3EF1FC5B" w14:textId="77777777" w:rsidR="00697F06" w:rsidRPr="00CD339F" w:rsidRDefault="00697F06" w:rsidP="00697F06">
            <w:pPr>
              <w:tabs>
                <w:tab w:val="clear" w:pos="567"/>
              </w:tabs>
              <w:spacing w:before="0" w:line="240" w:lineRule="auto"/>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Cost of construction</w:t>
            </w:r>
          </w:p>
        </w:tc>
        <w:tc>
          <w:tcPr>
            <w:tcW w:w="760" w:type="dxa"/>
            <w:tcBorders>
              <w:top w:val="nil"/>
              <w:left w:val="nil"/>
              <w:bottom w:val="single" w:sz="8" w:space="0" w:color="CEE7B3"/>
              <w:right w:val="nil"/>
            </w:tcBorders>
            <w:shd w:val="clear" w:color="000000" w:fill="FFFFFF"/>
            <w:noWrap/>
            <w:vAlign w:val="center"/>
            <w:hideMark/>
          </w:tcPr>
          <w:p w14:paraId="646B0693"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238</w:t>
            </w:r>
          </w:p>
        </w:tc>
        <w:tc>
          <w:tcPr>
            <w:tcW w:w="760" w:type="dxa"/>
            <w:tcBorders>
              <w:top w:val="nil"/>
              <w:left w:val="nil"/>
              <w:bottom w:val="single" w:sz="8" w:space="0" w:color="CEE7B3"/>
              <w:right w:val="nil"/>
            </w:tcBorders>
            <w:shd w:val="clear" w:color="000000" w:fill="FFFFFF"/>
            <w:noWrap/>
            <w:vAlign w:val="center"/>
            <w:hideMark/>
          </w:tcPr>
          <w:p w14:paraId="78E82C3C"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-625</w:t>
            </w:r>
          </w:p>
        </w:tc>
        <w:tc>
          <w:tcPr>
            <w:tcW w:w="760" w:type="dxa"/>
            <w:tcBorders>
              <w:top w:val="nil"/>
              <w:left w:val="nil"/>
              <w:bottom w:val="single" w:sz="8" w:space="0" w:color="CEE7B3"/>
              <w:right w:val="nil"/>
            </w:tcBorders>
            <w:shd w:val="clear" w:color="000000" w:fill="FFFFFF"/>
            <w:noWrap/>
            <w:vAlign w:val="center"/>
            <w:hideMark/>
          </w:tcPr>
          <w:p w14:paraId="7DF5FD25"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-128</w:t>
            </w:r>
          </w:p>
        </w:tc>
        <w:tc>
          <w:tcPr>
            <w:tcW w:w="760" w:type="dxa"/>
            <w:tcBorders>
              <w:top w:val="nil"/>
              <w:left w:val="nil"/>
              <w:bottom w:val="single" w:sz="8" w:space="0" w:color="CEE7B3"/>
              <w:right w:val="nil"/>
            </w:tcBorders>
            <w:shd w:val="clear" w:color="000000" w:fill="FFFFFF"/>
            <w:noWrap/>
            <w:vAlign w:val="center"/>
            <w:hideMark/>
          </w:tcPr>
          <w:p w14:paraId="60FD5E50"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413</w:t>
            </w:r>
          </w:p>
        </w:tc>
        <w:tc>
          <w:tcPr>
            <w:tcW w:w="760" w:type="dxa"/>
            <w:tcBorders>
              <w:top w:val="nil"/>
              <w:left w:val="nil"/>
              <w:bottom w:val="single" w:sz="8" w:space="0" w:color="CEE7B3"/>
              <w:right w:val="nil"/>
            </w:tcBorders>
            <w:shd w:val="clear" w:color="000000" w:fill="FFFFFF"/>
            <w:noWrap/>
            <w:vAlign w:val="center"/>
            <w:hideMark/>
          </w:tcPr>
          <w:p w14:paraId="73181639"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-25</w:t>
            </w:r>
          </w:p>
        </w:tc>
        <w:tc>
          <w:tcPr>
            <w:tcW w:w="760" w:type="dxa"/>
            <w:tcBorders>
              <w:top w:val="nil"/>
              <w:left w:val="nil"/>
              <w:bottom w:val="single" w:sz="8" w:space="0" w:color="CEE7B3"/>
              <w:right w:val="nil"/>
            </w:tcBorders>
            <w:shd w:val="clear" w:color="000000" w:fill="FFFFFF"/>
            <w:noWrap/>
            <w:vAlign w:val="center"/>
            <w:hideMark/>
          </w:tcPr>
          <w:p w14:paraId="7E198FE0"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-50</w:t>
            </w:r>
          </w:p>
        </w:tc>
        <w:tc>
          <w:tcPr>
            <w:tcW w:w="760" w:type="dxa"/>
            <w:tcBorders>
              <w:top w:val="nil"/>
              <w:left w:val="nil"/>
              <w:bottom w:val="single" w:sz="8" w:space="0" w:color="CEE7B3"/>
              <w:right w:val="nil"/>
            </w:tcBorders>
            <w:shd w:val="clear" w:color="000000" w:fill="FFFFFF"/>
            <w:noWrap/>
            <w:vAlign w:val="center"/>
            <w:hideMark/>
          </w:tcPr>
          <w:p w14:paraId="35B1784A"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16</w:t>
            </w:r>
          </w:p>
        </w:tc>
        <w:tc>
          <w:tcPr>
            <w:tcW w:w="760" w:type="dxa"/>
            <w:tcBorders>
              <w:top w:val="nil"/>
              <w:left w:val="nil"/>
              <w:bottom w:val="single" w:sz="8" w:space="0" w:color="CEE7B3"/>
              <w:right w:val="nil"/>
            </w:tcBorders>
            <w:shd w:val="clear" w:color="000000" w:fill="FFFFFF"/>
            <w:noWrap/>
            <w:vAlign w:val="center"/>
            <w:hideMark/>
          </w:tcPr>
          <w:p w14:paraId="746088B8"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161</w:t>
            </w:r>
          </w:p>
        </w:tc>
        <w:tc>
          <w:tcPr>
            <w:tcW w:w="760" w:type="dxa"/>
            <w:tcBorders>
              <w:top w:val="nil"/>
              <w:left w:val="nil"/>
              <w:bottom w:val="single" w:sz="8" w:space="0" w:color="CEE7B3"/>
              <w:right w:val="nil"/>
            </w:tcBorders>
            <w:shd w:val="clear" w:color="000000" w:fill="FFFFFF"/>
            <w:noWrap/>
            <w:vAlign w:val="center"/>
            <w:hideMark/>
          </w:tcPr>
          <w:p w14:paraId="3669F2E1"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827</w:t>
            </w:r>
          </w:p>
        </w:tc>
      </w:tr>
      <w:tr w:rsidR="00697F06" w:rsidRPr="00CD339F" w14:paraId="229E33D5" w14:textId="77777777" w:rsidTr="00CD339F">
        <w:trPr>
          <w:trHeight w:val="315"/>
        </w:trPr>
        <w:tc>
          <w:tcPr>
            <w:tcW w:w="2280" w:type="dxa"/>
            <w:tcBorders>
              <w:top w:val="nil"/>
              <w:left w:val="nil"/>
              <w:bottom w:val="single" w:sz="8" w:space="0" w:color="CEE7B3"/>
              <w:right w:val="nil"/>
            </w:tcBorders>
            <w:shd w:val="clear" w:color="000000" w:fill="99CCC3"/>
            <w:vAlign w:val="center"/>
            <w:hideMark/>
          </w:tcPr>
          <w:p w14:paraId="63612EF4" w14:textId="77777777" w:rsidR="00697F06" w:rsidRPr="00CD339F" w:rsidRDefault="00697F06" w:rsidP="00697F06">
            <w:pPr>
              <w:tabs>
                <w:tab w:val="clear" w:pos="567"/>
              </w:tabs>
              <w:spacing w:before="0" w:line="240" w:lineRule="auto"/>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Total</w:t>
            </w:r>
          </w:p>
        </w:tc>
        <w:tc>
          <w:tcPr>
            <w:tcW w:w="760" w:type="dxa"/>
            <w:tcBorders>
              <w:top w:val="nil"/>
              <w:left w:val="nil"/>
              <w:bottom w:val="single" w:sz="8" w:space="0" w:color="CEE7B3"/>
              <w:right w:val="nil"/>
            </w:tcBorders>
            <w:shd w:val="clear" w:color="000000" w:fill="99CCC3"/>
            <w:vAlign w:val="center"/>
            <w:hideMark/>
          </w:tcPr>
          <w:p w14:paraId="22533084"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186</w:t>
            </w:r>
          </w:p>
        </w:tc>
        <w:tc>
          <w:tcPr>
            <w:tcW w:w="760" w:type="dxa"/>
            <w:tcBorders>
              <w:top w:val="nil"/>
              <w:left w:val="nil"/>
              <w:bottom w:val="single" w:sz="8" w:space="0" w:color="CEE7B3"/>
              <w:right w:val="nil"/>
            </w:tcBorders>
            <w:shd w:val="clear" w:color="000000" w:fill="99CCC3"/>
            <w:vAlign w:val="center"/>
            <w:hideMark/>
          </w:tcPr>
          <w:p w14:paraId="6C7904AD"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-628</w:t>
            </w:r>
          </w:p>
        </w:tc>
        <w:tc>
          <w:tcPr>
            <w:tcW w:w="760" w:type="dxa"/>
            <w:tcBorders>
              <w:top w:val="nil"/>
              <w:left w:val="nil"/>
              <w:bottom w:val="single" w:sz="8" w:space="0" w:color="CEE7B3"/>
              <w:right w:val="nil"/>
            </w:tcBorders>
            <w:shd w:val="clear" w:color="000000" w:fill="99CCC3"/>
            <w:vAlign w:val="center"/>
            <w:hideMark/>
          </w:tcPr>
          <w:p w14:paraId="79B5610C"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218</w:t>
            </w:r>
          </w:p>
        </w:tc>
        <w:tc>
          <w:tcPr>
            <w:tcW w:w="760" w:type="dxa"/>
            <w:tcBorders>
              <w:top w:val="nil"/>
              <w:left w:val="nil"/>
              <w:bottom w:val="single" w:sz="8" w:space="0" w:color="CEE7B3"/>
              <w:right w:val="nil"/>
            </w:tcBorders>
            <w:shd w:val="clear" w:color="000000" w:fill="99CCC3"/>
            <w:vAlign w:val="center"/>
            <w:hideMark/>
          </w:tcPr>
          <w:p w14:paraId="3E590178"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531</w:t>
            </w:r>
          </w:p>
        </w:tc>
        <w:tc>
          <w:tcPr>
            <w:tcW w:w="760" w:type="dxa"/>
            <w:tcBorders>
              <w:top w:val="nil"/>
              <w:left w:val="nil"/>
              <w:bottom w:val="single" w:sz="8" w:space="0" w:color="CEE7B3"/>
              <w:right w:val="nil"/>
            </w:tcBorders>
            <w:shd w:val="clear" w:color="000000" w:fill="99CCC3"/>
            <w:vAlign w:val="center"/>
            <w:hideMark/>
          </w:tcPr>
          <w:p w14:paraId="779A3906"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-435</w:t>
            </w:r>
          </w:p>
        </w:tc>
        <w:tc>
          <w:tcPr>
            <w:tcW w:w="760" w:type="dxa"/>
            <w:tcBorders>
              <w:top w:val="nil"/>
              <w:left w:val="nil"/>
              <w:bottom w:val="single" w:sz="8" w:space="0" w:color="CEE7B3"/>
              <w:right w:val="nil"/>
            </w:tcBorders>
            <w:shd w:val="clear" w:color="000000" w:fill="99CCC3"/>
            <w:vAlign w:val="center"/>
            <w:hideMark/>
          </w:tcPr>
          <w:p w14:paraId="728A929D"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-194</w:t>
            </w:r>
          </w:p>
        </w:tc>
        <w:tc>
          <w:tcPr>
            <w:tcW w:w="760" w:type="dxa"/>
            <w:tcBorders>
              <w:top w:val="nil"/>
              <w:left w:val="nil"/>
              <w:bottom w:val="single" w:sz="8" w:space="0" w:color="CEE7B3"/>
              <w:right w:val="nil"/>
            </w:tcBorders>
            <w:shd w:val="clear" w:color="000000" w:fill="99CCC3"/>
            <w:vAlign w:val="center"/>
            <w:hideMark/>
          </w:tcPr>
          <w:p w14:paraId="49277F8E"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-164</w:t>
            </w:r>
          </w:p>
        </w:tc>
        <w:tc>
          <w:tcPr>
            <w:tcW w:w="760" w:type="dxa"/>
            <w:tcBorders>
              <w:top w:val="nil"/>
              <w:left w:val="nil"/>
              <w:bottom w:val="single" w:sz="8" w:space="0" w:color="CEE7B3"/>
              <w:right w:val="nil"/>
            </w:tcBorders>
            <w:shd w:val="clear" w:color="000000" w:fill="99CCC3"/>
            <w:vAlign w:val="center"/>
            <w:hideMark/>
          </w:tcPr>
          <w:p w14:paraId="0B55416E"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486</w:t>
            </w:r>
          </w:p>
        </w:tc>
        <w:tc>
          <w:tcPr>
            <w:tcW w:w="760" w:type="dxa"/>
            <w:tcBorders>
              <w:top w:val="nil"/>
              <w:left w:val="nil"/>
              <w:bottom w:val="single" w:sz="8" w:space="0" w:color="CEE7B3"/>
              <w:right w:val="nil"/>
            </w:tcBorders>
            <w:shd w:val="clear" w:color="000000" w:fill="99CCC3"/>
            <w:vAlign w:val="center"/>
            <w:hideMark/>
          </w:tcPr>
          <w:p w14:paraId="60BBE071" w14:textId="43CB5A3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1</w:t>
            </w:r>
            <w:r w:rsidR="0048363F">
              <w:rPr>
                <w:rFonts w:ascii="Work Sans SemiBold" w:eastAsia="Times New Roman" w:hAnsi="Work Sans SemiBold" w:cs="Times New Roman"/>
                <w:color w:val="000000"/>
                <w:sz w:val="16"/>
                <w:szCs w:val="16"/>
                <w:lang w:eastAsia="en-AU"/>
              </w:rPr>
              <w:t>,</w:t>
            </w:r>
            <w:r w:rsidRPr="00CD339F">
              <w:rPr>
                <w:rFonts w:ascii="Work Sans SemiBold" w:eastAsia="Times New Roman" w:hAnsi="Work Sans SemiBold" w:cs="Times New Roman"/>
                <w:color w:val="000000"/>
                <w:sz w:val="16"/>
                <w:szCs w:val="16"/>
                <w:lang w:eastAsia="en-AU"/>
              </w:rPr>
              <w:t>421</w:t>
            </w:r>
          </w:p>
        </w:tc>
      </w:tr>
      <w:tr w:rsidR="00697F06" w:rsidRPr="00CD339F" w14:paraId="17B648A1" w14:textId="77777777" w:rsidTr="00CD339F">
        <w:trPr>
          <w:trHeight w:val="285"/>
        </w:trPr>
        <w:tc>
          <w:tcPr>
            <w:tcW w:w="2280" w:type="dxa"/>
            <w:tcBorders>
              <w:top w:val="nil"/>
              <w:left w:val="nil"/>
              <w:bottom w:val="single" w:sz="8" w:space="0" w:color="CEE7B3"/>
              <w:right w:val="nil"/>
            </w:tcBorders>
            <w:shd w:val="clear" w:color="000000" w:fill="66B3A5"/>
            <w:vAlign w:val="center"/>
            <w:hideMark/>
          </w:tcPr>
          <w:p w14:paraId="2A37319F" w14:textId="77777777" w:rsidR="00697F06" w:rsidRPr="00CD339F" w:rsidRDefault="00697F06" w:rsidP="00697F06">
            <w:pPr>
              <w:tabs>
                <w:tab w:val="clear" w:pos="567"/>
              </w:tabs>
              <w:spacing w:before="0" w:line="240" w:lineRule="auto"/>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 </w:t>
            </w:r>
          </w:p>
        </w:tc>
        <w:tc>
          <w:tcPr>
            <w:tcW w:w="760" w:type="dxa"/>
            <w:tcBorders>
              <w:top w:val="nil"/>
              <w:left w:val="nil"/>
              <w:bottom w:val="single" w:sz="8" w:space="0" w:color="CEE7B3"/>
              <w:right w:val="nil"/>
            </w:tcBorders>
            <w:shd w:val="clear" w:color="000000" w:fill="66B3A5"/>
            <w:noWrap/>
            <w:vAlign w:val="center"/>
            <w:hideMark/>
          </w:tcPr>
          <w:p w14:paraId="22775FEE"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$pc</w:t>
            </w:r>
          </w:p>
        </w:tc>
        <w:tc>
          <w:tcPr>
            <w:tcW w:w="760" w:type="dxa"/>
            <w:tcBorders>
              <w:top w:val="nil"/>
              <w:left w:val="nil"/>
              <w:bottom w:val="single" w:sz="8" w:space="0" w:color="CEE7B3"/>
              <w:right w:val="nil"/>
            </w:tcBorders>
            <w:shd w:val="clear" w:color="000000" w:fill="66B3A5"/>
            <w:noWrap/>
            <w:vAlign w:val="center"/>
            <w:hideMark/>
          </w:tcPr>
          <w:p w14:paraId="58A7E5A8"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$pc</w:t>
            </w:r>
          </w:p>
        </w:tc>
        <w:tc>
          <w:tcPr>
            <w:tcW w:w="760" w:type="dxa"/>
            <w:tcBorders>
              <w:top w:val="nil"/>
              <w:left w:val="nil"/>
              <w:bottom w:val="single" w:sz="8" w:space="0" w:color="CEE7B3"/>
              <w:right w:val="nil"/>
            </w:tcBorders>
            <w:shd w:val="clear" w:color="000000" w:fill="66B3A5"/>
            <w:noWrap/>
            <w:vAlign w:val="center"/>
            <w:hideMark/>
          </w:tcPr>
          <w:p w14:paraId="3C2240B6"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$pc</w:t>
            </w:r>
          </w:p>
        </w:tc>
        <w:tc>
          <w:tcPr>
            <w:tcW w:w="760" w:type="dxa"/>
            <w:tcBorders>
              <w:top w:val="nil"/>
              <w:left w:val="nil"/>
              <w:bottom w:val="single" w:sz="8" w:space="0" w:color="CEE7B3"/>
              <w:right w:val="nil"/>
            </w:tcBorders>
            <w:shd w:val="clear" w:color="000000" w:fill="66B3A5"/>
            <w:noWrap/>
            <w:vAlign w:val="center"/>
            <w:hideMark/>
          </w:tcPr>
          <w:p w14:paraId="0919686D"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$pc</w:t>
            </w:r>
          </w:p>
        </w:tc>
        <w:tc>
          <w:tcPr>
            <w:tcW w:w="760" w:type="dxa"/>
            <w:tcBorders>
              <w:top w:val="nil"/>
              <w:left w:val="nil"/>
              <w:bottom w:val="single" w:sz="8" w:space="0" w:color="CEE7B3"/>
              <w:right w:val="nil"/>
            </w:tcBorders>
            <w:shd w:val="clear" w:color="000000" w:fill="66B3A5"/>
            <w:noWrap/>
            <w:vAlign w:val="center"/>
            <w:hideMark/>
          </w:tcPr>
          <w:p w14:paraId="2EC7DD10"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$pc</w:t>
            </w:r>
          </w:p>
        </w:tc>
        <w:tc>
          <w:tcPr>
            <w:tcW w:w="760" w:type="dxa"/>
            <w:tcBorders>
              <w:top w:val="nil"/>
              <w:left w:val="nil"/>
              <w:bottom w:val="single" w:sz="8" w:space="0" w:color="CEE7B3"/>
              <w:right w:val="nil"/>
            </w:tcBorders>
            <w:shd w:val="clear" w:color="000000" w:fill="66B3A5"/>
            <w:noWrap/>
            <w:vAlign w:val="center"/>
            <w:hideMark/>
          </w:tcPr>
          <w:p w14:paraId="447882E2"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$pc</w:t>
            </w:r>
          </w:p>
        </w:tc>
        <w:tc>
          <w:tcPr>
            <w:tcW w:w="760" w:type="dxa"/>
            <w:tcBorders>
              <w:top w:val="nil"/>
              <w:left w:val="nil"/>
              <w:bottom w:val="single" w:sz="8" w:space="0" w:color="CEE7B3"/>
              <w:right w:val="nil"/>
            </w:tcBorders>
            <w:shd w:val="clear" w:color="000000" w:fill="66B3A5"/>
            <w:noWrap/>
            <w:vAlign w:val="center"/>
            <w:hideMark/>
          </w:tcPr>
          <w:p w14:paraId="5E41EA4C"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$pc</w:t>
            </w:r>
          </w:p>
        </w:tc>
        <w:tc>
          <w:tcPr>
            <w:tcW w:w="760" w:type="dxa"/>
            <w:tcBorders>
              <w:top w:val="nil"/>
              <w:left w:val="nil"/>
              <w:bottom w:val="single" w:sz="8" w:space="0" w:color="CEE7B3"/>
              <w:right w:val="nil"/>
            </w:tcBorders>
            <w:shd w:val="clear" w:color="000000" w:fill="66B3A5"/>
            <w:noWrap/>
            <w:vAlign w:val="center"/>
            <w:hideMark/>
          </w:tcPr>
          <w:p w14:paraId="21C6496B"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$pc</w:t>
            </w:r>
          </w:p>
        </w:tc>
        <w:tc>
          <w:tcPr>
            <w:tcW w:w="760" w:type="dxa"/>
            <w:tcBorders>
              <w:top w:val="nil"/>
              <w:left w:val="nil"/>
              <w:bottom w:val="single" w:sz="8" w:space="0" w:color="CEE7B3"/>
              <w:right w:val="nil"/>
            </w:tcBorders>
            <w:shd w:val="clear" w:color="000000" w:fill="66B3A5"/>
            <w:noWrap/>
            <w:vAlign w:val="center"/>
            <w:hideMark/>
          </w:tcPr>
          <w:p w14:paraId="4EFB3F40"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$pc</w:t>
            </w:r>
          </w:p>
        </w:tc>
      </w:tr>
      <w:tr w:rsidR="00697F06" w:rsidRPr="00CD339F" w14:paraId="0DF039EB" w14:textId="77777777" w:rsidTr="00CD339F">
        <w:trPr>
          <w:trHeight w:val="315"/>
        </w:trPr>
        <w:tc>
          <w:tcPr>
            <w:tcW w:w="2280" w:type="dxa"/>
            <w:tcBorders>
              <w:top w:val="nil"/>
              <w:left w:val="nil"/>
              <w:bottom w:val="single" w:sz="8" w:space="0" w:color="CEE7B3"/>
              <w:right w:val="nil"/>
            </w:tcBorders>
            <w:shd w:val="clear" w:color="000000" w:fill="FFFFFF"/>
            <w:vAlign w:val="center"/>
            <w:hideMark/>
          </w:tcPr>
          <w:p w14:paraId="470CFBD0" w14:textId="77777777" w:rsidR="00697F06" w:rsidRPr="00CD339F" w:rsidRDefault="00697F06" w:rsidP="00697F06">
            <w:pPr>
              <w:tabs>
                <w:tab w:val="clear" w:pos="567"/>
              </w:tabs>
              <w:spacing w:before="0" w:line="240" w:lineRule="auto"/>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Population growth</w:t>
            </w:r>
          </w:p>
        </w:tc>
        <w:tc>
          <w:tcPr>
            <w:tcW w:w="760" w:type="dxa"/>
            <w:tcBorders>
              <w:top w:val="nil"/>
              <w:left w:val="nil"/>
              <w:bottom w:val="single" w:sz="8" w:space="0" w:color="CEE7B3"/>
              <w:right w:val="nil"/>
            </w:tcBorders>
            <w:shd w:val="clear" w:color="000000" w:fill="FFFFFF"/>
            <w:noWrap/>
            <w:vAlign w:val="center"/>
            <w:hideMark/>
          </w:tcPr>
          <w:p w14:paraId="582544A9"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-45</w:t>
            </w:r>
          </w:p>
        </w:tc>
        <w:tc>
          <w:tcPr>
            <w:tcW w:w="760" w:type="dxa"/>
            <w:tcBorders>
              <w:top w:val="nil"/>
              <w:left w:val="nil"/>
              <w:bottom w:val="single" w:sz="8" w:space="0" w:color="CEE7B3"/>
              <w:right w:val="nil"/>
            </w:tcBorders>
            <w:shd w:val="clear" w:color="000000" w:fill="FFFFFF"/>
            <w:noWrap/>
            <w:vAlign w:val="center"/>
            <w:hideMark/>
          </w:tcPr>
          <w:p w14:paraId="28C7E907"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59</w:t>
            </w:r>
          </w:p>
        </w:tc>
        <w:tc>
          <w:tcPr>
            <w:tcW w:w="760" w:type="dxa"/>
            <w:tcBorders>
              <w:top w:val="nil"/>
              <w:left w:val="nil"/>
              <w:bottom w:val="single" w:sz="8" w:space="0" w:color="CEE7B3"/>
              <w:right w:val="nil"/>
            </w:tcBorders>
            <w:shd w:val="clear" w:color="000000" w:fill="FFFFFF"/>
            <w:noWrap/>
            <w:vAlign w:val="center"/>
            <w:hideMark/>
          </w:tcPr>
          <w:p w14:paraId="18437F06"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79</w:t>
            </w:r>
          </w:p>
        </w:tc>
        <w:tc>
          <w:tcPr>
            <w:tcW w:w="760" w:type="dxa"/>
            <w:tcBorders>
              <w:top w:val="nil"/>
              <w:left w:val="nil"/>
              <w:bottom w:val="single" w:sz="8" w:space="0" w:color="CEE7B3"/>
              <w:right w:val="nil"/>
            </w:tcBorders>
            <w:shd w:val="clear" w:color="000000" w:fill="FFFFFF"/>
            <w:noWrap/>
            <w:vAlign w:val="center"/>
            <w:hideMark/>
          </w:tcPr>
          <w:p w14:paraId="706CB59C"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-8</w:t>
            </w:r>
          </w:p>
        </w:tc>
        <w:tc>
          <w:tcPr>
            <w:tcW w:w="760" w:type="dxa"/>
            <w:tcBorders>
              <w:top w:val="nil"/>
              <w:left w:val="nil"/>
              <w:bottom w:val="single" w:sz="8" w:space="0" w:color="CEE7B3"/>
              <w:right w:val="nil"/>
            </w:tcBorders>
            <w:shd w:val="clear" w:color="000000" w:fill="FFFFFF"/>
            <w:noWrap/>
            <w:vAlign w:val="center"/>
            <w:hideMark/>
          </w:tcPr>
          <w:p w14:paraId="158016DD"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-155</w:t>
            </w:r>
          </w:p>
        </w:tc>
        <w:tc>
          <w:tcPr>
            <w:tcW w:w="760" w:type="dxa"/>
            <w:tcBorders>
              <w:top w:val="nil"/>
              <w:left w:val="nil"/>
              <w:bottom w:val="single" w:sz="8" w:space="0" w:color="CEE7B3"/>
              <w:right w:val="nil"/>
            </w:tcBorders>
            <w:shd w:val="clear" w:color="000000" w:fill="FFFFFF"/>
            <w:noWrap/>
            <w:vAlign w:val="center"/>
            <w:hideMark/>
          </w:tcPr>
          <w:p w14:paraId="6DF9D30E"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-103</w:t>
            </w:r>
          </w:p>
        </w:tc>
        <w:tc>
          <w:tcPr>
            <w:tcW w:w="760" w:type="dxa"/>
            <w:tcBorders>
              <w:top w:val="nil"/>
              <w:left w:val="nil"/>
              <w:bottom w:val="single" w:sz="8" w:space="0" w:color="CEE7B3"/>
              <w:right w:val="nil"/>
            </w:tcBorders>
            <w:shd w:val="clear" w:color="000000" w:fill="FFFFFF"/>
            <w:noWrap/>
            <w:vAlign w:val="center"/>
            <w:hideMark/>
          </w:tcPr>
          <w:p w14:paraId="2422B7D3"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-42</w:t>
            </w:r>
          </w:p>
        </w:tc>
        <w:tc>
          <w:tcPr>
            <w:tcW w:w="760" w:type="dxa"/>
            <w:tcBorders>
              <w:top w:val="nil"/>
              <w:left w:val="nil"/>
              <w:bottom w:val="single" w:sz="8" w:space="0" w:color="CEE7B3"/>
              <w:right w:val="nil"/>
            </w:tcBorders>
            <w:shd w:val="clear" w:color="000000" w:fill="FFFFFF"/>
            <w:noWrap/>
            <w:vAlign w:val="center"/>
            <w:hideMark/>
          </w:tcPr>
          <w:p w14:paraId="62F2D751"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-287</w:t>
            </w:r>
          </w:p>
        </w:tc>
        <w:tc>
          <w:tcPr>
            <w:tcW w:w="760" w:type="dxa"/>
            <w:tcBorders>
              <w:top w:val="nil"/>
              <w:left w:val="nil"/>
              <w:bottom w:val="single" w:sz="8" w:space="0" w:color="CEE7B3"/>
              <w:right w:val="nil"/>
            </w:tcBorders>
            <w:shd w:val="clear" w:color="000000" w:fill="FFFFFF"/>
            <w:noWrap/>
            <w:vAlign w:val="center"/>
            <w:hideMark/>
          </w:tcPr>
          <w:p w14:paraId="193B2B13"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32</w:t>
            </w:r>
          </w:p>
        </w:tc>
      </w:tr>
      <w:tr w:rsidR="00697F06" w:rsidRPr="00CD339F" w14:paraId="192CB4C5" w14:textId="77777777" w:rsidTr="00CD339F">
        <w:trPr>
          <w:trHeight w:val="315"/>
        </w:trPr>
        <w:tc>
          <w:tcPr>
            <w:tcW w:w="2280" w:type="dxa"/>
            <w:tcBorders>
              <w:top w:val="nil"/>
              <w:left w:val="nil"/>
              <w:bottom w:val="single" w:sz="8" w:space="0" w:color="CEE7B3"/>
              <w:right w:val="nil"/>
            </w:tcBorders>
            <w:shd w:val="clear" w:color="000000" w:fill="FFFFFF"/>
            <w:vAlign w:val="center"/>
            <w:hideMark/>
          </w:tcPr>
          <w:p w14:paraId="53EAA0D2" w14:textId="77777777" w:rsidR="00697F06" w:rsidRPr="00CD339F" w:rsidRDefault="006E672E" w:rsidP="00697F06">
            <w:pPr>
              <w:tabs>
                <w:tab w:val="clear" w:pos="567"/>
              </w:tabs>
              <w:spacing w:before="0" w:line="240" w:lineRule="auto"/>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Capital improv</w:t>
            </w:r>
            <w:r w:rsidR="000C1F87" w:rsidRPr="00CD339F">
              <w:rPr>
                <w:rFonts w:ascii="Work Sans" w:eastAsia="Times New Roman" w:hAnsi="Work Sans" w:cs="Times New Roman"/>
                <w:color w:val="000000"/>
                <w:sz w:val="16"/>
                <w:szCs w:val="16"/>
                <w:lang w:eastAsia="en-AU"/>
              </w:rPr>
              <w:t>e</w:t>
            </w:r>
            <w:r w:rsidRPr="00CD339F">
              <w:rPr>
                <w:rFonts w:ascii="Work Sans" w:eastAsia="Times New Roman" w:hAnsi="Work Sans" w:cs="Times New Roman"/>
                <w:color w:val="000000"/>
                <w:sz w:val="16"/>
                <w:szCs w:val="16"/>
                <w:lang w:eastAsia="en-AU"/>
              </w:rPr>
              <w:t>ments</w:t>
            </w:r>
            <w:r w:rsidR="00697F06" w:rsidRPr="00CD339F">
              <w:rPr>
                <w:rFonts w:ascii="Work Sans" w:eastAsia="Times New Roman" w:hAnsi="Work Sans" w:cs="Times New Roman"/>
                <w:color w:val="000000"/>
                <w:sz w:val="16"/>
                <w:szCs w:val="16"/>
                <w:lang w:eastAsia="en-AU"/>
              </w:rPr>
              <w:t xml:space="preserve"> </w:t>
            </w:r>
          </w:p>
        </w:tc>
        <w:tc>
          <w:tcPr>
            <w:tcW w:w="760" w:type="dxa"/>
            <w:tcBorders>
              <w:top w:val="nil"/>
              <w:left w:val="nil"/>
              <w:bottom w:val="single" w:sz="8" w:space="0" w:color="CEE7B3"/>
              <w:right w:val="nil"/>
            </w:tcBorders>
            <w:shd w:val="clear" w:color="000000" w:fill="FFFFFF"/>
            <w:noWrap/>
            <w:vAlign w:val="center"/>
            <w:hideMark/>
          </w:tcPr>
          <w:p w14:paraId="6B2877D2"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39</w:t>
            </w:r>
          </w:p>
        </w:tc>
        <w:tc>
          <w:tcPr>
            <w:tcW w:w="760" w:type="dxa"/>
            <w:tcBorders>
              <w:top w:val="nil"/>
              <w:left w:val="nil"/>
              <w:bottom w:val="single" w:sz="8" w:space="0" w:color="CEE7B3"/>
              <w:right w:val="nil"/>
            </w:tcBorders>
            <w:shd w:val="clear" w:color="000000" w:fill="FFFFFF"/>
            <w:noWrap/>
            <w:vAlign w:val="center"/>
            <w:hideMark/>
          </w:tcPr>
          <w:p w14:paraId="0A89A3D6"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-60</w:t>
            </w:r>
          </w:p>
        </w:tc>
        <w:tc>
          <w:tcPr>
            <w:tcW w:w="760" w:type="dxa"/>
            <w:tcBorders>
              <w:top w:val="nil"/>
              <w:left w:val="nil"/>
              <w:bottom w:val="single" w:sz="8" w:space="0" w:color="CEE7B3"/>
              <w:right w:val="nil"/>
            </w:tcBorders>
            <w:shd w:val="clear" w:color="000000" w:fill="FFFFFF"/>
            <w:noWrap/>
            <w:vAlign w:val="center"/>
            <w:hideMark/>
          </w:tcPr>
          <w:p w14:paraId="5D5EF59F"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-14</w:t>
            </w:r>
          </w:p>
        </w:tc>
        <w:tc>
          <w:tcPr>
            <w:tcW w:w="760" w:type="dxa"/>
            <w:tcBorders>
              <w:top w:val="nil"/>
              <w:left w:val="nil"/>
              <w:bottom w:val="single" w:sz="8" w:space="0" w:color="CEE7B3"/>
              <w:right w:val="nil"/>
            </w:tcBorders>
            <w:shd w:val="clear" w:color="000000" w:fill="FFFFFF"/>
            <w:noWrap/>
            <w:vAlign w:val="center"/>
            <w:hideMark/>
          </w:tcPr>
          <w:p w14:paraId="1F01CD66"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52</w:t>
            </w:r>
          </w:p>
        </w:tc>
        <w:tc>
          <w:tcPr>
            <w:tcW w:w="760" w:type="dxa"/>
            <w:tcBorders>
              <w:top w:val="nil"/>
              <w:left w:val="nil"/>
              <w:bottom w:val="single" w:sz="8" w:space="0" w:color="CEE7B3"/>
              <w:right w:val="nil"/>
            </w:tcBorders>
            <w:shd w:val="clear" w:color="000000" w:fill="FFFFFF"/>
            <w:noWrap/>
            <w:vAlign w:val="center"/>
            <w:hideMark/>
          </w:tcPr>
          <w:p w14:paraId="23318677"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-73</w:t>
            </w:r>
          </w:p>
        </w:tc>
        <w:tc>
          <w:tcPr>
            <w:tcW w:w="760" w:type="dxa"/>
            <w:tcBorders>
              <w:top w:val="nil"/>
              <w:left w:val="nil"/>
              <w:bottom w:val="single" w:sz="8" w:space="0" w:color="CEE7B3"/>
              <w:right w:val="nil"/>
            </w:tcBorders>
            <w:shd w:val="clear" w:color="000000" w:fill="FFFFFF"/>
            <w:noWrap/>
            <w:vAlign w:val="center"/>
            <w:hideMark/>
          </w:tcPr>
          <w:p w14:paraId="3E0056DA"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-160</w:t>
            </w:r>
          </w:p>
        </w:tc>
        <w:tc>
          <w:tcPr>
            <w:tcW w:w="760" w:type="dxa"/>
            <w:tcBorders>
              <w:top w:val="nil"/>
              <w:left w:val="nil"/>
              <w:bottom w:val="single" w:sz="8" w:space="0" w:color="CEE7B3"/>
              <w:right w:val="nil"/>
            </w:tcBorders>
            <w:shd w:val="clear" w:color="000000" w:fill="FFFFFF"/>
            <w:noWrap/>
            <w:vAlign w:val="center"/>
            <w:hideMark/>
          </w:tcPr>
          <w:p w14:paraId="2E10B7F2"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-369</w:t>
            </w:r>
          </w:p>
        </w:tc>
        <w:tc>
          <w:tcPr>
            <w:tcW w:w="760" w:type="dxa"/>
            <w:tcBorders>
              <w:top w:val="nil"/>
              <w:left w:val="nil"/>
              <w:bottom w:val="single" w:sz="8" w:space="0" w:color="CEE7B3"/>
              <w:right w:val="nil"/>
            </w:tcBorders>
            <w:shd w:val="clear" w:color="000000" w:fill="FFFFFF"/>
            <w:noWrap/>
            <w:vAlign w:val="center"/>
            <w:hideMark/>
          </w:tcPr>
          <w:p w14:paraId="526D9515"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1,584</w:t>
            </w:r>
          </w:p>
        </w:tc>
        <w:tc>
          <w:tcPr>
            <w:tcW w:w="760" w:type="dxa"/>
            <w:tcBorders>
              <w:top w:val="nil"/>
              <w:left w:val="nil"/>
              <w:bottom w:val="single" w:sz="8" w:space="0" w:color="CEE7B3"/>
              <w:right w:val="nil"/>
            </w:tcBorders>
            <w:shd w:val="clear" w:color="000000" w:fill="FFFFFF"/>
            <w:noWrap/>
            <w:vAlign w:val="center"/>
            <w:hideMark/>
          </w:tcPr>
          <w:p w14:paraId="50FD1C1F"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33</w:t>
            </w:r>
          </w:p>
        </w:tc>
      </w:tr>
      <w:tr w:rsidR="00697F06" w:rsidRPr="00CD339F" w14:paraId="48AB1609" w14:textId="77777777" w:rsidTr="00CD339F">
        <w:trPr>
          <w:trHeight w:val="315"/>
        </w:trPr>
        <w:tc>
          <w:tcPr>
            <w:tcW w:w="2280" w:type="dxa"/>
            <w:tcBorders>
              <w:top w:val="nil"/>
              <w:left w:val="nil"/>
              <w:bottom w:val="single" w:sz="8" w:space="0" w:color="CEE7B3"/>
              <w:right w:val="nil"/>
            </w:tcBorders>
            <w:shd w:val="clear" w:color="000000" w:fill="FFFFFF"/>
            <w:vAlign w:val="center"/>
            <w:hideMark/>
          </w:tcPr>
          <w:p w14:paraId="631FA56F" w14:textId="77777777" w:rsidR="00697F06" w:rsidRPr="00CD339F" w:rsidRDefault="00697F06" w:rsidP="00697F06">
            <w:pPr>
              <w:tabs>
                <w:tab w:val="clear" w:pos="567"/>
              </w:tabs>
              <w:spacing w:before="0" w:line="240" w:lineRule="auto"/>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Cost of construction</w:t>
            </w:r>
          </w:p>
        </w:tc>
        <w:tc>
          <w:tcPr>
            <w:tcW w:w="760" w:type="dxa"/>
            <w:tcBorders>
              <w:top w:val="nil"/>
              <w:left w:val="nil"/>
              <w:bottom w:val="single" w:sz="8" w:space="0" w:color="CEE7B3"/>
              <w:right w:val="nil"/>
            </w:tcBorders>
            <w:shd w:val="clear" w:color="000000" w:fill="FFFFFF"/>
            <w:noWrap/>
            <w:vAlign w:val="center"/>
            <w:hideMark/>
          </w:tcPr>
          <w:p w14:paraId="501A722F"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29</w:t>
            </w:r>
          </w:p>
        </w:tc>
        <w:tc>
          <w:tcPr>
            <w:tcW w:w="760" w:type="dxa"/>
            <w:tcBorders>
              <w:top w:val="nil"/>
              <w:left w:val="nil"/>
              <w:bottom w:val="single" w:sz="8" w:space="0" w:color="CEE7B3"/>
              <w:right w:val="nil"/>
            </w:tcBorders>
            <w:shd w:val="clear" w:color="000000" w:fill="FFFFFF"/>
            <w:noWrap/>
            <w:vAlign w:val="center"/>
            <w:hideMark/>
          </w:tcPr>
          <w:p w14:paraId="219B4D44"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-93</w:t>
            </w:r>
          </w:p>
        </w:tc>
        <w:tc>
          <w:tcPr>
            <w:tcW w:w="760" w:type="dxa"/>
            <w:tcBorders>
              <w:top w:val="nil"/>
              <w:left w:val="nil"/>
              <w:bottom w:val="single" w:sz="8" w:space="0" w:color="CEE7B3"/>
              <w:right w:val="nil"/>
            </w:tcBorders>
            <w:shd w:val="clear" w:color="000000" w:fill="FFFFFF"/>
            <w:noWrap/>
            <w:vAlign w:val="center"/>
            <w:hideMark/>
          </w:tcPr>
          <w:p w14:paraId="5DEFFB86"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-24</w:t>
            </w:r>
          </w:p>
        </w:tc>
        <w:tc>
          <w:tcPr>
            <w:tcW w:w="760" w:type="dxa"/>
            <w:tcBorders>
              <w:top w:val="nil"/>
              <w:left w:val="nil"/>
              <w:bottom w:val="single" w:sz="8" w:space="0" w:color="CEE7B3"/>
              <w:right w:val="nil"/>
            </w:tcBorders>
            <w:shd w:val="clear" w:color="000000" w:fill="FFFFFF"/>
            <w:noWrap/>
            <w:vAlign w:val="center"/>
            <w:hideMark/>
          </w:tcPr>
          <w:p w14:paraId="5A912B01"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152</w:t>
            </w:r>
          </w:p>
        </w:tc>
        <w:tc>
          <w:tcPr>
            <w:tcW w:w="760" w:type="dxa"/>
            <w:tcBorders>
              <w:top w:val="nil"/>
              <w:left w:val="nil"/>
              <w:bottom w:val="single" w:sz="8" w:space="0" w:color="CEE7B3"/>
              <w:right w:val="nil"/>
            </w:tcBorders>
            <w:shd w:val="clear" w:color="000000" w:fill="FFFFFF"/>
            <w:noWrap/>
            <w:vAlign w:val="center"/>
            <w:hideMark/>
          </w:tcPr>
          <w:p w14:paraId="0E2BB1B7"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-14</w:t>
            </w:r>
          </w:p>
        </w:tc>
        <w:tc>
          <w:tcPr>
            <w:tcW w:w="760" w:type="dxa"/>
            <w:tcBorders>
              <w:top w:val="nil"/>
              <w:left w:val="nil"/>
              <w:bottom w:val="single" w:sz="8" w:space="0" w:color="CEE7B3"/>
              <w:right w:val="nil"/>
            </w:tcBorders>
            <w:shd w:val="clear" w:color="000000" w:fill="FFFFFF"/>
            <w:noWrap/>
            <w:vAlign w:val="center"/>
            <w:hideMark/>
          </w:tcPr>
          <w:p w14:paraId="3D4D5F9F"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-90</w:t>
            </w:r>
          </w:p>
        </w:tc>
        <w:tc>
          <w:tcPr>
            <w:tcW w:w="760" w:type="dxa"/>
            <w:tcBorders>
              <w:top w:val="nil"/>
              <w:left w:val="nil"/>
              <w:bottom w:val="single" w:sz="8" w:space="0" w:color="CEE7B3"/>
              <w:right w:val="nil"/>
            </w:tcBorders>
            <w:shd w:val="clear" w:color="000000" w:fill="FFFFFF"/>
            <w:noWrap/>
            <w:vAlign w:val="center"/>
            <w:hideMark/>
          </w:tcPr>
          <w:p w14:paraId="5C5A1BB2"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36</w:t>
            </w:r>
          </w:p>
        </w:tc>
        <w:tc>
          <w:tcPr>
            <w:tcW w:w="760" w:type="dxa"/>
            <w:tcBorders>
              <w:top w:val="nil"/>
              <w:left w:val="nil"/>
              <w:bottom w:val="single" w:sz="8" w:space="0" w:color="CEE7B3"/>
              <w:right w:val="nil"/>
            </w:tcBorders>
            <w:shd w:val="clear" w:color="000000" w:fill="FFFFFF"/>
            <w:noWrap/>
            <w:vAlign w:val="center"/>
            <w:hideMark/>
          </w:tcPr>
          <w:p w14:paraId="07E559B4"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642</w:t>
            </w:r>
          </w:p>
        </w:tc>
        <w:tc>
          <w:tcPr>
            <w:tcW w:w="760" w:type="dxa"/>
            <w:tcBorders>
              <w:top w:val="nil"/>
              <w:left w:val="nil"/>
              <w:bottom w:val="single" w:sz="8" w:space="0" w:color="CEE7B3"/>
              <w:right w:val="nil"/>
            </w:tcBorders>
            <w:shd w:val="clear" w:color="000000" w:fill="FFFFFF"/>
            <w:noWrap/>
            <w:vAlign w:val="center"/>
            <w:hideMark/>
          </w:tcPr>
          <w:p w14:paraId="04AF004C" w14:textId="77777777" w:rsidR="00697F06" w:rsidRPr="00CD339F" w:rsidRDefault="00697F06" w:rsidP="00697F06">
            <w:pPr>
              <w:tabs>
                <w:tab w:val="clear" w:pos="567"/>
              </w:tabs>
              <w:spacing w:before="0" w:line="240" w:lineRule="auto"/>
              <w:jc w:val="right"/>
              <w:rPr>
                <w:rFonts w:ascii="Work Sans" w:eastAsia="Times New Roman" w:hAnsi="Work Sans" w:cs="Times New Roman"/>
                <w:color w:val="000000"/>
                <w:sz w:val="16"/>
                <w:szCs w:val="16"/>
                <w:lang w:eastAsia="en-AU"/>
              </w:rPr>
            </w:pPr>
            <w:r w:rsidRPr="00CD339F">
              <w:rPr>
                <w:rFonts w:ascii="Work Sans" w:eastAsia="Times New Roman" w:hAnsi="Work Sans" w:cs="Times New Roman"/>
                <w:color w:val="000000"/>
                <w:sz w:val="16"/>
                <w:szCs w:val="16"/>
                <w:lang w:eastAsia="en-AU"/>
              </w:rPr>
              <w:t>32</w:t>
            </w:r>
          </w:p>
        </w:tc>
      </w:tr>
      <w:tr w:rsidR="00697F06" w:rsidRPr="00CD339F" w14:paraId="3EA8792A" w14:textId="77777777" w:rsidTr="00CD339F">
        <w:trPr>
          <w:trHeight w:val="285"/>
        </w:trPr>
        <w:tc>
          <w:tcPr>
            <w:tcW w:w="2280" w:type="dxa"/>
            <w:tcBorders>
              <w:top w:val="nil"/>
              <w:left w:val="nil"/>
              <w:bottom w:val="single" w:sz="8" w:space="0" w:color="CEE7B3"/>
              <w:right w:val="nil"/>
            </w:tcBorders>
            <w:shd w:val="clear" w:color="000000" w:fill="99CCC3"/>
            <w:vAlign w:val="center"/>
            <w:hideMark/>
          </w:tcPr>
          <w:p w14:paraId="66793A79" w14:textId="77777777" w:rsidR="00697F06" w:rsidRPr="00CD339F" w:rsidRDefault="00697F06" w:rsidP="00697F06">
            <w:pPr>
              <w:tabs>
                <w:tab w:val="clear" w:pos="567"/>
              </w:tabs>
              <w:spacing w:before="0" w:line="240" w:lineRule="auto"/>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Total</w:t>
            </w:r>
          </w:p>
        </w:tc>
        <w:tc>
          <w:tcPr>
            <w:tcW w:w="760" w:type="dxa"/>
            <w:tcBorders>
              <w:top w:val="nil"/>
              <w:left w:val="nil"/>
              <w:bottom w:val="single" w:sz="8" w:space="0" w:color="CEE7B3"/>
              <w:right w:val="nil"/>
            </w:tcBorders>
            <w:shd w:val="clear" w:color="000000" w:fill="99CCC3"/>
            <w:vAlign w:val="center"/>
            <w:hideMark/>
          </w:tcPr>
          <w:p w14:paraId="53C520AD"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23</w:t>
            </w:r>
          </w:p>
        </w:tc>
        <w:tc>
          <w:tcPr>
            <w:tcW w:w="760" w:type="dxa"/>
            <w:tcBorders>
              <w:top w:val="nil"/>
              <w:left w:val="nil"/>
              <w:bottom w:val="single" w:sz="8" w:space="0" w:color="CEE7B3"/>
              <w:right w:val="nil"/>
            </w:tcBorders>
            <w:shd w:val="clear" w:color="000000" w:fill="99CCC3"/>
            <w:vAlign w:val="center"/>
            <w:hideMark/>
          </w:tcPr>
          <w:p w14:paraId="4C837C31"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-94</w:t>
            </w:r>
          </w:p>
        </w:tc>
        <w:tc>
          <w:tcPr>
            <w:tcW w:w="760" w:type="dxa"/>
            <w:tcBorders>
              <w:top w:val="nil"/>
              <w:left w:val="nil"/>
              <w:bottom w:val="single" w:sz="8" w:space="0" w:color="CEE7B3"/>
              <w:right w:val="nil"/>
            </w:tcBorders>
            <w:shd w:val="clear" w:color="000000" w:fill="99CCC3"/>
            <w:vAlign w:val="center"/>
            <w:hideMark/>
          </w:tcPr>
          <w:p w14:paraId="6B403A7E"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41</w:t>
            </w:r>
          </w:p>
        </w:tc>
        <w:tc>
          <w:tcPr>
            <w:tcW w:w="760" w:type="dxa"/>
            <w:tcBorders>
              <w:top w:val="nil"/>
              <w:left w:val="nil"/>
              <w:bottom w:val="single" w:sz="8" w:space="0" w:color="CEE7B3"/>
              <w:right w:val="nil"/>
            </w:tcBorders>
            <w:shd w:val="clear" w:color="000000" w:fill="99CCC3"/>
            <w:vAlign w:val="center"/>
            <w:hideMark/>
          </w:tcPr>
          <w:p w14:paraId="1A10D3AF"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195</w:t>
            </w:r>
          </w:p>
        </w:tc>
        <w:tc>
          <w:tcPr>
            <w:tcW w:w="760" w:type="dxa"/>
            <w:tcBorders>
              <w:top w:val="nil"/>
              <w:left w:val="nil"/>
              <w:bottom w:val="single" w:sz="8" w:space="0" w:color="CEE7B3"/>
              <w:right w:val="nil"/>
            </w:tcBorders>
            <w:shd w:val="clear" w:color="000000" w:fill="99CCC3"/>
            <w:vAlign w:val="center"/>
            <w:hideMark/>
          </w:tcPr>
          <w:p w14:paraId="1295A73C"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-243</w:t>
            </w:r>
          </w:p>
        </w:tc>
        <w:tc>
          <w:tcPr>
            <w:tcW w:w="760" w:type="dxa"/>
            <w:tcBorders>
              <w:top w:val="nil"/>
              <w:left w:val="nil"/>
              <w:bottom w:val="single" w:sz="8" w:space="0" w:color="CEE7B3"/>
              <w:right w:val="nil"/>
            </w:tcBorders>
            <w:shd w:val="clear" w:color="000000" w:fill="99CCC3"/>
            <w:vAlign w:val="center"/>
            <w:hideMark/>
          </w:tcPr>
          <w:p w14:paraId="123D674A"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-353</w:t>
            </w:r>
          </w:p>
        </w:tc>
        <w:tc>
          <w:tcPr>
            <w:tcW w:w="760" w:type="dxa"/>
            <w:tcBorders>
              <w:top w:val="nil"/>
              <w:left w:val="nil"/>
              <w:bottom w:val="single" w:sz="8" w:space="0" w:color="CEE7B3"/>
              <w:right w:val="nil"/>
            </w:tcBorders>
            <w:shd w:val="clear" w:color="000000" w:fill="99CCC3"/>
            <w:vAlign w:val="center"/>
            <w:hideMark/>
          </w:tcPr>
          <w:p w14:paraId="58B04817"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-375</w:t>
            </w:r>
          </w:p>
        </w:tc>
        <w:tc>
          <w:tcPr>
            <w:tcW w:w="760" w:type="dxa"/>
            <w:tcBorders>
              <w:top w:val="nil"/>
              <w:left w:val="nil"/>
              <w:bottom w:val="single" w:sz="8" w:space="0" w:color="CEE7B3"/>
              <w:right w:val="nil"/>
            </w:tcBorders>
            <w:shd w:val="clear" w:color="000000" w:fill="99CCC3"/>
            <w:vAlign w:val="center"/>
            <w:hideMark/>
          </w:tcPr>
          <w:p w14:paraId="7DCA7BC2"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1</w:t>
            </w:r>
            <w:r w:rsidR="00834CCF" w:rsidRPr="00CD339F">
              <w:rPr>
                <w:rFonts w:ascii="Work Sans SemiBold" w:eastAsia="Times New Roman" w:hAnsi="Work Sans SemiBold" w:cs="Times New Roman"/>
                <w:color w:val="000000"/>
                <w:sz w:val="16"/>
                <w:szCs w:val="16"/>
                <w:lang w:eastAsia="en-AU"/>
              </w:rPr>
              <w:t>,</w:t>
            </w:r>
            <w:r w:rsidRPr="00CD339F">
              <w:rPr>
                <w:rFonts w:ascii="Work Sans SemiBold" w:eastAsia="Times New Roman" w:hAnsi="Work Sans SemiBold" w:cs="Times New Roman"/>
                <w:color w:val="000000"/>
                <w:sz w:val="16"/>
                <w:szCs w:val="16"/>
                <w:lang w:eastAsia="en-AU"/>
              </w:rPr>
              <w:t>938</w:t>
            </w:r>
          </w:p>
        </w:tc>
        <w:tc>
          <w:tcPr>
            <w:tcW w:w="760" w:type="dxa"/>
            <w:tcBorders>
              <w:top w:val="nil"/>
              <w:left w:val="nil"/>
              <w:bottom w:val="single" w:sz="8" w:space="0" w:color="CEE7B3"/>
              <w:right w:val="nil"/>
            </w:tcBorders>
            <w:shd w:val="clear" w:color="000000" w:fill="99CCC3"/>
            <w:vAlign w:val="center"/>
            <w:hideMark/>
          </w:tcPr>
          <w:p w14:paraId="5BFAC6C6" w14:textId="77777777" w:rsidR="00697F06" w:rsidRPr="00CD339F" w:rsidRDefault="00697F06" w:rsidP="00697F06">
            <w:pPr>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CD339F">
              <w:rPr>
                <w:rFonts w:ascii="Work Sans SemiBold" w:eastAsia="Times New Roman" w:hAnsi="Work Sans SemiBold" w:cs="Times New Roman"/>
                <w:color w:val="000000"/>
                <w:sz w:val="16"/>
                <w:szCs w:val="16"/>
                <w:lang w:eastAsia="en-AU"/>
              </w:rPr>
              <w:t>55</w:t>
            </w:r>
          </w:p>
        </w:tc>
      </w:tr>
    </w:tbl>
    <w:p w14:paraId="764DDA74" w14:textId="292F6892" w:rsidR="00F07FDE" w:rsidRPr="00F2062E" w:rsidRDefault="00F07FDE" w:rsidP="002C152A">
      <w:pPr>
        <w:pStyle w:val="CGCTablenote"/>
        <w:numPr>
          <w:ilvl w:val="0"/>
          <w:numId w:val="0"/>
        </w:numPr>
        <w:ind w:left="709" w:hanging="709"/>
      </w:pPr>
      <w:r w:rsidRPr="002C152A">
        <w:t>Note</w:t>
      </w:r>
      <w:r w:rsidRPr="00F2062E">
        <w:t>:</w:t>
      </w:r>
      <w:r w:rsidRPr="00F2062E">
        <w:tab/>
      </w:r>
      <w:r w:rsidR="005B0BB1" w:rsidRPr="00F2062E">
        <w:t xml:space="preserve">In terms of </w:t>
      </w:r>
      <w:r w:rsidR="006D6B99">
        <w:t>language</w:t>
      </w:r>
      <w:r w:rsidR="005A1E9C" w:rsidRPr="00F2062E">
        <w:t xml:space="preserve"> used in</w:t>
      </w:r>
      <w:r w:rsidR="005B0BB1" w:rsidRPr="00F2062E">
        <w:t xml:space="preserve"> the 2020 Method</w:t>
      </w:r>
      <w:r w:rsidR="00647F03">
        <w:t>ology</w:t>
      </w:r>
      <w:r w:rsidR="005B0BB1" w:rsidRPr="00F2062E">
        <w:t xml:space="preserve"> Review</w:t>
      </w:r>
      <w:r w:rsidR="009F5CD5">
        <w:t>,</w:t>
      </w:r>
      <w:r w:rsidR="005B0BB1" w:rsidRPr="00F2062E">
        <w:t xml:space="preserve"> </w:t>
      </w:r>
      <w:r w:rsidR="005F6ABA" w:rsidRPr="00F2062E">
        <w:t>p</w:t>
      </w:r>
      <w:r w:rsidR="00AF2A59" w:rsidRPr="00F2062E">
        <w:t>opulation growth</w:t>
      </w:r>
      <w:r w:rsidR="00477FA8" w:rsidRPr="00F2062E">
        <w:t xml:space="preserve"> relates to </w:t>
      </w:r>
      <w:r w:rsidR="00C23522" w:rsidRPr="00F2062E">
        <w:t>capital requirements</w:t>
      </w:r>
      <w:r w:rsidR="00BA53AF">
        <w:t xml:space="preserve"> </w:t>
      </w:r>
      <w:r w:rsidR="008F557F" w:rsidRPr="00F2062E">
        <w:t>and the c</w:t>
      </w:r>
      <w:r w:rsidR="00AF2A59" w:rsidRPr="00F2062E">
        <w:t>ost of construction</w:t>
      </w:r>
      <w:r w:rsidR="00671347" w:rsidRPr="00F2062E">
        <w:t xml:space="preserve"> relates to </w:t>
      </w:r>
      <w:r w:rsidR="00E935A5" w:rsidRPr="00F2062E">
        <w:t>capital costs.</w:t>
      </w:r>
      <w:r w:rsidR="000C1F87">
        <w:t xml:space="preserve"> </w:t>
      </w:r>
    </w:p>
    <w:p w14:paraId="73DA8400" w14:textId="23950B47" w:rsidR="00F07FDE" w:rsidRPr="00F2062E" w:rsidRDefault="00F07FDE" w:rsidP="002C152A">
      <w:pPr>
        <w:pStyle w:val="CGCTablenote"/>
        <w:numPr>
          <w:ilvl w:val="0"/>
          <w:numId w:val="0"/>
        </w:numPr>
        <w:ind w:left="709" w:hanging="709"/>
      </w:pPr>
      <w:r w:rsidRPr="00F2062E">
        <w:t>Source:</w:t>
      </w:r>
      <w:r w:rsidRPr="00F2062E">
        <w:tab/>
        <w:t>Commission calculation, 2022 Update</w:t>
      </w:r>
      <w:r w:rsidR="00674308" w:rsidRPr="00F2062E">
        <w:t>.</w:t>
      </w:r>
    </w:p>
    <w:p w14:paraId="212AD7FF" w14:textId="43A17DC3" w:rsidR="00330AC3" w:rsidRDefault="00614FCF" w:rsidP="003330D1">
      <w:pPr>
        <w:pStyle w:val="BodyText"/>
      </w:pPr>
      <w:r>
        <w:t>Between</w:t>
      </w:r>
      <w:r w:rsidR="001A279E">
        <w:t xml:space="preserve"> the</w:t>
      </w:r>
      <w:r w:rsidR="00CA6CC0">
        <w:t xml:space="preserve"> </w:t>
      </w:r>
      <w:r w:rsidR="001A279E" w:rsidRPr="001A279E">
        <w:t>end of 2017–18 to the end of 2020–21</w:t>
      </w:r>
      <w:r w:rsidR="00A26A8A">
        <w:t>, s</w:t>
      </w:r>
      <w:r w:rsidR="00223C36" w:rsidRPr="00F2062E">
        <w:t xml:space="preserve">tates collectively invested heavily in </w:t>
      </w:r>
      <w:r w:rsidR="00223C36">
        <w:t xml:space="preserve">improving </w:t>
      </w:r>
      <w:r w:rsidR="00223C36" w:rsidRPr="00F2062E">
        <w:t>urban transport and rural roads. States with</w:t>
      </w:r>
      <w:r w:rsidR="00223C36">
        <w:t xml:space="preserve"> </w:t>
      </w:r>
      <w:r w:rsidR="00223C36" w:rsidRPr="00F2062E">
        <w:t>above</w:t>
      </w:r>
      <w:r w:rsidR="00E14A0F">
        <w:noBreakHyphen/>
      </w:r>
      <w:r w:rsidR="00223C36" w:rsidRPr="00F2062E">
        <w:t xml:space="preserve">average </w:t>
      </w:r>
      <w:r w:rsidR="00223C36">
        <w:t xml:space="preserve">shares of their population </w:t>
      </w:r>
      <w:r w:rsidR="00CD1912">
        <w:t xml:space="preserve">in </w:t>
      </w:r>
      <w:r w:rsidR="003F3412">
        <w:t>large</w:t>
      </w:r>
      <w:r w:rsidR="00AD7869">
        <w:t>,</w:t>
      </w:r>
      <w:r w:rsidR="003F3412">
        <w:t xml:space="preserve"> </w:t>
      </w:r>
      <w:r w:rsidR="00CD1912">
        <w:t xml:space="preserve">dense urban </w:t>
      </w:r>
      <w:r w:rsidR="003F3412">
        <w:t>centres</w:t>
      </w:r>
      <w:r w:rsidR="00CD1912">
        <w:t xml:space="preserve">, or </w:t>
      </w:r>
      <w:r w:rsidR="003C02BD">
        <w:t xml:space="preserve">with requirements for </w:t>
      </w:r>
      <w:r w:rsidR="000B25DA">
        <w:t>extensive</w:t>
      </w:r>
      <w:r w:rsidR="003C02BD">
        <w:t xml:space="preserve"> rural road networks </w:t>
      </w:r>
      <w:r w:rsidR="00223C36" w:rsidRPr="00F2062E">
        <w:t xml:space="preserve">required more GST to provide the national average level of </w:t>
      </w:r>
      <w:r w:rsidR="00223C36" w:rsidRPr="006B7875">
        <w:t>capital improvements</w:t>
      </w:r>
      <w:r w:rsidR="00223C36" w:rsidRPr="00F2062E">
        <w:t>.</w:t>
      </w:r>
    </w:p>
    <w:p w14:paraId="385A5B02" w14:textId="7408B3CD" w:rsidR="001274D1" w:rsidRPr="00D85003" w:rsidRDefault="00223C36" w:rsidP="001A23B4">
      <w:pPr>
        <w:pStyle w:val="BodyText"/>
      </w:pPr>
      <w:r w:rsidRPr="00D85003">
        <w:t>For New</w:t>
      </w:r>
      <w:r w:rsidR="00CB34A6" w:rsidRPr="00D85003">
        <w:t> </w:t>
      </w:r>
      <w:r w:rsidRPr="00D85003">
        <w:t>South</w:t>
      </w:r>
      <w:r w:rsidR="00CB34A6" w:rsidRPr="00D85003">
        <w:t> </w:t>
      </w:r>
      <w:r w:rsidRPr="00D85003">
        <w:t>Wales (</w:t>
      </w:r>
      <w:r w:rsidR="006B2567" w:rsidRPr="00D85003">
        <w:t xml:space="preserve">assessed to need </w:t>
      </w:r>
      <w:r w:rsidRPr="00D85003">
        <w:t>$319 million</w:t>
      </w:r>
      <w:r w:rsidR="006B2567" w:rsidRPr="00D85003">
        <w:t xml:space="preserve"> more GST than </w:t>
      </w:r>
      <w:r w:rsidR="008D4F95" w:rsidRPr="00D85003">
        <w:t>an EPC distribution</w:t>
      </w:r>
      <w:r w:rsidR="0030271F" w:rsidRPr="00D85003">
        <w:t xml:space="preserve"> for capital improvements</w:t>
      </w:r>
      <w:r w:rsidR="00767ADC">
        <w:t xml:space="preserve"> in </w:t>
      </w:r>
      <w:r w:rsidR="000726BD">
        <w:t>2022–23</w:t>
      </w:r>
      <w:r w:rsidR="007E25B4" w:rsidRPr="00D85003">
        <w:t xml:space="preserve">, </w:t>
      </w:r>
      <w:r w:rsidR="006B7875" w:rsidRPr="00D85003">
        <w:fldChar w:fldCharType="begin"/>
      </w:r>
      <w:r w:rsidR="006B7875" w:rsidRPr="00D85003">
        <w:instrText xml:space="preserve"> REF _Ref113025424 \h </w:instrText>
      </w:r>
      <w:r w:rsidR="008E7DE3">
        <w:rPr>
          <w:highlight w:val="yellow"/>
        </w:rPr>
        <w:instrText xml:space="preserve"> \* MERGEFORMAT </w:instrText>
      </w:r>
      <w:r w:rsidR="006B7875" w:rsidRPr="00D85003">
        <w:fldChar w:fldCharType="separate"/>
      </w:r>
      <w:r w:rsidR="004D7CF5" w:rsidRPr="00F2062E">
        <w:t xml:space="preserve">Table </w:t>
      </w:r>
      <w:r w:rsidR="004D7CF5">
        <w:rPr>
          <w:noProof/>
        </w:rPr>
        <w:t>3</w:t>
      </w:r>
      <w:r w:rsidR="006B7875" w:rsidRPr="00D85003">
        <w:fldChar w:fldCharType="end"/>
      </w:r>
      <w:r w:rsidRPr="00D85003">
        <w:t>), this was driven by urban transport</w:t>
      </w:r>
      <w:r w:rsidR="00E17782" w:rsidRPr="00D85003">
        <w:t>.</w:t>
      </w:r>
      <w:r w:rsidRPr="00D85003">
        <w:t xml:space="preserve"> </w:t>
      </w:r>
      <w:r w:rsidR="00E17782" w:rsidRPr="00D85003">
        <w:t>F</w:t>
      </w:r>
      <w:r w:rsidRPr="00D85003">
        <w:t>or Western</w:t>
      </w:r>
      <w:r w:rsidR="00FB39B6" w:rsidRPr="00D85003">
        <w:t> </w:t>
      </w:r>
      <w:r w:rsidRPr="00D85003">
        <w:t>Australia ($142 million) and the Northern Territory ($398 million), it was driven by rural roads.</w:t>
      </w:r>
      <w:r w:rsidR="00EB32A2" w:rsidRPr="00D85003">
        <w:t xml:space="preserve"> </w:t>
      </w:r>
    </w:p>
    <w:p w14:paraId="5FBCE4D4" w14:textId="77777777" w:rsidR="004D7CF5" w:rsidRDefault="00223C36" w:rsidP="001A23B4">
      <w:pPr>
        <w:pStyle w:val="BodyText"/>
      </w:pPr>
      <w:r w:rsidRPr="00D85003">
        <w:t>High construction costs in New South Wales, Western Australia and the Northern</w:t>
      </w:r>
      <w:r w:rsidR="00862CC3" w:rsidRPr="00D85003">
        <w:t> </w:t>
      </w:r>
      <w:r w:rsidRPr="00D85003">
        <w:t>Territory</w:t>
      </w:r>
      <w:r w:rsidR="0044193D" w:rsidRPr="00D85003">
        <w:t xml:space="preserve"> also</w:t>
      </w:r>
      <w:r w:rsidRPr="00D85003">
        <w:t xml:space="preserve"> contributed to the investment related change in GST distribution</w:t>
      </w:r>
      <w:r w:rsidRPr="00F2062E">
        <w:t>.</w:t>
      </w:r>
      <w:r w:rsidR="00173659" w:rsidRPr="008E7DE3">
        <w:fldChar w:fldCharType="begin"/>
      </w:r>
      <w:r w:rsidR="00173659">
        <w:instrText xml:space="preserve"> REF _Ref114064215 \h </w:instrText>
      </w:r>
      <w:r w:rsidR="00173659" w:rsidRPr="008E7DE3">
        <w:fldChar w:fldCharType="separate"/>
      </w:r>
    </w:p>
    <w:p w14:paraId="1B79F9C6" w14:textId="5A3CD665" w:rsidR="003330D1" w:rsidRDefault="004D7CF5" w:rsidP="001A23B4">
      <w:pPr>
        <w:pStyle w:val="BodyText"/>
      </w:pPr>
      <w:r w:rsidRPr="00F2062E">
        <w:t xml:space="preserve">Table </w:t>
      </w:r>
      <w:r>
        <w:rPr>
          <w:noProof/>
        </w:rPr>
        <w:t>4</w:t>
      </w:r>
      <w:r w:rsidR="00173659" w:rsidRPr="008E7DE3">
        <w:fldChar w:fldCharType="end"/>
      </w:r>
      <w:r w:rsidR="00592373" w:rsidRPr="00F2062E">
        <w:t xml:space="preserve"> presents a breakdown of the </w:t>
      </w:r>
      <w:r w:rsidR="00C578A6">
        <w:t xml:space="preserve">impact on GST </w:t>
      </w:r>
      <w:r w:rsidR="005C4FA5">
        <w:t xml:space="preserve">distribution </w:t>
      </w:r>
      <w:r w:rsidR="005C4FA5" w:rsidRPr="00F2062E">
        <w:t>for</w:t>
      </w:r>
      <w:r w:rsidR="00592373" w:rsidRPr="00F2062E">
        <w:t xml:space="preserve"> each type of state investment.</w:t>
      </w:r>
      <w:bookmarkStart w:id="9" w:name="_Ref113025618"/>
      <w:bookmarkStart w:id="10" w:name="_Ref114064215"/>
    </w:p>
    <w:p w14:paraId="3410B5E5" w14:textId="46D3D318" w:rsidR="000A225D" w:rsidRPr="00F2062E" w:rsidRDefault="00C00DE4" w:rsidP="003330D1">
      <w:pPr>
        <w:pStyle w:val="Caption"/>
        <w:widowControl w:val="0"/>
      </w:pPr>
      <w:bookmarkStart w:id="11" w:name="_Ref115885990"/>
      <w:r w:rsidRPr="00F2062E">
        <w:lastRenderedPageBreak/>
        <w:t xml:space="preserve">Table </w:t>
      </w:r>
      <w:r>
        <w:fldChar w:fldCharType="begin"/>
      </w:r>
      <w:r>
        <w:instrText>SEQ Table \* ARABIC</w:instrText>
      </w:r>
      <w:r>
        <w:fldChar w:fldCharType="separate"/>
      </w:r>
      <w:r w:rsidR="004D7CF5">
        <w:rPr>
          <w:noProof/>
        </w:rPr>
        <w:t>4</w:t>
      </w:r>
      <w:r>
        <w:fldChar w:fldCharType="end"/>
      </w:r>
      <w:bookmarkEnd w:id="9"/>
      <w:bookmarkEnd w:id="10"/>
      <w:bookmarkEnd w:id="11"/>
      <w:r w:rsidRPr="00F2062E">
        <w:tab/>
      </w:r>
      <w:r w:rsidR="00F41DDF">
        <w:t>D</w:t>
      </w:r>
      <w:r w:rsidRPr="00F2062E">
        <w:t xml:space="preserve">ifference from </w:t>
      </w:r>
      <w:r w:rsidR="005C3777" w:rsidRPr="00F2062E">
        <w:t>an EPC</w:t>
      </w:r>
      <w:r w:rsidRPr="00F2062E">
        <w:t xml:space="preserve"> distribution</w:t>
      </w:r>
      <w:r w:rsidR="005C3777" w:rsidRPr="00F2062E">
        <w:t xml:space="preserve"> </w:t>
      </w:r>
      <w:r w:rsidRPr="00F2062E">
        <w:t>of GST</w:t>
      </w:r>
      <w:r w:rsidR="005C3777" w:rsidRPr="00F2062E">
        <w:t xml:space="preserve"> by investment</w:t>
      </w:r>
      <w:r w:rsidRPr="00F2062E">
        <w:t xml:space="preserve"> </w:t>
      </w:r>
      <w:r w:rsidR="005C3777" w:rsidRPr="00F2062E">
        <w:t>type</w:t>
      </w:r>
      <w:r w:rsidR="00CF210C">
        <w:t>, 2022–23</w:t>
      </w:r>
    </w:p>
    <w:tbl>
      <w:tblPr>
        <w:tblW w:w="9100" w:type="dxa"/>
        <w:tblLook w:val="04A0" w:firstRow="1" w:lastRow="0" w:firstColumn="1" w:lastColumn="0" w:noHBand="0" w:noVBand="1"/>
      </w:tblPr>
      <w:tblGrid>
        <w:gridCol w:w="2620"/>
        <w:gridCol w:w="720"/>
        <w:gridCol w:w="720"/>
        <w:gridCol w:w="720"/>
        <w:gridCol w:w="720"/>
        <w:gridCol w:w="720"/>
        <w:gridCol w:w="720"/>
        <w:gridCol w:w="720"/>
        <w:gridCol w:w="720"/>
        <w:gridCol w:w="720"/>
      </w:tblGrid>
      <w:tr w:rsidR="00AB7DC1" w:rsidRPr="00424E22" w14:paraId="1992BBD7" w14:textId="77777777" w:rsidTr="00424E22">
        <w:trPr>
          <w:trHeight w:val="379"/>
        </w:trPr>
        <w:tc>
          <w:tcPr>
            <w:tcW w:w="2620" w:type="dxa"/>
            <w:tcBorders>
              <w:top w:val="nil"/>
              <w:left w:val="nil"/>
              <w:bottom w:val="single" w:sz="8" w:space="0" w:color="CEE7B3"/>
              <w:right w:val="nil"/>
            </w:tcBorders>
            <w:shd w:val="clear" w:color="000000" w:fill="008069"/>
            <w:noWrap/>
            <w:vAlign w:val="center"/>
            <w:hideMark/>
          </w:tcPr>
          <w:p w14:paraId="2881AA94" w14:textId="77777777" w:rsidR="00AB7DC1" w:rsidRPr="00424E22" w:rsidRDefault="00AB7DC1" w:rsidP="003330D1">
            <w:pPr>
              <w:keepNext/>
              <w:keepLines/>
              <w:widowControl w:val="0"/>
              <w:tabs>
                <w:tab w:val="clear" w:pos="567"/>
              </w:tabs>
              <w:spacing w:before="0" w:line="240" w:lineRule="auto"/>
              <w:rPr>
                <w:rFonts w:ascii="Work Sans SemiBold" w:eastAsia="Times New Roman" w:hAnsi="Work Sans SemiBold" w:cs="Times New Roman"/>
                <w:color w:val="FFFFFF"/>
                <w:sz w:val="16"/>
                <w:szCs w:val="16"/>
                <w:lang w:eastAsia="en-AU"/>
              </w:rPr>
            </w:pPr>
            <w:r w:rsidRPr="00424E22">
              <w:rPr>
                <w:rFonts w:ascii="Work Sans SemiBold" w:eastAsia="Times New Roman" w:hAnsi="Work Sans SemiBold" w:cs="Times New Roman"/>
                <w:color w:val="FFFFFF"/>
                <w:sz w:val="16"/>
                <w:szCs w:val="16"/>
                <w:lang w:eastAsia="en-AU"/>
              </w:rPr>
              <w:t> </w:t>
            </w:r>
          </w:p>
        </w:tc>
        <w:tc>
          <w:tcPr>
            <w:tcW w:w="720" w:type="dxa"/>
            <w:tcBorders>
              <w:top w:val="nil"/>
              <w:left w:val="nil"/>
              <w:bottom w:val="single" w:sz="8" w:space="0" w:color="CEE7B3"/>
              <w:right w:val="nil"/>
            </w:tcBorders>
            <w:shd w:val="clear" w:color="000000" w:fill="008069"/>
            <w:noWrap/>
            <w:vAlign w:val="center"/>
            <w:hideMark/>
          </w:tcPr>
          <w:p w14:paraId="1179C63C"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424E22">
              <w:rPr>
                <w:rFonts w:ascii="Work Sans SemiBold" w:eastAsia="Times New Roman" w:hAnsi="Work Sans SemiBold" w:cs="Times New Roman"/>
                <w:color w:val="FFFFFF"/>
                <w:sz w:val="16"/>
                <w:szCs w:val="16"/>
                <w:lang w:eastAsia="en-AU"/>
              </w:rPr>
              <w:t>NSW</w:t>
            </w:r>
          </w:p>
        </w:tc>
        <w:tc>
          <w:tcPr>
            <w:tcW w:w="720" w:type="dxa"/>
            <w:tcBorders>
              <w:top w:val="nil"/>
              <w:left w:val="nil"/>
              <w:bottom w:val="single" w:sz="8" w:space="0" w:color="CEE7B3"/>
              <w:right w:val="nil"/>
            </w:tcBorders>
            <w:shd w:val="clear" w:color="000000" w:fill="008069"/>
            <w:noWrap/>
            <w:vAlign w:val="center"/>
            <w:hideMark/>
          </w:tcPr>
          <w:p w14:paraId="07B6B6CE"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424E22">
              <w:rPr>
                <w:rFonts w:ascii="Work Sans SemiBold" w:eastAsia="Times New Roman" w:hAnsi="Work Sans SemiBold" w:cs="Times New Roman"/>
                <w:color w:val="FFFFFF"/>
                <w:sz w:val="16"/>
                <w:szCs w:val="16"/>
                <w:lang w:eastAsia="en-AU"/>
              </w:rPr>
              <w:t>Vic</w:t>
            </w:r>
          </w:p>
        </w:tc>
        <w:tc>
          <w:tcPr>
            <w:tcW w:w="720" w:type="dxa"/>
            <w:tcBorders>
              <w:top w:val="nil"/>
              <w:left w:val="nil"/>
              <w:bottom w:val="single" w:sz="8" w:space="0" w:color="CEE7B3"/>
              <w:right w:val="nil"/>
            </w:tcBorders>
            <w:shd w:val="clear" w:color="000000" w:fill="008069"/>
            <w:noWrap/>
            <w:vAlign w:val="center"/>
            <w:hideMark/>
          </w:tcPr>
          <w:p w14:paraId="078FA97F"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424E22">
              <w:rPr>
                <w:rFonts w:ascii="Work Sans SemiBold" w:eastAsia="Times New Roman" w:hAnsi="Work Sans SemiBold" w:cs="Times New Roman"/>
                <w:color w:val="FFFFFF"/>
                <w:sz w:val="16"/>
                <w:szCs w:val="16"/>
                <w:lang w:eastAsia="en-AU"/>
              </w:rPr>
              <w:t>Qld</w:t>
            </w:r>
          </w:p>
        </w:tc>
        <w:tc>
          <w:tcPr>
            <w:tcW w:w="720" w:type="dxa"/>
            <w:tcBorders>
              <w:top w:val="nil"/>
              <w:left w:val="nil"/>
              <w:bottom w:val="single" w:sz="8" w:space="0" w:color="CEE7B3"/>
              <w:right w:val="nil"/>
            </w:tcBorders>
            <w:shd w:val="clear" w:color="000000" w:fill="008069"/>
            <w:noWrap/>
            <w:vAlign w:val="center"/>
            <w:hideMark/>
          </w:tcPr>
          <w:p w14:paraId="2D662A81"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424E22">
              <w:rPr>
                <w:rFonts w:ascii="Work Sans SemiBold" w:eastAsia="Times New Roman" w:hAnsi="Work Sans SemiBold" w:cs="Times New Roman"/>
                <w:color w:val="FFFFFF"/>
                <w:sz w:val="16"/>
                <w:szCs w:val="16"/>
                <w:lang w:eastAsia="en-AU"/>
              </w:rPr>
              <w:t>WA</w:t>
            </w:r>
          </w:p>
        </w:tc>
        <w:tc>
          <w:tcPr>
            <w:tcW w:w="720" w:type="dxa"/>
            <w:tcBorders>
              <w:top w:val="nil"/>
              <w:left w:val="nil"/>
              <w:bottom w:val="single" w:sz="8" w:space="0" w:color="CEE7B3"/>
              <w:right w:val="nil"/>
            </w:tcBorders>
            <w:shd w:val="clear" w:color="000000" w:fill="008069"/>
            <w:noWrap/>
            <w:vAlign w:val="center"/>
            <w:hideMark/>
          </w:tcPr>
          <w:p w14:paraId="437967A3"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424E22">
              <w:rPr>
                <w:rFonts w:ascii="Work Sans SemiBold" w:eastAsia="Times New Roman" w:hAnsi="Work Sans SemiBold" w:cs="Times New Roman"/>
                <w:color w:val="FFFFFF"/>
                <w:sz w:val="16"/>
                <w:szCs w:val="16"/>
                <w:lang w:eastAsia="en-AU"/>
              </w:rPr>
              <w:t>SA</w:t>
            </w:r>
          </w:p>
        </w:tc>
        <w:tc>
          <w:tcPr>
            <w:tcW w:w="720" w:type="dxa"/>
            <w:tcBorders>
              <w:top w:val="nil"/>
              <w:left w:val="nil"/>
              <w:bottom w:val="single" w:sz="8" w:space="0" w:color="CEE7B3"/>
              <w:right w:val="nil"/>
            </w:tcBorders>
            <w:shd w:val="clear" w:color="000000" w:fill="008069"/>
            <w:noWrap/>
            <w:vAlign w:val="center"/>
            <w:hideMark/>
          </w:tcPr>
          <w:p w14:paraId="2389AAB7"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424E22">
              <w:rPr>
                <w:rFonts w:ascii="Work Sans SemiBold" w:eastAsia="Times New Roman" w:hAnsi="Work Sans SemiBold" w:cs="Times New Roman"/>
                <w:color w:val="FFFFFF"/>
                <w:sz w:val="16"/>
                <w:szCs w:val="16"/>
                <w:lang w:eastAsia="en-AU"/>
              </w:rPr>
              <w:t>Tas</w:t>
            </w:r>
          </w:p>
        </w:tc>
        <w:tc>
          <w:tcPr>
            <w:tcW w:w="720" w:type="dxa"/>
            <w:tcBorders>
              <w:top w:val="nil"/>
              <w:left w:val="nil"/>
              <w:bottom w:val="single" w:sz="8" w:space="0" w:color="CEE7B3"/>
              <w:right w:val="nil"/>
            </w:tcBorders>
            <w:shd w:val="clear" w:color="000000" w:fill="008069"/>
            <w:noWrap/>
            <w:vAlign w:val="center"/>
            <w:hideMark/>
          </w:tcPr>
          <w:p w14:paraId="7366E16E"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424E22">
              <w:rPr>
                <w:rFonts w:ascii="Work Sans SemiBold" w:eastAsia="Times New Roman" w:hAnsi="Work Sans SemiBold" w:cs="Times New Roman"/>
                <w:color w:val="FFFFFF"/>
                <w:sz w:val="16"/>
                <w:szCs w:val="16"/>
                <w:lang w:eastAsia="en-AU"/>
              </w:rPr>
              <w:t>ACT</w:t>
            </w:r>
          </w:p>
        </w:tc>
        <w:tc>
          <w:tcPr>
            <w:tcW w:w="720" w:type="dxa"/>
            <w:tcBorders>
              <w:top w:val="nil"/>
              <w:left w:val="nil"/>
              <w:bottom w:val="single" w:sz="8" w:space="0" w:color="CEE7B3"/>
              <w:right w:val="nil"/>
            </w:tcBorders>
            <w:shd w:val="clear" w:color="000000" w:fill="008069"/>
            <w:noWrap/>
            <w:vAlign w:val="center"/>
            <w:hideMark/>
          </w:tcPr>
          <w:p w14:paraId="4CE32695"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FFFFFF"/>
                <w:sz w:val="16"/>
                <w:szCs w:val="16"/>
                <w:lang w:eastAsia="en-AU"/>
              </w:rPr>
            </w:pPr>
            <w:r w:rsidRPr="00424E22">
              <w:rPr>
                <w:rFonts w:ascii="Work Sans SemiBold" w:eastAsia="Times New Roman" w:hAnsi="Work Sans SemiBold" w:cs="Times New Roman"/>
                <w:color w:val="FFFFFF"/>
                <w:sz w:val="16"/>
                <w:szCs w:val="16"/>
                <w:lang w:eastAsia="en-AU"/>
              </w:rPr>
              <w:t>NT</w:t>
            </w:r>
          </w:p>
        </w:tc>
        <w:tc>
          <w:tcPr>
            <w:tcW w:w="720" w:type="dxa"/>
            <w:tcBorders>
              <w:top w:val="nil"/>
              <w:left w:val="nil"/>
              <w:bottom w:val="single" w:sz="8" w:space="0" w:color="CEE7B3"/>
              <w:right w:val="nil"/>
            </w:tcBorders>
            <w:shd w:val="clear" w:color="000000" w:fill="008069"/>
            <w:vAlign w:val="center"/>
            <w:hideMark/>
          </w:tcPr>
          <w:p w14:paraId="414BF214"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FFFFFF"/>
                <w:sz w:val="16"/>
                <w:szCs w:val="16"/>
                <w:lang w:eastAsia="en-AU"/>
              </w:rPr>
            </w:pPr>
            <w:proofErr w:type="spellStart"/>
            <w:r w:rsidRPr="00424E22">
              <w:rPr>
                <w:rFonts w:ascii="Work Sans SemiBold" w:eastAsia="Times New Roman" w:hAnsi="Work Sans SemiBold" w:cs="Times New Roman"/>
                <w:color w:val="FFFFFF"/>
                <w:sz w:val="16"/>
                <w:szCs w:val="16"/>
                <w:lang w:eastAsia="en-AU"/>
              </w:rPr>
              <w:t>Redist</w:t>
            </w:r>
            <w:proofErr w:type="spellEnd"/>
          </w:p>
        </w:tc>
      </w:tr>
      <w:tr w:rsidR="00AB7DC1" w:rsidRPr="00424E22" w14:paraId="24CC477B" w14:textId="77777777" w:rsidTr="00424E22">
        <w:trPr>
          <w:trHeight w:val="259"/>
        </w:trPr>
        <w:tc>
          <w:tcPr>
            <w:tcW w:w="2620" w:type="dxa"/>
            <w:tcBorders>
              <w:top w:val="nil"/>
              <w:left w:val="nil"/>
              <w:bottom w:val="single" w:sz="8" w:space="0" w:color="CEE7B3"/>
              <w:right w:val="nil"/>
            </w:tcBorders>
            <w:shd w:val="clear" w:color="000000" w:fill="66B3A5"/>
            <w:vAlign w:val="center"/>
            <w:hideMark/>
          </w:tcPr>
          <w:p w14:paraId="2D3CE107" w14:textId="77777777" w:rsidR="00AB7DC1" w:rsidRPr="00424E22" w:rsidRDefault="00AB7DC1" w:rsidP="003330D1">
            <w:pPr>
              <w:keepNext/>
              <w:keepLines/>
              <w:widowControl w:val="0"/>
              <w:tabs>
                <w:tab w:val="clear" w:pos="567"/>
              </w:tabs>
              <w:spacing w:before="0" w:line="240" w:lineRule="auto"/>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 </w:t>
            </w:r>
          </w:p>
        </w:tc>
        <w:tc>
          <w:tcPr>
            <w:tcW w:w="720" w:type="dxa"/>
            <w:tcBorders>
              <w:top w:val="nil"/>
              <w:left w:val="nil"/>
              <w:bottom w:val="single" w:sz="8" w:space="0" w:color="CEE7B3"/>
              <w:right w:val="nil"/>
            </w:tcBorders>
            <w:shd w:val="clear" w:color="000000" w:fill="66B3A5"/>
            <w:noWrap/>
            <w:vAlign w:val="center"/>
            <w:hideMark/>
          </w:tcPr>
          <w:p w14:paraId="13918CAF"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$m</w:t>
            </w:r>
          </w:p>
        </w:tc>
        <w:tc>
          <w:tcPr>
            <w:tcW w:w="720" w:type="dxa"/>
            <w:tcBorders>
              <w:top w:val="nil"/>
              <w:left w:val="nil"/>
              <w:bottom w:val="single" w:sz="8" w:space="0" w:color="CEE7B3"/>
              <w:right w:val="nil"/>
            </w:tcBorders>
            <w:shd w:val="clear" w:color="000000" w:fill="66B3A5"/>
            <w:noWrap/>
            <w:vAlign w:val="center"/>
            <w:hideMark/>
          </w:tcPr>
          <w:p w14:paraId="51CEBF75"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$m</w:t>
            </w:r>
          </w:p>
        </w:tc>
        <w:tc>
          <w:tcPr>
            <w:tcW w:w="720" w:type="dxa"/>
            <w:tcBorders>
              <w:top w:val="nil"/>
              <w:left w:val="nil"/>
              <w:bottom w:val="single" w:sz="8" w:space="0" w:color="CEE7B3"/>
              <w:right w:val="nil"/>
            </w:tcBorders>
            <w:shd w:val="clear" w:color="000000" w:fill="66B3A5"/>
            <w:noWrap/>
            <w:vAlign w:val="center"/>
            <w:hideMark/>
          </w:tcPr>
          <w:p w14:paraId="0393D9F4"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$m</w:t>
            </w:r>
          </w:p>
        </w:tc>
        <w:tc>
          <w:tcPr>
            <w:tcW w:w="720" w:type="dxa"/>
            <w:tcBorders>
              <w:top w:val="nil"/>
              <w:left w:val="nil"/>
              <w:bottom w:val="single" w:sz="8" w:space="0" w:color="CEE7B3"/>
              <w:right w:val="nil"/>
            </w:tcBorders>
            <w:shd w:val="clear" w:color="000000" w:fill="66B3A5"/>
            <w:noWrap/>
            <w:vAlign w:val="center"/>
            <w:hideMark/>
          </w:tcPr>
          <w:p w14:paraId="5A1D0F13"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$m</w:t>
            </w:r>
          </w:p>
        </w:tc>
        <w:tc>
          <w:tcPr>
            <w:tcW w:w="720" w:type="dxa"/>
            <w:tcBorders>
              <w:top w:val="nil"/>
              <w:left w:val="nil"/>
              <w:bottom w:val="single" w:sz="8" w:space="0" w:color="CEE7B3"/>
              <w:right w:val="nil"/>
            </w:tcBorders>
            <w:shd w:val="clear" w:color="000000" w:fill="66B3A5"/>
            <w:noWrap/>
            <w:vAlign w:val="center"/>
            <w:hideMark/>
          </w:tcPr>
          <w:p w14:paraId="27D836E7"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$m</w:t>
            </w:r>
          </w:p>
        </w:tc>
        <w:tc>
          <w:tcPr>
            <w:tcW w:w="720" w:type="dxa"/>
            <w:tcBorders>
              <w:top w:val="nil"/>
              <w:left w:val="nil"/>
              <w:bottom w:val="single" w:sz="8" w:space="0" w:color="CEE7B3"/>
              <w:right w:val="nil"/>
            </w:tcBorders>
            <w:shd w:val="clear" w:color="000000" w:fill="66B3A5"/>
            <w:noWrap/>
            <w:vAlign w:val="center"/>
            <w:hideMark/>
          </w:tcPr>
          <w:p w14:paraId="2CBEFE15"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$m</w:t>
            </w:r>
          </w:p>
        </w:tc>
        <w:tc>
          <w:tcPr>
            <w:tcW w:w="720" w:type="dxa"/>
            <w:tcBorders>
              <w:top w:val="nil"/>
              <w:left w:val="nil"/>
              <w:bottom w:val="single" w:sz="8" w:space="0" w:color="CEE7B3"/>
              <w:right w:val="nil"/>
            </w:tcBorders>
            <w:shd w:val="clear" w:color="000000" w:fill="66B3A5"/>
            <w:noWrap/>
            <w:vAlign w:val="center"/>
            <w:hideMark/>
          </w:tcPr>
          <w:p w14:paraId="36262E04"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$m</w:t>
            </w:r>
          </w:p>
        </w:tc>
        <w:tc>
          <w:tcPr>
            <w:tcW w:w="720" w:type="dxa"/>
            <w:tcBorders>
              <w:top w:val="nil"/>
              <w:left w:val="nil"/>
              <w:bottom w:val="single" w:sz="8" w:space="0" w:color="CEE7B3"/>
              <w:right w:val="nil"/>
            </w:tcBorders>
            <w:shd w:val="clear" w:color="000000" w:fill="66B3A5"/>
            <w:noWrap/>
            <w:vAlign w:val="center"/>
            <w:hideMark/>
          </w:tcPr>
          <w:p w14:paraId="71C026BE"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$m</w:t>
            </w:r>
          </w:p>
        </w:tc>
        <w:tc>
          <w:tcPr>
            <w:tcW w:w="720" w:type="dxa"/>
            <w:tcBorders>
              <w:top w:val="nil"/>
              <w:left w:val="nil"/>
              <w:bottom w:val="single" w:sz="8" w:space="0" w:color="CEE7B3"/>
              <w:right w:val="nil"/>
            </w:tcBorders>
            <w:shd w:val="clear" w:color="000000" w:fill="66B3A5"/>
            <w:noWrap/>
            <w:vAlign w:val="center"/>
            <w:hideMark/>
          </w:tcPr>
          <w:p w14:paraId="739B3850"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$m</w:t>
            </w:r>
          </w:p>
        </w:tc>
      </w:tr>
      <w:tr w:rsidR="00AB7DC1" w:rsidRPr="00424E22" w14:paraId="7F3DD8CE"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4BDEFB3F"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Schools</w:t>
            </w:r>
          </w:p>
        </w:tc>
        <w:tc>
          <w:tcPr>
            <w:tcW w:w="720" w:type="dxa"/>
            <w:tcBorders>
              <w:top w:val="nil"/>
              <w:left w:val="nil"/>
              <w:bottom w:val="single" w:sz="8" w:space="0" w:color="CEE7B3"/>
              <w:right w:val="nil"/>
            </w:tcBorders>
            <w:shd w:val="clear" w:color="000000" w:fill="FFFFFF"/>
            <w:noWrap/>
            <w:vAlign w:val="center"/>
            <w:hideMark/>
          </w:tcPr>
          <w:p w14:paraId="44597741"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-138</w:t>
            </w:r>
          </w:p>
        </w:tc>
        <w:tc>
          <w:tcPr>
            <w:tcW w:w="720" w:type="dxa"/>
            <w:tcBorders>
              <w:top w:val="nil"/>
              <w:left w:val="nil"/>
              <w:bottom w:val="single" w:sz="8" w:space="0" w:color="CEE7B3"/>
              <w:right w:val="nil"/>
            </w:tcBorders>
            <w:shd w:val="clear" w:color="000000" w:fill="FFFFFF"/>
            <w:noWrap/>
            <w:vAlign w:val="center"/>
            <w:hideMark/>
          </w:tcPr>
          <w:p w14:paraId="3740CA83"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-73</w:t>
            </w:r>
          </w:p>
        </w:tc>
        <w:tc>
          <w:tcPr>
            <w:tcW w:w="720" w:type="dxa"/>
            <w:tcBorders>
              <w:top w:val="nil"/>
              <w:left w:val="nil"/>
              <w:bottom w:val="single" w:sz="8" w:space="0" w:color="CEE7B3"/>
              <w:right w:val="nil"/>
            </w:tcBorders>
            <w:shd w:val="clear" w:color="000000" w:fill="FFFFFF"/>
            <w:noWrap/>
            <w:vAlign w:val="center"/>
            <w:hideMark/>
          </w:tcPr>
          <w:p w14:paraId="4BA5CB85"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140</w:t>
            </w:r>
          </w:p>
        </w:tc>
        <w:tc>
          <w:tcPr>
            <w:tcW w:w="720" w:type="dxa"/>
            <w:tcBorders>
              <w:top w:val="nil"/>
              <w:left w:val="nil"/>
              <w:bottom w:val="single" w:sz="8" w:space="0" w:color="CEE7B3"/>
              <w:right w:val="nil"/>
            </w:tcBorders>
            <w:shd w:val="clear" w:color="000000" w:fill="FFFFFF"/>
            <w:noWrap/>
            <w:vAlign w:val="center"/>
            <w:hideMark/>
          </w:tcPr>
          <w:p w14:paraId="327D958B"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95</w:t>
            </w:r>
          </w:p>
        </w:tc>
        <w:tc>
          <w:tcPr>
            <w:tcW w:w="720" w:type="dxa"/>
            <w:tcBorders>
              <w:top w:val="nil"/>
              <w:left w:val="nil"/>
              <w:bottom w:val="single" w:sz="8" w:space="0" w:color="CEE7B3"/>
              <w:right w:val="nil"/>
            </w:tcBorders>
            <w:shd w:val="clear" w:color="000000" w:fill="FFFFFF"/>
            <w:noWrap/>
            <w:vAlign w:val="center"/>
            <w:hideMark/>
          </w:tcPr>
          <w:p w14:paraId="16DEC260"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-43</w:t>
            </w:r>
          </w:p>
        </w:tc>
        <w:tc>
          <w:tcPr>
            <w:tcW w:w="720" w:type="dxa"/>
            <w:tcBorders>
              <w:top w:val="nil"/>
              <w:left w:val="nil"/>
              <w:bottom w:val="single" w:sz="8" w:space="0" w:color="CEE7B3"/>
              <w:right w:val="nil"/>
            </w:tcBorders>
            <w:shd w:val="clear" w:color="000000" w:fill="FFFFFF"/>
            <w:noWrap/>
            <w:vAlign w:val="center"/>
            <w:hideMark/>
          </w:tcPr>
          <w:p w14:paraId="7AD39E49"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-21</w:t>
            </w:r>
          </w:p>
        </w:tc>
        <w:tc>
          <w:tcPr>
            <w:tcW w:w="720" w:type="dxa"/>
            <w:tcBorders>
              <w:top w:val="nil"/>
              <w:left w:val="nil"/>
              <w:bottom w:val="single" w:sz="8" w:space="0" w:color="CEE7B3"/>
              <w:right w:val="nil"/>
            </w:tcBorders>
            <w:shd w:val="clear" w:color="000000" w:fill="FFFFFF"/>
            <w:noWrap/>
            <w:vAlign w:val="center"/>
            <w:hideMark/>
          </w:tcPr>
          <w:p w14:paraId="236C4651"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21</w:t>
            </w:r>
          </w:p>
        </w:tc>
        <w:tc>
          <w:tcPr>
            <w:tcW w:w="720" w:type="dxa"/>
            <w:tcBorders>
              <w:top w:val="nil"/>
              <w:left w:val="nil"/>
              <w:bottom w:val="single" w:sz="8" w:space="0" w:color="CEE7B3"/>
              <w:right w:val="nil"/>
            </w:tcBorders>
            <w:shd w:val="clear" w:color="000000" w:fill="FFFFFF"/>
            <w:noWrap/>
            <w:vAlign w:val="center"/>
            <w:hideMark/>
          </w:tcPr>
          <w:p w14:paraId="0BD24534"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20</w:t>
            </w:r>
          </w:p>
        </w:tc>
        <w:tc>
          <w:tcPr>
            <w:tcW w:w="720" w:type="dxa"/>
            <w:tcBorders>
              <w:top w:val="nil"/>
              <w:left w:val="nil"/>
              <w:bottom w:val="single" w:sz="8" w:space="0" w:color="CEE7B3"/>
              <w:right w:val="nil"/>
            </w:tcBorders>
            <w:shd w:val="clear" w:color="000000" w:fill="FFFFFF"/>
            <w:noWrap/>
            <w:vAlign w:val="center"/>
            <w:hideMark/>
          </w:tcPr>
          <w:p w14:paraId="1CB5A313"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275</w:t>
            </w:r>
          </w:p>
        </w:tc>
      </w:tr>
      <w:tr w:rsidR="00AB7DC1" w:rsidRPr="00424E22" w14:paraId="27DF2E69"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02B34CED"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Post-secondary education</w:t>
            </w:r>
          </w:p>
        </w:tc>
        <w:tc>
          <w:tcPr>
            <w:tcW w:w="720" w:type="dxa"/>
            <w:tcBorders>
              <w:top w:val="nil"/>
              <w:left w:val="nil"/>
              <w:bottom w:val="single" w:sz="8" w:space="0" w:color="CEE7B3"/>
              <w:right w:val="nil"/>
            </w:tcBorders>
            <w:shd w:val="clear" w:color="000000" w:fill="FFFFFF"/>
            <w:noWrap/>
            <w:vAlign w:val="center"/>
            <w:hideMark/>
          </w:tcPr>
          <w:p w14:paraId="339ADDC4"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c>
          <w:tcPr>
            <w:tcW w:w="720" w:type="dxa"/>
            <w:tcBorders>
              <w:top w:val="nil"/>
              <w:left w:val="nil"/>
              <w:bottom w:val="single" w:sz="8" w:space="0" w:color="CEE7B3"/>
              <w:right w:val="nil"/>
            </w:tcBorders>
            <w:shd w:val="clear" w:color="000000" w:fill="FFFFFF"/>
            <w:noWrap/>
            <w:vAlign w:val="center"/>
            <w:hideMark/>
          </w:tcPr>
          <w:p w14:paraId="573A6E7D"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w:t>
            </w:r>
          </w:p>
        </w:tc>
        <w:tc>
          <w:tcPr>
            <w:tcW w:w="720" w:type="dxa"/>
            <w:tcBorders>
              <w:top w:val="nil"/>
              <w:left w:val="nil"/>
              <w:bottom w:val="single" w:sz="8" w:space="0" w:color="CEE7B3"/>
              <w:right w:val="nil"/>
            </w:tcBorders>
            <w:shd w:val="clear" w:color="000000" w:fill="FFFFFF"/>
            <w:noWrap/>
            <w:vAlign w:val="center"/>
            <w:hideMark/>
          </w:tcPr>
          <w:p w14:paraId="77AD8A6C"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w:t>
            </w:r>
          </w:p>
        </w:tc>
        <w:tc>
          <w:tcPr>
            <w:tcW w:w="720" w:type="dxa"/>
            <w:tcBorders>
              <w:top w:val="nil"/>
              <w:left w:val="nil"/>
              <w:bottom w:val="single" w:sz="8" w:space="0" w:color="CEE7B3"/>
              <w:right w:val="nil"/>
            </w:tcBorders>
            <w:shd w:val="clear" w:color="000000" w:fill="FFFFFF"/>
            <w:noWrap/>
            <w:vAlign w:val="center"/>
            <w:hideMark/>
          </w:tcPr>
          <w:p w14:paraId="57A44958"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w:t>
            </w:r>
          </w:p>
        </w:tc>
        <w:tc>
          <w:tcPr>
            <w:tcW w:w="720" w:type="dxa"/>
            <w:tcBorders>
              <w:top w:val="nil"/>
              <w:left w:val="nil"/>
              <w:bottom w:val="single" w:sz="8" w:space="0" w:color="CEE7B3"/>
              <w:right w:val="nil"/>
            </w:tcBorders>
            <w:shd w:val="clear" w:color="000000" w:fill="FFFFFF"/>
            <w:noWrap/>
            <w:vAlign w:val="center"/>
            <w:hideMark/>
          </w:tcPr>
          <w:p w14:paraId="549E9567"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w:t>
            </w:r>
          </w:p>
        </w:tc>
        <w:tc>
          <w:tcPr>
            <w:tcW w:w="720" w:type="dxa"/>
            <w:tcBorders>
              <w:top w:val="nil"/>
              <w:left w:val="nil"/>
              <w:bottom w:val="single" w:sz="8" w:space="0" w:color="CEE7B3"/>
              <w:right w:val="nil"/>
            </w:tcBorders>
            <w:shd w:val="clear" w:color="000000" w:fill="FFFFFF"/>
            <w:noWrap/>
            <w:vAlign w:val="center"/>
            <w:hideMark/>
          </w:tcPr>
          <w:p w14:paraId="62D6617D"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c>
          <w:tcPr>
            <w:tcW w:w="720" w:type="dxa"/>
            <w:tcBorders>
              <w:top w:val="nil"/>
              <w:left w:val="nil"/>
              <w:bottom w:val="single" w:sz="8" w:space="0" w:color="CEE7B3"/>
              <w:right w:val="nil"/>
            </w:tcBorders>
            <w:shd w:val="clear" w:color="000000" w:fill="FFFFFF"/>
            <w:noWrap/>
            <w:vAlign w:val="center"/>
            <w:hideMark/>
          </w:tcPr>
          <w:p w14:paraId="5566E6C7"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c>
          <w:tcPr>
            <w:tcW w:w="720" w:type="dxa"/>
            <w:tcBorders>
              <w:top w:val="nil"/>
              <w:left w:val="nil"/>
              <w:bottom w:val="single" w:sz="8" w:space="0" w:color="CEE7B3"/>
              <w:right w:val="nil"/>
            </w:tcBorders>
            <w:shd w:val="clear" w:color="000000" w:fill="FFFFFF"/>
            <w:noWrap/>
            <w:vAlign w:val="center"/>
            <w:hideMark/>
          </w:tcPr>
          <w:p w14:paraId="67B04F7C"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c>
          <w:tcPr>
            <w:tcW w:w="720" w:type="dxa"/>
            <w:tcBorders>
              <w:top w:val="nil"/>
              <w:left w:val="nil"/>
              <w:bottom w:val="single" w:sz="8" w:space="0" w:color="CEE7B3"/>
              <w:right w:val="nil"/>
            </w:tcBorders>
            <w:shd w:val="clear" w:color="000000" w:fill="FFFFFF"/>
            <w:noWrap/>
            <w:vAlign w:val="center"/>
            <w:hideMark/>
          </w:tcPr>
          <w:p w14:paraId="71E6372A"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6</w:t>
            </w:r>
          </w:p>
        </w:tc>
      </w:tr>
      <w:tr w:rsidR="00AB7DC1" w:rsidRPr="00424E22" w14:paraId="3F32DF93"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38043834"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Health</w:t>
            </w:r>
          </w:p>
        </w:tc>
        <w:tc>
          <w:tcPr>
            <w:tcW w:w="720" w:type="dxa"/>
            <w:tcBorders>
              <w:top w:val="nil"/>
              <w:left w:val="nil"/>
              <w:bottom w:val="single" w:sz="8" w:space="0" w:color="CEE7B3"/>
              <w:right w:val="nil"/>
            </w:tcBorders>
            <w:shd w:val="clear" w:color="000000" w:fill="FFFFFF"/>
            <w:noWrap/>
            <w:vAlign w:val="center"/>
            <w:hideMark/>
          </w:tcPr>
          <w:p w14:paraId="14ECF65D"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-72</w:t>
            </w:r>
          </w:p>
        </w:tc>
        <w:tc>
          <w:tcPr>
            <w:tcW w:w="720" w:type="dxa"/>
            <w:tcBorders>
              <w:top w:val="nil"/>
              <w:left w:val="nil"/>
              <w:bottom w:val="single" w:sz="8" w:space="0" w:color="CEE7B3"/>
              <w:right w:val="nil"/>
            </w:tcBorders>
            <w:shd w:val="clear" w:color="000000" w:fill="FFFFFF"/>
            <w:noWrap/>
            <w:vAlign w:val="center"/>
            <w:hideMark/>
          </w:tcPr>
          <w:p w14:paraId="61B40E99"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-226</w:t>
            </w:r>
          </w:p>
        </w:tc>
        <w:tc>
          <w:tcPr>
            <w:tcW w:w="720" w:type="dxa"/>
            <w:tcBorders>
              <w:top w:val="nil"/>
              <w:left w:val="nil"/>
              <w:bottom w:val="single" w:sz="8" w:space="0" w:color="CEE7B3"/>
              <w:right w:val="nil"/>
            </w:tcBorders>
            <w:shd w:val="clear" w:color="000000" w:fill="FFFFFF"/>
            <w:noWrap/>
            <w:vAlign w:val="center"/>
            <w:hideMark/>
          </w:tcPr>
          <w:p w14:paraId="53A0E1FE"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100</w:t>
            </w:r>
          </w:p>
        </w:tc>
        <w:tc>
          <w:tcPr>
            <w:tcW w:w="720" w:type="dxa"/>
            <w:tcBorders>
              <w:top w:val="nil"/>
              <w:left w:val="nil"/>
              <w:bottom w:val="single" w:sz="8" w:space="0" w:color="CEE7B3"/>
              <w:right w:val="nil"/>
            </w:tcBorders>
            <w:shd w:val="clear" w:color="000000" w:fill="FFFFFF"/>
            <w:noWrap/>
            <w:vAlign w:val="center"/>
            <w:hideMark/>
          </w:tcPr>
          <w:p w14:paraId="5E0AA204"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56</w:t>
            </w:r>
          </w:p>
        </w:tc>
        <w:tc>
          <w:tcPr>
            <w:tcW w:w="720" w:type="dxa"/>
            <w:tcBorders>
              <w:top w:val="nil"/>
              <w:left w:val="nil"/>
              <w:bottom w:val="single" w:sz="8" w:space="0" w:color="CEE7B3"/>
              <w:right w:val="nil"/>
            </w:tcBorders>
            <w:shd w:val="clear" w:color="000000" w:fill="FFFFFF"/>
            <w:noWrap/>
            <w:vAlign w:val="center"/>
            <w:hideMark/>
          </w:tcPr>
          <w:p w14:paraId="58F65E00"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28</w:t>
            </w:r>
          </w:p>
        </w:tc>
        <w:tc>
          <w:tcPr>
            <w:tcW w:w="720" w:type="dxa"/>
            <w:tcBorders>
              <w:top w:val="nil"/>
              <w:left w:val="nil"/>
              <w:bottom w:val="single" w:sz="8" w:space="0" w:color="CEE7B3"/>
              <w:right w:val="nil"/>
            </w:tcBorders>
            <w:shd w:val="clear" w:color="000000" w:fill="FFFFFF"/>
            <w:noWrap/>
            <w:vAlign w:val="center"/>
            <w:hideMark/>
          </w:tcPr>
          <w:p w14:paraId="7E810B13"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50</w:t>
            </w:r>
          </w:p>
        </w:tc>
        <w:tc>
          <w:tcPr>
            <w:tcW w:w="720" w:type="dxa"/>
            <w:tcBorders>
              <w:top w:val="nil"/>
              <w:left w:val="nil"/>
              <w:bottom w:val="single" w:sz="8" w:space="0" w:color="CEE7B3"/>
              <w:right w:val="nil"/>
            </w:tcBorders>
            <w:shd w:val="clear" w:color="000000" w:fill="FFFFFF"/>
            <w:noWrap/>
            <w:vAlign w:val="center"/>
            <w:hideMark/>
          </w:tcPr>
          <w:p w14:paraId="3792D961"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w:t>
            </w:r>
          </w:p>
        </w:tc>
        <w:tc>
          <w:tcPr>
            <w:tcW w:w="720" w:type="dxa"/>
            <w:tcBorders>
              <w:top w:val="nil"/>
              <w:left w:val="nil"/>
              <w:bottom w:val="single" w:sz="8" w:space="0" w:color="CEE7B3"/>
              <w:right w:val="nil"/>
            </w:tcBorders>
            <w:shd w:val="clear" w:color="000000" w:fill="FFFFFF"/>
            <w:noWrap/>
            <w:vAlign w:val="center"/>
            <w:hideMark/>
          </w:tcPr>
          <w:p w14:paraId="17AA3349"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66</w:t>
            </w:r>
          </w:p>
        </w:tc>
        <w:tc>
          <w:tcPr>
            <w:tcW w:w="720" w:type="dxa"/>
            <w:tcBorders>
              <w:top w:val="nil"/>
              <w:left w:val="nil"/>
              <w:bottom w:val="single" w:sz="8" w:space="0" w:color="CEE7B3"/>
              <w:right w:val="nil"/>
            </w:tcBorders>
            <w:shd w:val="clear" w:color="000000" w:fill="FFFFFF"/>
            <w:noWrap/>
            <w:vAlign w:val="center"/>
            <w:hideMark/>
          </w:tcPr>
          <w:p w14:paraId="777E3136"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300</w:t>
            </w:r>
          </w:p>
        </w:tc>
      </w:tr>
      <w:tr w:rsidR="00AB7DC1" w:rsidRPr="00424E22" w14:paraId="4325F880"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1DB7E717"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Housing</w:t>
            </w:r>
          </w:p>
        </w:tc>
        <w:tc>
          <w:tcPr>
            <w:tcW w:w="720" w:type="dxa"/>
            <w:tcBorders>
              <w:top w:val="nil"/>
              <w:left w:val="nil"/>
              <w:bottom w:val="single" w:sz="8" w:space="0" w:color="CEE7B3"/>
              <w:right w:val="nil"/>
            </w:tcBorders>
            <w:shd w:val="clear" w:color="000000" w:fill="FFFFFF"/>
            <w:noWrap/>
            <w:vAlign w:val="center"/>
            <w:hideMark/>
          </w:tcPr>
          <w:p w14:paraId="33292B48"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-31</w:t>
            </w:r>
          </w:p>
        </w:tc>
        <w:tc>
          <w:tcPr>
            <w:tcW w:w="720" w:type="dxa"/>
            <w:tcBorders>
              <w:top w:val="nil"/>
              <w:left w:val="nil"/>
              <w:bottom w:val="single" w:sz="8" w:space="0" w:color="CEE7B3"/>
              <w:right w:val="nil"/>
            </w:tcBorders>
            <w:shd w:val="clear" w:color="000000" w:fill="FFFFFF"/>
            <w:noWrap/>
            <w:vAlign w:val="center"/>
            <w:hideMark/>
          </w:tcPr>
          <w:p w14:paraId="4D6E3F66"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-4</w:t>
            </w:r>
          </w:p>
        </w:tc>
        <w:tc>
          <w:tcPr>
            <w:tcW w:w="720" w:type="dxa"/>
            <w:tcBorders>
              <w:top w:val="nil"/>
              <w:left w:val="nil"/>
              <w:bottom w:val="single" w:sz="8" w:space="0" w:color="CEE7B3"/>
              <w:right w:val="nil"/>
            </w:tcBorders>
            <w:shd w:val="clear" w:color="000000" w:fill="FFFFFF"/>
            <w:noWrap/>
            <w:vAlign w:val="center"/>
            <w:hideMark/>
          </w:tcPr>
          <w:p w14:paraId="19830885"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51</w:t>
            </w:r>
          </w:p>
        </w:tc>
        <w:tc>
          <w:tcPr>
            <w:tcW w:w="720" w:type="dxa"/>
            <w:tcBorders>
              <w:top w:val="nil"/>
              <w:left w:val="nil"/>
              <w:bottom w:val="single" w:sz="8" w:space="0" w:color="CEE7B3"/>
              <w:right w:val="nil"/>
            </w:tcBorders>
            <w:shd w:val="clear" w:color="000000" w:fill="FFFFFF"/>
            <w:noWrap/>
            <w:vAlign w:val="center"/>
            <w:hideMark/>
          </w:tcPr>
          <w:p w14:paraId="52EA8F56"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9</w:t>
            </w:r>
          </w:p>
        </w:tc>
        <w:tc>
          <w:tcPr>
            <w:tcW w:w="720" w:type="dxa"/>
            <w:tcBorders>
              <w:top w:val="nil"/>
              <w:left w:val="nil"/>
              <w:bottom w:val="single" w:sz="8" w:space="0" w:color="CEE7B3"/>
              <w:right w:val="nil"/>
            </w:tcBorders>
            <w:shd w:val="clear" w:color="000000" w:fill="FFFFFF"/>
            <w:noWrap/>
            <w:vAlign w:val="center"/>
            <w:hideMark/>
          </w:tcPr>
          <w:p w14:paraId="0B89B8DA"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-11</w:t>
            </w:r>
          </w:p>
        </w:tc>
        <w:tc>
          <w:tcPr>
            <w:tcW w:w="720" w:type="dxa"/>
            <w:tcBorders>
              <w:top w:val="nil"/>
              <w:left w:val="nil"/>
              <w:bottom w:val="single" w:sz="8" w:space="0" w:color="CEE7B3"/>
              <w:right w:val="nil"/>
            </w:tcBorders>
            <w:shd w:val="clear" w:color="000000" w:fill="FFFFFF"/>
            <w:noWrap/>
            <w:vAlign w:val="center"/>
            <w:hideMark/>
          </w:tcPr>
          <w:p w14:paraId="3D85382C"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-4</w:t>
            </w:r>
          </w:p>
        </w:tc>
        <w:tc>
          <w:tcPr>
            <w:tcW w:w="720" w:type="dxa"/>
            <w:tcBorders>
              <w:top w:val="nil"/>
              <w:left w:val="nil"/>
              <w:bottom w:val="single" w:sz="8" w:space="0" w:color="CEE7B3"/>
              <w:right w:val="nil"/>
            </w:tcBorders>
            <w:shd w:val="clear" w:color="000000" w:fill="FFFFFF"/>
            <w:noWrap/>
            <w:vAlign w:val="center"/>
            <w:hideMark/>
          </w:tcPr>
          <w:p w14:paraId="3AC8B392"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-6</w:t>
            </w:r>
          </w:p>
        </w:tc>
        <w:tc>
          <w:tcPr>
            <w:tcW w:w="720" w:type="dxa"/>
            <w:tcBorders>
              <w:top w:val="nil"/>
              <w:left w:val="nil"/>
              <w:bottom w:val="single" w:sz="8" w:space="0" w:color="CEE7B3"/>
              <w:right w:val="nil"/>
            </w:tcBorders>
            <w:shd w:val="clear" w:color="000000" w:fill="FFFFFF"/>
            <w:noWrap/>
            <w:vAlign w:val="center"/>
            <w:hideMark/>
          </w:tcPr>
          <w:p w14:paraId="409DBBBC"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w:t>
            </w:r>
          </w:p>
        </w:tc>
        <w:tc>
          <w:tcPr>
            <w:tcW w:w="720" w:type="dxa"/>
            <w:tcBorders>
              <w:top w:val="nil"/>
              <w:left w:val="nil"/>
              <w:bottom w:val="single" w:sz="8" w:space="0" w:color="CEE7B3"/>
              <w:right w:val="nil"/>
            </w:tcBorders>
            <w:shd w:val="clear" w:color="000000" w:fill="FFFFFF"/>
            <w:noWrap/>
            <w:vAlign w:val="center"/>
            <w:hideMark/>
          </w:tcPr>
          <w:p w14:paraId="7E37F103"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59</w:t>
            </w:r>
          </w:p>
        </w:tc>
      </w:tr>
      <w:tr w:rsidR="00AB7DC1" w:rsidRPr="00424E22" w14:paraId="745FBC1F"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22BB1C72"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Welfare</w:t>
            </w:r>
          </w:p>
        </w:tc>
        <w:tc>
          <w:tcPr>
            <w:tcW w:w="720" w:type="dxa"/>
            <w:tcBorders>
              <w:top w:val="nil"/>
              <w:left w:val="nil"/>
              <w:bottom w:val="single" w:sz="8" w:space="0" w:color="CEE7B3"/>
              <w:right w:val="nil"/>
            </w:tcBorders>
            <w:shd w:val="clear" w:color="000000" w:fill="FFFFFF"/>
            <w:noWrap/>
            <w:vAlign w:val="center"/>
            <w:hideMark/>
          </w:tcPr>
          <w:p w14:paraId="7F3F0200"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4</w:t>
            </w:r>
          </w:p>
        </w:tc>
        <w:tc>
          <w:tcPr>
            <w:tcW w:w="720" w:type="dxa"/>
            <w:tcBorders>
              <w:top w:val="nil"/>
              <w:left w:val="nil"/>
              <w:bottom w:val="single" w:sz="8" w:space="0" w:color="CEE7B3"/>
              <w:right w:val="nil"/>
            </w:tcBorders>
            <w:shd w:val="clear" w:color="000000" w:fill="FFFFFF"/>
            <w:noWrap/>
            <w:vAlign w:val="center"/>
            <w:hideMark/>
          </w:tcPr>
          <w:p w14:paraId="2F3CA9DF"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-11</w:t>
            </w:r>
          </w:p>
        </w:tc>
        <w:tc>
          <w:tcPr>
            <w:tcW w:w="720" w:type="dxa"/>
            <w:tcBorders>
              <w:top w:val="nil"/>
              <w:left w:val="nil"/>
              <w:bottom w:val="single" w:sz="8" w:space="0" w:color="CEE7B3"/>
              <w:right w:val="nil"/>
            </w:tcBorders>
            <w:shd w:val="clear" w:color="000000" w:fill="FFFFFF"/>
            <w:noWrap/>
            <w:vAlign w:val="center"/>
            <w:hideMark/>
          </w:tcPr>
          <w:p w14:paraId="454D8AD5"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w:t>
            </w:r>
          </w:p>
        </w:tc>
        <w:tc>
          <w:tcPr>
            <w:tcW w:w="720" w:type="dxa"/>
            <w:tcBorders>
              <w:top w:val="nil"/>
              <w:left w:val="nil"/>
              <w:bottom w:val="single" w:sz="8" w:space="0" w:color="CEE7B3"/>
              <w:right w:val="nil"/>
            </w:tcBorders>
            <w:shd w:val="clear" w:color="000000" w:fill="FFFFFF"/>
            <w:noWrap/>
            <w:vAlign w:val="center"/>
            <w:hideMark/>
          </w:tcPr>
          <w:p w14:paraId="4AD3D768"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w:t>
            </w:r>
          </w:p>
        </w:tc>
        <w:tc>
          <w:tcPr>
            <w:tcW w:w="720" w:type="dxa"/>
            <w:tcBorders>
              <w:top w:val="nil"/>
              <w:left w:val="nil"/>
              <w:bottom w:val="single" w:sz="8" w:space="0" w:color="CEE7B3"/>
              <w:right w:val="nil"/>
            </w:tcBorders>
            <w:shd w:val="clear" w:color="000000" w:fill="FFFFFF"/>
            <w:noWrap/>
            <w:vAlign w:val="center"/>
            <w:hideMark/>
          </w:tcPr>
          <w:p w14:paraId="3BFB9C4E"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3EA828EA"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c>
          <w:tcPr>
            <w:tcW w:w="720" w:type="dxa"/>
            <w:tcBorders>
              <w:top w:val="nil"/>
              <w:left w:val="nil"/>
              <w:bottom w:val="single" w:sz="8" w:space="0" w:color="CEE7B3"/>
              <w:right w:val="nil"/>
            </w:tcBorders>
            <w:shd w:val="clear" w:color="000000" w:fill="FFFFFF"/>
            <w:noWrap/>
            <w:vAlign w:val="center"/>
            <w:hideMark/>
          </w:tcPr>
          <w:p w14:paraId="543664E9"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45CA188F"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w:t>
            </w:r>
          </w:p>
        </w:tc>
        <w:tc>
          <w:tcPr>
            <w:tcW w:w="720" w:type="dxa"/>
            <w:tcBorders>
              <w:top w:val="nil"/>
              <w:left w:val="nil"/>
              <w:bottom w:val="single" w:sz="8" w:space="0" w:color="CEE7B3"/>
              <w:right w:val="nil"/>
            </w:tcBorders>
            <w:shd w:val="clear" w:color="000000" w:fill="FFFFFF"/>
            <w:noWrap/>
            <w:vAlign w:val="center"/>
            <w:hideMark/>
          </w:tcPr>
          <w:p w14:paraId="751CFE96"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11</w:t>
            </w:r>
          </w:p>
        </w:tc>
      </w:tr>
      <w:tr w:rsidR="00AB7DC1" w:rsidRPr="00424E22" w14:paraId="29CEA137"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17C0E661"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Services to communities</w:t>
            </w:r>
          </w:p>
        </w:tc>
        <w:tc>
          <w:tcPr>
            <w:tcW w:w="720" w:type="dxa"/>
            <w:tcBorders>
              <w:top w:val="nil"/>
              <w:left w:val="nil"/>
              <w:bottom w:val="single" w:sz="8" w:space="0" w:color="CEE7B3"/>
              <w:right w:val="nil"/>
            </w:tcBorders>
            <w:shd w:val="clear" w:color="000000" w:fill="FFFFFF"/>
            <w:noWrap/>
            <w:vAlign w:val="center"/>
            <w:hideMark/>
          </w:tcPr>
          <w:p w14:paraId="5E52C71E"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w:t>
            </w:r>
          </w:p>
        </w:tc>
        <w:tc>
          <w:tcPr>
            <w:tcW w:w="720" w:type="dxa"/>
            <w:tcBorders>
              <w:top w:val="nil"/>
              <w:left w:val="nil"/>
              <w:bottom w:val="single" w:sz="8" w:space="0" w:color="CEE7B3"/>
              <w:right w:val="nil"/>
            </w:tcBorders>
            <w:shd w:val="clear" w:color="000000" w:fill="FFFFFF"/>
            <w:noWrap/>
            <w:vAlign w:val="center"/>
            <w:hideMark/>
          </w:tcPr>
          <w:p w14:paraId="28ADA65D"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-4</w:t>
            </w:r>
          </w:p>
        </w:tc>
        <w:tc>
          <w:tcPr>
            <w:tcW w:w="720" w:type="dxa"/>
            <w:tcBorders>
              <w:top w:val="nil"/>
              <w:left w:val="nil"/>
              <w:bottom w:val="single" w:sz="8" w:space="0" w:color="CEE7B3"/>
              <w:right w:val="nil"/>
            </w:tcBorders>
            <w:shd w:val="clear" w:color="000000" w:fill="FFFFFF"/>
            <w:noWrap/>
            <w:vAlign w:val="center"/>
            <w:hideMark/>
          </w:tcPr>
          <w:p w14:paraId="28D3F6CF"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6</w:t>
            </w:r>
          </w:p>
        </w:tc>
        <w:tc>
          <w:tcPr>
            <w:tcW w:w="720" w:type="dxa"/>
            <w:tcBorders>
              <w:top w:val="nil"/>
              <w:left w:val="nil"/>
              <w:bottom w:val="single" w:sz="8" w:space="0" w:color="CEE7B3"/>
              <w:right w:val="nil"/>
            </w:tcBorders>
            <w:shd w:val="clear" w:color="000000" w:fill="FFFFFF"/>
            <w:noWrap/>
            <w:vAlign w:val="center"/>
            <w:hideMark/>
          </w:tcPr>
          <w:p w14:paraId="66B01F71"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5</w:t>
            </w:r>
          </w:p>
        </w:tc>
        <w:tc>
          <w:tcPr>
            <w:tcW w:w="720" w:type="dxa"/>
            <w:tcBorders>
              <w:top w:val="nil"/>
              <w:left w:val="nil"/>
              <w:bottom w:val="single" w:sz="8" w:space="0" w:color="CEE7B3"/>
              <w:right w:val="nil"/>
            </w:tcBorders>
            <w:shd w:val="clear" w:color="000000" w:fill="FFFFFF"/>
            <w:noWrap/>
            <w:vAlign w:val="center"/>
            <w:hideMark/>
          </w:tcPr>
          <w:p w14:paraId="0DB30D64"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-4</w:t>
            </w:r>
          </w:p>
        </w:tc>
        <w:tc>
          <w:tcPr>
            <w:tcW w:w="720" w:type="dxa"/>
            <w:tcBorders>
              <w:top w:val="nil"/>
              <w:left w:val="nil"/>
              <w:bottom w:val="single" w:sz="8" w:space="0" w:color="CEE7B3"/>
              <w:right w:val="nil"/>
            </w:tcBorders>
            <w:shd w:val="clear" w:color="000000" w:fill="FFFFFF"/>
            <w:noWrap/>
            <w:vAlign w:val="center"/>
            <w:hideMark/>
          </w:tcPr>
          <w:p w14:paraId="291578EA"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c>
          <w:tcPr>
            <w:tcW w:w="720" w:type="dxa"/>
            <w:tcBorders>
              <w:top w:val="nil"/>
              <w:left w:val="nil"/>
              <w:bottom w:val="single" w:sz="8" w:space="0" w:color="CEE7B3"/>
              <w:right w:val="nil"/>
            </w:tcBorders>
            <w:shd w:val="clear" w:color="000000" w:fill="FFFFFF"/>
            <w:noWrap/>
            <w:vAlign w:val="center"/>
            <w:hideMark/>
          </w:tcPr>
          <w:p w14:paraId="37CC7CB4"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3AD8DB1C"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c>
          <w:tcPr>
            <w:tcW w:w="720" w:type="dxa"/>
            <w:tcBorders>
              <w:top w:val="nil"/>
              <w:left w:val="nil"/>
              <w:bottom w:val="single" w:sz="8" w:space="0" w:color="CEE7B3"/>
              <w:right w:val="nil"/>
            </w:tcBorders>
            <w:shd w:val="clear" w:color="000000" w:fill="FFFFFF"/>
            <w:noWrap/>
            <w:vAlign w:val="center"/>
            <w:hideMark/>
          </w:tcPr>
          <w:p w14:paraId="2C5A9338"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12</w:t>
            </w:r>
          </w:p>
        </w:tc>
      </w:tr>
      <w:tr w:rsidR="00AB7DC1" w:rsidRPr="00424E22" w14:paraId="54637A88"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770B7499"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Justice</w:t>
            </w:r>
          </w:p>
        </w:tc>
        <w:tc>
          <w:tcPr>
            <w:tcW w:w="720" w:type="dxa"/>
            <w:tcBorders>
              <w:top w:val="nil"/>
              <w:left w:val="nil"/>
              <w:bottom w:val="single" w:sz="8" w:space="0" w:color="CEE7B3"/>
              <w:right w:val="nil"/>
            </w:tcBorders>
            <w:shd w:val="clear" w:color="000000" w:fill="FFFFFF"/>
            <w:noWrap/>
            <w:vAlign w:val="center"/>
            <w:hideMark/>
          </w:tcPr>
          <w:p w14:paraId="0D850593"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-22</w:t>
            </w:r>
          </w:p>
        </w:tc>
        <w:tc>
          <w:tcPr>
            <w:tcW w:w="720" w:type="dxa"/>
            <w:tcBorders>
              <w:top w:val="nil"/>
              <w:left w:val="nil"/>
              <w:bottom w:val="single" w:sz="8" w:space="0" w:color="CEE7B3"/>
              <w:right w:val="nil"/>
            </w:tcBorders>
            <w:shd w:val="clear" w:color="000000" w:fill="FFFFFF"/>
            <w:noWrap/>
            <w:vAlign w:val="center"/>
            <w:hideMark/>
          </w:tcPr>
          <w:p w14:paraId="433392C6"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-133</w:t>
            </w:r>
          </w:p>
        </w:tc>
        <w:tc>
          <w:tcPr>
            <w:tcW w:w="720" w:type="dxa"/>
            <w:tcBorders>
              <w:top w:val="nil"/>
              <w:left w:val="nil"/>
              <w:bottom w:val="single" w:sz="8" w:space="0" w:color="CEE7B3"/>
              <w:right w:val="nil"/>
            </w:tcBorders>
            <w:shd w:val="clear" w:color="000000" w:fill="FFFFFF"/>
            <w:noWrap/>
            <w:vAlign w:val="center"/>
            <w:hideMark/>
          </w:tcPr>
          <w:p w14:paraId="2C927C83"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30</w:t>
            </w:r>
          </w:p>
        </w:tc>
        <w:tc>
          <w:tcPr>
            <w:tcW w:w="720" w:type="dxa"/>
            <w:tcBorders>
              <w:top w:val="nil"/>
              <w:left w:val="nil"/>
              <w:bottom w:val="single" w:sz="8" w:space="0" w:color="CEE7B3"/>
              <w:right w:val="nil"/>
            </w:tcBorders>
            <w:shd w:val="clear" w:color="000000" w:fill="FFFFFF"/>
            <w:noWrap/>
            <w:vAlign w:val="center"/>
            <w:hideMark/>
          </w:tcPr>
          <w:p w14:paraId="0ABF8B7B"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35</w:t>
            </w:r>
          </w:p>
        </w:tc>
        <w:tc>
          <w:tcPr>
            <w:tcW w:w="720" w:type="dxa"/>
            <w:tcBorders>
              <w:top w:val="nil"/>
              <w:left w:val="nil"/>
              <w:bottom w:val="single" w:sz="8" w:space="0" w:color="CEE7B3"/>
              <w:right w:val="nil"/>
            </w:tcBorders>
            <w:shd w:val="clear" w:color="000000" w:fill="FFFFFF"/>
            <w:noWrap/>
            <w:vAlign w:val="center"/>
            <w:hideMark/>
          </w:tcPr>
          <w:p w14:paraId="715691A6"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c>
          <w:tcPr>
            <w:tcW w:w="720" w:type="dxa"/>
            <w:tcBorders>
              <w:top w:val="nil"/>
              <w:left w:val="nil"/>
              <w:bottom w:val="single" w:sz="8" w:space="0" w:color="CEE7B3"/>
              <w:right w:val="nil"/>
            </w:tcBorders>
            <w:shd w:val="clear" w:color="000000" w:fill="FFFFFF"/>
            <w:noWrap/>
            <w:vAlign w:val="center"/>
            <w:hideMark/>
          </w:tcPr>
          <w:p w14:paraId="211E6E57"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11</w:t>
            </w:r>
          </w:p>
        </w:tc>
        <w:tc>
          <w:tcPr>
            <w:tcW w:w="720" w:type="dxa"/>
            <w:tcBorders>
              <w:top w:val="nil"/>
              <w:left w:val="nil"/>
              <w:bottom w:val="single" w:sz="8" w:space="0" w:color="CEE7B3"/>
              <w:right w:val="nil"/>
            </w:tcBorders>
            <w:shd w:val="clear" w:color="000000" w:fill="FFFFFF"/>
            <w:noWrap/>
            <w:vAlign w:val="center"/>
            <w:hideMark/>
          </w:tcPr>
          <w:p w14:paraId="277BBBC6"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-14</w:t>
            </w:r>
          </w:p>
        </w:tc>
        <w:tc>
          <w:tcPr>
            <w:tcW w:w="720" w:type="dxa"/>
            <w:tcBorders>
              <w:top w:val="nil"/>
              <w:left w:val="nil"/>
              <w:bottom w:val="single" w:sz="8" w:space="0" w:color="CEE7B3"/>
              <w:right w:val="nil"/>
            </w:tcBorders>
            <w:shd w:val="clear" w:color="000000" w:fill="FFFFFF"/>
            <w:noWrap/>
            <w:vAlign w:val="center"/>
            <w:hideMark/>
          </w:tcPr>
          <w:p w14:paraId="50DF6F4C"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94</w:t>
            </w:r>
          </w:p>
        </w:tc>
        <w:tc>
          <w:tcPr>
            <w:tcW w:w="720" w:type="dxa"/>
            <w:tcBorders>
              <w:top w:val="nil"/>
              <w:left w:val="nil"/>
              <w:bottom w:val="single" w:sz="8" w:space="0" w:color="CEE7B3"/>
              <w:right w:val="nil"/>
            </w:tcBorders>
            <w:shd w:val="clear" w:color="000000" w:fill="FFFFFF"/>
            <w:noWrap/>
            <w:vAlign w:val="center"/>
            <w:hideMark/>
          </w:tcPr>
          <w:p w14:paraId="26BDA4AE"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171</w:t>
            </w:r>
          </w:p>
        </w:tc>
      </w:tr>
      <w:tr w:rsidR="00AB7DC1" w:rsidRPr="00424E22" w14:paraId="435EED5E"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07608CA6"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Rural roads</w:t>
            </w:r>
          </w:p>
        </w:tc>
        <w:tc>
          <w:tcPr>
            <w:tcW w:w="720" w:type="dxa"/>
            <w:tcBorders>
              <w:top w:val="nil"/>
              <w:left w:val="nil"/>
              <w:bottom w:val="single" w:sz="8" w:space="0" w:color="CEE7B3"/>
              <w:right w:val="nil"/>
            </w:tcBorders>
            <w:shd w:val="clear" w:color="000000" w:fill="FFFFFF"/>
            <w:noWrap/>
            <w:vAlign w:val="center"/>
            <w:hideMark/>
          </w:tcPr>
          <w:p w14:paraId="1E007C98"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-496</w:t>
            </w:r>
          </w:p>
        </w:tc>
        <w:tc>
          <w:tcPr>
            <w:tcW w:w="720" w:type="dxa"/>
            <w:tcBorders>
              <w:top w:val="nil"/>
              <w:left w:val="nil"/>
              <w:bottom w:val="single" w:sz="8" w:space="0" w:color="CEE7B3"/>
              <w:right w:val="nil"/>
            </w:tcBorders>
            <w:shd w:val="clear" w:color="000000" w:fill="FFFFFF"/>
            <w:noWrap/>
            <w:vAlign w:val="center"/>
            <w:hideMark/>
          </w:tcPr>
          <w:p w14:paraId="13B8A737"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-922</w:t>
            </w:r>
          </w:p>
        </w:tc>
        <w:tc>
          <w:tcPr>
            <w:tcW w:w="720" w:type="dxa"/>
            <w:tcBorders>
              <w:top w:val="nil"/>
              <w:left w:val="nil"/>
              <w:bottom w:val="single" w:sz="8" w:space="0" w:color="CEE7B3"/>
              <w:right w:val="nil"/>
            </w:tcBorders>
            <w:shd w:val="clear" w:color="000000" w:fill="FFFFFF"/>
            <w:noWrap/>
            <w:vAlign w:val="center"/>
            <w:hideMark/>
          </w:tcPr>
          <w:p w14:paraId="2DF3B436"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456</w:t>
            </w:r>
          </w:p>
        </w:tc>
        <w:tc>
          <w:tcPr>
            <w:tcW w:w="720" w:type="dxa"/>
            <w:tcBorders>
              <w:top w:val="nil"/>
              <w:left w:val="nil"/>
              <w:bottom w:val="single" w:sz="8" w:space="0" w:color="CEE7B3"/>
              <w:right w:val="nil"/>
            </w:tcBorders>
            <w:shd w:val="clear" w:color="000000" w:fill="FFFFFF"/>
            <w:noWrap/>
            <w:vAlign w:val="center"/>
            <w:hideMark/>
          </w:tcPr>
          <w:p w14:paraId="79553D2D"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537</w:t>
            </w:r>
          </w:p>
        </w:tc>
        <w:tc>
          <w:tcPr>
            <w:tcW w:w="720" w:type="dxa"/>
            <w:tcBorders>
              <w:top w:val="nil"/>
              <w:left w:val="nil"/>
              <w:bottom w:val="single" w:sz="8" w:space="0" w:color="CEE7B3"/>
              <w:right w:val="nil"/>
            </w:tcBorders>
            <w:shd w:val="clear" w:color="000000" w:fill="FFFFFF"/>
            <w:noWrap/>
            <w:vAlign w:val="center"/>
            <w:hideMark/>
          </w:tcPr>
          <w:p w14:paraId="5618E514"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88</w:t>
            </w:r>
          </w:p>
        </w:tc>
        <w:tc>
          <w:tcPr>
            <w:tcW w:w="720" w:type="dxa"/>
            <w:tcBorders>
              <w:top w:val="nil"/>
              <w:left w:val="nil"/>
              <w:bottom w:val="single" w:sz="8" w:space="0" w:color="CEE7B3"/>
              <w:right w:val="nil"/>
            </w:tcBorders>
            <w:shd w:val="clear" w:color="000000" w:fill="FFFFFF"/>
            <w:noWrap/>
            <w:vAlign w:val="center"/>
            <w:hideMark/>
          </w:tcPr>
          <w:p w14:paraId="14190251"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8</w:t>
            </w:r>
          </w:p>
        </w:tc>
        <w:tc>
          <w:tcPr>
            <w:tcW w:w="720" w:type="dxa"/>
            <w:tcBorders>
              <w:top w:val="nil"/>
              <w:left w:val="nil"/>
              <w:bottom w:val="single" w:sz="8" w:space="0" w:color="CEE7B3"/>
              <w:right w:val="nil"/>
            </w:tcBorders>
            <w:shd w:val="clear" w:color="000000" w:fill="FFFFFF"/>
            <w:noWrap/>
            <w:vAlign w:val="center"/>
            <w:hideMark/>
          </w:tcPr>
          <w:p w14:paraId="1E7A8CEF"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-94</w:t>
            </w:r>
          </w:p>
        </w:tc>
        <w:tc>
          <w:tcPr>
            <w:tcW w:w="720" w:type="dxa"/>
            <w:tcBorders>
              <w:top w:val="nil"/>
              <w:left w:val="nil"/>
              <w:bottom w:val="single" w:sz="8" w:space="0" w:color="CEE7B3"/>
              <w:right w:val="nil"/>
            </w:tcBorders>
            <w:shd w:val="clear" w:color="000000" w:fill="FFFFFF"/>
            <w:noWrap/>
            <w:vAlign w:val="center"/>
            <w:hideMark/>
          </w:tcPr>
          <w:p w14:paraId="5E7D6671"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423</w:t>
            </w:r>
          </w:p>
        </w:tc>
        <w:tc>
          <w:tcPr>
            <w:tcW w:w="720" w:type="dxa"/>
            <w:tcBorders>
              <w:top w:val="nil"/>
              <w:left w:val="nil"/>
              <w:bottom w:val="single" w:sz="8" w:space="0" w:color="CEE7B3"/>
              <w:right w:val="nil"/>
            </w:tcBorders>
            <w:shd w:val="clear" w:color="000000" w:fill="FFFFFF"/>
            <w:noWrap/>
            <w:vAlign w:val="center"/>
            <w:hideMark/>
          </w:tcPr>
          <w:p w14:paraId="0BCFF10B"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1,512</w:t>
            </w:r>
          </w:p>
        </w:tc>
      </w:tr>
      <w:tr w:rsidR="00AB7DC1" w:rsidRPr="00424E22" w14:paraId="2EA7C708"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2BC4F5BC"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Urban roads</w:t>
            </w:r>
          </w:p>
        </w:tc>
        <w:tc>
          <w:tcPr>
            <w:tcW w:w="720" w:type="dxa"/>
            <w:tcBorders>
              <w:top w:val="nil"/>
              <w:left w:val="nil"/>
              <w:bottom w:val="single" w:sz="8" w:space="0" w:color="CEE7B3"/>
              <w:right w:val="nil"/>
            </w:tcBorders>
            <w:shd w:val="clear" w:color="000000" w:fill="FFFFFF"/>
            <w:noWrap/>
            <w:vAlign w:val="center"/>
            <w:hideMark/>
          </w:tcPr>
          <w:p w14:paraId="3E13E4D2"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32</w:t>
            </w:r>
          </w:p>
        </w:tc>
        <w:tc>
          <w:tcPr>
            <w:tcW w:w="720" w:type="dxa"/>
            <w:tcBorders>
              <w:top w:val="nil"/>
              <w:left w:val="nil"/>
              <w:bottom w:val="single" w:sz="8" w:space="0" w:color="CEE7B3"/>
              <w:right w:val="nil"/>
            </w:tcBorders>
            <w:shd w:val="clear" w:color="000000" w:fill="FFFFFF"/>
            <w:noWrap/>
            <w:vAlign w:val="center"/>
            <w:hideMark/>
          </w:tcPr>
          <w:p w14:paraId="1C3E169F"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-118</w:t>
            </w:r>
          </w:p>
        </w:tc>
        <w:tc>
          <w:tcPr>
            <w:tcW w:w="720" w:type="dxa"/>
            <w:tcBorders>
              <w:top w:val="nil"/>
              <w:left w:val="nil"/>
              <w:bottom w:val="single" w:sz="8" w:space="0" w:color="CEE7B3"/>
              <w:right w:val="nil"/>
            </w:tcBorders>
            <w:shd w:val="clear" w:color="000000" w:fill="FFFFFF"/>
            <w:noWrap/>
            <w:vAlign w:val="center"/>
            <w:hideMark/>
          </w:tcPr>
          <w:p w14:paraId="14F68C6F"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171</w:t>
            </w:r>
          </w:p>
        </w:tc>
        <w:tc>
          <w:tcPr>
            <w:tcW w:w="720" w:type="dxa"/>
            <w:tcBorders>
              <w:top w:val="nil"/>
              <w:left w:val="nil"/>
              <w:bottom w:val="single" w:sz="8" w:space="0" w:color="CEE7B3"/>
              <w:right w:val="nil"/>
            </w:tcBorders>
            <w:shd w:val="clear" w:color="000000" w:fill="FFFFFF"/>
            <w:noWrap/>
            <w:vAlign w:val="center"/>
            <w:hideMark/>
          </w:tcPr>
          <w:p w14:paraId="51763A6A"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55</w:t>
            </w:r>
          </w:p>
        </w:tc>
        <w:tc>
          <w:tcPr>
            <w:tcW w:w="720" w:type="dxa"/>
            <w:tcBorders>
              <w:top w:val="nil"/>
              <w:left w:val="nil"/>
              <w:bottom w:val="single" w:sz="8" w:space="0" w:color="CEE7B3"/>
              <w:right w:val="nil"/>
            </w:tcBorders>
            <w:shd w:val="clear" w:color="000000" w:fill="FFFFFF"/>
            <w:noWrap/>
            <w:vAlign w:val="center"/>
            <w:hideMark/>
          </w:tcPr>
          <w:p w14:paraId="3FABE846"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-107</w:t>
            </w:r>
          </w:p>
        </w:tc>
        <w:tc>
          <w:tcPr>
            <w:tcW w:w="720" w:type="dxa"/>
            <w:tcBorders>
              <w:top w:val="nil"/>
              <w:left w:val="nil"/>
              <w:bottom w:val="single" w:sz="8" w:space="0" w:color="CEE7B3"/>
              <w:right w:val="nil"/>
            </w:tcBorders>
            <w:shd w:val="clear" w:color="000000" w:fill="FFFFFF"/>
            <w:noWrap/>
            <w:vAlign w:val="center"/>
            <w:hideMark/>
          </w:tcPr>
          <w:p w14:paraId="40FA9142"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-42</w:t>
            </w:r>
          </w:p>
        </w:tc>
        <w:tc>
          <w:tcPr>
            <w:tcW w:w="720" w:type="dxa"/>
            <w:tcBorders>
              <w:top w:val="nil"/>
              <w:left w:val="nil"/>
              <w:bottom w:val="single" w:sz="8" w:space="0" w:color="CEE7B3"/>
              <w:right w:val="nil"/>
            </w:tcBorders>
            <w:shd w:val="clear" w:color="000000" w:fill="FFFFFF"/>
            <w:noWrap/>
            <w:vAlign w:val="center"/>
            <w:hideMark/>
          </w:tcPr>
          <w:p w14:paraId="67A363EC"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25</w:t>
            </w:r>
          </w:p>
        </w:tc>
        <w:tc>
          <w:tcPr>
            <w:tcW w:w="720" w:type="dxa"/>
            <w:tcBorders>
              <w:top w:val="nil"/>
              <w:left w:val="nil"/>
              <w:bottom w:val="single" w:sz="8" w:space="0" w:color="CEE7B3"/>
              <w:right w:val="nil"/>
            </w:tcBorders>
            <w:shd w:val="clear" w:color="000000" w:fill="FFFFFF"/>
            <w:noWrap/>
            <w:vAlign w:val="center"/>
            <w:hideMark/>
          </w:tcPr>
          <w:p w14:paraId="023D3180"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-15</w:t>
            </w:r>
          </w:p>
        </w:tc>
        <w:tc>
          <w:tcPr>
            <w:tcW w:w="720" w:type="dxa"/>
            <w:tcBorders>
              <w:top w:val="nil"/>
              <w:left w:val="nil"/>
              <w:bottom w:val="single" w:sz="8" w:space="0" w:color="CEE7B3"/>
              <w:right w:val="nil"/>
            </w:tcBorders>
            <w:shd w:val="clear" w:color="000000" w:fill="FFFFFF"/>
            <w:noWrap/>
            <w:vAlign w:val="center"/>
            <w:hideMark/>
          </w:tcPr>
          <w:p w14:paraId="00A0AA09"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282</w:t>
            </w:r>
          </w:p>
        </w:tc>
      </w:tr>
      <w:tr w:rsidR="00AB7DC1" w:rsidRPr="00424E22" w14:paraId="4B2AD01B"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758B4B60"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Urban transport</w:t>
            </w:r>
          </w:p>
        </w:tc>
        <w:tc>
          <w:tcPr>
            <w:tcW w:w="720" w:type="dxa"/>
            <w:tcBorders>
              <w:top w:val="nil"/>
              <w:left w:val="nil"/>
              <w:bottom w:val="single" w:sz="8" w:space="0" w:color="CEE7B3"/>
              <w:right w:val="nil"/>
            </w:tcBorders>
            <w:shd w:val="clear" w:color="000000" w:fill="FFFFFF"/>
            <w:noWrap/>
            <w:vAlign w:val="center"/>
            <w:hideMark/>
          </w:tcPr>
          <w:p w14:paraId="7BD787E3"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932</w:t>
            </w:r>
          </w:p>
        </w:tc>
        <w:tc>
          <w:tcPr>
            <w:tcW w:w="720" w:type="dxa"/>
            <w:tcBorders>
              <w:top w:val="nil"/>
              <w:left w:val="nil"/>
              <w:bottom w:val="single" w:sz="8" w:space="0" w:color="CEE7B3"/>
              <w:right w:val="nil"/>
            </w:tcBorders>
            <w:shd w:val="clear" w:color="000000" w:fill="FFFFFF"/>
            <w:noWrap/>
            <w:vAlign w:val="center"/>
            <w:hideMark/>
          </w:tcPr>
          <w:p w14:paraId="1685082D"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899</w:t>
            </w:r>
          </w:p>
        </w:tc>
        <w:tc>
          <w:tcPr>
            <w:tcW w:w="720" w:type="dxa"/>
            <w:tcBorders>
              <w:top w:val="nil"/>
              <w:left w:val="nil"/>
              <w:bottom w:val="single" w:sz="8" w:space="0" w:color="CEE7B3"/>
              <w:right w:val="nil"/>
            </w:tcBorders>
            <w:shd w:val="clear" w:color="000000" w:fill="FFFFFF"/>
            <w:noWrap/>
            <w:vAlign w:val="center"/>
            <w:hideMark/>
          </w:tcPr>
          <w:p w14:paraId="089771CE"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-752</w:t>
            </w:r>
          </w:p>
        </w:tc>
        <w:tc>
          <w:tcPr>
            <w:tcW w:w="720" w:type="dxa"/>
            <w:tcBorders>
              <w:top w:val="nil"/>
              <w:left w:val="nil"/>
              <w:bottom w:val="single" w:sz="8" w:space="0" w:color="CEE7B3"/>
              <w:right w:val="nil"/>
            </w:tcBorders>
            <w:shd w:val="clear" w:color="000000" w:fill="FFFFFF"/>
            <w:noWrap/>
            <w:vAlign w:val="center"/>
            <w:hideMark/>
          </w:tcPr>
          <w:p w14:paraId="34F59BF1"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-334</w:t>
            </w:r>
          </w:p>
        </w:tc>
        <w:tc>
          <w:tcPr>
            <w:tcW w:w="720" w:type="dxa"/>
            <w:tcBorders>
              <w:top w:val="nil"/>
              <w:left w:val="nil"/>
              <w:bottom w:val="single" w:sz="8" w:space="0" w:color="CEE7B3"/>
              <w:right w:val="nil"/>
            </w:tcBorders>
            <w:shd w:val="clear" w:color="000000" w:fill="FFFFFF"/>
            <w:noWrap/>
            <w:vAlign w:val="center"/>
            <w:hideMark/>
          </w:tcPr>
          <w:p w14:paraId="4D6C378E"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-365</w:t>
            </w:r>
          </w:p>
        </w:tc>
        <w:tc>
          <w:tcPr>
            <w:tcW w:w="720" w:type="dxa"/>
            <w:tcBorders>
              <w:top w:val="nil"/>
              <w:left w:val="nil"/>
              <w:bottom w:val="single" w:sz="8" w:space="0" w:color="CEE7B3"/>
              <w:right w:val="nil"/>
            </w:tcBorders>
            <w:shd w:val="clear" w:color="000000" w:fill="FFFFFF"/>
            <w:noWrap/>
            <w:vAlign w:val="center"/>
            <w:hideMark/>
          </w:tcPr>
          <w:p w14:paraId="4B9C159B"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-190</w:t>
            </w:r>
          </w:p>
        </w:tc>
        <w:tc>
          <w:tcPr>
            <w:tcW w:w="720" w:type="dxa"/>
            <w:tcBorders>
              <w:top w:val="nil"/>
              <w:left w:val="nil"/>
              <w:bottom w:val="single" w:sz="8" w:space="0" w:color="CEE7B3"/>
              <w:right w:val="nil"/>
            </w:tcBorders>
            <w:shd w:val="clear" w:color="000000" w:fill="FFFFFF"/>
            <w:noWrap/>
            <w:vAlign w:val="center"/>
            <w:hideMark/>
          </w:tcPr>
          <w:p w14:paraId="3DF5BF0A"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-92</w:t>
            </w:r>
          </w:p>
        </w:tc>
        <w:tc>
          <w:tcPr>
            <w:tcW w:w="720" w:type="dxa"/>
            <w:tcBorders>
              <w:top w:val="nil"/>
              <w:left w:val="nil"/>
              <w:bottom w:val="single" w:sz="8" w:space="0" w:color="CEE7B3"/>
              <w:right w:val="nil"/>
            </w:tcBorders>
            <w:shd w:val="clear" w:color="000000" w:fill="FFFFFF"/>
            <w:noWrap/>
            <w:vAlign w:val="center"/>
            <w:hideMark/>
          </w:tcPr>
          <w:p w14:paraId="17AEB369"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-99</w:t>
            </w:r>
          </w:p>
        </w:tc>
        <w:tc>
          <w:tcPr>
            <w:tcW w:w="720" w:type="dxa"/>
            <w:tcBorders>
              <w:top w:val="nil"/>
              <w:left w:val="nil"/>
              <w:bottom w:val="single" w:sz="8" w:space="0" w:color="CEE7B3"/>
              <w:right w:val="nil"/>
            </w:tcBorders>
            <w:shd w:val="clear" w:color="000000" w:fill="FFFFFF"/>
            <w:noWrap/>
            <w:vAlign w:val="center"/>
            <w:hideMark/>
          </w:tcPr>
          <w:p w14:paraId="24256F48"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1,832</w:t>
            </w:r>
          </w:p>
        </w:tc>
      </w:tr>
      <w:tr w:rsidR="00AB7DC1" w:rsidRPr="00424E22" w14:paraId="6144A1A3"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447E896E"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Non-urban transport</w:t>
            </w:r>
          </w:p>
        </w:tc>
        <w:tc>
          <w:tcPr>
            <w:tcW w:w="720" w:type="dxa"/>
            <w:tcBorders>
              <w:top w:val="nil"/>
              <w:left w:val="nil"/>
              <w:bottom w:val="single" w:sz="8" w:space="0" w:color="CEE7B3"/>
              <w:right w:val="nil"/>
            </w:tcBorders>
            <w:shd w:val="clear" w:color="000000" w:fill="FFFFFF"/>
            <w:noWrap/>
            <w:vAlign w:val="center"/>
            <w:hideMark/>
          </w:tcPr>
          <w:p w14:paraId="456B10D6"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c>
          <w:tcPr>
            <w:tcW w:w="720" w:type="dxa"/>
            <w:tcBorders>
              <w:top w:val="nil"/>
              <w:left w:val="nil"/>
              <w:bottom w:val="single" w:sz="8" w:space="0" w:color="CEE7B3"/>
              <w:right w:val="nil"/>
            </w:tcBorders>
            <w:shd w:val="clear" w:color="000000" w:fill="FFFFFF"/>
            <w:noWrap/>
            <w:vAlign w:val="center"/>
            <w:hideMark/>
          </w:tcPr>
          <w:p w14:paraId="3771AD58"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1F13ED60"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c>
          <w:tcPr>
            <w:tcW w:w="720" w:type="dxa"/>
            <w:tcBorders>
              <w:top w:val="nil"/>
              <w:left w:val="nil"/>
              <w:bottom w:val="single" w:sz="8" w:space="0" w:color="CEE7B3"/>
              <w:right w:val="nil"/>
            </w:tcBorders>
            <w:shd w:val="clear" w:color="000000" w:fill="FFFFFF"/>
            <w:noWrap/>
            <w:vAlign w:val="center"/>
            <w:hideMark/>
          </w:tcPr>
          <w:p w14:paraId="5A863EA3"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6B1DC6FB"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70678E3B"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4FC861CC"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555CAC65"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5F4E7E00"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r>
      <w:tr w:rsidR="00AB7DC1" w:rsidRPr="00424E22" w14:paraId="599DD258"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20F9C9AD"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Services to industry</w:t>
            </w:r>
          </w:p>
        </w:tc>
        <w:tc>
          <w:tcPr>
            <w:tcW w:w="720" w:type="dxa"/>
            <w:tcBorders>
              <w:top w:val="nil"/>
              <w:left w:val="nil"/>
              <w:bottom w:val="single" w:sz="8" w:space="0" w:color="CEE7B3"/>
              <w:right w:val="nil"/>
            </w:tcBorders>
            <w:shd w:val="clear" w:color="000000" w:fill="FFFFFF"/>
            <w:noWrap/>
            <w:vAlign w:val="center"/>
            <w:hideMark/>
          </w:tcPr>
          <w:p w14:paraId="29BAB50F"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-11</w:t>
            </w:r>
          </w:p>
        </w:tc>
        <w:tc>
          <w:tcPr>
            <w:tcW w:w="720" w:type="dxa"/>
            <w:tcBorders>
              <w:top w:val="nil"/>
              <w:left w:val="nil"/>
              <w:bottom w:val="single" w:sz="8" w:space="0" w:color="CEE7B3"/>
              <w:right w:val="nil"/>
            </w:tcBorders>
            <w:shd w:val="clear" w:color="000000" w:fill="FFFFFF"/>
            <w:noWrap/>
            <w:vAlign w:val="center"/>
            <w:hideMark/>
          </w:tcPr>
          <w:p w14:paraId="7AC0D7AA"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-22</w:t>
            </w:r>
          </w:p>
        </w:tc>
        <w:tc>
          <w:tcPr>
            <w:tcW w:w="720" w:type="dxa"/>
            <w:tcBorders>
              <w:top w:val="nil"/>
              <w:left w:val="nil"/>
              <w:bottom w:val="single" w:sz="8" w:space="0" w:color="CEE7B3"/>
              <w:right w:val="nil"/>
            </w:tcBorders>
            <w:shd w:val="clear" w:color="000000" w:fill="FFFFFF"/>
            <w:noWrap/>
            <w:vAlign w:val="center"/>
            <w:hideMark/>
          </w:tcPr>
          <w:p w14:paraId="531E7F15"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-17</w:t>
            </w:r>
          </w:p>
        </w:tc>
        <w:tc>
          <w:tcPr>
            <w:tcW w:w="720" w:type="dxa"/>
            <w:tcBorders>
              <w:top w:val="nil"/>
              <w:left w:val="nil"/>
              <w:bottom w:val="single" w:sz="8" w:space="0" w:color="CEE7B3"/>
              <w:right w:val="nil"/>
            </w:tcBorders>
            <w:shd w:val="clear" w:color="000000" w:fill="FFFFFF"/>
            <w:noWrap/>
            <w:vAlign w:val="center"/>
            <w:hideMark/>
          </w:tcPr>
          <w:p w14:paraId="53FE18E0"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50</w:t>
            </w:r>
          </w:p>
        </w:tc>
        <w:tc>
          <w:tcPr>
            <w:tcW w:w="720" w:type="dxa"/>
            <w:tcBorders>
              <w:top w:val="nil"/>
              <w:left w:val="nil"/>
              <w:bottom w:val="single" w:sz="8" w:space="0" w:color="CEE7B3"/>
              <w:right w:val="nil"/>
            </w:tcBorders>
            <w:shd w:val="clear" w:color="000000" w:fill="FFFFFF"/>
            <w:noWrap/>
            <w:vAlign w:val="center"/>
            <w:hideMark/>
          </w:tcPr>
          <w:p w14:paraId="560D37D1"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w:t>
            </w:r>
          </w:p>
        </w:tc>
        <w:tc>
          <w:tcPr>
            <w:tcW w:w="720" w:type="dxa"/>
            <w:tcBorders>
              <w:top w:val="nil"/>
              <w:left w:val="nil"/>
              <w:bottom w:val="single" w:sz="8" w:space="0" w:color="CEE7B3"/>
              <w:right w:val="nil"/>
            </w:tcBorders>
            <w:shd w:val="clear" w:color="000000" w:fill="FFFFFF"/>
            <w:noWrap/>
            <w:vAlign w:val="center"/>
            <w:hideMark/>
          </w:tcPr>
          <w:p w14:paraId="54234316"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c>
          <w:tcPr>
            <w:tcW w:w="720" w:type="dxa"/>
            <w:tcBorders>
              <w:top w:val="nil"/>
              <w:left w:val="nil"/>
              <w:bottom w:val="single" w:sz="8" w:space="0" w:color="CEE7B3"/>
              <w:right w:val="nil"/>
            </w:tcBorders>
            <w:shd w:val="clear" w:color="000000" w:fill="FFFFFF"/>
            <w:noWrap/>
            <w:vAlign w:val="center"/>
            <w:hideMark/>
          </w:tcPr>
          <w:p w14:paraId="67D18DFD"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c>
          <w:tcPr>
            <w:tcW w:w="720" w:type="dxa"/>
            <w:tcBorders>
              <w:top w:val="nil"/>
              <w:left w:val="nil"/>
              <w:bottom w:val="single" w:sz="8" w:space="0" w:color="CEE7B3"/>
              <w:right w:val="nil"/>
            </w:tcBorders>
            <w:shd w:val="clear" w:color="000000" w:fill="FFFFFF"/>
            <w:noWrap/>
            <w:vAlign w:val="center"/>
            <w:hideMark/>
          </w:tcPr>
          <w:p w14:paraId="6D410B6F"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w:t>
            </w:r>
          </w:p>
        </w:tc>
        <w:tc>
          <w:tcPr>
            <w:tcW w:w="720" w:type="dxa"/>
            <w:tcBorders>
              <w:top w:val="nil"/>
              <w:left w:val="nil"/>
              <w:bottom w:val="single" w:sz="8" w:space="0" w:color="CEE7B3"/>
              <w:right w:val="nil"/>
            </w:tcBorders>
            <w:shd w:val="clear" w:color="000000" w:fill="FFFFFF"/>
            <w:noWrap/>
            <w:vAlign w:val="center"/>
            <w:hideMark/>
          </w:tcPr>
          <w:p w14:paraId="73608A12"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54</w:t>
            </w:r>
          </w:p>
        </w:tc>
      </w:tr>
      <w:tr w:rsidR="00AB7DC1" w:rsidRPr="00424E22" w14:paraId="7BB24BDD"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169B52E9"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Other expenses</w:t>
            </w:r>
          </w:p>
        </w:tc>
        <w:tc>
          <w:tcPr>
            <w:tcW w:w="720" w:type="dxa"/>
            <w:tcBorders>
              <w:top w:val="nil"/>
              <w:left w:val="nil"/>
              <w:bottom w:val="single" w:sz="8" w:space="0" w:color="CEE7B3"/>
              <w:right w:val="nil"/>
            </w:tcBorders>
            <w:shd w:val="clear" w:color="000000" w:fill="FFFFFF"/>
            <w:noWrap/>
            <w:vAlign w:val="center"/>
            <w:hideMark/>
          </w:tcPr>
          <w:p w14:paraId="5FC87F6C"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-10</w:t>
            </w:r>
          </w:p>
        </w:tc>
        <w:tc>
          <w:tcPr>
            <w:tcW w:w="720" w:type="dxa"/>
            <w:tcBorders>
              <w:top w:val="nil"/>
              <w:left w:val="nil"/>
              <w:bottom w:val="single" w:sz="8" w:space="0" w:color="CEE7B3"/>
              <w:right w:val="nil"/>
            </w:tcBorders>
            <w:shd w:val="clear" w:color="000000" w:fill="FFFFFF"/>
            <w:noWrap/>
            <w:vAlign w:val="center"/>
            <w:hideMark/>
          </w:tcPr>
          <w:p w14:paraId="29CD36B7"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-13</w:t>
            </w:r>
          </w:p>
        </w:tc>
        <w:tc>
          <w:tcPr>
            <w:tcW w:w="720" w:type="dxa"/>
            <w:tcBorders>
              <w:top w:val="nil"/>
              <w:left w:val="nil"/>
              <w:bottom w:val="single" w:sz="8" w:space="0" w:color="CEE7B3"/>
              <w:right w:val="nil"/>
            </w:tcBorders>
            <w:shd w:val="clear" w:color="000000" w:fill="FFFFFF"/>
            <w:noWrap/>
            <w:vAlign w:val="center"/>
            <w:hideMark/>
          </w:tcPr>
          <w:p w14:paraId="40B8D436"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25</w:t>
            </w:r>
          </w:p>
        </w:tc>
        <w:tc>
          <w:tcPr>
            <w:tcW w:w="720" w:type="dxa"/>
            <w:tcBorders>
              <w:top w:val="nil"/>
              <w:left w:val="nil"/>
              <w:bottom w:val="single" w:sz="8" w:space="0" w:color="CEE7B3"/>
              <w:right w:val="nil"/>
            </w:tcBorders>
            <w:shd w:val="clear" w:color="000000" w:fill="FFFFFF"/>
            <w:noWrap/>
            <w:vAlign w:val="center"/>
            <w:hideMark/>
          </w:tcPr>
          <w:p w14:paraId="0DB1EB45"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19</w:t>
            </w:r>
          </w:p>
        </w:tc>
        <w:tc>
          <w:tcPr>
            <w:tcW w:w="720" w:type="dxa"/>
            <w:tcBorders>
              <w:top w:val="nil"/>
              <w:left w:val="nil"/>
              <w:bottom w:val="single" w:sz="8" w:space="0" w:color="CEE7B3"/>
              <w:right w:val="nil"/>
            </w:tcBorders>
            <w:shd w:val="clear" w:color="000000" w:fill="FFFFFF"/>
            <w:noWrap/>
            <w:vAlign w:val="center"/>
            <w:hideMark/>
          </w:tcPr>
          <w:p w14:paraId="7D9B6CC3"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-14</w:t>
            </w:r>
          </w:p>
        </w:tc>
        <w:tc>
          <w:tcPr>
            <w:tcW w:w="720" w:type="dxa"/>
            <w:tcBorders>
              <w:top w:val="nil"/>
              <w:left w:val="nil"/>
              <w:bottom w:val="single" w:sz="8" w:space="0" w:color="CEE7B3"/>
              <w:right w:val="nil"/>
            </w:tcBorders>
            <w:shd w:val="clear" w:color="000000" w:fill="FFFFFF"/>
            <w:noWrap/>
            <w:vAlign w:val="center"/>
            <w:hideMark/>
          </w:tcPr>
          <w:p w14:paraId="4EA8659B"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-5</w:t>
            </w:r>
          </w:p>
        </w:tc>
        <w:tc>
          <w:tcPr>
            <w:tcW w:w="720" w:type="dxa"/>
            <w:tcBorders>
              <w:top w:val="nil"/>
              <w:left w:val="nil"/>
              <w:bottom w:val="single" w:sz="8" w:space="0" w:color="CEE7B3"/>
              <w:right w:val="nil"/>
            </w:tcBorders>
            <w:shd w:val="clear" w:color="000000" w:fill="FFFFFF"/>
            <w:noWrap/>
            <w:vAlign w:val="center"/>
            <w:hideMark/>
          </w:tcPr>
          <w:p w14:paraId="2D4ED363"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1</w:t>
            </w:r>
          </w:p>
        </w:tc>
        <w:tc>
          <w:tcPr>
            <w:tcW w:w="720" w:type="dxa"/>
            <w:tcBorders>
              <w:top w:val="nil"/>
              <w:left w:val="nil"/>
              <w:bottom w:val="single" w:sz="8" w:space="0" w:color="CEE7B3"/>
              <w:right w:val="nil"/>
            </w:tcBorders>
            <w:shd w:val="clear" w:color="000000" w:fill="FFFFFF"/>
            <w:noWrap/>
            <w:vAlign w:val="center"/>
            <w:hideMark/>
          </w:tcPr>
          <w:p w14:paraId="44103BE8"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-3</w:t>
            </w:r>
          </w:p>
        </w:tc>
        <w:tc>
          <w:tcPr>
            <w:tcW w:w="720" w:type="dxa"/>
            <w:tcBorders>
              <w:top w:val="nil"/>
              <w:left w:val="nil"/>
              <w:bottom w:val="single" w:sz="8" w:space="0" w:color="CEE7B3"/>
              <w:right w:val="nil"/>
            </w:tcBorders>
            <w:shd w:val="clear" w:color="000000" w:fill="FFFFFF"/>
            <w:noWrap/>
            <w:vAlign w:val="center"/>
            <w:hideMark/>
          </w:tcPr>
          <w:p w14:paraId="3DD6FCF0"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45</w:t>
            </w:r>
          </w:p>
        </w:tc>
      </w:tr>
      <w:tr w:rsidR="00AB7DC1" w:rsidRPr="00424E22" w14:paraId="5F23F315" w14:textId="77777777" w:rsidTr="00424E22">
        <w:trPr>
          <w:trHeight w:val="315"/>
        </w:trPr>
        <w:tc>
          <w:tcPr>
            <w:tcW w:w="2620" w:type="dxa"/>
            <w:tcBorders>
              <w:top w:val="nil"/>
              <w:left w:val="nil"/>
              <w:bottom w:val="single" w:sz="8" w:space="0" w:color="CEE7B3"/>
              <w:right w:val="nil"/>
            </w:tcBorders>
            <w:shd w:val="clear" w:color="000000" w:fill="FFFFFF"/>
            <w:vAlign w:val="center"/>
            <w:hideMark/>
          </w:tcPr>
          <w:p w14:paraId="021564D6" w14:textId="77777777" w:rsidR="00AB7DC1" w:rsidRPr="00424E22" w:rsidRDefault="00AB7DC1" w:rsidP="003330D1">
            <w:pPr>
              <w:keepNext/>
              <w:keepLines/>
              <w:widowControl w:val="0"/>
              <w:tabs>
                <w:tab w:val="clear" w:pos="567"/>
              </w:tabs>
              <w:spacing w:before="0" w:line="240" w:lineRule="auto"/>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Land</w:t>
            </w:r>
          </w:p>
        </w:tc>
        <w:tc>
          <w:tcPr>
            <w:tcW w:w="720" w:type="dxa"/>
            <w:tcBorders>
              <w:top w:val="nil"/>
              <w:left w:val="nil"/>
              <w:bottom w:val="single" w:sz="8" w:space="0" w:color="CEE7B3"/>
              <w:right w:val="nil"/>
            </w:tcBorders>
            <w:shd w:val="clear" w:color="000000" w:fill="FFFFFF"/>
            <w:noWrap/>
            <w:vAlign w:val="center"/>
            <w:hideMark/>
          </w:tcPr>
          <w:p w14:paraId="09CA097D"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26DAA62E"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2D25EBCC"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22D3CB70"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32304D1C"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020AFCF6"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7A9713A9"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10DA3BFD"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c>
          <w:tcPr>
            <w:tcW w:w="720" w:type="dxa"/>
            <w:tcBorders>
              <w:top w:val="nil"/>
              <w:left w:val="nil"/>
              <w:bottom w:val="single" w:sz="8" w:space="0" w:color="CEE7B3"/>
              <w:right w:val="nil"/>
            </w:tcBorders>
            <w:shd w:val="clear" w:color="000000" w:fill="FFFFFF"/>
            <w:noWrap/>
            <w:vAlign w:val="center"/>
            <w:hideMark/>
          </w:tcPr>
          <w:p w14:paraId="1F3C15FB" w14:textId="77777777" w:rsidR="00AB7DC1" w:rsidRPr="00424E22" w:rsidRDefault="00AB7DC1" w:rsidP="003330D1">
            <w:pPr>
              <w:keepNext/>
              <w:keepLines/>
              <w:widowControl w:val="0"/>
              <w:tabs>
                <w:tab w:val="clear" w:pos="567"/>
              </w:tabs>
              <w:spacing w:before="0" w:line="240" w:lineRule="auto"/>
              <w:jc w:val="right"/>
              <w:rPr>
                <w:rFonts w:ascii="Work Sans" w:eastAsia="Times New Roman" w:hAnsi="Work Sans" w:cs="Times New Roman"/>
                <w:color w:val="000000"/>
                <w:sz w:val="16"/>
                <w:szCs w:val="16"/>
                <w:lang w:eastAsia="en-AU"/>
              </w:rPr>
            </w:pPr>
            <w:r w:rsidRPr="00424E22">
              <w:rPr>
                <w:rFonts w:ascii="Work Sans" w:eastAsia="Times New Roman" w:hAnsi="Work Sans" w:cs="Times New Roman"/>
                <w:color w:val="000000"/>
                <w:sz w:val="16"/>
                <w:szCs w:val="16"/>
                <w:lang w:eastAsia="en-AU"/>
              </w:rPr>
              <w:t>0</w:t>
            </w:r>
          </w:p>
        </w:tc>
      </w:tr>
      <w:tr w:rsidR="00AB7DC1" w:rsidRPr="00424E22" w14:paraId="49D3DE0A" w14:textId="77777777" w:rsidTr="00424E22">
        <w:trPr>
          <w:trHeight w:val="315"/>
        </w:trPr>
        <w:tc>
          <w:tcPr>
            <w:tcW w:w="2620" w:type="dxa"/>
            <w:tcBorders>
              <w:top w:val="nil"/>
              <w:left w:val="nil"/>
              <w:bottom w:val="single" w:sz="8" w:space="0" w:color="CEE7B3"/>
              <w:right w:val="nil"/>
            </w:tcBorders>
            <w:shd w:val="clear" w:color="000000" w:fill="99CCC3"/>
            <w:vAlign w:val="center"/>
            <w:hideMark/>
          </w:tcPr>
          <w:p w14:paraId="01314F9D" w14:textId="77777777" w:rsidR="00AB7DC1" w:rsidRPr="00424E22" w:rsidRDefault="00AB7DC1" w:rsidP="003330D1">
            <w:pPr>
              <w:keepNext/>
              <w:keepLines/>
              <w:widowControl w:val="0"/>
              <w:tabs>
                <w:tab w:val="clear" w:pos="567"/>
              </w:tabs>
              <w:spacing w:before="0" w:line="240" w:lineRule="auto"/>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Total</w:t>
            </w:r>
          </w:p>
        </w:tc>
        <w:tc>
          <w:tcPr>
            <w:tcW w:w="720" w:type="dxa"/>
            <w:tcBorders>
              <w:top w:val="nil"/>
              <w:left w:val="nil"/>
              <w:bottom w:val="single" w:sz="8" w:space="0" w:color="CEE7B3"/>
              <w:right w:val="nil"/>
            </w:tcBorders>
            <w:shd w:val="clear" w:color="000000" w:fill="99CCC3"/>
            <w:vAlign w:val="center"/>
            <w:hideMark/>
          </w:tcPr>
          <w:p w14:paraId="5BC7EB7D"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186</w:t>
            </w:r>
          </w:p>
        </w:tc>
        <w:tc>
          <w:tcPr>
            <w:tcW w:w="720" w:type="dxa"/>
            <w:tcBorders>
              <w:top w:val="nil"/>
              <w:left w:val="nil"/>
              <w:bottom w:val="single" w:sz="8" w:space="0" w:color="CEE7B3"/>
              <w:right w:val="nil"/>
            </w:tcBorders>
            <w:shd w:val="clear" w:color="000000" w:fill="99CCC3"/>
            <w:vAlign w:val="center"/>
            <w:hideMark/>
          </w:tcPr>
          <w:p w14:paraId="1FA1EFC2"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-628</w:t>
            </w:r>
          </w:p>
        </w:tc>
        <w:tc>
          <w:tcPr>
            <w:tcW w:w="720" w:type="dxa"/>
            <w:tcBorders>
              <w:top w:val="nil"/>
              <w:left w:val="nil"/>
              <w:bottom w:val="single" w:sz="8" w:space="0" w:color="CEE7B3"/>
              <w:right w:val="nil"/>
            </w:tcBorders>
            <w:shd w:val="clear" w:color="000000" w:fill="99CCC3"/>
            <w:vAlign w:val="center"/>
            <w:hideMark/>
          </w:tcPr>
          <w:p w14:paraId="2277A026"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218</w:t>
            </w:r>
          </w:p>
        </w:tc>
        <w:tc>
          <w:tcPr>
            <w:tcW w:w="720" w:type="dxa"/>
            <w:tcBorders>
              <w:top w:val="nil"/>
              <w:left w:val="nil"/>
              <w:bottom w:val="single" w:sz="8" w:space="0" w:color="CEE7B3"/>
              <w:right w:val="nil"/>
            </w:tcBorders>
            <w:shd w:val="clear" w:color="000000" w:fill="99CCC3"/>
            <w:vAlign w:val="center"/>
            <w:hideMark/>
          </w:tcPr>
          <w:p w14:paraId="62478DE5"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531</w:t>
            </w:r>
          </w:p>
        </w:tc>
        <w:tc>
          <w:tcPr>
            <w:tcW w:w="720" w:type="dxa"/>
            <w:tcBorders>
              <w:top w:val="nil"/>
              <w:left w:val="nil"/>
              <w:bottom w:val="single" w:sz="8" w:space="0" w:color="CEE7B3"/>
              <w:right w:val="nil"/>
            </w:tcBorders>
            <w:shd w:val="clear" w:color="000000" w:fill="99CCC3"/>
            <w:vAlign w:val="center"/>
            <w:hideMark/>
          </w:tcPr>
          <w:p w14:paraId="6E1B7DF4"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-435</w:t>
            </w:r>
          </w:p>
        </w:tc>
        <w:tc>
          <w:tcPr>
            <w:tcW w:w="720" w:type="dxa"/>
            <w:tcBorders>
              <w:top w:val="nil"/>
              <w:left w:val="nil"/>
              <w:bottom w:val="single" w:sz="8" w:space="0" w:color="CEE7B3"/>
              <w:right w:val="nil"/>
            </w:tcBorders>
            <w:shd w:val="clear" w:color="000000" w:fill="99CCC3"/>
            <w:vAlign w:val="center"/>
            <w:hideMark/>
          </w:tcPr>
          <w:p w14:paraId="2FBBEBD5"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-194</w:t>
            </w:r>
          </w:p>
        </w:tc>
        <w:tc>
          <w:tcPr>
            <w:tcW w:w="720" w:type="dxa"/>
            <w:tcBorders>
              <w:top w:val="nil"/>
              <w:left w:val="nil"/>
              <w:bottom w:val="single" w:sz="8" w:space="0" w:color="CEE7B3"/>
              <w:right w:val="nil"/>
            </w:tcBorders>
            <w:shd w:val="clear" w:color="000000" w:fill="99CCC3"/>
            <w:vAlign w:val="center"/>
            <w:hideMark/>
          </w:tcPr>
          <w:p w14:paraId="57531D53"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-164</w:t>
            </w:r>
          </w:p>
        </w:tc>
        <w:tc>
          <w:tcPr>
            <w:tcW w:w="720" w:type="dxa"/>
            <w:tcBorders>
              <w:top w:val="nil"/>
              <w:left w:val="nil"/>
              <w:bottom w:val="single" w:sz="8" w:space="0" w:color="CEE7B3"/>
              <w:right w:val="nil"/>
            </w:tcBorders>
            <w:shd w:val="clear" w:color="000000" w:fill="99CCC3"/>
            <w:vAlign w:val="center"/>
            <w:hideMark/>
          </w:tcPr>
          <w:p w14:paraId="2A98D5EA"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486</w:t>
            </w:r>
          </w:p>
        </w:tc>
        <w:tc>
          <w:tcPr>
            <w:tcW w:w="720" w:type="dxa"/>
            <w:tcBorders>
              <w:top w:val="nil"/>
              <w:left w:val="nil"/>
              <w:bottom w:val="single" w:sz="8" w:space="0" w:color="CEE7B3"/>
              <w:right w:val="nil"/>
            </w:tcBorders>
            <w:shd w:val="clear" w:color="000000" w:fill="99CCC3"/>
            <w:vAlign w:val="center"/>
            <w:hideMark/>
          </w:tcPr>
          <w:p w14:paraId="445346E7" w14:textId="77777777" w:rsidR="00AB7DC1" w:rsidRPr="00424E22" w:rsidRDefault="00AB7DC1" w:rsidP="003330D1">
            <w:pPr>
              <w:keepNext/>
              <w:keepLines/>
              <w:widowControl w:val="0"/>
              <w:tabs>
                <w:tab w:val="clear" w:pos="567"/>
              </w:tabs>
              <w:spacing w:before="0" w:line="240" w:lineRule="auto"/>
              <w:jc w:val="right"/>
              <w:rPr>
                <w:rFonts w:ascii="Work Sans SemiBold" w:eastAsia="Times New Roman" w:hAnsi="Work Sans SemiBold" w:cs="Times New Roman"/>
                <w:color w:val="000000"/>
                <w:sz w:val="16"/>
                <w:szCs w:val="16"/>
                <w:lang w:eastAsia="en-AU"/>
              </w:rPr>
            </w:pPr>
            <w:r w:rsidRPr="00424E22">
              <w:rPr>
                <w:rFonts w:ascii="Work Sans SemiBold" w:eastAsia="Times New Roman" w:hAnsi="Work Sans SemiBold" w:cs="Times New Roman"/>
                <w:color w:val="000000"/>
                <w:sz w:val="16"/>
                <w:szCs w:val="16"/>
                <w:lang w:eastAsia="en-AU"/>
              </w:rPr>
              <w:t>1,421</w:t>
            </w:r>
          </w:p>
        </w:tc>
      </w:tr>
    </w:tbl>
    <w:p w14:paraId="09401A95" w14:textId="17330C44" w:rsidR="00B601E0" w:rsidRPr="00F2062E" w:rsidRDefault="00674308" w:rsidP="003A2DEC">
      <w:pPr>
        <w:pStyle w:val="CGCTablenote"/>
        <w:numPr>
          <w:ilvl w:val="0"/>
          <w:numId w:val="0"/>
        </w:numPr>
      </w:pPr>
      <w:r w:rsidRPr="00F2062E">
        <w:t>Source:</w:t>
      </w:r>
      <w:r w:rsidRPr="00F2062E">
        <w:tab/>
        <w:t>Commission calculation, 2022 Update.</w:t>
      </w:r>
    </w:p>
    <w:p w14:paraId="09FC24A3" w14:textId="7D8E61CA" w:rsidR="003330D1" w:rsidRDefault="003330D1" w:rsidP="00A158FB">
      <w:pPr>
        <w:pStyle w:val="BodyText"/>
      </w:pPr>
      <w:r w:rsidRPr="00F2062E">
        <w:t xml:space="preserve">Rural roads and urban transport investment </w:t>
      </w:r>
      <w:r>
        <w:t xml:space="preserve">are the main infrastructure </w:t>
      </w:r>
      <w:r w:rsidR="00F73E61">
        <w:t>ty</w:t>
      </w:r>
      <w:r w:rsidR="00BB1BE4">
        <w:t>p</w:t>
      </w:r>
      <w:r>
        <w:t xml:space="preserve">es </w:t>
      </w:r>
      <w:r w:rsidR="00E7672C" w:rsidRPr="00F2062E">
        <w:rPr>
          <w:noProof/>
        </w:rPr>
        <w:drawing>
          <wp:anchor distT="0" distB="0" distL="114300" distR="114300" simplePos="0" relativeHeight="251658254" behindDoc="1" locked="1" layoutInCell="1" allowOverlap="1" wp14:anchorId="1183CEF0" wp14:editId="7EEB4331">
            <wp:simplePos x="0" y="0"/>
            <wp:positionH relativeFrom="page">
              <wp:align>left</wp:align>
            </wp:positionH>
            <wp:positionV relativeFrom="page">
              <wp:align>bottom</wp:align>
            </wp:positionV>
            <wp:extent cx="7563485" cy="10690225"/>
            <wp:effectExtent l="0" t="0" r="0" b="0"/>
            <wp:wrapNone/>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r>
        <w:t xml:space="preserve">contributing to </w:t>
      </w:r>
      <w:r w:rsidRPr="00F2062E">
        <w:t xml:space="preserve">differences </w:t>
      </w:r>
      <w:r>
        <w:t xml:space="preserve">in the distribution of GST </w:t>
      </w:r>
      <w:r w:rsidRPr="00F2062E">
        <w:t xml:space="preserve">between </w:t>
      </w:r>
      <w:r>
        <w:t xml:space="preserve">the </w:t>
      </w:r>
      <w:r w:rsidRPr="00F2062E">
        <w:t>states</w:t>
      </w:r>
      <w:r>
        <w:t xml:space="preserve">. </w:t>
      </w:r>
      <w:r w:rsidRPr="00D33E7E">
        <w:t>This reflects the large amount of state investment in these areas a</w:t>
      </w:r>
      <w:r>
        <w:t xml:space="preserve">s well as </w:t>
      </w:r>
      <w:r w:rsidR="004C60D8">
        <w:t xml:space="preserve">big </w:t>
      </w:r>
      <w:r w:rsidRPr="00D33E7E">
        <w:t xml:space="preserve">differences </w:t>
      </w:r>
      <w:r>
        <w:t xml:space="preserve">between states </w:t>
      </w:r>
      <w:r w:rsidRPr="00D33E7E">
        <w:t>in the</w:t>
      </w:r>
      <w:r w:rsidR="000F6AFA">
        <w:t>ir</w:t>
      </w:r>
      <w:r w:rsidRPr="00D33E7E">
        <w:t xml:space="preserve"> underlying</w:t>
      </w:r>
      <w:r>
        <w:t xml:space="preserve"> </w:t>
      </w:r>
      <w:r w:rsidRPr="00D33E7E">
        <w:t xml:space="preserve">need </w:t>
      </w:r>
      <w:r>
        <w:t xml:space="preserve">for </w:t>
      </w:r>
      <w:r w:rsidRPr="00D33E7E">
        <w:t xml:space="preserve">these </w:t>
      </w:r>
      <w:r>
        <w:t>types of investment.</w:t>
      </w:r>
    </w:p>
    <w:p w14:paraId="1438E17E" w14:textId="5A1C6C98" w:rsidR="00B601E0" w:rsidRPr="00F2062E" w:rsidRDefault="00B601E0" w:rsidP="00A158FB">
      <w:pPr>
        <w:pStyle w:val="BodyText"/>
      </w:pPr>
      <w:r w:rsidRPr="00F2062E">
        <w:t xml:space="preserve">For example, </w:t>
      </w:r>
      <w:r w:rsidR="001C5150">
        <w:t>in</w:t>
      </w:r>
      <w:r w:rsidR="00961FEE">
        <w:t xml:space="preserve"> 2020</w:t>
      </w:r>
      <w:r w:rsidR="003A2DEC">
        <w:t>–</w:t>
      </w:r>
      <w:r w:rsidR="00961FEE">
        <w:t>21</w:t>
      </w:r>
      <w:r w:rsidR="005C4FA5">
        <w:t xml:space="preserve"> </w:t>
      </w:r>
      <w:r w:rsidRPr="00F2062E">
        <w:t>the total amount invested in schools was comparable to that invested in rural roads (</w:t>
      </w:r>
      <w:r w:rsidR="005C4FA5">
        <w:t xml:space="preserve">both </w:t>
      </w:r>
      <w:r w:rsidRPr="00F2062E">
        <w:t>approximately $5 billion)</w:t>
      </w:r>
      <w:r w:rsidR="00DB08F7">
        <w:t xml:space="preserve">, yet </w:t>
      </w:r>
      <w:r w:rsidR="00E71501">
        <w:t xml:space="preserve">there </w:t>
      </w:r>
      <w:r w:rsidR="00425F24">
        <w:t>wa</w:t>
      </w:r>
      <w:r w:rsidRPr="00F2062E">
        <w:t xml:space="preserve">s a large difference in </w:t>
      </w:r>
      <w:r w:rsidR="00F33331">
        <w:t>how</w:t>
      </w:r>
      <w:r w:rsidR="008B7D1F">
        <w:t xml:space="preserve"> the </w:t>
      </w:r>
      <w:r w:rsidR="00FE49D3">
        <w:t xml:space="preserve">investment in each </w:t>
      </w:r>
      <w:r w:rsidR="00BB1BE4">
        <w:t>type</w:t>
      </w:r>
      <w:r w:rsidR="00FE49D3">
        <w:t xml:space="preserve"> influenced </w:t>
      </w:r>
      <w:r w:rsidR="00A1150B">
        <w:t xml:space="preserve">GST </w:t>
      </w:r>
      <w:r w:rsidR="00A1150B" w:rsidRPr="00F2062E">
        <w:t>distribution.</w:t>
      </w:r>
      <w:r w:rsidR="00A1150B">
        <w:t xml:space="preserve"> </w:t>
      </w:r>
      <w:r w:rsidR="00DA03A7">
        <w:t xml:space="preserve">The difference between the assessed needs for </w:t>
      </w:r>
      <w:proofErr w:type="gramStart"/>
      <w:r w:rsidR="008375A7">
        <w:t>s</w:t>
      </w:r>
      <w:r w:rsidRPr="00F2062E">
        <w:t>chools</w:t>
      </w:r>
      <w:proofErr w:type="gramEnd"/>
      <w:r w:rsidRPr="00F2062E">
        <w:t xml:space="preserve"> investment </w:t>
      </w:r>
      <w:r w:rsidR="00DA03A7">
        <w:t>and an</w:t>
      </w:r>
      <w:r w:rsidR="00194945">
        <w:t xml:space="preserve"> </w:t>
      </w:r>
      <w:r w:rsidR="00DA4DB2">
        <w:t xml:space="preserve">equal per capita </w:t>
      </w:r>
      <w:r w:rsidR="005A52A0">
        <w:t xml:space="preserve">distribution </w:t>
      </w:r>
      <w:r w:rsidR="00425F24">
        <w:t>wa</w:t>
      </w:r>
      <w:r w:rsidR="00143578">
        <w:t xml:space="preserve">s </w:t>
      </w:r>
      <w:r w:rsidRPr="00F2062E">
        <w:t>$275 million</w:t>
      </w:r>
      <w:r w:rsidR="00143578">
        <w:t xml:space="preserve">, </w:t>
      </w:r>
      <w:r w:rsidRPr="00F2062E">
        <w:t xml:space="preserve">while </w:t>
      </w:r>
      <w:r w:rsidR="006E03CA">
        <w:t xml:space="preserve">for </w:t>
      </w:r>
      <w:r w:rsidRPr="00F2062E">
        <w:t xml:space="preserve">rural roads investment </w:t>
      </w:r>
      <w:r w:rsidR="00143578">
        <w:t xml:space="preserve">the difference </w:t>
      </w:r>
      <w:r w:rsidR="00425F24">
        <w:t>wa</w:t>
      </w:r>
      <w:r w:rsidR="00143578">
        <w:t xml:space="preserve">s </w:t>
      </w:r>
      <w:r w:rsidRPr="00F2062E">
        <w:t>$1,512 million.</w:t>
      </w:r>
    </w:p>
    <w:p w14:paraId="70B1CA1C" w14:textId="498CE82E" w:rsidR="0049004C" w:rsidRDefault="005957E4" w:rsidP="00A158FB">
      <w:pPr>
        <w:pStyle w:val="BodyText"/>
      </w:pPr>
      <w:r>
        <w:t>T</w:t>
      </w:r>
      <w:r w:rsidR="00321432">
        <w:t xml:space="preserve">he </w:t>
      </w:r>
      <w:r w:rsidR="00F57F44">
        <w:t>distribution</w:t>
      </w:r>
      <w:r w:rsidR="00073AFB">
        <w:t xml:space="preserve"> </w:t>
      </w:r>
      <w:r w:rsidR="00D922B0">
        <w:t>(both in magnitude and across s</w:t>
      </w:r>
      <w:r w:rsidR="00030179">
        <w:t xml:space="preserve">tates) </w:t>
      </w:r>
      <w:r w:rsidR="00321432">
        <w:t xml:space="preserve">differs </w:t>
      </w:r>
      <w:r w:rsidR="00073AFB">
        <w:t xml:space="preserve">between investment </w:t>
      </w:r>
      <w:r w:rsidR="00B43B2B">
        <w:t xml:space="preserve">in schools and rural </w:t>
      </w:r>
      <w:r w:rsidR="00252103">
        <w:t>roads because</w:t>
      </w:r>
      <w:r w:rsidR="0028321C">
        <w:t xml:space="preserve"> the </w:t>
      </w:r>
      <w:r w:rsidR="00B43B2B">
        <w:t>factors</w:t>
      </w:r>
      <w:r w:rsidR="00512450">
        <w:t xml:space="preserve"> </w:t>
      </w:r>
      <w:r w:rsidR="00FC13B6">
        <w:t xml:space="preserve">used to </w:t>
      </w:r>
      <w:r w:rsidR="00073AFB">
        <w:t xml:space="preserve">identify </w:t>
      </w:r>
      <w:r w:rsidR="00512450">
        <w:t xml:space="preserve">the underlying demand for investment in each </w:t>
      </w:r>
      <w:r w:rsidR="009B4EEA">
        <w:t>infrast</w:t>
      </w:r>
      <w:r w:rsidR="00722645">
        <w:t>ructure type</w:t>
      </w:r>
      <w:r w:rsidR="00512450">
        <w:t xml:space="preserve"> </w:t>
      </w:r>
      <w:r w:rsidR="0049004C">
        <w:t xml:space="preserve">are different. </w:t>
      </w:r>
      <w:r w:rsidR="00303908">
        <w:t xml:space="preserve">In the case of school investment, </w:t>
      </w:r>
      <w:r>
        <w:t>e</w:t>
      </w:r>
      <w:r w:rsidR="00B601E0" w:rsidRPr="00F2062E">
        <w:t xml:space="preserve">ach state’s share of </w:t>
      </w:r>
      <w:r w:rsidR="008871D9">
        <w:t xml:space="preserve">government </w:t>
      </w:r>
      <w:r w:rsidR="00B601E0" w:rsidRPr="00F2062E">
        <w:t>school students is close to its share of total population</w:t>
      </w:r>
      <w:r w:rsidR="009F2E0D">
        <w:t>.</w:t>
      </w:r>
      <w:r w:rsidR="0049004C">
        <w:t xml:space="preserve"> </w:t>
      </w:r>
      <w:r w:rsidR="00F61EE0">
        <w:t xml:space="preserve">There </w:t>
      </w:r>
      <w:r w:rsidR="00465421">
        <w:t>is therefore less difference in sch</w:t>
      </w:r>
      <w:r w:rsidR="003A57EC">
        <w:t>ool investment requirements across states.</w:t>
      </w:r>
    </w:p>
    <w:p w14:paraId="1E422264" w14:textId="6FFC17AE" w:rsidR="00D87CE8" w:rsidRDefault="00F103A8" w:rsidP="00A158FB">
      <w:pPr>
        <w:pStyle w:val="BodyText"/>
      </w:pPr>
      <w:r>
        <w:t xml:space="preserve">In the case of </w:t>
      </w:r>
      <w:r w:rsidR="009F2E0D">
        <w:t>roads</w:t>
      </w:r>
      <w:r w:rsidR="00AD67FA">
        <w:t>, t</w:t>
      </w:r>
      <w:r w:rsidR="00CF085A">
        <w:t>he main factor inf</w:t>
      </w:r>
      <w:r w:rsidR="002D2DEA">
        <w:t xml:space="preserve">luencing the assessment of states’ investment requirements </w:t>
      </w:r>
      <w:r w:rsidR="00A1278D">
        <w:t xml:space="preserve">is </w:t>
      </w:r>
      <w:r w:rsidR="004F7F24">
        <w:t xml:space="preserve">related to </w:t>
      </w:r>
      <w:r w:rsidR="00FE1C46">
        <w:t xml:space="preserve">the length of </w:t>
      </w:r>
      <w:r w:rsidR="00CA09F2">
        <w:t xml:space="preserve">their </w:t>
      </w:r>
      <w:r w:rsidR="004F7F24">
        <w:t>rural road</w:t>
      </w:r>
      <w:r w:rsidR="00CA09F2">
        <w:t xml:space="preserve"> network</w:t>
      </w:r>
      <w:r w:rsidR="004F7F24">
        <w:t>.</w:t>
      </w:r>
      <w:r w:rsidR="00000449">
        <w:t xml:space="preserve"> </w:t>
      </w:r>
      <w:r w:rsidR="00F65276" w:rsidRPr="00D33E7E">
        <w:t>Th</w:t>
      </w:r>
      <w:r w:rsidR="00FA1E0F" w:rsidRPr="00D33E7E">
        <w:t xml:space="preserve">ere is </w:t>
      </w:r>
      <w:r w:rsidR="00DA5D81">
        <w:t>significan</w:t>
      </w:r>
      <w:r w:rsidR="00814906">
        <w:t>t</w:t>
      </w:r>
      <w:r w:rsidR="00FA1E0F" w:rsidRPr="00D33E7E">
        <w:t xml:space="preserve"> variance between the states </w:t>
      </w:r>
      <w:r w:rsidR="00814906">
        <w:t>in their road investment require</w:t>
      </w:r>
      <w:r w:rsidR="00C95BC0">
        <w:t>ments</w:t>
      </w:r>
      <w:r w:rsidR="00855A97">
        <w:t xml:space="preserve"> </w:t>
      </w:r>
      <w:r w:rsidR="00FA1E0F" w:rsidRPr="00D33E7E">
        <w:t>because</w:t>
      </w:r>
      <w:r w:rsidR="0085146B" w:rsidRPr="00D33E7E">
        <w:t xml:space="preserve"> </w:t>
      </w:r>
      <w:r w:rsidR="004D2DBF" w:rsidRPr="00D33E7E">
        <w:t xml:space="preserve">road length </w:t>
      </w:r>
      <w:r w:rsidR="0085146B" w:rsidRPr="00D33E7E">
        <w:t xml:space="preserve">is more closely </w:t>
      </w:r>
      <w:r w:rsidR="008D12BA" w:rsidRPr="00D33E7E">
        <w:t>connect</w:t>
      </w:r>
      <w:r w:rsidR="00BF3A15" w:rsidRPr="00D33E7E">
        <w:t>ed</w:t>
      </w:r>
      <w:r w:rsidR="008D12BA" w:rsidRPr="00D33E7E">
        <w:t xml:space="preserve"> to </w:t>
      </w:r>
      <w:r w:rsidR="00A41E50" w:rsidRPr="00D33E7E">
        <w:t xml:space="preserve">the </w:t>
      </w:r>
      <w:r w:rsidR="008C6763">
        <w:t>geographical</w:t>
      </w:r>
      <w:r w:rsidR="008C6763" w:rsidRPr="00D33E7E">
        <w:t xml:space="preserve"> </w:t>
      </w:r>
      <w:r w:rsidR="0085146B" w:rsidRPr="00D33E7E">
        <w:t xml:space="preserve">characteristics of a state than </w:t>
      </w:r>
      <w:r w:rsidR="00855A97">
        <w:t xml:space="preserve">to </w:t>
      </w:r>
      <w:r w:rsidR="0085146B" w:rsidRPr="00D33E7E">
        <w:t xml:space="preserve">its </w:t>
      </w:r>
      <w:r w:rsidR="008D12BA" w:rsidRPr="00D33E7E">
        <w:t>population share.</w:t>
      </w:r>
    </w:p>
    <w:p w14:paraId="6EEF5CEC" w14:textId="2A63513D" w:rsidR="00664958" w:rsidRPr="00F2062E" w:rsidRDefault="001D64FB" w:rsidP="00FB68F3">
      <w:pPr>
        <w:pStyle w:val="Heading2"/>
      </w:pPr>
      <w:r>
        <w:br w:type="column"/>
      </w:r>
      <w:r w:rsidR="00664958" w:rsidRPr="00F2062E">
        <w:lastRenderedPageBreak/>
        <w:t>Conclusion</w:t>
      </w:r>
    </w:p>
    <w:p w14:paraId="171170C1" w14:textId="458F45D7" w:rsidR="00524F14" w:rsidRDefault="003A1612" w:rsidP="00A158FB">
      <w:pPr>
        <w:pStyle w:val="BodyText"/>
      </w:pPr>
      <w:r>
        <w:t>Purchasing</w:t>
      </w:r>
      <w:r w:rsidR="00C4026D" w:rsidRPr="00426B81">
        <w:t xml:space="preserve"> and </w:t>
      </w:r>
      <w:r>
        <w:t>replacing</w:t>
      </w:r>
      <w:r w:rsidR="0075432D" w:rsidRPr="00F2062E">
        <w:rPr>
          <w:noProof/>
        </w:rPr>
        <w:drawing>
          <wp:anchor distT="0" distB="0" distL="114300" distR="114300" simplePos="0" relativeHeight="251658247" behindDoc="1" locked="1" layoutInCell="1" allowOverlap="1" wp14:anchorId="372F099D" wp14:editId="20DB2303">
            <wp:simplePos x="0" y="0"/>
            <wp:positionH relativeFrom="page">
              <wp:align>right</wp:align>
            </wp:positionH>
            <wp:positionV relativeFrom="page">
              <wp:align>top</wp:align>
            </wp:positionV>
            <wp:extent cx="7563485" cy="10690225"/>
            <wp:effectExtent l="0" t="0" r="0" b="0"/>
            <wp:wrapNone/>
            <wp:docPr id="29"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r w:rsidR="00AF51DD" w:rsidRPr="00F2062E" w:rsidDel="00DC7E9D">
        <w:t xml:space="preserve"> </w:t>
      </w:r>
      <w:r w:rsidR="00AF51DD" w:rsidRPr="00F2062E">
        <w:t>public infrastructure is a significant expense for states</w:t>
      </w:r>
      <w:r w:rsidR="00BC4AD1" w:rsidRPr="00F2062E">
        <w:t>.</w:t>
      </w:r>
      <w:r w:rsidR="00524F14">
        <w:t xml:space="preserve"> </w:t>
      </w:r>
      <w:r w:rsidR="00307070" w:rsidRPr="00F2062E">
        <w:t>The Commission</w:t>
      </w:r>
      <w:r w:rsidR="00307070">
        <w:t>’</w:t>
      </w:r>
      <w:r w:rsidR="00307070" w:rsidRPr="00F2062E">
        <w:t>s assessment of</w:t>
      </w:r>
      <w:r w:rsidR="00981383" w:rsidRPr="00981383">
        <w:t xml:space="preserve"> </w:t>
      </w:r>
      <w:r w:rsidR="00981383">
        <w:t xml:space="preserve">state </w:t>
      </w:r>
      <w:r w:rsidR="00981383" w:rsidRPr="00981383">
        <w:t xml:space="preserve">investment </w:t>
      </w:r>
      <w:r w:rsidR="00981383">
        <w:t>need</w:t>
      </w:r>
      <w:r w:rsidR="00557C2A">
        <w:t>s</w:t>
      </w:r>
      <w:r w:rsidR="00981383">
        <w:t xml:space="preserve"> </w:t>
      </w:r>
      <w:r w:rsidR="00565AB3">
        <w:t xml:space="preserve">recognises that </w:t>
      </w:r>
      <w:r w:rsidR="003C296F">
        <w:t xml:space="preserve">a </w:t>
      </w:r>
      <w:r w:rsidR="0038382E">
        <w:t>state</w:t>
      </w:r>
      <w:r w:rsidR="003C296F">
        <w:t>’s</w:t>
      </w:r>
      <w:r w:rsidR="0038382E">
        <w:t xml:space="preserve"> requirements for </w:t>
      </w:r>
      <w:r w:rsidR="00700718">
        <w:t xml:space="preserve">different types of </w:t>
      </w:r>
      <w:r w:rsidR="0038382E">
        <w:t>infrastructure</w:t>
      </w:r>
      <w:r w:rsidR="008159C6">
        <w:t xml:space="preserve"> </w:t>
      </w:r>
      <w:r w:rsidR="00565AB3">
        <w:t xml:space="preserve">change with </w:t>
      </w:r>
      <w:r w:rsidR="003C296F">
        <w:t>its</w:t>
      </w:r>
      <w:r w:rsidR="008159C6">
        <w:t xml:space="preserve"> </w:t>
      </w:r>
      <w:r w:rsidR="00981383" w:rsidRPr="00981383">
        <w:t>circumstances</w:t>
      </w:r>
      <w:r w:rsidR="00565AB3">
        <w:t xml:space="preserve">. </w:t>
      </w:r>
      <w:r w:rsidR="00313F2C">
        <w:t>These differences can have a significant impact on the distribution of GST.</w:t>
      </w:r>
    </w:p>
    <w:p w14:paraId="4B402462" w14:textId="0536C305" w:rsidR="00210A90" w:rsidRDefault="00524F14" w:rsidP="00A158FB">
      <w:pPr>
        <w:pStyle w:val="BodyText"/>
      </w:pPr>
      <w:r>
        <w:t xml:space="preserve">Change in </w:t>
      </w:r>
      <w:r w:rsidR="00720125">
        <w:t>user-</w:t>
      </w:r>
      <w:r>
        <w:t>p</w:t>
      </w:r>
      <w:r w:rsidR="00307070">
        <w:t>opulation</w:t>
      </w:r>
      <w:r w:rsidR="005B2E77">
        <w:t>s</w:t>
      </w:r>
      <w:r w:rsidR="008021A8">
        <w:t xml:space="preserve"> is a</w:t>
      </w:r>
      <w:r w:rsidR="00307070">
        <w:t xml:space="preserve"> significant driver of </w:t>
      </w:r>
      <w:r w:rsidR="00244E14">
        <w:t xml:space="preserve">assessed </w:t>
      </w:r>
      <w:r w:rsidR="003907F5">
        <w:t xml:space="preserve">state investment </w:t>
      </w:r>
      <w:r w:rsidR="00244E14">
        <w:t>need.</w:t>
      </w:r>
      <w:r>
        <w:t xml:space="preserve"> </w:t>
      </w:r>
      <w:r w:rsidR="007040E3">
        <w:t>P</w:t>
      </w:r>
      <w:r w:rsidR="00FB4F1F">
        <w:t xml:space="preserve">opulation </w:t>
      </w:r>
      <w:r w:rsidR="00A07E5A">
        <w:t>growth</w:t>
      </w:r>
      <w:r w:rsidR="00FB4F1F">
        <w:t xml:space="preserve"> captures </w:t>
      </w:r>
      <w:r w:rsidR="00A4420B">
        <w:t xml:space="preserve">the increase in </w:t>
      </w:r>
      <w:r w:rsidR="00FB4F1F">
        <w:t xml:space="preserve">state </w:t>
      </w:r>
      <w:r w:rsidR="008021A8" w:rsidRPr="00244E14">
        <w:t>investment</w:t>
      </w:r>
      <w:r w:rsidR="008021A8">
        <w:t xml:space="preserve"> </w:t>
      </w:r>
      <w:r w:rsidR="00AC54BB">
        <w:t>need</w:t>
      </w:r>
      <w:r w:rsidR="008021A8">
        <w:t xml:space="preserve">ed </w:t>
      </w:r>
      <w:r w:rsidR="00760DA5">
        <w:t>to provide</w:t>
      </w:r>
      <w:r w:rsidR="008021A8">
        <w:t xml:space="preserve"> </w:t>
      </w:r>
      <w:r w:rsidR="00244E14" w:rsidRPr="00244E14">
        <w:t>infrastructure to new users</w:t>
      </w:r>
      <w:r w:rsidR="00A07E5A">
        <w:t>.</w:t>
      </w:r>
      <w:r w:rsidR="00606B7A">
        <w:t xml:space="preserve"> For </w:t>
      </w:r>
      <w:r w:rsidR="006063A1">
        <w:t>school</w:t>
      </w:r>
      <w:r w:rsidR="004D3988">
        <w:t>s,</w:t>
      </w:r>
      <w:r w:rsidR="006D5771">
        <w:t xml:space="preserve"> </w:t>
      </w:r>
      <w:r w:rsidR="004D3988">
        <w:t>t</w:t>
      </w:r>
      <w:r w:rsidR="006D5771">
        <w:t>he Commission</w:t>
      </w:r>
      <w:r w:rsidR="007E506C">
        <w:t xml:space="preserve"> </w:t>
      </w:r>
      <w:r w:rsidR="004353BF">
        <w:t>assess</w:t>
      </w:r>
      <w:r w:rsidR="00FE774F">
        <w:t>es</w:t>
      </w:r>
      <w:r w:rsidR="004353BF">
        <w:t xml:space="preserve"> a state with a</w:t>
      </w:r>
      <w:r w:rsidR="007E506C">
        <w:t>n</w:t>
      </w:r>
      <w:r w:rsidR="009E3012">
        <w:t xml:space="preserve"> above</w:t>
      </w:r>
      <w:r w:rsidR="0012402E">
        <w:noBreakHyphen/>
      </w:r>
      <w:r w:rsidR="009E3012">
        <w:t>average</w:t>
      </w:r>
      <w:r w:rsidR="007E506C">
        <w:t xml:space="preserve"> increase in the number of students</w:t>
      </w:r>
      <w:r w:rsidR="00F519E4">
        <w:t xml:space="preserve"> </w:t>
      </w:r>
      <w:r w:rsidR="00DE478C">
        <w:t>to have</w:t>
      </w:r>
      <w:r w:rsidR="00EF5C58">
        <w:t xml:space="preserve"> </w:t>
      </w:r>
      <w:r w:rsidR="0086661D">
        <w:t>greater</w:t>
      </w:r>
      <w:r w:rsidR="004F4789">
        <w:t xml:space="preserve"> investment</w:t>
      </w:r>
      <w:r w:rsidR="00DE478C">
        <w:t xml:space="preserve"> needs</w:t>
      </w:r>
      <w:r w:rsidR="005C05D4">
        <w:t>.</w:t>
      </w:r>
    </w:p>
    <w:p w14:paraId="32132C0C" w14:textId="0B0FAA35" w:rsidR="00D205B7" w:rsidRDefault="007040E3" w:rsidP="00A158FB">
      <w:pPr>
        <w:pStyle w:val="BodyText"/>
      </w:pPr>
      <w:r>
        <w:t>P</w:t>
      </w:r>
      <w:r w:rsidR="00A07E5A">
        <w:t>opulation</w:t>
      </w:r>
      <w:r>
        <w:t xml:space="preserve"> </w:t>
      </w:r>
      <w:r w:rsidR="00A07E5A">
        <w:t>levels</w:t>
      </w:r>
      <w:r>
        <w:t xml:space="preserve"> capture</w:t>
      </w:r>
      <w:r w:rsidR="00D205B7">
        <w:t xml:space="preserve"> the</w:t>
      </w:r>
      <w:r>
        <w:t xml:space="preserve"> </w:t>
      </w:r>
      <w:r w:rsidR="009364D2">
        <w:t>requirement</w:t>
      </w:r>
      <w:r w:rsidR="001E32D9">
        <w:t xml:space="preserve"> for states </w:t>
      </w:r>
      <w:r w:rsidR="00996875">
        <w:t xml:space="preserve">to </w:t>
      </w:r>
      <w:r w:rsidRPr="007040E3">
        <w:t xml:space="preserve">replace assets </w:t>
      </w:r>
      <w:r w:rsidR="004202ED">
        <w:t>and</w:t>
      </w:r>
      <w:r w:rsidR="008021A8">
        <w:t xml:space="preserve"> </w:t>
      </w:r>
      <w:r w:rsidRPr="007040E3">
        <w:t>purchase</w:t>
      </w:r>
      <w:r w:rsidR="008021A8">
        <w:t xml:space="preserve"> </w:t>
      </w:r>
      <w:r w:rsidRPr="007040E3">
        <w:t xml:space="preserve">improved infrastructure for </w:t>
      </w:r>
      <w:r w:rsidR="00D205B7">
        <w:t>existing users.</w:t>
      </w:r>
      <w:r w:rsidR="00062378">
        <w:t xml:space="preserve"> </w:t>
      </w:r>
      <w:r w:rsidR="00620FAA">
        <w:t>A state with a larger</w:t>
      </w:r>
      <w:r w:rsidR="004D28F6">
        <w:t xml:space="preserve"> </w:t>
      </w:r>
      <w:r w:rsidR="000E0420">
        <w:t>na</w:t>
      </w:r>
      <w:r w:rsidR="002C53D7">
        <w:t xml:space="preserve">tional </w:t>
      </w:r>
      <w:r w:rsidR="004D28F6">
        <w:t>share of the</w:t>
      </w:r>
      <w:r w:rsidR="00620FAA">
        <w:t xml:space="preserve"> user</w:t>
      </w:r>
      <w:r w:rsidR="004D28F6">
        <w:noBreakHyphen/>
        <w:t xml:space="preserve">population </w:t>
      </w:r>
      <w:r w:rsidR="00347598">
        <w:t>for an infrastructure type</w:t>
      </w:r>
      <w:r w:rsidR="00E62DE8">
        <w:t xml:space="preserve"> is assessed to have </w:t>
      </w:r>
      <w:r w:rsidR="00ED0A28">
        <w:t xml:space="preserve">greater investment needs for </w:t>
      </w:r>
      <w:r w:rsidR="005B55D5">
        <w:t>replacing</w:t>
      </w:r>
      <w:r w:rsidR="009B014A">
        <w:t xml:space="preserve"> assets of that </w:t>
      </w:r>
      <w:r w:rsidR="00865554">
        <w:t>type</w:t>
      </w:r>
      <w:r w:rsidR="00ED0A28">
        <w:t>.</w:t>
      </w:r>
    </w:p>
    <w:p w14:paraId="0B05F167" w14:textId="6520D9D3" w:rsidR="00E87B9E" w:rsidRDefault="003F7BC7" w:rsidP="00A158FB">
      <w:pPr>
        <w:pStyle w:val="BodyText"/>
      </w:pPr>
      <w:r w:rsidRPr="00F2062E">
        <w:t>States have different investment needs because of differences</w:t>
      </w:r>
      <w:r w:rsidR="00C145D2">
        <w:t xml:space="preserve"> between states</w:t>
      </w:r>
      <w:r w:rsidRPr="00F2062E">
        <w:t xml:space="preserve"> in the population</w:t>
      </w:r>
      <w:r w:rsidR="00520658">
        <w:t>s</w:t>
      </w:r>
      <w:r w:rsidRPr="00F2062E">
        <w:t xml:space="preserve"> who use the </w:t>
      </w:r>
      <w:r w:rsidR="001B5E07">
        <w:t xml:space="preserve">different types of </w:t>
      </w:r>
      <w:r w:rsidR="00990B5E" w:rsidRPr="00F2062E">
        <w:t>infrastructure</w:t>
      </w:r>
      <w:r w:rsidR="00B16C8E">
        <w:t>.</w:t>
      </w:r>
    </w:p>
    <w:p w14:paraId="52151C22" w14:textId="70ADABF9" w:rsidR="00563262" w:rsidRDefault="00EB758D" w:rsidP="00A158FB">
      <w:pPr>
        <w:pStyle w:val="BodyText"/>
      </w:pPr>
      <w:r>
        <w:t>Differences in construction costs</w:t>
      </w:r>
      <w:r w:rsidR="00A93567">
        <w:t xml:space="preserve"> caused by factors like </w:t>
      </w:r>
      <w:r w:rsidR="00A962A0">
        <w:t>the cost of transport</w:t>
      </w:r>
      <w:r w:rsidR="003629AA">
        <w:t>ing</w:t>
      </w:r>
      <w:r w:rsidR="00A962A0">
        <w:t xml:space="preserve"> materials</w:t>
      </w:r>
      <w:r w:rsidR="00A01F2C">
        <w:t xml:space="preserve"> to remote areas</w:t>
      </w:r>
      <w:r>
        <w:t xml:space="preserve"> </w:t>
      </w:r>
      <w:r w:rsidR="00990B5E">
        <w:t xml:space="preserve">can also affect </w:t>
      </w:r>
      <w:r w:rsidR="0076690D">
        <w:t xml:space="preserve">investment </w:t>
      </w:r>
      <w:r w:rsidR="00990B5E">
        <w:t>needs.</w:t>
      </w:r>
      <w:r w:rsidR="00D16955" w:rsidRPr="00D16955">
        <w:rPr>
          <w:noProof/>
        </w:rPr>
        <w:t xml:space="preserve"> </w:t>
      </w:r>
      <w:r w:rsidR="00D16955" w:rsidRPr="00F2062E">
        <w:rPr>
          <w:noProof/>
        </w:rPr>
        <w:drawing>
          <wp:anchor distT="0" distB="0" distL="114300" distR="114300" simplePos="0" relativeHeight="251658255" behindDoc="1" locked="1" layoutInCell="1" allowOverlap="1" wp14:anchorId="44B68F77" wp14:editId="305A5350">
            <wp:simplePos x="0" y="0"/>
            <wp:positionH relativeFrom="margin">
              <wp:align>center</wp:align>
            </wp:positionH>
            <wp:positionV relativeFrom="page">
              <wp:align>top</wp:align>
            </wp:positionV>
            <wp:extent cx="7563485" cy="10688320"/>
            <wp:effectExtent l="0" t="0" r="0" b="0"/>
            <wp:wrapNone/>
            <wp:docPr id="16" name="Picture 1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88320"/>
                    </a:xfrm>
                    <a:prstGeom prst="rect">
                      <a:avLst/>
                    </a:prstGeom>
                  </pic:spPr>
                </pic:pic>
              </a:graphicData>
            </a:graphic>
            <wp14:sizeRelH relativeFrom="margin">
              <wp14:pctWidth>0</wp14:pctWidth>
            </wp14:sizeRelH>
            <wp14:sizeRelV relativeFrom="margin">
              <wp14:pctHeight>0</wp14:pctHeight>
            </wp14:sizeRelV>
          </wp:anchor>
        </w:drawing>
      </w:r>
    </w:p>
    <w:sectPr w:rsidR="00563262" w:rsidSect="00193CA6">
      <w:footerReference w:type="even" r:id="rId16"/>
      <w:footerReference w:type="default" r:id="rId17"/>
      <w:headerReference w:type="first" r:id="rId18"/>
      <w:pgSz w:w="11900" w:h="16840"/>
      <w:pgMar w:top="1440" w:right="1440" w:bottom="1440" w:left="1440" w:header="709"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E3FB0" w14:textId="77777777" w:rsidR="008A1BBD" w:rsidRDefault="008A1BBD" w:rsidP="005C0550">
      <w:pPr>
        <w:spacing w:before="0" w:line="240" w:lineRule="auto"/>
      </w:pPr>
      <w:r>
        <w:separator/>
      </w:r>
    </w:p>
  </w:endnote>
  <w:endnote w:type="continuationSeparator" w:id="0">
    <w:p w14:paraId="4D6F8EAC" w14:textId="77777777" w:rsidR="008A1BBD" w:rsidRDefault="008A1BBD" w:rsidP="005C0550">
      <w:pPr>
        <w:spacing w:before="0" w:line="240" w:lineRule="auto"/>
      </w:pPr>
      <w:r>
        <w:continuationSeparator/>
      </w:r>
    </w:p>
  </w:endnote>
  <w:endnote w:type="continuationNotice" w:id="1">
    <w:p w14:paraId="4DCF6584" w14:textId="77777777" w:rsidR="008A1BBD" w:rsidRDefault="008A1BB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Work Sans"/>
    <w:charset w:val="00"/>
    <w:family w:val="auto"/>
    <w:pitch w:val="variable"/>
    <w:sig w:usb0="A00000FF" w:usb1="5000E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Work Sans SemiBold">
    <w:altName w:val="Calibri"/>
    <w:charset w:val="00"/>
    <w:family w:val="auto"/>
    <w:pitch w:val="variable"/>
    <w:sig w:usb0="A00000FF" w:usb1="5000E07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Open Sans Semibold">
    <w:altName w:val="Segoe UI"/>
    <w:panose1 w:val="020B0706030804020204"/>
    <w:charset w:val="00"/>
    <w:family w:val="swiss"/>
    <w:pitch w:val="variable"/>
    <w:sig w:usb0="E00002EF" w:usb1="4000205B" w:usb2="00000028"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8D014" w14:textId="5C2EFBDD" w:rsidR="008B3F9B" w:rsidRDefault="008B3F9B" w:rsidP="003707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7696E">
      <w:rPr>
        <w:rStyle w:val="PageNumber"/>
        <w:noProof/>
      </w:rPr>
      <w:t>1</w:t>
    </w:r>
    <w:r>
      <w:rPr>
        <w:rStyle w:val="PageNumber"/>
      </w:rPr>
      <w:fldChar w:fldCharType="end"/>
    </w:r>
  </w:p>
  <w:p w14:paraId="7E137E3B" w14:textId="77777777" w:rsidR="008B3F9B" w:rsidRDefault="008B3F9B" w:rsidP="008B3F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105312"/>
      <w:docPartObj>
        <w:docPartGallery w:val="Page Numbers (Bottom of Page)"/>
        <w:docPartUnique/>
      </w:docPartObj>
    </w:sdtPr>
    <w:sdtContent>
      <w:p w14:paraId="6B08592E" w14:textId="3FCD9C52" w:rsidR="008B3F9B" w:rsidRDefault="005769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FCBA4E" w14:textId="5AB4F42D" w:rsidR="008B3F9B" w:rsidRPr="008B3F9B" w:rsidRDefault="008B3F9B" w:rsidP="008B3F9B">
    <w:pPr>
      <w:pStyle w:val="Footer"/>
      <w:ind w:right="360"/>
      <w:rPr>
        <w:rFonts w:ascii="Open Sans" w:hAnsi="Open Sans" w:cs="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587CF" w14:textId="77777777" w:rsidR="008A1BBD" w:rsidRDefault="008A1BBD" w:rsidP="005C0550">
      <w:pPr>
        <w:spacing w:before="0" w:line="240" w:lineRule="auto"/>
      </w:pPr>
      <w:r>
        <w:separator/>
      </w:r>
    </w:p>
  </w:footnote>
  <w:footnote w:type="continuationSeparator" w:id="0">
    <w:p w14:paraId="5570F0D9" w14:textId="77777777" w:rsidR="008A1BBD" w:rsidRDefault="008A1BBD" w:rsidP="005C0550">
      <w:pPr>
        <w:spacing w:before="0" w:line="240" w:lineRule="auto"/>
      </w:pPr>
      <w:r>
        <w:continuationSeparator/>
      </w:r>
    </w:p>
  </w:footnote>
  <w:footnote w:type="continuationNotice" w:id="1">
    <w:p w14:paraId="3D277185" w14:textId="77777777" w:rsidR="008A1BBD" w:rsidRDefault="008A1BBD">
      <w:pPr>
        <w:spacing w:before="0" w:line="240" w:lineRule="auto"/>
      </w:pPr>
    </w:p>
  </w:footnote>
  <w:footnote w:id="2">
    <w:p w14:paraId="6232C1D4" w14:textId="590F76E0" w:rsidR="00D56892" w:rsidRDefault="00D56892" w:rsidP="00D025B9">
      <w:pPr>
        <w:pStyle w:val="Title"/>
      </w:pPr>
      <w:r w:rsidRPr="00A464D0">
        <w:rPr>
          <w:rStyle w:val="FootnoteReference"/>
          <w:vertAlign w:val="baseline"/>
        </w:rPr>
        <w:footnoteRef/>
      </w:r>
      <w:r w:rsidRPr="00A464D0">
        <w:t xml:space="preserve"> </w:t>
      </w:r>
      <w:r>
        <w:tab/>
      </w:r>
      <w:r w:rsidRPr="004A79CB">
        <w:t xml:space="preserve">Australian Government Centre for </w:t>
      </w:r>
      <w:r w:rsidR="0008584D">
        <w:t>P</w:t>
      </w:r>
      <w:r w:rsidRPr="004A79CB">
        <w:t xml:space="preserve">opulation, (2020) </w:t>
      </w:r>
      <w:r w:rsidRPr="004A79CB">
        <w:rPr>
          <w:i/>
          <w:iCs/>
        </w:rPr>
        <w:t>The National Population and Planning Framework</w:t>
      </w:r>
      <w:r w:rsidRPr="004A79CB">
        <w:t>, accessed 6</w:t>
      </w:r>
      <w:r>
        <w:t> </w:t>
      </w:r>
      <w:r w:rsidRPr="00991B0D">
        <w:t>July</w:t>
      </w:r>
      <w:r>
        <w:t> </w:t>
      </w:r>
      <w:r w:rsidRPr="004A79CB">
        <w:t xml:space="preserve">2022. </w:t>
      </w:r>
      <w:hyperlink r:id="rId1" w:history="1">
        <w:r w:rsidRPr="004A79CB">
          <w:rPr>
            <w:rStyle w:val="Hyperlink"/>
          </w:rPr>
          <w:t>https://population.gov.au/sites/population.gov.au/files/2021-09/framework.pdf</w:t>
        </w:r>
      </w:hyperlink>
      <w:r w:rsidRPr="004A79CB">
        <w:t xml:space="preserve"> </w:t>
      </w:r>
    </w:p>
  </w:footnote>
  <w:footnote w:id="3">
    <w:p w14:paraId="36C3C90D" w14:textId="02DDA2E4" w:rsidR="00967CF5" w:rsidRDefault="00967CF5" w:rsidP="00967CF5">
      <w:pPr>
        <w:pStyle w:val="Title"/>
      </w:pPr>
      <w:r w:rsidRPr="009C4D7C">
        <w:rPr>
          <w:rStyle w:val="FootnoteReference"/>
          <w:vertAlign w:val="baseline"/>
        </w:rPr>
        <w:footnoteRef/>
      </w:r>
      <w:r w:rsidRPr="009C4D7C">
        <w:t xml:space="preserve"> </w:t>
      </w:r>
      <w:r w:rsidRPr="009C4D7C">
        <w:tab/>
      </w:r>
      <w:r>
        <w:t>The user-population conveys the underlying need or demand for an asset and does not necessarily relate to the actual number of people using a type</w:t>
      </w:r>
      <w:r w:rsidR="000364D2">
        <w:t xml:space="preserve"> of infrastructure</w:t>
      </w:r>
      <w:r>
        <w:t>.</w:t>
      </w:r>
    </w:p>
  </w:footnote>
  <w:footnote w:id="4">
    <w:p w14:paraId="7D74CCDA" w14:textId="159D8FC9" w:rsidR="00D849BE" w:rsidRPr="00D025B9" w:rsidRDefault="00D849BE" w:rsidP="00D025B9">
      <w:pPr>
        <w:pStyle w:val="Title"/>
      </w:pPr>
      <w:r w:rsidRPr="00D025B9">
        <w:rPr>
          <w:rStyle w:val="FootnoteReference"/>
          <w:vertAlign w:val="baseline"/>
        </w:rPr>
        <w:footnoteRef/>
      </w:r>
      <w:r w:rsidRPr="00D025B9">
        <w:t xml:space="preserve"> </w:t>
      </w:r>
      <w:r w:rsidRPr="00D025B9">
        <w:tab/>
      </w:r>
      <w:r w:rsidR="00D025B9">
        <w:t xml:space="preserve">While </w:t>
      </w:r>
      <w:r w:rsidRPr="00D025B9">
        <w:t xml:space="preserve">the number of government school students is the main driver of </w:t>
      </w:r>
      <w:proofErr w:type="gramStart"/>
      <w:r w:rsidRPr="00D025B9">
        <w:t>schools</w:t>
      </w:r>
      <w:proofErr w:type="gramEnd"/>
      <w:r w:rsidRPr="00D025B9">
        <w:t xml:space="preserve"> investment needs, an adjustment is also applied to capture the additional costs of providing assets to schools with more than 25% enrolments of </w:t>
      </w:r>
      <w:r w:rsidR="00DC1346">
        <w:t xml:space="preserve">students </w:t>
      </w:r>
      <w:r w:rsidRPr="00D025B9">
        <w:t xml:space="preserve">who identify as </w:t>
      </w:r>
      <w:r w:rsidRPr="0011178F">
        <w:t xml:space="preserve">Aboriginal </w:t>
      </w:r>
      <w:r w:rsidR="004A52DD" w:rsidRPr="0011178F">
        <w:t>and/</w:t>
      </w:r>
      <w:r w:rsidRPr="0011178F">
        <w:t>or Torres Strait Islander.</w:t>
      </w:r>
      <w:r w:rsidRPr="00D025B9">
        <w:t xml:space="preserve"> These types of adjustments are common across user-populations in the investment assessment and reflect differing levels of need among user</w:t>
      </w:r>
      <w:r w:rsidR="00FA690B" w:rsidRPr="00D025B9">
        <w:t>s.</w:t>
      </w:r>
      <w:r w:rsidRPr="00D025B9">
        <w:t xml:space="preserve"> </w:t>
      </w:r>
    </w:p>
  </w:footnote>
  <w:footnote w:id="5">
    <w:p w14:paraId="7B115301" w14:textId="7065700D" w:rsidR="001E263E" w:rsidRDefault="001E263E" w:rsidP="00AB12F0">
      <w:pPr>
        <w:pStyle w:val="Title"/>
      </w:pPr>
      <w:r w:rsidRPr="00A376ED">
        <w:rPr>
          <w:rStyle w:val="FootnoteReference"/>
          <w:vertAlign w:val="baseline"/>
        </w:rPr>
        <w:footnoteRef/>
      </w:r>
      <w:r w:rsidRPr="00A376ED">
        <w:t xml:space="preserve"> </w:t>
      </w:r>
      <w:r>
        <w:tab/>
        <w:t xml:space="preserve">‘Function’ refers to the types of public services in which state governments invest. There are 13 functions of investment in public infrastructure, </w:t>
      </w:r>
      <w:r w:rsidR="00AD1567">
        <w:t>covering</w:t>
      </w:r>
      <w:r>
        <w:t xml:space="preserve"> state expenditure on schools, post</w:t>
      </w:r>
      <w:r>
        <w:noBreakHyphen/>
        <w:t>secondary education, health, housing, welfare, services to communities, justice, rural roads, urban roads, urban transport, non-urban transport, services to industry and other expenses.</w:t>
      </w:r>
    </w:p>
  </w:footnote>
  <w:footnote w:id="6">
    <w:p w14:paraId="62AA3A3B" w14:textId="77777777" w:rsidR="001E263E" w:rsidRPr="00752F85" w:rsidRDefault="001E263E" w:rsidP="00752F85">
      <w:pPr>
        <w:pStyle w:val="Title"/>
      </w:pPr>
      <w:r w:rsidRPr="00752F85">
        <w:rPr>
          <w:rStyle w:val="FootnoteReference"/>
          <w:vertAlign w:val="baseline"/>
        </w:rPr>
        <w:footnoteRef/>
      </w:r>
      <w:r w:rsidRPr="00752F85">
        <w:t xml:space="preserve"> </w:t>
      </w:r>
      <w:r w:rsidRPr="00752F85">
        <w:tab/>
        <w:t>The opening stock calculation is as follows: 805,813 students x $26,354 per student = $21,237 million</w:t>
      </w:r>
    </w:p>
    <w:p w14:paraId="3788E6CA" w14:textId="2F199EC9" w:rsidR="001E263E" w:rsidRPr="00752F85" w:rsidRDefault="001E263E" w:rsidP="00752F85">
      <w:pPr>
        <w:pStyle w:val="Title"/>
      </w:pPr>
      <w:r w:rsidRPr="00752F85">
        <w:tab/>
        <w:t>The closing stock calculation is as follows: 810,209 students x $27,966 per student =</w:t>
      </w:r>
      <w:r w:rsidR="005537E6" w:rsidRPr="00752F85">
        <w:t xml:space="preserve"> </w:t>
      </w:r>
      <w:r w:rsidRPr="00752F85">
        <w:t>$22,659 million</w:t>
      </w:r>
    </w:p>
  </w:footnote>
  <w:footnote w:id="7">
    <w:p w14:paraId="4660FA81" w14:textId="30EDBB0F" w:rsidR="00B34B77" w:rsidRPr="00752F85" w:rsidRDefault="00B34B77" w:rsidP="00752F85">
      <w:pPr>
        <w:pStyle w:val="Title"/>
      </w:pPr>
      <w:r w:rsidRPr="00752F85">
        <w:rPr>
          <w:rStyle w:val="FootnoteReference"/>
          <w:vertAlign w:val="baseline"/>
        </w:rPr>
        <w:footnoteRef/>
      </w:r>
      <w:r w:rsidRPr="00752F85">
        <w:t xml:space="preserve"> </w:t>
      </w:r>
      <w:r w:rsidR="00632AAA" w:rsidRPr="00752F85">
        <w:tab/>
        <w:t>The assessed investment calculation</w:t>
      </w:r>
      <w:r w:rsidR="002E3D65" w:rsidRPr="00752F85">
        <w:t xml:space="preserve"> </w:t>
      </w:r>
      <w:r w:rsidR="005B41F8" w:rsidRPr="00752F85">
        <w:t xml:space="preserve">is as follows: </w:t>
      </w:r>
      <w:r w:rsidRPr="00752F85">
        <w:t>$22,659 million - $21,237 million = $1,422 million</w:t>
      </w:r>
    </w:p>
  </w:footnote>
  <w:footnote w:id="8">
    <w:p w14:paraId="7046F316" w14:textId="3D04E862" w:rsidR="00383D45" w:rsidRDefault="00383D45" w:rsidP="00752F85">
      <w:pPr>
        <w:pStyle w:val="Title"/>
      </w:pPr>
      <w:r w:rsidRPr="00752F85">
        <w:rPr>
          <w:rStyle w:val="FootnoteReference"/>
          <w:vertAlign w:val="baseline"/>
        </w:rPr>
        <w:footnoteRef/>
      </w:r>
      <w:r>
        <w:t xml:space="preserve"> </w:t>
      </w:r>
      <w:r>
        <w:tab/>
        <w:t>E</w:t>
      </w:r>
      <w:r w:rsidRPr="004B7105">
        <w:t>ach new student</w:t>
      </w:r>
      <w:r>
        <w:t xml:space="preserve"> is</w:t>
      </w:r>
      <w:r w:rsidRPr="004B7105">
        <w:t xml:space="preserve"> allocated the </w:t>
      </w:r>
      <w:r w:rsidR="007E0F1D" w:rsidRPr="007E0F1D">
        <w:t xml:space="preserve">average asset value held by each user </w:t>
      </w:r>
      <w:r w:rsidRPr="004B7105">
        <w:t xml:space="preserve">at the start of the year as well as the </w:t>
      </w:r>
      <w:r w:rsidR="007F1A20">
        <w:t xml:space="preserve">increase in </w:t>
      </w:r>
      <w:r w:rsidR="007F1A20" w:rsidRPr="007F1A20">
        <w:t xml:space="preserve">the average value of </w:t>
      </w:r>
      <w:proofErr w:type="gramStart"/>
      <w:r w:rsidR="007F1A20" w:rsidRPr="007F1A20">
        <w:t>schools</w:t>
      </w:r>
      <w:proofErr w:type="gramEnd"/>
      <w:r w:rsidR="007F1A20" w:rsidRPr="007F1A20">
        <w:t xml:space="preserve"> infrastructure</w:t>
      </w:r>
      <w:r w:rsidR="007F1A20">
        <w:t xml:space="preserve"> </w:t>
      </w:r>
      <w:r w:rsidRPr="004B7105">
        <w:t>by the end of the year</w:t>
      </w:r>
      <w:r>
        <w:t xml:space="preserve"> ($</w:t>
      </w:r>
      <w:r w:rsidRPr="00F2062E">
        <w:t>27,966</w:t>
      </w:r>
      <w:r>
        <w:t xml:space="preserve"> = </w:t>
      </w:r>
      <w:r w:rsidRPr="00F2062E">
        <w:t>$26,354</w:t>
      </w:r>
      <w:r>
        <w:t xml:space="preserve"> + </w:t>
      </w:r>
      <w:r w:rsidRPr="00F2062E">
        <w:t>$1,612</w:t>
      </w:r>
      <w:r>
        <w:t>)</w:t>
      </w:r>
      <w:r w:rsidRPr="004B7105">
        <w:t>.</w:t>
      </w:r>
    </w:p>
  </w:footnote>
  <w:footnote w:id="9">
    <w:p w14:paraId="17EE5A22" w14:textId="77777777" w:rsidR="00221019" w:rsidRPr="00752F85" w:rsidRDefault="00221019" w:rsidP="00221019">
      <w:pPr>
        <w:pStyle w:val="Title"/>
      </w:pPr>
      <w:r w:rsidRPr="00752F85">
        <w:rPr>
          <w:rStyle w:val="FootnoteReference"/>
          <w:vertAlign w:val="baseline"/>
        </w:rPr>
        <w:footnoteRef/>
      </w:r>
      <w:r w:rsidRPr="00752F85">
        <w:t xml:space="preserve"> </w:t>
      </w:r>
      <w:r w:rsidRPr="00752F85">
        <w:tab/>
        <w:t xml:space="preserve">This comparison is sourced from the </w:t>
      </w:r>
      <w:r w:rsidRPr="00752F85">
        <w:rPr>
          <w:i/>
          <w:iCs/>
        </w:rPr>
        <w:t>Australian Construction Handbook</w:t>
      </w:r>
      <w:r w:rsidRPr="00752F85">
        <w:t xml:space="preserve"> (</w:t>
      </w:r>
      <w:proofErr w:type="spellStart"/>
      <w:r w:rsidRPr="00752F85">
        <w:t>Rawlinsons</w:t>
      </w:r>
      <w:proofErr w:type="spellEnd"/>
      <w:r w:rsidRPr="00752F85">
        <w:t xml:space="preserve"> Publishing</w:t>
      </w:r>
      <w:r>
        <w:t>, 2022</w:t>
      </w:r>
      <w:r w:rsidRPr="00752F85">
        <w:t xml:space="preserve">) and is a comprehensive consideration of the average tender wage, building price indices and the building costs per square metre </w:t>
      </w:r>
      <w:r>
        <w:t xml:space="preserve">across </w:t>
      </w:r>
      <w:r w:rsidRPr="00752F85">
        <w:t>all capital cities.</w:t>
      </w:r>
    </w:p>
  </w:footnote>
  <w:footnote w:id="10">
    <w:p w14:paraId="7ACD990B" w14:textId="5C640E8B" w:rsidR="00EE194A" w:rsidRDefault="00EE194A" w:rsidP="00571D58">
      <w:pPr>
        <w:pStyle w:val="Title"/>
      </w:pPr>
      <w:r w:rsidRPr="0047504D">
        <w:rPr>
          <w:rStyle w:val="FootnoteReference"/>
          <w:vertAlign w:val="baseline"/>
        </w:rPr>
        <w:footnoteRef/>
      </w:r>
      <w:r w:rsidR="00571D58" w:rsidRPr="0047504D">
        <w:t xml:space="preserve"> </w:t>
      </w:r>
      <w:r w:rsidR="00571D58">
        <w:tab/>
        <w:t xml:space="preserve">The Commission makes </w:t>
      </w:r>
      <w:r w:rsidR="00D24B4C">
        <w:t>it</w:t>
      </w:r>
      <w:r w:rsidR="00765389">
        <w:t>s</w:t>
      </w:r>
      <w:r w:rsidR="00571D58">
        <w:t xml:space="preserve"> assessment </w:t>
      </w:r>
      <w:r w:rsidR="00D24B4C">
        <w:t xml:space="preserve">based on state </w:t>
      </w:r>
      <w:r w:rsidR="00571D58">
        <w:t xml:space="preserve">investment needs </w:t>
      </w:r>
      <w:r w:rsidR="00513F9A">
        <w:t xml:space="preserve">averaged </w:t>
      </w:r>
      <w:r w:rsidR="00661B27">
        <w:t xml:space="preserve">over </w:t>
      </w:r>
      <w:r w:rsidR="00765389">
        <w:t>3</w:t>
      </w:r>
      <w:r w:rsidR="00661B27">
        <w:t xml:space="preserve"> assessment years. For </w:t>
      </w:r>
      <w:r w:rsidR="00661B27" w:rsidRPr="00661B27">
        <w:t>2022</w:t>
      </w:r>
      <w:r w:rsidR="003B2EFC">
        <w:t>–</w:t>
      </w:r>
      <w:r w:rsidR="00661B27" w:rsidRPr="00661B27">
        <w:t>23</w:t>
      </w:r>
      <w:r w:rsidR="004367B6">
        <w:t>, the application year of the 2022 Update, the assessment years were</w:t>
      </w:r>
      <w:r w:rsidR="008E7C41">
        <w:t xml:space="preserve"> </w:t>
      </w:r>
      <w:r w:rsidR="008E7C41" w:rsidRPr="00F2062E">
        <w:t>201</w:t>
      </w:r>
      <w:r w:rsidR="008E7C41">
        <w:t>8</w:t>
      </w:r>
      <w:r w:rsidR="003B2EFC">
        <w:t>–</w:t>
      </w:r>
      <w:r w:rsidR="008E7C41" w:rsidRPr="00F2062E">
        <w:t>1</w:t>
      </w:r>
      <w:r w:rsidR="008E7C41">
        <w:t xml:space="preserve">9, </w:t>
      </w:r>
      <w:r w:rsidR="008E7C41" w:rsidRPr="00F2062E">
        <w:t>20</w:t>
      </w:r>
      <w:r w:rsidR="008E7C41">
        <w:t>19</w:t>
      </w:r>
      <w:r w:rsidR="003B2EFC">
        <w:t>–</w:t>
      </w:r>
      <w:r w:rsidR="008E7C41" w:rsidRPr="00F2062E">
        <w:t>2</w:t>
      </w:r>
      <w:r w:rsidR="008E7C41">
        <w:t>0</w:t>
      </w:r>
      <w:r w:rsidR="004367B6" w:rsidRPr="00F2062E">
        <w:t xml:space="preserve"> and 2020</w:t>
      </w:r>
      <w:r w:rsidR="003B2EFC">
        <w:t>–</w:t>
      </w:r>
      <w:r w:rsidR="004367B6" w:rsidRPr="00F2062E">
        <w:t>21</w:t>
      </w:r>
      <w:r w:rsidR="008E7C41">
        <w:t>.</w:t>
      </w:r>
      <w:r w:rsidR="00661B27">
        <w:t xml:space="preserve"> </w:t>
      </w:r>
      <w:r w:rsidR="00871860">
        <w:t xml:space="preserve">For this </w:t>
      </w:r>
      <w:r w:rsidR="004A32B9">
        <w:t>reason,</w:t>
      </w:r>
      <w:r w:rsidR="00871860">
        <w:t xml:space="preserve"> </w:t>
      </w:r>
      <w:r w:rsidR="00042AE6">
        <w:t xml:space="preserve">GST distribution is </w:t>
      </w:r>
      <w:r w:rsidR="003A62B2">
        <w:t xml:space="preserve">particularly sensitive to </w:t>
      </w:r>
      <w:r w:rsidR="00B430C5">
        <w:t xml:space="preserve">changes </w:t>
      </w:r>
      <w:r w:rsidR="004C17D7">
        <w:t>between the</w:t>
      </w:r>
      <w:r w:rsidR="00FE3F5D">
        <w:t xml:space="preserve"> most recent</w:t>
      </w:r>
      <w:r w:rsidR="0081180D">
        <w:t xml:space="preserve"> financial</w:t>
      </w:r>
      <w:r w:rsidR="004C17D7">
        <w:t xml:space="preserve"> </w:t>
      </w:r>
      <w:r w:rsidR="00212CE3">
        <w:t>year that</w:t>
      </w:r>
      <w:r w:rsidR="000A258B">
        <w:t xml:space="preserve"> is no longer asse</w:t>
      </w:r>
      <w:r w:rsidR="001576D3">
        <w:t>sse</w:t>
      </w:r>
      <w:r w:rsidR="000A258B">
        <w:t>d</w:t>
      </w:r>
      <w:r w:rsidR="004C17D7">
        <w:t xml:space="preserve"> and </w:t>
      </w:r>
      <w:r w:rsidR="001576D3">
        <w:t xml:space="preserve">the </w:t>
      </w:r>
      <w:r w:rsidR="00E41B2D">
        <w:t>most recent</w:t>
      </w:r>
      <w:r w:rsidR="001576D3">
        <w:t xml:space="preserve"> assessment</w:t>
      </w:r>
      <w:r w:rsidR="00845F8E">
        <w:t xml:space="preserve"> year. </w:t>
      </w:r>
      <w:r w:rsidR="00C97A81">
        <w:t xml:space="preserve">In the </w:t>
      </w:r>
      <w:r w:rsidR="00461A6E">
        <w:t xml:space="preserve">2022 </w:t>
      </w:r>
      <w:r w:rsidR="00B91745">
        <w:t>Update the</w:t>
      </w:r>
      <w:r w:rsidR="004A0377">
        <w:t>se were</w:t>
      </w:r>
      <w:r w:rsidR="00B91745">
        <w:t xml:space="preserve"> </w:t>
      </w:r>
      <w:r w:rsidR="00B306F7">
        <w:t>20</w:t>
      </w:r>
      <w:r w:rsidR="00E07442">
        <w:t xml:space="preserve">17–18 and </w:t>
      </w:r>
      <w:r w:rsidR="0087548C">
        <w:t>2</w:t>
      </w:r>
      <w:r w:rsidR="00067995">
        <w:t>020</w:t>
      </w:r>
      <w:r w:rsidR="009261F6">
        <w:t>–</w:t>
      </w:r>
      <w:r w:rsidR="00067995">
        <w:t>21</w:t>
      </w:r>
      <w:r w:rsidR="004A0377">
        <w:t xml:space="preserve"> respectively</w:t>
      </w:r>
      <w:r w:rsidR="001E1FE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3CAB1" w14:textId="77777777" w:rsidR="00C25219" w:rsidRDefault="00AB73C2">
    <w:pPr>
      <w:pStyle w:val="Header"/>
    </w:pPr>
    <w:r>
      <w:rPr>
        <w:noProof/>
      </w:rPr>
      <w:drawing>
        <wp:anchor distT="0" distB="0" distL="114300" distR="114300" simplePos="0" relativeHeight="251658240" behindDoc="1" locked="0" layoutInCell="1" allowOverlap="1" wp14:anchorId="41F319AC" wp14:editId="262CA42B">
          <wp:simplePos x="0" y="0"/>
          <wp:positionH relativeFrom="column">
            <wp:posOffset>-899907</wp:posOffset>
          </wp:positionH>
          <wp:positionV relativeFrom="paragraph">
            <wp:posOffset>-469723</wp:posOffset>
          </wp:positionV>
          <wp:extent cx="7562789" cy="1068958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62789" cy="10689589"/>
                  </a:xfrm>
                  <a:prstGeom prst="rect">
                    <a:avLst/>
                  </a:prstGeom>
                </pic:spPr>
              </pic:pic>
            </a:graphicData>
          </a:graphic>
          <wp14:sizeRelH relativeFrom="margin">
            <wp14:pctWidth>0</wp14:pctWidth>
          </wp14:sizeRelH>
          <wp14:sizeRelV relativeFrom="margin">
            <wp14:pctHeight>0</wp14:pctHeight>
          </wp14:sizeRelV>
        </wp:anchor>
      </w:drawing>
    </w:r>
    <w:r w:rsidR="003759A1">
      <w:rPr>
        <w:noProof/>
      </w:rPr>
      <w:drawing>
        <wp:anchor distT="0" distB="0" distL="114300" distR="114300" simplePos="0" relativeHeight="251658243" behindDoc="1" locked="0" layoutInCell="1" allowOverlap="1" wp14:anchorId="19A2C071" wp14:editId="13BD7915">
          <wp:simplePos x="0" y="0"/>
          <wp:positionH relativeFrom="column">
            <wp:posOffset>-923290</wp:posOffset>
          </wp:positionH>
          <wp:positionV relativeFrom="paragraph">
            <wp:posOffset>10351135</wp:posOffset>
          </wp:positionV>
          <wp:extent cx="7580630" cy="10691495"/>
          <wp:effectExtent l="0" t="0" r="127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A345CD">
      <w:rPr>
        <w:noProof/>
      </w:rPr>
      <w:drawing>
        <wp:anchor distT="0" distB="0" distL="114300" distR="114300" simplePos="0" relativeHeight="251658242" behindDoc="1" locked="0" layoutInCell="1" allowOverlap="1" wp14:anchorId="66DADFC9" wp14:editId="75C814F5">
          <wp:simplePos x="0" y="0"/>
          <wp:positionH relativeFrom="column">
            <wp:posOffset>-900430</wp:posOffset>
          </wp:positionH>
          <wp:positionV relativeFrom="paragraph">
            <wp:posOffset>10362565</wp:posOffset>
          </wp:positionV>
          <wp:extent cx="7580630" cy="10691495"/>
          <wp:effectExtent l="0" t="0" r="127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C25219" w:rsidRPr="00410188">
      <w:rPr>
        <w:rFonts w:ascii="Open Sans Semibold" w:hAnsi="Open Sans Semibold" w:cs="Open Sans Semibold"/>
        <w:bCs/>
        <w:noProof/>
        <w:sz w:val="40"/>
        <w:szCs w:val="40"/>
        <w:lang w:val="en-US"/>
      </w:rPr>
      <w:drawing>
        <wp:anchor distT="0" distB="0" distL="114300" distR="114300" simplePos="0" relativeHeight="251658241" behindDoc="1" locked="0" layoutInCell="1" allowOverlap="1" wp14:anchorId="17D8ED46" wp14:editId="78134A0D">
          <wp:simplePos x="0" y="0"/>
          <wp:positionH relativeFrom="column">
            <wp:posOffset>-1037590</wp:posOffset>
          </wp:positionH>
          <wp:positionV relativeFrom="paragraph">
            <wp:posOffset>10328275</wp:posOffset>
          </wp:positionV>
          <wp:extent cx="7683500" cy="10836275"/>
          <wp:effectExtent l="38100" t="38100" r="63500" b="349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7683500" cy="10836275"/>
                  </a:xfrm>
                  <a:prstGeom prst="rect">
                    <a:avLst/>
                  </a:prstGeom>
                  <a:noFill/>
                  <a:ln w="88900" cap="sq">
                    <a:noFill/>
                    <a:miter lim="800000"/>
                  </a:ln>
                  <a:effectLst>
                    <a:outerShdw blurRad="55000" dist="18000" dir="5400000" algn="tl" rotWithShape="0">
                      <a:srgbClr val="000000">
                        <a:alpha val="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A53"/>
    <w:multiLevelType w:val="hybridMultilevel"/>
    <w:tmpl w:val="66B6B7D0"/>
    <w:lvl w:ilvl="0" w:tplc="6178CDD2">
      <w:start w:val="1"/>
      <w:numFmt w:val="lowerLetter"/>
      <w:lvlText w:val="(%1)"/>
      <w:lvlJc w:val="left"/>
      <w:pPr>
        <w:ind w:left="563" w:hanging="45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 w15:restartNumberingAfterBreak="0">
    <w:nsid w:val="14412F81"/>
    <w:multiLevelType w:val="hybridMultilevel"/>
    <w:tmpl w:val="3FC6F610"/>
    <w:lvl w:ilvl="0" w:tplc="4CE8D1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A95D30"/>
    <w:multiLevelType w:val="hybridMultilevel"/>
    <w:tmpl w:val="27900CCA"/>
    <w:lvl w:ilvl="0" w:tplc="3FBC861A">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 w15:restartNumberingAfterBreak="0">
    <w:nsid w:val="14E54FE1"/>
    <w:multiLevelType w:val="hybridMultilevel"/>
    <w:tmpl w:val="A992C6A0"/>
    <w:lvl w:ilvl="0" w:tplc="AFB66E2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 w15:restartNumberingAfterBreak="0">
    <w:nsid w:val="15F059B6"/>
    <w:multiLevelType w:val="hybridMultilevel"/>
    <w:tmpl w:val="E2846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E71B9C"/>
    <w:multiLevelType w:val="hybridMultilevel"/>
    <w:tmpl w:val="97AC43D2"/>
    <w:lvl w:ilvl="0" w:tplc="4F528A02">
      <w:start w:val="1"/>
      <w:numFmt w:val="bullet"/>
      <w:pStyle w:val="CGCBullet1"/>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D976BA"/>
    <w:multiLevelType w:val="hybridMultilevel"/>
    <w:tmpl w:val="56965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475502"/>
    <w:multiLevelType w:val="hybridMultilevel"/>
    <w:tmpl w:val="D292A25E"/>
    <w:lvl w:ilvl="0" w:tplc="18EEA8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5A2F29"/>
    <w:multiLevelType w:val="hybridMultilevel"/>
    <w:tmpl w:val="3EEC2F80"/>
    <w:lvl w:ilvl="0" w:tplc="41DC0858">
      <w:start w:val="1"/>
      <w:numFmt w:val="decimal"/>
      <w:lvlText w:val="%1"/>
      <w:lvlJc w:val="left"/>
      <w:pPr>
        <w:ind w:left="720" w:hanging="360"/>
      </w:pPr>
      <w:rPr>
        <w:rFonts w:ascii="Open Sans Light" w:hAnsi="Open Sans Light" w:hint="default"/>
        <w:b w:val="0"/>
        <w:i w:val="0"/>
        <w:caps w:val="0"/>
        <w:strike w:val="0"/>
        <w:dstrike w:val="0"/>
        <w:vanish w:val="0"/>
        <w:color w:val="004562" w:themeColor="text1"/>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511CFA"/>
    <w:multiLevelType w:val="hybridMultilevel"/>
    <w:tmpl w:val="886036CA"/>
    <w:lvl w:ilvl="0" w:tplc="4942BC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7D3986"/>
    <w:multiLevelType w:val="hybridMultilevel"/>
    <w:tmpl w:val="3C866596"/>
    <w:lvl w:ilvl="0" w:tplc="078613AE">
      <w:start w:val="1"/>
      <w:numFmt w:val="bullet"/>
      <w:lvlText w:val="-"/>
      <w:lvlJc w:val="left"/>
      <w:pPr>
        <w:ind w:left="720" w:hanging="360"/>
      </w:pPr>
      <w:rPr>
        <w:rFonts w:ascii="Open Sans Light" w:eastAsiaTheme="minorHAnsi" w:hAnsi="Open Sans Light" w:cs="Open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BA7437"/>
    <w:multiLevelType w:val="hybridMultilevel"/>
    <w:tmpl w:val="623E40BC"/>
    <w:lvl w:ilvl="0" w:tplc="EE747AEC">
      <w:start w:val="1"/>
      <w:numFmt w:val="lowerLetter"/>
      <w:pStyle w:val="CGCTablenote"/>
      <w:lvlText w:val="(%1)"/>
      <w:lvlJc w:val="left"/>
      <w:pPr>
        <w:ind w:left="1833" w:hanging="360"/>
      </w:pPr>
      <w:rPr>
        <w:rFonts w:hint="default"/>
      </w:rPr>
    </w:lvl>
    <w:lvl w:ilvl="1" w:tplc="0C090019" w:tentative="1">
      <w:start w:val="1"/>
      <w:numFmt w:val="lowerLetter"/>
      <w:lvlText w:val="%2."/>
      <w:lvlJc w:val="left"/>
      <w:pPr>
        <w:ind w:left="2553" w:hanging="360"/>
      </w:pPr>
    </w:lvl>
    <w:lvl w:ilvl="2" w:tplc="0C09001B" w:tentative="1">
      <w:start w:val="1"/>
      <w:numFmt w:val="lowerRoman"/>
      <w:lvlText w:val="%3."/>
      <w:lvlJc w:val="right"/>
      <w:pPr>
        <w:ind w:left="3273" w:hanging="180"/>
      </w:pPr>
    </w:lvl>
    <w:lvl w:ilvl="3" w:tplc="0C09000F" w:tentative="1">
      <w:start w:val="1"/>
      <w:numFmt w:val="decimal"/>
      <w:lvlText w:val="%4."/>
      <w:lvlJc w:val="left"/>
      <w:pPr>
        <w:ind w:left="3993" w:hanging="360"/>
      </w:pPr>
    </w:lvl>
    <w:lvl w:ilvl="4" w:tplc="0C090019" w:tentative="1">
      <w:start w:val="1"/>
      <w:numFmt w:val="lowerLetter"/>
      <w:lvlText w:val="%5."/>
      <w:lvlJc w:val="left"/>
      <w:pPr>
        <w:ind w:left="4713" w:hanging="360"/>
      </w:pPr>
    </w:lvl>
    <w:lvl w:ilvl="5" w:tplc="0C09001B" w:tentative="1">
      <w:start w:val="1"/>
      <w:numFmt w:val="lowerRoman"/>
      <w:lvlText w:val="%6."/>
      <w:lvlJc w:val="right"/>
      <w:pPr>
        <w:ind w:left="5433" w:hanging="180"/>
      </w:pPr>
    </w:lvl>
    <w:lvl w:ilvl="6" w:tplc="0C09000F" w:tentative="1">
      <w:start w:val="1"/>
      <w:numFmt w:val="decimal"/>
      <w:lvlText w:val="%7."/>
      <w:lvlJc w:val="left"/>
      <w:pPr>
        <w:ind w:left="6153" w:hanging="360"/>
      </w:pPr>
    </w:lvl>
    <w:lvl w:ilvl="7" w:tplc="0C090019" w:tentative="1">
      <w:start w:val="1"/>
      <w:numFmt w:val="lowerLetter"/>
      <w:lvlText w:val="%8."/>
      <w:lvlJc w:val="left"/>
      <w:pPr>
        <w:ind w:left="6873" w:hanging="360"/>
      </w:pPr>
    </w:lvl>
    <w:lvl w:ilvl="8" w:tplc="0C09001B" w:tentative="1">
      <w:start w:val="1"/>
      <w:numFmt w:val="lowerRoman"/>
      <w:lvlText w:val="%9."/>
      <w:lvlJc w:val="right"/>
      <w:pPr>
        <w:ind w:left="7593" w:hanging="180"/>
      </w:pPr>
    </w:lvl>
  </w:abstractNum>
  <w:abstractNum w:abstractNumId="12" w15:restartNumberingAfterBreak="0">
    <w:nsid w:val="610256DE"/>
    <w:multiLevelType w:val="hybridMultilevel"/>
    <w:tmpl w:val="28943738"/>
    <w:lvl w:ilvl="0" w:tplc="6FDA62F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3" w15:restartNumberingAfterBreak="0">
    <w:nsid w:val="67C07969"/>
    <w:multiLevelType w:val="hybridMultilevel"/>
    <w:tmpl w:val="3F24CBB2"/>
    <w:lvl w:ilvl="0" w:tplc="5804E254">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num w:numId="1" w16cid:durableId="511799185">
    <w:abstractNumId w:val="9"/>
  </w:num>
  <w:num w:numId="2" w16cid:durableId="1972973092">
    <w:abstractNumId w:val="5"/>
  </w:num>
  <w:num w:numId="3" w16cid:durableId="39792095">
    <w:abstractNumId w:val="8"/>
  </w:num>
  <w:num w:numId="4" w16cid:durableId="486437401">
    <w:abstractNumId w:val="5"/>
  </w:num>
  <w:num w:numId="5" w16cid:durableId="1215694805">
    <w:abstractNumId w:val="1"/>
  </w:num>
  <w:num w:numId="6" w16cid:durableId="825508858">
    <w:abstractNumId w:val="6"/>
  </w:num>
  <w:num w:numId="7" w16cid:durableId="1934043595">
    <w:abstractNumId w:val="10"/>
  </w:num>
  <w:num w:numId="8" w16cid:durableId="1713387545">
    <w:abstractNumId w:val="7"/>
  </w:num>
  <w:num w:numId="9" w16cid:durableId="627659990">
    <w:abstractNumId w:val="4"/>
  </w:num>
  <w:num w:numId="10" w16cid:durableId="680089038">
    <w:abstractNumId w:val="5"/>
  </w:num>
  <w:num w:numId="11" w16cid:durableId="973290866">
    <w:abstractNumId w:val="5"/>
  </w:num>
  <w:num w:numId="12" w16cid:durableId="1351033229">
    <w:abstractNumId w:val="12"/>
  </w:num>
  <w:num w:numId="13" w16cid:durableId="1897276075">
    <w:abstractNumId w:val="3"/>
  </w:num>
  <w:num w:numId="14" w16cid:durableId="698973288">
    <w:abstractNumId w:val="2"/>
  </w:num>
  <w:num w:numId="15" w16cid:durableId="1403068319">
    <w:abstractNumId w:val="0"/>
  </w:num>
  <w:num w:numId="16" w16cid:durableId="1368068040">
    <w:abstractNumId w:val="11"/>
  </w:num>
  <w:num w:numId="17" w16cid:durableId="19671942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518"/>
    <w:rsid w:val="00000109"/>
    <w:rsid w:val="00000449"/>
    <w:rsid w:val="00000552"/>
    <w:rsid w:val="00000B0A"/>
    <w:rsid w:val="00000BDE"/>
    <w:rsid w:val="00001404"/>
    <w:rsid w:val="0000148A"/>
    <w:rsid w:val="000015F1"/>
    <w:rsid w:val="000015F5"/>
    <w:rsid w:val="000019E2"/>
    <w:rsid w:val="00001BBA"/>
    <w:rsid w:val="00001E4A"/>
    <w:rsid w:val="0000228D"/>
    <w:rsid w:val="00002DBA"/>
    <w:rsid w:val="000032D8"/>
    <w:rsid w:val="00003389"/>
    <w:rsid w:val="00003552"/>
    <w:rsid w:val="00003B59"/>
    <w:rsid w:val="000044D1"/>
    <w:rsid w:val="0000561F"/>
    <w:rsid w:val="0000577C"/>
    <w:rsid w:val="0000582E"/>
    <w:rsid w:val="00005902"/>
    <w:rsid w:val="00005A8E"/>
    <w:rsid w:val="000060D6"/>
    <w:rsid w:val="00006672"/>
    <w:rsid w:val="000074C8"/>
    <w:rsid w:val="00007A37"/>
    <w:rsid w:val="00007B1A"/>
    <w:rsid w:val="00007D3C"/>
    <w:rsid w:val="000102DB"/>
    <w:rsid w:val="0001045D"/>
    <w:rsid w:val="000104E5"/>
    <w:rsid w:val="00010507"/>
    <w:rsid w:val="000109B2"/>
    <w:rsid w:val="00010C15"/>
    <w:rsid w:val="00010FF8"/>
    <w:rsid w:val="00011034"/>
    <w:rsid w:val="00011BC3"/>
    <w:rsid w:val="000123C5"/>
    <w:rsid w:val="00013235"/>
    <w:rsid w:val="00013241"/>
    <w:rsid w:val="0001377D"/>
    <w:rsid w:val="000138EA"/>
    <w:rsid w:val="000139CA"/>
    <w:rsid w:val="00013EBD"/>
    <w:rsid w:val="00013F35"/>
    <w:rsid w:val="000142D7"/>
    <w:rsid w:val="00014666"/>
    <w:rsid w:val="00015462"/>
    <w:rsid w:val="00015500"/>
    <w:rsid w:val="000155D2"/>
    <w:rsid w:val="000162C7"/>
    <w:rsid w:val="00016FF3"/>
    <w:rsid w:val="000172BD"/>
    <w:rsid w:val="00017B85"/>
    <w:rsid w:val="00017E95"/>
    <w:rsid w:val="000203FF"/>
    <w:rsid w:val="00020972"/>
    <w:rsid w:val="000218A2"/>
    <w:rsid w:val="000228BB"/>
    <w:rsid w:val="00023A4A"/>
    <w:rsid w:val="00024071"/>
    <w:rsid w:val="000243F8"/>
    <w:rsid w:val="000249E0"/>
    <w:rsid w:val="00024CD7"/>
    <w:rsid w:val="00024F28"/>
    <w:rsid w:val="000251BF"/>
    <w:rsid w:val="0002582C"/>
    <w:rsid w:val="0002640A"/>
    <w:rsid w:val="00026660"/>
    <w:rsid w:val="0002686A"/>
    <w:rsid w:val="0002686E"/>
    <w:rsid w:val="0002696C"/>
    <w:rsid w:val="00027151"/>
    <w:rsid w:val="0002731E"/>
    <w:rsid w:val="0002735C"/>
    <w:rsid w:val="000273BF"/>
    <w:rsid w:val="00027531"/>
    <w:rsid w:val="000279A2"/>
    <w:rsid w:val="00030179"/>
    <w:rsid w:val="0003070D"/>
    <w:rsid w:val="0003130B"/>
    <w:rsid w:val="000313AB"/>
    <w:rsid w:val="000315BD"/>
    <w:rsid w:val="00031D4F"/>
    <w:rsid w:val="0003376A"/>
    <w:rsid w:val="0003380C"/>
    <w:rsid w:val="00033B57"/>
    <w:rsid w:val="00035E4C"/>
    <w:rsid w:val="00035ED7"/>
    <w:rsid w:val="00035F07"/>
    <w:rsid w:val="0003603C"/>
    <w:rsid w:val="00036097"/>
    <w:rsid w:val="00036412"/>
    <w:rsid w:val="000364D2"/>
    <w:rsid w:val="0003676F"/>
    <w:rsid w:val="00036A4C"/>
    <w:rsid w:val="000375E9"/>
    <w:rsid w:val="000404BE"/>
    <w:rsid w:val="0004061D"/>
    <w:rsid w:val="00040B4F"/>
    <w:rsid w:val="00041289"/>
    <w:rsid w:val="000413F0"/>
    <w:rsid w:val="0004162F"/>
    <w:rsid w:val="00041995"/>
    <w:rsid w:val="00041FDE"/>
    <w:rsid w:val="0004219C"/>
    <w:rsid w:val="0004221F"/>
    <w:rsid w:val="00042AE6"/>
    <w:rsid w:val="00044005"/>
    <w:rsid w:val="0004465B"/>
    <w:rsid w:val="00044B42"/>
    <w:rsid w:val="00045C9E"/>
    <w:rsid w:val="00046191"/>
    <w:rsid w:val="000469D6"/>
    <w:rsid w:val="00046A9B"/>
    <w:rsid w:val="00046B40"/>
    <w:rsid w:val="00046C51"/>
    <w:rsid w:val="00047189"/>
    <w:rsid w:val="0004720C"/>
    <w:rsid w:val="000474E2"/>
    <w:rsid w:val="0004767C"/>
    <w:rsid w:val="000478B5"/>
    <w:rsid w:val="000502FF"/>
    <w:rsid w:val="00050431"/>
    <w:rsid w:val="00050A43"/>
    <w:rsid w:val="00050AA7"/>
    <w:rsid w:val="00050CC9"/>
    <w:rsid w:val="00050F55"/>
    <w:rsid w:val="0005235D"/>
    <w:rsid w:val="0005241C"/>
    <w:rsid w:val="00052A97"/>
    <w:rsid w:val="00052C51"/>
    <w:rsid w:val="00052E14"/>
    <w:rsid w:val="00052E16"/>
    <w:rsid w:val="00052FFA"/>
    <w:rsid w:val="000532D5"/>
    <w:rsid w:val="00053959"/>
    <w:rsid w:val="00053AC4"/>
    <w:rsid w:val="00053C6C"/>
    <w:rsid w:val="00054026"/>
    <w:rsid w:val="00054525"/>
    <w:rsid w:val="00054A55"/>
    <w:rsid w:val="00054D86"/>
    <w:rsid w:val="0005563F"/>
    <w:rsid w:val="0005581A"/>
    <w:rsid w:val="00055A62"/>
    <w:rsid w:val="00055D9B"/>
    <w:rsid w:val="00055DBB"/>
    <w:rsid w:val="00056784"/>
    <w:rsid w:val="00056A5A"/>
    <w:rsid w:val="00056A91"/>
    <w:rsid w:val="00056AFB"/>
    <w:rsid w:val="00057135"/>
    <w:rsid w:val="00057545"/>
    <w:rsid w:val="000576A0"/>
    <w:rsid w:val="000578DD"/>
    <w:rsid w:val="00057F53"/>
    <w:rsid w:val="000604DB"/>
    <w:rsid w:val="000609E3"/>
    <w:rsid w:val="00060F66"/>
    <w:rsid w:val="00061539"/>
    <w:rsid w:val="000616F1"/>
    <w:rsid w:val="00061705"/>
    <w:rsid w:val="00061C29"/>
    <w:rsid w:val="00061D78"/>
    <w:rsid w:val="0006216F"/>
    <w:rsid w:val="00062378"/>
    <w:rsid w:val="000625C7"/>
    <w:rsid w:val="00062B59"/>
    <w:rsid w:val="00063684"/>
    <w:rsid w:val="0006381F"/>
    <w:rsid w:val="000638BF"/>
    <w:rsid w:val="0006390C"/>
    <w:rsid w:val="00063AAA"/>
    <w:rsid w:val="00063E57"/>
    <w:rsid w:val="00064791"/>
    <w:rsid w:val="00064A0B"/>
    <w:rsid w:val="00064CB5"/>
    <w:rsid w:val="00065364"/>
    <w:rsid w:val="00065CC3"/>
    <w:rsid w:val="0006613D"/>
    <w:rsid w:val="000664C4"/>
    <w:rsid w:val="00066C46"/>
    <w:rsid w:val="00066DF4"/>
    <w:rsid w:val="0006783B"/>
    <w:rsid w:val="00067870"/>
    <w:rsid w:val="00067995"/>
    <w:rsid w:val="000703E0"/>
    <w:rsid w:val="00070469"/>
    <w:rsid w:val="000704EA"/>
    <w:rsid w:val="00070A60"/>
    <w:rsid w:val="00071471"/>
    <w:rsid w:val="00071513"/>
    <w:rsid w:val="00071D50"/>
    <w:rsid w:val="00071DF1"/>
    <w:rsid w:val="00071F2D"/>
    <w:rsid w:val="00071F4B"/>
    <w:rsid w:val="00072181"/>
    <w:rsid w:val="0007269A"/>
    <w:rsid w:val="000726BD"/>
    <w:rsid w:val="00072CAD"/>
    <w:rsid w:val="00072EF7"/>
    <w:rsid w:val="000733E4"/>
    <w:rsid w:val="000734A0"/>
    <w:rsid w:val="0007399D"/>
    <w:rsid w:val="000739E5"/>
    <w:rsid w:val="00073AFB"/>
    <w:rsid w:val="0007501D"/>
    <w:rsid w:val="000757D1"/>
    <w:rsid w:val="00075D7C"/>
    <w:rsid w:val="000760EC"/>
    <w:rsid w:val="00076179"/>
    <w:rsid w:val="00076372"/>
    <w:rsid w:val="00076BFD"/>
    <w:rsid w:val="00076DD2"/>
    <w:rsid w:val="00077388"/>
    <w:rsid w:val="00077645"/>
    <w:rsid w:val="00077A92"/>
    <w:rsid w:val="00077DA3"/>
    <w:rsid w:val="00077DC5"/>
    <w:rsid w:val="00080447"/>
    <w:rsid w:val="000805DF"/>
    <w:rsid w:val="000806FF"/>
    <w:rsid w:val="0008084A"/>
    <w:rsid w:val="00081086"/>
    <w:rsid w:val="000812BE"/>
    <w:rsid w:val="00081454"/>
    <w:rsid w:val="00081647"/>
    <w:rsid w:val="00081F1B"/>
    <w:rsid w:val="00081FD1"/>
    <w:rsid w:val="00082901"/>
    <w:rsid w:val="00082A73"/>
    <w:rsid w:val="00083495"/>
    <w:rsid w:val="00083D1A"/>
    <w:rsid w:val="00084781"/>
    <w:rsid w:val="00084F02"/>
    <w:rsid w:val="00084F65"/>
    <w:rsid w:val="00084F83"/>
    <w:rsid w:val="00085716"/>
    <w:rsid w:val="0008584D"/>
    <w:rsid w:val="00085D07"/>
    <w:rsid w:val="00085ED5"/>
    <w:rsid w:val="00086056"/>
    <w:rsid w:val="00086AD7"/>
    <w:rsid w:val="00087EF7"/>
    <w:rsid w:val="00090208"/>
    <w:rsid w:val="00090847"/>
    <w:rsid w:val="00090FB5"/>
    <w:rsid w:val="000910D7"/>
    <w:rsid w:val="00091356"/>
    <w:rsid w:val="000914E7"/>
    <w:rsid w:val="00091764"/>
    <w:rsid w:val="0009184B"/>
    <w:rsid w:val="00091A66"/>
    <w:rsid w:val="00091CF7"/>
    <w:rsid w:val="00091D42"/>
    <w:rsid w:val="0009227D"/>
    <w:rsid w:val="00092560"/>
    <w:rsid w:val="00092A24"/>
    <w:rsid w:val="0009323B"/>
    <w:rsid w:val="0009326E"/>
    <w:rsid w:val="00093B97"/>
    <w:rsid w:val="00093E8F"/>
    <w:rsid w:val="00095DF5"/>
    <w:rsid w:val="00095EF4"/>
    <w:rsid w:val="000973CF"/>
    <w:rsid w:val="00097B59"/>
    <w:rsid w:val="00097B73"/>
    <w:rsid w:val="000A0151"/>
    <w:rsid w:val="000A15B8"/>
    <w:rsid w:val="000A1BC3"/>
    <w:rsid w:val="000A21E8"/>
    <w:rsid w:val="000A225D"/>
    <w:rsid w:val="000A258B"/>
    <w:rsid w:val="000A27C0"/>
    <w:rsid w:val="000A2E6A"/>
    <w:rsid w:val="000A3384"/>
    <w:rsid w:val="000A4543"/>
    <w:rsid w:val="000A5141"/>
    <w:rsid w:val="000A57B4"/>
    <w:rsid w:val="000A624E"/>
    <w:rsid w:val="000A62D1"/>
    <w:rsid w:val="000A63EC"/>
    <w:rsid w:val="000A6E0A"/>
    <w:rsid w:val="000A7B84"/>
    <w:rsid w:val="000B0679"/>
    <w:rsid w:val="000B0F3A"/>
    <w:rsid w:val="000B1442"/>
    <w:rsid w:val="000B1592"/>
    <w:rsid w:val="000B1C1E"/>
    <w:rsid w:val="000B2062"/>
    <w:rsid w:val="000B25DA"/>
    <w:rsid w:val="000B271C"/>
    <w:rsid w:val="000B2BEA"/>
    <w:rsid w:val="000B319E"/>
    <w:rsid w:val="000B39EA"/>
    <w:rsid w:val="000B3DDB"/>
    <w:rsid w:val="000B3E9B"/>
    <w:rsid w:val="000B3FA1"/>
    <w:rsid w:val="000B494C"/>
    <w:rsid w:val="000B4960"/>
    <w:rsid w:val="000B4AF7"/>
    <w:rsid w:val="000B5144"/>
    <w:rsid w:val="000B55F3"/>
    <w:rsid w:val="000B5A34"/>
    <w:rsid w:val="000B5C73"/>
    <w:rsid w:val="000B5E83"/>
    <w:rsid w:val="000B6069"/>
    <w:rsid w:val="000B608E"/>
    <w:rsid w:val="000B6519"/>
    <w:rsid w:val="000B6AAA"/>
    <w:rsid w:val="000B6DA5"/>
    <w:rsid w:val="000B6EBF"/>
    <w:rsid w:val="000B72DF"/>
    <w:rsid w:val="000B78FC"/>
    <w:rsid w:val="000B7C30"/>
    <w:rsid w:val="000C06E4"/>
    <w:rsid w:val="000C1F87"/>
    <w:rsid w:val="000C22B2"/>
    <w:rsid w:val="000C24AA"/>
    <w:rsid w:val="000C26C1"/>
    <w:rsid w:val="000C2D10"/>
    <w:rsid w:val="000C303A"/>
    <w:rsid w:val="000C3783"/>
    <w:rsid w:val="000C38B4"/>
    <w:rsid w:val="000C3E38"/>
    <w:rsid w:val="000C42D6"/>
    <w:rsid w:val="000C4407"/>
    <w:rsid w:val="000C4710"/>
    <w:rsid w:val="000C48D7"/>
    <w:rsid w:val="000C517D"/>
    <w:rsid w:val="000C609B"/>
    <w:rsid w:val="000C7057"/>
    <w:rsid w:val="000D00F6"/>
    <w:rsid w:val="000D053C"/>
    <w:rsid w:val="000D0A9F"/>
    <w:rsid w:val="000D10BB"/>
    <w:rsid w:val="000D141E"/>
    <w:rsid w:val="000D16E3"/>
    <w:rsid w:val="000D1B56"/>
    <w:rsid w:val="000D1BCE"/>
    <w:rsid w:val="000D2C52"/>
    <w:rsid w:val="000D3222"/>
    <w:rsid w:val="000D33D0"/>
    <w:rsid w:val="000D35AC"/>
    <w:rsid w:val="000D38BB"/>
    <w:rsid w:val="000D3B58"/>
    <w:rsid w:val="000D3E97"/>
    <w:rsid w:val="000D42CF"/>
    <w:rsid w:val="000D4460"/>
    <w:rsid w:val="000D45A3"/>
    <w:rsid w:val="000D4EDD"/>
    <w:rsid w:val="000D5227"/>
    <w:rsid w:val="000D5746"/>
    <w:rsid w:val="000D5C0D"/>
    <w:rsid w:val="000D5E45"/>
    <w:rsid w:val="000D651F"/>
    <w:rsid w:val="000D672C"/>
    <w:rsid w:val="000D6EE0"/>
    <w:rsid w:val="000D7290"/>
    <w:rsid w:val="000D7357"/>
    <w:rsid w:val="000D7851"/>
    <w:rsid w:val="000D7C24"/>
    <w:rsid w:val="000E0353"/>
    <w:rsid w:val="000E0420"/>
    <w:rsid w:val="000E0AD2"/>
    <w:rsid w:val="000E0F09"/>
    <w:rsid w:val="000E108F"/>
    <w:rsid w:val="000E1141"/>
    <w:rsid w:val="000E147A"/>
    <w:rsid w:val="000E1908"/>
    <w:rsid w:val="000E1CFA"/>
    <w:rsid w:val="000E1E66"/>
    <w:rsid w:val="000E2312"/>
    <w:rsid w:val="000E27EC"/>
    <w:rsid w:val="000E319F"/>
    <w:rsid w:val="000E396A"/>
    <w:rsid w:val="000E39BF"/>
    <w:rsid w:val="000E3A7A"/>
    <w:rsid w:val="000E4592"/>
    <w:rsid w:val="000E46B0"/>
    <w:rsid w:val="000E4D2C"/>
    <w:rsid w:val="000E4E4C"/>
    <w:rsid w:val="000E5137"/>
    <w:rsid w:val="000E5D95"/>
    <w:rsid w:val="000E619F"/>
    <w:rsid w:val="000E6ED6"/>
    <w:rsid w:val="000E702E"/>
    <w:rsid w:val="000E73D2"/>
    <w:rsid w:val="000E7E04"/>
    <w:rsid w:val="000F119F"/>
    <w:rsid w:val="000F1918"/>
    <w:rsid w:val="000F1CBB"/>
    <w:rsid w:val="000F2D5F"/>
    <w:rsid w:val="000F3F32"/>
    <w:rsid w:val="000F3FBC"/>
    <w:rsid w:val="000F413A"/>
    <w:rsid w:val="000F4317"/>
    <w:rsid w:val="000F434F"/>
    <w:rsid w:val="000F463A"/>
    <w:rsid w:val="000F4665"/>
    <w:rsid w:val="000F48D3"/>
    <w:rsid w:val="000F4916"/>
    <w:rsid w:val="000F4AEB"/>
    <w:rsid w:val="000F4C73"/>
    <w:rsid w:val="000F54AF"/>
    <w:rsid w:val="000F6563"/>
    <w:rsid w:val="000F6AFA"/>
    <w:rsid w:val="000F6C14"/>
    <w:rsid w:val="000F736C"/>
    <w:rsid w:val="000F757D"/>
    <w:rsid w:val="000F788C"/>
    <w:rsid w:val="000F790E"/>
    <w:rsid w:val="000F79F8"/>
    <w:rsid w:val="000F7D38"/>
    <w:rsid w:val="000F7D95"/>
    <w:rsid w:val="000F7FFA"/>
    <w:rsid w:val="00100226"/>
    <w:rsid w:val="001002FA"/>
    <w:rsid w:val="0010110E"/>
    <w:rsid w:val="001011F8"/>
    <w:rsid w:val="00101966"/>
    <w:rsid w:val="00101A34"/>
    <w:rsid w:val="00101F34"/>
    <w:rsid w:val="001022B1"/>
    <w:rsid w:val="001028AB"/>
    <w:rsid w:val="00102966"/>
    <w:rsid w:val="00102BAA"/>
    <w:rsid w:val="00102FCF"/>
    <w:rsid w:val="00103167"/>
    <w:rsid w:val="00103228"/>
    <w:rsid w:val="001033B8"/>
    <w:rsid w:val="00103B3E"/>
    <w:rsid w:val="001041E1"/>
    <w:rsid w:val="00104572"/>
    <w:rsid w:val="00104580"/>
    <w:rsid w:val="00104796"/>
    <w:rsid w:val="00104B6D"/>
    <w:rsid w:val="00104CB7"/>
    <w:rsid w:val="001051F5"/>
    <w:rsid w:val="001055B7"/>
    <w:rsid w:val="001055DE"/>
    <w:rsid w:val="00105B35"/>
    <w:rsid w:val="00105CA7"/>
    <w:rsid w:val="00105EE6"/>
    <w:rsid w:val="001062E7"/>
    <w:rsid w:val="00106A06"/>
    <w:rsid w:val="00107109"/>
    <w:rsid w:val="0010751F"/>
    <w:rsid w:val="00107AD3"/>
    <w:rsid w:val="001101C1"/>
    <w:rsid w:val="001103BE"/>
    <w:rsid w:val="0011084F"/>
    <w:rsid w:val="00110948"/>
    <w:rsid w:val="00110A43"/>
    <w:rsid w:val="00110CFC"/>
    <w:rsid w:val="00110D45"/>
    <w:rsid w:val="00110EFC"/>
    <w:rsid w:val="00110F27"/>
    <w:rsid w:val="00110F58"/>
    <w:rsid w:val="0011178F"/>
    <w:rsid w:val="00111800"/>
    <w:rsid w:val="00111E43"/>
    <w:rsid w:val="00112005"/>
    <w:rsid w:val="0011233F"/>
    <w:rsid w:val="00113443"/>
    <w:rsid w:val="00113BCE"/>
    <w:rsid w:val="00113E9E"/>
    <w:rsid w:val="00114056"/>
    <w:rsid w:val="00114063"/>
    <w:rsid w:val="001143E6"/>
    <w:rsid w:val="00114424"/>
    <w:rsid w:val="0011449A"/>
    <w:rsid w:val="00114926"/>
    <w:rsid w:val="001149FF"/>
    <w:rsid w:val="00114DED"/>
    <w:rsid w:val="00114EC4"/>
    <w:rsid w:val="00114F75"/>
    <w:rsid w:val="00115445"/>
    <w:rsid w:val="001154B8"/>
    <w:rsid w:val="00115B24"/>
    <w:rsid w:val="00115C4E"/>
    <w:rsid w:val="0011625F"/>
    <w:rsid w:val="001162D8"/>
    <w:rsid w:val="00116360"/>
    <w:rsid w:val="001165BB"/>
    <w:rsid w:val="001165E5"/>
    <w:rsid w:val="00116934"/>
    <w:rsid w:val="00116ECC"/>
    <w:rsid w:val="001170D5"/>
    <w:rsid w:val="0011755F"/>
    <w:rsid w:val="00117B42"/>
    <w:rsid w:val="0012001B"/>
    <w:rsid w:val="001200DF"/>
    <w:rsid w:val="00120123"/>
    <w:rsid w:val="001206DA"/>
    <w:rsid w:val="00120827"/>
    <w:rsid w:val="00120F16"/>
    <w:rsid w:val="0012158A"/>
    <w:rsid w:val="0012169A"/>
    <w:rsid w:val="00121785"/>
    <w:rsid w:val="00121885"/>
    <w:rsid w:val="00121FCE"/>
    <w:rsid w:val="0012200F"/>
    <w:rsid w:val="00122206"/>
    <w:rsid w:val="001222DC"/>
    <w:rsid w:val="001225E4"/>
    <w:rsid w:val="00122677"/>
    <w:rsid w:val="00123C67"/>
    <w:rsid w:val="0012402E"/>
    <w:rsid w:val="0012414B"/>
    <w:rsid w:val="00124237"/>
    <w:rsid w:val="00124733"/>
    <w:rsid w:val="00124A6D"/>
    <w:rsid w:val="00124C74"/>
    <w:rsid w:val="00125304"/>
    <w:rsid w:val="001255E1"/>
    <w:rsid w:val="00125A26"/>
    <w:rsid w:val="00125C78"/>
    <w:rsid w:val="00125E9F"/>
    <w:rsid w:val="0012626C"/>
    <w:rsid w:val="00126B24"/>
    <w:rsid w:val="00126CF1"/>
    <w:rsid w:val="0012712B"/>
    <w:rsid w:val="00127268"/>
    <w:rsid w:val="001274D1"/>
    <w:rsid w:val="00130066"/>
    <w:rsid w:val="001304C1"/>
    <w:rsid w:val="00130616"/>
    <w:rsid w:val="00130CED"/>
    <w:rsid w:val="001310D1"/>
    <w:rsid w:val="001315BA"/>
    <w:rsid w:val="00132282"/>
    <w:rsid w:val="0013247A"/>
    <w:rsid w:val="001325FA"/>
    <w:rsid w:val="0013305D"/>
    <w:rsid w:val="001333B8"/>
    <w:rsid w:val="00133A92"/>
    <w:rsid w:val="00133AE2"/>
    <w:rsid w:val="00133C2B"/>
    <w:rsid w:val="00134657"/>
    <w:rsid w:val="00134891"/>
    <w:rsid w:val="00134971"/>
    <w:rsid w:val="00134CE0"/>
    <w:rsid w:val="00134D38"/>
    <w:rsid w:val="00134D9B"/>
    <w:rsid w:val="00134D9C"/>
    <w:rsid w:val="00134F3B"/>
    <w:rsid w:val="001350D1"/>
    <w:rsid w:val="0013537C"/>
    <w:rsid w:val="0013541A"/>
    <w:rsid w:val="00135828"/>
    <w:rsid w:val="001358EA"/>
    <w:rsid w:val="00136110"/>
    <w:rsid w:val="001363EF"/>
    <w:rsid w:val="00136728"/>
    <w:rsid w:val="001367B4"/>
    <w:rsid w:val="00136F8D"/>
    <w:rsid w:val="0013775F"/>
    <w:rsid w:val="00137976"/>
    <w:rsid w:val="00137B3C"/>
    <w:rsid w:val="001405B6"/>
    <w:rsid w:val="0014068F"/>
    <w:rsid w:val="0014080A"/>
    <w:rsid w:val="00140B32"/>
    <w:rsid w:val="0014126A"/>
    <w:rsid w:val="001412EF"/>
    <w:rsid w:val="00141593"/>
    <w:rsid w:val="001415FF"/>
    <w:rsid w:val="00141E0A"/>
    <w:rsid w:val="001421DA"/>
    <w:rsid w:val="001423B9"/>
    <w:rsid w:val="00143270"/>
    <w:rsid w:val="00143332"/>
    <w:rsid w:val="001434E4"/>
    <w:rsid w:val="00143578"/>
    <w:rsid w:val="001441E5"/>
    <w:rsid w:val="0014421F"/>
    <w:rsid w:val="001442E5"/>
    <w:rsid w:val="001443CC"/>
    <w:rsid w:val="00144F5E"/>
    <w:rsid w:val="0014545B"/>
    <w:rsid w:val="00145861"/>
    <w:rsid w:val="00145AC9"/>
    <w:rsid w:val="00145D2A"/>
    <w:rsid w:val="001465E3"/>
    <w:rsid w:val="00147166"/>
    <w:rsid w:val="001471E1"/>
    <w:rsid w:val="0014791B"/>
    <w:rsid w:val="00147DA0"/>
    <w:rsid w:val="00147E68"/>
    <w:rsid w:val="0015063A"/>
    <w:rsid w:val="0015069A"/>
    <w:rsid w:val="001506E5"/>
    <w:rsid w:val="00150848"/>
    <w:rsid w:val="00150DFE"/>
    <w:rsid w:val="0015101D"/>
    <w:rsid w:val="0015109E"/>
    <w:rsid w:val="00151D97"/>
    <w:rsid w:val="00151DEC"/>
    <w:rsid w:val="00152423"/>
    <w:rsid w:val="00152E9F"/>
    <w:rsid w:val="00153098"/>
    <w:rsid w:val="00153529"/>
    <w:rsid w:val="00153BF2"/>
    <w:rsid w:val="00153C5A"/>
    <w:rsid w:val="00153F11"/>
    <w:rsid w:val="00154D6A"/>
    <w:rsid w:val="00155002"/>
    <w:rsid w:val="001553F4"/>
    <w:rsid w:val="00155FCE"/>
    <w:rsid w:val="0015600E"/>
    <w:rsid w:val="0015607D"/>
    <w:rsid w:val="00156296"/>
    <w:rsid w:val="0015639F"/>
    <w:rsid w:val="00156518"/>
    <w:rsid w:val="001566C7"/>
    <w:rsid w:val="001576D3"/>
    <w:rsid w:val="00157D7C"/>
    <w:rsid w:val="00157FC3"/>
    <w:rsid w:val="0016010F"/>
    <w:rsid w:val="00160DBC"/>
    <w:rsid w:val="001611DC"/>
    <w:rsid w:val="001616B1"/>
    <w:rsid w:val="00161B99"/>
    <w:rsid w:val="00161C49"/>
    <w:rsid w:val="00161F8B"/>
    <w:rsid w:val="001620CE"/>
    <w:rsid w:val="00162343"/>
    <w:rsid w:val="0016296F"/>
    <w:rsid w:val="00162A36"/>
    <w:rsid w:val="00162D1F"/>
    <w:rsid w:val="00162D76"/>
    <w:rsid w:val="00163460"/>
    <w:rsid w:val="00163559"/>
    <w:rsid w:val="0016363E"/>
    <w:rsid w:val="0016368E"/>
    <w:rsid w:val="0016456E"/>
    <w:rsid w:val="00164663"/>
    <w:rsid w:val="0016496E"/>
    <w:rsid w:val="00165101"/>
    <w:rsid w:val="00165261"/>
    <w:rsid w:val="00165315"/>
    <w:rsid w:val="0016560F"/>
    <w:rsid w:val="00165687"/>
    <w:rsid w:val="00165717"/>
    <w:rsid w:val="00165A75"/>
    <w:rsid w:val="00166013"/>
    <w:rsid w:val="001661ED"/>
    <w:rsid w:val="00166E9C"/>
    <w:rsid w:val="00167409"/>
    <w:rsid w:val="00167488"/>
    <w:rsid w:val="001675AE"/>
    <w:rsid w:val="001677B8"/>
    <w:rsid w:val="00167C35"/>
    <w:rsid w:val="00167DC4"/>
    <w:rsid w:val="001704F7"/>
    <w:rsid w:val="00170629"/>
    <w:rsid w:val="00171816"/>
    <w:rsid w:val="0017184E"/>
    <w:rsid w:val="00171DA0"/>
    <w:rsid w:val="00172828"/>
    <w:rsid w:val="00172A04"/>
    <w:rsid w:val="00172C10"/>
    <w:rsid w:val="0017301A"/>
    <w:rsid w:val="00173659"/>
    <w:rsid w:val="001736E1"/>
    <w:rsid w:val="00173C2F"/>
    <w:rsid w:val="00173E1F"/>
    <w:rsid w:val="001740B8"/>
    <w:rsid w:val="001742C9"/>
    <w:rsid w:val="00174304"/>
    <w:rsid w:val="0017454B"/>
    <w:rsid w:val="00174848"/>
    <w:rsid w:val="00174A99"/>
    <w:rsid w:val="00175927"/>
    <w:rsid w:val="001762B7"/>
    <w:rsid w:val="00176603"/>
    <w:rsid w:val="0017754E"/>
    <w:rsid w:val="00177762"/>
    <w:rsid w:val="0017786D"/>
    <w:rsid w:val="001779A5"/>
    <w:rsid w:val="00177DC0"/>
    <w:rsid w:val="00180352"/>
    <w:rsid w:val="00180A49"/>
    <w:rsid w:val="00180AE2"/>
    <w:rsid w:val="00180AE3"/>
    <w:rsid w:val="00180B6A"/>
    <w:rsid w:val="00180D53"/>
    <w:rsid w:val="0018135C"/>
    <w:rsid w:val="001813CE"/>
    <w:rsid w:val="001814C6"/>
    <w:rsid w:val="00181CDE"/>
    <w:rsid w:val="00181F4F"/>
    <w:rsid w:val="00181FC2"/>
    <w:rsid w:val="001831A9"/>
    <w:rsid w:val="00183233"/>
    <w:rsid w:val="00183527"/>
    <w:rsid w:val="00183A21"/>
    <w:rsid w:val="00183CB6"/>
    <w:rsid w:val="00183F8B"/>
    <w:rsid w:val="0018484E"/>
    <w:rsid w:val="00184B29"/>
    <w:rsid w:val="00185097"/>
    <w:rsid w:val="00185099"/>
    <w:rsid w:val="00185C26"/>
    <w:rsid w:val="00186178"/>
    <w:rsid w:val="00186354"/>
    <w:rsid w:val="001864C7"/>
    <w:rsid w:val="001864CE"/>
    <w:rsid w:val="00186A47"/>
    <w:rsid w:val="00186E2A"/>
    <w:rsid w:val="00186E9B"/>
    <w:rsid w:val="00186F5C"/>
    <w:rsid w:val="00186FB6"/>
    <w:rsid w:val="00187384"/>
    <w:rsid w:val="0018745F"/>
    <w:rsid w:val="00187772"/>
    <w:rsid w:val="00187D02"/>
    <w:rsid w:val="00187EB6"/>
    <w:rsid w:val="001900F5"/>
    <w:rsid w:val="00190CE8"/>
    <w:rsid w:val="00190D10"/>
    <w:rsid w:val="00190D89"/>
    <w:rsid w:val="0019108A"/>
    <w:rsid w:val="00191997"/>
    <w:rsid w:val="00191DB8"/>
    <w:rsid w:val="00191FAF"/>
    <w:rsid w:val="001924A7"/>
    <w:rsid w:val="00192E9C"/>
    <w:rsid w:val="0019314B"/>
    <w:rsid w:val="001938E7"/>
    <w:rsid w:val="00193B70"/>
    <w:rsid w:val="00193CA6"/>
    <w:rsid w:val="00194945"/>
    <w:rsid w:val="00194A05"/>
    <w:rsid w:val="00194AAE"/>
    <w:rsid w:val="00195108"/>
    <w:rsid w:val="0019524C"/>
    <w:rsid w:val="0019572A"/>
    <w:rsid w:val="0019579C"/>
    <w:rsid w:val="001965EC"/>
    <w:rsid w:val="00196D2D"/>
    <w:rsid w:val="00196E5F"/>
    <w:rsid w:val="001977B6"/>
    <w:rsid w:val="00197E49"/>
    <w:rsid w:val="001A00AF"/>
    <w:rsid w:val="001A0573"/>
    <w:rsid w:val="001A0B6B"/>
    <w:rsid w:val="001A0EDC"/>
    <w:rsid w:val="001A10DA"/>
    <w:rsid w:val="001A1369"/>
    <w:rsid w:val="001A159A"/>
    <w:rsid w:val="001A1944"/>
    <w:rsid w:val="001A1F8F"/>
    <w:rsid w:val="001A23B4"/>
    <w:rsid w:val="001A2768"/>
    <w:rsid w:val="001A279E"/>
    <w:rsid w:val="001A2BBF"/>
    <w:rsid w:val="001A349F"/>
    <w:rsid w:val="001A3598"/>
    <w:rsid w:val="001A37EC"/>
    <w:rsid w:val="001A455F"/>
    <w:rsid w:val="001A45DA"/>
    <w:rsid w:val="001A4860"/>
    <w:rsid w:val="001A4AB5"/>
    <w:rsid w:val="001A4D66"/>
    <w:rsid w:val="001A59D7"/>
    <w:rsid w:val="001A5A92"/>
    <w:rsid w:val="001A5AB1"/>
    <w:rsid w:val="001A6471"/>
    <w:rsid w:val="001A651B"/>
    <w:rsid w:val="001A6EFF"/>
    <w:rsid w:val="001A7236"/>
    <w:rsid w:val="001A74C3"/>
    <w:rsid w:val="001A753D"/>
    <w:rsid w:val="001B13C2"/>
    <w:rsid w:val="001B162D"/>
    <w:rsid w:val="001B18DE"/>
    <w:rsid w:val="001B206B"/>
    <w:rsid w:val="001B2352"/>
    <w:rsid w:val="001B2AE0"/>
    <w:rsid w:val="001B3009"/>
    <w:rsid w:val="001B3974"/>
    <w:rsid w:val="001B3AD3"/>
    <w:rsid w:val="001B3D5F"/>
    <w:rsid w:val="001B3F75"/>
    <w:rsid w:val="001B4438"/>
    <w:rsid w:val="001B49B1"/>
    <w:rsid w:val="001B4FFD"/>
    <w:rsid w:val="001B508D"/>
    <w:rsid w:val="001B50C1"/>
    <w:rsid w:val="001B55A1"/>
    <w:rsid w:val="001B58D4"/>
    <w:rsid w:val="001B5E07"/>
    <w:rsid w:val="001B6471"/>
    <w:rsid w:val="001B648F"/>
    <w:rsid w:val="001B659F"/>
    <w:rsid w:val="001B65AB"/>
    <w:rsid w:val="001B6A66"/>
    <w:rsid w:val="001B6D6C"/>
    <w:rsid w:val="001B7BAE"/>
    <w:rsid w:val="001B7D9F"/>
    <w:rsid w:val="001C00DE"/>
    <w:rsid w:val="001C0328"/>
    <w:rsid w:val="001C136A"/>
    <w:rsid w:val="001C20F0"/>
    <w:rsid w:val="001C229F"/>
    <w:rsid w:val="001C24E0"/>
    <w:rsid w:val="001C26AE"/>
    <w:rsid w:val="001C2857"/>
    <w:rsid w:val="001C2A8B"/>
    <w:rsid w:val="001C2C64"/>
    <w:rsid w:val="001C2E6C"/>
    <w:rsid w:val="001C2E98"/>
    <w:rsid w:val="001C2EF1"/>
    <w:rsid w:val="001C3BE3"/>
    <w:rsid w:val="001C4216"/>
    <w:rsid w:val="001C43FC"/>
    <w:rsid w:val="001C45D0"/>
    <w:rsid w:val="001C48A4"/>
    <w:rsid w:val="001C48EB"/>
    <w:rsid w:val="001C4E9F"/>
    <w:rsid w:val="001C5150"/>
    <w:rsid w:val="001C53FD"/>
    <w:rsid w:val="001C5813"/>
    <w:rsid w:val="001C5C3D"/>
    <w:rsid w:val="001C63EB"/>
    <w:rsid w:val="001C6401"/>
    <w:rsid w:val="001C66B1"/>
    <w:rsid w:val="001C6F68"/>
    <w:rsid w:val="001C6FE6"/>
    <w:rsid w:val="001C712E"/>
    <w:rsid w:val="001D0220"/>
    <w:rsid w:val="001D07F7"/>
    <w:rsid w:val="001D0884"/>
    <w:rsid w:val="001D1188"/>
    <w:rsid w:val="001D1457"/>
    <w:rsid w:val="001D16E8"/>
    <w:rsid w:val="001D1899"/>
    <w:rsid w:val="001D18D9"/>
    <w:rsid w:val="001D198E"/>
    <w:rsid w:val="001D2048"/>
    <w:rsid w:val="001D212D"/>
    <w:rsid w:val="001D2F0A"/>
    <w:rsid w:val="001D3759"/>
    <w:rsid w:val="001D41EF"/>
    <w:rsid w:val="001D4303"/>
    <w:rsid w:val="001D46CA"/>
    <w:rsid w:val="001D4D9F"/>
    <w:rsid w:val="001D4EC5"/>
    <w:rsid w:val="001D561A"/>
    <w:rsid w:val="001D5757"/>
    <w:rsid w:val="001D5812"/>
    <w:rsid w:val="001D5A37"/>
    <w:rsid w:val="001D6194"/>
    <w:rsid w:val="001D64A5"/>
    <w:rsid w:val="001D64F9"/>
    <w:rsid w:val="001D64FB"/>
    <w:rsid w:val="001D6838"/>
    <w:rsid w:val="001D6B85"/>
    <w:rsid w:val="001D6EBB"/>
    <w:rsid w:val="001D7ABF"/>
    <w:rsid w:val="001D7B66"/>
    <w:rsid w:val="001D7C38"/>
    <w:rsid w:val="001E0055"/>
    <w:rsid w:val="001E0ABB"/>
    <w:rsid w:val="001E0ABE"/>
    <w:rsid w:val="001E1164"/>
    <w:rsid w:val="001E14FE"/>
    <w:rsid w:val="001E1AC9"/>
    <w:rsid w:val="001E1D78"/>
    <w:rsid w:val="001E1FE3"/>
    <w:rsid w:val="001E20D3"/>
    <w:rsid w:val="001E234F"/>
    <w:rsid w:val="001E24E4"/>
    <w:rsid w:val="001E261C"/>
    <w:rsid w:val="001E263E"/>
    <w:rsid w:val="001E279A"/>
    <w:rsid w:val="001E2F81"/>
    <w:rsid w:val="001E2FDB"/>
    <w:rsid w:val="001E3056"/>
    <w:rsid w:val="001E32D9"/>
    <w:rsid w:val="001E39A6"/>
    <w:rsid w:val="001E3FD5"/>
    <w:rsid w:val="001E4073"/>
    <w:rsid w:val="001E43D9"/>
    <w:rsid w:val="001E4722"/>
    <w:rsid w:val="001E4D05"/>
    <w:rsid w:val="001E5031"/>
    <w:rsid w:val="001E5252"/>
    <w:rsid w:val="001E57B6"/>
    <w:rsid w:val="001E5CA5"/>
    <w:rsid w:val="001E658B"/>
    <w:rsid w:val="001E6889"/>
    <w:rsid w:val="001E695B"/>
    <w:rsid w:val="001E755E"/>
    <w:rsid w:val="001E7676"/>
    <w:rsid w:val="001E7766"/>
    <w:rsid w:val="001E789A"/>
    <w:rsid w:val="001E79A0"/>
    <w:rsid w:val="001F0083"/>
    <w:rsid w:val="001F015B"/>
    <w:rsid w:val="001F0327"/>
    <w:rsid w:val="001F033C"/>
    <w:rsid w:val="001F04AD"/>
    <w:rsid w:val="001F0C25"/>
    <w:rsid w:val="001F0EE9"/>
    <w:rsid w:val="001F1080"/>
    <w:rsid w:val="001F1B7D"/>
    <w:rsid w:val="001F1F8E"/>
    <w:rsid w:val="001F2083"/>
    <w:rsid w:val="001F230B"/>
    <w:rsid w:val="001F2472"/>
    <w:rsid w:val="001F2EE3"/>
    <w:rsid w:val="001F3121"/>
    <w:rsid w:val="001F359C"/>
    <w:rsid w:val="001F3CB7"/>
    <w:rsid w:val="001F3D51"/>
    <w:rsid w:val="001F49E4"/>
    <w:rsid w:val="001F5061"/>
    <w:rsid w:val="001F5113"/>
    <w:rsid w:val="001F5895"/>
    <w:rsid w:val="001F5AE7"/>
    <w:rsid w:val="001F5CFD"/>
    <w:rsid w:val="001F5E9D"/>
    <w:rsid w:val="001F5F84"/>
    <w:rsid w:val="001F62A9"/>
    <w:rsid w:val="001F6937"/>
    <w:rsid w:val="001F74AE"/>
    <w:rsid w:val="001F7903"/>
    <w:rsid w:val="001F7B86"/>
    <w:rsid w:val="001F7CDF"/>
    <w:rsid w:val="0020056D"/>
    <w:rsid w:val="002006BF"/>
    <w:rsid w:val="00200BC7"/>
    <w:rsid w:val="00201819"/>
    <w:rsid w:val="00201C5E"/>
    <w:rsid w:val="0020225B"/>
    <w:rsid w:val="0020266D"/>
    <w:rsid w:val="002032A1"/>
    <w:rsid w:val="0020359C"/>
    <w:rsid w:val="0020367E"/>
    <w:rsid w:val="002038EE"/>
    <w:rsid w:val="002038EF"/>
    <w:rsid w:val="00204578"/>
    <w:rsid w:val="00204D41"/>
    <w:rsid w:val="002056F8"/>
    <w:rsid w:val="00205916"/>
    <w:rsid w:val="00205E43"/>
    <w:rsid w:val="00206B2F"/>
    <w:rsid w:val="00206BD9"/>
    <w:rsid w:val="00207394"/>
    <w:rsid w:val="002075C6"/>
    <w:rsid w:val="00207FC6"/>
    <w:rsid w:val="002103BF"/>
    <w:rsid w:val="00210A47"/>
    <w:rsid w:val="00210A90"/>
    <w:rsid w:val="00210DEE"/>
    <w:rsid w:val="0021141F"/>
    <w:rsid w:val="002118AF"/>
    <w:rsid w:val="00211A36"/>
    <w:rsid w:val="00211AF7"/>
    <w:rsid w:val="0021249B"/>
    <w:rsid w:val="002127CF"/>
    <w:rsid w:val="00212CE3"/>
    <w:rsid w:val="00213104"/>
    <w:rsid w:val="00213F4E"/>
    <w:rsid w:val="0021433E"/>
    <w:rsid w:val="00214437"/>
    <w:rsid w:val="00214A00"/>
    <w:rsid w:val="00215378"/>
    <w:rsid w:val="00216011"/>
    <w:rsid w:val="00216127"/>
    <w:rsid w:val="0021640C"/>
    <w:rsid w:val="002166B9"/>
    <w:rsid w:val="00216B06"/>
    <w:rsid w:val="002170D2"/>
    <w:rsid w:val="002178F0"/>
    <w:rsid w:val="002179F5"/>
    <w:rsid w:val="00217A75"/>
    <w:rsid w:val="0022014B"/>
    <w:rsid w:val="00220233"/>
    <w:rsid w:val="0022097F"/>
    <w:rsid w:val="00221019"/>
    <w:rsid w:val="00221355"/>
    <w:rsid w:val="002214C0"/>
    <w:rsid w:val="002217A9"/>
    <w:rsid w:val="002218C1"/>
    <w:rsid w:val="00221AED"/>
    <w:rsid w:val="002220A7"/>
    <w:rsid w:val="00222143"/>
    <w:rsid w:val="0022253D"/>
    <w:rsid w:val="00222CA8"/>
    <w:rsid w:val="0022329C"/>
    <w:rsid w:val="00223C36"/>
    <w:rsid w:val="00223C52"/>
    <w:rsid w:val="00223E21"/>
    <w:rsid w:val="00224129"/>
    <w:rsid w:val="00224732"/>
    <w:rsid w:val="00224ECB"/>
    <w:rsid w:val="00224FF4"/>
    <w:rsid w:val="002258E0"/>
    <w:rsid w:val="00225B6A"/>
    <w:rsid w:val="00226097"/>
    <w:rsid w:val="00226314"/>
    <w:rsid w:val="002263B9"/>
    <w:rsid w:val="00226F3B"/>
    <w:rsid w:val="0022702A"/>
    <w:rsid w:val="0022715E"/>
    <w:rsid w:val="00227241"/>
    <w:rsid w:val="002272E3"/>
    <w:rsid w:val="00227380"/>
    <w:rsid w:val="00227507"/>
    <w:rsid w:val="002276A4"/>
    <w:rsid w:val="00227754"/>
    <w:rsid w:val="00227882"/>
    <w:rsid w:val="00227C47"/>
    <w:rsid w:val="00227EF8"/>
    <w:rsid w:val="00230DF3"/>
    <w:rsid w:val="00231A9B"/>
    <w:rsid w:val="00231F37"/>
    <w:rsid w:val="00232D0B"/>
    <w:rsid w:val="002330F4"/>
    <w:rsid w:val="002331AB"/>
    <w:rsid w:val="002332A4"/>
    <w:rsid w:val="00233CE3"/>
    <w:rsid w:val="00233E2B"/>
    <w:rsid w:val="00233FB1"/>
    <w:rsid w:val="002343CB"/>
    <w:rsid w:val="00235335"/>
    <w:rsid w:val="00235AF7"/>
    <w:rsid w:val="00235B57"/>
    <w:rsid w:val="00235C89"/>
    <w:rsid w:val="00236138"/>
    <w:rsid w:val="00236791"/>
    <w:rsid w:val="00236837"/>
    <w:rsid w:val="00237381"/>
    <w:rsid w:val="00237776"/>
    <w:rsid w:val="0023793F"/>
    <w:rsid w:val="00237ED8"/>
    <w:rsid w:val="002405C5"/>
    <w:rsid w:val="002406FC"/>
    <w:rsid w:val="00240789"/>
    <w:rsid w:val="0024078A"/>
    <w:rsid w:val="00240A32"/>
    <w:rsid w:val="002411DF"/>
    <w:rsid w:val="0024128A"/>
    <w:rsid w:val="00241E4D"/>
    <w:rsid w:val="00241EF4"/>
    <w:rsid w:val="00242011"/>
    <w:rsid w:val="00242021"/>
    <w:rsid w:val="00242E01"/>
    <w:rsid w:val="0024334E"/>
    <w:rsid w:val="00244AF7"/>
    <w:rsid w:val="00244E14"/>
    <w:rsid w:val="0024502F"/>
    <w:rsid w:val="0024504B"/>
    <w:rsid w:val="0024556C"/>
    <w:rsid w:val="002458C0"/>
    <w:rsid w:val="00245D2F"/>
    <w:rsid w:val="00246794"/>
    <w:rsid w:val="00247BD6"/>
    <w:rsid w:val="00247CDF"/>
    <w:rsid w:val="00247FD8"/>
    <w:rsid w:val="00250684"/>
    <w:rsid w:val="002508D5"/>
    <w:rsid w:val="00250980"/>
    <w:rsid w:val="00250992"/>
    <w:rsid w:val="00250E74"/>
    <w:rsid w:val="00250F3C"/>
    <w:rsid w:val="00251050"/>
    <w:rsid w:val="00252103"/>
    <w:rsid w:val="002524A8"/>
    <w:rsid w:val="00252AD1"/>
    <w:rsid w:val="00252F5A"/>
    <w:rsid w:val="002531AB"/>
    <w:rsid w:val="00253611"/>
    <w:rsid w:val="00253F55"/>
    <w:rsid w:val="00254258"/>
    <w:rsid w:val="00254404"/>
    <w:rsid w:val="0025484D"/>
    <w:rsid w:val="00254B2F"/>
    <w:rsid w:val="00254F09"/>
    <w:rsid w:val="0025524C"/>
    <w:rsid w:val="00255321"/>
    <w:rsid w:val="0025581C"/>
    <w:rsid w:val="00255894"/>
    <w:rsid w:val="00255B0C"/>
    <w:rsid w:val="00255C1D"/>
    <w:rsid w:val="00255DB5"/>
    <w:rsid w:val="002564FE"/>
    <w:rsid w:val="00256BCC"/>
    <w:rsid w:val="00256FCF"/>
    <w:rsid w:val="0025727C"/>
    <w:rsid w:val="002573C7"/>
    <w:rsid w:val="00257540"/>
    <w:rsid w:val="002575ED"/>
    <w:rsid w:val="00257730"/>
    <w:rsid w:val="0025781C"/>
    <w:rsid w:val="00257F14"/>
    <w:rsid w:val="00260A7D"/>
    <w:rsid w:val="00260C4D"/>
    <w:rsid w:val="00260C7D"/>
    <w:rsid w:val="00260E56"/>
    <w:rsid w:val="00261074"/>
    <w:rsid w:val="002610B5"/>
    <w:rsid w:val="00261283"/>
    <w:rsid w:val="00261455"/>
    <w:rsid w:val="002616DC"/>
    <w:rsid w:val="00261831"/>
    <w:rsid w:val="002620DC"/>
    <w:rsid w:val="00262971"/>
    <w:rsid w:val="00262BB0"/>
    <w:rsid w:val="00262CF4"/>
    <w:rsid w:val="00263A3F"/>
    <w:rsid w:val="00264DC4"/>
    <w:rsid w:val="00265022"/>
    <w:rsid w:val="0026522E"/>
    <w:rsid w:val="002653C1"/>
    <w:rsid w:val="00265CEC"/>
    <w:rsid w:val="00265E69"/>
    <w:rsid w:val="002663D4"/>
    <w:rsid w:val="00266CDC"/>
    <w:rsid w:val="002672C8"/>
    <w:rsid w:val="002675EE"/>
    <w:rsid w:val="00267B26"/>
    <w:rsid w:val="00270927"/>
    <w:rsid w:val="00271272"/>
    <w:rsid w:val="002713BF"/>
    <w:rsid w:val="0027164D"/>
    <w:rsid w:val="0027180D"/>
    <w:rsid w:val="00272483"/>
    <w:rsid w:val="00272E51"/>
    <w:rsid w:val="00273BEB"/>
    <w:rsid w:val="00273CB8"/>
    <w:rsid w:val="00273D3D"/>
    <w:rsid w:val="002743FD"/>
    <w:rsid w:val="0027465A"/>
    <w:rsid w:val="0027465D"/>
    <w:rsid w:val="002746C4"/>
    <w:rsid w:val="00275873"/>
    <w:rsid w:val="00275A1D"/>
    <w:rsid w:val="00275B6C"/>
    <w:rsid w:val="002760C9"/>
    <w:rsid w:val="00276416"/>
    <w:rsid w:val="00276C04"/>
    <w:rsid w:val="00276D9F"/>
    <w:rsid w:val="00277171"/>
    <w:rsid w:val="0027797A"/>
    <w:rsid w:val="00277EE8"/>
    <w:rsid w:val="002801D9"/>
    <w:rsid w:val="0028021E"/>
    <w:rsid w:val="00280AB9"/>
    <w:rsid w:val="00281026"/>
    <w:rsid w:val="0028225B"/>
    <w:rsid w:val="00282A8F"/>
    <w:rsid w:val="00282B3F"/>
    <w:rsid w:val="00282D64"/>
    <w:rsid w:val="0028321C"/>
    <w:rsid w:val="00283894"/>
    <w:rsid w:val="00283974"/>
    <w:rsid w:val="00283BF4"/>
    <w:rsid w:val="00283C31"/>
    <w:rsid w:val="00283DD5"/>
    <w:rsid w:val="00284CE1"/>
    <w:rsid w:val="00284F90"/>
    <w:rsid w:val="0028502E"/>
    <w:rsid w:val="00285679"/>
    <w:rsid w:val="0028578F"/>
    <w:rsid w:val="00285F8D"/>
    <w:rsid w:val="0028681C"/>
    <w:rsid w:val="002868BE"/>
    <w:rsid w:val="00286B6F"/>
    <w:rsid w:val="00286E37"/>
    <w:rsid w:val="002876EE"/>
    <w:rsid w:val="002878A1"/>
    <w:rsid w:val="002905A4"/>
    <w:rsid w:val="002908F3"/>
    <w:rsid w:val="00290959"/>
    <w:rsid w:val="002911A5"/>
    <w:rsid w:val="002911C4"/>
    <w:rsid w:val="0029159F"/>
    <w:rsid w:val="002918B3"/>
    <w:rsid w:val="00292667"/>
    <w:rsid w:val="00292BE5"/>
    <w:rsid w:val="002933DC"/>
    <w:rsid w:val="00293B09"/>
    <w:rsid w:val="00293DFC"/>
    <w:rsid w:val="00293E23"/>
    <w:rsid w:val="00293E25"/>
    <w:rsid w:val="0029408B"/>
    <w:rsid w:val="0029434D"/>
    <w:rsid w:val="00295C65"/>
    <w:rsid w:val="00295EA0"/>
    <w:rsid w:val="00295EEB"/>
    <w:rsid w:val="00295F64"/>
    <w:rsid w:val="00296393"/>
    <w:rsid w:val="0029664C"/>
    <w:rsid w:val="002968D2"/>
    <w:rsid w:val="00296E01"/>
    <w:rsid w:val="00296ECD"/>
    <w:rsid w:val="002976E1"/>
    <w:rsid w:val="002977A4"/>
    <w:rsid w:val="002977A7"/>
    <w:rsid w:val="00297A4D"/>
    <w:rsid w:val="00297D1F"/>
    <w:rsid w:val="002A0359"/>
    <w:rsid w:val="002A0993"/>
    <w:rsid w:val="002A0A1F"/>
    <w:rsid w:val="002A0EA2"/>
    <w:rsid w:val="002A1268"/>
    <w:rsid w:val="002A1849"/>
    <w:rsid w:val="002A23BC"/>
    <w:rsid w:val="002A2650"/>
    <w:rsid w:val="002A2722"/>
    <w:rsid w:val="002A2D23"/>
    <w:rsid w:val="002A3187"/>
    <w:rsid w:val="002A362C"/>
    <w:rsid w:val="002A3949"/>
    <w:rsid w:val="002A5238"/>
    <w:rsid w:val="002A5CE3"/>
    <w:rsid w:val="002A5EFD"/>
    <w:rsid w:val="002A610D"/>
    <w:rsid w:val="002A6EBF"/>
    <w:rsid w:val="002A7E79"/>
    <w:rsid w:val="002B0663"/>
    <w:rsid w:val="002B07D5"/>
    <w:rsid w:val="002B0996"/>
    <w:rsid w:val="002B1673"/>
    <w:rsid w:val="002B17CD"/>
    <w:rsid w:val="002B1B2A"/>
    <w:rsid w:val="002B1BFD"/>
    <w:rsid w:val="002B1C43"/>
    <w:rsid w:val="002B1D1C"/>
    <w:rsid w:val="002B21C5"/>
    <w:rsid w:val="002B26E6"/>
    <w:rsid w:val="002B28EE"/>
    <w:rsid w:val="002B2B96"/>
    <w:rsid w:val="002B342E"/>
    <w:rsid w:val="002B345D"/>
    <w:rsid w:val="002B3DD3"/>
    <w:rsid w:val="002B3EF6"/>
    <w:rsid w:val="002B3F0F"/>
    <w:rsid w:val="002B402B"/>
    <w:rsid w:val="002B445B"/>
    <w:rsid w:val="002B450E"/>
    <w:rsid w:val="002B49D9"/>
    <w:rsid w:val="002B57E1"/>
    <w:rsid w:val="002B596B"/>
    <w:rsid w:val="002B7A3F"/>
    <w:rsid w:val="002B7AD1"/>
    <w:rsid w:val="002B7C93"/>
    <w:rsid w:val="002B7E2D"/>
    <w:rsid w:val="002C0133"/>
    <w:rsid w:val="002C0630"/>
    <w:rsid w:val="002C07DC"/>
    <w:rsid w:val="002C0C3B"/>
    <w:rsid w:val="002C1064"/>
    <w:rsid w:val="002C10CD"/>
    <w:rsid w:val="002C12F9"/>
    <w:rsid w:val="002C1481"/>
    <w:rsid w:val="002C152A"/>
    <w:rsid w:val="002C1D85"/>
    <w:rsid w:val="002C1EF4"/>
    <w:rsid w:val="002C215E"/>
    <w:rsid w:val="002C29A2"/>
    <w:rsid w:val="002C2E3D"/>
    <w:rsid w:val="002C2ECF"/>
    <w:rsid w:val="002C37DE"/>
    <w:rsid w:val="002C38FE"/>
    <w:rsid w:val="002C3951"/>
    <w:rsid w:val="002C3A98"/>
    <w:rsid w:val="002C415B"/>
    <w:rsid w:val="002C45AB"/>
    <w:rsid w:val="002C47AB"/>
    <w:rsid w:val="002C5126"/>
    <w:rsid w:val="002C53D7"/>
    <w:rsid w:val="002C5C70"/>
    <w:rsid w:val="002C5D51"/>
    <w:rsid w:val="002C5FD5"/>
    <w:rsid w:val="002C64F3"/>
    <w:rsid w:val="002C65E6"/>
    <w:rsid w:val="002C667B"/>
    <w:rsid w:val="002C6878"/>
    <w:rsid w:val="002C7450"/>
    <w:rsid w:val="002C787F"/>
    <w:rsid w:val="002C7BD4"/>
    <w:rsid w:val="002D01FF"/>
    <w:rsid w:val="002D03D6"/>
    <w:rsid w:val="002D04BE"/>
    <w:rsid w:val="002D04F2"/>
    <w:rsid w:val="002D07D1"/>
    <w:rsid w:val="002D10A7"/>
    <w:rsid w:val="002D1935"/>
    <w:rsid w:val="002D1A00"/>
    <w:rsid w:val="002D1A43"/>
    <w:rsid w:val="002D1D2E"/>
    <w:rsid w:val="002D2D09"/>
    <w:rsid w:val="002D2DEA"/>
    <w:rsid w:val="002D396B"/>
    <w:rsid w:val="002D4DD3"/>
    <w:rsid w:val="002D4DD6"/>
    <w:rsid w:val="002D4F82"/>
    <w:rsid w:val="002D5029"/>
    <w:rsid w:val="002D5B80"/>
    <w:rsid w:val="002D5F76"/>
    <w:rsid w:val="002D5F9C"/>
    <w:rsid w:val="002D69E0"/>
    <w:rsid w:val="002D6BDF"/>
    <w:rsid w:val="002D6D7D"/>
    <w:rsid w:val="002D7082"/>
    <w:rsid w:val="002D739C"/>
    <w:rsid w:val="002D744E"/>
    <w:rsid w:val="002D7799"/>
    <w:rsid w:val="002D79BE"/>
    <w:rsid w:val="002E0123"/>
    <w:rsid w:val="002E066B"/>
    <w:rsid w:val="002E09C9"/>
    <w:rsid w:val="002E0ED8"/>
    <w:rsid w:val="002E109D"/>
    <w:rsid w:val="002E17AF"/>
    <w:rsid w:val="002E19A9"/>
    <w:rsid w:val="002E23DE"/>
    <w:rsid w:val="002E241C"/>
    <w:rsid w:val="002E2507"/>
    <w:rsid w:val="002E2A78"/>
    <w:rsid w:val="002E3944"/>
    <w:rsid w:val="002E3AEB"/>
    <w:rsid w:val="002E3B37"/>
    <w:rsid w:val="002E3D65"/>
    <w:rsid w:val="002E3DE0"/>
    <w:rsid w:val="002E41B3"/>
    <w:rsid w:val="002E441E"/>
    <w:rsid w:val="002E4691"/>
    <w:rsid w:val="002E47D4"/>
    <w:rsid w:val="002E4885"/>
    <w:rsid w:val="002E49A7"/>
    <w:rsid w:val="002E49F1"/>
    <w:rsid w:val="002E4B6B"/>
    <w:rsid w:val="002E4F48"/>
    <w:rsid w:val="002E62C2"/>
    <w:rsid w:val="002E6537"/>
    <w:rsid w:val="002E68A0"/>
    <w:rsid w:val="002E6E4D"/>
    <w:rsid w:val="002E74C5"/>
    <w:rsid w:val="002E7622"/>
    <w:rsid w:val="002E76A1"/>
    <w:rsid w:val="002E78C0"/>
    <w:rsid w:val="002E7903"/>
    <w:rsid w:val="002E7F35"/>
    <w:rsid w:val="002F0066"/>
    <w:rsid w:val="002F0103"/>
    <w:rsid w:val="002F033F"/>
    <w:rsid w:val="002F04D2"/>
    <w:rsid w:val="002F0999"/>
    <w:rsid w:val="002F1215"/>
    <w:rsid w:val="002F19BD"/>
    <w:rsid w:val="002F1DE0"/>
    <w:rsid w:val="002F208E"/>
    <w:rsid w:val="002F2297"/>
    <w:rsid w:val="002F2494"/>
    <w:rsid w:val="002F256E"/>
    <w:rsid w:val="002F29CE"/>
    <w:rsid w:val="002F33EF"/>
    <w:rsid w:val="002F3CF3"/>
    <w:rsid w:val="002F3E6E"/>
    <w:rsid w:val="002F4153"/>
    <w:rsid w:val="002F41C9"/>
    <w:rsid w:val="002F527C"/>
    <w:rsid w:val="002F6184"/>
    <w:rsid w:val="002F62B4"/>
    <w:rsid w:val="002F6350"/>
    <w:rsid w:val="002F661E"/>
    <w:rsid w:val="002F6674"/>
    <w:rsid w:val="002F69B8"/>
    <w:rsid w:val="002F6EFC"/>
    <w:rsid w:val="002F6F7D"/>
    <w:rsid w:val="002F7350"/>
    <w:rsid w:val="002F7821"/>
    <w:rsid w:val="002F7E94"/>
    <w:rsid w:val="002F7F22"/>
    <w:rsid w:val="00300491"/>
    <w:rsid w:val="0030084E"/>
    <w:rsid w:val="003011F1"/>
    <w:rsid w:val="00301AFD"/>
    <w:rsid w:val="00301D6A"/>
    <w:rsid w:val="0030201D"/>
    <w:rsid w:val="003025EA"/>
    <w:rsid w:val="003026FA"/>
    <w:rsid w:val="0030271F"/>
    <w:rsid w:val="00303908"/>
    <w:rsid w:val="00304718"/>
    <w:rsid w:val="00304D88"/>
    <w:rsid w:val="00306095"/>
    <w:rsid w:val="003060A6"/>
    <w:rsid w:val="00306A55"/>
    <w:rsid w:val="00307070"/>
    <w:rsid w:val="00307B02"/>
    <w:rsid w:val="00307E9E"/>
    <w:rsid w:val="0031008D"/>
    <w:rsid w:val="00310093"/>
    <w:rsid w:val="003103D8"/>
    <w:rsid w:val="00310F70"/>
    <w:rsid w:val="0031134A"/>
    <w:rsid w:val="00311385"/>
    <w:rsid w:val="00311682"/>
    <w:rsid w:val="003117A2"/>
    <w:rsid w:val="00311E5F"/>
    <w:rsid w:val="0031276C"/>
    <w:rsid w:val="003129ED"/>
    <w:rsid w:val="00313019"/>
    <w:rsid w:val="003138BF"/>
    <w:rsid w:val="00313EF8"/>
    <w:rsid w:val="00313F2C"/>
    <w:rsid w:val="0031422B"/>
    <w:rsid w:val="0031432E"/>
    <w:rsid w:val="0031481B"/>
    <w:rsid w:val="00314D32"/>
    <w:rsid w:val="0031502E"/>
    <w:rsid w:val="00315390"/>
    <w:rsid w:val="00316212"/>
    <w:rsid w:val="003165D1"/>
    <w:rsid w:val="0031666A"/>
    <w:rsid w:val="003168DE"/>
    <w:rsid w:val="00316A81"/>
    <w:rsid w:val="00316B91"/>
    <w:rsid w:val="00317361"/>
    <w:rsid w:val="003173E9"/>
    <w:rsid w:val="00320163"/>
    <w:rsid w:val="0032061A"/>
    <w:rsid w:val="00320B84"/>
    <w:rsid w:val="00320F13"/>
    <w:rsid w:val="00321137"/>
    <w:rsid w:val="00321432"/>
    <w:rsid w:val="00321C6A"/>
    <w:rsid w:val="0032232E"/>
    <w:rsid w:val="00322519"/>
    <w:rsid w:val="003229AA"/>
    <w:rsid w:val="00322E72"/>
    <w:rsid w:val="00323573"/>
    <w:rsid w:val="00323741"/>
    <w:rsid w:val="0032378F"/>
    <w:rsid w:val="003238EA"/>
    <w:rsid w:val="00323911"/>
    <w:rsid w:val="003243BF"/>
    <w:rsid w:val="003248D7"/>
    <w:rsid w:val="00325329"/>
    <w:rsid w:val="003255E2"/>
    <w:rsid w:val="003256BD"/>
    <w:rsid w:val="0032582F"/>
    <w:rsid w:val="00325A07"/>
    <w:rsid w:val="00325A4B"/>
    <w:rsid w:val="00325A82"/>
    <w:rsid w:val="00325E31"/>
    <w:rsid w:val="00326E5A"/>
    <w:rsid w:val="00327C3C"/>
    <w:rsid w:val="00330022"/>
    <w:rsid w:val="00330053"/>
    <w:rsid w:val="00330260"/>
    <w:rsid w:val="0033045E"/>
    <w:rsid w:val="003308CC"/>
    <w:rsid w:val="00330AC3"/>
    <w:rsid w:val="00330D0D"/>
    <w:rsid w:val="00330E58"/>
    <w:rsid w:val="00330F1A"/>
    <w:rsid w:val="00331510"/>
    <w:rsid w:val="00331640"/>
    <w:rsid w:val="0033193A"/>
    <w:rsid w:val="00331AD3"/>
    <w:rsid w:val="00331C4C"/>
    <w:rsid w:val="0033221E"/>
    <w:rsid w:val="00332659"/>
    <w:rsid w:val="003326C4"/>
    <w:rsid w:val="00332719"/>
    <w:rsid w:val="0033294A"/>
    <w:rsid w:val="003329E1"/>
    <w:rsid w:val="00332C27"/>
    <w:rsid w:val="00332D51"/>
    <w:rsid w:val="003330D1"/>
    <w:rsid w:val="003332CD"/>
    <w:rsid w:val="00333B96"/>
    <w:rsid w:val="00333C8E"/>
    <w:rsid w:val="0033440A"/>
    <w:rsid w:val="003344E5"/>
    <w:rsid w:val="003345A8"/>
    <w:rsid w:val="00334B11"/>
    <w:rsid w:val="00334B9B"/>
    <w:rsid w:val="00335195"/>
    <w:rsid w:val="003357E2"/>
    <w:rsid w:val="00335867"/>
    <w:rsid w:val="003358B2"/>
    <w:rsid w:val="00335C09"/>
    <w:rsid w:val="00335D3B"/>
    <w:rsid w:val="00335E01"/>
    <w:rsid w:val="0033627A"/>
    <w:rsid w:val="00336358"/>
    <w:rsid w:val="00336549"/>
    <w:rsid w:val="00336CBF"/>
    <w:rsid w:val="003379A6"/>
    <w:rsid w:val="00337C65"/>
    <w:rsid w:val="00337EC9"/>
    <w:rsid w:val="0034008C"/>
    <w:rsid w:val="0034024D"/>
    <w:rsid w:val="00340624"/>
    <w:rsid w:val="00341B08"/>
    <w:rsid w:val="003425BD"/>
    <w:rsid w:val="00342DC3"/>
    <w:rsid w:val="00342E21"/>
    <w:rsid w:val="003434ED"/>
    <w:rsid w:val="003435AE"/>
    <w:rsid w:val="0034375F"/>
    <w:rsid w:val="00343DA3"/>
    <w:rsid w:val="003449D3"/>
    <w:rsid w:val="003449E4"/>
    <w:rsid w:val="003452E4"/>
    <w:rsid w:val="003462FA"/>
    <w:rsid w:val="00346B73"/>
    <w:rsid w:val="00346F78"/>
    <w:rsid w:val="00346FDC"/>
    <w:rsid w:val="00347598"/>
    <w:rsid w:val="00350974"/>
    <w:rsid w:val="00350CDE"/>
    <w:rsid w:val="00351C30"/>
    <w:rsid w:val="003533BB"/>
    <w:rsid w:val="0035360F"/>
    <w:rsid w:val="0035454F"/>
    <w:rsid w:val="00354775"/>
    <w:rsid w:val="00354B1F"/>
    <w:rsid w:val="0035512D"/>
    <w:rsid w:val="003552E3"/>
    <w:rsid w:val="00355543"/>
    <w:rsid w:val="003557FE"/>
    <w:rsid w:val="0035647B"/>
    <w:rsid w:val="0035660B"/>
    <w:rsid w:val="00356678"/>
    <w:rsid w:val="00356A56"/>
    <w:rsid w:val="00357731"/>
    <w:rsid w:val="00357861"/>
    <w:rsid w:val="00357E29"/>
    <w:rsid w:val="00357F2B"/>
    <w:rsid w:val="0036007F"/>
    <w:rsid w:val="00360522"/>
    <w:rsid w:val="00360CDF"/>
    <w:rsid w:val="00361459"/>
    <w:rsid w:val="0036155F"/>
    <w:rsid w:val="00361587"/>
    <w:rsid w:val="003616DC"/>
    <w:rsid w:val="00361EFE"/>
    <w:rsid w:val="00361FF1"/>
    <w:rsid w:val="00362206"/>
    <w:rsid w:val="003629AA"/>
    <w:rsid w:val="00362A14"/>
    <w:rsid w:val="00362ADB"/>
    <w:rsid w:val="00362BD2"/>
    <w:rsid w:val="0036374C"/>
    <w:rsid w:val="003638FC"/>
    <w:rsid w:val="0036402D"/>
    <w:rsid w:val="00364974"/>
    <w:rsid w:val="00364F77"/>
    <w:rsid w:val="0036508D"/>
    <w:rsid w:val="003654DE"/>
    <w:rsid w:val="00366010"/>
    <w:rsid w:val="0036680B"/>
    <w:rsid w:val="003701F3"/>
    <w:rsid w:val="00370736"/>
    <w:rsid w:val="00370BCB"/>
    <w:rsid w:val="00371980"/>
    <w:rsid w:val="00371AFD"/>
    <w:rsid w:val="00371E8D"/>
    <w:rsid w:val="00372075"/>
    <w:rsid w:val="003720C3"/>
    <w:rsid w:val="00373B2B"/>
    <w:rsid w:val="00373C63"/>
    <w:rsid w:val="003740A7"/>
    <w:rsid w:val="00374F4D"/>
    <w:rsid w:val="00375205"/>
    <w:rsid w:val="003752F8"/>
    <w:rsid w:val="0037544D"/>
    <w:rsid w:val="0037562A"/>
    <w:rsid w:val="003759A1"/>
    <w:rsid w:val="0037663F"/>
    <w:rsid w:val="00376C4D"/>
    <w:rsid w:val="00376F33"/>
    <w:rsid w:val="00377163"/>
    <w:rsid w:val="0037784F"/>
    <w:rsid w:val="003778BF"/>
    <w:rsid w:val="00377CC3"/>
    <w:rsid w:val="0038003C"/>
    <w:rsid w:val="0038021A"/>
    <w:rsid w:val="003804B1"/>
    <w:rsid w:val="00380B40"/>
    <w:rsid w:val="00380C34"/>
    <w:rsid w:val="003810CB"/>
    <w:rsid w:val="00381499"/>
    <w:rsid w:val="003814BE"/>
    <w:rsid w:val="00381A77"/>
    <w:rsid w:val="00381BB7"/>
    <w:rsid w:val="00382209"/>
    <w:rsid w:val="003824CD"/>
    <w:rsid w:val="00382971"/>
    <w:rsid w:val="0038310F"/>
    <w:rsid w:val="003833BB"/>
    <w:rsid w:val="0038382E"/>
    <w:rsid w:val="00383D45"/>
    <w:rsid w:val="00384133"/>
    <w:rsid w:val="003841B0"/>
    <w:rsid w:val="00384A31"/>
    <w:rsid w:val="00384AE6"/>
    <w:rsid w:val="00384BF4"/>
    <w:rsid w:val="003857EE"/>
    <w:rsid w:val="003858E8"/>
    <w:rsid w:val="00385C12"/>
    <w:rsid w:val="00385E66"/>
    <w:rsid w:val="003867CA"/>
    <w:rsid w:val="00386F37"/>
    <w:rsid w:val="003871FF"/>
    <w:rsid w:val="00387E03"/>
    <w:rsid w:val="00387E72"/>
    <w:rsid w:val="0039065F"/>
    <w:rsid w:val="003907F5"/>
    <w:rsid w:val="00390AE3"/>
    <w:rsid w:val="003911F8"/>
    <w:rsid w:val="00391460"/>
    <w:rsid w:val="003916D3"/>
    <w:rsid w:val="00391D16"/>
    <w:rsid w:val="0039271C"/>
    <w:rsid w:val="00392B6F"/>
    <w:rsid w:val="00392CC9"/>
    <w:rsid w:val="00392FC5"/>
    <w:rsid w:val="003931BE"/>
    <w:rsid w:val="0039343F"/>
    <w:rsid w:val="0039404F"/>
    <w:rsid w:val="00394BBB"/>
    <w:rsid w:val="00394CED"/>
    <w:rsid w:val="0039503E"/>
    <w:rsid w:val="00395904"/>
    <w:rsid w:val="00395CD8"/>
    <w:rsid w:val="00396893"/>
    <w:rsid w:val="0039723A"/>
    <w:rsid w:val="0039729C"/>
    <w:rsid w:val="003A0ADA"/>
    <w:rsid w:val="003A0C9E"/>
    <w:rsid w:val="003A0D3F"/>
    <w:rsid w:val="003A116D"/>
    <w:rsid w:val="003A1612"/>
    <w:rsid w:val="003A16B6"/>
    <w:rsid w:val="003A17DA"/>
    <w:rsid w:val="003A1DF8"/>
    <w:rsid w:val="003A2097"/>
    <w:rsid w:val="003A215B"/>
    <w:rsid w:val="003A21B5"/>
    <w:rsid w:val="003A2782"/>
    <w:rsid w:val="003A2CFC"/>
    <w:rsid w:val="003A2DEC"/>
    <w:rsid w:val="003A34EC"/>
    <w:rsid w:val="003A3590"/>
    <w:rsid w:val="003A35E6"/>
    <w:rsid w:val="003A3A55"/>
    <w:rsid w:val="003A3AFB"/>
    <w:rsid w:val="003A3E41"/>
    <w:rsid w:val="003A3FBA"/>
    <w:rsid w:val="003A40AD"/>
    <w:rsid w:val="003A415D"/>
    <w:rsid w:val="003A45DB"/>
    <w:rsid w:val="003A4782"/>
    <w:rsid w:val="003A5044"/>
    <w:rsid w:val="003A5102"/>
    <w:rsid w:val="003A57EC"/>
    <w:rsid w:val="003A5EC8"/>
    <w:rsid w:val="003A62B2"/>
    <w:rsid w:val="003A648D"/>
    <w:rsid w:val="003A6EC6"/>
    <w:rsid w:val="003A735D"/>
    <w:rsid w:val="003A7419"/>
    <w:rsid w:val="003A7894"/>
    <w:rsid w:val="003A7A8D"/>
    <w:rsid w:val="003B1AB8"/>
    <w:rsid w:val="003B1BCF"/>
    <w:rsid w:val="003B1C3C"/>
    <w:rsid w:val="003B1D40"/>
    <w:rsid w:val="003B1E57"/>
    <w:rsid w:val="003B27E1"/>
    <w:rsid w:val="003B2AF2"/>
    <w:rsid w:val="003B2EFC"/>
    <w:rsid w:val="003B37AF"/>
    <w:rsid w:val="003B397B"/>
    <w:rsid w:val="003B39F4"/>
    <w:rsid w:val="003B3CE8"/>
    <w:rsid w:val="003B3E04"/>
    <w:rsid w:val="003B3EFC"/>
    <w:rsid w:val="003B4802"/>
    <w:rsid w:val="003B55FC"/>
    <w:rsid w:val="003B5919"/>
    <w:rsid w:val="003B603B"/>
    <w:rsid w:val="003B61A9"/>
    <w:rsid w:val="003B6D33"/>
    <w:rsid w:val="003B6FCA"/>
    <w:rsid w:val="003B71D5"/>
    <w:rsid w:val="003B738A"/>
    <w:rsid w:val="003B7432"/>
    <w:rsid w:val="003B78D9"/>
    <w:rsid w:val="003B7B8D"/>
    <w:rsid w:val="003B7C49"/>
    <w:rsid w:val="003C02BD"/>
    <w:rsid w:val="003C0ACA"/>
    <w:rsid w:val="003C0B45"/>
    <w:rsid w:val="003C0D0B"/>
    <w:rsid w:val="003C13DC"/>
    <w:rsid w:val="003C143B"/>
    <w:rsid w:val="003C1618"/>
    <w:rsid w:val="003C1812"/>
    <w:rsid w:val="003C1B85"/>
    <w:rsid w:val="003C1F67"/>
    <w:rsid w:val="003C2211"/>
    <w:rsid w:val="003C26C0"/>
    <w:rsid w:val="003C2943"/>
    <w:rsid w:val="003C296F"/>
    <w:rsid w:val="003C2A43"/>
    <w:rsid w:val="003C322D"/>
    <w:rsid w:val="003C37BA"/>
    <w:rsid w:val="003C3A7E"/>
    <w:rsid w:val="003C518E"/>
    <w:rsid w:val="003C5E9A"/>
    <w:rsid w:val="003C6515"/>
    <w:rsid w:val="003C7818"/>
    <w:rsid w:val="003C7D4D"/>
    <w:rsid w:val="003D034C"/>
    <w:rsid w:val="003D059F"/>
    <w:rsid w:val="003D19E0"/>
    <w:rsid w:val="003D1CA6"/>
    <w:rsid w:val="003D1D58"/>
    <w:rsid w:val="003D2185"/>
    <w:rsid w:val="003D238D"/>
    <w:rsid w:val="003D2422"/>
    <w:rsid w:val="003D263C"/>
    <w:rsid w:val="003D26A6"/>
    <w:rsid w:val="003D2923"/>
    <w:rsid w:val="003D2BA4"/>
    <w:rsid w:val="003D2E05"/>
    <w:rsid w:val="003D33B7"/>
    <w:rsid w:val="003D34E9"/>
    <w:rsid w:val="003D360B"/>
    <w:rsid w:val="003D38B0"/>
    <w:rsid w:val="003D3A18"/>
    <w:rsid w:val="003D3AB2"/>
    <w:rsid w:val="003D418B"/>
    <w:rsid w:val="003D47DD"/>
    <w:rsid w:val="003D4C90"/>
    <w:rsid w:val="003D514F"/>
    <w:rsid w:val="003D5522"/>
    <w:rsid w:val="003D561A"/>
    <w:rsid w:val="003D5833"/>
    <w:rsid w:val="003D5C87"/>
    <w:rsid w:val="003D5E46"/>
    <w:rsid w:val="003D5F31"/>
    <w:rsid w:val="003D6329"/>
    <w:rsid w:val="003D6639"/>
    <w:rsid w:val="003D6AA4"/>
    <w:rsid w:val="003D790F"/>
    <w:rsid w:val="003D7C94"/>
    <w:rsid w:val="003D7F18"/>
    <w:rsid w:val="003D7F60"/>
    <w:rsid w:val="003E0201"/>
    <w:rsid w:val="003E19EE"/>
    <w:rsid w:val="003E229A"/>
    <w:rsid w:val="003E2319"/>
    <w:rsid w:val="003E304D"/>
    <w:rsid w:val="003E365D"/>
    <w:rsid w:val="003E47B2"/>
    <w:rsid w:val="003E4D04"/>
    <w:rsid w:val="003E51DC"/>
    <w:rsid w:val="003E5880"/>
    <w:rsid w:val="003E62AC"/>
    <w:rsid w:val="003E67CB"/>
    <w:rsid w:val="003E6986"/>
    <w:rsid w:val="003E712E"/>
    <w:rsid w:val="003E73C3"/>
    <w:rsid w:val="003E78D6"/>
    <w:rsid w:val="003E7997"/>
    <w:rsid w:val="003E7B7A"/>
    <w:rsid w:val="003E7D52"/>
    <w:rsid w:val="003F00E5"/>
    <w:rsid w:val="003F08BC"/>
    <w:rsid w:val="003F0CC2"/>
    <w:rsid w:val="003F235A"/>
    <w:rsid w:val="003F25BC"/>
    <w:rsid w:val="003F265A"/>
    <w:rsid w:val="003F2786"/>
    <w:rsid w:val="003F2E51"/>
    <w:rsid w:val="003F33F5"/>
    <w:rsid w:val="003F3412"/>
    <w:rsid w:val="003F3A06"/>
    <w:rsid w:val="003F405B"/>
    <w:rsid w:val="003F4084"/>
    <w:rsid w:val="003F40A1"/>
    <w:rsid w:val="003F49A0"/>
    <w:rsid w:val="003F52EC"/>
    <w:rsid w:val="003F578E"/>
    <w:rsid w:val="003F5CFB"/>
    <w:rsid w:val="003F61D0"/>
    <w:rsid w:val="003F6679"/>
    <w:rsid w:val="003F66AF"/>
    <w:rsid w:val="003F68BF"/>
    <w:rsid w:val="003F79DE"/>
    <w:rsid w:val="003F7BC7"/>
    <w:rsid w:val="0040041A"/>
    <w:rsid w:val="004006AC"/>
    <w:rsid w:val="004006CD"/>
    <w:rsid w:val="00400950"/>
    <w:rsid w:val="00400D2F"/>
    <w:rsid w:val="00401204"/>
    <w:rsid w:val="004016C3"/>
    <w:rsid w:val="00401973"/>
    <w:rsid w:val="00401BBA"/>
    <w:rsid w:val="00401BEE"/>
    <w:rsid w:val="00402D91"/>
    <w:rsid w:val="00402DF8"/>
    <w:rsid w:val="004030DD"/>
    <w:rsid w:val="00403974"/>
    <w:rsid w:val="00403D9D"/>
    <w:rsid w:val="004052E6"/>
    <w:rsid w:val="00405A61"/>
    <w:rsid w:val="00405C75"/>
    <w:rsid w:val="00405DE5"/>
    <w:rsid w:val="00405FE0"/>
    <w:rsid w:val="00406261"/>
    <w:rsid w:val="00406977"/>
    <w:rsid w:val="004069A9"/>
    <w:rsid w:val="00407093"/>
    <w:rsid w:val="00407234"/>
    <w:rsid w:val="00407539"/>
    <w:rsid w:val="00407A31"/>
    <w:rsid w:val="00407A6A"/>
    <w:rsid w:val="00407B62"/>
    <w:rsid w:val="00407D41"/>
    <w:rsid w:val="00410321"/>
    <w:rsid w:val="00410585"/>
    <w:rsid w:val="00410C62"/>
    <w:rsid w:val="00410D51"/>
    <w:rsid w:val="00410F36"/>
    <w:rsid w:val="00411160"/>
    <w:rsid w:val="00411480"/>
    <w:rsid w:val="00411722"/>
    <w:rsid w:val="00411805"/>
    <w:rsid w:val="00411829"/>
    <w:rsid w:val="004118F0"/>
    <w:rsid w:val="00411CD9"/>
    <w:rsid w:val="00412042"/>
    <w:rsid w:val="004122E3"/>
    <w:rsid w:val="0041247A"/>
    <w:rsid w:val="00413BBF"/>
    <w:rsid w:val="00413BD9"/>
    <w:rsid w:val="00413C1A"/>
    <w:rsid w:val="0041445A"/>
    <w:rsid w:val="0041449C"/>
    <w:rsid w:val="00414D6B"/>
    <w:rsid w:val="0041506C"/>
    <w:rsid w:val="00415262"/>
    <w:rsid w:val="00415664"/>
    <w:rsid w:val="00415A0D"/>
    <w:rsid w:val="004160B4"/>
    <w:rsid w:val="0041610C"/>
    <w:rsid w:val="00416351"/>
    <w:rsid w:val="004169B5"/>
    <w:rsid w:val="00416B1D"/>
    <w:rsid w:val="00416D55"/>
    <w:rsid w:val="0041701B"/>
    <w:rsid w:val="0041709C"/>
    <w:rsid w:val="0041711F"/>
    <w:rsid w:val="004171D2"/>
    <w:rsid w:val="00417C05"/>
    <w:rsid w:val="00417C98"/>
    <w:rsid w:val="00417D07"/>
    <w:rsid w:val="004202ED"/>
    <w:rsid w:val="004203C4"/>
    <w:rsid w:val="00420A79"/>
    <w:rsid w:val="004222E5"/>
    <w:rsid w:val="0042232E"/>
    <w:rsid w:val="004231D7"/>
    <w:rsid w:val="004238BC"/>
    <w:rsid w:val="00423C45"/>
    <w:rsid w:val="00424108"/>
    <w:rsid w:val="00424259"/>
    <w:rsid w:val="004249EF"/>
    <w:rsid w:val="00424E22"/>
    <w:rsid w:val="0042545D"/>
    <w:rsid w:val="00425D68"/>
    <w:rsid w:val="00425F24"/>
    <w:rsid w:val="00426B6C"/>
    <w:rsid w:val="00426B81"/>
    <w:rsid w:val="00427298"/>
    <w:rsid w:val="004274F9"/>
    <w:rsid w:val="0043008D"/>
    <w:rsid w:val="00430EEF"/>
    <w:rsid w:val="004317E1"/>
    <w:rsid w:val="00431BF8"/>
    <w:rsid w:val="00431CCE"/>
    <w:rsid w:val="00431E3E"/>
    <w:rsid w:val="00432183"/>
    <w:rsid w:val="004324BD"/>
    <w:rsid w:val="004326DA"/>
    <w:rsid w:val="00432753"/>
    <w:rsid w:val="0043321A"/>
    <w:rsid w:val="004333AF"/>
    <w:rsid w:val="00433796"/>
    <w:rsid w:val="00433B31"/>
    <w:rsid w:val="00433DA8"/>
    <w:rsid w:val="004343B2"/>
    <w:rsid w:val="004346CD"/>
    <w:rsid w:val="00435327"/>
    <w:rsid w:val="004353BF"/>
    <w:rsid w:val="004357C0"/>
    <w:rsid w:val="004366F3"/>
    <w:rsid w:val="004367B6"/>
    <w:rsid w:val="004369F8"/>
    <w:rsid w:val="00436A9D"/>
    <w:rsid w:val="00436B22"/>
    <w:rsid w:val="00436CBE"/>
    <w:rsid w:val="00436F89"/>
    <w:rsid w:val="00437819"/>
    <w:rsid w:val="00437E53"/>
    <w:rsid w:val="00440293"/>
    <w:rsid w:val="0044051E"/>
    <w:rsid w:val="004406E5"/>
    <w:rsid w:val="00440A17"/>
    <w:rsid w:val="00440FF4"/>
    <w:rsid w:val="004410A9"/>
    <w:rsid w:val="0044142E"/>
    <w:rsid w:val="00441483"/>
    <w:rsid w:val="0044193D"/>
    <w:rsid w:val="00442004"/>
    <w:rsid w:val="00442EEC"/>
    <w:rsid w:val="00442FD0"/>
    <w:rsid w:val="00443391"/>
    <w:rsid w:val="004434CD"/>
    <w:rsid w:val="00443778"/>
    <w:rsid w:val="00443CFF"/>
    <w:rsid w:val="00443F53"/>
    <w:rsid w:val="004443BA"/>
    <w:rsid w:val="00444740"/>
    <w:rsid w:val="004457F6"/>
    <w:rsid w:val="00445868"/>
    <w:rsid w:val="00445A55"/>
    <w:rsid w:val="00445D4C"/>
    <w:rsid w:val="00445EF3"/>
    <w:rsid w:val="00446412"/>
    <w:rsid w:val="004465DF"/>
    <w:rsid w:val="00446D96"/>
    <w:rsid w:val="0044702B"/>
    <w:rsid w:val="004474F3"/>
    <w:rsid w:val="004477D0"/>
    <w:rsid w:val="00447B82"/>
    <w:rsid w:val="00450D9E"/>
    <w:rsid w:val="00451709"/>
    <w:rsid w:val="0045193D"/>
    <w:rsid w:val="00451E5C"/>
    <w:rsid w:val="00452207"/>
    <w:rsid w:val="004523C6"/>
    <w:rsid w:val="00452DE5"/>
    <w:rsid w:val="00452F2B"/>
    <w:rsid w:val="00453296"/>
    <w:rsid w:val="00453A8E"/>
    <w:rsid w:val="00454DC7"/>
    <w:rsid w:val="00455614"/>
    <w:rsid w:val="00455C96"/>
    <w:rsid w:val="00456B08"/>
    <w:rsid w:val="00456D23"/>
    <w:rsid w:val="00457939"/>
    <w:rsid w:val="00457AAE"/>
    <w:rsid w:val="00457B0E"/>
    <w:rsid w:val="0046060C"/>
    <w:rsid w:val="00461437"/>
    <w:rsid w:val="00461A6E"/>
    <w:rsid w:val="00462292"/>
    <w:rsid w:val="00462993"/>
    <w:rsid w:val="00462A94"/>
    <w:rsid w:val="00462AF6"/>
    <w:rsid w:val="00463B73"/>
    <w:rsid w:val="00463DC8"/>
    <w:rsid w:val="00463E6D"/>
    <w:rsid w:val="004642A9"/>
    <w:rsid w:val="004643F2"/>
    <w:rsid w:val="00464617"/>
    <w:rsid w:val="004650DC"/>
    <w:rsid w:val="00465139"/>
    <w:rsid w:val="00465421"/>
    <w:rsid w:val="0046552D"/>
    <w:rsid w:val="00465DE0"/>
    <w:rsid w:val="00465E3C"/>
    <w:rsid w:val="00465FC5"/>
    <w:rsid w:val="004664DE"/>
    <w:rsid w:val="004668B3"/>
    <w:rsid w:val="00466AFC"/>
    <w:rsid w:val="004674AD"/>
    <w:rsid w:val="00467A9A"/>
    <w:rsid w:val="00467C76"/>
    <w:rsid w:val="00470054"/>
    <w:rsid w:val="0047035F"/>
    <w:rsid w:val="00470DA6"/>
    <w:rsid w:val="00471170"/>
    <w:rsid w:val="0047174D"/>
    <w:rsid w:val="00472148"/>
    <w:rsid w:val="00472DFA"/>
    <w:rsid w:val="00473BF3"/>
    <w:rsid w:val="00473CA3"/>
    <w:rsid w:val="00474302"/>
    <w:rsid w:val="00475024"/>
    <w:rsid w:val="0047504D"/>
    <w:rsid w:val="004757C8"/>
    <w:rsid w:val="00476101"/>
    <w:rsid w:val="00477ADE"/>
    <w:rsid w:val="00477BF0"/>
    <w:rsid w:val="00477CCF"/>
    <w:rsid w:val="00477FA8"/>
    <w:rsid w:val="00480252"/>
    <w:rsid w:val="004804E1"/>
    <w:rsid w:val="0048059D"/>
    <w:rsid w:val="004807C5"/>
    <w:rsid w:val="00480848"/>
    <w:rsid w:val="0048084E"/>
    <w:rsid w:val="00480896"/>
    <w:rsid w:val="004810D3"/>
    <w:rsid w:val="00481226"/>
    <w:rsid w:val="00481532"/>
    <w:rsid w:val="0048182E"/>
    <w:rsid w:val="00481871"/>
    <w:rsid w:val="00481B0A"/>
    <w:rsid w:val="00481C38"/>
    <w:rsid w:val="00482279"/>
    <w:rsid w:val="0048227D"/>
    <w:rsid w:val="00482534"/>
    <w:rsid w:val="00482CEB"/>
    <w:rsid w:val="00483137"/>
    <w:rsid w:val="00483594"/>
    <w:rsid w:val="0048363F"/>
    <w:rsid w:val="00483654"/>
    <w:rsid w:val="00484105"/>
    <w:rsid w:val="004846F2"/>
    <w:rsid w:val="00485118"/>
    <w:rsid w:val="00485392"/>
    <w:rsid w:val="004857AD"/>
    <w:rsid w:val="00485AB1"/>
    <w:rsid w:val="00486186"/>
    <w:rsid w:val="00486292"/>
    <w:rsid w:val="004862F5"/>
    <w:rsid w:val="00486FCA"/>
    <w:rsid w:val="00487B96"/>
    <w:rsid w:val="00487BB1"/>
    <w:rsid w:val="00487BC1"/>
    <w:rsid w:val="0049004C"/>
    <w:rsid w:val="00490652"/>
    <w:rsid w:val="00490EB1"/>
    <w:rsid w:val="00491411"/>
    <w:rsid w:val="00491624"/>
    <w:rsid w:val="00491CF6"/>
    <w:rsid w:val="0049204C"/>
    <w:rsid w:val="00492180"/>
    <w:rsid w:val="004925F3"/>
    <w:rsid w:val="004926FA"/>
    <w:rsid w:val="00492A06"/>
    <w:rsid w:val="00493D1C"/>
    <w:rsid w:val="00494114"/>
    <w:rsid w:val="004945DE"/>
    <w:rsid w:val="00494897"/>
    <w:rsid w:val="00494A2F"/>
    <w:rsid w:val="004952AB"/>
    <w:rsid w:val="004955BC"/>
    <w:rsid w:val="00495D65"/>
    <w:rsid w:val="004969D9"/>
    <w:rsid w:val="00496CA3"/>
    <w:rsid w:val="00497052"/>
    <w:rsid w:val="004972DE"/>
    <w:rsid w:val="00497948"/>
    <w:rsid w:val="004979B2"/>
    <w:rsid w:val="004A0377"/>
    <w:rsid w:val="004A04AB"/>
    <w:rsid w:val="004A0934"/>
    <w:rsid w:val="004A09D7"/>
    <w:rsid w:val="004A0D6F"/>
    <w:rsid w:val="004A10D3"/>
    <w:rsid w:val="004A12A1"/>
    <w:rsid w:val="004A1421"/>
    <w:rsid w:val="004A168A"/>
    <w:rsid w:val="004A1784"/>
    <w:rsid w:val="004A1887"/>
    <w:rsid w:val="004A2340"/>
    <w:rsid w:val="004A26C0"/>
    <w:rsid w:val="004A32B9"/>
    <w:rsid w:val="004A32CE"/>
    <w:rsid w:val="004A3447"/>
    <w:rsid w:val="004A3688"/>
    <w:rsid w:val="004A36A0"/>
    <w:rsid w:val="004A36BF"/>
    <w:rsid w:val="004A3A7C"/>
    <w:rsid w:val="004A3CDD"/>
    <w:rsid w:val="004A45D7"/>
    <w:rsid w:val="004A52DD"/>
    <w:rsid w:val="004A5474"/>
    <w:rsid w:val="004A58A6"/>
    <w:rsid w:val="004A5E23"/>
    <w:rsid w:val="004A5ECF"/>
    <w:rsid w:val="004A6387"/>
    <w:rsid w:val="004A6739"/>
    <w:rsid w:val="004A6894"/>
    <w:rsid w:val="004A68FF"/>
    <w:rsid w:val="004A6AE3"/>
    <w:rsid w:val="004A6BEC"/>
    <w:rsid w:val="004A7237"/>
    <w:rsid w:val="004A7988"/>
    <w:rsid w:val="004A79CB"/>
    <w:rsid w:val="004A7B44"/>
    <w:rsid w:val="004B081E"/>
    <w:rsid w:val="004B08C3"/>
    <w:rsid w:val="004B0E48"/>
    <w:rsid w:val="004B1050"/>
    <w:rsid w:val="004B150E"/>
    <w:rsid w:val="004B1A72"/>
    <w:rsid w:val="004B23D4"/>
    <w:rsid w:val="004B26D9"/>
    <w:rsid w:val="004B2B3E"/>
    <w:rsid w:val="004B2E81"/>
    <w:rsid w:val="004B306B"/>
    <w:rsid w:val="004B36ED"/>
    <w:rsid w:val="004B3CE8"/>
    <w:rsid w:val="004B429F"/>
    <w:rsid w:val="004B4367"/>
    <w:rsid w:val="004B469C"/>
    <w:rsid w:val="004B57F9"/>
    <w:rsid w:val="004B5E7F"/>
    <w:rsid w:val="004B66C7"/>
    <w:rsid w:val="004B6DDB"/>
    <w:rsid w:val="004B6E52"/>
    <w:rsid w:val="004B7105"/>
    <w:rsid w:val="004B72E0"/>
    <w:rsid w:val="004B7490"/>
    <w:rsid w:val="004B7815"/>
    <w:rsid w:val="004C07C8"/>
    <w:rsid w:val="004C0A5D"/>
    <w:rsid w:val="004C0B40"/>
    <w:rsid w:val="004C0C01"/>
    <w:rsid w:val="004C1215"/>
    <w:rsid w:val="004C12C0"/>
    <w:rsid w:val="004C157A"/>
    <w:rsid w:val="004C158F"/>
    <w:rsid w:val="004C17D7"/>
    <w:rsid w:val="004C1A13"/>
    <w:rsid w:val="004C1AB6"/>
    <w:rsid w:val="004C1BDC"/>
    <w:rsid w:val="004C2008"/>
    <w:rsid w:val="004C26E1"/>
    <w:rsid w:val="004C2C83"/>
    <w:rsid w:val="004C311B"/>
    <w:rsid w:val="004C37ED"/>
    <w:rsid w:val="004C3B7F"/>
    <w:rsid w:val="004C4595"/>
    <w:rsid w:val="004C45CA"/>
    <w:rsid w:val="004C45F0"/>
    <w:rsid w:val="004C47EE"/>
    <w:rsid w:val="004C4A8D"/>
    <w:rsid w:val="004C4DBE"/>
    <w:rsid w:val="004C4F41"/>
    <w:rsid w:val="004C513C"/>
    <w:rsid w:val="004C5862"/>
    <w:rsid w:val="004C5CB0"/>
    <w:rsid w:val="004C60CE"/>
    <w:rsid w:val="004C60D8"/>
    <w:rsid w:val="004C6121"/>
    <w:rsid w:val="004C661A"/>
    <w:rsid w:val="004C68B9"/>
    <w:rsid w:val="004C694E"/>
    <w:rsid w:val="004C6DCB"/>
    <w:rsid w:val="004C734E"/>
    <w:rsid w:val="004C7882"/>
    <w:rsid w:val="004C78B6"/>
    <w:rsid w:val="004C7E85"/>
    <w:rsid w:val="004D04A8"/>
    <w:rsid w:val="004D0A6E"/>
    <w:rsid w:val="004D0B67"/>
    <w:rsid w:val="004D10EF"/>
    <w:rsid w:val="004D1B72"/>
    <w:rsid w:val="004D1C98"/>
    <w:rsid w:val="004D1CBF"/>
    <w:rsid w:val="004D1DE6"/>
    <w:rsid w:val="004D1F07"/>
    <w:rsid w:val="004D27B0"/>
    <w:rsid w:val="004D28F6"/>
    <w:rsid w:val="004D2A25"/>
    <w:rsid w:val="004D2AD8"/>
    <w:rsid w:val="004D2DBF"/>
    <w:rsid w:val="004D300A"/>
    <w:rsid w:val="004D3048"/>
    <w:rsid w:val="004D32FE"/>
    <w:rsid w:val="004D397E"/>
    <w:rsid w:val="004D3988"/>
    <w:rsid w:val="004D46D4"/>
    <w:rsid w:val="004D47C4"/>
    <w:rsid w:val="004D52AE"/>
    <w:rsid w:val="004D5390"/>
    <w:rsid w:val="004D5A9F"/>
    <w:rsid w:val="004D5CFF"/>
    <w:rsid w:val="004D6446"/>
    <w:rsid w:val="004D64A4"/>
    <w:rsid w:val="004D6E24"/>
    <w:rsid w:val="004D7034"/>
    <w:rsid w:val="004D721E"/>
    <w:rsid w:val="004D74A2"/>
    <w:rsid w:val="004D74BC"/>
    <w:rsid w:val="004D7C77"/>
    <w:rsid w:val="004D7CF5"/>
    <w:rsid w:val="004E0212"/>
    <w:rsid w:val="004E0EE5"/>
    <w:rsid w:val="004E17BF"/>
    <w:rsid w:val="004E1943"/>
    <w:rsid w:val="004E1999"/>
    <w:rsid w:val="004E1C88"/>
    <w:rsid w:val="004E1DE3"/>
    <w:rsid w:val="004E1E4A"/>
    <w:rsid w:val="004E24F9"/>
    <w:rsid w:val="004E2961"/>
    <w:rsid w:val="004E2D95"/>
    <w:rsid w:val="004E2F70"/>
    <w:rsid w:val="004E30B6"/>
    <w:rsid w:val="004E3708"/>
    <w:rsid w:val="004E3B7A"/>
    <w:rsid w:val="004E3DC3"/>
    <w:rsid w:val="004E4592"/>
    <w:rsid w:val="004E4764"/>
    <w:rsid w:val="004E4D97"/>
    <w:rsid w:val="004E52D0"/>
    <w:rsid w:val="004E5B1E"/>
    <w:rsid w:val="004E60E7"/>
    <w:rsid w:val="004E6638"/>
    <w:rsid w:val="004E6DE7"/>
    <w:rsid w:val="004E6E09"/>
    <w:rsid w:val="004E785D"/>
    <w:rsid w:val="004F028F"/>
    <w:rsid w:val="004F039A"/>
    <w:rsid w:val="004F05BF"/>
    <w:rsid w:val="004F0D25"/>
    <w:rsid w:val="004F0E1A"/>
    <w:rsid w:val="004F19D5"/>
    <w:rsid w:val="004F21E8"/>
    <w:rsid w:val="004F26D6"/>
    <w:rsid w:val="004F2D23"/>
    <w:rsid w:val="004F2D30"/>
    <w:rsid w:val="004F3656"/>
    <w:rsid w:val="004F3AAE"/>
    <w:rsid w:val="004F46F6"/>
    <w:rsid w:val="004F4789"/>
    <w:rsid w:val="004F4D42"/>
    <w:rsid w:val="004F5A9A"/>
    <w:rsid w:val="004F5EA1"/>
    <w:rsid w:val="004F6084"/>
    <w:rsid w:val="004F6151"/>
    <w:rsid w:val="004F61DD"/>
    <w:rsid w:val="004F6298"/>
    <w:rsid w:val="004F6590"/>
    <w:rsid w:val="004F6661"/>
    <w:rsid w:val="004F6A5D"/>
    <w:rsid w:val="004F7F24"/>
    <w:rsid w:val="005001BC"/>
    <w:rsid w:val="005005D5"/>
    <w:rsid w:val="00500852"/>
    <w:rsid w:val="00500980"/>
    <w:rsid w:val="0050139E"/>
    <w:rsid w:val="005014D4"/>
    <w:rsid w:val="00501589"/>
    <w:rsid w:val="005015DE"/>
    <w:rsid w:val="00501611"/>
    <w:rsid w:val="0050205A"/>
    <w:rsid w:val="0050255C"/>
    <w:rsid w:val="005027FB"/>
    <w:rsid w:val="00502B44"/>
    <w:rsid w:val="00502B63"/>
    <w:rsid w:val="00502DA6"/>
    <w:rsid w:val="00503348"/>
    <w:rsid w:val="00503507"/>
    <w:rsid w:val="0050368D"/>
    <w:rsid w:val="00503A57"/>
    <w:rsid w:val="00503DE7"/>
    <w:rsid w:val="005040D0"/>
    <w:rsid w:val="0050452F"/>
    <w:rsid w:val="00504705"/>
    <w:rsid w:val="0050489C"/>
    <w:rsid w:val="005049F8"/>
    <w:rsid w:val="0050537E"/>
    <w:rsid w:val="0050538A"/>
    <w:rsid w:val="00505AA4"/>
    <w:rsid w:val="00505C76"/>
    <w:rsid w:val="00505E7F"/>
    <w:rsid w:val="005062F3"/>
    <w:rsid w:val="00506423"/>
    <w:rsid w:val="00506502"/>
    <w:rsid w:val="00506700"/>
    <w:rsid w:val="005067D7"/>
    <w:rsid w:val="00506D89"/>
    <w:rsid w:val="00506EA2"/>
    <w:rsid w:val="00507339"/>
    <w:rsid w:val="0050765A"/>
    <w:rsid w:val="00507802"/>
    <w:rsid w:val="0050780A"/>
    <w:rsid w:val="00507B7E"/>
    <w:rsid w:val="00510278"/>
    <w:rsid w:val="00510B28"/>
    <w:rsid w:val="005111D9"/>
    <w:rsid w:val="00511526"/>
    <w:rsid w:val="00511879"/>
    <w:rsid w:val="00511D81"/>
    <w:rsid w:val="00511F0D"/>
    <w:rsid w:val="00512450"/>
    <w:rsid w:val="005129BE"/>
    <w:rsid w:val="0051311D"/>
    <w:rsid w:val="00513F9A"/>
    <w:rsid w:val="00513FB0"/>
    <w:rsid w:val="0051419D"/>
    <w:rsid w:val="00514B4B"/>
    <w:rsid w:val="00515879"/>
    <w:rsid w:val="00515A46"/>
    <w:rsid w:val="00516392"/>
    <w:rsid w:val="005167A6"/>
    <w:rsid w:val="00516919"/>
    <w:rsid w:val="00516C6E"/>
    <w:rsid w:val="00516FA7"/>
    <w:rsid w:val="00517611"/>
    <w:rsid w:val="00517A30"/>
    <w:rsid w:val="00517DAC"/>
    <w:rsid w:val="00520464"/>
    <w:rsid w:val="00520658"/>
    <w:rsid w:val="00520801"/>
    <w:rsid w:val="00520937"/>
    <w:rsid w:val="005213D2"/>
    <w:rsid w:val="005214C1"/>
    <w:rsid w:val="00521DF9"/>
    <w:rsid w:val="0052269B"/>
    <w:rsid w:val="00522F23"/>
    <w:rsid w:val="00523A7B"/>
    <w:rsid w:val="00523D89"/>
    <w:rsid w:val="005245F1"/>
    <w:rsid w:val="0052488F"/>
    <w:rsid w:val="00524E83"/>
    <w:rsid w:val="00524F14"/>
    <w:rsid w:val="00524F7D"/>
    <w:rsid w:val="005250FA"/>
    <w:rsid w:val="00525159"/>
    <w:rsid w:val="005251B1"/>
    <w:rsid w:val="00525AC8"/>
    <w:rsid w:val="005275EA"/>
    <w:rsid w:val="005279EF"/>
    <w:rsid w:val="00527C52"/>
    <w:rsid w:val="00527FBD"/>
    <w:rsid w:val="0053033D"/>
    <w:rsid w:val="00531256"/>
    <w:rsid w:val="0053129E"/>
    <w:rsid w:val="00531825"/>
    <w:rsid w:val="005319E4"/>
    <w:rsid w:val="005319ED"/>
    <w:rsid w:val="0053256A"/>
    <w:rsid w:val="00532D47"/>
    <w:rsid w:val="00532DF5"/>
    <w:rsid w:val="00533045"/>
    <w:rsid w:val="00533752"/>
    <w:rsid w:val="00534028"/>
    <w:rsid w:val="00534962"/>
    <w:rsid w:val="00534D96"/>
    <w:rsid w:val="00534F27"/>
    <w:rsid w:val="00535595"/>
    <w:rsid w:val="005357F4"/>
    <w:rsid w:val="005361B7"/>
    <w:rsid w:val="00536759"/>
    <w:rsid w:val="005368E5"/>
    <w:rsid w:val="00536924"/>
    <w:rsid w:val="005369C6"/>
    <w:rsid w:val="0053754B"/>
    <w:rsid w:val="005378EC"/>
    <w:rsid w:val="00537C46"/>
    <w:rsid w:val="0054019E"/>
    <w:rsid w:val="005404FD"/>
    <w:rsid w:val="00540E5D"/>
    <w:rsid w:val="00540FC7"/>
    <w:rsid w:val="00540FED"/>
    <w:rsid w:val="0054127D"/>
    <w:rsid w:val="0054145F"/>
    <w:rsid w:val="00541AE3"/>
    <w:rsid w:val="00541CD6"/>
    <w:rsid w:val="005425EE"/>
    <w:rsid w:val="00542619"/>
    <w:rsid w:val="0054340F"/>
    <w:rsid w:val="005439DD"/>
    <w:rsid w:val="00543C31"/>
    <w:rsid w:val="00544472"/>
    <w:rsid w:val="005445B4"/>
    <w:rsid w:val="00545194"/>
    <w:rsid w:val="0054598B"/>
    <w:rsid w:val="0054620A"/>
    <w:rsid w:val="0054630B"/>
    <w:rsid w:val="00546A86"/>
    <w:rsid w:val="00546C47"/>
    <w:rsid w:val="005470AA"/>
    <w:rsid w:val="0054766D"/>
    <w:rsid w:val="00550BB9"/>
    <w:rsid w:val="00551068"/>
    <w:rsid w:val="00551FA2"/>
    <w:rsid w:val="0055207B"/>
    <w:rsid w:val="00552424"/>
    <w:rsid w:val="0055248C"/>
    <w:rsid w:val="005527D3"/>
    <w:rsid w:val="00552E86"/>
    <w:rsid w:val="00553070"/>
    <w:rsid w:val="005535CF"/>
    <w:rsid w:val="005537E6"/>
    <w:rsid w:val="00553DD5"/>
    <w:rsid w:val="00553E01"/>
    <w:rsid w:val="0055416A"/>
    <w:rsid w:val="005545C9"/>
    <w:rsid w:val="00554F36"/>
    <w:rsid w:val="0055501A"/>
    <w:rsid w:val="005555EB"/>
    <w:rsid w:val="00555908"/>
    <w:rsid w:val="0055605C"/>
    <w:rsid w:val="0055628D"/>
    <w:rsid w:val="0055630E"/>
    <w:rsid w:val="005568C5"/>
    <w:rsid w:val="00556CB4"/>
    <w:rsid w:val="00556CC9"/>
    <w:rsid w:val="00556F47"/>
    <w:rsid w:val="00557C2A"/>
    <w:rsid w:val="00557E9D"/>
    <w:rsid w:val="0056013A"/>
    <w:rsid w:val="00560FF4"/>
    <w:rsid w:val="005610FA"/>
    <w:rsid w:val="00561381"/>
    <w:rsid w:val="005613F4"/>
    <w:rsid w:val="00561554"/>
    <w:rsid w:val="005615CF"/>
    <w:rsid w:val="005616B0"/>
    <w:rsid w:val="00561970"/>
    <w:rsid w:val="0056225C"/>
    <w:rsid w:val="00562779"/>
    <w:rsid w:val="00562DD3"/>
    <w:rsid w:val="00562F97"/>
    <w:rsid w:val="0056303C"/>
    <w:rsid w:val="00563175"/>
    <w:rsid w:val="00563262"/>
    <w:rsid w:val="005632C0"/>
    <w:rsid w:val="0056359F"/>
    <w:rsid w:val="00563FD7"/>
    <w:rsid w:val="00564CA6"/>
    <w:rsid w:val="00565124"/>
    <w:rsid w:val="00565373"/>
    <w:rsid w:val="0056548E"/>
    <w:rsid w:val="005659FF"/>
    <w:rsid w:val="00565AB3"/>
    <w:rsid w:val="00566012"/>
    <w:rsid w:val="005661B4"/>
    <w:rsid w:val="00566918"/>
    <w:rsid w:val="0056692A"/>
    <w:rsid w:val="00566A0E"/>
    <w:rsid w:val="00566A61"/>
    <w:rsid w:val="00566A62"/>
    <w:rsid w:val="00566C47"/>
    <w:rsid w:val="00567E9B"/>
    <w:rsid w:val="00567ED2"/>
    <w:rsid w:val="00570641"/>
    <w:rsid w:val="0057117D"/>
    <w:rsid w:val="005716BD"/>
    <w:rsid w:val="00571D58"/>
    <w:rsid w:val="00571DB5"/>
    <w:rsid w:val="00571F1D"/>
    <w:rsid w:val="0057216B"/>
    <w:rsid w:val="005723EF"/>
    <w:rsid w:val="0057323C"/>
    <w:rsid w:val="0057346C"/>
    <w:rsid w:val="0057348A"/>
    <w:rsid w:val="0057386E"/>
    <w:rsid w:val="00573C08"/>
    <w:rsid w:val="005745FC"/>
    <w:rsid w:val="005749D2"/>
    <w:rsid w:val="00574F6E"/>
    <w:rsid w:val="0057615E"/>
    <w:rsid w:val="005767AC"/>
    <w:rsid w:val="005767C5"/>
    <w:rsid w:val="0057696E"/>
    <w:rsid w:val="00576A57"/>
    <w:rsid w:val="00577265"/>
    <w:rsid w:val="005774D7"/>
    <w:rsid w:val="00577B07"/>
    <w:rsid w:val="00577EFA"/>
    <w:rsid w:val="0058044E"/>
    <w:rsid w:val="005804A2"/>
    <w:rsid w:val="005804A8"/>
    <w:rsid w:val="005807CA"/>
    <w:rsid w:val="00580E78"/>
    <w:rsid w:val="005821C7"/>
    <w:rsid w:val="0058339E"/>
    <w:rsid w:val="00584224"/>
    <w:rsid w:val="0058454B"/>
    <w:rsid w:val="00584DA7"/>
    <w:rsid w:val="0058529F"/>
    <w:rsid w:val="0058532F"/>
    <w:rsid w:val="00585539"/>
    <w:rsid w:val="00586372"/>
    <w:rsid w:val="00586848"/>
    <w:rsid w:val="00587118"/>
    <w:rsid w:val="0058758E"/>
    <w:rsid w:val="005875A1"/>
    <w:rsid w:val="0058766C"/>
    <w:rsid w:val="00587701"/>
    <w:rsid w:val="00587D4C"/>
    <w:rsid w:val="00587ECA"/>
    <w:rsid w:val="00590024"/>
    <w:rsid w:val="005905BE"/>
    <w:rsid w:val="00590691"/>
    <w:rsid w:val="005918F6"/>
    <w:rsid w:val="00591D4D"/>
    <w:rsid w:val="00592373"/>
    <w:rsid w:val="00592B6E"/>
    <w:rsid w:val="00592E0A"/>
    <w:rsid w:val="00592E89"/>
    <w:rsid w:val="00592FC2"/>
    <w:rsid w:val="00593D27"/>
    <w:rsid w:val="00593E22"/>
    <w:rsid w:val="00593F89"/>
    <w:rsid w:val="00594911"/>
    <w:rsid w:val="00594A14"/>
    <w:rsid w:val="00595437"/>
    <w:rsid w:val="005954DA"/>
    <w:rsid w:val="00595728"/>
    <w:rsid w:val="005957B5"/>
    <w:rsid w:val="005957E4"/>
    <w:rsid w:val="00595E89"/>
    <w:rsid w:val="00596053"/>
    <w:rsid w:val="00596115"/>
    <w:rsid w:val="005968BE"/>
    <w:rsid w:val="00596967"/>
    <w:rsid w:val="0059735A"/>
    <w:rsid w:val="005A032D"/>
    <w:rsid w:val="005A058D"/>
    <w:rsid w:val="005A0659"/>
    <w:rsid w:val="005A0983"/>
    <w:rsid w:val="005A0C44"/>
    <w:rsid w:val="005A10E0"/>
    <w:rsid w:val="005A1174"/>
    <w:rsid w:val="005A1429"/>
    <w:rsid w:val="005A17B6"/>
    <w:rsid w:val="005A18D6"/>
    <w:rsid w:val="005A1B7B"/>
    <w:rsid w:val="005A1D38"/>
    <w:rsid w:val="005A1E9C"/>
    <w:rsid w:val="005A224E"/>
    <w:rsid w:val="005A2998"/>
    <w:rsid w:val="005A2E84"/>
    <w:rsid w:val="005A3233"/>
    <w:rsid w:val="005A330A"/>
    <w:rsid w:val="005A35A7"/>
    <w:rsid w:val="005A3B82"/>
    <w:rsid w:val="005A4BED"/>
    <w:rsid w:val="005A4EFE"/>
    <w:rsid w:val="005A52A0"/>
    <w:rsid w:val="005A56D1"/>
    <w:rsid w:val="005A5D88"/>
    <w:rsid w:val="005A65D6"/>
    <w:rsid w:val="005A74FB"/>
    <w:rsid w:val="005A7749"/>
    <w:rsid w:val="005B01CA"/>
    <w:rsid w:val="005B0648"/>
    <w:rsid w:val="005B0BB1"/>
    <w:rsid w:val="005B107F"/>
    <w:rsid w:val="005B1A46"/>
    <w:rsid w:val="005B1AD3"/>
    <w:rsid w:val="005B1ED6"/>
    <w:rsid w:val="005B2093"/>
    <w:rsid w:val="005B2DEB"/>
    <w:rsid w:val="005B2E77"/>
    <w:rsid w:val="005B30E9"/>
    <w:rsid w:val="005B3CDE"/>
    <w:rsid w:val="005B3DCE"/>
    <w:rsid w:val="005B40AE"/>
    <w:rsid w:val="005B41C9"/>
    <w:rsid w:val="005B41F8"/>
    <w:rsid w:val="005B42F6"/>
    <w:rsid w:val="005B4D10"/>
    <w:rsid w:val="005B4F7E"/>
    <w:rsid w:val="005B52E1"/>
    <w:rsid w:val="005B55D5"/>
    <w:rsid w:val="005B635A"/>
    <w:rsid w:val="005B65E3"/>
    <w:rsid w:val="005B6655"/>
    <w:rsid w:val="005B6C8C"/>
    <w:rsid w:val="005B70DC"/>
    <w:rsid w:val="005B7198"/>
    <w:rsid w:val="005B7546"/>
    <w:rsid w:val="005B7B95"/>
    <w:rsid w:val="005B7FEF"/>
    <w:rsid w:val="005C01F0"/>
    <w:rsid w:val="005C0394"/>
    <w:rsid w:val="005C0550"/>
    <w:rsid w:val="005C05D4"/>
    <w:rsid w:val="005C08FF"/>
    <w:rsid w:val="005C0AA9"/>
    <w:rsid w:val="005C0C70"/>
    <w:rsid w:val="005C1694"/>
    <w:rsid w:val="005C1960"/>
    <w:rsid w:val="005C1F59"/>
    <w:rsid w:val="005C2143"/>
    <w:rsid w:val="005C244E"/>
    <w:rsid w:val="005C2851"/>
    <w:rsid w:val="005C2B98"/>
    <w:rsid w:val="005C3185"/>
    <w:rsid w:val="005C3777"/>
    <w:rsid w:val="005C3A98"/>
    <w:rsid w:val="005C3FFA"/>
    <w:rsid w:val="005C40C2"/>
    <w:rsid w:val="005C461E"/>
    <w:rsid w:val="005C4924"/>
    <w:rsid w:val="005C4FA5"/>
    <w:rsid w:val="005C570E"/>
    <w:rsid w:val="005C5A8B"/>
    <w:rsid w:val="005C5BF2"/>
    <w:rsid w:val="005C680F"/>
    <w:rsid w:val="005C686D"/>
    <w:rsid w:val="005C730D"/>
    <w:rsid w:val="005C7D9E"/>
    <w:rsid w:val="005D0112"/>
    <w:rsid w:val="005D0361"/>
    <w:rsid w:val="005D04E0"/>
    <w:rsid w:val="005D0A30"/>
    <w:rsid w:val="005D0F6C"/>
    <w:rsid w:val="005D109B"/>
    <w:rsid w:val="005D17FD"/>
    <w:rsid w:val="005D1960"/>
    <w:rsid w:val="005D2202"/>
    <w:rsid w:val="005D2463"/>
    <w:rsid w:val="005D2E09"/>
    <w:rsid w:val="005D479B"/>
    <w:rsid w:val="005D4853"/>
    <w:rsid w:val="005D49DC"/>
    <w:rsid w:val="005D4A3E"/>
    <w:rsid w:val="005D54F3"/>
    <w:rsid w:val="005D555F"/>
    <w:rsid w:val="005D588E"/>
    <w:rsid w:val="005D5F13"/>
    <w:rsid w:val="005D623F"/>
    <w:rsid w:val="005D62EC"/>
    <w:rsid w:val="005D62EE"/>
    <w:rsid w:val="005D6445"/>
    <w:rsid w:val="005D65C8"/>
    <w:rsid w:val="005D6779"/>
    <w:rsid w:val="005D678B"/>
    <w:rsid w:val="005D681E"/>
    <w:rsid w:val="005D6DD0"/>
    <w:rsid w:val="005D7039"/>
    <w:rsid w:val="005D75BD"/>
    <w:rsid w:val="005D769F"/>
    <w:rsid w:val="005E0134"/>
    <w:rsid w:val="005E0549"/>
    <w:rsid w:val="005E0F75"/>
    <w:rsid w:val="005E1152"/>
    <w:rsid w:val="005E1193"/>
    <w:rsid w:val="005E13A7"/>
    <w:rsid w:val="005E2F30"/>
    <w:rsid w:val="005E3E76"/>
    <w:rsid w:val="005E40AB"/>
    <w:rsid w:val="005E498D"/>
    <w:rsid w:val="005E4A65"/>
    <w:rsid w:val="005E4A75"/>
    <w:rsid w:val="005E4AFE"/>
    <w:rsid w:val="005E4FF2"/>
    <w:rsid w:val="005E5826"/>
    <w:rsid w:val="005E5B59"/>
    <w:rsid w:val="005E5DCE"/>
    <w:rsid w:val="005E62F3"/>
    <w:rsid w:val="005E667E"/>
    <w:rsid w:val="005E6F06"/>
    <w:rsid w:val="005E7057"/>
    <w:rsid w:val="005E78D0"/>
    <w:rsid w:val="005E7978"/>
    <w:rsid w:val="005E7BE8"/>
    <w:rsid w:val="005F02F3"/>
    <w:rsid w:val="005F06E0"/>
    <w:rsid w:val="005F0BA4"/>
    <w:rsid w:val="005F180F"/>
    <w:rsid w:val="005F18F2"/>
    <w:rsid w:val="005F1910"/>
    <w:rsid w:val="005F1954"/>
    <w:rsid w:val="005F1B36"/>
    <w:rsid w:val="005F274E"/>
    <w:rsid w:val="005F28C2"/>
    <w:rsid w:val="005F2E76"/>
    <w:rsid w:val="005F2FC4"/>
    <w:rsid w:val="005F2FF1"/>
    <w:rsid w:val="005F356F"/>
    <w:rsid w:val="005F384D"/>
    <w:rsid w:val="005F3C0C"/>
    <w:rsid w:val="005F3D56"/>
    <w:rsid w:val="005F3FF2"/>
    <w:rsid w:val="005F503E"/>
    <w:rsid w:val="005F5757"/>
    <w:rsid w:val="005F594B"/>
    <w:rsid w:val="005F60C8"/>
    <w:rsid w:val="005F67A9"/>
    <w:rsid w:val="005F6932"/>
    <w:rsid w:val="005F6ABA"/>
    <w:rsid w:val="005F6C90"/>
    <w:rsid w:val="005F6C98"/>
    <w:rsid w:val="005F7371"/>
    <w:rsid w:val="005F73BB"/>
    <w:rsid w:val="005F7672"/>
    <w:rsid w:val="005F7DA8"/>
    <w:rsid w:val="00600212"/>
    <w:rsid w:val="00600974"/>
    <w:rsid w:val="00600BB5"/>
    <w:rsid w:val="00601303"/>
    <w:rsid w:val="00601331"/>
    <w:rsid w:val="0060151C"/>
    <w:rsid w:val="00602208"/>
    <w:rsid w:val="00602455"/>
    <w:rsid w:val="006025BA"/>
    <w:rsid w:val="00602637"/>
    <w:rsid w:val="00602D59"/>
    <w:rsid w:val="00602F9B"/>
    <w:rsid w:val="006037C8"/>
    <w:rsid w:val="00603E75"/>
    <w:rsid w:val="00603FCB"/>
    <w:rsid w:val="006045D8"/>
    <w:rsid w:val="00604D34"/>
    <w:rsid w:val="00605B2D"/>
    <w:rsid w:val="00605C3E"/>
    <w:rsid w:val="00606294"/>
    <w:rsid w:val="006063A1"/>
    <w:rsid w:val="00606606"/>
    <w:rsid w:val="006067BB"/>
    <w:rsid w:val="00606B7A"/>
    <w:rsid w:val="00607480"/>
    <w:rsid w:val="0060752A"/>
    <w:rsid w:val="006076BC"/>
    <w:rsid w:val="00607B32"/>
    <w:rsid w:val="00607E97"/>
    <w:rsid w:val="00607FC3"/>
    <w:rsid w:val="00607FD7"/>
    <w:rsid w:val="006100AD"/>
    <w:rsid w:val="006106E7"/>
    <w:rsid w:val="0061079B"/>
    <w:rsid w:val="00611539"/>
    <w:rsid w:val="006115BC"/>
    <w:rsid w:val="006118F2"/>
    <w:rsid w:val="00611D30"/>
    <w:rsid w:val="00611E74"/>
    <w:rsid w:val="00611FDE"/>
    <w:rsid w:val="006122FF"/>
    <w:rsid w:val="0061287D"/>
    <w:rsid w:val="00612A83"/>
    <w:rsid w:val="00612D0F"/>
    <w:rsid w:val="00613045"/>
    <w:rsid w:val="006130F6"/>
    <w:rsid w:val="006131A5"/>
    <w:rsid w:val="00613B02"/>
    <w:rsid w:val="00613C70"/>
    <w:rsid w:val="00613E12"/>
    <w:rsid w:val="00613EBB"/>
    <w:rsid w:val="006141D9"/>
    <w:rsid w:val="0061476F"/>
    <w:rsid w:val="00614A93"/>
    <w:rsid w:val="00614FAA"/>
    <w:rsid w:val="00614FCF"/>
    <w:rsid w:val="00615116"/>
    <w:rsid w:val="006156E9"/>
    <w:rsid w:val="00615DEF"/>
    <w:rsid w:val="00616561"/>
    <w:rsid w:val="00616B9F"/>
    <w:rsid w:val="00617153"/>
    <w:rsid w:val="006171D9"/>
    <w:rsid w:val="0061729D"/>
    <w:rsid w:val="0061754D"/>
    <w:rsid w:val="00617636"/>
    <w:rsid w:val="00617A40"/>
    <w:rsid w:val="00617DB3"/>
    <w:rsid w:val="00617FC8"/>
    <w:rsid w:val="006206EA"/>
    <w:rsid w:val="006207F9"/>
    <w:rsid w:val="00620908"/>
    <w:rsid w:val="00620FAA"/>
    <w:rsid w:val="006214D8"/>
    <w:rsid w:val="006216B1"/>
    <w:rsid w:val="00621704"/>
    <w:rsid w:val="00621AA3"/>
    <w:rsid w:val="00621B7F"/>
    <w:rsid w:val="0062253F"/>
    <w:rsid w:val="00622A61"/>
    <w:rsid w:val="006235F6"/>
    <w:rsid w:val="00623ADF"/>
    <w:rsid w:val="0062441C"/>
    <w:rsid w:val="006244D6"/>
    <w:rsid w:val="00624A06"/>
    <w:rsid w:val="00625705"/>
    <w:rsid w:val="00625767"/>
    <w:rsid w:val="00625868"/>
    <w:rsid w:val="006258BA"/>
    <w:rsid w:val="0062596D"/>
    <w:rsid w:val="00625B5C"/>
    <w:rsid w:val="00625F66"/>
    <w:rsid w:val="00626035"/>
    <w:rsid w:val="00626291"/>
    <w:rsid w:val="006264F3"/>
    <w:rsid w:val="0062667C"/>
    <w:rsid w:val="00626978"/>
    <w:rsid w:val="00626C27"/>
    <w:rsid w:val="006278A9"/>
    <w:rsid w:val="00627C83"/>
    <w:rsid w:val="00627DBF"/>
    <w:rsid w:val="00627DDE"/>
    <w:rsid w:val="00630331"/>
    <w:rsid w:val="00630FC4"/>
    <w:rsid w:val="00631737"/>
    <w:rsid w:val="0063196E"/>
    <w:rsid w:val="006319DE"/>
    <w:rsid w:val="00631E53"/>
    <w:rsid w:val="0063207F"/>
    <w:rsid w:val="006326E5"/>
    <w:rsid w:val="0063281F"/>
    <w:rsid w:val="00632A9D"/>
    <w:rsid w:val="00632AAA"/>
    <w:rsid w:val="00632F08"/>
    <w:rsid w:val="00632F6E"/>
    <w:rsid w:val="006330D2"/>
    <w:rsid w:val="0063334C"/>
    <w:rsid w:val="006335E0"/>
    <w:rsid w:val="006337B5"/>
    <w:rsid w:val="00633FDC"/>
    <w:rsid w:val="00634782"/>
    <w:rsid w:val="006349E9"/>
    <w:rsid w:val="006355D1"/>
    <w:rsid w:val="00635B59"/>
    <w:rsid w:val="006362E1"/>
    <w:rsid w:val="006363D3"/>
    <w:rsid w:val="00636773"/>
    <w:rsid w:val="00636853"/>
    <w:rsid w:val="00636A57"/>
    <w:rsid w:val="00636E14"/>
    <w:rsid w:val="00636FBE"/>
    <w:rsid w:val="0063722F"/>
    <w:rsid w:val="00637337"/>
    <w:rsid w:val="0063774D"/>
    <w:rsid w:val="006377DC"/>
    <w:rsid w:val="006401D8"/>
    <w:rsid w:val="006403CA"/>
    <w:rsid w:val="00640601"/>
    <w:rsid w:val="006407FF"/>
    <w:rsid w:val="00640BB5"/>
    <w:rsid w:val="0064110E"/>
    <w:rsid w:val="00641A86"/>
    <w:rsid w:val="00641F4A"/>
    <w:rsid w:val="00642746"/>
    <w:rsid w:val="0064357A"/>
    <w:rsid w:val="00643D5C"/>
    <w:rsid w:val="00643E43"/>
    <w:rsid w:val="00643F07"/>
    <w:rsid w:val="0064426C"/>
    <w:rsid w:val="00644487"/>
    <w:rsid w:val="00644545"/>
    <w:rsid w:val="00644874"/>
    <w:rsid w:val="006449CD"/>
    <w:rsid w:val="00645FEC"/>
    <w:rsid w:val="006461DC"/>
    <w:rsid w:val="006463C0"/>
    <w:rsid w:val="00646413"/>
    <w:rsid w:val="00646B5D"/>
    <w:rsid w:val="00646DBB"/>
    <w:rsid w:val="00647333"/>
    <w:rsid w:val="006473D6"/>
    <w:rsid w:val="006474D2"/>
    <w:rsid w:val="0064750E"/>
    <w:rsid w:val="00647882"/>
    <w:rsid w:val="00647BCF"/>
    <w:rsid w:val="00647DD7"/>
    <w:rsid w:val="00647F03"/>
    <w:rsid w:val="00647FA1"/>
    <w:rsid w:val="006500B7"/>
    <w:rsid w:val="006500ED"/>
    <w:rsid w:val="0065073D"/>
    <w:rsid w:val="00650FB5"/>
    <w:rsid w:val="006512F4"/>
    <w:rsid w:val="006513D0"/>
    <w:rsid w:val="006516D1"/>
    <w:rsid w:val="00651A23"/>
    <w:rsid w:val="00651DAC"/>
    <w:rsid w:val="0065248B"/>
    <w:rsid w:val="00652D00"/>
    <w:rsid w:val="00652DCB"/>
    <w:rsid w:val="00652DCF"/>
    <w:rsid w:val="00652F4B"/>
    <w:rsid w:val="006530ED"/>
    <w:rsid w:val="006531C8"/>
    <w:rsid w:val="00653724"/>
    <w:rsid w:val="006540B8"/>
    <w:rsid w:val="0065466E"/>
    <w:rsid w:val="006549F5"/>
    <w:rsid w:val="00655199"/>
    <w:rsid w:val="006554F6"/>
    <w:rsid w:val="00655B9A"/>
    <w:rsid w:val="00656980"/>
    <w:rsid w:val="00656CD1"/>
    <w:rsid w:val="006570B5"/>
    <w:rsid w:val="00657320"/>
    <w:rsid w:val="00657E17"/>
    <w:rsid w:val="00657E8B"/>
    <w:rsid w:val="00657EAA"/>
    <w:rsid w:val="0066163C"/>
    <w:rsid w:val="00661B27"/>
    <w:rsid w:val="00662206"/>
    <w:rsid w:val="006622B2"/>
    <w:rsid w:val="006625E7"/>
    <w:rsid w:val="006627C5"/>
    <w:rsid w:val="00662A36"/>
    <w:rsid w:val="00662AAE"/>
    <w:rsid w:val="00662CCF"/>
    <w:rsid w:val="006633D1"/>
    <w:rsid w:val="006635CD"/>
    <w:rsid w:val="00663CC4"/>
    <w:rsid w:val="00663EA8"/>
    <w:rsid w:val="00664553"/>
    <w:rsid w:val="00664903"/>
    <w:rsid w:val="00664958"/>
    <w:rsid w:val="00664FD2"/>
    <w:rsid w:val="00665662"/>
    <w:rsid w:val="006659EE"/>
    <w:rsid w:val="00665AD7"/>
    <w:rsid w:val="00665BD1"/>
    <w:rsid w:val="006665F0"/>
    <w:rsid w:val="006666E4"/>
    <w:rsid w:val="0066686D"/>
    <w:rsid w:val="00666977"/>
    <w:rsid w:val="00666DCD"/>
    <w:rsid w:val="00666DCF"/>
    <w:rsid w:val="00667D7D"/>
    <w:rsid w:val="00667FA9"/>
    <w:rsid w:val="0067033B"/>
    <w:rsid w:val="00670411"/>
    <w:rsid w:val="006706BF"/>
    <w:rsid w:val="00670809"/>
    <w:rsid w:val="00670DE1"/>
    <w:rsid w:val="00671347"/>
    <w:rsid w:val="006715D2"/>
    <w:rsid w:val="00671998"/>
    <w:rsid w:val="006723E4"/>
    <w:rsid w:val="00672C40"/>
    <w:rsid w:val="00672E14"/>
    <w:rsid w:val="00673549"/>
    <w:rsid w:val="006736EF"/>
    <w:rsid w:val="006740DE"/>
    <w:rsid w:val="0067420D"/>
    <w:rsid w:val="00674308"/>
    <w:rsid w:val="006751C4"/>
    <w:rsid w:val="006753D3"/>
    <w:rsid w:val="00675608"/>
    <w:rsid w:val="0067697A"/>
    <w:rsid w:val="00676CC7"/>
    <w:rsid w:val="00676D9F"/>
    <w:rsid w:val="00677693"/>
    <w:rsid w:val="006801F3"/>
    <w:rsid w:val="0068035F"/>
    <w:rsid w:val="0068063A"/>
    <w:rsid w:val="00680B4A"/>
    <w:rsid w:val="006811EF"/>
    <w:rsid w:val="00681BC7"/>
    <w:rsid w:val="00682545"/>
    <w:rsid w:val="00682633"/>
    <w:rsid w:val="00682692"/>
    <w:rsid w:val="00682DC7"/>
    <w:rsid w:val="00683CE6"/>
    <w:rsid w:val="006843E8"/>
    <w:rsid w:val="00684595"/>
    <w:rsid w:val="00684739"/>
    <w:rsid w:val="00684A95"/>
    <w:rsid w:val="00684AB1"/>
    <w:rsid w:val="006850A8"/>
    <w:rsid w:val="006854D0"/>
    <w:rsid w:val="00685CD1"/>
    <w:rsid w:val="006861CE"/>
    <w:rsid w:val="006864A6"/>
    <w:rsid w:val="006867A3"/>
    <w:rsid w:val="00686A32"/>
    <w:rsid w:val="00686C3A"/>
    <w:rsid w:val="00686E0C"/>
    <w:rsid w:val="00687353"/>
    <w:rsid w:val="00687BA3"/>
    <w:rsid w:val="00690442"/>
    <w:rsid w:val="0069091D"/>
    <w:rsid w:val="00690F81"/>
    <w:rsid w:val="006921E3"/>
    <w:rsid w:val="0069252D"/>
    <w:rsid w:val="00693154"/>
    <w:rsid w:val="00693C53"/>
    <w:rsid w:val="00694778"/>
    <w:rsid w:val="00694C0B"/>
    <w:rsid w:val="00694F6B"/>
    <w:rsid w:val="00695C3F"/>
    <w:rsid w:val="00695F12"/>
    <w:rsid w:val="006962F2"/>
    <w:rsid w:val="00696543"/>
    <w:rsid w:val="0069684F"/>
    <w:rsid w:val="00696C2A"/>
    <w:rsid w:val="006973E9"/>
    <w:rsid w:val="0069766E"/>
    <w:rsid w:val="00697765"/>
    <w:rsid w:val="00697781"/>
    <w:rsid w:val="00697ABE"/>
    <w:rsid w:val="00697F06"/>
    <w:rsid w:val="006A09A6"/>
    <w:rsid w:val="006A0CA3"/>
    <w:rsid w:val="006A0CD4"/>
    <w:rsid w:val="006A0F9C"/>
    <w:rsid w:val="006A122A"/>
    <w:rsid w:val="006A2A6C"/>
    <w:rsid w:val="006A2C91"/>
    <w:rsid w:val="006A368C"/>
    <w:rsid w:val="006A3910"/>
    <w:rsid w:val="006A392C"/>
    <w:rsid w:val="006A3FCB"/>
    <w:rsid w:val="006A41C4"/>
    <w:rsid w:val="006A4819"/>
    <w:rsid w:val="006A4A4E"/>
    <w:rsid w:val="006A4F40"/>
    <w:rsid w:val="006A5026"/>
    <w:rsid w:val="006A5249"/>
    <w:rsid w:val="006A5584"/>
    <w:rsid w:val="006A5801"/>
    <w:rsid w:val="006A5935"/>
    <w:rsid w:val="006A5A12"/>
    <w:rsid w:val="006A5C45"/>
    <w:rsid w:val="006A70C0"/>
    <w:rsid w:val="006A7401"/>
    <w:rsid w:val="006A745E"/>
    <w:rsid w:val="006A7EC7"/>
    <w:rsid w:val="006B0029"/>
    <w:rsid w:val="006B0043"/>
    <w:rsid w:val="006B0467"/>
    <w:rsid w:val="006B091E"/>
    <w:rsid w:val="006B0CE6"/>
    <w:rsid w:val="006B0D1B"/>
    <w:rsid w:val="006B0DEC"/>
    <w:rsid w:val="006B0F96"/>
    <w:rsid w:val="006B1644"/>
    <w:rsid w:val="006B1655"/>
    <w:rsid w:val="006B2544"/>
    <w:rsid w:val="006B2567"/>
    <w:rsid w:val="006B410B"/>
    <w:rsid w:val="006B52F1"/>
    <w:rsid w:val="006B544B"/>
    <w:rsid w:val="006B5A3B"/>
    <w:rsid w:val="006B5AEF"/>
    <w:rsid w:val="006B5BBE"/>
    <w:rsid w:val="006B6562"/>
    <w:rsid w:val="006B6CCF"/>
    <w:rsid w:val="006B761D"/>
    <w:rsid w:val="006B7875"/>
    <w:rsid w:val="006C00A3"/>
    <w:rsid w:val="006C075D"/>
    <w:rsid w:val="006C2209"/>
    <w:rsid w:val="006C26D5"/>
    <w:rsid w:val="006C28B3"/>
    <w:rsid w:val="006C2DA8"/>
    <w:rsid w:val="006C306A"/>
    <w:rsid w:val="006C3072"/>
    <w:rsid w:val="006C3856"/>
    <w:rsid w:val="006C4523"/>
    <w:rsid w:val="006C4583"/>
    <w:rsid w:val="006C4650"/>
    <w:rsid w:val="006C490B"/>
    <w:rsid w:val="006C4A29"/>
    <w:rsid w:val="006C4CBD"/>
    <w:rsid w:val="006C4D70"/>
    <w:rsid w:val="006C53C0"/>
    <w:rsid w:val="006C5ABC"/>
    <w:rsid w:val="006C5D89"/>
    <w:rsid w:val="006C5E6B"/>
    <w:rsid w:val="006C6267"/>
    <w:rsid w:val="006C69D7"/>
    <w:rsid w:val="006C7584"/>
    <w:rsid w:val="006C759C"/>
    <w:rsid w:val="006C7DE0"/>
    <w:rsid w:val="006C7EA0"/>
    <w:rsid w:val="006D0085"/>
    <w:rsid w:val="006D00B9"/>
    <w:rsid w:val="006D016D"/>
    <w:rsid w:val="006D0794"/>
    <w:rsid w:val="006D08B4"/>
    <w:rsid w:val="006D09DB"/>
    <w:rsid w:val="006D0CFC"/>
    <w:rsid w:val="006D0D7B"/>
    <w:rsid w:val="006D0F0D"/>
    <w:rsid w:val="006D1199"/>
    <w:rsid w:val="006D13A1"/>
    <w:rsid w:val="006D17B9"/>
    <w:rsid w:val="006D1976"/>
    <w:rsid w:val="006D21A4"/>
    <w:rsid w:val="006D24FF"/>
    <w:rsid w:val="006D2595"/>
    <w:rsid w:val="006D2622"/>
    <w:rsid w:val="006D31DD"/>
    <w:rsid w:val="006D3521"/>
    <w:rsid w:val="006D3E5C"/>
    <w:rsid w:val="006D3E5F"/>
    <w:rsid w:val="006D4396"/>
    <w:rsid w:val="006D44C6"/>
    <w:rsid w:val="006D453B"/>
    <w:rsid w:val="006D473D"/>
    <w:rsid w:val="006D4D37"/>
    <w:rsid w:val="006D51DC"/>
    <w:rsid w:val="006D5771"/>
    <w:rsid w:val="006D59EC"/>
    <w:rsid w:val="006D5CC6"/>
    <w:rsid w:val="006D5FB1"/>
    <w:rsid w:val="006D663A"/>
    <w:rsid w:val="006D6A79"/>
    <w:rsid w:val="006D6B99"/>
    <w:rsid w:val="006D6D92"/>
    <w:rsid w:val="006D78D8"/>
    <w:rsid w:val="006D79A6"/>
    <w:rsid w:val="006E03CA"/>
    <w:rsid w:val="006E048C"/>
    <w:rsid w:val="006E08E1"/>
    <w:rsid w:val="006E099D"/>
    <w:rsid w:val="006E0CAB"/>
    <w:rsid w:val="006E0F4F"/>
    <w:rsid w:val="006E1484"/>
    <w:rsid w:val="006E1CC9"/>
    <w:rsid w:val="006E1D8E"/>
    <w:rsid w:val="006E1DA2"/>
    <w:rsid w:val="006E1E3D"/>
    <w:rsid w:val="006E3855"/>
    <w:rsid w:val="006E39FA"/>
    <w:rsid w:val="006E3B78"/>
    <w:rsid w:val="006E3C7E"/>
    <w:rsid w:val="006E4196"/>
    <w:rsid w:val="006E41C4"/>
    <w:rsid w:val="006E5831"/>
    <w:rsid w:val="006E5A4B"/>
    <w:rsid w:val="006E5C03"/>
    <w:rsid w:val="006E6000"/>
    <w:rsid w:val="006E608D"/>
    <w:rsid w:val="006E672E"/>
    <w:rsid w:val="006E6C8A"/>
    <w:rsid w:val="006E6C8B"/>
    <w:rsid w:val="006E6F7C"/>
    <w:rsid w:val="006E6FF1"/>
    <w:rsid w:val="006E730D"/>
    <w:rsid w:val="006E78B0"/>
    <w:rsid w:val="006E7CA0"/>
    <w:rsid w:val="006F02FD"/>
    <w:rsid w:val="006F03B1"/>
    <w:rsid w:val="006F0513"/>
    <w:rsid w:val="006F0A05"/>
    <w:rsid w:val="006F0F60"/>
    <w:rsid w:val="006F10AE"/>
    <w:rsid w:val="006F1753"/>
    <w:rsid w:val="006F1E41"/>
    <w:rsid w:val="006F2618"/>
    <w:rsid w:val="006F2695"/>
    <w:rsid w:val="006F2939"/>
    <w:rsid w:val="006F33AE"/>
    <w:rsid w:val="006F35F6"/>
    <w:rsid w:val="006F50AF"/>
    <w:rsid w:val="006F53FE"/>
    <w:rsid w:val="006F5451"/>
    <w:rsid w:val="006F5479"/>
    <w:rsid w:val="006F6508"/>
    <w:rsid w:val="006F6750"/>
    <w:rsid w:val="006F6A13"/>
    <w:rsid w:val="006F6C54"/>
    <w:rsid w:val="006F6F85"/>
    <w:rsid w:val="006F71A8"/>
    <w:rsid w:val="006F73AD"/>
    <w:rsid w:val="006F73CA"/>
    <w:rsid w:val="006F747B"/>
    <w:rsid w:val="006F7B83"/>
    <w:rsid w:val="007003D0"/>
    <w:rsid w:val="00700718"/>
    <w:rsid w:val="00700830"/>
    <w:rsid w:val="00700B7D"/>
    <w:rsid w:val="00700E46"/>
    <w:rsid w:val="0070127B"/>
    <w:rsid w:val="00701809"/>
    <w:rsid w:val="00701997"/>
    <w:rsid w:val="00701B55"/>
    <w:rsid w:val="0070214E"/>
    <w:rsid w:val="00702EF3"/>
    <w:rsid w:val="00703554"/>
    <w:rsid w:val="00703682"/>
    <w:rsid w:val="00703AE6"/>
    <w:rsid w:val="00703B2D"/>
    <w:rsid w:val="00703B3A"/>
    <w:rsid w:val="00703DCB"/>
    <w:rsid w:val="007040E3"/>
    <w:rsid w:val="00704132"/>
    <w:rsid w:val="007046CE"/>
    <w:rsid w:val="00705246"/>
    <w:rsid w:val="00705726"/>
    <w:rsid w:val="007059A6"/>
    <w:rsid w:val="00705F62"/>
    <w:rsid w:val="00706156"/>
    <w:rsid w:val="007065E2"/>
    <w:rsid w:val="0070730B"/>
    <w:rsid w:val="007073CF"/>
    <w:rsid w:val="00707B4A"/>
    <w:rsid w:val="007100DB"/>
    <w:rsid w:val="0071029A"/>
    <w:rsid w:val="007109CE"/>
    <w:rsid w:val="00710A61"/>
    <w:rsid w:val="00710E4F"/>
    <w:rsid w:val="0071173A"/>
    <w:rsid w:val="00711D83"/>
    <w:rsid w:val="007124AE"/>
    <w:rsid w:val="00712906"/>
    <w:rsid w:val="00712D33"/>
    <w:rsid w:val="00712ECA"/>
    <w:rsid w:val="0071343E"/>
    <w:rsid w:val="00713829"/>
    <w:rsid w:val="0071408C"/>
    <w:rsid w:val="00714CC3"/>
    <w:rsid w:val="007154C4"/>
    <w:rsid w:val="00715E29"/>
    <w:rsid w:val="00715FD1"/>
    <w:rsid w:val="00716319"/>
    <w:rsid w:val="0071646D"/>
    <w:rsid w:val="007165CE"/>
    <w:rsid w:val="00716769"/>
    <w:rsid w:val="0071687F"/>
    <w:rsid w:val="007174C9"/>
    <w:rsid w:val="00717765"/>
    <w:rsid w:val="007178D9"/>
    <w:rsid w:val="00717DC0"/>
    <w:rsid w:val="00720125"/>
    <w:rsid w:val="0072084F"/>
    <w:rsid w:val="007209DA"/>
    <w:rsid w:val="00720E7B"/>
    <w:rsid w:val="00720FAE"/>
    <w:rsid w:val="007210DA"/>
    <w:rsid w:val="0072110B"/>
    <w:rsid w:val="007211ED"/>
    <w:rsid w:val="00721402"/>
    <w:rsid w:val="0072152B"/>
    <w:rsid w:val="00721657"/>
    <w:rsid w:val="00721940"/>
    <w:rsid w:val="00721C64"/>
    <w:rsid w:val="007220BD"/>
    <w:rsid w:val="00722544"/>
    <w:rsid w:val="00722645"/>
    <w:rsid w:val="007226A0"/>
    <w:rsid w:val="00722ABD"/>
    <w:rsid w:val="0072384E"/>
    <w:rsid w:val="007238BC"/>
    <w:rsid w:val="00723DD6"/>
    <w:rsid w:val="007247EB"/>
    <w:rsid w:val="007251AF"/>
    <w:rsid w:val="00725542"/>
    <w:rsid w:val="0072565F"/>
    <w:rsid w:val="00725FCA"/>
    <w:rsid w:val="0072613D"/>
    <w:rsid w:val="00727334"/>
    <w:rsid w:val="007277AC"/>
    <w:rsid w:val="00727B1E"/>
    <w:rsid w:val="007300B3"/>
    <w:rsid w:val="0073029A"/>
    <w:rsid w:val="007303C8"/>
    <w:rsid w:val="00730AD8"/>
    <w:rsid w:val="00730F54"/>
    <w:rsid w:val="007310AF"/>
    <w:rsid w:val="0073163A"/>
    <w:rsid w:val="007316A1"/>
    <w:rsid w:val="00731BC1"/>
    <w:rsid w:val="00732086"/>
    <w:rsid w:val="007320FA"/>
    <w:rsid w:val="0073247B"/>
    <w:rsid w:val="00732C5C"/>
    <w:rsid w:val="00733556"/>
    <w:rsid w:val="007335F6"/>
    <w:rsid w:val="00734123"/>
    <w:rsid w:val="00734D9B"/>
    <w:rsid w:val="00735034"/>
    <w:rsid w:val="0073539A"/>
    <w:rsid w:val="00735457"/>
    <w:rsid w:val="00735A6E"/>
    <w:rsid w:val="007363A9"/>
    <w:rsid w:val="00736417"/>
    <w:rsid w:val="00736B6C"/>
    <w:rsid w:val="00737B3F"/>
    <w:rsid w:val="00737D11"/>
    <w:rsid w:val="0074005C"/>
    <w:rsid w:val="007400D7"/>
    <w:rsid w:val="0074036F"/>
    <w:rsid w:val="007403B5"/>
    <w:rsid w:val="00740813"/>
    <w:rsid w:val="00740843"/>
    <w:rsid w:val="00740D89"/>
    <w:rsid w:val="0074114C"/>
    <w:rsid w:val="00741357"/>
    <w:rsid w:val="007416C8"/>
    <w:rsid w:val="0074181F"/>
    <w:rsid w:val="007436E7"/>
    <w:rsid w:val="007437AA"/>
    <w:rsid w:val="007438C5"/>
    <w:rsid w:val="0074403A"/>
    <w:rsid w:val="007440C6"/>
    <w:rsid w:val="007440E5"/>
    <w:rsid w:val="00744689"/>
    <w:rsid w:val="007446A2"/>
    <w:rsid w:val="007449EF"/>
    <w:rsid w:val="00744A7D"/>
    <w:rsid w:val="00744D95"/>
    <w:rsid w:val="007451BA"/>
    <w:rsid w:val="007454ED"/>
    <w:rsid w:val="007457BB"/>
    <w:rsid w:val="0074580E"/>
    <w:rsid w:val="00745835"/>
    <w:rsid w:val="00745AC5"/>
    <w:rsid w:val="0074606C"/>
    <w:rsid w:val="00746086"/>
    <w:rsid w:val="0074623E"/>
    <w:rsid w:val="00746652"/>
    <w:rsid w:val="007468E8"/>
    <w:rsid w:val="00747AFA"/>
    <w:rsid w:val="0075034C"/>
    <w:rsid w:val="00750523"/>
    <w:rsid w:val="00750796"/>
    <w:rsid w:val="00750933"/>
    <w:rsid w:val="00750A9C"/>
    <w:rsid w:val="00750D91"/>
    <w:rsid w:val="00751001"/>
    <w:rsid w:val="00751A2A"/>
    <w:rsid w:val="00751A5C"/>
    <w:rsid w:val="00752213"/>
    <w:rsid w:val="007525E9"/>
    <w:rsid w:val="00752F85"/>
    <w:rsid w:val="007530D2"/>
    <w:rsid w:val="00753223"/>
    <w:rsid w:val="0075432D"/>
    <w:rsid w:val="00754651"/>
    <w:rsid w:val="00754D52"/>
    <w:rsid w:val="007553DD"/>
    <w:rsid w:val="00755CF4"/>
    <w:rsid w:val="007563EC"/>
    <w:rsid w:val="007567B2"/>
    <w:rsid w:val="00756D2B"/>
    <w:rsid w:val="0075780A"/>
    <w:rsid w:val="00757CCA"/>
    <w:rsid w:val="00757EB2"/>
    <w:rsid w:val="007600B8"/>
    <w:rsid w:val="00760373"/>
    <w:rsid w:val="00760C60"/>
    <w:rsid w:val="00760DA5"/>
    <w:rsid w:val="00760E26"/>
    <w:rsid w:val="00761169"/>
    <w:rsid w:val="00761193"/>
    <w:rsid w:val="007618CE"/>
    <w:rsid w:val="00761BCE"/>
    <w:rsid w:val="0076213E"/>
    <w:rsid w:val="007624BA"/>
    <w:rsid w:val="00762534"/>
    <w:rsid w:val="00762A0B"/>
    <w:rsid w:val="00762F40"/>
    <w:rsid w:val="00763021"/>
    <w:rsid w:val="0076332E"/>
    <w:rsid w:val="007633A3"/>
    <w:rsid w:val="007635E8"/>
    <w:rsid w:val="007637A1"/>
    <w:rsid w:val="00763A91"/>
    <w:rsid w:val="00764F5F"/>
    <w:rsid w:val="0076512B"/>
    <w:rsid w:val="00765136"/>
    <w:rsid w:val="00765389"/>
    <w:rsid w:val="007654B5"/>
    <w:rsid w:val="007659D8"/>
    <w:rsid w:val="00765DF9"/>
    <w:rsid w:val="00765E2A"/>
    <w:rsid w:val="00765F0F"/>
    <w:rsid w:val="00765F61"/>
    <w:rsid w:val="00766253"/>
    <w:rsid w:val="00766573"/>
    <w:rsid w:val="0076690D"/>
    <w:rsid w:val="00766B93"/>
    <w:rsid w:val="00766E7C"/>
    <w:rsid w:val="007672E5"/>
    <w:rsid w:val="00767ADC"/>
    <w:rsid w:val="00767D14"/>
    <w:rsid w:val="00770579"/>
    <w:rsid w:val="00770783"/>
    <w:rsid w:val="00770C5E"/>
    <w:rsid w:val="00770DD8"/>
    <w:rsid w:val="00772063"/>
    <w:rsid w:val="007721FA"/>
    <w:rsid w:val="00772C5C"/>
    <w:rsid w:val="00772FAF"/>
    <w:rsid w:val="0077369C"/>
    <w:rsid w:val="007736A8"/>
    <w:rsid w:val="00773726"/>
    <w:rsid w:val="00773FDD"/>
    <w:rsid w:val="0077428B"/>
    <w:rsid w:val="007742F2"/>
    <w:rsid w:val="007745FA"/>
    <w:rsid w:val="00774CC5"/>
    <w:rsid w:val="00775879"/>
    <w:rsid w:val="00775C92"/>
    <w:rsid w:val="007764ED"/>
    <w:rsid w:val="007769BB"/>
    <w:rsid w:val="00776AA1"/>
    <w:rsid w:val="00776CDF"/>
    <w:rsid w:val="00776F34"/>
    <w:rsid w:val="00777329"/>
    <w:rsid w:val="007776B6"/>
    <w:rsid w:val="007779D3"/>
    <w:rsid w:val="00777A8E"/>
    <w:rsid w:val="00777C02"/>
    <w:rsid w:val="00777CD1"/>
    <w:rsid w:val="00777EA3"/>
    <w:rsid w:val="007803F5"/>
    <w:rsid w:val="00780A97"/>
    <w:rsid w:val="00780DAB"/>
    <w:rsid w:val="00781226"/>
    <w:rsid w:val="007813EC"/>
    <w:rsid w:val="007817A6"/>
    <w:rsid w:val="00781D5A"/>
    <w:rsid w:val="0078219B"/>
    <w:rsid w:val="00782308"/>
    <w:rsid w:val="00782360"/>
    <w:rsid w:val="00782A81"/>
    <w:rsid w:val="007834AF"/>
    <w:rsid w:val="0078370F"/>
    <w:rsid w:val="00783A7B"/>
    <w:rsid w:val="00783BE5"/>
    <w:rsid w:val="00783D78"/>
    <w:rsid w:val="00783E91"/>
    <w:rsid w:val="00784963"/>
    <w:rsid w:val="00785592"/>
    <w:rsid w:val="007859A4"/>
    <w:rsid w:val="007867E8"/>
    <w:rsid w:val="007868A6"/>
    <w:rsid w:val="00786D48"/>
    <w:rsid w:val="00786F57"/>
    <w:rsid w:val="007879D2"/>
    <w:rsid w:val="00787B1C"/>
    <w:rsid w:val="00790176"/>
    <w:rsid w:val="007905CE"/>
    <w:rsid w:val="00790903"/>
    <w:rsid w:val="00790AF2"/>
    <w:rsid w:val="00790B20"/>
    <w:rsid w:val="00791299"/>
    <w:rsid w:val="007923CC"/>
    <w:rsid w:val="0079243C"/>
    <w:rsid w:val="0079289E"/>
    <w:rsid w:val="00792F30"/>
    <w:rsid w:val="00793023"/>
    <w:rsid w:val="0079341E"/>
    <w:rsid w:val="0079395F"/>
    <w:rsid w:val="00793E2C"/>
    <w:rsid w:val="00793EC7"/>
    <w:rsid w:val="00794CFC"/>
    <w:rsid w:val="00794FE7"/>
    <w:rsid w:val="00795652"/>
    <w:rsid w:val="00795712"/>
    <w:rsid w:val="00795C5F"/>
    <w:rsid w:val="00795CF6"/>
    <w:rsid w:val="00795E24"/>
    <w:rsid w:val="00796746"/>
    <w:rsid w:val="00797143"/>
    <w:rsid w:val="007971C1"/>
    <w:rsid w:val="007972F8"/>
    <w:rsid w:val="007975B5"/>
    <w:rsid w:val="00797785"/>
    <w:rsid w:val="0079798F"/>
    <w:rsid w:val="00797BD0"/>
    <w:rsid w:val="00797FBC"/>
    <w:rsid w:val="007A030B"/>
    <w:rsid w:val="007A060D"/>
    <w:rsid w:val="007A0D26"/>
    <w:rsid w:val="007A1076"/>
    <w:rsid w:val="007A10FC"/>
    <w:rsid w:val="007A1828"/>
    <w:rsid w:val="007A1DC6"/>
    <w:rsid w:val="007A1F7B"/>
    <w:rsid w:val="007A228E"/>
    <w:rsid w:val="007A2993"/>
    <w:rsid w:val="007A3E4C"/>
    <w:rsid w:val="007A46FB"/>
    <w:rsid w:val="007A4A32"/>
    <w:rsid w:val="007A4CCF"/>
    <w:rsid w:val="007A57FF"/>
    <w:rsid w:val="007A5E6A"/>
    <w:rsid w:val="007A6456"/>
    <w:rsid w:val="007A6873"/>
    <w:rsid w:val="007A69B4"/>
    <w:rsid w:val="007A795D"/>
    <w:rsid w:val="007A7B4A"/>
    <w:rsid w:val="007B0414"/>
    <w:rsid w:val="007B0F43"/>
    <w:rsid w:val="007B1467"/>
    <w:rsid w:val="007B2301"/>
    <w:rsid w:val="007B270E"/>
    <w:rsid w:val="007B2A91"/>
    <w:rsid w:val="007B2A95"/>
    <w:rsid w:val="007B2A97"/>
    <w:rsid w:val="007B2E00"/>
    <w:rsid w:val="007B33A0"/>
    <w:rsid w:val="007B34D5"/>
    <w:rsid w:val="007B3637"/>
    <w:rsid w:val="007B3BD6"/>
    <w:rsid w:val="007B4247"/>
    <w:rsid w:val="007B4691"/>
    <w:rsid w:val="007B4A8F"/>
    <w:rsid w:val="007B505F"/>
    <w:rsid w:val="007B5229"/>
    <w:rsid w:val="007B55D1"/>
    <w:rsid w:val="007B560B"/>
    <w:rsid w:val="007B78AF"/>
    <w:rsid w:val="007B7CF1"/>
    <w:rsid w:val="007C039A"/>
    <w:rsid w:val="007C06AB"/>
    <w:rsid w:val="007C07B4"/>
    <w:rsid w:val="007C1598"/>
    <w:rsid w:val="007C1BA7"/>
    <w:rsid w:val="007C205B"/>
    <w:rsid w:val="007C213C"/>
    <w:rsid w:val="007C23B4"/>
    <w:rsid w:val="007C26C9"/>
    <w:rsid w:val="007C27F8"/>
    <w:rsid w:val="007C3059"/>
    <w:rsid w:val="007C3824"/>
    <w:rsid w:val="007C3970"/>
    <w:rsid w:val="007C3C8C"/>
    <w:rsid w:val="007C4607"/>
    <w:rsid w:val="007C47BF"/>
    <w:rsid w:val="007C4C74"/>
    <w:rsid w:val="007C53D8"/>
    <w:rsid w:val="007C65CD"/>
    <w:rsid w:val="007C7015"/>
    <w:rsid w:val="007C793F"/>
    <w:rsid w:val="007C7A2C"/>
    <w:rsid w:val="007C7F12"/>
    <w:rsid w:val="007C7F2A"/>
    <w:rsid w:val="007D032B"/>
    <w:rsid w:val="007D05D1"/>
    <w:rsid w:val="007D06CD"/>
    <w:rsid w:val="007D0B4D"/>
    <w:rsid w:val="007D12E8"/>
    <w:rsid w:val="007D132B"/>
    <w:rsid w:val="007D1659"/>
    <w:rsid w:val="007D197A"/>
    <w:rsid w:val="007D2997"/>
    <w:rsid w:val="007D2EAF"/>
    <w:rsid w:val="007D3C07"/>
    <w:rsid w:val="007D3DF7"/>
    <w:rsid w:val="007D3ED1"/>
    <w:rsid w:val="007D3FEC"/>
    <w:rsid w:val="007D4174"/>
    <w:rsid w:val="007D4347"/>
    <w:rsid w:val="007D4FDA"/>
    <w:rsid w:val="007D51FD"/>
    <w:rsid w:val="007D59BF"/>
    <w:rsid w:val="007D60E7"/>
    <w:rsid w:val="007D6325"/>
    <w:rsid w:val="007D7073"/>
    <w:rsid w:val="007D70FE"/>
    <w:rsid w:val="007E093B"/>
    <w:rsid w:val="007E0AE8"/>
    <w:rsid w:val="007E0F1D"/>
    <w:rsid w:val="007E2042"/>
    <w:rsid w:val="007E2305"/>
    <w:rsid w:val="007E25B4"/>
    <w:rsid w:val="007E3079"/>
    <w:rsid w:val="007E3414"/>
    <w:rsid w:val="007E346A"/>
    <w:rsid w:val="007E34B6"/>
    <w:rsid w:val="007E375B"/>
    <w:rsid w:val="007E39A2"/>
    <w:rsid w:val="007E3F2C"/>
    <w:rsid w:val="007E4153"/>
    <w:rsid w:val="007E44F5"/>
    <w:rsid w:val="007E506C"/>
    <w:rsid w:val="007E5361"/>
    <w:rsid w:val="007E5588"/>
    <w:rsid w:val="007E62AE"/>
    <w:rsid w:val="007E74B2"/>
    <w:rsid w:val="007E753A"/>
    <w:rsid w:val="007E75B9"/>
    <w:rsid w:val="007E771F"/>
    <w:rsid w:val="007E7A2E"/>
    <w:rsid w:val="007E7AFF"/>
    <w:rsid w:val="007E7DEE"/>
    <w:rsid w:val="007F0687"/>
    <w:rsid w:val="007F134F"/>
    <w:rsid w:val="007F1A20"/>
    <w:rsid w:val="007F212D"/>
    <w:rsid w:val="007F218F"/>
    <w:rsid w:val="007F2711"/>
    <w:rsid w:val="007F2FC7"/>
    <w:rsid w:val="007F3192"/>
    <w:rsid w:val="007F3385"/>
    <w:rsid w:val="007F3413"/>
    <w:rsid w:val="007F3573"/>
    <w:rsid w:val="007F35B1"/>
    <w:rsid w:val="007F389F"/>
    <w:rsid w:val="007F394E"/>
    <w:rsid w:val="007F45C7"/>
    <w:rsid w:val="007F4AE6"/>
    <w:rsid w:val="007F50A8"/>
    <w:rsid w:val="007F5580"/>
    <w:rsid w:val="007F56E0"/>
    <w:rsid w:val="007F58D3"/>
    <w:rsid w:val="007F5CA1"/>
    <w:rsid w:val="007F6013"/>
    <w:rsid w:val="007F7128"/>
    <w:rsid w:val="007F71D9"/>
    <w:rsid w:val="007F743A"/>
    <w:rsid w:val="007F76EC"/>
    <w:rsid w:val="007F78B5"/>
    <w:rsid w:val="007F7E81"/>
    <w:rsid w:val="0080035D"/>
    <w:rsid w:val="0080115B"/>
    <w:rsid w:val="008014FE"/>
    <w:rsid w:val="00801A2D"/>
    <w:rsid w:val="00801BBD"/>
    <w:rsid w:val="008020E6"/>
    <w:rsid w:val="0080217E"/>
    <w:rsid w:val="008021A8"/>
    <w:rsid w:val="00802435"/>
    <w:rsid w:val="008024A5"/>
    <w:rsid w:val="0080281E"/>
    <w:rsid w:val="00802C59"/>
    <w:rsid w:val="00803041"/>
    <w:rsid w:val="008030F6"/>
    <w:rsid w:val="0080333A"/>
    <w:rsid w:val="0080348B"/>
    <w:rsid w:val="00803ED4"/>
    <w:rsid w:val="00804952"/>
    <w:rsid w:val="008049EC"/>
    <w:rsid w:val="008050D5"/>
    <w:rsid w:val="00805872"/>
    <w:rsid w:val="00805890"/>
    <w:rsid w:val="00805A44"/>
    <w:rsid w:val="00805AC6"/>
    <w:rsid w:val="00806522"/>
    <w:rsid w:val="0080685A"/>
    <w:rsid w:val="00806991"/>
    <w:rsid w:val="008069B7"/>
    <w:rsid w:val="0080710A"/>
    <w:rsid w:val="0081003B"/>
    <w:rsid w:val="008101DC"/>
    <w:rsid w:val="00810D20"/>
    <w:rsid w:val="008112C3"/>
    <w:rsid w:val="0081180D"/>
    <w:rsid w:val="008119DF"/>
    <w:rsid w:val="00811A37"/>
    <w:rsid w:val="00812918"/>
    <w:rsid w:val="00812A7E"/>
    <w:rsid w:val="008130E7"/>
    <w:rsid w:val="0081315F"/>
    <w:rsid w:val="00813456"/>
    <w:rsid w:val="00814721"/>
    <w:rsid w:val="00814906"/>
    <w:rsid w:val="00814A30"/>
    <w:rsid w:val="0081512C"/>
    <w:rsid w:val="008151C3"/>
    <w:rsid w:val="00815279"/>
    <w:rsid w:val="008153B2"/>
    <w:rsid w:val="008159C6"/>
    <w:rsid w:val="008159ED"/>
    <w:rsid w:val="00815A9D"/>
    <w:rsid w:val="00815BB8"/>
    <w:rsid w:val="00815BCC"/>
    <w:rsid w:val="00815C82"/>
    <w:rsid w:val="00816434"/>
    <w:rsid w:val="008167CF"/>
    <w:rsid w:val="00816A63"/>
    <w:rsid w:val="00816FAE"/>
    <w:rsid w:val="00817356"/>
    <w:rsid w:val="0081796D"/>
    <w:rsid w:val="00820045"/>
    <w:rsid w:val="0082038B"/>
    <w:rsid w:val="00820411"/>
    <w:rsid w:val="00820A78"/>
    <w:rsid w:val="00820A92"/>
    <w:rsid w:val="0082197F"/>
    <w:rsid w:val="00821A4D"/>
    <w:rsid w:val="008220A2"/>
    <w:rsid w:val="00822556"/>
    <w:rsid w:val="008230A5"/>
    <w:rsid w:val="00823C7C"/>
    <w:rsid w:val="00824619"/>
    <w:rsid w:val="0082499A"/>
    <w:rsid w:val="00824B58"/>
    <w:rsid w:val="00824F2F"/>
    <w:rsid w:val="00825018"/>
    <w:rsid w:val="008263E1"/>
    <w:rsid w:val="0082650E"/>
    <w:rsid w:val="00826701"/>
    <w:rsid w:val="00826E37"/>
    <w:rsid w:val="00826F2C"/>
    <w:rsid w:val="008273BE"/>
    <w:rsid w:val="00827665"/>
    <w:rsid w:val="008306A8"/>
    <w:rsid w:val="00830797"/>
    <w:rsid w:val="00830CAA"/>
    <w:rsid w:val="00831124"/>
    <w:rsid w:val="008313B1"/>
    <w:rsid w:val="00831BD4"/>
    <w:rsid w:val="0083234E"/>
    <w:rsid w:val="00832859"/>
    <w:rsid w:val="00833A55"/>
    <w:rsid w:val="00833F44"/>
    <w:rsid w:val="0083473A"/>
    <w:rsid w:val="00834CCF"/>
    <w:rsid w:val="00834D90"/>
    <w:rsid w:val="00835E13"/>
    <w:rsid w:val="008361C3"/>
    <w:rsid w:val="00836538"/>
    <w:rsid w:val="0083754D"/>
    <w:rsid w:val="008375A7"/>
    <w:rsid w:val="0083773C"/>
    <w:rsid w:val="00837894"/>
    <w:rsid w:val="0084029D"/>
    <w:rsid w:val="008408F3"/>
    <w:rsid w:val="00840B96"/>
    <w:rsid w:val="008414D3"/>
    <w:rsid w:val="00841755"/>
    <w:rsid w:val="0084268D"/>
    <w:rsid w:val="00842AA2"/>
    <w:rsid w:val="00842AFA"/>
    <w:rsid w:val="008434B0"/>
    <w:rsid w:val="008435AD"/>
    <w:rsid w:val="00843B3E"/>
    <w:rsid w:val="008440E1"/>
    <w:rsid w:val="008442C6"/>
    <w:rsid w:val="00844405"/>
    <w:rsid w:val="00844955"/>
    <w:rsid w:val="00844B11"/>
    <w:rsid w:val="00845242"/>
    <w:rsid w:val="00845324"/>
    <w:rsid w:val="0084536B"/>
    <w:rsid w:val="008454F8"/>
    <w:rsid w:val="00845A12"/>
    <w:rsid w:val="00845F8E"/>
    <w:rsid w:val="00845FC4"/>
    <w:rsid w:val="0084601B"/>
    <w:rsid w:val="008465BD"/>
    <w:rsid w:val="00846CC9"/>
    <w:rsid w:val="00846CFD"/>
    <w:rsid w:val="00846E1C"/>
    <w:rsid w:val="008473A5"/>
    <w:rsid w:val="00847F45"/>
    <w:rsid w:val="008501AB"/>
    <w:rsid w:val="008501F1"/>
    <w:rsid w:val="008507F0"/>
    <w:rsid w:val="00851121"/>
    <w:rsid w:val="0085146B"/>
    <w:rsid w:val="008518AD"/>
    <w:rsid w:val="00851DA6"/>
    <w:rsid w:val="00852089"/>
    <w:rsid w:val="00852154"/>
    <w:rsid w:val="008525F9"/>
    <w:rsid w:val="008526F5"/>
    <w:rsid w:val="00852764"/>
    <w:rsid w:val="00852D43"/>
    <w:rsid w:val="00854434"/>
    <w:rsid w:val="008546DD"/>
    <w:rsid w:val="008548F1"/>
    <w:rsid w:val="00854D49"/>
    <w:rsid w:val="00854D9C"/>
    <w:rsid w:val="008556B0"/>
    <w:rsid w:val="0085572F"/>
    <w:rsid w:val="00855A97"/>
    <w:rsid w:val="00855DA2"/>
    <w:rsid w:val="00857494"/>
    <w:rsid w:val="008578B9"/>
    <w:rsid w:val="008578BD"/>
    <w:rsid w:val="00857A52"/>
    <w:rsid w:val="00857A7E"/>
    <w:rsid w:val="008604D2"/>
    <w:rsid w:val="008604ED"/>
    <w:rsid w:val="008607D8"/>
    <w:rsid w:val="00860B7C"/>
    <w:rsid w:val="00860BE6"/>
    <w:rsid w:val="00861708"/>
    <w:rsid w:val="00861ACC"/>
    <w:rsid w:val="00861DE6"/>
    <w:rsid w:val="008621B3"/>
    <w:rsid w:val="00862566"/>
    <w:rsid w:val="00862CC3"/>
    <w:rsid w:val="00862E3F"/>
    <w:rsid w:val="00864087"/>
    <w:rsid w:val="00864182"/>
    <w:rsid w:val="00864800"/>
    <w:rsid w:val="008649B1"/>
    <w:rsid w:val="0086503C"/>
    <w:rsid w:val="00865554"/>
    <w:rsid w:val="00865D5A"/>
    <w:rsid w:val="00866336"/>
    <w:rsid w:val="00866340"/>
    <w:rsid w:val="0086661D"/>
    <w:rsid w:val="008668E3"/>
    <w:rsid w:val="00867828"/>
    <w:rsid w:val="0087070F"/>
    <w:rsid w:val="008707F4"/>
    <w:rsid w:val="00870BCB"/>
    <w:rsid w:val="00870C2C"/>
    <w:rsid w:val="00871240"/>
    <w:rsid w:val="008712CA"/>
    <w:rsid w:val="008717D2"/>
    <w:rsid w:val="00871860"/>
    <w:rsid w:val="0087235C"/>
    <w:rsid w:val="00872D82"/>
    <w:rsid w:val="00872E12"/>
    <w:rsid w:val="008732ED"/>
    <w:rsid w:val="00873AE3"/>
    <w:rsid w:val="00873E3A"/>
    <w:rsid w:val="00874021"/>
    <w:rsid w:val="008745FC"/>
    <w:rsid w:val="0087548C"/>
    <w:rsid w:val="00875844"/>
    <w:rsid w:val="008758C0"/>
    <w:rsid w:val="008758CA"/>
    <w:rsid w:val="00875B9A"/>
    <w:rsid w:val="0087612E"/>
    <w:rsid w:val="0087696D"/>
    <w:rsid w:val="00877308"/>
    <w:rsid w:val="0087731D"/>
    <w:rsid w:val="0087783C"/>
    <w:rsid w:val="00877DA5"/>
    <w:rsid w:val="00880190"/>
    <w:rsid w:val="0088022A"/>
    <w:rsid w:val="008807AE"/>
    <w:rsid w:val="00881AC0"/>
    <w:rsid w:val="008824B2"/>
    <w:rsid w:val="008829F0"/>
    <w:rsid w:val="00883367"/>
    <w:rsid w:val="00883415"/>
    <w:rsid w:val="008839F9"/>
    <w:rsid w:val="00883B48"/>
    <w:rsid w:val="00884572"/>
    <w:rsid w:val="0088461D"/>
    <w:rsid w:val="008846A8"/>
    <w:rsid w:val="008849DA"/>
    <w:rsid w:val="00884A87"/>
    <w:rsid w:val="00884B1D"/>
    <w:rsid w:val="00884F32"/>
    <w:rsid w:val="00885624"/>
    <w:rsid w:val="00885D57"/>
    <w:rsid w:val="008861B7"/>
    <w:rsid w:val="00886334"/>
    <w:rsid w:val="00886767"/>
    <w:rsid w:val="00886A64"/>
    <w:rsid w:val="00886D3C"/>
    <w:rsid w:val="008871D9"/>
    <w:rsid w:val="00887D21"/>
    <w:rsid w:val="00887F09"/>
    <w:rsid w:val="00890019"/>
    <w:rsid w:val="008904D0"/>
    <w:rsid w:val="00890568"/>
    <w:rsid w:val="00890690"/>
    <w:rsid w:val="00890822"/>
    <w:rsid w:val="00890C01"/>
    <w:rsid w:val="0089127E"/>
    <w:rsid w:val="00891638"/>
    <w:rsid w:val="00891B62"/>
    <w:rsid w:val="00892335"/>
    <w:rsid w:val="0089266C"/>
    <w:rsid w:val="008929AD"/>
    <w:rsid w:val="008930DE"/>
    <w:rsid w:val="008933ED"/>
    <w:rsid w:val="00893712"/>
    <w:rsid w:val="008939FE"/>
    <w:rsid w:val="00893CA5"/>
    <w:rsid w:val="00894410"/>
    <w:rsid w:val="008944CC"/>
    <w:rsid w:val="008944FD"/>
    <w:rsid w:val="00894AA8"/>
    <w:rsid w:val="00894AC3"/>
    <w:rsid w:val="00894F40"/>
    <w:rsid w:val="00895359"/>
    <w:rsid w:val="00895811"/>
    <w:rsid w:val="008958C7"/>
    <w:rsid w:val="00895940"/>
    <w:rsid w:val="00895C86"/>
    <w:rsid w:val="00895E6C"/>
    <w:rsid w:val="0089603C"/>
    <w:rsid w:val="008962AF"/>
    <w:rsid w:val="008967B4"/>
    <w:rsid w:val="00897661"/>
    <w:rsid w:val="00897FE7"/>
    <w:rsid w:val="008A05EC"/>
    <w:rsid w:val="008A06F1"/>
    <w:rsid w:val="008A1164"/>
    <w:rsid w:val="008A1216"/>
    <w:rsid w:val="008A1491"/>
    <w:rsid w:val="008A1BBD"/>
    <w:rsid w:val="008A1CD6"/>
    <w:rsid w:val="008A28B9"/>
    <w:rsid w:val="008A2B31"/>
    <w:rsid w:val="008A2C16"/>
    <w:rsid w:val="008A32C1"/>
    <w:rsid w:val="008A32DC"/>
    <w:rsid w:val="008A3343"/>
    <w:rsid w:val="008A361F"/>
    <w:rsid w:val="008A37CE"/>
    <w:rsid w:val="008A3FC0"/>
    <w:rsid w:val="008A4281"/>
    <w:rsid w:val="008A50EB"/>
    <w:rsid w:val="008A53BF"/>
    <w:rsid w:val="008A65B6"/>
    <w:rsid w:val="008A67FB"/>
    <w:rsid w:val="008A6B0A"/>
    <w:rsid w:val="008A7305"/>
    <w:rsid w:val="008A74B3"/>
    <w:rsid w:val="008A7AE7"/>
    <w:rsid w:val="008A7E61"/>
    <w:rsid w:val="008B0EC9"/>
    <w:rsid w:val="008B0F4B"/>
    <w:rsid w:val="008B118D"/>
    <w:rsid w:val="008B1484"/>
    <w:rsid w:val="008B1585"/>
    <w:rsid w:val="008B18D3"/>
    <w:rsid w:val="008B1E86"/>
    <w:rsid w:val="008B227D"/>
    <w:rsid w:val="008B2498"/>
    <w:rsid w:val="008B2FA0"/>
    <w:rsid w:val="008B31F5"/>
    <w:rsid w:val="008B32EB"/>
    <w:rsid w:val="008B34F5"/>
    <w:rsid w:val="008B3532"/>
    <w:rsid w:val="008B3F9B"/>
    <w:rsid w:val="008B4494"/>
    <w:rsid w:val="008B4536"/>
    <w:rsid w:val="008B4B88"/>
    <w:rsid w:val="008B50CC"/>
    <w:rsid w:val="008B527E"/>
    <w:rsid w:val="008B5F9F"/>
    <w:rsid w:val="008B5FC0"/>
    <w:rsid w:val="008B62FA"/>
    <w:rsid w:val="008B6DA7"/>
    <w:rsid w:val="008B70B8"/>
    <w:rsid w:val="008B788B"/>
    <w:rsid w:val="008B7944"/>
    <w:rsid w:val="008B7A8C"/>
    <w:rsid w:val="008B7BBA"/>
    <w:rsid w:val="008B7CDB"/>
    <w:rsid w:val="008B7D1F"/>
    <w:rsid w:val="008B7D3B"/>
    <w:rsid w:val="008C0245"/>
    <w:rsid w:val="008C11A2"/>
    <w:rsid w:val="008C2206"/>
    <w:rsid w:val="008C2280"/>
    <w:rsid w:val="008C286D"/>
    <w:rsid w:val="008C3190"/>
    <w:rsid w:val="008C407A"/>
    <w:rsid w:val="008C41BA"/>
    <w:rsid w:val="008C4370"/>
    <w:rsid w:val="008C4950"/>
    <w:rsid w:val="008C517D"/>
    <w:rsid w:val="008C5B83"/>
    <w:rsid w:val="008C5E09"/>
    <w:rsid w:val="008C5EF1"/>
    <w:rsid w:val="008C5F1A"/>
    <w:rsid w:val="008C619B"/>
    <w:rsid w:val="008C629C"/>
    <w:rsid w:val="008C63C2"/>
    <w:rsid w:val="008C647A"/>
    <w:rsid w:val="008C6514"/>
    <w:rsid w:val="008C6763"/>
    <w:rsid w:val="008C698D"/>
    <w:rsid w:val="008C6D9A"/>
    <w:rsid w:val="008C74FA"/>
    <w:rsid w:val="008D006F"/>
    <w:rsid w:val="008D0A01"/>
    <w:rsid w:val="008D12BA"/>
    <w:rsid w:val="008D153B"/>
    <w:rsid w:val="008D1AB6"/>
    <w:rsid w:val="008D1EEB"/>
    <w:rsid w:val="008D240A"/>
    <w:rsid w:val="008D2567"/>
    <w:rsid w:val="008D262C"/>
    <w:rsid w:val="008D2CBE"/>
    <w:rsid w:val="008D2FC6"/>
    <w:rsid w:val="008D377B"/>
    <w:rsid w:val="008D3A0E"/>
    <w:rsid w:val="008D3B15"/>
    <w:rsid w:val="008D4137"/>
    <w:rsid w:val="008D4190"/>
    <w:rsid w:val="008D41EC"/>
    <w:rsid w:val="008D4BD4"/>
    <w:rsid w:val="008D4D59"/>
    <w:rsid w:val="008D4F95"/>
    <w:rsid w:val="008D59B8"/>
    <w:rsid w:val="008D6007"/>
    <w:rsid w:val="008D6053"/>
    <w:rsid w:val="008D6516"/>
    <w:rsid w:val="008D66CE"/>
    <w:rsid w:val="008D72EA"/>
    <w:rsid w:val="008D769C"/>
    <w:rsid w:val="008D7E63"/>
    <w:rsid w:val="008E01E4"/>
    <w:rsid w:val="008E0608"/>
    <w:rsid w:val="008E08BA"/>
    <w:rsid w:val="008E10DF"/>
    <w:rsid w:val="008E115D"/>
    <w:rsid w:val="008E13A7"/>
    <w:rsid w:val="008E16A6"/>
    <w:rsid w:val="008E18EB"/>
    <w:rsid w:val="008E1E58"/>
    <w:rsid w:val="008E1FD4"/>
    <w:rsid w:val="008E239D"/>
    <w:rsid w:val="008E2FF5"/>
    <w:rsid w:val="008E3203"/>
    <w:rsid w:val="008E39E0"/>
    <w:rsid w:val="008E3AAC"/>
    <w:rsid w:val="008E3DE3"/>
    <w:rsid w:val="008E41C4"/>
    <w:rsid w:val="008E41E4"/>
    <w:rsid w:val="008E4D1F"/>
    <w:rsid w:val="008E4F52"/>
    <w:rsid w:val="008E525F"/>
    <w:rsid w:val="008E5278"/>
    <w:rsid w:val="008E5453"/>
    <w:rsid w:val="008E56FD"/>
    <w:rsid w:val="008E5D64"/>
    <w:rsid w:val="008E5D82"/>
    <w:rsid w:val="008E622C"/>
    <w:rsid w:val="008E682E"/>
    <w:rsid w:val="008E6EA1"/>
    <w:rsid w:val="008E7715"/>
    <w:rsid w:val="008E7C41"/>
    <w:rsid w:val="008E7DE3"/>
    <w:rsid w:val="008F084E"/>
    <w:rsid w:val="008F0B8C"/>
    <w:rsid w:val="008F134A"/>
    <w:rsid w:val="008F140D"/>
    <w:rsid w:val="008F17D7"/>
    <w:rsid w:val="008F2284"/>
    <w:rsid w:val="008F22A8"/>
    <w:rsid w:val="008F2422"/>
    <w:rsid w:val="008F2883"/>
    <w:rsid w:val="008F2AE4"/>
    <w:rsid w:val="008F2D9D"/>
    <w:rsid w:val="008F2F94"/>
    <w:rsid w:val="008F331F"/>
    <w:rsid w:val="008F3542"/>
    <w:rsid w:val="008F3D30"/>
    <w:rsid w:val="008F3E1B"/>
    <w:rsid w:val="008F4000"/>
    <w:rsid w:val="008F41FE"/>
    <w:rsid w:val="008F4245"/>
    <w:rsid w:val="008F48C9"/>
    <w:rsid w:val="008F50A5"/>
    <w:rsid w:val="008F53CD"/>
    <w:rsid w:val="008F54D4"/>
    <w:rsid w:val="008F557F"/>
    <w:rsid w:val="008F591A"/>
    <w:rsid w:val="008F5BCE"/>
    <w:rsid w:val="008F5C27"/>
    <w:rsid w:val="008F5DC7"/>
    <w:rsid w:val="008F60A8"/>
    <w:rsid w:val="008F658B"/>
    <w:rsid w:val="008F688C"/>
    <w:rsid w:val="008F6BCC"/>
    <w:rsid w:val="008F75DD"/>
    <w:rsid w:val="008F780F"/>
    <w:rsid w:val="009002E8"/>
    <w:rsid w:val="00900631"/>
    <w:rsid w:val="00900857"/>
    <w:rsid w:val="0090091F"/>
    <w:rsid w:val="00900A04"/>
    <w:rsid w:val="00900B84"/>
    <w:rsid w:val="00900E01"/>
    <w:rsid w:val="009012BA"/>
    <w:rsid w:val="00902039"/>
    <w:rsid w:val="0090264E"/>
    <w:rsid w:val="009026E9"/>
    <w:rsid w:val="00902C6E"/>
    <w:rsid w:val="009034CF"/>
    <w:rsid w:val="009035E3"/>
    <w:rsid w:val="0090397C"/>
    <w:rsid w:val="009048C8"/>
    <w:rsid w:val="00904E4B"/>
    <w:rsid w:val="00905007"/>
    <w:rsid w:val="0090561E"/>
    <w:rsid w:val="00905889"/>
    <w:rsid w:val="00905B5F"/>
    <w:rsid w:val="00905D1A"/>
    <w:rsid w:val="00905D77"/>
    <w:rsid w:val="00906AB2"/>
    <w:rsid w:val="009075D1"/>
    <w:rsid w:val="00907A2B"/>
    <w:rsid w:val="00907EC8"/>
    <w:rsid w:val="00910777"/>
    <w:rsid w:val="009113A8"/>
    <w:rsid w:val="00911C30"/>
    <w:rsid w:val="00912A53"/>
    <w:rsid w:val="00912CBC"/>
    <w:rsid w:val="00912F8C"/>
    <w:rsid w:val="009137FC"/>
    <w:rsid w:val="00913B46"/>
    <w:rsid w:val="0091411F"/>
    <w:rsid w:val="009148C9"/>
    <w:rsid w:val="009149DC"/>
    <w:rsid w:val="00914A3E"/>
    <w:rsid w:val="009156AA"/>
    <w:rsid w:val="009157B6"/>
    <w:rsid w:val="00915924"/>
    <w:rsid w:val="00916A4F"/>
    <w:rsid w:val="00916F7F"/>
    <w:rsid w:val="0091715D"/>
    <w:rsid w:val="00917458"/>
    <w:rsid w:val="0091776B"/>
    <w:rsid w:val="00917813"/>
    <w:rsid w:val="00917A6A"/>
    <w:rsid w:val="00920046"/>
    <w:rsid w:val="0092017D"/>
    <w:rsid w:val="009206ED"/>
    <w:rsid w:val="0092087D"/>
    <w:rsid w:val="009210AD"/>
    <w:rsid w:val="009216CF"/>
    <w:rsid w:val="00921F00"/>
    <w:rsid w:val="00922DEE"/>
    <w:rsid w:val="00923084"/>
    <w:rsid w:val="0092308B"/>
    <w:rsid w:val="0092349A"/>
    <w:rsid w:val="00923783"/>
    <w:rsid w:val="00924227"/>
    <w:rsid w:val="00924385"/>
    <w:rsid w:val="009243A1"/>
    <w:rsid w:val="009243ED"/>
    <w:rsid w:val="00925C57"/>
    <w:rsid w:val="0092618F"/>
    <w:rsid w:val="009261F6"/>
    <w:rsid w:val="0092621F"/>
    <w:rsid w:val="00926871"/>
    <w:rsid w:val="00926CBE"/>
    <w:rsid w:val="009272E9"/>
    <w:rsid w:val="0092755E"/>
    <w:rsid w:val="00927D54"/>
    <w:rsid w:val="0093036D"/>
    <w:rsid w:val="00930DD8"/>
    <w:rsid w:val="00930E87"/>
    <w:rsid w:val="0093149D"/>
    <w:rsid w:val="00931A78"/>
    <w:rsid w:val="00931FA0"/>
    <w:rsid w:val="0093205B"/>
    <w:rsid w:val="009321FE"/>
    <w:rsid w:val="009324E0"/>
    <w:rsid w:val="009324F7"/>
    <w:rsid w:val="00932A5C"/>
    <w:rsid w:val="00933020"/>
    <w:rsid w:val="009333A7"/>
    <w:rsid w:val="00933F73"/>
    <w:rsid w:val="009340E2"/>
    <w:rsid w:val="00934D51"/>
    <w:rsid w:val="00934F59"/>
    <w:rsid w:val="0093510B"/>
    <w:rsid w:val="0093550E"/>
    <w:rsid w:val="00935B0C"/>
    <w:rsid w:val="00935B65"/>
    <w:rsid w:val="00935D93"/>
    <w:rsid w:val="00935E74"/>
    <w:rsid w:val="00936043"/>
    <w:rsid w:val="00936404"/>
    <w:rsid w:val="009364D2"/>
    <w:rsid w:val="00936526"/>
    <w:rsid w:val="00936935"/>
    <w:rsid w:val="00937039"/>
    <w:rsid w:val="009375C9"/>
    <w:rsid w:val="0093797B"/>
    <w:rsid w:val="00937B5B"/>
    <w:rsid w:val="00937E83"/>
    <w:rsid w:val="009403D3"/>
    <w:rsid w:val="00940B51"/>
    <w:rsid w:val="00941286"/>
    <w:rsid w:val="00941BCA"/>
    <w:rsid w:val="0094246B"/>
    <w:rsid w:val="00942D6F"/>
    <w:rsid w:val="0094363B"/>
    <w:rsid w:val="00943790"/>
    <w:rsid w:val="00943A76"/>
    <w:rsid w:val="00943AF0"/>
    <w:rsid w:val="00945220"/>
    <w:rsid w:val="00945992"/>
    <w:rsid w:val="00945A42"/>
    <w:rsid w:val="00945CDE"/>
    <w:rsid w:val="00945EF7"/>
    <w:rsid w:val="00945FD4"/>
    <w:rsid w:val="00946CAB"/>
    <w:rsid w:val="009471B9"/>
    <w:rsid w:val="0094767F"/>
    <w:rsid w:val="00947885"/>
    <w:rsid w:val="00947978"/>
    <w:rsid w:val="009479D0"/>
    <w:rsid w:val="00947EC3"/>
    <w:rsid w:val="00950030"/>
    <w:rsid w:val="00950A49"/>
    <w:rsid w:val="00950C7B"/>
    <w:rsid w:val="00951B68"/>
    <w:rsid w:val="00951BC3"/>
    <w:rsid w:val="00952571"/>
    <w:rsid w:val="00952675"/>
    <w:rsid w:val="00952690"/>
    <w:rsid w:val="00952FB1"/>
    <w:rsid w:val="009532BF"/>
    <w:rsid w:val="0095335D"/>
    <w:rsid w:val="00953523"/>
    <w:rsid w:val="00953873"/>
    <w:rsid w:val="009538CB"/>
    <w:rsid w:val="00953D17"/>
    <w:rsid w:val="009544D0"/>
    <w:rsid w:val="009544D3"/>
    <w:rsid w:val="009544F8"/>
    <w:rsid w:val="00954B29"/>
    <w:rsid w:val="00954B85"/>
    <w:rsid w:val="00955484"/>
    <w:rsid w:val="00955693"/>
    <w:rsid w:val="00955731"/>
    <w:rsid w:val="00955925"/>
    <w:rsid w:val="00955F53"/>
    <w:rsid w:val="009569E8"/>
    <w:rsid w:val="0095731D"/>
    <w:rsid w:val="0095741B"/>
    <w:rsid w:val="00960934"/>
    <w:rsid w:val="0096097E"/>
    <w:rsid w:val="0096104C"/>
    <w:rsid w:val="00961B1B"/>
    <w:rsid w:val="00961FEE"/>
    <w:rsid w:val="00962079"/>
    <w:rsid w:val="00962493"/>
    <w:rsid w:val="00962570"/>
    <w:rsid w:val="009626A7"/>
    <w:rsid w:val="00962AE3"/>
    <w:rsid w:val="00962BDE"/>
    <w:rsid w:val="00962DA1"/>
    <w:rsid w:val="00962EDE"/>
    <w:rsid w:val="00963009"/>
    <w:rsid w:val="0096305C"/>
    <w:rsid w:val="0096310D"/>
    <w:rsid w:val="00963326"/>
    <w:rsid w:val="009633C2"/>
    <w:rsid w:val="00963480"/>
    <w:rsid w:val="009636F9"/>
    <w:rsid w:val="00963F08"/>
    <w:rsid w:val="0096466C"/>
    <w:rsid w:val="00964FE1"/>
    <w:rsid w:val="009656B4"/>
    <w:rsid w:val="009658E1"/>
    <w:rsid w:val="00965ECB"/>
    <w:rsid w:val="009660FF"/>
    <w:rsid w:val="009664F2"/>
    <w:rsid w:val="009665AC"/>
    <w:rsid w:val="00966BE9"/>
    <w:rsid w:val="00966FDF"/>
    <w:rsid w:val="0096730A"/>
    <w:rsid w:val="00967CF5"/>
    <w:rsid w:val="0097057D"/>
    <w:rsid w:val="00971057"/>
    <w:rsid w:val="00971271"/>
    <w:rsid w:val="00971519"/>
    <w:rsid w:val="00971D1D"/>
    <w:rsid w:val="00972EEA"/>
    <w:rsid w:val="00972FD1"/>
    <w:rsid w:val="00974068"/>
    <w:rsid w:val="00974202"/>
    <w:rsid w:val="00974DAE"/>
    <w:rsid w:val="009760AD"/>
    <w:rsid w:val="0097673A"/>
    <w:rsid w:val="00976C68"/>
    <w:rsid w:val="00976F4F"/>
    <w:rsid w:val="00977213"/>
    <w:rsid w:val="00977C65"/>
    <w:rsid w:val="00980039"/>
    <w:rsid w:val="009800B0"/>
    <w:rsid w:val="009803D3"/>
    <w:rsid w:val="00980E9D"/>
    <w:rsid w:val="00980F45"/>
    <w:rsid w:val="00981383"/>
    <w:rsid w:val="009820CC"/>
    <w:rsid w:val="009821C9"/>
    <w:rsid w:val="009823E2"/>
    <w:rsid w:val="00982CE3"/>
    <w:rsid w:val="00982DEC"/>
    <w:rsid w:val="00983EA5"/>
    <w:rsid w:val="009843DA"/>
    <w:rsid w:val="00984423"/>
    <w:rsid w:val="009847FB"/>
    <w:rsid w:val="00984CEB"/>
    <w:rsid w:val="00985073"/>
    <w:rsid w:val="00985C73"/>
    <w:rsid w:val="00985C85"/>
    <w:rsid w:val="00986126"/>
    <w:rsid w:val="00986D2C"/>
    <w:rsid w:val="00986E26"/>
    <w:rsid w:val="00987C99"/>
    <w:rsid w:val="00987D01"/>
    <w:rsid w:val="00987F1C"/>
    <w:rsid w:val="00990328"/>
    <w:rsid w:val="009903CD"/>
    <w:rsid w:val="00990B5E"/>
    <w:rsid w:val="00991346"/>
    <w:rsid w:val="00991AC7"/>
    <w:rsid w:val="00991B0D"/>
    <w:rsid w:val="00991CA4"/>
    <w:rsid w:val="00991CFE"/>
    <w:rsid w:val="00991D94"/>
    <w:rsid w:val="00991E45"/>
    <w:rsid w:val="0099239A"/>
    <w:rsid w:val="00992730"/>
    <w:rsid w:val="009930B7"/>
    <w:rsid w:val="00993639"/>
    <w:rsid w:val="0099397B"/>
    <w:rsid w:val="00993CB2"/>
    <w:rsid w:val="00993CF5"/>
    <w:rsid w:val="00994C6B"/>
    <w:rsid w:val="00994DEA"/>
    <w:rsid w:val="009951AE"/>
    <w:rsid w:val="00995B15"/>
    <w:rsid w:val="00995BF0"/>
    <w:rsid w:val="00996875"/>
    <w:rsid w:val="00996A24"/>
    <w:rsid w:val="00996C67"/>
    <w:rsid w:val="009971AA"/>
    <w:rsid w:val="00997541"/>
    <w:rsid w:val="009979D8"/>
    <w:rsid w:val="00997C05"/>
    <w:rsid w:val="009A046E"/>
    <w:rsid w:val="009A048A"/>
    <w:rsid w:val="009A07A9"/>
    <w:rsid w:val="009A085F"/>
    <w:rsid w:val="009A0C22"/>
    <w:rsid w:val="009A0DA9"/>
    <w:rsid w:val="009A110A"/>
    <w:rsid w:val="009A1436"/>
    <w:rsid w:val="009A1805"/>
    <w:rsid w:val="009A1C9E"/>
    <w:rsid w:val="009A21B2"/>
    <w:rsid w:val="009A2264"/>
    <w:rsid w:val="009A2443"/>
    <w:rsid w:val="009A2B2A"/>
    <w:rsid w:val="009A2FF3"/>
    <w:rsid w:val="009A3076"/>
    <w:rsid w:val="009A384E"/>
    <w:rsid w:val="009A3A09"/>
    <w:rsid w:val="009A4296"/>
    <w:rsid w:val="009A4674"/>
    <w:rsid w:val="009A51DE"/>
    <w:rsid w:val="009A5403"/>
    <w:rsid w:val="009A5A14"/>
    <w:rsid w:val="009A6297"/>
    <w:rsid w:val="009A753D"/>
    <w:rsid w:val="009A75D5"/>
    <w:rsid w:val="009A77E7"/>
    <w:rsid w:val="009A7A3C"/>
    <w:rsid w:val="009B0040"/>
    <w:rsid w:val="009B014A"/>
    <w:rsid w:val="009B096A"/>
    <w:rsid w:val="009B0CE6"/>
    <w:rsid w:val="009B16BF"/>
    <w:rsid w:val="009B1BC8"/>
    <w:rsid w:val="009B1C21"/>
    <w:rsid w:val="009B1CA5"/>
    <w:rsid w:val="009B234D"/>
    <w:rsid w:val="009B2442"/>
    <w:rsid w:val="009B2504"/>
    <w:rsid w:val="009B2631"/>
    <w:rsid w:val="009B2700"/>
    <w:rsid w:val="009B2884"/>
    <w:rsid w:val="009B2FB9"/>
    <w:rsid w:val="009B3142"/>
    <w:rsid w:val="009B38F0"/>
    <w:rsid w:val="009B391D"/>
    <w:rsid w:val="009B3FB8"/>
    <w:rsid w:val="009B410E"/>
    <w:rsid w:val="009B48C4"/>
    <w:rsid w:val="009B4A79"/>
    <w:rsid w:val="009B4C6E"/>
    <w:rsid w:val="009B4EEA"/>
    <w:rsid w:val="009B5DD2"/>
    <w:rsid w:val="009B679B"/>
    <w:rsid w:val="009B6E8B"/>
    <w:rsid w:val="009B73B5"/>
    <w:rsid w:val="009C04C0"/>
    <w:rsid w:val="009C04D7"/>
    <w:rsid w:val="009C05CC"/>
    <w:rsid w:val="009C06A0"/>
    <w:rsid w:val="009C103E"/>
    <w:rsid w:val="009C1083"/>
    <w:rsid w:val="009C1B56"/>
    <w:rsid w:val="009C256C"/>
    <w:rsid w:val="009C2FCB"/>
    <w:rsid w:val="009C3DAF"/>
    <w:rsid w:val="009C40DA"/>
    <w:rsid w:val="009C41CD"/>
    <w:rsid w:val="009C4D7C"/>
    <w:rsid w:val="009C4FA3"/>
    <w:rsid w:val="009C60B8"/>
    <w:rsid w:val="009C6654"/>
    <w:rsid w:val="009C777E"/>
    <w:rsid w:val="009C7792"/>
    <w:rsid w:val="009C7F9C"/>
    <w:rsid w:val="009D0197"/>
    <w:rsid w:val="009D1148"/>
    <w:rsid w:val="009D2A37"/>
    <w:rsid w:val="009D306B"/>
    <w:rsid w:val="009D3986"/>
    <w:rsid w:val="009D3EF5"/>
    <w:rsid w:val="009D40A9"/>
    <w:rsid w:val="009D45A5"/>
    <w:rsid w:val="009D4D21"/>
    <w:rsid w:val="009D4E90"/>
    <w:rsid w:val="009D55A4"/>
    <w:rsid w:val="009D5E1B"/>
    <w:rsid w:val="009D6114"/>
    <w:rsid w:val="009D6269"/>
    <w:rsid w:val="009D6419"/>
    <w:rsid w:val="009D6866"/>
    <w:rsid w:val="009D68AD"/>
    <w:rsid w:val="009D68AE"/>
    <w:rsid w:val="009D6D5F"/>
    <w:rsid w:val="009D730B"/>
    <w:rsid w:val="009D73FC"/>
    <w:rsid w:val="009D79E2"/>
    <w:rsid w:val="009D7E8F"/>
    <w:rsid w:val="009E01C2"/>
    <w:rsid w:val="009E0736"/>
    <w:rsid w:val="009E0769"/>
    <w:rsid w:val="009E0929"/>
    <w:rsid w:val="009E0D6E"/>
    <w:rsid w:val="009E0EFF"/>
    <w:rsid w:val="009E123C"/>
    <w:rsid w:val="009E20CE"/>
    <w:rsid w:val="009E220E"/>
    <w:rsid w:val="009E3010"/>
    <w:rsid w:val="009E3012"/>
    <w:rsid w:val="009E34F5"/>
    <w:rsid w:val="009E36AF"/>
    <w:rsid w:val="009E3BB3"/>
    <w:rsid w:val="009E3E04"/>
    <w:rsid w:val="009E3E68"/>
    <w:rsid w:val="009E3FA4"/>
    <w:rsid w:val="009E4207"/>
    <w:rsid w:val="009E427C"/>
    <w:rsid w:val="009E4FE5"/>
    <w:rsid w:val="009E529B"/>
    <w:rsid w:val="009E53C2"/>
    <w:rsid w:val="009E55A5"/>
    <w:rsid w:val="009E5DD3"/>
    <w:rsid w:val="009E61FC"/>
    <w:rsid w:val="009E717E"/>
    <w:rsid w:val="009E7828"/>
    <w:rsid w:val="009E7852"/>
    <w:rsid w:val="009E786E"/>
    <w:rsid w:val="009F012F"/>
    <w:rsid w:val="009F0162"/>
    <w:rsid w:val="009F08D1"/>
    <w:rsid w:val="009F0A9C"/>
    <w:rsid w:val="009F0CED"/>
    <w:rsid w:val="009F0E86"/>
    <w:rsid w:val="009F1D24"/>
    <w:rsid w:val="009F2957"/>
    <w:rsid w:val="009F2B74"/>
    <w:rsid w:val="009F2E0D"/>
    <w:rsid w:val="009F2F9F"/>
    <w:rsid w:val="009F3573"/>
    <w:rsid w:val="009F47CB"/>
    <w:rsid w:val="009F483C"/>
    <w:rsid w:val="009F4A17"/>
    <w:rsid w:val="009F52F9"/>
    <w:rsid w:val="009F56CA"/>
    <w:rsid w:val="009F5C8F"/>
    <w:rsid w:val="009F5CD5"/>
    <w:rsid w:val="009F608E"/>
    <w:rsid w:val="009F6146"/>
    <w:rsid w:val="009F6ED2"/>
    <w:rsid w:val="009F73F3"/>
    <w:rsid w:val="009F7577"/>
    <w:rsid w:val="00A00476"/>
    <w:rsid w:val="00A00EE3"/>
    <w:rsid w:val="00A013B0"/>
    <w:rsid w:val="00A0196E"/>
    <w:rsid w:val="00A01D67"/>
    <w:rsid w:val="00A01F2C"/>
    <w:rsid w:val="00A0231B"/>
    <w:rsid w:val="00A02821"/>
    <w:rsid w:val="00A02DCB"/>
    <w:rsid w:val="00A030F0"/>
    <w:rsid w:val="00A03502"/>
    <w:rsid w:val="00A03901"/>
    <w:rsid w:val="00A03923"/>
    <w:rsid w:val="00A03B3E"/>
    <w:rsid w:val="00A03B52"/>
    <w:rsid w:val="00A03D1F"/>
    <w:rsid w:val="00A03E4D"/>
    <w:rsid w:val="00A04342"/>
    <w:rsid w:val="00A0468D"/>
    <w:rsid w:val="00A046E3"/>
    <w:rsid w:val="00A04DD9"/>
    <w:rsid w:val="00A050EE"/>
    <w:rsid w:val="00A05486"/>
    <w:rsid w:val="00A054C6"/>
    <w:rsid w:val="00A0594D"/>
    <w:rsid w:val="00A0597C"/>
    <w:rsid w:val="00A05ADC"/>
    <w:rsid w:val="00A05C47"/>
    <w:rsid w:val="00A062AE"/>
    <w:rsid w:val="00A06311"/>
    <w:rsid w:val="00A06D9D"/>
    <w:rsid w:val="00A07180"/>
    <w:rsid w:val="00A075FC"/>
    <w:rsid w:val="00A07E5A"/>
    <w:rsid w:val="00A1061E"/>
    <w:rsid w:val="00A10877"/>
    <w:rsid w:val="00A10C3C"/>
    <w:rsid w:val="00A10D42"/>
    <w:rsid w:val="00A11026"/>
    <w:rsid w:val="00A114CD"/>
    <w:rsid w:val="00A1150B"/>
    <w:rsid w:val="00A11DF0"/>
    <w:rsid w:val="00A1278D"/>
    <w:rsid w:val="00A13278"/>
    <w:rsid w:val="00A13423"/>
    <w:rsid w:val="00A1375D"/>
    <w:rsid w:val="00A138F0"/>
    <w:rsid w:val="00A13EA6"/>
    <w:rsid w:val="00A14199"/>
    <w:rsid w:val="00A141BC"/>
    <w:rsid w:val="00A14A66"/>
    <w:rsid w:val="00A14FD1"/>
    <w:rsid w:val="00A156D9"/>
    <w:rsid w:val="00A158FB"/>
    <w:rsid w:val="00A15C65"/>
    <w:rsid w:val="00A1671E"/>
    <w:rsid w:val="00A168D1"/>
    <w:rsid w:val="00A17057"/>
    <w:rsid w:val="00A171B2"/>
    <w:rsid w:val="00A17CED"/>
    <w:rsid w:val="00A17FF4"/>
    <w:rsid w:val="00A2075D"/>
    <w:rsid w:val="00A2094E"/>
    <w:rsid w:val="00A20B71"/>
    <w:rsid w:val="00A21064"/>
    <w:rsid w:val="00A21924"/>
    <w:rsid w:val="00A21A41"/>
    <w:rsid w:val="00A21B57"/>
    <w:rsid w:val="00A22425"/>
    <w:rsid w:val="00A2289A"/>
    <w:rsid w:val="00A22ABB"/>
    <w:rsid w:val="00A22C6B"/>
    <w:rsid w:val="00A22FF8"/>
    <w:rsid w:val="00A234CA"/>
    <w:rsid w:val="00A234EA"/>
    <w:rsid w:val="00A23C1F"/>
    <w:rsid w:val="00A23D10"/>
    <w:rsid w:val="00A246E9"/>
    <w:rsid w:val="00A24E69"/>
    <w:rsid w:val="00A25CD7"/>
    <w:rsid w:val="00A25F3D"/>
    <w:rsid w:val="00A261DA"/>
    <w:rsid w:val="00A26273"/>
    <w:rsid w:val="00A26869"/>
    <w:rsid w:val="00A26A8A"/>
    <w:rsid w:val="00A270A4"/>
    <w:rsid w:val="00A2743F"/>
    <w:rsid w:val="00A27986"/>
    <w:rsid w:val="00A27ACB"/>
    <w:rsid w:val="00A27E12"/>
    <w:rsid w:val="00A302F0"/>
    <w:rsid w:val="00A303F3"/>
    <w:rsid w:val="00A30D52"/>
    <w:rsid w:val="00A31DD6"/>
    <w:rsid w:val="00A32952"/>
    <w:rsid w:val="00A3297C"/>
    <w:rsid w:val="00A335CC"/>
    <w:rsid w:val="00A337E5"/>
    <w:rsid w:val="00A338C3"/>
    <w:rsid w:val="00A3398E"/>
    <w:rsid w:val="00A34388"/>
    <w:rsid w:val="00A344CD"/>
    <w:rsid w:val="00A345CD"/>
    <w:rsid w:val="00A348AD"/>
    <w:rsid w:val="00A35359"/>
    <w:rsid w:val="00A3538A"/>
    <w:rsid w:val="00A354D6"/>
    <w:rsid w:val="00A3613F"/>
    <w:rsid w:val="00A3657F"/>
    <w:rsid w:val="00A369BF"/>
    <w:rsid w:val="00A36A29"/>
    <w:rsid w:val="00A36AD1"/>
    <w:rsid w:val="00A36B15"/>
    <w:rsid w:val="00A370BD"/>
    <w:rsid w:val="00A373C1"/>
    <w:rsid w:val="00A376ED"/>
    <w:rsid w:val="00A379DE"/>
    <w:rsid w:val="00A37BA7"/>
    <w:rsid w:val="00A37FD2"/>
    <w:rsid w:val="00A4031D"/>
    <w:rsid w:val="00A4069F"/>
    <w:rsid w:val="00A406C7"/>
    <w:rsid w:val="00A4098A"/>
    <w:rsid w:val="00A40AA4"/>
    <w:rsid w:val="00A41675"/>
    <w:rsid w:val="00A41E50"/>
    <w:rsid w:val="00A42AC7"/>
    <w:rsid w:val="00A42C20"/>
    <w:rsid w:val="00A42C61"/>
    <w:rsid w:val="00A43390"/>
    <w:rsid w:val="00A43AAC"/>
    <w:rsid w:val="00A4420B"/>
    <w:rsid w:val="00A44286"/>
    <w:rsid w:val="00A442C5"/>
    <w:rsid w:val="00A4436B"/>
    <w:rsid w:val="00A44DDC"/>
    <w:rsid w:val="00A44EAB"/>
    <w:rsid w:val="00A44FAD"/>
    <w:rsid w:val="00A45339"/>
    <w:rsid w:val="00A45879"/>
    <w:rsid w:val="00A46023"/>
    <w:rsid w:val="00A464D0"/>
    <w:rsid w:val="00A47AC5"/>
    <w:rsid w:val="00A47ACC"/>
    <w:rsid w:val="00A47B70"/>
    <w:rsid w:val="00A47F0E"/>
    <w:rsid w:val="00A50494"/>
    <w:rsid w:val="00A50E44"/>
    <w:rsid w:val="00A516B4"/>
    <w:rsid w:val="00A51991"/>
    <w:rsid w:val="00A519DF"/>
    <w:rsid w:val="00A52656"/>
    <w:rsid w:val="00A52965"/>
    <w:rsid w:val="00A52988"/>
    <w:rsid w:val="00A52A18"/>
    <w:rsid w:val="00A52AC7"/>
    <w:rsid w:val="00A52B38"/>
    <w:rsid w:val="00A52FFC"/>
    <w:rsid w:val="00A530AF"/>
    <w:rsid w:val="00A5392B"/>
    <w:rsid w:val="00A53AF0"/>
    <w:rsid w:val="00A5435B"/>
    <w:rsid w:val="00A547BF"/>
    <w:rsid w:val="00A548DE"/>
    <w:rsid w:val="00A54A45"/>
    <w:rsid w:val="00A54EF3"/>
    <w:rsid w:val="00A55C0E"/>
    <w:rsid w:val="00A55EBC"/>
    <w:rsid w:val="00A565DC"/>
    <w:rsid w:val="00A56B36"/>
    <w:rsid w:val="00A56C6E"/>
    <w:rsid w:val="00A57500"/>
    <w:rsid w:val="00A57536"/>
    <w:rsid w:val="00A57653"/>
    <w:rsid w:val="00A6071F"/>
    <w:rsid w:val="00A60945"/>
    <w:rsid w:val="00A609F0"/>
    <w:rsid w:val="00A60DB5"/>
    <w:rsid w:val="00A61014"/>
    <w:rsid w:val="00A611F4"/>
    <w:rsid w:val="00A611F9"/>
    <w:rsid w:val="00A6127D"/>
    <w:rsid w:val="00A6166C"/>
    <w:rsid w:val="00A61A1C"/>
    <w:rsid w:val="00A61D9A"/>
    <w:rsid w:val="00A6219E"/>
    <w:rsid w:val="00A623E7"/>
    <w:rsid w:val="00A627A7"/>
    <w:rsid w:val="00A629EB"/>
    <w:rsid w:val="00A62CD9"/>
    <w:rsid w:val="00A62E0D"/>
    <w:rsid w:val="00A62EE2"/>
    <w:rsid w:val="00A636D8"/>
    <w:rsid w:val="00A63854"/>
    <w:rsid w:val="00A639E7"/>
    <w:rsid w:val="00A63E16"/>
    <w:rsid w:val="00A64603"/>
    <w:rsid w:val="00A64741"/>
    <w:rsid w:val="00A64CFD"/>
    <w:rsid w:val="00A65020"/>
    <w:rsid w:val="00A65862"/>
    <w:rsid w:val="00A66029"/>
    <w:rsid w:val="00A66532"/>
    <w:rsid w:val="00A66A10"/>
    <w:rsid w:val="00A675E8"/>
    <w:rsid w:val="00A7020E"/>
    <w:rsid w:val="00A7070B"/>
    <w:rsid w:val="00A70C43"/>
    <w:rsid w:val="00A70EF0"/>
    <w:rsid w:val="00A715F2"/>
    <w:rsid w:val="00A7199F"/>
    <w:rsid w:val="00A71B11"/>
    <w:rsid w:val="00A71E3D"/>
    <w:rsid w:val="00A72038"/>
    <w:rsid w:val="00A7272E"/>
    <w:rsid w:val="00A730CC"/>
    <w:rsid w:val="00A73685"/>
    <w:rsid w:val="00A73938"/>
    <w:rsid w:val="00A739A9"/>
    <w:rsid w:val="00A739F8"/>
    <w:rsid w:val="00A73B17"/>
    <w:rsid w:val="00A73F7D"/>
    <w:rsid w:val="00A7446F"/>
    <w:rsid w:val="00A74602"/>
    <w:rsid w:val="00A751D7"/>
    <w:rsid w:val="00A751F4"/>
    <w:rsid w:val="00A758E0"/>
    <w:rsid w:val="00A75D3C"/>
    <w:rsid w:val="00A7615A"/>
    <w:rsid w:val="00A76849"/>
    <w:rsid w:val="00A76B52"/>
    <w:rsid w:val="00A76E0E"/>
    <w:rsid w:val="00A76F0E"/>
    <w:rsid w:val="00A776E4"/>
    <w:rsid w:val="00A77AC6"/>
    <w:rsid w:val="00A80154"/>
    <w:rsid w:val="00A8017E"/>
    <w:rsid w:val="00A80ACE"/>
    <w:rsid w:val="00A80CB7"/>
    <w:rsid w:val="00A80E11"/>
    <w:rsid w:val="00A8165C"/>
    <w:rsid w:val="00A81863"/>
    <w:rsid w:val="00A8206B"/>
    <w:rsid w:val="00A82591"/>
    <w:rsid w:val="00A82B75"/>
    <w:rsid w:val="00A82D52"/>
    <w:rsid w:val="00A834DD"/>
    <w:rsid w:val="00A83830"/>
    <w:rsid w:val="00A839DE"/>
    <w:rsid w:val="00A83B02"/>
    <w:rsid w:val="00A83CCD"/>
    <w:rsid w:val="00A840EB"/>
    <w:rsid w:val="00A858FC"/>
    <w:rsid w:val="00A85EB2"/>
    <w:rsid w:val="00A86316"/>
    <w:rsid w:val="00A86334"/>
    <w:rsid w:val="00A863CC"/>
    <w:rsid w:val="00A868D9"/>
    <w:rsid w:val="00A87054"/>
    <w:rsid w:val="00A87B8B"/>
    <w:rsid w:val="00A90EF3"/>
    <w:rsid w:val="00A918EB"/>
    <w:rsid w:val="00A91E08"/>
    <w:rsid w:val="00A91EAA"/>
    <w:rsid w:val="00A92802"/>
    <w:rsid w:val="00A929E2"/>
    <w:rsid w:val="00A92DE1"/>
    <w:rsid w:val="00A92E3A"/>
    <w:rsid w:val="00A93058"/>
    <w:rsid w:val="00A93567"/>
    <w:rsid w:val="00A9357B"/>
    <w:rsid w:val="00A95634"/>
    <w:rsid w:val="00A95E31"/>
    <w:rsid w:val="00A960AD"/>
    <w:rsid w:val="00A962A0"/>
    <w:rsid w:val="00A963F7"/>
    <w:rsid w:val="00A96507"/>
    <w:rsid w:val="00A966EF"/>
    <w:rsid w:val="00A96D9D"/>
    <w:rsid w:val="00A97047"/>
    <w:rsid w:val="00A97422"/>
    <w:rsid w:val="00A97973"/>
    <w:rsid w:val="00AA02BF"/>
    <w:rsid w:val="00AA0D30"/>
    <w:rsid w:val="00AA0F4C"/>
    <w:rsid w:val="00AA1298"/>
    <w:rsid w:val="00AA18C5"/>
    <w:rsid w:val="00AA1A29"/>
    <w:rsid w:val="00AA1AE5"/>
    <w:rsid w:val="00AA1E41"/>
    <w:rsid w:val="00AA1EF7"/>
    <w:rsid w:val="00AA2B57"/>
    <w:rsid w:val="00AA3350"/>
    <w:rsid w:val="00AA3796"/>
    <w:rsid w:val="00AA385A"/>
    <w:rsid w:val="00AA3B6C"/>
    <w:rsid w:val="00AA48EE"/>
    <w:rsid w:val="00AA4CEE"/>
    <w:rsid w:val="00AA5218"/>
    <w:rsid w:val="00AA6055"/>
    <w:rsid w:val="00AA6E10"/>
    <w:rsid w:val="00AA7143"/>
    <w:rsid w:val="00AA7410"/>
    <w:rsid w:val="00AB0724"/>
    <w:rsid w:val="00AB12F0"/>
    <w:rsid w:val="00AB1626"/>
    <w:rsid w:val="00AB1BFD"/>
    <w:rsid w:val="00AB2A14"/>
    <w:rsid w:val="00AB2D40"/>
    <w:rsid w:val="00AB31B1"/>
    <w:rsid w:val="00AB3843"/>
    <w:rsid w:val="00AB3FF5"/>
    <w:rsid w:val="00AB4136"/>
    <w:rsid w:val="00AB4339"/>
    <w:rsid w:val="00AB4DA1"/>
    <w:rsid w:val="00AB516C"/>
    <w:rsid w:val="00AB52B0"/>
    <w:rsid w:val="00AB52C5"/>
    <w:rsid w:val="00AB5838"/>
    <w:rsid w:val="00AB5A24"/>
    <w:rsid w:val="00AB6033"/>
    <w:rsid w:val="00AB73C2"/>
    <w:rsid w:val="00AB7DC1"/>
    <w:rsid w:val="00AB7E6B"/>
    <w:rsid w:val="00AC0255"/>
    <w:rsid w:val="00AC04BA"/>
    <w:rsid w:val="00AC08F2"/>
    <w:rsid w:val="00AC0C7F"/>
    <w:rsid w:val="00AC0D36"/>
    <w:rsid w:val="00AC1323"/>
    <w:rsid w:val="00AC13EB"/>
    <w:rsid w:val="00AC1F1A"/>
    <w:rsid w:val="00AC1FC9"/>
    <w:rsid w:val="00AC21C0"/>
    <w:rsid w:val="00AC2E8B"/>
    <w:rsid w:val="00AC34B2"/>
    <w:rsid w:val="00AC34F1"/>
    <w:rsid w:val="00AC36B8"/>
    <w:rsid w:val="00AC43E0"/>
    <w:rsid w:val="00AC48BC"/>
    <w:rsid w:val="00AC4C31"/>
    <w:rsid w:val="00AC4FC7"/>
    <w:rsid w:val="00AC5034"/>
    <w:rsid w:val="00AC54BB"/>
    <w:rsid w:val="00AC58B7"/>
    <w:rsid w:val="00AC5B8B"/>
    <w:rsid w:val="00AC62E8"/>
    <w:rsid w:val="00AC65A9"/>
    <w:rsid w:val="00AC66F9"/>
    <w:rsid w:val="00AC697A"/>
    <w:rsid w:val="00AC6AAE"/>
    <w:rsid w:val="00AC76A9"/>
    <w:rsid w:val="00AC7A5C"/>
    <w:rsid w:val="00AC7BAC"/>
    <w:rsid w:val="00AC7C33"/>
    <w:rsid w:val="00AC7FCC"/>
    <w:rsid w:val="00AD00FF"/>
    <w:rsid w:val="00AD0494"/>
    <w:rsid w:val="00AD0A60"/>
    <w:rsid w:val="00AD0C20"/>
    <w:rsid w:val="00AD10D7"/>
    <w:rsid w:val="00AD1124"/>
    <w:rsid w:val="00AD11F9"/>
    <w:rsid w:val="00AD154E"/>
    <w:rsid w:val="00AD1567"/>
    <w:rsid w:val="00AD1833"/>
    <w:rsid w:val="00AD256D"/>
    <w:rsid w:val="00AD2652"/>
    <w:rsid w:val="00AD2701"/>
    <w:rsid w:val="00AD298D"/>
    <w:rsid w:val="00AD2A1D"/>
    <w:rsid w:val="00AD2ECE"/>
    <w:rsid w:val="00AD335A"/>
    <w:rsid w:val="00AD343A"/>
    <w:rsid w:val="00AD34C5"/>
    <w:rsid w:val="00AD39EC"/>
    <w:rsid w:val="00AD40DF"/>
    <w:rsid w:val="00AD4257"/>
    <w:rsid w:val="00AD472F"/>
    <w:rsid w:val="00AD4B9A"/>
    <w:rsid w:val="00AD53D2"/>
    <w:rsid w:val="00AD5BF1"/>
    <w:rsid w:val="00AD5C56"/>
    <w:rsid w:val="00AD67FA"/>
    <w:rsid w:val="00AD680A"/>
    <w:rsid w:val="00AD75FC"/>
    <w:rsid w:val="00AD7869"/>
    <w:rsid w:val="00AD7B0B"/>
    <w:rsid w:val="00AD7CA6"/>
    <w:rsid w:val="00AE02EC"/>
    <w:rsid w:val="00AE078F"/>
    <w:rsid w:val="00AE0BDB"/>
    <w:rsid w:val="00AE1211"/>
    <w:rsid w:val="00AE1D41"/>
    <w:rsid w:val="00AE23FB"/>
    <w:rsid w:val="00AE27DB"/>
    <w:rsid w:val="00AE289F"/>
    <w:rsid w:val="00AE3E71"/>
    <w:rsid w:val="00AE3F0B"/>
    <w:rsid w:val="00AE408A"/>
    <w:rsid w:val="00AE42AF"/>
    <w:rsid w:val="00AE4C09"/>
    <w:rsid w:val="00AE4C52"/>
    <w:rsid w:val="00AE4F29"/>
    <w:rsid w:val="00AE4F97"/>
    <w:rsid w:val="00AE5325"/>
    <w:rsid w:val="00AE5456"/>
    <w:rsid w:val="00AE6010"/>
    <w:rsid w:val="00AE62B1"/>
    <w:rsid w:val="00AE63AD"/>
    <w:rsid w:val="00AE6ED4"/>
    <w:rsid w:val="00AE70EE"/>
    <w:rsid w:val="00AE719A"/>
    <w:rsid w:val="00AE7835"/>
    <w:rsid w:val="00AE7B1F"/>
    <w:rsid w:val="00AE7C54"/>
    <w:rsid w:val="00AE7C68"/>
    <w:rsid w:val="00AE7E8F"/>
    <w:rsid w:val="00AF0352"/>
    <w:rsid w:val="00AF0544"/>
    <w:rsid w:val="00AF0AC2"/>
    <w:rsid w:val="00AF1BBB"/>
    <w:rsid w:val="00AF1C5A"/>
    <w:rsid w:val="00AF1D82"/>
    <w:rsid w:val="00AF1EB5"/>
    <w:rsid w:val="00AF21D5"/>
    <w:rsid w:val="00AF26A9"/>
    <w:rsid w:val="00AF2A59"/>
    <w:rsid w:val="00AF2B5F"/>
    <w:rsid w:val="00AF32DB"/>
    <w:rsid w:val="00AF33F2"/>
    <w:rsid w:val="00AF3648"/>
    <w:rsid w:val="00AF3B93"/>
    <w:rsid w:val="00AF3B94"/>
    <w:rsid w:val="00AF3BB1"/>
    <w:rsid w:val="00AF4570"/>
    <w:rsid w:val="00AF49C0"/>
    <w:rsid w:val="00AF51DD"/>
    <w:rsid w:val="00AF52EF"/>
    <w:rsid w:val="00AF5B8B"/>
    <w:rsid w:val="00AF60C8"/>
    <w:rsid w:val="00AF6265"/>
    <w:rsid w:val="00AF6A20"/>
    <w:rsid w:val="00AF6DDA"/>
    <w:rsid w:val="00AF6F2C"/>
    <w:rsid w:val="00AF70E2"/>
    <w:rsid w:val="00AF70F1"/>
    <w:rsid w:val="00AF76DF"/>
    <w:rsid w:val="00B005AA"/>
    <w:rsid w:val="00B00C9C"/>
    <w:rsid w:val="00B010D6"/>
    <w:rsid w:val="00B01CAC"/>
    <w:rsid w:val="00B02150"/>
    <w:rsid w:val="00B0295B"/>
    <w:rsid w:val="00B02F05"/>
    <w:rsid w:val="00B02F6D"/>
    <w:rsid w:val="00B03612"/>
    <w:rsid w:val="00B037A4"/>
    <w:rsid w:val="00B03D9A"/>
    <w:rsid w:val="00B04026"/>
    <w:rsid w:val="00B045D5"/>
    <w:rsid w:val="00B04C04"/>
    <w:rsid w:val="00B05099"/>
    <w:rsid w:val="00B052D6"/>
    <w:rsid w:val="00B05599"/>
    <w:rsid w:val="00B05C73"/>
    <w:rsid w:val="00B0619D"/>
    <w:rsid w:val="00B062DA"/>
    <w:rsid w:val="00B06814"/>
    <w:rsid w:val="00B06FBB"/>
    <w:rsid w:val="00B075B6"/>
    <w:rsid w:val="00B07AAE"/>
    <w:rsid w:val="00B07EA3"/>
    <w:rsid w:val="00B07F16"/>
    <w:rsid w:val="00B100D6"/>
    <w:rsid w:val="00B100F0"/>
    <w:rsid w:val="00B101A3"/>
    <w:rsid w:val="00B103FA"/>
    <w:rsid w:val="00B105C1"/>
    <w:rsid w:val="00B1063E"/>
    <w:rsid w:val="00B10880"/>
    <w:rsid w:val="00B10ACE"/>
    <w:rsid w:val="00B1104B"/>
    <w:rsid w:val="00B110C9"/>
    <w:rsid w:val="00B1111C"/>
    <w:rsid w:val="00B1116C"/>
    <w:rsid w:val="00B111EE"/>
    <w:rsid w:val="00B1124B"/>
    <w:rsid w:val="00B11637"/>
    <w:rsid w:val="00B116C6"/>
    <w:rsid w:val="00B11AEA"/>
    <w:rsid w:val="00B11BEF"/>
    <w:rsid w:val="00B11C4C"/>
    <w:rsid w:val="00B12D66"/>
    <w:rsid w:val="00B131C7"/>
    <w:rsid w:val="00B139C1"/>
    <w:rsid w:val="00B13BED"/>
    <w:rsid w:val="00B13CF4"/>
    <w:rsid w:val="00B1432E"/>
    <w:rsid w:val="00B143BE"/>
    <w:rsid w:val="00B147B7"/>
    <w:rsid w:val="00B14BFA"/>
    <w:rsid w:val="00B14D6B"/>
    <w:rsid w:val="00B15178"/>
    <w:rsid w:val="00B15211"/>
    <w:rsid w:val="00B15518"/>
    <w:rsid w:val="00B1579E"/>
    <w:rsid w:val="00B15998"/>
    <w:rsid w:val="00B15A25"/>
    <w:rsid w:val="00B15CE3"/>
    <w:rsid w:val="00B161DE"/>
    <w:rsid w:val="00B16C8E"/>
    <w:rsid w:val="00B17351"/>
    <w:rsid w:val="00B17A10"/>
    <w:rsid w:val="00B17FC1"/>
    <w:rsid w:val="00B2008A"/>
    <w:rsid w:val="00B20354"/>
    <w:rsid w:val="00B20620"/>
    <w:rsid w:val="00B20CC2"/>
    <w:rsid w:val="00B216BA"/>
    <w:rsid w:val="00B21AA1"/>
    <w:rsid w:val="00B21D1E"/>
    <w:rsid w:val="00B21DB0"/>
    <w:rsid w:val="00B21E91"/>
    <w:rsid w:val="00B220B5"/>
    <w:rsid w:val="00B222DF"/>
    <w:rsid w:val="00B22406"/>
    <w:rsid w:val="00B225BE"/>
    <w:rsid w:val="00B228E4"/>
    <w:rsid w:val="00B22BD8"/>
    <w:rsid w:val="00B231F4"/>
    <w:rsid w:val="00B235C4"/>
    <w:rsid w:val="00B23651"/>
    <w:rsid w:val="00B239B5"/>
    <w:rsid w:val="00B23E9E"/>
    <w:rsid w:val="00B2432D"/>
    <w:rsid w:val="00B2457A"/>
    <w:rsid w:val="00B24AD6"/>
    <w:rsid w:val="00B24B46"/>
    <w:rsid w:val="00B24CD6"/>
    <w:rsid w:val="00B24CF8"/>
    <w:rsid w:val="00B25227"/>
    <w:rsid w:val="00B25A25"/>
    <w:rsid w:val="00B26A72"/>
    <w:rsid w:val="00B2763A"/>
    <w:rsid w:val="00B27A85"/>
    <w:rsid w:val="00B306F7"/>
    <w:rsid w:val="00B30748"/>
    <w:rsid w:val="00B3085B"/>
    <w:rsid w:val="00B308DE"/>
    <w:rsid w:val="00B32089"/>
    <w:rsid w:val="00B321CC"/>
    <w:rsid w:val="00B3228B"/>
    <w:rsid w:val="00B324DC"/>
    <w:rsid w:val="00B32F9D"/>
    <w:rsid w:val="00B32FC9"/>
    <w:rsid w:val="00B33A96"/>
    <w:rsid w:val="00B33BD9"/>
    <w:rsid w:val="00B33F61"/>
    <w:rsid w:val="00B345D8"/>
    <w:rsid w:val="00B347C9"/>
    <w:rsid w:val="00B349C8"/>
    <w:rsid w:val="00B34B77"/>
    <w:rsid w:val="00B35340"/>
    <w:rsid w:val="00B35383"/>
    <w:rsid w:val="00B353E4"/>
    <w:rsid w:val="00B35782"/>
    <w:rsid w:val="00B35B45"/>
    <w:rsid w:val="00B35C6A"/>
    <w:rsid w:val="00B35DBB"/>
    <w:rsid w:val="00B360E3"/>
    <w:rsid w:val="00B3624A"/>
    <w:rsid w:val="00B36FC5"/>
    <w:rsid w:val="00B371F3"/>
    <w:rsid w:val="00B37CE4"/>
    <w:rsid w:val="00B37EA9"/>
    <w:rsid w:val="00B40214"/>
    <w:rsid w:val="00B408B5"/>
    <w:rsid w:val="00B417A0"/>
    <w:rsid w:val="00B41B5D"/>
    <w:rsid w:val="00B41CA9"/>
    <w:rsid w:val="00B41D3A"/>
    <w:rsid w:val="00B425AB"/>
    <w:rsid w:val="00B42B82"/>
    <w:rsid w:val="00B430C5"/>
    <w:rsid w:val="00B4320D"/>
    <w:rsid w:val="00B43296"/>
    <w:rsid w:val="00B438EE"/>
    <w:rsid w:val="00B43B2B"/>
    <w:rsid w:val="00B43BA3"/>
    <w:rsid w:val="00B43D59"/>
    <w:rsid w:val="00B43FCB"/>
    <w:rsid w:val="00B4401D"/>
    <w:rsid w:val="00B44695"/>
    <w:rsid w:val="00B44C62"/>
    <w:rsid w:val="00B44CCB"/>
    <w:rsid w:val="00B452BE"/>
    <w:rsid w:val="00B45967"/>
    <w:rsid w:val="00B4597C"/>
    <w:rsid w:val="00B45DFE"/>
    <w:rsid w:val="00B46134"/>
    <w:rsid w:val="00B46684"/>
    <w:rsid w:val="00B46773"/>
    <w:rsid w:val="00B46A66"/>
    <w:rsid w:val="00B46C5F"/>
    <w:rsid w:val="00B47131"/>
    <w:rsid w:val="00B5028D"/>
    <w:rsid w:val="00B5051A"/>
    <w:rsid w:val="00B51705"/>
    <w:rsid w:val="00B53065"/>
    <w:rsid w:val="00B533F9"/>
    <w:rsid w:val="00B5351F"/>
    <w:rsid w:val="00B5380F"/>
    <w:rsid w:val="00B53B9C"/>
    <w:rsid w:val="00B53F40"/>
    <w:rsid w:val="00B53F5F"/>
    <w:rsid w:val="00B546EB"/>
    <w:rsid w:val="00B550B3"/>
    <w:rsid w:val="00B55911"/>
    <w:rsid w:val="00B55A69"/>
    <w:rsid w:val="00B55D2F"/>
    <w:rsid w:val="00B56230"/>
    <w:rsid w:val="00B56512"/>
    <w:rsid w:val="00B56959"/>
    <w:rsid w:val="00B569B2"/>
    <w:rsid w:val="00B56C52"/>
    <w:rsid w:val="00B56EE1"/>
    <w:rsid w:val="00B56F80"/>
    <w:rsid w:val="00B573CF"/>
    <w:rsid w:val="00B57DE9"/>
    <w:rsid w:val="00B57E26"/>
    <w:rsid w:val="00B601E0"/>
    <w:rsid w:val="00B6068D"/>
    <w:rsid w:val="00B608F4"/>
    <w:rsid w:val="00B60F49"/>
    <w:rsid w:val="00B61690"/>
    <w:rsid w:val="00B61E74"/>
    <w:rsid w:val="00B6231C"/>
    <w:rsid w:val="00B6233D"/>
    <w:rsid w:val="00B624D2"/>
    <w:rsid w:val="00B62E09"/>
    <w:rsid w:val="00B62EA7"/>
    <w:rsid w:val="00B62EE3"/>
    <w:rsid w:val="00B63A7D"/>
    <w:rsid w:val="00B63B40"/>
    <w:rsid w:val="00B63D74"/>
    <w:rsid w:val="00B63F5F"/>
    <w:rsid w:val="00B6424B"/>
    <w:rsid w:val="00B65133"/>
    <w:rsid w:val="00B653B6"/>
    <w:rsid w:val="00B65767"/>
    <w:rsid w:val="00B658D0"/>
    <w:rsid w:val="00B65BA1"/>
    <w:rsid w:val="00B65BFA"/>
    <w:rsid w:val="00B663C4"/>
    <w:rsid w:val="00B66569"/>
    <w:rsid w:val="00B679C5"/>
    <w:rsid w:val="00B67A2C"/>
    <w:rsid w:val="00B67B66"/>
    <w:rsid w:val="00B70D70"/>
    <w:rsid w:val="00B70DFD"/>
    <w:rsid w:val="00B70F4E"/>
    <w:rsid w:val="00B71195"/>
    <w:rsid w:val="00B717A8"/>
    <w:rsid w:val="00B71A9E"/>
    <w:rsid w:val="00B72D52"/>
    <w:rsid w:val="00B73A94"/>
    <w:rsid w:val="00B73B4F"/>
    <w:rsid w:val="00B73DFD"/>
    <w:rsid w:val="00B74734"/>
    <w:rsid w:val="00B74748"/>
    <w:rsid w:val="00B74892"/>
    <w:rsid w:val="00B74ACE"/>
    <w:rsid w:val="00B751FE"/>
    <w:rsid w:val="00B75B37"/>
    <w:rsid w:val="00B76D5C"/>
    <w:rsid w:val="00B76F80"/>
    <w:rsid w:val="00B7707B"/>
    <w:rsid w:val="00B77412"/>
    <w:rsid w:val="00B77E57"/>
    <w:rsid w:val="00B77FEC"/>
    <w:rsid w:val="00B800C9"/>
    <w:rsid w:val="00B8010C"/>
    <w:rsid w:val="00B802D0"/>
    <w:rsid w:val="00B80693"/>
    <w:rsid w:val="00B80FC1"/>
    <w:rsid w:val="00B8148F"/>
    <w:rsid w:val="00B8167B"/>
    <w:rsid w:val="00B81802"/>
    <w:rsid w:val="00B825F9"/>
    <w:rsid w:val="00B826A3"/>
    <w:rsid w:val="00B82929"/>
    <w:rsid w:val="00B829D5"/>
    <w:rsid w:val="00B82C0B"/>
    <w:rsid w:val="00B82FDE"/>
    <w:rsid w:val="00B83451"/>
    <w:rsid w:val="00B836BB"/>
    <w:rsid w:val="00B837F6"/>
    <w:rsid w:val="00B8384F"/>
    <w:rsid w:val="00B84148"/>
    <w:rsid w:val="00B84510"/>
    <w:rsid w:val="00B84B26"/>
    <w:rsid w:val="00B84CA0"/>
    <w:rsid w:val="00B84DAA"/>
    <w:rsid w:val="00B84DE3"/>
    <w:rsid w:val="00B84E2F"/>
    <w:rsid w:val="00B85235"/>
    <w:rsid w:val="00B85369"/>
    <w:rsid w:val="00B85616"/>
    <w:rsid w:val="00B85CFE"/>
    <w:rsid w:val="00B85E9F"/>
    <w:rsid w:val="00B86419"/>
    <w:rsid w:val="00B86783"/>
    <w:rsid w:val="00B8697D"/>
    <w:rsid w:val="00B86C9E"/>
    <w:rsid w:val="00B86CA3"/>
    <w:rsid w:val="00B876CE"/>
    <w:rsid w:val="00B900E5"/>
    <w:rsid w:val="00B902C7"/>
    <w:rsid w:val="00B90542"/>
    <w:rsid w:val="00B9061E"/>
    <w:rsid w:val="00B908F3"/>
    <w:rsid w:val="00B90B68"/>
    <w:rsid w:val="00B90D17"/>
    <w:rsid w:val="00B90FFF"/>
    <w:rsid w:val="00B915D9"/>
    <w:rsid w:val="00B91745"/>
    <w:rsid w:val="00B91AA6"/>
    <w:rsid w:val="00B91B7A"/>
    <w:rsid w:val="00B91CBA"/>
    <w:rsid w:val="00B91F42"/>
    <w:rsid w:val="00B923D0"/>
    <w:rsid w:val="00B925A2"/>
    <w:rsid w:val="00B92AE9"/>
    <w:rsid w:val="00B92C00"/>
    <w:rsid w:val="00B92EF7"/>
    <w:rsid w:val="00B931BD"/>
    <w:rsid w:val="00B931CD"/>
    <w:rsid w:val="00B9334E"/>
    <w:rsid w:val="00B937A4"/>
    <w:rsid w:val="00B940DE"/>
    <w:rsid w:val="00B941C5"/>
    <w:rsid w:val="00B9468A"/>
    <w:rsid w:val="00B94847"/>
    <w:rsid w:val="00B9496E"/>
    <w:rsid w:val="00B9652B"/>
    <w:rsid w:val="00B96B12"/>
    <w:rsid w:val="00B96DFA"/>
    <w:rsid w:val="00B97124"/>
    <w:rsid w:val="00B976B5"/>
    <w:rsid w:val="00B97E1A"/>
    <w:rsid w:val="00B97F92"/>
    <w:rsid w:val="00BA029C"/>
    <w:rsid w:val="00BA029D"/>
    <w:rsid w:val="00BA05B7"/>
    <w:rsid w:val="00BA0FBB"/>
    <w:rsid w:val="00BA1007"/>
    <w:rsid w:val="00BA109C"/>
    <w:rsid w:val="00BA1F50"/>
    <w:rsid w:val="00BA23E9"/>
    <w:rsid w:val="00BA35E8"/>
    <w:rsid w:val="00BA3B7D"/>
    <w:rsid w:val="00BA41A5"/>
    <w:rsid w:val="00BA4A07"/>
    <w:rsid w:val="00BA4FD2"/>
    <w:rsid w:val="00BA53AF"/>
    <w:rsid w:val="00BA553F"/>
    <w:rsid w:val="00BA61B7"/>
    <w:rsid w:val="00BA7817"/>
    <w:rsid w:val="00BA7B5B"/>
    <w:rsid w:val="00BA7CC1"/>
    <w:rsid w:val="00BB07C8"/>
    <w:rsid w:val="00BB0B08"/>
    <w:rsid w:val="00BB0BC5"/>
    <w:rsid w:val="00BB1BE4"/>
    <w:rsid w:val="00BB2E36"/>
    <w:rsid w:val="00BB34C5"/>
    <w:rsid w:val="00BB3554"/>
    <w:rsid w:val="00BB36DA"/>
    <w:rsid w:val="00BB4112"/>
    <w:rsid w:val="00BB48E2"/>
    <w:rsid w:val="00BB4E9E"/>
    <w:rsid w:val="00BB50B6"/>
    <w:rsid w:val="00BB5290"/>
    <w:rsid w:val="00BB54A4"/>
    <w:rsid w:val="00BB5966"/>
    <w:rsid w:val="00BB617F"/>
    <w:rsid w:val="00BB6212"/>
    <w:rsid w:val="00BB64C6"/>
    <w:rsid w:val="00BB6937"/>
    <w:rsid w:val="00BB6AB6"/>
    <w:rsid w:val="00BB6E04"/>
    <w:rsid w:val="00BC03C1"/>
    <w:rsid w:val="00BC078E"/>
    <w:rsid w:val="00BC0BBF"/>
    <w:rsid w:val="00BC0BE3"/>
    <w:rsid w:val="00BC244A"/>
    <w:rsid w:val="00BC2D5A"/>
    <w:rsid w:val="00BC3B46"/>
    <w:rsid w:val="00BC3F26"/>
    <w:rsid w:val="00BC4450"/>
    <w:rsid w:val="00BC45B5"/>
    <w:rsid w:val="00BC4AD1"/>
    <w:rsid w:val="00BC4D12"/>
    <w:rsid w:val="00BC4FE1"/>
    <w:rsid w:val="00BC4FE2"/>
    <w:rsid w:val="00BC5DFD"/>
    <w:rsid w:val="00BC5F5B"/>
    <w:rsid w:val="00BC620E"/>
    <w:rsid w:val="00BC629D"/>
    <w:rsid w:val="00BC72D6"/>
    <w:rsid w:val="00BC7BFA"/>
    <w:rsid w:val="00BC7F57"/>
    <w:rsid w:val="00BD049D"/>
    <w:rsid w:val="00BD097F"/>
    <w:rsid w:val="00BD0AAF"/>
    <w:rsid w:val="00BD10CC"/>
    <w:rsid w:val="00BD13C7"/>
    <w:rsid w:val="00BD1830"/>
    <w:rsid w:val="00BD1B59"/>
    <w:rsid w:val="00BD1CE6"/>
    <w:rsid w:val="00BD25AA"/>
    <w:rsid w:val="00BD2660"/>
    <w:rsid w:val="00BD2700"/>
    <w:rsid w:val="00BD31E9"/>
    <w:rsid w:val="00BD3678"/>
    <w:rsid w:val="00BD3EDE"/>
    <w:rsid w:val="00BD3FE2"/>
    <w:rsid w:val="00BD406E"/>
    <w:rsid w:val="00BD4702"/>
    <w:rsid w:val="00BD50D8"/>
    <w:rsid w:val="00BD52BB"/>
    <w:rsid w:val="00BD54BB"/>
    <w:rsid w:val="00BD5ACD"/>
    <w:rsid w:val="00BD5EC3"/>
    <w:rsid w:val="00BD5F6D"/>
    <w:rsid w:val="00BD6073"/>
    <w:rsid w:val="00BD60A0"/>
    <w:rsid w:val="00BD619C"/>
    <w:rsid w:val="00BD7D4E"/>
    <w:rsid w:val="00BD7E72"/>
    <w:rsid w:val="00BD7F33"/>
    <w:rsid w:val="00BD7F7F"/>
    <w:rsid w:val="00BE0067"/>
    <w:rsid w:val="00BE0094"/>
    <w:rsid w:val="00BE01B8"/>
    <w:rsid w:val="00BE03D0"/>
    <w:rsid w:val="00BE11D9"/>
    <w:rsid w:val="00BE1458"/>
    <w:rsid w:val="00BE167B"/>
    <w:rsid w:val="00BE17EC"/>
    <w:rsid w:val="00BE1993"/>
    <w:rsid w:val="00BE1BEC"/>
    <w:rsid w:val="00BE1D8E"/>
    <w:rsid w:val="00BE20F3"/>
    <w:rsid w:val="00BE212F"/>
    <w:rsid w:val="00BE2174"/>
    <w:rsid w:val="00BE2216"/>
    <w:rsid w:val="00BE2B84"/>
    <w:rsid w:val="00BE325C"/>
    <w:rsid w:val="00BE3439"/>
    <w:rsid w:val="00BE3690"/>
    <w:rsid w:val="00BE3EC1"/>
    <w:rsid w:val="00BE4088"/>
    <w:rsid w:val="00BE40FB"/>
    <w:rsid w:val="00BE414E"/>
    <w:rsid w:val="00BE4B84"/>
    <w:rsid w:val="00BE4BB7"/>
    <w:rsid w:val="00BE4BFF"/>
    <w:rsid w:val="00BE50FB"/>
    <w:rsid w:val="00BE51FB"/>
    <w:rsid w:val="00BE5427"/>
    <w:rsid w:val="00BE55FF"/>
    <w:rsid w:val="00BE5C98"/>
    <w:rsid w:val="00BE64B8"/>
    <w:rsid w:val="00BE6E81"/>
    <w:rsid w:val="00BE7014"/>
    <w:rsid w:val="00BE7065"/>
    <w:rsid w:val="00BE799A"/>
    <w:rsid w:val="00BE7BAF"/>
    <w:rsid w:val="00BF028A"/>
    <w:rsid w:val="00BF0AB7"/>
    <w:rsid w:val="00BF100D"/>
    <w:rsid w:val="00BF1279"/>
    <w:rsid w:val="00BF16A0"/>
    <w:rsid w:val="00BF16BD"/>
    <w:rsid w:val="00BF1744"/>
    <w:rsid w:val="00BF177C"/>
    <w:rsid w:val="00BF178A"/>
    <w:rsid w:val="00BF1F0D"/>
    <w:rsid w:val="00BF1F2C"/>
    <w:rsid w:val="00BF2723"/>
    <w:rsid w:val="00BF2D16"/>
    <w:rsid w:val="00BF3092"/>
    <w:rsid w:val="00BF33CA"/>
    <w:rsid w:val="00BF3617"/>
    <w:rsid w:val="00BF361D"/>
    <w:rsid w:val="00BF3680"/>
    <w:rsid w:val="00BF3697"/>
    <w:rsid w:val="00BF37A6"/>
    <w:rsid w:val="00BF39EB"/>
    <w:rsid w:val="00BF3A15"/>
    <w:rsid w:val="00BF3E62"/>
    <w:rsid w:val="00BF476C"/>
    <w:rsid w:val="00BF4EE8"/>
    <w:rsid w:val="00BF573D"/>
    <w:rsid w:val="00BF5866"/>
    <w:rsid w:val="00BF5A27"/>
    <w:rsid w:val="00BF6451"/>
    <w:rsid w:val="00BF7090"/>
    <w:rsid w:val="00BF7769"/>
    <w:rsid w:val="00BF77DD"/>
    <w:rsid w:val="00BF7B79"/>
    <w:rsid w:val="00C0047C"/>
    <w:rsid w:val="00C0066C"/>
    <w:rsid w:val="00C00DE4"/>
    <w:rsid w:val="00C00F04"/>
    <w:rsid w:val="00C01411"/>
    <w:rsid w:val="00C033AE"/>
    <w:rsid w:val="00C033FD"/>
    <w:rsid w:val="00C036CA"/>
    <w:rsid w:val="00C0389F"/>
    <w:rsid w:val="00C03F1A"/>
    <w:rsid w:val="00C04209"/>
    <w:rsid w:val="00C04627"/>
    <w:rsid w:val="00C046B3"/>
    <w:rsid w:val="00C04BC5"/>
    <w:rsid w:val="00C05005"/>
    <w:rsid w:val="00C0560B"/>
    <w:rsid w:val="00C057FA"/>
    <w:rsid w:val="00C05BE4"/>
    <w:rsid w:val="00C05F28"/>
    <w:rsid w:val="00C06138"/>
    <w:rsid w:val="00C06673"/>
    <w:rsid w:val="00C06DE3"/>
    <w:rsid w:val="00C07254"/>
    <w:rsid w:val="00C073C7"/>
    <w:rsid w:val="00C074BF"/>
    <w:rsid w:val="00C074C0"/>
    <w:rsid w:val="00C076F8"/>
    <w:rsid w:val="00C10E9A"/>
    <w:rsid w:val="00C10F01"/>
    <w:rsid w:val="00C11010"/>
    <w:rsid w:val="00C11199"/>
    <w:rsid w:val="00C11BEA"/>
    <w:rsid w:val="00C11D32"/>
    <w:rsid w:val="00C12197"/>
    <w:rsid w:val="00C124FA"/>
    <w:rsid w:val="00C12793"/>
    <w:rsid w:val="00C128C1"/>
    <w:rsid w:val="00C12985"/>
    <w:rsid w:val="00C12C3D"/>
    <w:rsid w:val="00C13232"/>
    <w:rsid w:val="00C136AB"/>
    <w:rsid w:val="00C145D2"/>
    <w:rsid w:val="00C146E9"/>
    <w:rsid w:val="00C146FB"/>
    <w:rsid w:val="00C147AC"/>
    <w:rsid w:val="00C14D18"/>
    <w:rsid w:val="00C14DAF"/>
    <w:rsid w:val="00C15072"/>
    <w:rsid w:val="00C15172"/>
    <w:rsid w:val="00C15B45"/>
    <w:rsid w:val="00C15FD6"/>
    <w:rsid w:val="00C177C1"/>
    <w:rsid w:val="00C17B32"/>
    <w:rsid w:val="00C20000"/>
    <w:rsid w:val="00C20739"/>
    <w:rsid w:val="00C20E48"/>
    <w:rsid w:val="00C2129D"/>
    <w:rsid w:val="00C227F3"/>
    <w:rsid w:val="00C22AA4"/>
    <w:rsid w:val="00C231B5"/>
    <w:rsid w:val="00C23522"/>
    <w:rsid w:val="00C236A3"/>
    <w:rsid w:val="00C2373F"/>
    <w:rsid w:val="00C23960"/>
    <w:rsid w:val="00C23B3C"/>
    <w:rsid w:val="00C240FC"/>
    <w:rsid w:val="00C249C4"/>
    <w:rsid w:val="00C24CE4"/>
    <w:rsid w:val="00C25219"/>
    <w:rsid w:val="00C258C3"/>
    <w:rsid w:val="00C25913"/>
    <w:rsid w:val="00C25C96"/>
    <w:rsid w:val="00C262C9"/>
    <w:rsid w:val="00C26C6D"/>
    <w:rsid w:val="00C26D99"/>
    <w:rsid w:val="00C26E6D"/>
    <w:rsid w:val="00C26FB1"/>
    <w:rsid w:val="00C27254"/>
    <w:rsid w:val="00C27551"/>
    <w:rsid w:val="00C2758A"/>
    <w:rsid w:val="00C275C2"/>
    <w:rsid w:val="00C27683"/>
    <w:rsid w:val="00C27D05"/>
    <w:rsid w:val="00C30111"/>
    <w:rsid w:val="00C303CD"/>
    <w:rsid w:val="00C30535"/>
    <w:rsid w:val="00C308CF"/>
    <w:rsid w:val="00C31310"/>
    <w:rsid w:val="00C31498"/>
    <w:rsid w:val="00C315BE"/>
    <w:rsid w:val="00C321C5"/>
    <w:rsid w:val="00C3239A"/>
    <w:rsid w:val="00C324C5"/>
    <w:rsid w:val="00C327DA"/>
    <w:rsid w:val="00C32851"/>
    <w:rsid w:val="00C3286C"/>
    <w:rsid w:val="00C328BA"/>
    <w:rsid w:val="00C328CC"/>
    <w:rsid w:val="00C32D1A"/>
    <w:rsid w:val="00C331C1"/>
    <w:rsid w:val="00C3353D"/>
    <w:rsid w:val="00C33DDC"/>
    <w:rsid w:val="00C344BB"/>
    <w:rsid w:val="00C34AA2"/>
    <w:rsid w:val="00C35293"/>
    <w:rsid w:val="00C355EB"/>
    <w:rsid w:val="00C35ABC"/>
    <w:rsid w:val="00C3637C"/>
    <w:rsid w:val="00C365E6"/>
    <w:rsid w:val="00C36E1F"/>
    <w:rsid w:val="00C372B3"/>
    <w:rsid w:val="00C37844"/>
    <w:rsid w:val="00C37930"/>
    <w:rsid w:val="00C4026D"/>
    <w:rsid w:val="00C40364"/>
    <w:rsid w:val="00C403F0"/>
    <w:rsid w:val="00C405D4"/>
    <w:rsid w:val="00C417F0"/>
    <w:rsid w:val="00C41B64"/>
    <w:rsid w:val="00C41C2C"/>
    <w:rsid w:val="00C41C30"/>
    <w:rsid w:val="00C424C8"/>
    <w:rsid w:val="00C428A4"/>
    <w:rsid w:val="00C429AC"/>
    <w:rsid w:val="00C42B17"/>
    <w:rsid w:val="00C42FD1"/>
    <w:rsid w:val="00C431D4"/>
    <w:rsid w:val="00C43549"/>
    <w:rsid w:val="00C4383E"/>
    <w:rsid w:val="00C43994"/>
    <w:rsid w:val="00C43E5A"/>
    <w:rsid w:val="00C43EFB"/>
    <w:rsid w:val="00C44978"/>
    <w:rsid w:val="00C44A16"/>
    <w:rsid w:val="00C44A3A"/>
    <w:rsid w:val="00C45C75"/>
    <w:rsid w:val="00C4619E"/>
    <w:rsid w:val="00C46438"/>
    <w:rsid w:val="00C46D21"/>
    <w:rsid w:val="00C471AB"/>
    <w:rsid w:val="00C47755"/>
    <w:rsid w:val="00C4778A"/>
    <w:rsid w:val="00C5000B"/>
    <w:rsid w:val="00C5055D"/>
    <w:rsid w:val="00C50913"/>
    <w:rsid w:val="00C50C63"/>
    <w:rsid w:val="00C5118C"/>
    <w:rsid w:val="00C5177C"/>
    <w:rsid w:val="00C521F5"/>
    <w:rsid w:val="00C527EE"/>
    <w:rsid w:val="00C53B90"/>
    <w:rsid w:val="00C53EC4"/>
    <w:rsid w:val="00C5436F"/>
    <w:rsid w:val="00C544A9"/>
    <w:rsid w:val="00C54617"/>
    <w:rsid w:val="00C552D8"/>
    <w:rsid w:val="00C55574"/>
    <w:rsid w:val="00C5631A"/>
    <w:rsid w:val="00C565B7"/>
    <w:rsid w:val="00C5731F"/>
    <w:rsid w:val="00C577DE"/>
    <w:rsid w:val="00C578A6"/>
    <w:rsid w:val="00C57E8E"/>
    <w:rsid w:val="00C604F2"/>
    <w:rsid w:val="00C608FC"/>
    <w:rsid w:val="00C60AAB"/>
    <w:rsid w:val="00C618DA"/>
    <w:rsid w:val="00C61BCA"/>
    <w:rsid w:val="00C621D2"/>
    <w:rsid w:val="00C62379"/>
    <w:rsid w:val="00C62486"/>
    <w:rsid w:val="00C6282A"/>
    <w:rsid w:val="00C631A1"/>
    <w:rsid w:val="00C633CC"/>
    <w:rsid w:val="00C63AF2"/>
    <w:rsid w:val="00C63CDD"/>
    <w:rsid w:val="00C64257"/>
    <w:rsid w:val="00C646C0"/>
    <w:rsid w:val="00C6485D"/>
    <w:rsid w:val="00C64C68"/>
    <w:rsid w:val="00C64CBD"/>
    <w:rsid w:val="00C64DED"/>
    <w:rsid w:val="00C653FC"/>
    <w:rsid w:val="00C658F4"/>
    <w:rsid w:val="00C659FA"/>
    <w:rsid w:val="00C65A56"/>
    <w:rsid w:val="00C65B41"/>
    <w:rsid w:val="00C65D8F"/>
    <w:rsid w:val="00C660B2"/>
    <w:rsid w:val="00C665D8"/>
    <w:rsid w:val="00C665FA"/>
    <w:rsid w:val="00C66DCB"/>
    <w:rsid w:val="00C6722F"/>
    <w:rsid w:val="00C67236"/>
    <w:rsid w:val="00C67A36"/>
    <w:rsid w:val="00C67ACD"/>
    <w:rsid w:val="00C67D54"/>
    <w:rsid w:val="00C700B9"/>
    <w:rsid w:val="00C7067C"/>
    <w:rsid w:val="00C710AA"/>
    <w:rsid w:val="00C71653"/>
    <w:rsid w:val="00C71B8A"/>
    <w:rsid w:val="00C720AA"/>
    <w:rsid w:val="00C729EC"/>
    <w:rsid w:val="00C73139"/>
    <w:rsid w:val="00C735EE"/>
    <w:rsid w:val="00C73B1E"/>
    <w:rsid w:val="00C74210"/>
    <w:rsid w:val="00C7433F"/>
    <w:rsid w:val="00C743E6"/>
    <w:rsid w:val="00C74AA6"/>
    <w:rsid w:val="00C74B06"/>
    <w:rsid w:val="00C752D8"/>
    <w:rsid w:val="00C753A1"/>
    <w:rsid w:val="00C75ACF"/>
    <w:rsid w:val="00C75B2E"/>
    <w:rsid w:val="00C75F3F"/>
    <w:rsid w:val="00C76315"/>
    <w:rsid w:val="00C76393"/>
    <w:rsid w:val="00C76A44"/>
    <w:rsid w:val="00C76E94"/>
    <w:rsid w:val="00C7745B"/>
    <w:rsid w:val="00C800A9"/>
    <w:rsid w:val="00C803C8"/>
    <w:rsid w:val="00C803D8"/>
    <w:rsid w:val="00C8099D"/>
    <w:rsid w:val="00C809ED"/>
    <w:rsid w:val="00C8139C"/>
    <w:rsid w:val="00C81439"/>
    <w:rsid w:val="00C81B74"/>
    <w:rsid w:val="00C81E45"/>
    <w:rsid w:val="00C81F93"/>
    <w:rsid w:val="00C82177"/>
    <w:rsid w:val="00C826E7"/>
    <w:rsid w:val="00C8286F"/>
    <w:rsid w:val="00C829C8"/>
    <w:rsid w:val="00C8323A"/>
    <w:rsid w:val="00C835FD"/>
    <w:rsid w:val="00C846AE"/>
    <w:rsid w:val="00C8495E"/>
    <w:rsid w:val="00C8507A"/>
    <w:rsid w:val="00C859FD"/>
    <w:rsid w:val="00C85C8A"/>
    <w:rsid w:val="00C864C5"/>
    <w:rsid w:val="00C86815"/>
    <w:rsid w:val="00C86933"/>
    <w:rsid w:val="00C86974"/>
    <w:rsid w:val="00C86DCB"/>
    <w:rsid w:val="00C8729B"/>
    <w:rsid w:val="00C87343"/>
    <w:rsid w:val="00C90487"/>
    <w:rsid w:val="00C90A8C"/>
    <w:rsid w:val="00C91457"/>
    <w:rsid w:val="00C9155A"/>
    <w:rsid w:val="00C9167A"/>
    <w:rsid w:val="00C91745"/>
    <w:rsid w:val="00C919CE"/>
    <w:rsid w:val="00C922C3"/>
    <w:rsid w:val="00C9283F"/>
    <w:rsid w:val="00C92BF3"/>
    <w:rsid w:val="00C92C49"/>
    <w:rsid w:val="00C92E47"/>
    <w:rsid w:val="00C9327A"/>
    <w:rsid w:val="00C93318"/>
    <w:rsid w:val="00C933E5"/>
    <w:rsid w:val="00C93AD9"/>
    <w:rsid w:val="00C93F38"/>
    <w:rsid w:val="00C943D0"/>
    <w:rsid w:val="00C9467B"/>
    <w:rsid w:val="00C94ADA"/>
    <w:rsid w:val="00C94D9E"/>
    <w:rsid w:val="00C9530A"/>
    <w:rsid w:val="00C95546"/>
    <w:rsid w:val="00C95625"/>
    <w:rsid w:val="00C95BC0"/>
    <w:rsid w:val="00C9601F"/>
    <w:rsid w:val="00C96CC2"/>
    <w:rsid w:val="00C96EAD"/>
    <w:rsid w:val="00C97A64"/>
    <w:rsid w:val="00C97A81"/>
    <w:rsid w:val="00C97B92"/>
    <w:rsid w:val="00C97C20"/>
    <w:rsid w:val="00CA0094"/>
    <w:rsid w:val="00CA09F2"/>
    <w:rsid w:val="00CA0B08"/>
    <w:rsid w:val="00CA0B58"/>
    <w:rsid w:val="00CA0CDF"/>
    <w:rsid w:val="00CA13DE"/>
    <w:rsid w:val="00CA19E7"/>
    <w:rsid w:val="00CA1EB1"/>
    <w:rsid w:val="00CA1FE4"/>
    <w:rsid w:val="00CA240A"/>
    <w:rsid w:val="00CA29D6"/>
    <w:rsid w:val="00CA35D8"/>
    <w:rsid w:val="00CA3A2E"/>
    <w:rsid w:val="00CA501F"/>
    <w:rsid w:val="00CA59E2"/>
    <w:rsid w:val="00CA5E9F"/>
    <w:rsid w:val="00CA5F8E"/>
    <w:rsid w:val="00CA6387"/>
    <w:rsid w:val="00CA6426"/>
    <w:rsid w:val="00CA69F6"/>
    <w:rsid w:val="00CA6CC0"/>
    <w:rsid w:val="00CA7265"/>
    <w:rsid w:val="00CA733D"/>
    <w:rsid w:val="00CA7C18"/>
    <w:rsid w:val="00CA7E4A"/>
    <w:rsid w:val="00CA7E8E"/>
    <w:rsid w:val="00CB050C"/>
    <w:rsid w:val="00CB0B07"/>
    <w:rsid w:val="00CB1096"/>
    <w:rsid w:val="00CB131B"/>
    <w:rsid w:val="00CB15D0"/>
    <w:rsid w:val="00CB162F"/>
    <w:rsid w:val="00CB1B16"/>
    <w:rsid w:val="00CB26E1"/>
    <w:rsid w:val="00CB2B98"/>
    <w:rsid w:val="00CB2C48"/>
    <w:rsid w:val="00CB2E0A"/>
    <w:rsid w:val="00CB3346"/>
    <w:rsid w:val="00CB34A6"/>
    <w:rsid w:val="00CB34CF"/>
    <w:rsid w:val="00CB40C3"/>
    <w:rsid w:val="00CB40CD"/>
    <w:rsid w:val="00CB468B"/>
    <w:rsid w:val="00CB49A0"/>
    <w:rsid w:val="00CB49F4"/>
    <w:rsid w:val="00CB501B"/>
    <w:rsid w:val="00CB540B"/>
    <w:rsid w:val="00CB579B"/>
    <w:rsid w:val="00CB5C05"/>
    <w:rsid w:val="00CB5FE3"/>
    <w:rsid w:val="00CB6453"/>
    <w:rsid w:val="00CB7203"/>
    <w:rsid w:val="00CB77E2"/>
    <w:rsid w:val="00CB7C5D"/>
    <w:rsid w:val="00CB7D0A"/>
    <w:rsid w:val="00CC0225"/>
    <w:rsid w:val="00CC04AA"/>
    <w:rsid w:val="00CC05B9"/>
    <w:rsid w:val="00CC12B9"/>
    <w:rsid w:val="00CC1560"/>
    <w:rsid w:val="00CC15EB"/>
    <w:rsid w:val="00CC1AF9"/>
    <w:rsid w:val="00CC2430"/>
    <w:rsid w:val="00CC294B"/>
    <w:rsid w:val="00CC2D52"/>
    <w:rsid w:val="00CC2F29"/>
    <w:rsid w:val="00CC36C8"/>
    <w:rsid w:val="00CC3B46"/>
    <w:rsid w:val="00CC49C7"/>
    <w:rsid w:val="00CC525A"/>
    <w:rsid w:val="00CC53CC"/>
    <w:rsid w:val="00CC58A0"/>
    <w:rsid w:val="00CC5BD6"/>
    <w:rsid w:val="00CC5DF4"/>
    <w:rsid w:val="00CC61B3"/>
    <w:rsid w:val="00CC69AF"/>
    <w:rsid w:val="00CC6ED4"/>
    <w:rsid w:val="00CC6FE1"/>
    <w:rsid w:val="00CC6FF0"/>
    <w:rsid w:val="00CC71A2"/>
    <w:rsid w:val="00CC73A2"/>
    <w:rsid w:val="00CC7EF1"/>
    <w:rsid w:val="00CD0900"/>
    <w:rsid w:val="00CD0D28"/>
    <w:rsid w:val="00CD189A"/>
    <w:rsid w:val="00CD1912"/>
    <w:rsid w:val="00CD1BB8"/>
    <w:rsid w:val="00CD1CB1"/>
    <w:rsid w:val="00CD1ECA"/>
    <w:rsid w:val="00CD28FC"/>
    <w:rsid w:val="00CD2D82"/>
    <w:rsid w:val="00CD2ED4"/>
    <w:rsid w:val="00CD3352"/>
    <w:rsid w:val="00CD339F"/>
    <w:rsid w:val="00CD3530"/>
    <w:rsid w:val="00CD3C15"/>
    <w:rsid w:val="00CD4F9C"/>
    <w:rsid w:val="00CD50AA"/>
    <w:rsid w:val="00CD520E"/>
    <w:rsid w:val="00CD5299"/>
    <w:rsid w:val="00CD5AFE"/>
    <w:rsid w:val="00CD5E1B"/>
    <w:rsid w:val="00CD5E48"/>
    <w:rsid w:val="00CD6722"/>
    <w:rsid w:val="00CD6793"/>
    <w:rsid w:val="00CD6FC8"/>
    <w:rsid w:val="00CD72DD"/>
    <w:rsid w:val="00CD74AF"/>
    <w:rsid w:val="00CD7B39"/>
    <w:rsid w:val="00CD7D06"/>
    <w:rsid w:val="00CE08D6"/>
    <w:rsid w:val="00CE095D"/>
    <w:rsid w:val="00CE0BDD"/>
    <w:rsid w:val="00CE16EB"/>
    <w:rsid w:val="00CE1FAE"/>
    <w:rsid w:val="00CE239B"/>
    <w:rsid w:val="00CE258B"/>
    <w:rsid w:val="00CE2A0C"/>
    <w:rsid w:val="00CE2AE5"/>
    <w:rsid w:val="00CE2B8F"/>
    <w:rsid w:val="00CE3B0A"/>
    <w:rsid w:val="00CE419E"/>
    <w:rsid w:val="00CE4AF7"/>
    <w:rsid w:val="00CE4EFC"/>
    <w:rsid w:val="00CE527D"/>
    <w:rsid w:val="00CE54F6"/>
    <w:rsid w:val="00CE577E"/>
    <w:rsid w:val="00CE5A59"/>
    <w:rsid w:val="00CE5F42"/>
    <w:rsid w:val="00CE64AD"/>
    <w:rsid w:val="00CE69D0"/>
    <w:rsid w:val="00CE6CDF"/>
    <w:rsid w:val="00CE701B"/>
    <w:rsid w:val="00CE740B"/>
    <w:rsid w:val="00CE7E14"/>
    <w:rsid w:val="00CF037C"/>
    <w:rsid w:val="00CF085A"/>
    <w:rsid w:val="00CF11C9"/>
    <w:rsid w:val="00CF1EE2"/>
    <w:rsid w:val="00CF1FBA"/>
    <w:rsid w:val="00CF210C"/>
    <w:rsid w:val="00CF2358"/>
    <w:rsid w:val="00CF3CF8"/>
    <w:rsid w:val="00CF3F64"/>
    <w:rsid w:val="00CF52C8"/>
    <w:rsid w:val="00CF545D"/>
    <w:rsid w:val="00CF613D"/>
    <w:rsid w:val="00CF6188"/>
    <w:rsid w:val="00CF6329"/>
    <w:rsid w:val="00CF632F"/>
    <w:rsid w:val="00CF63A4"/>
    <w:rsid w:val="00CF64D0"/>
    <w:rsid w:val="00CF6FA2"/>
    <w:rsid w:val="00CF78E2"/>
    <w:rsid w:val="00CF7AC1"/>
    <w:rsid w:val="00D005AA"/>
    <w:rsid w:val="00D0087A"/>
    <w:rsid w:val="00D009E6"/>
    <w:rsid w:val="00D00DCE"/>
    <w:rsid w:val="00D01B6D"/>
    <w:rsid w:val="00D01C2E"/>
    <w:rsid w:val="00D01CFA"/>
    <w:rsid w:val="00D0203A"/>
    <w:rsid w:val="00D025B9"/>
    <w:rsid w:val="00D0266C"/>
    <w:rsid w:val="00D029D3"/>
    <w:rsid w:val="00D02B62"/>
    <w:rsid w:val="00D03088"/>
    <w:rsid w:val="00D030D1"/>
    <w:rsid w:val="00D03595"/>
    <w:rsid w:val="00D036C3"/>
    <w:rsid w:val="00D03A7B"/>
    <w:rsid w:val="00D03BC4"/>
    <w:rsid w:val="00D04BB6"/>
    <w:rsid w:val="00D052C3"/>
    <w:rsid w:val="00D05A4D"/>
    <w:rsid w:val="00D05B08"/>
    <w:rsid w:val="00D05E5F"/>
    <w:rsid w:val="00D0632D"/>
    <w:rsid w:val="00D0657A"/>
    <w:rsid w:val="00D068E3"/>
    <w:rsid w:val="00D069D2"/>
    <w:rsid w:val="00D06E58"/>
    <w:rsid w:val="00D073ED"/>
    <w:rsid w:val="00D07966"/>
    <w:rsid w:val="00D07B72"/>
    <w:rsid w:val="00D07BAB"/>
    <w:rsid w:val="00D10045"/>
    <w:rsid w:val="00D1020C"/>
    <w:rsid w:val="00D103E7"/>
    <w:rsid w:val="00D112F2"/>
    <w:rsid w:val="00D11A67"/>
    <w:rsid w:val="00D11BF1"/>
    <w:rsid w:val="00D1201E"/>
    <w:rsid w:val="00D1231E"/>
    <w:rsid w:val="00D12556"/>
    <w:rsid w:val="00D1264A"/>
    <w:rsid w:val="00D12827"/>
    <w:rsid w:val="00D12C29"/>
    <w:rsid w:val="00D130F9"/>
    <w:rsid w:val="00D13B65"/>
    <w:rsid w:val="00D14055"/>
    <w:rsid w:val="00D141C7"/>
    <w:rsid w:val="00D1452C"/>
    <w:rsid w:val="00D14559"/>
    <w:rsid w:val="00D14C0B"/>
    <w:rsid w:val="00D1558B"/>
    <w:rsid w:val="00D157AD"/>
    <w:rsid w:val="00D15943"/>
    <w:rsid w:val="00D16383"/>
    <w:rsid w:val="00D16955"/>
    <w:rsid w:val="00D170BE"/>
    <w:rsid w:val="00D17B86"/>
    <w:rsid w:val="00D202EE"/>
    <w:rsid w:val="00D20523"/>
    <w:rsid w:val="00D205B7"/>
    <w:rsid w:val="00D20855"/>
    <w:rsid w:val="00D21323"/>
    <w:rsid w:val="00D21431"/>
    <w:rsid w:val="00D218D0"/>
    <w:rsid w:val="00D22006"/>
    <w:rsid w:val="00D22FD7"/>
    <w:rsid w:val="00D233ED"/>
    <w:rsid w:val="00D235A1"/>
    <w:rsid w:val="00D24427"/>
    <w:rsid w:val="00D2479D"/>
    <w:rsid w:val="00D24A63"/>
    <w:rsid w:val="00D24B4C"/>
    <w:rsid w:val="00D2520C"/>
    <w:rsid w:val="00D2530D"/>
    <w:rsid w:val="00D25851"/>
    <w:rsid w:val="00D261B5"/>
    <w:rsid w:val="00D26807"/>
    <w:rsid w:val="00D26ED7"/>
    <w:rsid w:val="00D271CE"/>
    <w:rsid w:val="00D271E8"/>
    <w:rsid w:val="00D27775"/>
    <w:rsid w:val="00D27CC7"/>
    <w:rsid w:val="00D30155"/>
    <w:rsid w:val="00D304B2"/>
    <w:rsid w:val="00D309A4"/>
    <w:rsid w:val="00D30AB8"/>
    <w:rsid w:val="00D30BA4"/>
    <w:rsid w:val="00D30D5B"/>
    <w:rsid w:val="00D30F34"/>
    <w:rsid w:val="00D311F3"/>
    <w:rsid w:val="00D31507"/>
    <w:rsid w:val="00D315AB"/>
    <w:rsid w:val="00D319A5"/>
    <w:rsid w:val="00D320DF"/>
    <w:rsid w:val="00D32DE6"/>
    <w:rsid w:val="00D32EF2"/>
    <w:rsid w:val="00D33049"/>
    <w:rsid w:val="00D333A6"/>
    <w:rsid w:val="00D33E7E"/>
    <w:rsid w:val="00D34743"/>
    <w:rsid w:val="00D35390"/>
    <w:rsid w:val="00D366F0"/>
    <w:rsid w:val="00D36E18"/>
    <w:rsid w:val="00D36E7D"/>
    <w:rsid w:val="00D370E7"/>
    <w:rsid w:val="00D37242"/>
    <w:rsid w:val="00D37472"/>
    <w:rsid w:val="00D37BFE"/>
    <w:rsid w:val="00D40E50"/>
    <w:rsid w:val="00D417AC"/>
    <w:rsid w:val="00D41F49"/>
    <w:rsid w:val="00D41F64"/>
    <w:rsid w:val="00D424C9"/>
    <w:rsid w:val="00D42906"/>
    <w:rsid w:val="00D4308E"/>
    <w:rsid w:val="00D43709"/>
    <w:rsid w:val="00D43992"/>
    <w:rsid w:val="00D43C87"/>
    <w:rsid w:val="00D443B0"/>
    <w:rsid w:val="00D44DB8"/>
    <w:rsid w:val="00D44EB7"/>
    <w:rsid w:val="00D45067"/>
    <w:rsid w:val="00D452F9"/>
    <w:rsid w:val="00D45840"/>
    <w:rsid w:val="00D45AAA"/>
    <w:rsid w:val="00D45B2A"/>
    <w:rsid w:val="00D465D0"/>
    <w:rsid w:val="00D46891"/>
    <w:rsid w:val="00D46C0A"/>
    <w:rsid w:val="00D46C5F"/>
    <w:rsid w:val="00D479D3"/>
    <w:rsid w:val="00D47BA0"/>
    <w:rsid w:val="00D47D65"/>
    <w:rsid w:val="00D47E58"/>
    <w:rsid w:val="00D50705"/>
    <w:rsid w:val="00D507D1"/>
    <w:rsid w:val="00D507F0"/>
    <w:rsid w:val="00D50D33"/>
    <w:rsid w:val="00D513C5"/>
    <w:rsid w:val="00D514FC"/>
    <w:rsid w:val="00D51855"/>
    <w:rsid w:val="00D51A83"/>
    <w:rsid w:val="00D51BA9"/>
    <w:rsid w:val="00D5386C"/>
    <w:rsid w:val="00D539EF"/>
    <w:rsid w:val="00D53CB2"/>
    <w:rsid w:val="00D54701"/>
    <w:rsid w:val="00D5498E"/>
    <w:rsid w:val="00D54A4F"/>
    <w:rsid w:val="00D54AA3"/>
    <w:rsid w:val="00D54E94"/>
    <w:rsid w:val="00D552EA"/>
    <w:rsid w:val="00D55990"/>
    <w:rsid w:val="00D559DC"/>
    <w:rsid w:val="00D55A55"/>
    <w:rsid w:val="00D55B13"/>
    <w:rsid w:val="00D55E5D"/>
    <w:rsid w:val="00D55FF7"/>
    <w:rsid w:val="00D56174"/>
    <w:rsid w:val="00D56260"/>
    <w:rsid w:val="00D563D5"/>
    <w:rsid w:val="00D5668B"/>
    <w:rsid w:val="00D56892"/>
    <w:rsid w:val="00D569EF"/>
    <w:rsid w:val="00D56ADC"/>
    <w:rsid w:val="00D56CEA"/>
    <w:rsid w:val="00D57283"/>
    <w:rsid w:val="00D57841"/>
    <w:rsid w:val="00D601D0"/>
    <w:rsid w:val="00D60719"/>
    <w:rsid w:val="00D60A01"/>
    <w:rsid w:val="00D60C31"/>
    <w:rsid w:val="00D61155"/>
    <w:rsid w:val="00D6116C"/>
    <w:rsid w:val="00D616FF"/>
    <w:rsid w:val="00D61AB7"/>
    <w:rsid w:val="00D61AE3"/>
    <w:rsid w:val="00D6212B"/>
    <w:rsid w:val="00D62B8A"/>
    <w:rsid w:val="00D62F61"/>
    <w:rsid w:val="00D639AB"/>
    <w:rsid w:val="00D6493D"/>
    <w:rsid w:val="00D64C76"/>
    <w:rsid w:val="00D64D62"/>
    <w:rsid w:val="00D6515E"/>
    <w:rsid w:val="00D652BD"/>
    <w:rsid w:val="00D65523"/>
    <w:rsid w:val="00D656D5"/>
    <w:rsid w:val="00D6611F"/>
    <w:rsid w:val="00D66834"/>
    <w:rsid w:val="00D668EA"/>
    <w:rsid w:val="00D67280"/>
    <w:rsid w:val="00D679A0"/>
    <w:rsid w:val="00D7012A"/>
    <w:rsid w:val="00D70354"/>
    <w:rsid w:val="00D7072D"/>
    <w:rsid w:val="00D70DCE"/>
    <w:rsid w:val="00D70F31"/>
    <w:rsid w:val="00D71D67"/>
    <w:rsid w:val="00D71E5B"/>
    <w:rsid w:val="00D724EB"/>
    <w:rsid w:val="00D72D64"/>
    <w:rsid w:val="00D72FA3"/>
    <w:rsid w:val="00D73338"/>
    <w:rsid w:val="00D733A1"/>
    <w:rsid w:val="00D73513"/>
    <w:rsid w:val="00D73931"/>
    <w:rsid w:val="00D7409F"/>
    <w:rsid w:val="00D7451F"/>
    <w:rsid w:val="00D74916"/>
    <w:rsid w:val="00D74F88"/>
    <w:rsid w:val="00D7613B"/>
    <w:rsid w:val="00D765E2"/>
    <w:rsid w:val="00D7668B"/>
    <w:rsid w:val="00D76766"/>
    <w:rsid w:val="00D76BC8"/>
    <w:rsid w:val="00D76FA2"/>
    <w:rsid w:val="00D77A64"/>
    <w:rsid w:val="00D77B68"/>
    <w:rsid w:val="00D809D5"/>
    <w:rsid w:val="00D81082"/>
    <w:rsid w:val="00D814F5"/>
    <w:rsid w:val="00D81734"/>
    <w:rsid w:val="00D82247"/>
    <w:rsid w:val="00D82C99"/>
    <w:rsid w:val="00D82EFF"/>
    <w:rsid w:val="00D83166"/>
    <w:rsid w:val="00D83385"/>
    <w:rsid w:val="00D8363E"/>
    <w:rsid w:val="00D836A4"/>
    <w:rsid w:val="00D83764"/>
    <w:rsid w:val="00D838D7"/>
    <w:rsid w:val="00D8441F"/>
    <w:rsid w:val="00D847FB"/>
    <w:rsid w:val="00D849BE"/>
    <w:rsid w:val="00D84C2E"/>
    <w:rsid w:val="00D85003"/>
    <w:rsid w:val="00D85250"/>
    <w:rsid w:val="00D85654"/>
    <w:rsid w:val="00D857D7"/>
    <w:rsid w:val="00D865D4"/>
    <w:rsid w:val="00D86B32"/>
    <w:rsid w:val="00D86C5E"/>
    <w:rsid w:val="00D86CF1"/>
    <w:rsid w:val="00D86E91"/>
    <w:rsid w:val="00D87815"/>
    <w:rsid w:val="00D8791B"/>
    <w:rsid w:val="00D87CE8"/>
    <w:rsid w:val="00D87D4C"/>
    <w:rsid w:val="00D87DE0"/>
    <w:rsid w:val="00D90672"/>
    <w:rsid w:val="00D91AB2"/>
    <w:rsid w:val="00D91D99"/>
    <w:rsid w:val="00D922B0"/>
    <w:rsid w:val="00D92439"/>
    <w:rsid w:val="00D9319D"/>
    <w:rsid w:val="00D9349D"/>
    <w:rsid w:val="00D93DA1"/>
    <w:rsid w:val="00D94AB4"/>
    <w:rsid w:val="00D9572D"/>
    <w:rsid w:val="00D975AF"/>
    <w:rsid w:val="00D976BA"/>
    <w:rsid w:val="00D9784D"/>
    <w:rsid w:val="00D97B10"/>
    <w:rsid w:val="00D97B54"/>
    <w:rsid w:val="00D97E5D"/>
    <w:rsid w:val="00DA018C"/>
    <w:rsid w:val="00DA02BE"/>
    <w:rsid w:val="00DA03A7"/>
    <w:rsid w:val="00DA074F"/>
    <w:rsid w:val="00DA08BC"/>
    <w:rsid w:val="00DA0CDD"/>
    <w:rsid w:val="00DA0DDF"/>
    <w:rsid w:val="00DA1079"/>
    <w:rsid w:val="00DA1227"/>
    <w:rsid w:val="00DA1A70"/>
    <w:rsid w:val="00DA1ADA"/>
    <w:rsid w:val="00DA1CA4"/>
    <w:rsid w:val="00DA22E2"/>
    <w:rsid w:val="00DA249D"/>
    <w:rsid w:val="00DA258F"/>
    <w:rsid w:val="00DA25B5"/>
    <w:rsid w:val="00DA2EA3"/>
    <w:rsid w:val="00DA3E5A"/>
    <w:rsid w:val="00DA3F93"/>
    <w:rsid w:val="00DA4408"/>
    <w:rsid w:val="00DA4665"/>
    <w:rsid w:val="00DA481E"/>
    <w:rsid w:val="00DA4985"/>
    <w:rsid w:val="00DA4D4E"/>
    <w:rsid w:val="00DA4DB2"/>
    <w:rsid w:val="00DA4E0E"/>
    <w:rsid w:val="00DA5D81"/>
    <w:rsid w:val="00DA60C2"/>
    <w:rsid w:val="00DA6180"/>
    <w:rsid w:val="00DA63FA"/>
    <w:rsid w:val="00DA6705"/>
    <w:rsid w:val="00DA68EE"/>
    <w:rsid w:val="00DA6F76"/>
    <w:rsid w:val="00DA738D"/>
    <w:rsid w:val="00DA77D7"/>
    <w:rsid w:val="00DA78F7"/>
    <w:rsid w:val="00DB05D4"/>
    <w:rsid w:val="00DB08F7"/>
    <w:rsid w:val="00DB0A6B"/>
    <w:rsid w:val="00DB0C7E"/>
    <w:rsid w:val="00DB0CE3"/>
    <w:rsid w:val="00DB0D9F"/>
    <w:rsid w:val="00DB10B0"/>
    <w:rsid w:val="00DB14C3"/>
    <w:rsid w:val="00DB222E"/>
    <w:rsid w:val="00DB298D"/>
    <w:rsid w:val="00DB2EE4"/>
    <w:rsid w:val="00DB3229"/>
    <w:rsid w:val="00DB346A"/>
    <w:rsid w:val="00DB35DF"/>
    <w:rsid w:val="00DB3DD0"/>
    <w:rsid w:val="00DB3F77"/>
    <w:rsid w:val="00DB4146"/>
    <w:rsid w:val="00DB41BD"/>
    <w:rsid w:val="00DB4622"/>
    <w:rsid w:val="00DB4FEE"/>
    <w:rsid w:val="00DB5D08"/>
    <w:rsid w:val="00DB5DE0"/>
    <w:rsid w:val="00DB6413"/>
    <w:rsid w:val="00DB6807"/>
    <w:rsid w:val="00DB69FF"/>
    <w:rsid w:val="00DB7176"/>
    <w:rsid w:val="00DC019B"/>
    <w:rsid w:val="00DC0B11"/>
    <w:rsid w:val="00DC10C4"/>
    <w:rsid w:val="00DC1346"/>
    <w:rsid w:val="00DC1B39"/>
    <w:rsid w:val="00DC24AC"/>
    <w:rsid w:val="00DC24F8"/>
    <w:rsid w:val="00DC287D"/>
    <w:rsid w:val="00DC28B8"/>
    <w:rsid w:val="00DC2904"/>
    <w:rsid w:val="00DC29B7"/>
    <w:rsid w:val="00DC2A3D"/>
    <w:rsid w:val="00DC2B4F"/>
    <w:rsid w:val="00DC3062"/>
    <w:rsid w:val="00DC30E2"/>
    <w:rsid w:val="00DC3562"/>
    <w:rsid w:val="00DC3CD0"/>
    <w:rsid w:val="00DC4197"/>
    <w:rsid w:val="00DC4F57"/>
    <w:rsid w:val="00DC5A0D"/>
    <w:rsid w:val="00DC6702"/>
    <w:rsid w:val="00DC6AB9"/>
    <w:rsid w:val="00DC6DED"/>
    <w:rsid w:val="00DC6E57"/>
    <w:rsid w:val="00DC73E5"/>
    <w:rsid w:val="00DC7517"/>
    <w:rsid w:val="00DC791C"/>
    <w:rsid w:val="00DC79B7"/>
    <w:rsid w:val="00DC7E9D"/>
    <w:rsid w:val="00DD0C3B"/>
    <w:rsid w:val="00DD0F38"/>
    <w:rsid w:val="00DD1A67"/>
    <w:rsid w:val="00DD1DB8"/>
    <w:rsid w:val="00DD234C"/>
    <w:rsid w:val="00DD2986"/>
    <w:rsid w:val="00DD3817"/>
    <w:rsid w:val="00DD3B2D"/>
    <w:rsid w:val="00DD3E4C"/>
    <w:rsid w:val="00DD4BFD"/>
    <w:rsid w:val="00DD4EA0"/>
    <w:rsid w:val="00DD56E1"/>
    <w:rsid w:val="00DD5A66"/>
    <w:rsid w:val="00DD5FF0"/>
    <w:rsid w:val="00DD60A3"/>
    <w:rsid w:val="00DD64F7"/>
    <w:rsid w:val="00DD6538"/>
    <w:rsid w:val="00DD699C"/>
    <w:rsid w:val="00DD6B73"/>
    <w:rsid w:val="00DD730C"/>
    <w:rsid w:val="00DD79E9"/>
    <w:rsid w:val="00DE0292"/>
    <w:rsid w:val="00DE0666"/>
    <w:rsid w:val="00DE0E3C"/>
    <w:rsid w:val="00DE18B1"/>
    <w:rsid w:val="00DE1B42"/>
    <w:rsid w:val="00DE25B5"/>
    <w:rsid w:val="00DE288C"/>
    <w:rsid w:val="00DE3291"/>
    <w:rsid w:val="00DE44D9"/>
    <w:rsid w:val="00DE469B"/>
    <w:rsid w:val="00DE478C"/>
    <w:rsid w:val="00DE5288"/>
    <w:rsid w:val="00DE5A71"/>
    <w:rsid w:val="00DE5B2A"/>
    <w:rsid w:val="00DE63E4"/>
    <w:rsid w:val="00DE64E1"/>
    <w:rsid w:val="00DE67B6"/>
    <w:rsid w:val="00DE67E2"/>
    <w:rsid w:val="00DE6E7E"/>
    <w:rsid w:val="00DF024A"/>
    <w:rsid w:val="00DF0301"/>
    <w:rsid w:val="00DF0946"/>
    <w:rsid w:val="00DF1774"/>
    <w:rsid w:val="00DF1796"/>
    <w:rsid w:val="00DF19C3"/>
    <w:rsid w:val="00DF1BE3"/>
    <w:rsid w:val="00DF1D8D"/>
    <w:rsid w:val="00DF2038"/>
    <w:rsid w:val="00DF2567"/>
    <w:rsid w:val="00DF25F8"/>
    <w:rsid w:val="00DF2B3E"/>
    <w:rsid w:val="00DF2CCE"/>
    <w:rsid w:val="00DF3F6A"/>
    <w:rsid w:val="00DF4089"/>
    <w:rsid w:val="00DF41B9"/>
    <w:rsid w:val="00DF4846"/>
    <w:rsid w:val="00DF497A"/>
    <w:rsid w:val="00DF4CA4"/>
    <w:rsid w:val="00DF50A8"/>
    <w:rsid w:val="00DF5292"/>
    <w:rsid w:val="00DF5FA8"/>
    <w:rsid w:val="00DF6329"/>
    <w:rsid w:val="00DF65FC"/>
    <w:rsid w:val="00DF7410"/>
    <w:rsid w:val="00DF7C36"/>
    <w:rsid w:val="00E00311"/>
    <w:rsid w:val="00E0039E"/>
    <w:rsid w:val="00E00505"/>
    <w:rsid w:val="00E01554"/>
    <w:rsid w:val="00E0182C"/>
    <w:rsid w:val="00E019C6"/>
    <w:rsid w:val="00E019F3"/>
    <w:rsid w:val="00E01A41"/>
    <w:rsid w:val="00E02953"/>
    <w:rsid w:val="00E02F75"/>
    <w:rsid w:val="00E0322C"/>
    <w:rsid w:val="00E03FFC"/>
    <w:rsid w:val="00E04AA9"/>
    <w:rsid w:val="00E04E83"/>
    <w:rsid w:val="00E0564C"/>
    <w:rsid w:val="00E05719"/>
    <w:rsid w:val="00E05EA6"/>
    <w:rsid w:val="00E06319"/>
    <w:rsid w:val="00E0650F"/>
    <w:rsid w:val="00E0685B"/>
    <w:rsid w:val="00E06ABA"/>
    <w:rsid w:val="00E06D0B"/>
    <w:rsid w:val="00E07442"/>
    <w:rsid w:val="00E078CF"/>
    <w:rsid w:val="00E07DB0"/>
    <w:rsid w:val="00E10228"/>
    <w:rsid w:val="00E103A4"/>
    <w:rsid w:val="00E108D4"/>
    <w:rsid w:val="00E10EA7"/>
    <w:rsid w:val="00E11304"/>
    <w:rsid w:val="00E1152B"/>
    <w:rsid w:val="00E11C31"/>
    <w:rsid w:val="00E11D6A"/>
    <w:rsid w:val="00E120B2"/>
    <w:rsid w:val="00E121ED"/>
    <w:rsid w:val="00E12733"/>
    <w:rsid w:val="00E12AD8"/>
    <w:rsid w:val="00E12B26"/>
    <w:rsid w:val="00E132B5"/>
    <w:rsid w:val="00E13794"/>
    <w:rsid w:val="00E13E2F"/>
    <w:rsid w:val="00E14906"/>
    <w:rsid w:val="00E1491A"/>
    <w:rsid w:val="00E14A0F"/>
    <w:rsid w:val="00E14B9E"/>
    <w:rsid w:val="00E14C11"/>
    <w:rsid w:val="00E15200"/>
    <w:rsid w:val="00E157D0"/>
    <w:rsid w:val="00E16625"/>
    <w:rsid w:val="00E16F9B"/>
    <w:rsid w:val="00E170AF"/>
    <w:rsid w:val="00E17782"/>
    <w:rsid w:val="00E20326"/>
    <w:rsid w:val="00E21362"/>
    <w:rsid w:val="00E220C6"/>
    <w:rsid w:val="00E22AE7"/>
    <w:rsid w:val="00E22FF1"/>
    <w:rsid w:val="00E23A56"/>
    <w:rsid w:val="00E23BD8"/>
    <w:rsid w:val="00E246D8"/>
    <w:rsid w:val="00E252D8"/>
    <w:rsid w:val="00E257EB"/>
    <w:rsid w:val="00E2598B"/>
    <w:rsid w:val="00E2651B"/>
    <w:rsid w:val="00E26ACC"/>
    <w:rsid w:val="00E27554"/>
    <w:rsid w:val="00E2763B"/>
    <w:rsid w:val="00E2790E"/>
    <w:rsid w:val="00E27997"/>
    <w:rsid w:val="00E3013B"/>
    <w:rsid w:val="00E30419"/>
    <w:rsid w:val="00E30896"/>
    <w:rsid w:val="00E30BE0"/>
    <w:rsid w:val="00E30E47"/>
    <w:rsid w:val="00E312EE"/>
    <w:rsid w:val="00E31459"/>
    <w:rsid w:val="00E315B8"/>
    <w:rsid w:val="00E31B11"/>
    <w:rsid w:val="00E320CD"/>
    <w:rsid w:val="00E321A3"/>
    <w:rsid w:val="00E3250E"/>
    <w:rsid w:val="00E325DD"/>
    <w:rsid w:val="00E32774"/>
    <w:rsid w:val="00E32D3D"/>
    <w:rsid w:val="00E32EEC"/>
    <w:rsid w:val="00E32FFB"/>
    <w:rsid w:val="00E335F2"/>
    <w:rsid w:val="00E33A47"/>
    <w:rsid w:val="00E33BAA"/>
    <w:rsid w:val="00E3415E"/>
    <w:rsid w:val="00E342AE"/>
    <w:rsid w:val="00E345D2"/>
    <w:rsid w:val="00E34880"/>
    <w:rsid w:val="00E34C17"/>
    <w:rsid w:val="00E34C2B"/>
    <w:rsid w:val="00E354E7"/>
    <w:rsid w:val="00E35D5C"/>
    <w:rsid w:val="00E36183"/>
    <w:rsid w:val="00E36442"/>
    <w:rsid w:val="00E36AA0"/>
    <w:rsid w:val="00E37306"/>
    <w:rsid w:val="00E3738A"/>
    <w:rsid w:val="00E3765C"/>
    <w:rsid w:val="00E37940"/>
    <w:rsid w:val="00E37DA3"/>
    <w:rsid w:val="00E37E62"/>
    <w:rsid w:val="00E40062"/>
    <w:rsid w:val="00E40354"/>
    <w:rsid w:val="00E4058E"/>
    <w:rsid w:val="00E40824"/>
    <w:rsid w:val="00E40856"/>
    <w:rsid w:val="00E40CD8"/>
    <w:rsid w:val="00E413CB"/>
    <w:rsid w:val="00E41B2D"/>
    <w:rsid w:val="00E41F6B"/>
    <w:rsid w:val="00E42751"/>
    <w:rsid w:val="00E42756"/>
    <w:rsid w:val="00E427D7"/>
    <w:rsid w:val="00E42954"/>
    <w:rsid w:val="00E42E98"/>
    <w:rsid w:val="00E42F99"/>
    <w:rsid w:val="00E43263"/>
    <w:rsid w:val="00E43905"/>
    <w:rsid w:val="00E43E36"/>
    <w:rsid w:val="00E443EB"/>
    <w:rsid w:val="00E450E3"/>
    <w:rsid w:val="00E463E8"/>
    <w:rsid w:val="00E46676"/>
    <w:rsid w:val="00E46BA3"/>
    <w:rsid w:val="00E47809"/>
    <w:rsid w:val="00E47AE6"/>
    <w:rsid w:val="00E47D2F"/>
    <w:rsid w:val="00E47E36"/>
    <w:rsid w:val="00E47F6B"/>
    <w:rsid w:val="00E50052"/>
    <w:rsid w:val="00E50AF5"/>
    <w:rsid w:val="00E50CFA"/>
    <w:rsid w:val="00E511CA"/>
    <w:rsid w:val="00E51240"/>
    <w:rsid w:val="00E515D6"/>
    <w:rsid w:val="00E51BFE"/>
    <w:rsid w:val="00E51C38"/>
    <w:rsid w:val="00E52171"/>
    <w:rsid w:val="00E522CA"/>
    <w:rsid w:val="00E529DD"/>
    <w:rsid w:val="00E52B2B"/>
    <w:rsid w:val="00E5317C"/>
    <w:rsid w:val="00E5339C"/>
    <w:rsid w:val="00E53AEE"/>
    <w:rsid w:val="00E54A46"/>
    <w:rsid w:val="00E54C41"/>
    <w:rsid w:val="00E552DE"/>
    <w:rsid w:val="00E55308"/>
    <w:rsid w:val="00E55338"/>
    <w:rsid w:val="00E56148"/>
    <w:rsid w:val="00E56B8B"/>
    <w:rsid w:val="00E57327"/>
    <w:rsid w:val="00E57600"/>
    <w:rsid w:val="00E57817"/>
    <w:rsid w:val="00E57D73"/>
    <w:rsid w:val="00E600C2"/>
    <w:rsid w:val="00E607B4"/>
    <w:rsid w:val="00E60917"/>
    <w:rsid w:val="00E60B3A"/>
    <w:rsid w:val="00E61113"/>
    <w:rsid w:val="00E6144A"/>
    <w:rsid w:val="00E619EB"/>
    <w:rsid w:val="00E621CD"/>
    <w:rsid w:val="00E62815"/>
    <w:rsid w:val="00E62B88"/>
    <w:rsid w:val="00E62DE8"/>
    <w:rsid w:val="00E630BE"/>
    <w:rsid w:val="00E64419"/>
    <w:rsid w:val="00E64FCA"/>
    <w:rsid w:val="00E64FEC"/>
    <w:rsid w:val="00E653FE"/>
    <w:rsid w:val="00E65A5E"/>
    <w:rsid w:val="00E666F6"/>
    <w:rsid w:val="00E66B4A"/>
    <w:rsid w:val="00E7015C"/>
    <w:rsid w:val="00E70454"/>
    <w:rsid w:val="00E704ED"/>
    <w:rsid w:val="00E70A68"/>
    <w:rsid w:val="00E70DB4"/>
    <w:rsid w:val="00E71501"/>
    <w:rsid w:val="00E715AC"/>
    <w:rsid w:val="00E716A7"/>
    <w:rsid w:val="00E719F5"/>
    <w:rsid w:val="00E71D71"/>
    <w:rsid w:val="00E727D0"/>
    <w:rsid w:val="00E72BD5"/>
    <w:rsid w:val="00E7300D"/>
    <w:rsid w:val="00E7350B"/>
    <w:rsid w:val="00E74F78"/>
    <w:rsid w:val="00E753B1"/>
    <w:rsid w:val="00E756FC"/>
    <w:rsid w:val="00E75AEA"/>
    <w:rsid w:val="00E7640D"/>
    <w:rsid w:val="00E7645D"/>
    <w:rsid w:val="00E766FD"/>
    <w:rsid w:val="00E7672C"/>
    <w:rsid w:val="00E76EAA"/>
    <w:rsid w:val="00E76F8D"/>
    <w:rsid w:val="00E77486"/>
    <w:rsid w:val="00E7780D"/>
    <w:rsid w:val="00E77B8B"/>
    <w:rsid w:val="00E80492"/>
    <w:rsid w:val="00E80525"/>
    <w:rsid w:val="00E811FC"/>
    <w:rsid w:val="00E81B0B"/>
    <w:rsid w:val="00E81D06"/>
    <w:rsid w:val="00E81D41"/>
    <w:rsid w:val="00E8255B"/>
    <w:rsid w:val="00E826E6"/>
    <w:rsid w:val="00E82F11"/>
    <w:rsid w:val="00E83460"/>
    <w:rsid w:val="00E836AF"/>
    <w:rsid w:val="00E83A36"/>
    <w:rsid w:val="00E84645"/>
    <w:rsid w:val="00E84CED"/>
    <w:rsid w:val="00E85075"/>
    <w:rsid w:val="00E8571A"/>
    <w:rsid w:val="00E85C33"/>
    <w:rsid w:val="00E85CF0"/>
    <w:rsid w:val="00E8633B"/>
    <w:rsid w:val="00E87146"/>
    <w:rsid w:val="00E8741A"/>
    <w:rsid w:val="00E87758"/>
    <w:rsid w:val="00E87B9E"/>
    <w:rsid w:val="00E902DA"/>
    <w:rsid w:val="00E903B7"/>
    <w:rsid w:val="00E9074B"/>
    <w:rsid w:val="00E907BE"/>
    <w:rsid w:val="00E909EE"/>
    <w:rsid w:val="00E90CA2"/>
    <w:rsid w:val="00E90EF6"/>
    <w:rsid w:val="00E917CE"/>
    <w:rsid w:val="00E91AA9"/>
    <w:rsid w:val="00E91DC4"/>
    <w:rsid w:val="00E91E05"/>
    <w:rsid w:val="00E9201F"/>
    <w:rsid w:val="00E9206F"/>
    <w:rsid w:val="00E9260A"/>
    <w:rsid w:val="00E928C0"/>
    <w:rsid w:val="00E92932"/>
    <w:rsid w:val="00E92A65"/>
    <w:rsid w:val="00E935A5"/>
    <w:rsid w:val="00E94063"/>
    <w:rsid w:val="00E949D8"/>
    <w:rsid w:val="00E94A49"/>
    <w:rsid w:val="00E95259"/>
    <w:rsid w:val="00E95F09"/>
    <w:rsid w:val="00E966C5"/>
    <w:rsid w:val="00E96838"/>
    <w:rsid w:val="00E969F2"/>
    <w:rsid w:val="00E96A85"/>
    <w:rsid w:val="00E96ACE"/>
    <w:rsid w:val="00E97307"/>
    <w:rsid w:val="00E977A8"/>
    <w:rsid w:val="00EA00D7"/>
    <w:rsid w:val="00EA034F"/>
    <w:rsid w:val="00EA0888"/>
    <w:rsid w:val="00EA1E6C"/>
    <w:rsid w:val="00EA1E97"/>
    <w:rsid w:val="00EA1F0E"/>
    <w:rsid w:val="00EA1F7E"/>
    <w:rsid w:val="00EA272A"/>
    <w:rsid w:val="00EA2AF1"/>
    <w:rsid w:val="00EA2DE7"/>
    <w:rsid w:val="00EA34AC"/>
    <w:rsid w:val="00EA3675"/>
    <w:rsid w:val="00EA3E60"/>
    <w:rsid w:val="00EA3E64"/>
    <w:rsid w:val="00EA3F92"/>
    <w:rsid w:val="00EA4318"/>
    <w:rsid w:val="00EA46F2"/>
    <w:rsid w:val="00EA4FFB"/>
    <w:rsid w:val="00EA524D"/>
    <w:rsid w:val="00EA5514"/>
    <w:rsid w:val="00EA57C6"/>
    <w:rsid w:val="00EA5CDA"/>
    <w:rsid w:val="00EA61E0"/>
    <w:rsid w:val="00EA6279"/>
    <w:rsid w:val="00EA6348"/>
    <w:rsid w:val="00EA64B1"/>
    <w:rsid w:val="00EA6673"/>
    <w:rsid w:val="00EA72D0"/>
    <w:rsid w:val="00EA7749"/>
    <w:rsid w:val="00EA77DF"/>
    <w:rsid w:val="00EB04C7"/>
    <w:rsid w:val="00EB0B9A"/>
    <w:rsid w:val="00EB2198"/>
    <w:rsid w:val="00EB2ECE"/>
    <w:rsid w:val="00EB310B"/>
    <w:rsid w:val="00EB32A2"/>
    <w:rsid w:val="00EB3333"/>
    <w:rsid w:val="00EB37D9"/>
    <w:rsid w:val="00EB3B3A"/>
    <w:rsid w:val="00EB40EC"/>
    <w:rsid w:val="00EB4CB0"/>
    <w:rsid w:val="00EB4E9A"/>
    <w:rsid w:val="00EB4FF4"/>
    <w:rsid w:val="00EB53C2"/>
    <w:rsid w:val="00EB579A"/>
    <w:rsid w:val="00EB59EE"/>
    <w:rsid w:val="00EB5CE0"/>
    <w:rsid w:val="00EB5D75"/>
    <w:rsid w:val="00EB65F2"/>
    <w:rsid w:val="00EB6DF8"/>
    <w:rsid w:val="00EB7062"/>
    <w:rsid w:val="00EB72CD"/>
    <w:rsid w:val="00EB758D"/>
    <w:rsid w:val="00EB7972"/>
    <w:rsid w:val="00EC01F3"/>
    <w:rsid w:val="00EC0CA0"/>
    <w:rsid w:val="00EC0E33"/>
    <w:rsid w:val="00EC1071"/>
    <w:rsid w:val="00EC1BBB"/>
    <w:rsid w:val="00EC2328"/>
    <w:rsid w:val="00EC2330"/>
    <w:rsid w:val="00EC2393"/>
    <w:rsid w:val="00EC28B0"/>
    <w:rsid w:val="00EC3051"/>
    <w:rsid w:val="00EC3073"/>
    <w:rsid w:val="00EC332F"/>
    <w:rsid w:val="00EC39DA"/>
    <w:rsid w:val="00EC403E"/>
    <w:rsid w:val="00EC407B"/>
    <w:rsid w:val="00EC4172"/>
    <w:rsid w:val="00EC5128"/>
    <w:rsid w:val="00EC5243"/>
    <w:rsid w:val="00EC55F0"/>
    <w:rsid w:val="00EC5963"/>
    <w:rsid w:val="00EC5B37"/>
    <w:rsid w:val="00EC5DAA"/>
    <w:rsid w:val="00EC5DCD"/>
    <w:rsid w:val="00EC5E63"/>
    <w:rsid w:val="00EC6109"/>
    <w:rsid w:val="00EC65FC"/>
    <w:rsid w:val="00EC6DD6"/>
    <w:rsid w:val="00EC6E25"/>
    <w:rsid w:val="00EC6E61"/>
    <w:rsid w:val="00EC71A4"/>
    <w:rsid w:val="00EC760A"/>
    <w:rsid w:val="00EC7A0A"/>
    <w:rsid w:val="00EC7CEC"/>
    <w:rsid w:val="00ED019B"/>
    <w:rsid w:val="00ED03F7"/>
    <w:rsid w:val="00ED0A28"/>
    <w:rsid w:val="00ED0C2A"/>
    <w:rsid w:val="00ED0C4E"/>
    <w:rsid w:val="00ED0F5C"/>
    <w:rsid w:val="00ED1409"/>
    <w:rsid w:val="00ED19F8"/>
    <w:rsid w:val="00ED3D36"/>
    <w:rsid w:val="00ED48B8"/>
    <w:rsid w:val="00ED4A37"/>
    <w:rsid w:val="00ED4BBE"/>
    <w:rsid w:val="00ED52D7"/>
    <w:rsid w:val="00ED55BF"/>
    <w:rsid w:val="00ED5605"/>
    <w:rsid w:val="00ED5C9E"/>
    <w:rsid w:val="00ED5E4E"/>
    <w:rsid w:val="00ED5EB6"/>
    <w:rsid w:val="00ED6424"/>
    <w:rsid w:val="00ED67EB"/>
    <w:rsid w:val="00ED7601"/>
    <w:rsid w:val="00EE0073"/>
    <w:rsid w:val="00EE009A"/>
    <w:rsid w:val="00EE0B91"/>
    <w:rsid w:val="00EE0BB8"/>
    <w:rsid w:val="00EE0C1F"/>
    <w:rsid w:val="00EE0E72"/>
    <w:rsid w:val="00EE16BC"/>
    <w:rsid w:val="00EE1768"/>
    <w:rsid w:val="00EE17BB"/>
    <w:rsid w:val="00EE194A"/>
    <w:rsid w:val="00EE19D1"/>
    <w:rsid w:val="00EE2012"/>
    <w:rsid w:val="00EE2431"/>
    <w:rsid w:val="00EE2AA5"/>
    <w:rsid w:val="00EE345A"/>
    <w:rsid w:val="00EE4123"/>
    <w:rsid w:val="00EE44B8"/>
    <w:rsid w:val="00EE498D"/>
    <w:rsid w:val="00EE4F01"/>
    <w:rsid w:val="00EE59BC"/>
    <w:rsid w:val="00EE5A5B"/>
    <w:rsid w:val="00EE5BAF"/>
    <w:rsid w:val="00EE613F"/>
    <w:rsid w:val="00EE6426"/>
    <w:rsid w:val="00EE69DA"/>
    <w:rsid w:val="00EE6CF8"/>
    <w:rsid w:val="00EE75C0"/>
    <w:rsid w:val="00EE78A2"/>
    <w:rsid w:val="00EF0459"/>
    <w:rsid w:val="00EF06D1"/>
    <w:rsid w:val="00EF0923"/>
    <w:rsid w:val="00EF0E5C"/>
    <w:rsid w:val="00EF0FCA"/>
    <w:rsid w:val="00EF100E"/>
    <w:rsid w:val="00EF101B"/>
    <w:rsid w:val="00EF1F7E"/>
    <w:rsid w:val="00EF2679"/>
    <w:rsid w:val="00EF29BE"/>
    <w:rsid w:val="00EF2EE5"/>
    <w:rsid w:val="00EF323F"/>
    <w:rsid w:val="00EF3897"/>
    <w:rsid w:val="00EF38CF"/>
    <w:rsid w:val="00EF3BC3"/>
    <w:rsid w:val="00EF3D22"/>
    <w:rsid w:val="00EF3EDC"/>
    <w:rsid w:val="00EF4011"/>
    <w:rsid w:val="00EF454B"/>
    <w:rsid w:val="00EF4ED9"/>
    <w:rsid w:val="00EF585F"/>
    <w:rsid w:val="00EF5C58"/>
    <w:rsid w:val="00EF5F48"/>
    <w:rsid w:val="00EF60AA"/>
    <w:rsid w:val="00EF652C"/>
    <w:rsid w:val="00EF6931"/>
    <w:rsid w:val="00EF7079"/>
    <w:rsid w:val="00EF76A5"/>
    <w:rsid w:val="00EF78F3"/>
    <w:rsid w:val="00EF7967"/>
    <w:rsid w:val="00F0002E"/>
    <w:rsid w:val="00F00AD0"/>
    <w:rsid w:val="00F00D6B"/>
    <w:rsid w:val="00F01500"/>
    <w:rsid w:val="00F01DE1"/>
    <w:rsid w:val="00F01F77"/>
    <w:rsid w:val="00F01FB8"/>
    <w:rsid w:val="00F0209A"/>
    <w:rsid w:val="00F02435"/>
    <w:rsid w:val="00F02A32"/>
    <w:rsid w:val="00F02A64"/>
    <w:rsid w:val="00F03710"/>
    <w:rsid w:val="00F04787"/>
    <w:rsid w:val="00F04ABA"/>
    <w:rsid w:val="00F04F99"/>
    <w:rsid w:val="00F05091"/>
    <w:rsid w:val="00F051BD"/>
    <w:rsid w:val="00F056D6"/>
    <w:rsid w:val="00F0581E"/>
    <w:rsid w:val="00F058CE"/>
    <w:rsid w:val="00F05B10"/>
    <w:rsid w:val="00F05CE7"/>
    <w:rsid w:val="00F060C8"/>
    <w:rsid w:val="00F06A29"/>
    <w:rsid w:val="00F06F59"/>
    <w:rsid w:val="00F06FDA"/>
    <w:rsid w:val="00F07BB4"/>
    <w:rsid w:val="00F07D91"/>
    <w:rsid w:val="00F07D97"/>
    <w:rsid w:val="00F07DCF"/>
    <w:rsid w:val="00F07FDE"/>
    <w:rsid w:val="00F10236"/>
    <w:rsid w:val="00F103A8"/>
    <w:rsid w:val="00F105DD"/>
    <w:rsid w:val="00F1126D"/>
    <w:rsid w:val="00F11538"/>
    <w:rsid w:val="00F11576"/>
    <w:rsid w:val="00F11DEF"/>
    <w:rsid w:val="00F12039"/>
    <w:rsid w:val="00F129FF"/>
    <w:rsid w:val="00F13157"/>
    <w:rsid w:val="00F1357C"/>
    <w:rsid w:val="00F13B6D"/>
    <w:rsid w:val="00F13E08"/>
    <w:rsid w:val="00F1476E"/>
    <w:rsid w:val="00F147DD"/>
    <w:rsid w:val="00F1485C"/>
    <w:rsid w:val="00F149D2"/>
    <w:rsid w:val="00F15015"/>
    <w:rsid w:val="00F155BA"/>
    <w:rsid w:val="00F15DDC"/>
    <w:rsid w:val="00F163C1"/>
    <w:rsid w:val="00F16A1A"/>
    <w:rsid w:val="00F16EBE"/>
    <w:rsid w:val="00F1719F"/>
    <w:rsid w:val="00F1741C"/>
    <w:rsid w:val="00F17828"/>
    <w:rsid w:val="00F17ABB"/>
    <w:rsid w:val="00F17FBE"/>
    <w:rsid w:val="00F20082"/>
    <w:rsid w:val="00F2062E"/>
    <w:rsid w:val="00F2078C"/>
    <w:rsid w:val="00F20B97"/>
    <w:rsid w:val="00F212A6"/>
    <w:rsid w:val="00F2147A"/>
    <w:rsid w:val="00F21A3D"/>
    <w:rsid w:val="00F21AA2"/>
    <w:rsid w:val="00F21DFD"/>
    <w:rsid w:val="00F2248A"/>
    <w:rsid w:val="00F22498"/>
    <w:rsid w:val="00F227E5"/>
    <w:rsid w:val="00F22B8D"/>
    <w:rsid w:val="00F22D72"/>
    <w:rsid w:val="00F22DB7"/>
    <w:rsid w:val="00F22EC3"/>
    <w:rsid w:val="00F2391E"/>
    <w:rsid w:val="00F23B76"/>
    <w:rsid w:val="00F23C7E"/>
    <w:rsid w:val="00F2440F"/>
    <w:rsid w:val="00F24785"/>
    <w:rsid w:val="00F24CC8"/>
    <w:rsid w:val="00F24DF9"/>
    <w:rsid w:val="00F25C9F"/>
    <w:rsid w:val="00F2610D"/>
    <w:rsid w:val="00F26A91"/>
    <w:rsid w:val="00F3061D"/>
    <w:rsid w:val="00F3067E"/>
    <w:rsid w:val="00F3082F"/>
    <w:rsid w:val="00F308A9"/>
    <w:rsid w:val="00F30C20"/>
    <w:rsid w:val="00F314E3"/>
    <w:rsid w:val="00F321A7"/>
    <w:rsid w:val="00F3228A"/>
    <w:rsid w:val="00F32580"/>
    <w:rsid w:val="00F329AF"/>
    <w:rsid w:val="00F32AD8"/>
    <w:rsid w:val="00F32D07"/>
    <w:rsid w:val="00F33220"/>
    <w:rsid w:val="00F33331"/>
    <w:rsid w:val="00F33B78"/>
    <w:rsid w:val="00F33C2A"/>
    <w:rsid w:val="00F33DF8"/>
    <w:rsid w:val="00F344B0"/>
    <w:rsid w:val="00F34916"/>
    <w:rsid w:val="00F34E2D"/>
    <w:rsid w:val="00F34EB2"/>
    <w:rsid w:val="00F352D1"/>
    <w:rsid w:val="00F353B6"/>
    <w:rsid w:val="00F35557"/>
    <w:rsid w:val="00F35639"/>
    <w:rsid w:val="00F3586E"/>
    <w:rsid w:val="00F35B3A"/>
    <w:rsid w:val="00F364B7"/>
    <w:rsid w:val="00F366CC"/>
    <w:rsid w:val="00F377C6"/>
    <w:rsid w:val="00F37AA5"/>
    <w:rsid w:val="00F402EF"/>
    <w:rsid w:val="00F40334"/>
    <w:rsid w:val="00F40E74"/>
    <w:rsid w:val="00F40F79"/>
    <w:rsid w:val="00F41585"/>
    <w:rsid w:val="00F4183D"/>
    <w:rsid w:val="00F41A51"/>
    <w:rsid w:val="00F41CD0"/>
    <w:rsid w:val="00F41DDF"/>
    <w:rsid w:val="00F41E30"/>
    <w:rsid w:val="00F42005"/>
    <w:rsid w:val="00F420B5"/>
    <w:rsid w:val="00F421B3"/>
    <w:rsid w:val="00F426AE"/>
    <w:rsid w:val="00F42900"/>
    <w:rsid w:val="00F429FB"/>
    <w:rsid w:val="00F42A30"/>
    <w:rsid w:val="00F4382C"/>
    <w:rsid w:val="00F43AE4"/>
    <w:rsid w:val="00F447B5"/>
    <w:rsid w:val="00F44F82"/>
    <w:rsid w:val="00F44FBE"/>
    <w:rsid w:val="00F453C1"/>
    <w:rsid w:val="00F455F2"/>
    <w:rsid w:val="00F4623D"/>
    <w:rsid w:val="00F46342"/>
    <w:rsid w:val="00F46389"/>
    <w:rsid w:val="00F464C2"/>
    <w:rsid w:val="00F467EE"/>
    <w:rsid w:val="00F4699B"/>
    <w:rsid w:val="00F46EB0"/>
    <w:rsid w:val="00F4701C"/>
    <w:rsid w:val="00F4713D"/>
    <w:rsid w:val="00F472EC"/>
    <w:rsid w:val="00F4766B"/>
    <w:rsid w:val="00F477E5"/>
    <w:rsid w:val="00F47BF7"/>
    <w:rsid w:val="00F502E0"/>
    <w:rsid w:val="00F50DB2"/>
    <w:rsid w:val="00F50F6E"/>
    <w:rsid w:val="00F518FE"/>
    <w:rsid w:val="00F51936"/>
    <w:rsid w:val="00F519E4"/>
    <w:rsid w:val="00F5288A"/>
    <w:rsid w:val="00F52EC8"/>
    <w:rsid w:val="00F53071"/>
    <w:rsid w:val="00F530F9"/>
    <w:rsid w:val="00F53549"/>
    <w:rsid w:val="00F53F5B"/>
    <w:rsid w:val="00F54320"/>
    <w:rsid w:val="00F5456F"/>
    <w:rsid w:val="00F54A45"/>
    <w:rsid w:val="00F54BB2"/>
    <w:rsid w:val="00F55029"/>
    <w:rsid w:val="00F55146"/>
    <w:rsid w:val="00F556AD"/>
    <w:rsid w:val="00F5576C"/>
    <w:rsid w:val="00F55FF8"/>
    <w:rsid w:val="00F56BF9"/>
    <w:rsid w:val="00F56BFA"/>
    <w:rsid w:val="00F573C6"/>
    <w:rsid w:val="00F57961"/>
    <w:rsid w:val="00F57F11"/>
    <w:rsid w:val="00F57F44"/>
    <w:rsid w:val="00F60208"/>
    <w:rsid w:val="00F6083C"/>
    <w:rsid w:val="00F60A2E"/>
    <w:rsid w:val="00F60B61"/>
    <w:rsid w:val="00F60DA0"/>
    <w:rsid w:val="00F61CCC"/>
    <w:rsid w:val="00F61EE0"/>
    <w:rsid w:val="00F62042"/>
    <w:rsid w:val="00F62783"/>
    <w:rsid w:val="00F62905"/>
    <w:rsid w:val="00F629C9"/>
    <w:rsid w:val="00F62AA8"/>
    <w:rsid w:val="00F62C17"/>
    <w:rsid w:val="00F62E29"/>
    <w:rsid w:val="00F64399"/>
    <w:rsid w:val="00F64CAC"/>
    <w:rsid w:val="00F64D08"/>
    <w:rsid w:val="00F64DD9"/>
    <w:rsid w:val="00F65276"/>
    <w:rsid w:val="00F65320"/>
    <w:rsid w:val="00F65DC7"/>
    <w:rsid w:val="00F65FC2"/>
    <w:rsid w:val="00F65FD8"/>
    <w:rsid w:val="00F66275"/>
    <w:rsid w:val="00F663A6"/>
    <w:rsid w:val="00F665D4"/>
    <w:rsid w:val="00F66942"/>
    <w:rsid w:val="00F66DED"/>
    <w:rsid w:val="00F670C0"/>
    <w:rsid w:val="00F67366"/>
    <w:rsid w:val="00F67676"/>
    <w:rsid w:val="00F67708"/>
    <w:rsid w:val="00F677C3"/>
    <w:rsid w:val="00F67A64"/>
    <w:rsid w:val="00F67BDD"/>
    <w:rsid w:val="00F67DA6"/>
    <w:rsid w:val="00F704D1"/>
    <w:rsid w:val="00F70664"/>
    <w:rsid w:val="00F70681"/>
    <w:rsid w:val="00F70902"/>
    <w:rsid w:val="00F713CE"/>
    <w:rsid w:val="00F71429"/>
    <w:rsid w:val="00F7187E"/>
    <w:rsid w:val="00F724FE"/>
    <w:rsid w:val="00F729DB"/>
    <w:rsid w:val="00F72F5F"/>
    <w:rsid w:val="00F73310"/>
    <w:rsid w:val="00F736D5"/>
    <w:rsid w:val="00F73720"/>
    <w:rsid w:val="00F73E61"/>
    <w:rsid w:val="00F74275"/>
    <w:rsid w:val="00F742BC"/>
    <w:rsid w:val="00F74578"/>
    <w:rsid w:val="00F74B5E"/>
    <w:rsid w:val="00F7543A"/>
    <w:rsid w:val="00F75B6F"/>
    <w:rsid w:val="00F76308"/>
    <w:rsid w:val="00F773A4"/>
    <w:rsid w:val="00F77F4E"/>
    <w:rsid w:val="00F80113"/>
    <w:rsid w:val="00F805B8"/>
    <w:rsid w:val="00F806A2"/>
    <w:rsid w:val="00F81249"/>
    <w:rsid w:val="00F81348"/>
    <w:rsid w:val="00F817BA"/>
    <w:rsid w:val="00F81A5F"/>
    <w:rsid w:val="00F8266D"/>
    <w:rsid w:val="00F826DC"/>
    <w:rsid w:val="00F8273F"/>
    <w:rsid w:val="00F827AA"/>
    <w:rsid w:val="00F8315B"/>
    <w:rsid w:val="00F8328F"/>
    <w:rsid w:val="00F83730"/>
    <w:rsid w:val="00F844A5"/>
    <w:rsid w:val="00F85096"/>
    <w:rsid w:val="00F850B4"/>
    <w:rsid w:val="00F851C2"/>
    <w:rsid w:val="00F854A4"/>
    <w:rsid w:val="00F857FC"/>
    <w:rsid w:val="00F8589C"/>
    <w:rsid w:val="00F85B23"/>
    <w:rsid w:val="00F85C0A"/>
    <w:rsid w:val="00F85D26"/>
    <w:rsid w:val="00F85DED"/>
    <w:rsid w:val="00F85F12"/>
    <w:rsid w:val="00F86035"/>
    <w:rsid w:val="00F86344"/>
    <w:rsid w:val="00F869E2"/>
    <w:rsid w:val="00F86CAD"/>
    <w:rsid w:val="00F87204"/>
    <w:rsid w:val="00F8734A"/>
    <w:rsid w:val="00F8792A"/>
    <w:rsid w:val="00F87DE2"/>
    <w:rsid w:val="00F87FA4"/>
    <w:rsid w:val="00F901A0"/>
    <w:rsid w:val="00F9022F"/>
    <w:rsid w:val="00F903D4"/>
    <w:rsid w:val="00F90557"/>
    <w:rsid w:val="00F914A4"/>
    <w:rsid w:val="00F91AC3"/>
    <w:rsid w:val="00F91F38"/>
    <w:rsid w:val="00F92119"/>
    <w:rsid w:val="00F9254E"/>
    <w:rsid w:val="00F92A5E"/>
    <w:rsid w:val="00F92AAF"/>
    <w:rsid w:val="00F92E61"/>
    <w:rsid w:val="00F930C6"/>
    <w:rsid w:val="00F93541"/>
    <w:rsid w:val="00F942E7"/>
    <w:rsid w:val="00F952C1"/>
    <w:rsid w:val="00F953D2"/>
    <w:rsid w:val="00F956FB"/>
    <w:rsid w:val="00F95D5F"/>
    <w:rsid w:val="00F9634C"/>
    <w:rsid w:val="00F9643C"/>
    <w:rsid w:val="00F96B5D"/>
    <w:rsid w:val="00F971AB"/>
    <w:rsid w:val="00FA115F"/>
    <w:rsid w:val="00FA1E0F"/>
    <w:rsid w:val="00FA2521"/>
    <w:rsid w:val="00FA29B3"/>
    <w:rsid w:val="00FA2EC6"/>
    <w:rsid w:val="00FA30EE"/>
    <w:rsid w:val="00FA328A"/>
    <w:rsid w:val="00FA3883"/>
    <w:rsid w:val="00FA3C3B"/>
    <w:rsid w:val="00FA3F13"/>
    <w:rsid w:val="00FA46E4"/>
    <w:rsid w:val="00FA4F48"/>
    <w:rsid w:val="00FA51E4"/>
    <w:rsid w:val="00FA5341"/>
    <w:rsid w:val="00FA566D"/>
    <w:rsid w:val="00FA5A34"/>
    <w:rsid w:val="00FA5A82"/>
    <w:rsid w:val="00FA5BE4"/>
    <w:rsid w:val="00FA63AD"/>
    <w:rsid w:val="00FA6592"/>
    <w:rsid w:val="00FA67F7"/>
    <w:rsid w:val="00FA690B"/>
    <w:rsid w:val="00FA69D3"/>
    <w:rsid w:val="00FA6AA6"/>
    <w:rsid w:val="00FA6C94"/>
    <w:rsid w:val="00FA6F01"/>
    <w:rsid w:val="00FA761B"/>
    <w:rsid w:val="00FA7767"/>
    <w:rsid w:val="00FA7CA2"/>
    <w:rsid w:val="00FA7D21"/>
    <w:rsid w:val="00FA7D5D"/>
    <w:rsid w:val="00FB04A3"/>
    <w:rsid w:val="00FB06D8"/>
    <w:rsid w:val="00FB09D3"/>
    <w:rsid w:val="00FB0EB3"/>
    <w:rsid w:val="00FB1B89"/>
    <w:rsid w:val="00FB1BC8"/>
    <w:rsid w:val="00FB250D"/>
    <w:rsid w:val="00FB2BED"/>
    <w:rsid w:val="00FB3886"/>
    <w:rsid w:val="00FB39B6"/>
    <w:rsid w:val="00FB3AE8"/>
    <w:rsid w:val="00FB3B26"/>
    <w:rsid w:val="00FB3E05"/>
    <w:rsid w:val="00FB40B8"/>
    <w:rsid w:val="00FB40C2"/>
    <w:rsid w:val="00FB4891"/>
    <w:rsid w:val="00FB49FD"/>
    <w:rsid w:val="00FB4A40"/>
    <w:rsid w:val="00FB4C98"/>
    <w:rsid w:val="00FB4F1F"/>
    <w:rsid w:val="00FB680B"/>
    <w:rsid w:val="00FB6830"/>
    <w:rsid w:val="00FB68F3"/>
    <w:rsid w:val="00FB7273"/>
    <w:rsid w:val="00FB7316"/>
    <w:rsid w:val="00FB7625"/>
    <w:rsid w:val="00FB7724"/>
    <w:rsid w:val="00FB7AD5"/>
    <w:rsid w:val="00FB7B7E"/>
    <w:rsid w:val="00FB7D03"/>
    <w:rsid w:val="00FC060B"/>
    <w:rsid w:val="00FC123D"/>
    <w:rsid w:val="00FC13B6"/>
    <w:rsid w:val="00FC2C8A"/>
    <w:rsid w:val="00FC3690"/>
    <w:rsid w:val="00FC3D79"/>
    <w:rsid w:val="00FC42A9"/>
    <w:rsid w:val="00FC4755"/>
    <w:rsid w:val="00FC4CDF"/>
    <w:rsid w:val="00FC561C"/>
    <w:rsid w:val="00FC5874"/>
    <w:rsid w:val="00FC6200"/>
    <w:rsid w:val="00FC6432"/>
    <w:rsid w:val="00FC6851"/>
    <w:rsid w:val="00FC6B6F"/>
    <w:rsid w:val="00FC6BAB"/>
    <w:rsid w:val="00FC7749"/>
    <w:rsid w:val="00FC77F4"/>
    <w:rsid w:val="00FC79D3"/>
    <w:rsid w:val="00FD0554"/>
    <w:rsid w:val="00FD091F"/>
    <w:rsid w:val="00FD0B65"/>
    <w:rsid w:val="00FD0DCA"/>
    <w:rsid w:val="00FD1B21"/>
    <w:rsid w:val="00FD208F"/>
    <w:rsid w:val="00FD245C"/>
    <w:rsid w:val="00FD2C61"/>
    <w:rsid w:val="00FD2E07"/>
    <w:rsid w:val="00FD3933"/>
    <w:rsid w:val="00FD3A3A"/>
    <w:rsid w:val="00FD49B9"/>
    <w:rsid w:val="00FD4A9E"/>
    <w:rsid w:val="00FD4BA8"/>
    <w:rsid w:val="00FD4D27"/>
    <w:rsid w:val="00FD546F"/>
    <w:rsid w:val="00FD62B8"/>
    <w:rsid w:val="00FD62B9"/>
    <w:rsid w:val="00FD64F7"/>
    <w:rsid w:val="00FD6EFB"/>
    <w:rsid w:val="00FD713F"/>
    <w:rsid w:val="00FD73D5"/>
    <w:rsid w:val="00FD742D"/>
    <w:rsid w:val="00FD7645"/>
    <w:rsid w:val="00FD79BA"/>
    <w:rsid w:val="00FD7EB5"/>
    <w:rsid w:val="00FE004B"/>
    <w:rsid w:val="00FE0C2B"/>
    <w:rsid w:val="00FE0EDF"/>
    <w:rsid w:val="00FE1427"/>
    <w:rsid w:val="00FE1B6F"/>
    <w:rsid w:val="00FE1C46"/>
    <w:rsid w:val="00FE2A07"/>
    <w:rsid w:val="00FE2AED"/>
    <w:rsid w:val="00FE2C4D"/>
    <w:rsid w:val="00FE2F97"/>
    <w:rsid w:val="00FE320E"/>
    <w:rsid w:val="00FE3D5C"/>
    <w:rsid w:val="00FE3EA2"/>
    <w:rsid w:val="00FE3F5D"/>
    <w:rsid w:val="00FE41D8"/>
    <w:rsid w:val="00FE4713"/>
    <w:rsid w:val="00FE49D3"/>
    <w:rsid w:val="00FE56A1"/>
    <w:rsid w:val="00FE5CCF"/>
    <w:rsid w:val="00FE7561"/>
    <w:rsid w:val="00FE774F"/>
    <w:rsid w:val="00FE7827"/>
    <w:rsid w:val="00FE7F13"/>
    <w:rsid w:val="00FF00B2"/>
    <w:rsid w:val="00FF065A"/>
    <w:rsid w:val="00FF0BC4"/>
    <w:rsid w:val="00FF0CCF"/>
    <w:rsid w:val="00FF0EA6"/>
    <w:rsid w:val="00FF182D"/>
    <w:rsid w:val="00FF1A2D"/>
    <w:rsid w:val="00FF1FAD"/>
    <w:rsid w:val="00FF26E8"/>
    <w:rsid w:val="00FF3264"/>
    <w:rsid w:val="00FF3384"/>
    <w:rsid w:val="00FF3738"/>
    <w:rsid w:val="00FF3FC9"/>
    <w:rsid w:val="00FF45E1"/>
    <w:rsid w:val="00FF4734"/>
    <w:rsid w:val="00FF4A1A"/>
    <w:rsid w:val="00FF52DF"/>
    <w:rsid w:val="00FF5F11"/>
    <w:rsid w:val="00FF607B"/>
    <w:rsid w:val="00FF675B"/>
    <w:rsid w:val="00FF682F"/>
    <w:rsid w:val="00FF6C3F"/>
    <w:rsid w:val="00FF785B"/>
    <w:rsid w:val="0C5971A3"/>
    <w:rsid w:val="1085D177"/>
    <w:rsid w:val="14B02384"/>
    <w:rsid w:val="2680E440"/>
    <w:rsid w:val="3E2F3805"/>
    <w:rsid w:val="489CF1CF"/>
    <w:rsid w:val="58B1C2AC"/>
    <w:rsid w:val="6097EEBE"/>
    <w:rsid w:val="651F9A5A"/>
    <w:rsid w:val="6A5EA2C1"/>
    <w:rsid w:val="7296F40E"/>
    <w:rsid w:val="75C4919C"/>
    <w:rsid w:val="77C5F8F2"/>
    <w:rsid w:val="7A9B90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AC3E8"/>
  <w15:chartTrackingRefBased/>
  <w15:docId w15:val="{664A9921-4BE5-4EFE-B24D-E03F3C04C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550"/>
    <w:pPr>
      <w:tabs>
        <w:tab w:val="left" w:pos="567"/>
      </w:tabs>
      <w:spacing w:before="120" w:line="254" w:lineRule="auto"/>
    </w:pPr>
    <w:rPr>
      <w:rFonts w:ascii="Open Sans Light" w:hAnsi="Open Sans Light"/>
      <w:sz w:val="20"/>
      <w:szCs w:val="22"/>
    </w:rPr>
  </w:style>
  <w:style w:type="paragraph" w:styleId="Heading1">
    <w:name w:val="heading 1"/>
    <w:basedOn w:val="CGCSubHead"/>
    <w:next w:val="Normal"/>
    <w:link w:val="Heading1Char"/>
    <w:uiPriority w:val="9"/>
    <w:qFormat/>
    <w:rsid w:val="00600974"/>
    <w:pPr>
      <w:spacing w:before="360"/>
      <w:outlineLvl w:val="0"/>
    </w:pPr>
    <w:rPr>
      <w:sz w:val="40"/>
      <w:szCs w:val="40"/>
    </w:rPr>
  </w:style>
  <w:style w:type="paragraph" w:styleId="Heading2">
    <w:name w:val="heading 2"/>
    <w:basedOn w:val="CGCSubHead"/>
    <w:next w:val="Normal"/>
    <w:link w:val="Heading2Char"/>
    <w:uiPriority w:val="9"/>
    <w:unhideWhenUsed/>
    <w:qFormat/>
    <w:rsid w:val="00600974"/>
    <w:pPr>
      <w:spacing w:before="360"/>
      <w:outlineLvl w:val="1"/>
    </w:pPr>
    <w:rPr>
      <w:sz w:val="36"/>
      <w:szCs w:val="36"/>
    </w:rPr>
  </w:style>
  <w:style w:type="paragraph" w:styleId="Heading3">
    <w:name w:val="heading 3"/>
    <w:basedOn w:val="CGCSubHead"/>
    <w:next w:val="Normal"/>
    <w:link w:val="Heading3Char"/>
    <w:uiPriority w:val="9"/>
    <w:unhideWhenUsed/>
    <w:qFormat/>
    <w:rsid w:val="00600974"/>
    <w:pPr>
      <w:outlineLvl w:val="2"/>
    </w:pPr>
  </w:style>
  <w:style w:type="paragraph" w:styleId="Heading4">
    <w:name w:val="heading 4"/>
    <w:basedOn w:val="Normal"/>
    <w:next w:val="Normal"/>
    <w:link w:val="Heading4Char"/>
    <w:uiPriority w:val="9"/>
    <w:unhideWhenUsed/>
    <w:qFormat/>
    <w:rsid w:val="00BE4B84"/>
    <w:pPr>
      <w:keepNext/>
      <w:keepLines/>
      <w:spacing w:before="240"/>
      <w:outlineLvl w:val="3"/>
    </w:pPr>
    <w:rPr>
      <w:rFonts w:asciiTheme="majorHAnsi" w:eastAsiaTheme="majorEastAsia" w:hAnsiTheme="majorHAnsi" w:cstheme="majorBidi"/>
      <w:i/>
      <w:iCs/>
      <w:color w:val="008069"/>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550"/>
    <w:pPr>
      <w:tabs>
        <w:tab w:val="center" w:pos="4513"/>
        <w:tab w:val="right" w:pos="9026"/>
      </w:tabs>
    </w:pPr>
  </w:style>
  <w:style w:type="character" w:customStyle="1" w:styleId="HeaderChar">
    <w:name w:val="Header Char"/>
    <w:basedOn w:val="DefaultParagraphFont"/>
    <w:link w:val="Header"/>
    <w:uiPriority w:val="99"/>
    <w:rsid w:val="005C0550"/>
  </w:style>
  <w:style w:type="paragraph" w:styleId="Footer">
    <w:name w:val="footer"/>
    <w:basedOn w:val="Normal"/>
    <w:link w:val="FooterChar"/>
    <w:uiPriority w:val="99"/>
    <w:unhideWhenUsed/>
    <w:rsid w:val="005C0550"/>
    <w:pPr>
      <w:tabs>
        <w:tab w:val="center" w:pos="4513"/>
        <w:tab w:val="right" w:pos="9026"/>
      </w:tabs>
    </w:pPr>
  </w:style>
  <w:style w:type="character" w:customStyle="1" w:styleId="FooterChar">
    <w:name w:val="Footer Char"/>
    <w:basedOn w:val="DefaultParagraphFont"/>
    <w:link w:val="Footer"/>
    <w:uiPriority w:val="99"/>
    <w:rsid w:val="005C0550"/>
  </w:style>
  <w:style w:type="paragraph" w:styleId="Caption">
    <w:name w:val="caption"/>
    <w:basedOn w:val="Normal"/>
    <w:next w:val="Normal"/>
    <w:link w:val="CaptionChar"/>
    <w:qFormat/>
    <w:rsid w:val="00616561"/>
    <w:pPr>
      <w:keepNext/>
      <w:keepLines/>
      <w:tabs>
        <w:tab w:val="clear" w:pos="567"/>
        <w:tab w:val="left" w:pos="1134"/>
        <w:tab w:val="left" w:pos="1418"/>
      </w:tabs>
      <w:spacing w:before="240" w:after="120" w:line="240" w:lineRule="auto"/>
      <w:ind w:left="1134" w:hanging="1134"/>
    </w:pPr>
    <w:rPr>
      <w:rFonts w:ascii="Work Sans SemiBold" w:hAnsi="Work Sans SemiBold"/>
      <w:b/>
      <w:bCs/>
      <w:szCs w:val="20"/>
    </w:rPr>
  </w:style>
  <w:style w:type="character" w:customStyle="1" w:styleId="CaptionChar">
    <w:name w:val="Caption Char"/>
    <w:basedOn w:val="DefaultParagraphFont"/>
    <w:link w:val="Caption"/>
    <w:rsid w:val="00616561"/>
    <w:rPr>
      <w:rFonts w:ascii="Work Sans SemiBold" w:hAnsi="Work Sans SemiBold"/>
      <w:b/>
      <w:bCs/>
      <w:sz w:val="20"/>
      <w:szCs w:val="20"/>
    </w:rPr>
  </w:style>
  <w:style w:type="paragraph" w:customStyle="1" w:styleId="CGCTablenote">
    <w:name w:val="CGC Table note"/>
    <w:basedOn w:val="Normal"/>
    <w:next w:val="Normal"/>
    <w:qFormat/>
    <w:rsid w:val="00053959"/>
    <w:pPr>
      <w:keepNext/>
      <w:keepLines/>
      <w:widowControl w:val="0"/>
      <w:numPr>
        <w:numId w:val="16"/>
      </w:numPr>
      <w:tabs>
        <w:tab w:val="clear" w:pos="567"/>
        <w:tab w:val="left" w:pos="851"/>
        <w:tab w:val="left" w:pos="993"/>
      </w:tabs>
      <w:spacing w:before="40" w:line="240" w:lineRule="auto"/>
    </w:pPr>
    <w:rPr>
      <w:rFonts w:ascii="Work Sans" w:hAnsi="Work Sans"/>
      <w:sz w:val="14"/>
    </w:rPr>
  </w:style>
  <w:style w:type="paragraph" w:styleId="BodyText">
    <w:name w:val="Body Text"/>
    <w:basedOn w:val="CGCBodyCopy"/>
    <w:link w:val="BodyTextChar"/>
    <w:qFormat/>
    <w:rsid w:val="00A158FB"/>
    <w:pPr>
      <w:jc w:val="left"/>
    </w:pPr>
    <w:rPr>
      <w:rFonts w:ascii="Work Sans" w:hAnsi="Work Sans"/>
      <w:sz w:val="20"/>
      <w:szCs w:val="20"/>
    </w:rPr>
  </w:style>
  <w:style w:type="character" w:customStyle="1" w:styleId="BodyTextChar">
    <w:name w:val="Body Text Char"/>
    <w:basedOn w:val="DefaultParagraphFont"/>
    <w:link w:val="BodyText"/>
    <w:rsid w:val="00A158FB"/>
    <w:rPr>
      <w:rFonts w:ascii="Work Sans" w:hAnsi="Work Sans" w:cs="Cambria Math"/>
      <w:color w:val="000000"/>
      <w:sz w:val="20"/>
      <w:szCs w:val="20"/>
    </w:rPr>
  </w:style>
  <w:style w:type="character" w:customStyle="1" w:styleId="normaltextrun">
    <w:name w:val="normaltextrun"/>
    <w:basedOn w:val="DefaultParagraphFont"/>
    <w:rsid w:val="005C0550"/>
  </w:style>
  <w:style w:type="paragraph" w:customStyle="1" w:styleId="CGCBodyCopy">
    <w:name w:val="CGC Body Copy"/>
    <w:basedOn w:val="Normal"/>
    <w:autoRedefine/>
    <w:qFormat/>
    <w:rsid w:val="001434E4"/>
    <w:pPr>
      <w:jc w:val="both"/>
    </w:pPr>
    <w:rPr>
      <w:rFonts w:cs="Cambria Math"/>
      <w:color w:val="000000"/>
      <w:sz w:val="24"/>
      <w:szCs w:val="21"/>
      <w:shd w:val="clear" w:color="auto" w:fill="FFFFFF"/>
    </w:rPr>
  </w:style>
  <w:style w:type="paragraph" w:customStyle="1" w:styleId="CGCSubHead">
    <w:name w:val="CGC Sub Head"/>
    <w:autoRedefine/>
    <w:qFormat/>
    <w:rsid w:val="00600974"/>
    <w:pPr>
      <w:spacing w:before="240" w:after="200" w:line="276" w:lineRule="auto"/>
    </w:pPr>
    <w:rPr>
      <w:rFonts w:ascii="Work Sans" w:eastAsiaTheme="majorEastAsia" w:hAnsi="Work Sans" w:cs="Open Sans"/>
      <w:b/>
      <w:bCs/>
      <w:color w:val="008069" w:themeColor="accent5"/>
      <w:sz w:val="28"/>
      <w:szCs w:val="28"/>
    </w:rPr>
  </w:style>
  <w:style w:type="character" w:styleId="Hyperlink">
    <w:name w:val="Hyperlink"/>
    <w:basedOn w:val="DefaultParagraphFont"/>
    <w:uiPriority w:val="99"/>
    <w:unhideWhenUsed/>
    <w:qFormat/>
    <w:rsid w:val="008B3F9B"/>
    <w:rPr>
      <w:color w:val="006991" w:themeColor="hyperlink"/>
      <w:u w:val="single"/>
    </w:rPr>
  </w:style>
  <w:style w:type="character" w:styleId="UnresolvedMention">
    <w:name w:val="Unresolved Mention"/>
    <w:basedOn w:val="DefaultParagraphFont"/>
    <w:uiPriority w:val="99"/>
    <w:unhideWhenUsed/>
    <w:rsid w:val="008B3F9B"/>
    <w:rPr>
      <w:color w:val="605E5C"/>
      <w:shd w:val="clear" w:color="auto" w:fill="E1DFDD"/>
    </w:rPr>
  </w:style>
  <w:style w:type="character" w:styleId="PageNumber">
    <w:name w:val="page number"/>
    <w:basedOn w:val="DefaultParagraphFont"/>
    <w:uiPriority w:val="99"/>
    <w:semiHidden/>
    <w:unhideWhenUsed/>
    <w:rsid w:val="008B3F9B"/>
  </w:style>
  <w:style w:type="character" w:customStyle="1" w:styleId="Heading1Char">
    <w:name w:val="Heading 1 Char"/>
    <w:basedOn w:val="DefaultParagraphFont"/>
    <w:link w:val="Heading1"/>
    <w:uiPriority w:val="9"/>
    <w:rsid w:val="00600974"/>
    <w:rPr>
      <w:rFonts w:ascii="Work Sans" w:eastAsiaTheme="majorEastAsia" w:hAnsi="Work Sans" w:cs="Open Sans"/>
      <w:b/>
      <w:bCs/>
      <w:color w:val="008069" w:themeColor="accent5"/>
      <w:sz w:val="40"/>
      <w:szCs w:val="40"/>
    </w:rPr>
  </w:style>
  <w:style w:type="character" w:customStyle="1" w:styleId="Heading2Char">
    <w:name w:val="Heading 2 Char"/>
    <w:basedOn w:val="DefaultParagraphFont"/>
    <w:link w:val="Heading2"/>
    <w:uiPriority w:val="9"/>
    <w:rsid w:val="00600974"/>
    <w:rPr>
      <w:rFonts w:ascii="Work Sans" w:eastAsiaTheme="majorEastAsia" w:hAnsi="Work Sans" w:cs="Open Sans"/>
      <w:b/>
      <w:bCs/>
      <w:color w:val="008069" w:themeColor="accent5"/>
      <w:sz w:val="36"/>
      <w:szCs w:val="36"/>
    </w:rPr>
  </w:style>
  <w:style w:type="character" w:customStyle="1" w:styleId="Heading3Char">
    <w:name w:val="Heading 3 Char"/>
    <w:basedOn w:val="DefaultParagraphFont"/>
    <w:link w:val="Heading3"/>
    <w:uiPriority w:val="9"/>
    <w:rsid w:val="00600974"/>
    <w:rPr>
      <w:rFonts w:ascii="Work Sans" w:eastAsiaTheme="majorEastAsia" w:hAnsi="Work Sans" w:cs="Open Sans"/>
      <w:b/>
      <w:bCs/>
      <w:color w:val="008069" w:themeColor="accent5"/>
      <w:sz w:val="28"/>
      <w:szCs w:val="28"/>
    </w:rPr>
  </w:style>
  <w:style w:type="paragraph" w:customStyle="1" w:styleId="CGCParaNumber">
    <w:name w:val="CGC Para Number"/>
    <w:basedOn w:val="Normal"/>
    <w:qFormat/>
    <w:rsid w:val="001471E1"/>
  </w:style>
  <w:style w:type="paragraph" w:customStyle="1" w:styleId="CGCBullet1">
    <w:name w:val="CGC Bullet 1"/>
    <w:basedOn w:val="Normal"/>
    <w:qFormat/>
    <w:rsid w:val="00E14906"/>
    <w:pPr>
      <w:numPr>
        <w:numId w:val="2"/>
      </w:numPr>
    </w:pPr>
    <w:rPr>
      <w:rFonts w:ascii="Work Sans" w:hAnsi="Work Sans"/>
      <w:bCs/>
      <w:szCs w:val="20"/>
    </w:rPr>
  </w:style>
  <w:style w:type="paragraph" w:styleId="ListParagraph">
    <w:name w:val="List Paragraph"/>
    <w:basedOn w:val="Normal"/>
    <w:uiPriority w:val="34"/>
    <w:qFormat/>
    <w:rsid w:val="003C2943"/>
    <w:pPr>
      <w:ind w:left="720"/>
      <w:contextualSpacing/>
    </w:pPr>
  </w:style>
  <w:style w:type="paragraph" w:styleId="Quote">
    <w:name w:val="Quote"/>
    <w:aliases w:val="Bullet"/>
    <w:basedOn w:val="CGCBullet1"/>
    <w:next w:val="Normal"/>
    <w:link w:val="QuoteChar"/>
    <w:uiPriority w:val="29"/>
    <w:qFormat/>
    <w:rsid w:val="00B73B4F"/>
    <w:rPr>
      <w:bCs w:val="0"/>
    </w:rPr>
  </w:style>
  <w:style w:type="character" w:customStyle="1" w:styleId="QuoteChar">
    <w:name w:val="Quote Char"/>
    <w:aliases w:val="Bullet Char"/>
    <w:basedOn w:val="DefaultParagraphFont"/>
    <w:link w:val="Quote"/>
    <w:uiPriority w:val="29"/>
    <w:rsid w:val="00B73B4F"/>
    <w:rPr>
      <w:rFonts w:ascii="Work Sans" w:hAnsi="Work Sans"/>
    </w:rPr>
  </w:style>
  <w:style w:type="paragraph" w:styleId="Revision">
    <w:name w:val="Revision"/>
    <w:hidden/>
    <w:uiPriority w:val="99"/>
    <w:semiHidden/>
    <w:rsid w:val="004324BD"/>
    <w:rPr>
      <w:rFonts w:ascii="Open Sans Light" w:hAnsi="Open Sans Light"/>
      <w:sz w:val="20"/>
      <w:szCs w:val="22"/>
    </w:rPr>
  </w:style>
  <w:style w:type="paragraph" w:styleId="FootnoteText">
    <w:name w:val="footnote text"/>
    <w:basedOn w:val="Normal"/>
    <w:link w:val="FootnoteTextChar"/>
    <w:uiPriority w:val="99"/>
    <w:unhideWhenUsed/>
    <w:rsid w:val="0074580E"/>
    <w:pPr>
      <w:spacing w:before="0" w:line="240" w:lineRule="auto"/>
    </w:pPr>
    <w:rPr>
      <w:szCs w:val="20"/>
    </w:rPr>
  </w:style>
  <w:style w:type="character" w:customStyle="1" w:styleId="FootnoteTextChar">
    <w:name w:val="Footnote Text Char"/>
    <w:basedOn w:val="DefaultParagraphFont"/>
    <w:link w:val="FootnoteText"/>
    <w:uiPriority w:val="99"/>
    <w:rsid w:val="0074580E"/>
    <w:rPr>
      <w:rFonts w:ascii="Open Sans Light" w:hAnsi="Open Sans Light"/>
      <w:sz w:val="20"/>
      <w:szCs w:val="20"/>
    </w:rPr>
  </w:style>
  <w:style w:type="character" w:styleId="FootnoteReference">
    <w:name w:val="footnote reference"/>
    <w:basedOn w:val="DefaultParagraphFont"/>
    <w:unhideWhenUsed/>
    <w:rsid w:val="0074580E"/>
    <w:rPr>
      <w:vertAlign w:val="superscript"/>
    </w:rPr>
  </w:style>
  <w:style w:type="character" w:customStyle="1" w:styleId="Heading4Char">
    <w:name w:val="Heading 4 Char"/>
    <w:basedOn w:val="DefaultParagraphFont"/>
    <w:link w:val="Heading4"/>
    <w:uiPriority w:val="9"/>
    <w:rsid w:val="00BE4B84"/>
    <w:rPr>
      <w:rFonts w:asciiTheme="majorHAnsi" w:eastAsiaTheme="majorEastAsia" w:hAnsiTheme="majorHAnsi" w:cstheme="majorBidi"/>
      <w:i/>
      <w:iCs/>
      <w:color w:val="008069"/>
      <w:szCs w:val="28"/>
    </w:rPr>
  </w:style>
  <w:style w:type="character" w:styleId="CommentReference">
    <w:name w:val="annotation reference"/>
    <w:basedOn w:val="DefaultParagraphFont"/>
    <w:uiPriority w:val="99"/>
    <w:semiHidden/>
    <w:unhideWhenUsed/>
    <w:rsid w:val="0047035F"/>
    <w:rPr>
      <w:sz w:val="16"/>
      <w:szCs w:val="16"/>
    </w:rPr>
  </w:style>
  <w:style w:type="paragraph" w:styleId="CommentText">
    <w:name w:val="annotation text"/>
    <w:basedOn w:val="Normal"/>
    <w:link w:val="CommentTextChar"/>
    <w:uiPriority w:val="99"/>
    <w:unhideWhenUsed/>
    <w:rsid w:val="0047035F"/>
    <w:pPr>
      <w:spacing w:line="240" w:lineRule="auto"/>
    </w:pPr>
    <w:rPr>
      <w:szCs w:val="20"/>
    </w:rPr>
  </w:style>
  <w:style w:type="character" w:customStyle="1" w:styleId="CommentTextChar">
    <w:name w:val="Comment Text Char"/>
    <w:basedOn w:val="DefaultParagraphFont"/>
    <w:link w:val="CommentText"/>
    <w:uiPriority w:val="99"/>
    <w:rsid w:val="0047035F"/>
    <w:rPr>
      <w:rFonts w:ascii="Open Sans Light" w:hAnsi="Open Sans Light"/>
      <w:sz w:val="20"/>
      <w:szCs w:val="20"/>
    </w:rPr>
  </w:style>
  <w:style w:type="paragraph" w:styleId="CommentSubject">
    <w:name w:val="annotation subject"/>
    <w:basedOn w:val="CommentText"/>
    <w:next w:val="CommentText"/>
    <w:link w:val="CommentSubjectChar"/>
    <w:uiPriority w:val="99"/>
    <w:semiHidden/>
    <w:unhideWhenUsed/>
    <w:rsid w:val="0047035F"/>
    <w:rPr>
      <w:b/>
      <w:bCs/>
    </w:rPr>
  </w:style>
  <w:style w:type="character" w:customStyle="1" w:styleId="CommentSubjectChar">
    <w:name w:val="Comment Subject Char"/>
    <w:basedOn w:val="CommentTextChar"/>
    <w:link w:val="CommentSubject"/>
    <w:uiPriority w:val="99"/>
    <w:semiHidden/>
    <w:rsid w:val="0047035F"/>
    <w:rPr>
      <w:rFonts w:ascii="Open Sans Light" w:hAnsi="Open Sans Light"/>
      <w:b/>
      <w:bCs/>
      <w:sz w:val="20"/>
      <w:szCs w:val="20"/>
    </w:rPr>
  </w:style>
  <w:style w:type="character" w:styleId="FollowedHyperlink">
    <w:name w:val="FollowedHyperlink"/>
    <w:basedOn w:val="DefaultParagraphFont"/>
    <w:uiPriority w:val="99"/>
    <w:semiHidden/>
    <w:unhideWhenUsed/>
    <w:rsid w:val="00210A47"/>
    <w:rPr>
      <w:color w:val="93EA9E" w:themeColor="followedHyperlink"/>
      <w:u w:val="single"/>
    </w:rPr>
  </w:style>
  <w:style w:type="paragraph" w:styleId="Title">
    <w:name w:val="Title"/>
    <w:aliases w:val="Footnote"/>
    <w:basedOn w:val="CGCTablenote"/>
    <w:next w:val="Normal"/>
    <w:link w:val="TitleChar"/>
    <w:uiPriority w:val="10"/>
    <w:qFormat/>
    <w:rsid w:val="00D025B9"/>
    <w:pPr>
      <w:numPr>
        <w:numId w:val="0"/>
      </w:numPr>
      <w:ind w:left="567" w:hanging="567"/>
    </w:pPr>
  </w:style>
  <w:style w:type="character" w:customStyle="1" w:styleId="TitleChar">
    <w:name w:val="Title Char"/>
    <w:aliases w:val="Footnote Char"/>
    <w:basedOn w:val="DefaultParagraphFont"/>
    <w:link w:val="Title"/>
    <w:uiPriority w:val="10"/>
    <w:rsid w:val="00D025B9"/>
    <w:rPr>
      <w:rFonts w:ascii="Work Sans" w:hAnsi="Work Sans"/>
      <w:sz w:val="14"/>
      <w:szCs w:val="22"/>
    </w:rPr>
  </w:style>
  <w:style w:type="character" w:styleId="Mention">
    <w:name w:val="Mention"/>
    <w:basedOn w:val="DefaultParagraphFont"/>
    <w:uiPriority w:val="99"/>
    <w:unhideWhenUsed/>
    <w:rsid w:val="00993C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096">
      <w:bodyDiv w:val="1"/>
      <w:marLeft w:val="0"/>
      <w:marRight w:val="0"/>
      <w:marTop w:val="0"/>
      <w:marBottom w:val="0"/>
      <w:divBdr>
        <w:top w:val="none" w:sz="0" w:space="0" w:color="auto"/>
        <w:left w:val="none" w:sz="0" w:space="0" w:color="auto"/>
        <w:bottom w:val="none" w:sz="0" w:space="0" w:color="auto"/>
        <w:right w:val="none" w:sz="0" w:space="0" w:color="auto"/>
      </w:divBdr>
    </w:div>
    <w:div w:id="10882030">
      <w:bodyDiv w:val="1"/>
      <w:marLeft w:val="0"/>
      <w:marRight w:val="0"/>
      <w:marTop w:val="0"/>
      <w:marBottom w:val="0"/>
      <w:divBdr>
        <w:top w:val="none" w:sz="0" w:space="0" w:color="auto"/>
        <w:left w:val="none" w:sz="0" w:space="0" w:color="auto"/>
        <w:bottom w:val="none" w:sz="0" w:space="0" w:color="auto"/>
        <w:right w:val="none" w:sz="0" w:space="0" w:color="auto"/>
      </w:divBdr>
    </w:div>
    <w:div w:id="21899479">
      <w:bodyDiv w:val="1"/>
      <w:marLeft w:val="0"/>
      <w:marRight w:val="0"/>
      <w:marTop w:val="0"/>
      <w:marBottom w:val="0"/>
      <w:divBdr>
        <w:top w:val="none" w:sz="0" w:space="0" w:color="auto"/>
        <w:left w:val="none" w:sz="0" w:space="0" w:color="auto"/>
        <w:bottom w:val="none" w:sz="0" w:space="0" w:color="auto"/>
        <w:right w:val="none" w:sz="0" w:space="0" w:color="auto"/>
      </w:divBdr>
    </w:div>
    <w:div w:id="42868435">
      <w:bodyDiv w:val="1"/>
      <w:marLeft w:val="0"/>
      <w:marRight w:val="0"/>
      <w:marTop w:val="0"/>
      <w:marBottom w:val="0"/>
      <w:divBdr>
        <w:top w:val="none" w:sz="0" w:space="0" w:color="auto"/>
        <w:left w:val="none" w:sz="0" w:space="0" w:color="auto"/>
        <w:bottom w:val="none" w:sz="0" w:space="0" w:color="auto"/>
        <w:right w:val="none" w:sz="0" w:space="0" w:color="auto"/>
      </w:divBdr>
    </w:div>
    <w:div w:id="50271242">
      <w:bodyDiv w:val="1"/>
      <w:marLeft w:val="0"/>
      <w:marRight w:val="0"/>
      <w:marTop w:val="0"/>
      <w:marBottom w:val="0"/>
      <w:divBdr>
        <w:top w:val="none" w:sz="0" w:space="0" w:color="auto"/>
        <w:left w:val="none" w:sz="0" w:space="0" w:color="auto"/>
        <w:bottom w:val="none" w:sz="0" w:space="0" w:color="auto"/>
        <w:right w:val="none" w:sz="0" w:space="0" w:color="auto"/>
      </w:divBdr>
    </w:div>
    <w:div w:id="299308286">
      <w:bodyDiv w:val="1"/>
      <w:marLeft w:val="0"/>
      <w:marRight w:val="0"/>
      <w:marTop w:val="0"/>
      <w:marBottom w:val="0"/>
      <w:divBdr>
        <w:top w:val="none" w:sz="0" w:space="0" w:color="auto"/>
        <w:left w:val="none" w:sz="0" w:space="0" w:color="auto"/>
        <w:bottom w:val="none" w:sz="0" w:space="0" w:color="auto"/>
        <w:right w:val="none" w:sz="0" w:space="0" w:color="auto"/>
      </w:divBdr>
    </w:div>
    <w:div w:id="425350595">
      <w:bodyDiv w:val="1"/>
      <w:marLeft w:val="0"/>
      <w:marRight w:val="0"/>
      <w:marTop w:val="0"/>
      <w:marBottom w:val="0"/>
      <w:divBdr>
        <w:top w:val="none" w:sz="0" w:space="0" w:color="auto"/>
        <w:left w:val="none" w:sz="0" w:space="0" w:color="auto"/>
        <w:bottom w:val="none" w:sz="0" w:space="0" w:color="auto"/>
        <w:right w:val="none" w:sz="0" w:space="0" w:color="auto"/>
      </w:divBdr>
    </w:div>
    <w:div w:id="426921947">
      <w:bodyDiv w:val="1"/>
      <w:marLeft w:val="0"/>
      <w:marRight w:val="0"/>
      <w:marTop w:val="0"/>
      <w:marBottom w:val="0"/>
      <w:divBdr>
        <w:top w:val="none" w:sz="0" w:space="0" w:color="auto"/>
        <w:left w:val="none" w:sz="0" w:space="0" w:color="auto"/>
        <w:bottom w:val="none" w:sz="0" w:space="0" w:color="auto"/>
        <w:right w:val="none" w:sz="0" w:space="0" w:color="auto"/>
      </w:divBdr>
    </w:div>
    <w:div w:id="449205295">
      <w:bodyDiv w:val="1"/>
      <w:marLeft w:val="0"/>
      <w:marRight w:val="0"/>
      <w:marTop w:val="0"/>
      <w:marBottom w:val="0"/>
      <w:divBdr>
        <w:top w:val="none" w:sz="0" w:space="0" w:color="auto"/>
        <w:left w:val="none" w:sz="0" w:space="0" w:color="auto"/>
        <w:bottom w:val="none" w:sz="0" w:space="0" w:color="auto"/>
        <w:right w:val="none" w:sz="0" w:space="0" w:color="auto"/>
      </w:divBdr>
    </w:div>
    <w:div w:id="452554928">
      <w:bodyDiv w:val="1"/>
      <w:marLeft w:val="0"/>
      <w:marRight w:val="0"/>
      <w:marTop w:val="0"/>
      <w:marBottom w:val="0"/>
      <w:divBdr>
        <w:top w:val="none" w:sz="0" w:space="0" w:color="auto"/>
        <w:left w:val="none" w:sz="0" w:space="0" w:color="auto"/>
        <w:bottom w:val="none" w:sz="0" w:space="0" w:color="auto"/>
        <w:right w:val="none" w:sz="0" w:space="0" w:color="auto"/>
      </w:divBdr>
    </w:div>
    <w:div w:id="454176825">
      <w:bodyDiv w:val="1"/>
      <w:marLeft w:val="0"/>
      <w:marRight w:val="0"/>
      <w:marTop w:val="0"/>
      <w:marBottom w:val="0"/>
      <w:divBdr>
        <w:top w:val="none" w:sz="0" w:space="0" w:color="auto"/>
        <w:left w:val="none" w:sz="0" w:space="0" w:color="auto"/>
        <w:bottom w:val="none" w:sz="0" w:space="0" w:color="auto"/>
        <w:right w:val="none" w:sz="0" w:space="0" w:color="auto"/>
      </w:divBdr>
    </w:div>
    <w:div w:id="489366544">
      <w:bodyDiv w:val="1"/>
      <w:marLeft w:val="0"/>
      <w:marRight w:val="0"/>
      <w:marTop w:val="0"/>
      <w:marBottom w:val="0"/>
      <w:divBdr>
        <w:top w:val="none" w:sz="0" w:space="0" w:color="auto"/>
        <w:left w:val="none" w:sz="0" w:space="0" w:color="auto"/>
        <w:bottom w:val="none" w:sz="0" w:space="0" w:color="auto"/>
        <w:right w:val="none" w:sz="0" w:space="0" w:color="auto"/>
      </w:divBdr>
    </w:div>
    <w:div w:id="492306970">
      <w:bodyDiv w:val="1"/>
      <w:marLeft w:val="0"/>
      <w:marRight w:val="0"/>
      <w:marTop w:val="0"/>
      <w:marBottom w:val="0"/>
      <w:divBdr>
        <w:top w:val="none" w:sz="0" w:space="0" w:color="auto"/>
        <w:left w:val="none" w:sz="0" w:space="0" w:color="auto"/>
        <w:bottom w:val="none" w:sz="0" w:space="0" w:color="auto"/>
        <w:right w:val="none" w:sz="0" w:space="0" w:color="auto"/>
      </w:divBdr>
    </w:div>
    <w:div w:id="521481506">
      <w:bodyDiv w:val="1"/>
      <w:marLeft w:val="0"/>
      <w:marRight w:val="0"/>
      <w:marTop w:val="0"/>
      <w:marBottom w:val="0"/>
      <w:divBdr>
        <w:top w:val="none" w:sz="0" w:space="0" w:color="auto"/>
        <w:left w:val="none" w:sz="0" w:space="0" w:color="auto"/>
        <w:bottom w:val="none" w:sz="0" w:space="0" w:color="auto"/>
        <w:right w:val="none" w:sz="0" w:space="0" w:color="auto"/>
      </w:divBdr>
    </w:div>
    <w:div w:id="554970987">
      <w:bodyDiv w:val="1"/>
      <w:marLeft w:val="0"/>
      <w:marRight w:val="0"/>
      <w:marTop w:val="0"/>
      <w:marBottom w:val="0"/>
      <w:divBdr>
        <w:top w:val="none" w:sz="0" w:space="0" w:color="auto"/>
        <w:left w:val="none" w:sz="0" w:space="0" w:color="auto"/>
        <w:bottom w:val="none" w:sz="0" w:space="0" w:color="auto"/>
        <w:right w:val="none" w:sz="0" w:space="0" w:color="auto"/>
      </w:divBdr>
    </w:div>
    <w:div w:id="760486606">
      <w:bodyDiv w:val="1"/>
      <w:marLeft w:val="0"/>
      <w:marRight w:val="0"/>
      <w:marTop w:val="0"/>
      <w:marBottom w:val="0"/>
      <w:divBdr>
        <w:top w:val="none" w:sz="0" w:space="0" w:color="auto"/>
        <w:left w:val="none" w:sz="0" w:space="0" w:color="auto"/>
        <w:bottom w:val="none" w:sz="0" w:space="0" w:color="auto"/>
        <w:right w:val="none" w:sz="0" w:space="0" w:color="auto"/>
      </w:divBdr>
    </w:div>
    <w:div w:id="811872735">
      <w:bodyDiv w:val="1"/>
      <w:marLeft w:val="0"/>
      <w:marRight w:val="0"/>
      <w:marTop w:val="0"/>
      <w:marBottom w:val="0"/>
      <w:divBdr>
        <w:top w:val="none" w:sz="0" w:space="0" w:color="auto"/>
        <w:left w:val="none" w:sz="0" w:space="0" w:color="auto"/>
        <w:bottom w:val="none" w:sz="0" w:space="0" w:color="auto"/>
        <w:right w:val="none" w:sz="0" w:space="0" w:color="auto"/>
      </w:divBdr>
    </w:div>
    <w:div w:id="852185626">
      <w:bodyDiv w:val="1"/>
      <w:marLeft w:val="0"/>
      <w:marRight w:val="0"/>
      <w:marTop w:val="0"/>
      <w:marBottom w:val="0"/>
      <w:divBdr>
        <w:top w:val="none" w:sz="0" w:space="0" w:color="auto"/>
        <w:left w:val="none" w:sz="0" w:space="0" w:color="auto"/>
        <w:bottom w:val="none" w:sz="0" w:space="0" w:color="auto"/>
        <w:right w:val="none" w:sz="0" w:space="0" w:color="auto"/>
      </w:divBdr>
    </w:div>
    <w:div w:id="894778631">
      <w:bodyDiv w:val="1"/>
      <w:marLeft w:val="0"/>
      <w:marRight w:val="0"/>
      <w:marTop w:val="0"/>
      <w:marBottom w:val="0"/>
      <w:divBdr>
        <w:top w:val="none" w:sz="0" w:space="0" w:color="auto"/>
        <w:left w:val="none" w:sz="0" w:space="0" w:color="auto"/>
        <w:bottom w:val="none" w:sz="0" w:space="0" w:color="auto"/>
        <w:right w:val="none" w:sz="0" w:space="0" w:color="auto"/>
      </w:divBdr>
    </w:div>
    <w:div w:id="920797849">
      <w:bodyDiv w:val="1"/>
      <w:marLeft w:val="0"/>
      <w:marRight w:val="0"/>
      <w:marTop w:val="0"/>
      <w:marBottom w:val="0"/>
      <w:divBdr>
        <w:top w:val="none" w:sz="0" w:space="0" w:color="auto"/>
        <w:left w:val="none" w:sz="0" w:space="0" w:color="auto"/>
        <w:bottom w:val="none" w:sz="0" w:space="0" w:color="auto"/>
        <w:right w:val="none" w:sz="0" w:space="0" w:color="auto"/>
      </w:divBdr>
    </w:div>
    <w:div w:id="932393320">
      <w:bodyDiv w:val="1"/>
      <w:marLeft w:val="0"/>
      <w:marRight w:val="0"/>
      <w:marTop w:val="0"/>
      <w:marBottom w:val="0"/>
      <w:divBdr>
        <w:top w:val="none" w:sz="0" w:space="0" w:color="auto"/>
        <w:left w:val="none" w:sz="0" w:space="0" w:color="auto"/>
        <w:bottom w:val="none" w:sz="0" w:space="0" w:color="auto"/>
        <w:right w:val="none" w:sz="0" w:space="0" w:color="auto"/>
      </w:divBdr>
    </w:div>
    <w:div w:id="933169758">
      <w:bodyDiv w:val="1"/>
      <w:marLeft w:val="0"/>
      <w:marRight w:val="0"/>
      <w:marTop w:val="0"/>
      <w:marBottom w:val="0"/>
      <w:divBdr>
        <w:top w:val="none" w:sz="0" w:space="0" w:color="auto"/>
        <w:left w:val="none" w:sz="0" w:space="0" w:color="auto"/>
        <w:bottom w:val="none" w:sz="0" w:space="0" w:color="auto"/>
        <w:right w:val="none" w:sz="0" w:space="0" w:color="auto"/>
      </w:divBdr>
    </w:div>
    <w:div w:id="939489080">
      <w:bodyDiv w:val="1"/>
      <w:marLeft w:val="0"/>
      <w:marRight w:val="0"/>
      <w:marTop w:val="0"/>
      <w:marBottom w:val="0"/>
      <w:divBdr>
        <w:top w:val="none" w:sz="0" w:space="0" w:color="auto"/>
        <w:left w:val="none" w:sz="0" w:space="0" w:color="auto"/>
        <w:bottom w:val="none" w:sz="0" w:space="0" w:color="auto"/>
        <w:right w:val="none" w:sz="0" w:space="0" w:color="auto"/>
      </w:divBdr>
    </w:div>
    <w:div w:id="943345549">
      <w:bodyDiv w:val="1"/>
      <w:marLeft w:val="0"/>
      <w:marRight w:val="0"/>
      <w:marTop w:val="0"/>
      <w:marBottom w:val="0"/>
      <w:divBdr>
        <w:top w:val="none" w:sz="0" w:space="0" w:color="auto"/>
        <w:left w:val="none" w:sz="0" w:space="0" w:color="auto"/>
        <w:bottom w:val="none" w:sz="0" w:space="0" w:color="auto"/>
        <w:right w:val="none" w:sz="0" w:space="0" w:color="auto"/>
      </w:divBdr>
    </w:div>
    <w:div w:id="1110661011">
      <w:bodyDiv w:val="1"/>
      <w:marLeft w:val="0"/>
      <w:marRight w:val="0"/>
      <w:marTop w:val="0"/>
      <w:marBottom w:val="0"/>
      <w:divBdr>
        <w:top w:val="none" w:sz="0" w:space="0" w:color="auto"/>
        <w:left w:val="none" w:sz="0" w:space="0" w:color="auto"/>
        <w:bottom w:val="none" w:sz="0" w:space="0" w:color="auto"/>
        <w:right w:val="none" w:sz="0" w:space="0" w:color="auto"/>
      </w:divBdr>
    </w:div>
    <w:div w:id="1156727814">
      <w:bodyDiv w:val="1"/>
      <w:marLeft w:val="0"/>
      <w:marRight w:val="0"/>
      <w:marTop w:val="0"/>
      <w:marBottom w:val="0"/>
      <w:divBdr>
        <w:top w:val="none" w:sz="0" w:space="0" w:color="auto"/>
        <w:left w:val="none" w:sz="0" w:space="0" w:color="auto"/>
        <w:bottom w:val="none" w:sz="0" w:space="0" w:color="auto"/>
        <w:right w:val="none" w:sz="0" w:space="0" w:color="auto"/>
      </w:divBdr>
    </w:div>
    <w:div w:id="1166673850">
      <w:bodyDiv w:val="1"/>
      <w:marLeft w:val="0"/>
      <w:marRight w:val="0"/>
      <w:marTop w:val="0"/>
      <w:marBottom w:val="0"/>
      <w:divBdr>
        <w:top w:val="none" w:sz="0" w:space="0" w:color="auto"/>
        <w:left w:val="none" w:sz="0" w:space="0" w:color="auto"/>
        <w:bottom w:val="none" w:sz="0" w:space="0" w:color="auto"/>
        <w:right w:val="none" w:sz="0" w:space="0" w:color="auto"/>
      </w:divBdr>
    </w:div>
    <w:div w:id="1277910122">
      <w:bodyDiv w:val="1"/>
      <w:marLeft w:val="0"/>
      <w:marRight w:val="0"/>
      <w:marTop w:val="0"/>
      <w:marBottom w:val="0"/>
      <w:divBdr>
        <w:top w:val="none" w:sz="0" w:space="0" w:color="auto"/>
        <w:left w:val="none" w:sz="0" w:space="0" w:color="auto"/>
        <w:bottom w:val="none" w:sz="0" w:space="0" w:color="auto"/>
        <w:right w:val="none" w:sz="0" w:space="0" w:color="auto"/>
      </w:divBdr>
    </w:div>
    <w:div w:id="1339891846">
      <w:bodyDiv w:val="1"/>
      <w:marLeft w:val="0"/>
      <w:marRight w:val="0"/>
      <w:marTop w:val="0"/>
      <w:marBottom w:val="0"/>
      <w:divBdr>
        <w:top w:val="none" w:sz="0" w:space="0" w:color="auto"/>
        <w:left w:val="none" w:sz="0" w:space="0" w:color="auto"/>
        <w:bottom w:val="none" w:sz="0" w:space="0" w:color="auto"/>
        <w:right w:val="none" w:sz="0" w:space="0" w:color="auto"/>
      </w:divBdr>
    </w:div>
    <w:div w:id="1374580968">
      <w:bodyDiv w:val="1"/>
      <w:marLeft w:val="0"/>
      <w:marRight w:val="0"/>
      <w:marTop w:val="0"/>
      <w:marBottom w:val="0"/>
      <w:divBdr>
        <w:top w:val="none" w:sz="0" w:space="0" w:color="auto"/>
        <w:left w:val="none" w:sz="0" w:space="0" w:color="auto"/>
        <w:bottom w:val="none" w:sz="0" w:space="0" w:color="auto"/>
        <w:right w:val="none" w:sz="0" w:space="0" w:color="auto"/>
      </w:divBdr>
    </w:div>
    <w:div w:id="1383603899">
      <w:bodyDiv w:val="1"/>
      <w:marLeft w:val="0"/>
      <w:marRight w:val="0"/>
      <w:marTop w:val="0"/>
      <w:marBottom w:val="0"/>
      <w:divBdr>
        <w:top w:val="none" w:sz="0" w:space="0" w:color="auto"/>
        <w:left w:val="none" w:sz="0" w:space="0" w:color="auto"/>
        <w:bottom w:val="none" w:sz="0" w:space="0" w:color="auto"/>
        <w:right w:val="none" w:sz="0" w:space="0" w:color="auto"/>
      </w:divBdr>
    </w:div>
    <w:div w:id="1385565515">
      <w:bodyDiv w:val="1"/>
      <w:marLeft w:val="0"/>
      <w:marRight w:val="0"/>
      <w:marTop w:val="0"/>
      <w:marBottom w:val="0"/>
      <w:divBdr>
        <w:top w:val="none" w:sz="0" w:space="0" w:color="auto"/>
        <w:left w:val="none" w:sz="0" w:space="0" w:color="auto"/>
        <w:bottom w:val="none" w:sz="0" w:space="0" w:color="auto"/>
        <w:right w:val="none" w:sz="0" w:space="0" w:color="auto"/>
      </w:divBdr>
    </w:div>
    <w:div w:id="1498224859">
      <w:bodyDiv w:val="1"/>
      <w:marLeft w:val="0"/>
      <w:marRight w:val="0"/>
      <w:marTop w:val="0"/>
      <w:marBottom w:val="0"/>
      <w:divBdr>
        <w:top w:val="none" w:sz="0" w:space="0" w:color="auto"/>
        <w:left w:val="none" w:sz="0" w:space="0" w:color="auto"/>
        <w:bottom w:val="none" w:sz="0" w:space="0" w:color="auto"/>
        <w:right w:val="none" w:sz="0" w:space="0" w:color="auto"/>
      </w:divBdr>
    </w:div>
    <w:div w:id="1597983736">
      <w:bodyDiv w:val="1"/>
      <w:marLeft w:val="0"/>
      <w:marRight w:val="0"/>
      <w:marTop w:val="0"/>
      <w:marBottom w:val="0"/>
      <w:divBdr>
        <w:top w:val="none" w:sz="0" w:space="0" w:color="auto"/>
        <w:left w:val="none" w:sz="0" w:space="0" w:color="auto"/>
        <w:bottom w:val="none" w:sz="0" w:space="0" w:color="auto"/>
        <w:right w:val="none" w:sz="0" w:space="0" w:color="auto"/>
      </w:divBdr>
    </w:div>
    <w:div w:id="1598753671">
      <w:bodyDiv w:val="1"/>
      <w:marLeft w:val="0"/>
      <w:marRight w:val="0"/>
      <w:marTop w:val="0"/>
      <w:marBottom w:val="0"/>
      <w:divBdr>
        <w:top w:val="none" w:sz="0" w:space="0" w:color="auto"/>
        <w:left w:val="none" w:sz="0" w:space="0" w:color="auto"/>
        <w:bottom w:val="none" w:sz="0" w:space="0" w:color="auto"/>
        <w:right w:val="none" w:sz="0" w:space="0" w:color="auto"/>
      </w:divBdr>
    </w:div>
    <w:div w:id="1677464339">
      <w:bodyDiv w:val="1"/>
      <w:marLeft w:val="0"/>
      <w:marRight w:val="0"/>
      <w:marTop w:val="0"/>
      <w:marBottom w:val="0"/>
      <w:divBdr>
        <w:top w:val="none" w:sz="0" w:space="0" w:color="auto"/>
        <w:left w:val="none" w:sz="0" w:space="0" w:color="auto"/>
        <w:bottom w:val="none" w:sz="0" w:space="0" w:color="auto"/>
        <w:right w:val="none" w:sz="0" w:space="0" w:color="auto"/>
      </w:divBdr>
    </w:div>
    <w:div w:id="1677489069">
      <w:bodyDiv w:val="1"/>
      <w:marLeft w:val="0"/>
      <w:marRight w:val="0"/>
      <w:marTop w:val="0"/>
      <w:marBottom w:val="0"/>
      <w:divBdr>
        <w:top w:val="none" w:sz="0" w:space="0" w:color="auto"/>
        <w:left w:val="none" w:sz="0" w:space="0" w:color="auto"/>
        <w:bottom w:val="none" w:sz="0" w:space="0" w:color="auto"/>
        <w:right w:val="none" w:sz="0" w:space="0" w:color="auto"/>
      </w:divBdr>
    </w:div>
    <w:div w:id="1844658075">
      <w:bodyDiv w:val="1"/>
      <w:marLeft w:val="0"/>
      <w:marRight w:val="0"/>
      <w:marTop w:val="0"/>
      <w:marBottom w:val="0"/>
      <w:divBdr>
        <w:top w:val="none" w:sz="0" w:space="0" w:color="auto"/>
        <w:left w:val="none" w:sz="0" w:space="0" w:color="auto"/>
        <w:bottom w:val="none" w:sz="0" w:space="0" w:color="auto"/>
        <w:right w:val="none" w:sz="0" w:space="0" w:color="auto"/>
      </w:divBdr>
    </w:div>
    <w:div w:id="1853034165">
      <w:bodyDiv w:val="1"/>
      <w:marLeft w:val="0"/>
      <w:marRight w:val="0"/>
      <w:marTop w:val="0"/>
      <w:marBottom w:val="0"/>
      <w:divBdr>
        <w:top w:val="none" w:sz="0" w:space="0" w:color="auto"/>
        <w:left w:val="none" w:sz="0" w:space="0" w:color="auto"/>
        <w:bottom w:val="none" w:sz="0" w:space="0" w:color="auto"/>
        <w:right w:val="none" w:sz="0" w:space="0" w:color="auto"/>
      </w:divBdr>
    </w:div>
    <w:div w:id="1864200014">
      <w:bodyDiv w:val="1"/>
      <w:marLeft w:val="0"/>
      <w:marRight w:val="0"/>
      <w:marTop w:val="0"/>
      <w:marBottom w:val="0"/>
      <w:divBdr>
        <w:top w:val="none" w:sz="0" w:space="0" w:color="auto"/>
        <w:left w:val="none" w:sz="0" w:space="0" w:color="auto"/>
        <w:bottom w:val="none" w:sz="0" w:space="0" w:color="auto"/>
        <w:right w:val="none" w:sz="0" w:space="0" w:color="auto"/>
      </w:divBdr>
    </w:div>
    <w:div w:id="1879586447">
      <w:bodyDiv w:val="1"/>
      <w:marLeft w:val="0"/>
      <w:marRight w:val="0"/>
      <w:marTop w:val="0"/>
      <w:marBottom w:val="0"/>
      <w:divBdr>
        <w:top w:val="none" w:sz="0" w:space="0" w:color="auto"/>
        <w:left w:val="none" w:sz="0" w:space="0" w:color="auto"/>
        <w:bottom w:val="none" w:sz="0" w:space="0" w:color="auto"/>
        <w:right w:val="none" w:sz="0" w:space="0" w:color="auto"/>
      </w:divBdr>
    </w:div>
    <w:div w:id="1887716938">
      <w:bodyDiv w:val="1"/>
      <w:marLeft w:val="0"/>
      <w:marRight w:val="0"/>
      <w:marTop w:val="0"/>
      <w:marBottom w:val="0"/>
      <w:divBdr>
        <w:top w:val="none" w:sz="0" w:space="0" w:color="auto"/>
        <w:left w:val="none" w:sz="0" w:space="0" w:color="auto"/>
        <w:bottom w:val="none" w:sz="0" w:space="0" w:color="auto"/>
        <w:right w:val="none" w:sz="0" w:space="0" w:color="auto"/>
      </w:divBdr>
    </w:div>
    <w:div w:id="1934046941">
      <w:bodyDiv w:val="1"/>
      <w:marLeft w:val="0"/>
      <w:marRight w:val="0"/>
      <w:marTop w:val="0"/>
      <w:marBottom w:val="0"/>
      <w:divBdr>
        <w:top w:val="none" w:sz="0" w:space="0" w:color="auto"/>
        <w:left w:val="none" w:sz="0" w:space="0" w:color="auto"/>
        <w:bottom w:val="none" w:sz="0" w:space="0" w:color="auto"/>
        <w:right w:val="none" w:sz="0" w:space="0" w:color="auto"/>
      </w:divBdr>
    </w:div>
    <w:div w:id="1965772381">
      <w:bodyDiv w:val="1"/>
      <w:marLeft w:val="0"/>
      <w:marRight w:val="0"/>
      <w:marTop w:val="0"/>
      <w:marBottom w:val="0"/>
      <w:divBdr>
        <w:top w:val="none" w:sz="0" w:space="0" w:color="auto"/>
        <w:left w:val="none" w:sz="0" w:space="0" w:color="auto"/>
        <w:bottom w:val="none" w:sz="0" w:space="0" w:color="auto"/>
        <w:right w:val="none" w:sz="0" w:space="0" w:color="auto"/>
      </w:divBdr>
    </w:div>
    <w:div w:id="1998532602">
      <w:bodyDiv w:val="1"/>
      <w:marLeft w:val="0"/>
      <w:marRight w:val="0"/>
      <w:marTop w:val="0"/>
      <w:marBottom w:val="0"/>
      <w:divBdr>
        <w:top w:val="none" w:sz="0" w:space="0" w:color="auto"/>
        <w:left w:val="none" w:sz="0" w:space="0" w:color="auto"/>
        <w:bottom w:val="none" w:sz="0" w:space="0" w:color="auto"/>
        <w:right w:val="none" w:sz="0" w:space="0" w:color="auto"/>
      </w:divBdr>
    </w:div>
    <w:div w:id="2037197888">
      <w:bodyDiv w:val="1"/>
      <w:marLeft w:val="0"/>
      <w:marRight w:val="0"/>
      <w:marTop w:val="0"/>
      <w:marBottom w:val="0"/>
      <w:divBdr>
        <w:top w:val="none" w:sz="0" w:space="0" w:color="auto"/>
        <w:left w:val="none" w:sz="0" w:space="0" w:color="auto"/>
        <w:bottom w:val="none" w:sz="0" w:space="0" w:color="auto"/>
        <w:right w:val="none" w:sz="0" w:space="0" w:color="auto"/>
      </w:divBdr>
    </w:div>
    <w:div w:id="2052418511">
      <w:bodyDiv w:val="1"/>
      <w:marLeft w:val="0"/>
      <w:marRight w:val="0"/>
      <w:marTop w:val="0"/>
      <w:marBottom w:val="0"/>
      <w:divBdr>
        <w:top w:val="none" w:sz="0" w:space="0" w:color="auto"/>
        <w:left w:val="none" w:sz="0" w:space="0" w:color="auto"/>
        <w:bottom w:val="none" w:sz="0" w:space="0" w:color="auto"/>
        <w:right w:val="none" w:sz="0" w:space="0" w:color="auto"/>
      </w:divBdr>
    </w:div>
    <w:div w:id="2112503120">
      <w:bodyDiv w:val="1"/>
      <w:marLeft w:val="0"/>
      <w:marRight w:val="0"/>
      <w:marTop w:val="0"/>
      <w:marBottom w:val="0"/>
      <w:divBdr>
        <w:top w:val="none" w:sz="0" w:space="0" w:color="auto"/>
        <w:left w:val="none" w:sz="0" w:space="0" w:color="auto"/>
        <w:bottom w:val="none" w:sz="0" w:space="0" w:color="auto"/>
        <w:right w:val="none" w:sz="0" w:space="0" w:color="auto"/>
      </w:divBdr>
    </w:div>
    <w:div w:id="2125804943">
      <w:bodyDiv w:val="1"/>
      <w:marLeft w:val="0"/>
      <w:marRight w:val="0"/>
      <w:marTop w:val="0"/>
      <w:marBottom w:val="0"/>
      <w:divBdr>
        <w:top w:val="none" w:sz="0" w:space="0" w:color="auto"/>
        <w:left w:val="none" w:sz="0" w:space="0" w:color="auto"/>
        <w:bottom w:val="none" w:sz="0" w:space="0" w:color="auto"/>
        <w:right w:val="none" w:sz="0" w:space="0" w:color="auto"/>
      </w:divBdr>
    </w:div>
    <w:div w:id="214330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population.gov.au/sites/population.gov.au/files/2021-09/framework.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Conroy\OneDrive%20-%20Commonwealth%20Grants%20Commission\Title%20page%20-%20Green.dotx" TargetMode="External"/></Relationships>
</file>

<file path=word/theme/theme1.xml><?xml version="1.0" encoding="utf-8"?>
<a:theme xmlns:a="http://schemas.openxmlformats.org/drawingml/2006/main" name="Office Theme">
  <a:themeElements>
    <a:clrScheme name="CGC Colour Themes">
      <a:dk1>
        <a:srgbClr val="004562"/>
      </a:dk1>
      <a:lt1>
        <a:srgbClr val="FFFFFF"/>
      </a:lt1>
      <a:dk2>
        <a:srgbClr val="004562"/>
      </a:dk2>
      <a:lt2>
        <a:srgbClr val="E7E6E6"/>
      </a:lt2>
      <a:accent1>
        <a:srgbClr val="004563"/>
      </a:accent1>
      <a:accent2>
        <a:srgbClr val="0092C8"/>
      </a:accent2>
      <a:accent3>
        <a:srgbClr val="CC5E12"/>
      </a:accent3>
      <a:accent4>
        <a:srgbClr val="EDAB16"/>
      </a:accent4>
      <a:accent5>
        <a:srgbClr val="008069"/>
      </a:accent5>
      <a:accent6>
        <a:srgbClr val="00CE87"/>
      </a:accent6>
      <a:hlink>
        <a:srgbClr val="006991"/>
      </a:hlink>
      <a:folHlink>
        <a:srgbClr val="93EA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EA9839F97DA84EAC43A7FB852BABF8" ma:contentTypeVersion="13" ma:contentTypeDescription="Create a new document." ma:contentTypeScope="" ma:versionID="3f224550608536e0e85775c534a7d05b">
  <xsd:schema xmlns:xsd="http://www.w3.org/2001/XMLSchema" xmlns:xs="http://www.w3.org/2001/XMLSchema" xmlns:p="http://schemas.microsoft.com/office/2006/metadata/properties" xmlns:ns2="fddab0a8-5dcd-452e-8920-feabfc03300f" xmlns:ns3="3b147965-d003-4c9e-9913-90f0d9e77379" targetNamespace="http://schemas.microsoft.com/office/2006/metadata/properties" ma:root="true" ma:fieldsID="1c5c301a39564c381ba24a303dba6c1c" ns2:_="" ns3:_="">
    <xsd:import namespace="fddab0a8-5dcd-452e-8920-feabfc03300f"/>
    <xsd:import namespace="3b147965-d003-4c9e-9913-90f0d9e7737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ab0a8-5dcd-452e-8920-feabfc033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147965-d003-4c9e-9913-90f0d9e7737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6d9e5aa-7c32-442b-8fa9-1288cf9040ab}" ma:internalName="TaxCatchAll" ma:showField="CatchAllData" ma:web="3b147965-d003-4c9e-9913-90f0d9e773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ddab0a8-5dcd-452e-8920-feabfc03300f">
      <Terms xmlns="http://schemas.microsoft.com/office/infopath/2007/PartnerControls"/>
    </lcf76f155ced4ddcb4097134ff3c332f>
    <TaxCatchAll xmlns="3b147965-d003-4c9e-9913-90f0d9e77379" xsi:nil="true"/>
    <SharedWithUsers xmlns="3b147965-d003-4c9e-9913-90f0d9e77379">
      <UserInfo>
        <DisplayName>Frank Frezza</DisplayName>
        <AccountId>31</AccountId>
        <AccountType/>
      </UserInfo>
      <UserInfo>
        <DisplayName>Anthony Nichols</DisplayName>
        <AccountId>28</AccountId>
        <AccountType/>
      </UserInfo>
      <UserInfo>
        <DisplayName>Maria Henriquez</DisplayName>
        <AccountId>105</AccountId>
        <AccountType/>
      </UserInfo>
      <UserInfo>
        <DisplayName>Tim Carlton</DisplayName>
        <AccountId>20</AccountId>
        <AccountType/>
      </UserInfo>
      <UserInfo>
        <DisplayName>Jeffrey Evans</DisplayName>
        <AccountId>25</AccountId>
        <AccountType/>
      </UserInfo>
      <UserInfo>
        <DisplayName>Carrie Dreese</DisplayName>
        <AccountId>17</AccountId>
        <AccountType/>
      </UserInfo>
      <UserInfo>
        <DisplayName>Ben Crabb</DisplayName>
        <AccountId>80</AccountId>
        <AccountType/>
      </UserInfo>
      <UserInfo>
        <DisplayName>Rose Verspaandonk</DisplayName>
        <AccountId>86</AccountId>
        <AccountType/>
      </UserInfo>
      <UserInfo>
        <DisplayName>Jonathan Rollings</DisplayName>
        <AccountId>91</AccountId>
        <AccountType/>
      </UserInfo>
      <UserInfo>
        <DisplayName>Duncan Cotter</DisplayName>
        <AccountId>103</AccountId>
        <AccountType/>
      </UserInfo>
      <UserInfo>
        <DisplayName>Therese Maher</DisplayName>
        <AccountId>115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AFEE77-DB88-48B5-976E-1D87DFA759C3}">
  <ds:schemaRefs>
    <ds:schemaRef ds:uri="http://schemas.openxmlformats.org/officeDocument/2006/bibliography"/>
  </ds:schemaRefs>
</ds:datastoreItem>
</file>

<file path=customXml/itemProps2.xml><?xml version="1.0" encoding="utf-8"?>
<ds:datastoreItem xmlns:ds="http://schemas.openxmlformats.org/officeDocument/2006/customXml" ds:itemID="{CEC85374-E16F-4DCF-A598-F309C92CE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ab0a8-5dcd-452e-8920-feabfc03300f"/>
    <ds:schemaRef ds:uri="3b147965-d003-4c9e-9913-90f0d9e77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9A49F1-E6B0-485E-966F-62C9C5A7B50F}">
  <ds:schemaRefs>
    <ds:schemaRef ds:uri="http://schemas.microsoft.com/office/2006/metadata/properties"/>
    <ds:schemaRef ds:uri="http://schemas.microsoft.com/office/infopath/2007/PartnerControls"/>
    <ds:schemaRef ds:uri="fddab0a8-5dcd-452e-8920-feabfc03300f"/>
    <ds:schemaRef ds:uri="3b147965-d003-4c9e-9913-90f0d9e77379"/>
  </ds:schemaRefs>
</ds:datastoreItem>
</file>

<file path=customXml/itemProps4.xml><?xml version="1.0" encoding="utf-8"?>
<ds:datastoreItem xmlns:ds="http://schemas.openxmlformats.org/officeDocument/2006/customXml" ds:itemID="{ED229DE4-E501-4708-9A87-95C1CECAC3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Title page - Green</Template>
  <TotalTime>1</TotalTime>
  <Pages>10</Pages>
  <Words>2890</Words>
  <Characters>16474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19326</CharactersWithSpaces>
  <SharedDoc>false</SharedDoc>
  <HLinks>
    <vt:vector size="6" baseType="variant">
      <vt:variant>
        <vt:i4>6225999</vt:i4>
      </vt:variant>
      <vt:variant>
        <vt:i4>0</vt:i4>
      </vt:variant>
      <vt:variant>
        <vt:i4>0</vt:i4>
      </vt:variant>
      <vt:variant>
        <vt:i4>5</vt:i4>
      </vt:variant>
      <vt:variant>
        <vt:lpwstr>https://population.gov.au/sites/population.gov.au/files/2021-09/framework.pdf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Conroy</dc:creator>
  <cp:keywords/>
  <dc:description/>
  <cp:lastModifiedBy>Maria Henriquez</cp:lastModifiedBy>
  <cp:revision>3</cp:revision>
  <cp:lastPrinted>2023-01-20T03:48:00Z</cp:lastPrinted>
  <dcterms:created xsi:type="dcterms:W3CDTF">2023-01-20T03:48:00Z</dcterms:created>
  <dcterms:modified xsi:type="dcterms:W3CDTF">2023-01-20T03:48:00Z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0x0101009AEA9839F97DA84EAC43A7FB852BABF8</vt:lpwstr>
  </property>
  <property fmtid="{D5CDD505-2E9C-101B-9397-08002B2CF9AE}" pid="3" name="MediaServiceImageTags">
    <vt:lpwstr/>
  </property>
  <property fmtid="{D5CDD505-2E9C-101B-9397-08002B2CF9AE}" pid="4" name="Order">
    <vt:r8>81700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