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C6846" w14:textId="5098C7AE" w:rsidR="004C78B6" w:rsidRDefault="006E6000" w:rsidP="004C78B6">
      <w:r>
        <w:rPr>
          <w:noProof/>
        </w:rPr>
        <w:drawing>
          <wp:anchor distT="0" distB="0" distL="114300" distR="114300" simplePos="0" relativeHeight="251658240" behindDoc="1" locked="0" layoutInCell="1" allowOverlap="1" wp14:anchorId="10314E4F" wp14:editId="1779EBB6">
            <wp:simplePos x="0" y="0"/>
            <wp:positionH relativeFrom="column">
              <wp:posOffset>-901700</wp:posOffset>
            </wp:positionH>
            <wp:positionV relativeFrom="paragraph">
              <wp:posOffset>-1260475</wp:posOffset>
            </wp:positionV>
            <wp:extent cx="7725600" cy="10922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25600" cy="10922400"/>
                    </a:xfrm>
                    <a:prstGeom prst="rect">
                      <a:avLst/>
                    </a:prstGeom>
                  </pic:spPr>
                </pic:pic>
              </a:graphicData>
            </a:graphic>
            <wp14:sizeRelH relativeFrom="margin">
              <wp14:pctWidth>0</wp14:pctWidth>
            </wp14:sizeRelH>
            <wp14:sizeRelV relativeFrom="margin">
              <wp14:pctHeight>0</wp14:pctHeight>
            </wp14:sizeRelV>
          </wp:anchor>
        </w:drawing>
      </w:r>
      <w:r w:rsidR="004C78B6">
        <w:rPr>
          <w:noProof/>
        </w:rPr>
        <w:drawing>
          <wp:inline distT="0" distB="0" distL="0" distR="0" wp14:anchorId="53D88FA4" wp14:editId="52A678C8">
            <wp:extent cx="2441749" cy="460926"/>
            <wp:effectExtent l="0" t="0" r="0"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32597" cy="496952"/>
                    </a:xfrm>
                    <a:prstGeom prst="rect">
                      <a:avLst/>
                    </a:prstGeom>
                  </pic:spPr>
                </pic:pic>
              </a:graphicData>
            </a:graphic>
          </wp:inline>
        </w:drawing>
      </w:r>
    </w:p>
    <w:p w14:paraId="56AA9408" w14:textId="68FDD22B" w:rsidR="004C78B6" w:rsidRPr="003E40FF" w:rsidRDefault="004C78B6" w:rsidP="003E40FF">
      <w:pPr>
        <w:rPr>
          <w:rFonts w:ascii="Work Sans" w:hAnsi="Work Sans"/>
        </w:rPr>
      </w:pPr>
    </w:p>
    <w:p w14:paraId="6C749E99" w14:textId="7E1F7331" w:rsidR="004C78B6" w:rsidRPr="003E40FF" w:rsidRDefault="004C78B6" w:rsidP="003E40FF">
      <w:pPr>
        <w:rPr>
          <w:rFonts w:ascii="Work Sans" w:hAnsi="Work Sans"/>
        </w:rPr>
      </w:pPr>
    </w:p>
    <w:p w14:paraId="00648F61" w14:textId="7627E11B" w:rsidR="00D838D7" w:rsidRPr="003E40FF" w:rsidRDefault="00D838D7" w:rsidP="003E40FF">
      <w:pPr>
        <w:rPr>
          <w:rFonts w:ascii="Work Sans" w:hAnsi="Work Sans"/>
        </w:rPr>
      </w:pPr>
    </w:p>
    <w:p w14:paraId="1CD4EF8B" w14:textId="77777777" w:rsidR="00AD53D2" w:rsidRPr="003E40FF" w:rsidRDefault="00AD53D2" w:rsidP="00D838D7">
      <w:pPr>
        <w:rPr>
          <w:rFonts w:ascii="Work Sans" w:hAnsi="Work Sans"/>
        </w:rPr>
      </w:pPr>
    </w:p>
    <w:p w14:paraId="1BD893EE" w14:textId="77777777" w:rsidR="00AD53D2" w:rsidRPr="003E40FF" w:rsidRDefault="00AD53D2" w:rsidP="00D838D7">
      <w:pPr>
        <w:rPr>
          <w:rFonts w:ascii="Work Sans" w:hAnsi="Work Sans"/>
        </w:rPr>
      </w:pPr>
    </w:p>
    <w:p w14:paraId="639E79F8" w14:textId="4837C391" w:rsidR="00AD53D2" w:rsidRPr="003E40FF" w:rsidRDefault="00EC0F01" w:rsidP="00D838D7">
      <w:pPr>
        <w:rPr>
          <w:rFonts w:ascii="Work Sans" w:hAnsi="Work Sans"/>
        </w:rPr>
      </w:pPr>
      <w:r w:rsidRPr="003E40FF">
        <w:rPr>
          <w:rFonts w:ascii="Work Sans" w:hAnsi="Work Sans"/>
          <w:noProof/>
        </w:rPr>
        <mc:AlternateContent>
          <mc:Choice Requires="wps">
            <w:drawing>
              <wp:anchor distT="0" distB="0" distL="114300" distR="114300" simplePos="0" relativeHeight="251658241" behindDoc="0" locked="0" layoutInCell="1" allowOverlap="1" wp14:anchorId="13874347" wp14:editId="3496B3DC">
                <wp:simplePos x="0" y="0"/>
                <wp:positionH relativeFrom="column">
                  <wp:posOffset>43658</wp:posOffset>
                </wp:positionH>
                <wp:positionV relativeFrom="paragraph">
                  <wp:posOffset>79260</wp:posOffset>
                </wp:positionV>
                <wp:extent cx="5504213" cy="894080"/>
                <wp:effectExtent l="0" t="0" r="0" b="1270"/>
                <wp:wrapNone/>
                <wp:docPr id="13" name="Text Box 13"/>
                <wp:cNvGraphicFramePr/>
                <a:graphic xmlns:a="http://schemas.openxmlformats.org/drawingml/2006/main">
                  <a:graphicData uri="http://schemas.microsoft.com/office/word/2010/wordprocessingShape">
                    <wps:wsp>
                      <wps:cNvSpPr txBox="1"/>
                      <wps:spPr>
                        <a:xfrm>
                          <a:off x="0" y="0"/>
                          <a:ext cx="5504213" cy="894080"/>
                        </a:xfrm>
                        <a:prstGeom prst="rect">
                          <a:avLst/>
                        </a:prstGeom>
                        <a:noFill/>
                        <a:ln w="6350">
                          <a:noFill/>
                        </a:ln>
                      </wps:spPr>
                      <wps:txbx>
                        <w:txbxContent>
                          <w:p w14:paraId="2B443CCE" w14:textId="46A6DC93" w:rsidR="00AD53D2" w:rsidRPr="00B417A0" w:rsidRDefault="008F6454" w:rsidP="00AD53D2">
                            <w:pPr>
                              <w:rPr>
                                <w:rFonts w:ascii="Work Sans" w:hAnsi="Work Sans" w:cs="Open Sans"/>
                                <w:b/>
                                <w:bCs/>
                                <w:color w:val="FFFFFF"/>
                                <w:sz w:val="84"/>
                                <w:szCs w:val="84"/>
                              </w:rPr>
                            </w:pPr>
                            <w:r>
                              <w:rPr>
                                <w:rFonts w:ascii="Work Sans" w:hAnsi="Work Sans" w:cs="Open Sans"/>
                                <w:b/>
                                <w:bCs/>
                                <w:color w:val="FFFFFF"/>
                                <w:sz w:val="84"/>
                                <w:szCs w:val="84"/>
                              </w:rPr>
                              <w:t>Occasional Paper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874347" id="_x0000_t202" coordsize="21600,21600" o:spt="202" path="m,l,21600r21600,l21600,xe">
                <v:stroke joinstyle="miter"/>
                <v:path gradientshapeok="t" o:connecttype="rect"/>
              </v:shapetype>
              <v:shape id="Text Box 13" o:spid="_x0000_s1026" type="#_x0000_t202" style="position:absolute;margin-left:3.45pt;margin-top:6.25pt;width:433.4pt;height:70.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" filled="f" stroked="f" strokeweight=".5pt">
                <v:textbox>
                  <w:txbxContent>
                    <w:p w14:paraId="2B443CCE" w14:textId="46A6DC93" w:rsidR="00AD53D2" w:rsidRPr="00B417A0" w:rsidRDefault="008F6454" w:rsidP="00AD53D2">
                      <w:pPr>
                        <w:rPr>
                          <w:rFonts w:ascii="Work Sans" w:hAnsi="Work Sans" w:cs="Open Sans"/>
                          <w:b/>
                          <w:bCs/>
                          <w:color w:val="FFFFFF"/>
                          <w:sz w:val="84"/>
                          <w:szCs w:val="84"/>
                        </w:rPr>
                      </w:pPr>
                      <w:r>
                        <w:rPr>
                          <w:rFonts w:ascii="Work Sans" w:hAnsi="Work Sans" w:cs="Open Sans"/>
                          <w:b/>
                          <w:bCs/>
                          <w:color w:val="FFFFFF"/>
                          <w:sz w:val="84"/>
                          <w:szCs w:val="84"/>
                        </w:rPr>
                        <w:t>Occasional Paper</w:t>
                      </w:r>
                    </w:p>
                  </w:txbxContent>
                </v:textbox>
              </v:shape>
            </w:pict>
          </mc:Fallback>
        </mc:AlternateContent>
      </w:r>
    </w:p>
    <w:p w14:paraId="699217D6" w14:textId="1291A5F5" w:rsidR="00AD53D2" w:rsidRPr="003E40FF" w:rsidRDefault="00AD53D2" w:rsidP="00D838D7">
      <w:pPr>
        <w:rPr>
          <w:rFonts w:ascii="Work Sans" w:hAnsi="Work Sans"/>
        </w:rPr>
      </w:pPr>
    </w:p>
    <w:p w14:paraId="45D6F931" w14:textId="13806892" w:rsidR="00AD53D2" w:rsidRPr="003E40FF" w:rsidRDefault="00AD53D2" w:rsidP="00D838D7">
      <w:pPr>
        <w:rPr>
          <w:rFonts w:ascii="Work Sans" w:hAnsi="Work Sans"/>
        </w:rPr>
      </w:pPr>
    </w:p>
    <w:p w14:paraId="0568BBED" w14:textId="71D6B62D" w:rsidR="00AD53D2" w:rsidRDefault="00AD53D2" w:rsidP="00D838D7">
      <w:pPr>
        <w:rPr>
          <w:rFonts w:ascii="Work Sans" w:hAnsi="Work Sans"/>
        </w:rPr>
      </w:pPr>
    </w:p>
    <w:p w14:paraId="5517C03A" w14:textId="77777777" w:rsidR="004C3CCB" w:rsidRPr="003E40FF" w:rsidRDefault="004C3CCB" w:rsidP="00D838D7">
      <w:pPr>
        <w:rPr>
          <w:rFonts w:ascii="Work Sans" w:hAnsi="Work Sans"/>
        </w:rPr>
      </w:pPr>
    </w:p>
    <w:p w14:paraId="39A7AC3F" w14:textId="0E231F60" w:rsidR="00AD53D2" w:rsidRPr="003E40FF" w:rsidRDefault="00AD53D2" w:rsidP="00D838D7">
      <w:pPr>
        <w:rPr>
          <w:rFonts w:ascii="Work Sans" w:hAnsi="Work Sans"/>
        </w:rPr>
      </w:pPr>
    </w:p>
    <w:p w14:paraId="25834C5D" w14:textId="15C123A2" w:rsidR="00AD53D2" w:rsidRPr="003E40FF" w:rsidRDefault="00EC0F01" w:rsidP="00D838D7">
      <w:pPr>
        <w:rPr>
          <w:rFonts w:ascii="Work Sans" w:hAnsi="Work Sans"/>
        </w:rPr>
      </w:pPr>
      <w:r w:rsidRPr="003E40FF">
        <w:rPr>
          <w:rFonts w:ascii="Work Sans" w:hAnsi="Work Sans"/>
          <w:noProof/>
        </w:rPr>
        <mc:AlternateContent>
          <mc:Choice Requires="wps">
            <w:drawing>
              <wp:anchor distT="0" distB="0" distL="114300" distR="114300" simplePos="0" relativeHeight="251658242" behindDoc="0" locked="0" layoutInCell="1" allowOverlap="1" wp14:anchorId="17BEE366" wp14:editId="650C7CC2">
                <wp:simplePos x="0" y="0"/>
                <wp:positionH relativeFrom="margin">
                  <wp:align>right</wp:align>
                </wp:positionH>
                <wp:positionV relativeFrom="paragraph">
                  <wp:posOffset>13335</wp:posOffset>
                </wp:positionV>
                <wp:extent cx="5753594" cy="1157844"/>
                <wp:effectExtent l="0" t="0" r="0" b="4445"/>
                <wp:wrapNone/>
                <wp:docPr id="14" name="Text Box 14"/>
                <wp:cNvGraphicFramePr/>
                <a:graphic xmlns:a="http://schemas.openxmlformats.org/drawingml/2006/main">
                  <a:graphicData uri="http://schemas.microsoft.com/office/word/2010/wordprocessingShape">
                    <wps:wsp>
                      <wps:cNvSpPr txBox="1"/>
                      <wps:spPr>
                        <a:xfrm>
                          <a:off x="0" y="0"/>
                          <a:ext cx="5753594" cy="1157844"/>
                        </a:xfrm>
                        <a:prstGeom prst="rect">
                          <a:avLst/>
                        </a:prstGeom>
                        <a:noFill/>
                        <a:ln w="6350">
                          <a:noFill/>
                        </a:ln>
                      </wps:spPr>
                      <wps:txbx>
                        <w:txbxContent>
                          <w:p w14:paraId="73DD6A39" w14:textId="7BF24650" w:rsidR="00AD53D2" w:rsidRPr="00A917CF" w:rsidRDefault="004C3CCB" w:rsidP="00AD53D2">
                            <w:pPr>
                              <w:rPr>
                                <w:rFonts w:ascii="Work Sans" w:hAnsi="Work Sans"/>
                                <w:color w:val="FFFFFF"/>
                                <w:sz w:val="48"/>
                                <w:szCs w:val="48"/>
                              </w:rPr>
                            </w:pPr>
                            <w:r w:rsidRPr="00A917CF">
                              <w:rPr>
                                <w:rFonts w:ascii="Work Sans" w:hAnsi="Work Sans" w:cs="Open Sans"/>
                                <w:color w:val="FFFFFF"/>
                                <w:sz w:val="48"/>
                                <w:szCs w:val="48"/>
                              </w:rPr>
                              <w:t>No</w:t>
                            </w:r>
                            <w:r w:rsidR="005253E9">
                              <w:rPr>
                                <w:rFonts w:ascii="Work Sans" w:hAnsi="Work Sans" w:cs="Open Sans"/>
                                <w:color w:val="FFFFFF"/>
                                <w:sz w:val="48"/>
                                <w:szCs w:val="48"/>
                              </w:rPr>
                              <w:t>.</w:t>
                            </w:r>
                            <w:r w:rsidRPr="00A917CF">
                              <w:rPr>
                                <w:rFonts w:ascii="Work Sans" w:hAnsi="Work Sans" w:cs="Open Sans"/>
                                <w:color w:val="FFFFFF"/>
                                <w:sz w:val="48"/>
                                <w:szCs w:val="48"/>
                              </w:rPr>
                              <w:t xml:space="preserve">5: </w:t>
                            </w:r>
                            <w:r w:rsidR="00190645" w:rsidRPr="00A917CF">
                              <w:rPr>
                                <w:rFonts w:ascii="Work Sans" w:hAnsi="Work Sans"/>
                                <w:color w:val="FFFFFF"/>
                                <w:sz w:val="48"/>
                                <w:szCs w:val="48"/>
                              </w:rPr>
                              <w:t>GST distribution to states and territories in 2022</w:t>
                            </w:r>
                            <w:r w:rsidR="00190645" w:rsidRPr="00A917CF">
                              <w:rPr>
                                <w:rFonts w:ascii="Work Sans" w:hAnsi="Work Sans"/>
                                <w:color w:val="FFFFFF"/>
                                <w:sz w:val="48"/>
                                <w:szCs w:val="48"/>
                              </w:rPr>
                              <w:noBreakHyphen/>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EE366" id="Text Box 14" o:spid="_x0000_s1027" type="#_x0000_t202" style="position:absolute;margin-left:401.85pt;margin-top:1.05pt;width:453.05pt;height:91.1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" filled="f" stroked="f" strokeweight=".5pt">
                <v:textbox>
                  <w:txbxContent>
                    <w:p w14:paraId="73DD6A39" w14:textId="7BF24650" w:rsidR="00AD53D2" w:rsidRPr="00A917CF" w:rsidRDefault="004C3CCB" w:rsidP="00AD53D2">
                      <w:pPr>
                        <w:rPr>
                          <w:rFonts w:ascii="Work Sans" w:hAnsi="Work Sans"/>
                          <w:color w:val="FFFFFF"/>
                          <w:sz w:val="48"/>
                          <w:szCs w:val="48"/>
                        </w:rPr>
                      </w:pPr>
                      <w:r w:rsidRPr="00A917CF">
                        <w:rPr>
                          <w:rFonts w:ascii="Work Sans" w:hAnsi="Work Sans" w:cs="Open Sans"/>
                          <w:color w:val="FFFFFF"/>
                          <w:sz w:val="48"/>
                          <w:szCs w:val="48"/>
                        </w:rPr>
                        <w:t>No</w:t>
                      </w:r>
                      <w:r w:rsidR="005253E9">
                        <w:rPr>
                          <w:rFonts w:ascii="Work Sans" w:hAnsi="Work Sans" w:cs="Open Sans"/>
                          <w:color w:val="FFFFFF"/>
                          <w:sz w:val="48"/>
                          <w:szCs w:val="48"/>
                        </w:rPr>
                        <w:t>.</w:t>
                      </w:r>
                      <w:r w:rsidRPr="00A917CF">
                        <w:rPr>
                          <w:rFonts w:ascii="Work Sans" w:hAnsi="Work Sans" w:cs="Open Sans"/>
                          <w:color w:val="FFFFFF"/>
                          <w:sz w:val="48"/>
                          <w:szCs w:val="48"/>
                        </w:rPr>
                        <w:t xml:space="preserve">5: </w:t>
                      </w:r>
                      <w:r w:rsidR="00190645" w:rsidRPr="00A917CF">
                        <w:rPr>
                          <w:rFonts w:ascii="Work Sans" w:hAnsi="Work Sans"/>
                          <w:color w:val="FFFFFF"/>
                          <w:sz w:val="48"/>
                          <w:szCs w:val="48"/>
                        </w:rPr>
                        <w:t>GST distribution to states and territories in 2022</w:t>
                      </w:r>
                      <w:r w:rsidR="00190645" w:rsidRPr="00A917CF">
                        <w:rPr>
                          <w:rFonts w:ascii="Work Sans" w:hAnsi="Work Sans"/>
                          <w:color w:val="FFFFFF"/>
                          <w:sz w:val="48"/>
                          <w:szCs w:val="48"/>
                        </w:rPr>
                        <w:noBreakHyphen/>
                        <w:t>23</w:t>
                      </w:r>
                    </w:p>
                  </w:txbxContent>
                </v:textbox>
                <w10:wrap anchorx="margin"/>
              </v:shape>
            </w:pict>
          </mc:Fallback>
        </mc:AlternateContent>
      </w:r>
    </w:p>
    <w:p w14:paraId="00E92AD7" w14:textId="5FF0A900" w:rsidR="00AD53D2" w:rsidRPr="003E40FF" w:rsidRDefault="00AD53D2" w:rsidP="00D838D7">
      <w:pPr>
        <w:rPr>
          <w:rFonts w:ascii="Work Sans" w:hAnsi="Work Sans"/>
        </w:rPr>
      </w:pPr>
    </w:p>
    <w:p w14:paraId="57BDAF8A" w14:textId="07F6A63B" w:rsidR="00AD53D2" w:rsidRPr="003E40FF" w:rsidRDefault="00AD53D2" w:rsidP="00D838D7">
      <w:pPr>
        <w:rPr>
          <w:rFonts w:ascii="Work Sans" w:hAnsi="Work Sans"/>
        </w:rPr>
      </w:pPr>
    </w:p>
    <w:p w14:paraId="7310BB9F" w14:textId="77777777" w:rsidR="00AD53D2" w:rsidRPr="003E40FF" w:rsidRDefault="00AD53D2" w:rsidP="00D838D7">
      <w:pPr>
        <w:rPr>
          <w:rFonts w:ascii="Work Sans" w:hAnsi="Work Sans"/>
        </w:rPr>
      </w:pPr>
    </w:p>
    <w:p w14:paraId="22A6B70E" w14:textId="77777777" w:rsidR="00AD53D2" w:rsidRPr="003E40FF" w:rsidRDefault="00AD53D2" w:rsidP="00D838D7">
      <w:pPr>
        <w:rPr>
          <w:rFonts w:ascii="Work Sans" w:hAnsi="Work Sans"/>
        </w:rPr>
      </w:pPr>
    </w:p>
    <w:p w14:paraId="349EC1F6" w14:textId="77777777" w:rsidR="00A917CF" w:rsidRDefault="00A917CF" w:rsidP="00D838D7">
      <w:pPr>
        <w:rPr>
          <w:rFonts w:ascii="Work Sans" w:hAnsi="Work Sans"/>
        </w:rPr>
      </w:pPr>
    </w:p>
    <w:p w14:paraId="5FEF9841" w14:textId="77777777" w:rsidR="00A917CF" w:rsidRDefault="00A917CF" w:rsidP="00D838D7">
      <w:pPr>
        <w:rPr>
          <w:rFonts w:ascii="Work Sans" w:hAnsi="Work Sans"/>
        </w:rPr>
      </w:pPr>
    </w:p>
    <w:p w14:paraId="6D46CD76" w14:textId="77777777" w:rsidR="00A917CF" w:rsidRDefault="00A917CF" w:rsidP="00D838D7">
      <w:pPr>
        <w:rPr>
          <w:rFonts w:ascii="Work Sans" w:hAnsi="Work Sans"/>
        </w:rPr>
      </w:pPr>
    </w:p>
    <w:p w14:paraId="07BD50B0" w14:textId="77777777" w:rsidR="00A917CF" w:rsidRDefault="00A917CF" w:rsidP="00D838D7">
      <w:pPr>
        <w:rPr>
          <w:rFonts w:ascii="Work Sans" w:hAnsi="Work Sans"/>
        </w:rPr>
      </w:pPr>
    </w:p>
    <w:p w14:paraId="4BCED6F3" w14:textId="77777777" w:rsidR="00A917CF" w:rsidRDefault="00A917CF" w:rsidP="00D838D7">
      <w:pPr>
        <w:rPr>
          <w:rFonts w:ascii="Work Sans" w:hAnsi="Work Sans"/>
        </w:rPr>
      </w:pPr>
    </w:p>
    <w:p w14:paraId="2E173A38" w14:textId="77777777" w:rsidR="00A917CF" w:rsidRDefault="00A917CF" w:rsidP="00D838D7">
      <w:pPr>
        <w:rPr>
          <w:rFonts w:ascii="Work Sans" w:hAnsi="Work Sans"/>
        </w:rPr>
      </w:pPr>
    </w:p>
    <w:p w14:paraId="34F9CDA7" w14:textId="77777777" w:rsidR="00A917CF" w:rsidRDefault="00A917CF" w:rsidP="00D838D7">
      <w:pPr>
        <w:rPr>
          <w:rFonts w:ascii="Work Sans" w:hAnsi="Work Sans"/>
        </w:rPr>
      </w:pPr>
    </w:p>
    <w:p w14:paraId="75078E44" w14:textId="4C214FA8" w:rsidR="00AD53D2" w:rsidRPr="003E40FF" w:rsidRDefault="00F8305F" w:rsidP="00D838D7">
      <w:pPr>
        <w:rPr>
          <w:rFonts w:ascii="Work Sans" w:hAnsi="Work Sans"/>
        </w:rPr>
      </w:pPr>
      <w:r w:rsidRPr="003E40FF">
        <w:rPr>
          <w:rFonts w:ascii="Work Sans" w:hAnsi="Work Sans"/>
          <w:noProof/>
        </w:rPr>
        <mc:AlternateContent>
          <mc:Choice Requires="wps">
            <w:drawing>
              <wp:anchor distT="0" distB="0" distL="114300" distR="114300" simplePos="0" relativeHeight="251658243" behindDoc="0" locked="0" layoutInCell="1" allowOverlap="1" wp14:anchorId="0A5643A7" wp14:editId="1A2EC0E7">
                <wp:simplePos x="0" y="0"/>
                <wp:positionH relativeFrom="margin">
                  <wp:align>left</wp:align>
                </wp:positionH>
                <wp:positionV relativeFrom="paragraph">
                  <wp:posOffset>73660</wp:posOffset>
                </wp:positionV>
                <wp:extent cx="1704975" cy="341630"/>
                <wp:effectExtent l="0" t="0" r="0" b="1270"/>
                <wp:wrapNone/>
                <wp:docPr id="15" name="Text Box 15"/>
                <wp:cNvGraphicFramePr/>
                <a:graphic xmlns:a="http://schemas.openxmlformats.org/drawingml/2006/main">
                  <a:graphicData uri="http://schemas.microsoft.com/office/word/2010/wordprocessingShape">
                    <wps:wsp>
                      <wps:cNvSpPr txBox="1"/>
                      <wps:spPr>
                        <a:xfrm>
                          <a:off x="0" y="0"/>
                          <a:ext cx="1704975" cy="341630"/>
                        </a:xfrm>
                        <a:prstGeom prst="rect">
                          <a:avLst/>
                        </a:prstGeom>
                        <a:noFill/>
                        <a:ln w="6350">
                          <a:noFill/>
                        </a:ln>
                      </wps:spPr>
                      <wps:txbx>
                        <w:txbxContent>
                          <w:p w14:paraId="1041002D" w14:textId="31AB3884" w:rsidR="00AD53D2" w:rsidRPr="00F8305F" w:rsidRDefault="00A917CF" w:rsidP="00AD53D2">
                            <w:pPr>
                              <w:rPr>
                                <w:rFonts w:ascii="Work Sans" w:hAnsi="Work Sans" w:cs="Open Sans"/>
                                <w:color w:val="FFFFFF"/>
                                <w:sz w:val="28"/>
                                <w:szCs w:val="28"/>
                              </w:rPr>
                            </w:pPr>
                            <w:r>
                              <w:rPr>
                                <w:rFonts w:ascii="Work Sans" w:hAnsi="Work Sans" w:cs="Open Sans"/>
                                <w:color w:val="FFFFFF"/>
                                <w:sz w:val="28"/>
                                <w:szCs w:val="28"/>
                              </w:rPr>
                              <w:t>March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643A7" id="Text Box 15" o:spid="_x0000_s1028" type="#_x0000_t202" style="position:absolute;margin-left:0;margin-top:5.8pt;width:134.25pt;height:26.9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" filled="f" stroked="f" strokeweight=".5pt">
                <v:textbox>
                  <w:txbxContent>
                    <w:p w14:paraId="1041002D" w14:textId="31AB3884" w:rsidR="00AD53D2" w:rsidRPr="00F8305F" w:rsidRDefault="00A917CF" w:rsidP="00AD53D2">
                      <w:pPr>
                        <w:rPr>
                          <w:rFonts w:ascii="Work Sans" w:hAnsi="Work Sans" w:cs="Open Sans"/>
                          <w:color w:val="FFFFFF"/>
                          <w:sz w:val="28"/>
                          <w:szCs w:val="28"/>
                        </w:rPr>
                      </w:pPr>
                      <w:r>
                        <w:rPr>
                          <w:rFonts w:ascii="Work Sans" w:hAnsi="Work Sans" w:cs="Open Sans"/>
                          <w:color w:val="FFFFFF"/>
                          <w:sz w:val="28"/>
                          <w:szCs w:val="28"/>
                        </w:rPr>
                        <w:t>March 2022</w:t>
                      </w:r>
                    </w:p>
                  </w:txbxContent>
                </v:textbox>
                <w10:wrap anchorx="margin"/>
              </v:shape>
            </w:pict>
          </mc:Fallback>
        </mc:AlternateContent>
      </w:r>
    </w:p>
    <w:p w14:paraId="4AF9959E" w14:textId="77777777" w:rsidR="00AD53D2" w:rsidRPr="003E40FF" w:rsidRDefault="00AD53D2" w:rsidP="00D838D7">
      <w:pPr>
        <w:rPr>
          <w:rFonts w:ascii="Work Sans" w:hAnsi="Work Sans"/>
        </w:rPr>
      </w:pPr>
    </w:p>
    <w:p w14:paraId="2E172C72" w14:textId="77777777" w:rsidR="00AD53D2" w:rsidRPr="003E40FF" w:rsidRDefault="00AD53D2" w:rsidP="00D838D7">
      <w:pPr>
        <w:rPr>
          <w:rFonts w:ascii="Work Sans" w:hAnsi="Work Sans"/>
        </w:rPr>
      </w:pPr>
    </w:p>
    <w:p w14:paraId="06D8C5E2" w14:textId="77777777" w:rsidR="00AD53D2" w:rsidRPr="003E40FF" w:rsidRDefault="00AD53D2" w:rsidP="00D838D7">
      <w:pPr>
        <w:rPr>
          <w:rFonts w:ascii="Work Sans" w:hAnsi="Work Sans"/>
        </w:rPr>
      </w:pPr>
    </w:p>
    <w:p w14:paraId="493FF90D" w14:textId="77777777" w:rsidR="00AD53D2" w:rsidRPr="003E40FF" w:rsidRDefault="00AD53D2" w:rsidP="00D838D7">
      <w:pPr>
        <w:rPr>
          <w:rFonts w:ascii="Work Sans" w:hAnsi="Work Sans"/>
        </w:rPr>
      </w:pPr>
    </w:p>
    <w:p w14:paraId="24EE791A" w14:textId="77777777" w:rsidR="00AD53D2" w:rsidRPr="003E40FF" w:rsidRDefault="00AD53D2" w:rsidP="00D838D7">
      <w:pPr>
        <w:rPr>
          <w:rFonts w:ascii="Work Sans" w:hAnsi="Work Sans"/>
        </w:rPr>
      </w:pPr>
    </w:p>
    <w:p w14:paraId="3E6770BD" w14:textId="77777777" w:rsidR="00AD53D2" w:rsidRPr="003E40FF" w:rsidRDefault="00AD53D2" w:rsidP="00D838D7">
      <w:pPr>
        <w:rPr>
          <w:rFonts w:ascii="Work Sans" w:hAnsi="Work Sans"/>
        </w:rPr>
      </w:pPr>
    </w:p>
    <w:p w14:paraId="164D3A4A" w14:textId="5B388E40" w:rsidR="00D838D7" w:rsidRDefault="00D838D7" w:rsidP="00D838D7"/>
    <w:p w14:paraId="5A35FB94" w14:textId="77777777" w:rsidR="007F1629" w:rsidRDefault="007F1629" w:rsidP="00D838D7">
      <w:pPr>
        <w:sectPr w:rsidR="007F1629" w:rsidSect="004C78B6">
          <w:headerReference w:type="default" r:id="rId13"/>
          <w:footerReference w:type="even" r:id="rId14"/>
          <w:footerReference w:type="default" r:id="rId15"/>
          <w:headerReference w:type="first" r:id="rId16"/>
          <w:pgSz w:w="11900" w:h="16840"/>
          <w:pgMar w:top="1985" w:right="1418" w:bottom="1418" w:left="1418" w:header="709" w:footer="284" w:gutter="0"/>
          <w:pgNumType w:start="1"/>
          <w:cols w:space="708"/>
          <w:docGrid w:linePitch="360"/>
        </w:sectPr>
      </w:pPr>
    </w:p>
    <w:p w14:paraId="126B6F58" w14:textId="737B38CD" w:rsidR="007F1629" w:rsidRPr="0090223F" w:rsidRDefault="007F1629" w:rsidP="00D838D7">
      <w:pPr>
        <w:rPr>
          <w:rFonts w:ascii="Work Sans" w:hAnsi="Work Sans"/>
        </w:rPr>
      </w:pPr>
    </w:p>
    <w:p w14:paraId="593EF852" w14:textId="5FC958B3" w:rsidR="0090223F" w:rsidRPr="0090223F" w:rsidRDefault="0090223F" w:rsidP="00D838D7">
      <w:pPr>
        <w:rPr>
          <w:rFonts w:ascii="Work Sans" w:hAnsi="Work Sans"/>
        </w:rPr>
      </w:pPr>
    </w:p>
    <w:p w14:paraId="4A5CAEFB" w14:textId="60B1B8DC" w:rsidR="0090223F" w:rsidRPr="0090223F" w:rsidRDefault="0090223F" w:rsidP="00D838D7">
      <w:pPr>
        <w:rPr>
          <w:rFonts w:ascii="Work Sans" w:hAnsi="Work Sans"/>
        </w:rPr>
      </w:pPr>
    </w:p>
    <w:p w14:paraId="1D0DBC6C" w14:textId="33022F50" w:rsidR="0090223F" w:rsidRPr="0090223F" w:rsidRDefault="0090223F" w:rsidP="00D838D7">
      <w:pPr>
        <w:rPr>
          <w:rFonts w:ascii="Work Sans" w:hAnsi="Work Sans"/>
        </w:rPr>
      </w:pPr>
    </w:p>
    <w:p w14:paraId="75DDCCC0" w14:textId="5904E6E5" w:rsidR="0090223F" w:rsidRPr="0090223F" w:rsidRDefault="0090223F" w:rsidP="00D838D7">
      <w:pPr>
        <w:rPr>
          <w:rFonts w:ascii="Work Sans" w:hAnsi="Work Sans"/>
        </w:rPr>
      </w:pPr>
    </w:p>
    <w:p w14:paraId="2C1AD6DA" w14:textId="1CB1461C" w:rsidR="0090223F" w:rsidRPr="0090223F" w:rsidRDefault="0090223F" w:rsidP="00D838D7">
      <w:pPr>
        <w:rPr>
          <w:rFonts w:ascii="Work Sans" w:hAnsi="Work Sans"/>
        </w:rPr>
      </w:pPr>
    </w:p>
    <w:p w14:paraId="57DB5CA3" w14:textId="157DC976" w:rsidR="0090223F" w:rsidRPr="0090223F" w:rsidRDefault="0090223F" w:rsidP="00D838D7">
      <w:pPr>
        <w:rPr>
          <w:rFonts w:ascii="Work Sans" w:hAnsi="Work Sans"/>
        </w:rPr>
      </w:pPr>
    </w:p>
    <w:p w14:paraId="15A66B18" w14:textId="2C67262D" w:rsidR="0090223F" w:rsidRPr="0090223F" w:rsidRDefault="0090223F" w:rsidP="00D838D7">
      <w:pPr>
        <w:rPr>
          <w:rFonts w:ascii="Work Sans" w:hAnsi="Work Sans"/>
        </w:rPr>
      </w:pPr>
    </w:p>
    <w:p w14:paraId="0C305781" w14:textId="3599AA75" w:rsidR="0090223F" w:rsidRPr="0090223F" w:rsidRDefault="0090223F" w:rsidP="00D838D7">
      <w:pPr>
        <w:rPr>
          <w:rFonts w:ascii="Work Sans" w:hAnsi="Work Sans"/>
        </w:rPr>
      </w:pPr>
    </w:p>
    <w:p w14:paraId="632D25FD" w14:textId="4AA0E4A9" w:rsidR="0090223F" w:rsidRPr="0090223F" w:rsidRDefault="0090223F" w:rsidP="00D838D7">
      <w:pPr>
        <w:rPr>
          <w:rFonts w:ascii="Work Sans" w:hAnsi="Work Sans"/>
        </w:rPr>
      </w:pPr>
    </w:p>
    <w:p w14:paraId="1970FA6B" w14:textId="77777777" w:rsidR="0090223F" w:rsidRPr="0090223F" w:rsidRDefault="0090223F" w:rsidP="00D838D7">
      <w:pPr>
        <w:rPr>
          <w:rFonts w:ascii="Work Sans" w:hAnsi="Work Sans"/>
        </w:rPr>
      </w:pPr>
    </w:p>
    <w:p w14:paraId="4E1C1DA4" w14:textId="77777777" w:rsidR="0090223F" w:rsidRPr="00C3472D" w:rsidRDefault="0090223F" w:rsidP="0090223F">
      <w:pPr>
        <w:pStyle w:val="NormalWeb"/>
        <w:rPr>
          <w:rFonts w:ascii="Work Sans" w:hAnsi="Work Sans"/>
          <w:b/>
          <w:bCs/>
          <w:color w:val="000000"/>
        </w:rPr>
      </w:pPr>
      <w:r w:rsidRPr="00C3472D">
        <w:rPr>
          <w:rFonts w:ascii="Work Sans" w:hAnsi="Work Sans"/>
          <w:b/>
          <w:bCs/>
          <w:color w:val="000000"/>
        </w:rPr>
        <w:t>Copyright</w:t>
      </w:r>
    </w:p>
    <w:p w14:paraId="27AA0ACD" w14:textId="12177140" w:rsidR="0090223F" w:rsidRPr="00C3472D" w:rsidRDefault="0090223F" w:rsidP="0090223F">
      <w:pPr>
        <w:pStyle w:val="NormalWeb"/>
        <w:rPr>
          <w:rFonts w:ascii="Work Sans" w:hAnsi="Work Sans"/>
          <w:color w:val="000000"/>
        </w:rPr>
      </w:pPr>
      <w:r w:rsidRPr="00C3472D">
        <w:rPr>
          <w:rFonts w:ascii="Work Sans" w:hAnsi="Work Sans"/>
          <w:color w:val="000000"/>
        </w:rPr>
        <w:t>© Commonwealth of Australia 202</w:t>
      </w:r>
      <w:r w:rsidR="004B50BC">
        <w:rPr>
          <w:rFonts w:ascii="Work Sans" w:hAnsi="Work Sans"/>
          <w:color w:val="000000"/>
        </w:rPr>
        <w:t>2</w:t>
      </w:r>
    </w:p>
    <w:p w14:paraId="416D155E" w14:textId="77777777" w:rsidR="0090223F" w:rsidRDefault="0090223F" w:rsidP="0090223F">
      <w:pPr>
        <w:pStyle w:val="NormalWeb"/>
        <w:rPr>
          <w:rFonts w:ascii="Work Sans" w:hAnsi="Work Sans"/>
          <w:color w:val="000000"/>
        </w:rPr>
      </w:pPr>
      <w:proofErr w:type="gramStart"/>
      <w:r w:rsidRPr="00C3472D">
        <w:rPr>
          <w:rFonts w:ascii="Work Sans" w:hAnsi="Work Sans"/>
          <w:color w:val="000000"/>
        </w:rPr>
        <w:t>With the exception of</w:t>
      </w:r>
      <w:proofErr w:type="gramEnd"/>
      <w:r w:rsidRPr="00C3472D">
        <w:rPr>
          <w:rFonts w:ascii="Work Sans" w:hAnsi="Work Sans"/>
          <w:color w:val="000000"/>
        </w:rPr>
        <w:t xml:space="preserve"> the Commonwealth Coat of Arms, all material presented in this document is provided under Creative Commons Attribution 4.0 (https://creativecommons.org/licenses/by/4.0/) licence. The details of the relevant licence conditions are available on the Creative Commons website as is the full legal code for CC BY 4.0 International (</w:t>
      </w:r>
      <w:hyperlink r:id="rId17" w:history="1">
        <w:r w:rsidRPr="00DC711F">
          <w:rPr>
            <w:rStyle w:val="Hyperlink"/>
            <w:rFonts w:ascii="Work Sans" w:hAnsi="Work Sans"/>
          </w:rPr>
          <w:t>https://creativecommons.org/licenses/by/4.0/legalcode</w:t>
        </w:r>
      </w:hyperlink>
      <w:r w:rsidRPr="00C3472D">
        <w:rPr>
          <w:rFonts w:ascii="Work Sans" w:hAnsi="Work Sans"/>
          <w:color w:val="000000"/>
        </w:rPr>
        <w:t>).</w:t>
      </w:r>
    </w:p>
    <w:p w14:paraId="10D98826" w14:textId="77777777" w:rsidR="0090223F" w:rsidRPr="00C3472D" w:rsidRDefault="0090223F" w:rsidP="0090223F">
      <w:pPr>
        <w:pStyle w:val="NormalWeb"/>
        <w:rPr>
          <w:rFonts w:ascii="Work Sans" w:hAnsi="Work Sans"/>
          <w:color w:val="000000"/>
        </w:rPr>
      </w:pPr>
      <w:r w:rsidRPr="000A2C87">
        <w:rPr>
          <w:noProof/>
          <w:sz w:val="20"/>
          <w:szCs w:val="20"/>
        </w:rPr>
        <w:drawing>
          <wp:inline distT="0" distB="0" distL="0" distR="0" wp14:anchorId="3EAC7A88" wp14:editId="79E57E55">
            <wp:extent cx="828675" cy="295275"/>
            <wp:effectExtent l="19050" t="0" r="9525" b="0"/>
            <wp:docPr id="3" name="Picture 1" descr="Creative Commons - At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 Attribution"/>
                    <pic:cNvPicPr>
                      <a:picLocks noChangeAspect="1" noChangeArrowheads="1"/>
                    </pic:cNvPicPr>
                  </pic:nvPicPr>
                  <pic:blipFill>
                    <a:blip r:embed="rId18" cstate="print"/>
                    <a:srcRect/>
                    <a:stretch>
                      <a:fillRect/>
                    </a:stretch>
                  </pic:blipFill>
                  <pic:spPr bwMode="auto">
                    <a:xfrm>
                      <a:off x="0" y="0"/>
                      <a:ext cx="828675" cy="295275"/>
                    </a:xfrm>
                    <a:prstGeom prst="rect">
                      <a:avLst/>
                    </a:prstGeom>
                    <a:noFill/>
                    <a:ln w="9525">
                      <a:noFill/>
                      <a:miter lim="800000"/>
                      <a:headEnd/>
                      <a:tailEnd/>
                    </a:ln>
                  </pic:spPr>
                </pic:pic>
              </a:graphicData>
            </a:graphic>
          </wp:inline>
        </w:drawing>
      </w:r>
    </w:p>
    <w:p w14:paraId="0448DAD9" w14:textId="77777777" w:rsidR="0090223F" w:rsidRPr="00C3472D" w:rsidRDefault="0090223F" w:rsidP="0090223F">
      <w:pPr>
        <w:pStyle w:val="NormalWeb"/>
        <w:rPr>
          <w:rFonts w:ascii="Work Sans" w:hAnsi="Work Sans"/>
          <w:b/>
          <w:bCs/>
          <w:color w:val="000000"/>
        </w:rPr>
      </w:pPr>
      <w:r w:rsidRPr="00C3472D">
        <w:rPr>
          <w:rFonts w:ascii="Work Sans" w:hAnsi="Work Sans"/>
          <w:b/>
          <w:bCs/>
          <w:color w:val="000000"/>
        </w:rPr>
        <w:t>Attribution</w:t>
      </w:r>
    </w:p>
    <w:p w14:paraId="7A005D6B" w14:textId="4C76E581" w:rsidR="0090223F" w:rsidRPr="00C3472D" w:rsidRDefault="0090223F" w:rsidP="0090223F">
      <w:pPr>
        <w:pStyle w:val="NormalWeb"/>
        <w:rPr>
          <w:rFonts w:ascii="Work Sans" w:hAnsi="Work Sans"/>
          <w:color w:val="000000"/>
        </w:rPr>
      </w:pPr>
      <w:r w:rsidRPr="00C3472D">
        <w:rPr>
          <w:rFonts w:ascii="Work Sans" w:hAnsi="Work Sans"/>
          <w:color w:val="000000"/>
        </w:rPr>
        <w:t xml:space="preserve">The recommended attribution for this document is Commonwealth Grants Commission, Occasional Paper No. </w:t>
      </w:r>
      <w:r w:rsidR="001972F0">
        <w:rPr>
          <w:rFonts w:ascii="Work Sans" w:hAnsi="Work Sans"/>
          <w:color w:val="000000"/>
        </w:rPr>
        <w:t>5</w:t>
      </w:r>
      <w:r w:rsidRPr="00C3472D">
        <w:rPr>
          <w:rFonts w:ascii="Work Sans" w:hAnsi="Work Sans"/>
          <w:color w:val="000000"/>
        </w:rPr>
        <w:t xml:space="preserve">: </w:t>
      </w:r>
      <w:r w:rsidR="001972F0">
        <w:rPr>
          <w:rFonts w:ascii="Work Sans" w:hAnsi="Work Sans"/>
          <w:color w:val="000000"/>
        </w:rPr>
        <w:t>GST distribution to states and territories in 2022</w:t>
      </w:r>
      <w:r w:rsidR="001972F0">
        <w:rPr>
          <w:rFonts w:ascii="Work Sans" w:hAnsi="Work Sans"/>
          <w:color w:val="000000"/>
        </w:rPr>
        <w:noBreakHyphen/>
        <w:t>23.</w:t>
      </w:r>
    </w:p>
    <w:p w14:paraId="7B0CC09D" w14:textId="77777777" w:rsidR="0090223F" w:rsidRDefault="0090223F" w:rsidP="0090223F">
      <w:pPr>
        <w:pStyle w:val="NormalWeb"/>
        <w:rPr>
          <w:rFonts w:ascii="Work Sans" w:hAnsi="Work Sans"/>
          <w:color w:val="000000"/>
        </w:rPr>
      </w:pPr>
      <w:r w:rsidRPr="00C3472D">
        <w:rPr>
          <w:rFonts w:ascii="Work Sans" w:hAnsi="Work Sans"/>
          <w:b/>
          <w:bCs/>
          <w:color w:val="000000"/>
        </w:rPr>
        <w:t>Contact us</w:t>
      </w:r>
      <w:r w:rsidRPr="00C3472D">
        <w:rPr>
          <w:rFonts w:ascii="Work Sans" w:hAnsi="Work Sans"/>
          <w:color w:val="000000"/>
        </w:rPr>
        <w:t xml:space="preserve"> </w:t>
      </w:r>
    </w:p>
    <w:p w14:paraId="334632DC" w14:textId="77777777" w:rsidR="0090223F" w:rsidRPr="00C3472D" w:rsidRDefault="0090223F" w:rsidP="0090223F">
      <w:pPr>
        <w:pStyle w:val="NormalWeb"/>
        <w:rPr>
          <w:rFonts w:ascii="Work Sans" w:hAnsi="Work Sans"/>
          <w:color w:val="000000"/>
        </w:rPr>
      </w:pPr>
      <w:r w:rsidRPr="00C3472D">
        <w:rPr>
          <w:rFonts w:ascii="Work Sans" w:hAnsi="Work Sans"/>
          <w:color w:val="000000"/>
        </w:rPr>
        <w:t>Inquiries regarding the use of this document should be directed to secretary@cgc.gov.au.</w:t>
      </w:r>
    </w:p>
    <w:p w14:paraId="2719E416" w14:textId="77777777" w:rsidR="0090223F" w:rsidRPr="00D627B5" w:rsidRDefault="0090223F" w:rsidP="0090223F">
      <w:pPr>
        <w:pStyle w:val="NormalWeb"/>
        <w:rPr>
          <w:rFonts w:ascii="Work Sans" w:hAnsi="Work Sans"/>
          <w:b/>
          <w:bCs/>
          <w:color w:val="000000"/>
        </w:rPr>
      </w:pPr>
      <w:r w:rsidRPr="00D627B5">
        <w:rPr>
          <w:rFonts w:ascii="Work Sans" w:hAnsi="Work Sans"/>
          <w:b/>
          <w:bCs/>
          <w:color w:val="000000"/>
        </w:rPr>
        <w:t xml:space="preserve">Internet </w:t>
      </w:r>
    </w:p>
    <w:p w14:paraId="64FA3446" w14:textId="678A95C7" w:rsidR="007F1629" w:rsidRPr="0090223F" w:rsidRDefault="0090223F" w:rsidP="0090223F">
      <w:pPr>
        <w:pStyle w:val="NormalWeb"/>
        <w:rPr>
          <w:rFonts w:ascii="Work Sans" w:hAnsi="Work Sans"/>
          <w:color w:val="000000"/>
        </w:rPr>
      </w:pPr>
      <w:r w:rsidRPr="00C3472D">
        <w:rPr>
          <w:rFonts w:ascii="Work Sans" w:hAnsi="Work Sans"/>
          <w:color w:val="000000"/>
        </w:rPr>
        <w:t>A copy of this paper is available on the Commission’s website (http://www.cgc.gov.au).</w:t>
      </w:r>
    </w:p>
    <w:p w14:paraId="36751630" w14:textId="77777777" w:rsidR="007F1629" w:rsidRDefault="007F1629" w:rsidP="00D838D7"/>
    <w:p w14:paraId="64013AE0" w14:textId="6DB43C2A" w:rsidR="007F1629" w:rsidRDefault="007F1629" w:rsidP="00D838D7">
      <w:pPr>
        <w:sectPr w:rsidR="007F1629" w:rsidSect="008230CC">
          <w:pgSz w:w="11900" w:h="16840"/>
          <w:pgMar w:top="1985" w:right="1418" w:bottom="1418" w:left="1418" w:header="709" w:footer="284" w:gutter="0"/>
          <w:pgNumType w:fmt="lowerRoman" w:start="1"/>
          <w:cols w:space="708"/>
          <w:docGrid w:linePitch="360"/>
        </w:sectPr>
      </w:pPr>
    </w:p>
    <w:p w14:paraId="29B179DB" w14:textId="1F01A615" w:rsidR="00AD53D2" w:rsidRDefault="007F1629" w:rsidP="00F8305F">
      <w:pPr>
        <w:pStyle w:val="Heading1"/>
      </w:pPr>
      <w:bookmarkStart w:id="0" w:name="_Hlk98930449"/>
      <w:r w:rsidRPr="008233DC">
        <w:lastRenderedPageBreak/>
        <w:t xml:space="preserve">GST </w:t>
      </w:r>
      <w:r>
        <w:t xml:space="preserve">distribution to </w:t>
      </w:r>
      <w:r w:rsidRPr="008233DC">
        <w:t>states and territories in</w:t>
      </w:r>
      <w:r>
        <w:t> </w:t>
      </w:r>
      <w:r w:rsidRPr="008233DC">
        <w:t>2022</w:t>
      </w:r>
      <w:r w:rsidRPr="008233DC">
        <w:noBreakHyphen/>
        <w:t>23</w:t>
      </w:r>
    </w:p>
    <w:bookmarkEnd w:id="0"/>
    <w:p w14:paraId="206C1AC4" w14:textId="2518FBDB" w:rsidR="0032196B" w:rsidRDefault="00957520" w:rsidP="0032196B">
      <w:pPr>
        <w:pStyle w:val="Heading2"/>
      </w:pPr>
      <w:r>
        <w:rPr>
          <w:noProof/>
          <w:color w:val="0091C4"/>
        </w:rPr>
        <mc:AlternateContent>
          <mc:Choice Requires="wps">
            <w:drawing>
              <wp:anchor distT="0" distB="0" distL="114300" distR="114300" simplePos="0" relativeHeight="251660291" behindDoc="1" locked="0" layoutInCell="1" allowOverlap="1" wp14:anchorId="4A82D634" wp14:editId="79C72243">
                <wp:simplePos x="0" y="0"/>
                <wp:positionH relativeFrom="margin">
                  <wp:align>left</wp:align>
                </wp:positionH>
                <wp:positionV relativeFrom="paragraph">
                  <wp:posOffset>12590</wp:posOffset>
                </wp:positionV>
                <wp:extent cx="5780599" cy="6074796"/>
                <wp:effectExtent l="0" t="0" r="0" b="254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80599" cy="6074796"/>
                        </a:xfrm>
                        <a:prstGeom prst="rect">
                          <a:avLst/>
                        </a:prstGeom>
                        <a:solidFill>
                          <a:srgbClr val="E5F8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DC4D7" id="Rectangle 5" o:spid="_x0000_s1026" alt="&quot;&quot;" style="position:absolute;margin-left:0;margin-top:1pt;width:455.15pt;height:478.35pt;z-index:-25165618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" fillcolor="#e5f8ff" stroked="f" strokeweight="2pt">
                <w10:wrap anchorx="margin"/>
              </v:rect>
            </w:pict>
          </mc:Fallback>
        </mc:AlternateContent>
      </w:r>
      <w:r w:rsidR="0032196B" w:rsidRPr="007A3D73">
        <w:t>Summary</w:t>
      </w:r>
    </w:p>
    <w:p w14:paraId="6E4BA678" w14:textId="77777777" w:rsidR="0032196B" w:rsidRPr="00610054" w:rsidRDefault="0032196B" w:rsidP="0032196B">
      <w:pPr>
        <w:pStyle w:val="BodyText"/>
        <w:numPr>
          <w:ilvl w:val="0"/>
          <w:numId w:val="2"/>
        </w:numPr>
        <w:jc w:val="left"/>
        <w:rPr>
          <w:rFonts w:ascii="Work Sans" w:hAnsi="Work Sans"/>
        </w:rPr>
      </w:pPr>
      <w:r w:rsidRPr="00610054">
        <w:rPr>
          <w:rFonts w:ascii="Work Sans" w:hAnsi="Work Sans"/>
        </w:rPr>
        <w:t>The distribution of GST revenue to states and territories (states) seeks to give them a similar fiscal capacity to provide services. It takes account of states’ different abilities to raise revenue and their different costs in providing services.</w:t>
      </w:r>
    </w:p>
    <w:p w14:paraId="673E3E8E" w14:textId="77777777" w:rsidR="0032196B" w:rsidRPr="00610054" w:rsidRDefault="0032196B" w:rsidP="0032196B">
      <w:pPr>
        <w:pStyle w:val="BodyText"/>
        <w:numPr>
          <w:ilvl w:val="0"/>
          <w:numId w:val="2"/>
        </w:numPr>
        <w:jc w:val="left"/>
        <w:rPr>
          <w:rFonts w:ascii="Work Sans" w:hAnsi="Work Sans"/>
        </w:rPr>
      </w:pPr>
      <w:r w:rsidRPr="00610054">
        <w:rPr>
          <w:rFonts w:ascii="Work Sans" w:hAnsi="Work Sans"/>
        </w:rPr>
        <w:t>The Commonwealth Grants Commission has released its 2022 Update, incorporating its recommended relativities for GST distribution in 2022</w:t>
      </w:r>
      <w:r>
        <w:rPr>
          <w:rFonts w:ascii="Work Sans" w:hAnsi="Work Sans"/>
        </w:rPr>
        <w:noBreakHyphen/>
      </w:r>
      <w:r w:rsidRPr="00610054">
        <w:rPr>
          <w:rFonts w:ascii="Work Sans" w:hAnsi="Work Sans"/>
        </w:rPr>
        <w:t>23.</w:t>
      </w:r>
    </w:p>
    <w:p w14:paraId="59F2BC41" w14:textId="77777777" w:rsidR="0032196B" w:rsidRPr="00610054" w:rsidRDefault="0032196B" w:rsidP="0032196B">
      <w:pPr>
        <w:pStyle w:val="BodyText"/>
        <w:numPr>
          <w:ilvl w:val="0"/>
          <w:numId w:val="2"/>
        </w:numPr>
        <w:jc w:val="left"/>
        <w:rPr>
          <w:rFonts w:ascii="Work Sans" w:hAnsi="Work Sans"/>
        </w:rPr>
      </w:pPr>
      <w:r w:rsidRPr="00610054">
        <w:rPr>
          <w:rFonts w:ascii="Work Sans" w:hAnsi="Work Sans"/>
        </w:rPr>
        <w:t>Some of the changes to GST distribution in the 2022 Update</w:t>
      </w:r>
      <w:r w:rsidRPr="00610054" w:rsidDel="002939D8">
        <w:rPr>
          <w:rFonts w:ascii="Work Sans" w:hAnsi="Work Sans"/>
        </w:rPr>
        <w:t xml:space="preserve"> </w:t>
      </w:r>
      <w:r w:rsidRPr="00610054">
        <w:rPr>
          <w:rFonts w:ascii="Work Sans" w:hAnsi="Work Sans"/>
        </w:rPr>
        <w:t>reflect the ongoing transition to the 2018 GST legislated arrangements. This includes implementation of a GST relativity floor of 0.7, below which no state’s GST revenue sharing relativity can fall. Western Australia’s GST relativity (share) would be lifted to the floor in 2022-23, resulting in a lower GST share for the other states, but this would be ameliorated by Commonwealth top</w:t>
      </w:r>
      <w:r w:rsidRPr="00610054">
        <w:rPr>
          <w:rFonts w:ascii="Work Sans" w:hAnsi="Work Sans"/>
        </w:rPr>
        <w:noBreakHyphen/>
        <w:t>ups to the GST pool and transitional no worse off payments.</w:t>
      </w:r>
    </w:p>
    <w:p w14:paraId="502CEE51" w14:textId="77777777" w:rsidR="0032196B" w:rsidRPr="00610054" w:rsidRDefault="0032196B" w:rsidP="0032196B">
      <w:pPr>
        <w:pStyle w:val="BodyText"/>
        <w:numPr>
          <w:ilvl w:val="0"/>
          <w:numId w:val="2"/>
        </w:numPr>
        <w:jc w:val="left"/>
        <w:rPr>
          <w:rFonts w:ascii="Work Sans" w:hAnsi="Work Sans"/>
        </w:rPr>
      </w:pPr>
      <w:r w:rsidRPr="00610054">
        <w:rPr>
          <w:rFonts w:ascii="Work Sans" w:hAnsi="Work Sans"/>
        </w:rPr>
        <w:t xml:space="preserve">Other changes to GST distribution reflect changes in state circumstances since the 2021 Update. Drivers of change include: an increase in the value of iron ore production; </w:t>
      </w:r>
      <w:r w:rsidRPr="00DF36C4">
        <w:rPr>
          <w:rFonts w:ascii="Work Sans" w:hAnsi="Work Sans"/>
        </w:rPr>
        <w:t>shifting patterns of population growth; wage growth and value of properties transferred</w:t>
      </w:r>
      <w:r w:rsidRPr="00610054">
        <w:rPr>
          <w:rFonts w:ascii="Work Sans" w:hAnsi="Work Sans"/>
        </w:rPr>
        <w:t>; and changes in states’ shares of Commonwealth payments.</w:t>
      </w:r>
    </w:p>
    <w:p w14:paraId="66BF780F" w14:textId="77777777" w:rsidR="0032196B" w:rsidRPr="00610054" w:rsidRDefault="0032196B" w:rsidP="0032196B">
      <w:pPr>
        <w:pStyle w:val="BodyText"/>
        <w:numPr>
          <w:ilvl w:val="0"/>
          <w:numId w:val="2"/>
        </w:numPr>
        <w:jc w:val="left"/>
        <w:rPr>
          <w:rFonts w:ascii="Work Sans" w:hAnsi="Work Sans"/>
        </w:rPr>
      </w:pPr>
      <w:r w:rsidRPr="00610054">
        <w:rPr>
          <w:rFonts w:ascii="Work Sans" w:hAnsi="Work Sans"/>
        </w:rPr>
        <w:t>Expected growth in the GST pool in 2022-23 means most states are likely to receive a larger GST distribution in 2022</w:t>
      </w:r>
      <w:r w:rsidRPr="00610054">
        <w:rPr>
          <w:rFonts w:ascii="Work Sans" w:hAnsi="Work Sans"/>
        </w:rPr>
        <w:noBreakHyphen/>
        <w:t>23 than in 2021-22. Victoria is expected to receive less and the ACT around the same. However, all states are expected to receive higher overall payments, which include transitional no worse off payments.</w:t>
      </w:r>
    </w:p>
    <w:p w14:paraId="679ADDBB" w14:textId="5A6DC119" w:rsidR="007F1629" w:rsidRDefault="007F1629">
      <w:pPr>
        <w:tabs>
          <w:tab w:val="clear" w:pos="567"/>
        </w:tabs>
        <w:spacing w:before="0" w:line="240" w:lineRule="auto"/>
        <w:rPr>
          <w:rFonts w:ascii="Work Sans" w:hAnsi="Work Sans"/>
        </w:rPr>
      </w:pPr>
    </w:p>
    <w:p w14:paraId="158A1AFC" w14:textId="30C14842" w:rsidR="003C35AE" w:rsidRPr="003C35AE" w:rsidRDefault="00EC1242" w:rsidP="003C35AE">
      <w:pPr>
        <w:tabs>
          <w:tab w:val="clear" w:pos="567"/>
        </w:tabs>
        <w:spacing w:before="360" w:after="200" w:line="276" w:lineRule="auto"/>
        <w:outlineLvl w:val="1"/>
        <w:rPr>
          <w:rFonts w:ascii="Work Sans" w:eastAsia="Yu Gothic Light" w:hAnsi="Work Sans" w:cs="Open Sans"/>
          <w:b/>
          <w:bCs/>
          <w:color w:val="006991"/>
          <w:sz w:val="36"/>
          <w:szCs w:val="36"/>
        </w:rPr>
      </w:pPr>
      <w:r>
        <w:rPr>
          <w:rFonts w:ascii="Work Sans" w:eastAsia="Yu Gothic Light" w:hAnsi="Work Sans" w:cs="Open Sans"/>
          <w:b/>
          <w:bCs/>
          <w:color w:val="006991"/>
          <w:sz w:val="36"/>
          <w:szCs w:val="36"/>
        </w:rPr>
        <w:br w:type="column"/>
      </w:r>
      <w:r w:rsidR="003C35AE" w:rsidRPr="003C35AE">
        <w:rPr>
          <w:rFonts w:ascii="Work Sans" w:eastAsia="Yu Gothic Light" w:hAnsi="Work Sans" w:cs="Open Sans"/>
          <w:b/>
          <w:bCs/>
          <w:color w:val="006991"/>
          <w:sz w:val="36"/>
          <w:szCs w:val="36"/>
        </w:rPr>
        <w:lastRenderedPageBreak/>
        <w:t>Introduction</w:t>
      </w:r>
    </w:p>
    <w:p w14:paraId="6E39E6FF" w14:textId="77777777" w:rsidR="003C35AE" w:rsidRPr="003C35AE" w:rsidRDefault="003C35AE" w:rsidP="00307433">
      <w:pPr>
        <w:spacing w:after="120"/>
        <w:rPr>
          <w:rFonts w:ascii="Work Sans" w:eastAsia="Calibri" w:hAnsi="Work Sans" w:cs="Cambria Math"/>
          <w:color w:val="000000"/>
          <w:sz w:val="24"/>
          <w:szCs w:val="24"/>
          <w:shd w:val="clear" w:color="auto" w:fill="FFFFFF"/>
        </w:rPr>
      </w:pPr>
      <w:r w:rsidRPr="003C35AE">
        <w:rPr>
          <w:rFonts w:ascii="Work Sans" w:eastAsia="Calibri" w:hAnsi="Work Sans" w:cs="Cambria Math"/>
          <w:color w:val="000000"/>
          <w:sz w:val="24"/>
          <w:szCs w:val="24"/>
          <w:shd w:val="clear" w:color="auto" w:fill="FFFFFF"/>
        </w:rPr>
        <w:t xml:space="preserve">Each year, the Commonwealth Grants Commission (the Commission) is asked to recommend to the Commonwealth Treasurer how to distribute the Goods and Services Tax (GST) pool among the states and territories (states), consistent with the objectives outlined in the </w:t>
      </w:r>
      <w:r w:rsidRPr="003C35AE">
        <w:rPr>
          <w:rFonts w:ascii="Work Sans" w:eastAsia="Calibri" w:hAnsi="Work Sans" w:cs="Cambria Math"/>
          <w:i/>
          <w:iCs/>
          <w:color w:val="000000"/>
          <w:sz w:val="24"/>
          <w:szCs w:val="24"/>
          <w:shd w:val="clear" w:color="auto" w:fill="FFFFFF"/>
        </w:rPr>
        <w:t>Commonwealth Grants Commission Act 1973</w:t>
      </w:r>
      <w:r w:rsidRPr="003C35AE">
        <w:rPr>
          <w:rFonts w:ascii="Work Sans" w:eastAsia="Calibri" w:hAnsi="Work Sans" w:cs="Cambria Math"/>
          <w:color w:val="000000"/>
          <w:sz w:val="24"/>
          <w:szCs w:val="24"/>
          <w:shd w:val="clear" w:color="auto" w:fill="FFFFFF"/>
          <w:vertAlign w:val="superscript"/>
        </w:rPr>
        <w:footnoteReference w:id="2"/>
      </w:r>
      <w:r w:rsidRPr="003C35AE">
        <w:rPr>
          <w:rFonts w:ascii="Work Sans" w:eastAsia="Calibri" w:hAnsi="Work Sans" w:cs="Cambria Math"/>
          <w:color w:val="000000"/>
          <w:sz w:val="24"/>
          <w:szCs w:val="24"/>
          <w:shd w:val="clear" w:color="auto" w:fill="FFFFFF"/>
        </w:rPr>
        <w:t xml:space="preserve">. </w:t>
      </w:r>
    </w:p>
    <w:p w14:paraId="3E5FC058" w14:textId="77777777" w:rsidR="003C35AE" w:rsidRPr="003C35AE" w:rsidRDefault="003C35AE" w:rsidP="00307433">
      <w:pPr>
        <w:spacing w:after="120"/>
        <w:rPr>
          <w:rFonts w:ascii="Work Sans" w:eastAsia="Calibri" w:hAnsi="Work Sans" w:cs="Cambria Math"/>
          <w:color w:val="000000"/>
          <w:sz w:val="24"/>
          <w:szCs w:val="24"/>
          <w:shd w:val="clear" w:color="auto" w:fill="FFFFFF"/>
        </w:rPr>
      </w:pPr>
      <w:r w:rsidRPr="003C35AE">
        <w:rPr>
          <w:rFonts w:ascii="Work Sans" w:eastAsia="Calibri" w:hAnsi="Work Sans" w:cs="Cambria Math"/>
          <w:color w:val="000000"/>
          <w:sz w:val="24"/>
          <w:szCs w:val="24"/>
          <w:shd w:val="clear" w:color="auto" w:fill="FFFFFF"/>
        </w:rPr>
        <w:t xml:space="preserve">The distribution of the GST pool seeks to provide states with a similar fiscal capacity to provide services. It takes account of their different abilities to raise revenue and </w:t>
      </w:r>
      <w:r w:rsidRPr="003C35AE" w:rsidDel="00433F5F">
        <w:rPr>
          <w:rFonts w:ascii="Work Sans" w:eastAsia="Calibri" w:hAnsi="Work Sans" w:cs="Cambria Math"/>
          <w:color w:val="000000"/>
          <w:sz w:val="24"/>
          <w:szCs w:val="24"/>
          <w:shd w:val="clear" w:color="auto" w:fill="FFFFFF"/>
        </w:rPr>
        <w:t xml:space="preserve">their </w:t>
      </w:r>
      <w:r w:rsidRPr="003C35AE">
        <w:rPr>
          <w:rFonts w:ascii="Work Sans" w:eastAsia="Calibri" w:hAnsi="Work Sans" w:cs="Cambria Math"/>
          <w:color w:val="000000"/>
          <w:sz w:val="24"/>
          <w:szCs w:val="24"/>
          <w:shd w:val="clear" w:color="auto" w:fill="FFFFFF"/>
        </w:rPr>
        <w:t xml:space="preserve">different costs in providing services. </w:t>
      </w:r>
    </w:p>
    <w:p w14:paraId="7A62C59C" w14:textId="77777777" w:rsidR="003C35AE" w:rsidRPr="003C35AE" w:rsidRDefault="003C35AE" w:rsidP="00307433">
      <w:pPr>
        <w:spacing w:after="120"/>
        <w:rPr>
          <w:rFonts w:ascii="Work Sans" w:eastAsia="Calibri" w:hAnsi="Work Sans" w:cs="Cambria Math"/>
          <w:color w:val="000000"/>
          <w:sz w:val="24"/>
          <w:szCs w:val="24"/>
          <w:shd w:val="clear" w:color="auto" w:fill="FFFFFF"/>
        </w:rPr>
      </w:pPr>
      <w:r w:rsidRPr="003C35AE">
        <w:rPr>
          <w:rFonts w:ascii="Work Sans" w:eastAsia="Calibri" w:hAnsi="Work Sans" w:cs="Cambria Math"/>
          <w:color w:val="000000"/>
          <w:sz w:val="24"/>
          <w:szCs w:val="24"/>
          <w:shd w:val="clear" w:color="auto" w:fill="FFFFFF"/>
        </w:rPr>
        <w:t xml:space="preserve">States’ economic, social, and demographic characteristics differ, and this affects their relative expenditures and revenues. Drivers of differences in states’ revenue capacities include mineral royalties, land values, property transactions and payroll taxes. States also receive different levels of Commonwealth payments. The cost of services can vary by state for a range of reasons, including socio-demographic characteristics, wage pressures, population dispersion or density, and rates of population growth. </w:t>
      </w:r>
    </w:p>
    <w:p w14:paraId="3A43E31D" w14:textId="2D02E8B3" w:rsidR="003C35AE" w:rsidRPr="003C35AE" w:rsidDel="009E3518" w:rsidRDefault="003C35AE" w:rsidP="00307433">
      <w:pPr>
        <w:spacing w:after="120"/>
        <w:rPr>
          <w:rFonts w:ascii="Work Sans" w:eastAsia="Calibri" w:hAnsi="Work Sans" w:cs="Cambria Math"/>
          <w:color w:val="000000"/>
          <w:sz w:val="24"/>
          <w:szCs w:val="24"/>
          <w:shd w:val="clear" w:color="auto" w:fill="FFFFFF"/>
        </w:rPr>
      </w:pPr>
      <w:r w:rsidRPr="003C35AE">
        <w:rPr>
          <w:rFonts w:ascii="Work Sans" w:eastAsia="Calibri" w:hAnsi="Work Sans" w:cs="Cambria Math"/>
          <w:color w:val="000000"/>
          <w:sz w:val="24"/>
          <w:szCs w:val="24"/>
          <w:shd w:val="clear" w:color="auto" w:fill="FFFFFF"/>
        </w:rPr>
        <w:t xml:space="preserve">The Commission has released its </w:t>
      </w:r>
      <w:hyperlink r:id="rId19" w:history="1">
        <w:r w:rsidRPr="0028318E">
          <w:rPr>
            <w:rStyle w:val="Hyperlink"/>
            <w:rFonts w:ascii="Work Sans" w:eastAsia="Calibri" w:hAnsi="Work Sans" w:cs="Cambria Math"/>
            <w:i/>
            <w:iCs/>
            <w:sz w:val="24"/>
            <w:szCs w:val="24"/>
            <w:shd w:val="clear" w:color="auto" w:fill="FFFFFF"/>
          </w:rPr>
          <w:t>2022 Update</w:t>
        </w:r>
      </w:hyperlink>
      <w:r w:rsidRPr="003C35AE">
        <w:rPr>
          <w:rFonts w:ascii="Work Sans" w:eastAsia="Calibri" w:hAnsi="Work Sans" w:cs="Cambria Math"/>
          <w:color w:val="2E74B5"/>
          <w:sz w:val="24"/>
          <w:szCs w:val="24"/>
          <w:shd w:val="clear" w:color="auto" w:fill="FFFFFF"/>
        </w:rPr>
        <w:t xml:space="preserve"> </w:t>
      </w:r>
      <w:r w:rsidRPr="003C35AE">
        <w:rPr>
          <w:rFonts w:ascii="Work Sans" w:eastAsia="Calibri" w:hAnsi="Work Sans" w:cs="Cambria Math"/>
          <w:color w:val="000000"/>
          <w:sz w:val="24"/>
          <w:szCs w:val="24"/>
          <w:shd w:val="clear" w:color="auto" w:fill="FFFFFF"/>
        </w:rPr>
        <w:t xml:space="preserve">on the recommended GST revenue sharing relativities for 2022-23. </w:t>
      </w:r>
    </w:p>
    <w:p w14:paraId="596CA9AC" w14:textId="77777777" w:rsidR="003C35AE" w:rsidRPr="003C35AE" w:rsidRDefault="003C35AE" w:rsidP="00307433">
      <w:pPr>
        <w:spacing w:after="120"/>
        <w:rPr>
          <w:rFonts w:ascii="Work Sans" w:eastAsia="Calibri" w:hAnsi="Work Sans" w:cs="Cambria Math"/>
          <w:color w:val="000000"/>
          <w:sz w:val="24"/>
          <w:szCs w:val="24"/>
          <w:shd w:val="clear" w:color="auto" w:fill="FFFFFF"/>
        </w:rPr>
      </w:pPr>
      <w:r w:rsidRPr="003C35AE">
        <w:rPr>
          <w:rFonts w:ascii="Work Sans" w:eastAsia="Calibri" w:hAnsi="Work Sans" w:cs="Cambria Math"/>
          <w:color w:val="000000"/>
          <w:sz w:val="24"/>
          <w:szCs w:val="24"/>
          <w:shd w:val="clear" w:color="auto" w:fill="FFFFFF"/>
        </w:rPr>
        <w:t xml:space="preserve">Under the 2018 legislated changes, 2022-23 is the second year in a six-year transition away from GST distribution based solely on the Commission’s assessment of states’ relative fiscal capacities (see </w:t>
      </w:r>
      <w:hyperlink r:id="rId20" w:history="1">
        <w:r w:rsidRPr="003C35AE">
          <w:rPr>
            <w:rFonts w:ascii="Work Sans" w:eastAsia="Calibri" w:hAnsi="Work Sans" w:cs="Cambria Math"/>
            <w:i/>
            <w:color w:val="0000FF"/>
            <w:sz w:val="24"/>
            <w:szCs w:val="24"/>
            <w:u w:val="single"/>
            <w:shd w:val="clear" w:color="auto" w:fill="FFFFFF"/>
          </w:rPr>
          <w:t>Occasional Paper #4 - New arrangements for distributing GST</w:t>
        </w:r>
      </w:hyperlink>
      <w:r w:rsidRPr="003C35AE">
        <w:rPr>
          <w:rFonts w:ascii="Work Sans" w:eastAsia="Calibri" w:hAnsi="Work Sans" w:cs="Cambria Math"/>
          <w:color w:val="0000FF"/>
          <w:sz w:val="24"/>
          <w:szCs w:val="24"/>
          <w:u w:val="single"/>
          <w:shd w:val="clear" w:color="auto" w:fill="FFFFFF"/>
        </w:rPr>
        <w:t>).</w:t>
      </w:r>
      <w:r w:rsidRPr="003C35AE">
        <w:rPr>
          <w:rFonts w:ascii="Work Sans" w:eastAsia="Calibri" w:hAnsi="Work Sans" w:cs="Cambria Math"/>
          <w:color w:val="000000"/>
          <w:sz w:val="24"/>
          <w:szCs w:val="24"/>
          <w:shd w:val="clear" w:color="auto" w:fill="FFFFFF"/>
        </w:rPr>
        <w:t xml:space="preserve"> </w:t>
      </w:r>
    </w:p>
    <w:p w14:paraId="38B61908" w14:textId="77777777" w:rsidR="003C35AE" w:rsidRPr="003C35AE" w:rsidRDefault="003C35AE" w:rsidP="003C35AE">
      <w:pPr>
        <w:tabs>
          <w:tab w:val="clear" w:pos="567"/>
        </w:tabs>
        <w:spacing w:before="360" w:after="200" w:line="276" w:lineRule="auto"/>
        <w:outlineLvl w:val="1"/>
        <w:rPr>
          <w:rFonts w:ascii="Work Sans" w:eastAsia="Yu Gothic Light" w:hAnsi="Work Sans" w:cs="Open Sans"/>
          <w:b/>
          <w:bCs/>
          <w:color w:val="006991"/>
          <w:sz w:val="36"/>
          <w:szCs w:val="36"/>
        </w:rPr>
      </w:pPr>
      <w:r w:rsidRPr="003C35AE">
        <w:rPr>
          <w:rFonts w:ascii="Work Sans" w:eastAsia="Yu Gothic Light" w:hAnsi="Work Sans" w:cs="Open Sans"/>
          <w:b/>
          <w:bCs/>
          <w:color w:val="006991"/>
          <w:sz w:val="36"/>
          <w:szCs w:val="36"/>
        </w:rPr>
        <w:t>Recommended GST relativities for 2022</w:t>
      </w:r>
      <w:r w:rsidRPr="003C35AE">
        <w:rPr>
          <w:rFonts w:ascii="Work Sans" w:eastAsia="Yu Gothic Light" w:hAnsi="Work Sans" w:cs="Open Sans"/>
          <w:b/>
          <w:bCs/>
          <w:color w:val="006991"/>
          <w:sz w:val="36"/>
          <w:szCs w:val="36"/>
        </w:rPr>
        <w:noBreakHyphen/>
        <w:t>23</w:t>
      </w:r>
    </w:p>
    <w:p w14:paraId="3CEB10D0" w14:textId="7C73743D" w:rsidR="003C35AE" w:rsidRPr="003C35AE" w:rsidRDefault="003C35AE" w:rsidP="00111449">
      <w:pPr>
        <w:spacing w:after="120"/>
        <w:rPr>
          <w:rFonts w:ascii="Work Sans" w:eastAsia="Calibri" w:hAnsi="Work Sans" w:cs="Cambria Math"/>
          <w:color w:val="000000"/>
          <w:sz w:val="24"/>
          <w:szCs w:val="24"/>
          <w:shd w:val="clear" w:color="auto" w:fill="FFFFFF"/>
          <w:lang w:val="en-GB"/>
        </w:rPr>
      </w:pPr>
      <w:r w:rsidRPr="003C35AE">
        <w:rPr>
          <w:rFonts w:ascii="Work Sans" w:eastAsia="Calibri" w:hAnsi="Work Sans" w:cs="Cambria Math"/>
          <w:color w:val="000000"/>
          <w:sz w:val="24"/>
          <w:szCs w:val="24"/>
          <w:shd w:val="clear" w:color="auto" w:fill="FFFFFF"/>
          <w:lang w:val="en-GB"/>
        </w:rPr>
        <w:t>The Commission’s recommended GST relativities for 2022</w:t>
      </w:r>
      <w:r w:rsidR="00CF7F16">
        <w:rPr>
          <w:rFonts w:ascii="Work Sans" w:eastAsia="Calibri" w:hAnsi="Work Sans" w:cs="Cambria Math"/>
          <w:color w:val="000000"/>
          <w:sz w:val="24"/>
          <w:szCs w:val="24"/>
          <w:shd w:val="clear" w:color="auto" w:fill="FFFFFF"/>
          <w:lang w:val="en-GB"/>
        </w:rPr>
        <w:noBreakHyphen/>
      </w:r>
      <w:r w:rsidRPr="003C35AE">
        <w:rPr>
          <w:rFonts w:ascii="Work Sans" w:eastAsia="Calibri" w:hAnsi="Work Sans" w:cs="Cambria Math"/>
          <w:color w:val="000000"/>
          <w:sz w:val="24"/>
          <w:szCs w:val="24"/>
          <w:shd w:val="clear" w:color="auto" w:fill="FFFFFF"/>
          <w:lang w:val="en-GB"/>
        </w:rPr>
        <w:t xml:space="preserve">23 are in </w:t>
      </w:r>
      <w:r w:rsidRPr="003C35AE">
        <w:rPr>
          <w:rFonts w:ascii="Work Sans" w:eastAsia="Calibri" w:hAnsi="Work Sans" w:cs="Cambria Math"/>
          <w:color w:val="000000"/>
          <w:sz w:val="24"/>
          <w:szCs w:val="24"/>
          <w:shd w:val="clear" w:color="auto" w:fill="FFFFFF"/>
          <w:lang w:val="en-GB"/>
        </w:rPr>
        <w:fldChar w:fldCharType="begin"/>
      </w:r>
      <w:r w:rsidRPr="003C35AE">
        <w:rPr>
          <w:rFonts w:ascii="Work Sans" w:eastAsia="Calibri" w:hAnsi="Work Sans" w:cs="Cambria Math"/>
          <w:color w:val="000000"/>
          <w:sz w:val="24"/>
          <w:szCs w:val="24"/>
          <w:shd w:val="clear" w:color="auto" w:fill="FFFFFF"/>
          <w:lang w:val="en-GB"/>
        </w:rPr>
        <w:instrText xml:space="preserve"> REF _Ref95206215 \h </w:instrText>
      </w:r>
      <w:r w:rsidR="00111449">
        <w:rPr>
          <w:rFonts w:ascii="Work Sans" w:eastAsia="Calibri" w:hAnsi="Work Sans" w:cs="Cambria Math"/>
          <w:color w:val="000000"/>
          <w:sz w:val="24"/>
          <w:szCs w:val="24"/>
          <w:shd w:val="clear" w:color="auto" w:fill="FFFFFF"/>
          <w:lang w:val="en-GB"/>
        </w:rPr>
        <w:instrText xml:space="preserve"> \* MERGEFORMAT </w:instrText>
      </w:r>
      <w:r w:rsidRPr="003C35AE">
        <w:rPr>
          <w:rFonts w:ascii="Work Sans" w:eastAsia="Calibri" w:hAnsi="Work Sans" w:cs="Cambria Math"/>
          <w:color w:val="000000"/>
          <w:sz w:val="24"/>
          <w:szCs w:val="24"/>
          <w:shd w:val="clear" w:color="auto" w:fill="FFFFFF"/>
          <w:lang w:val="en-GB"/>
        </w:rPr>
      </w:r>
      <w:r w:rsidRPr="003C35AE">
        <w:rPr>
          <w:rFonts w:ascii="Work Sans" w:eastAsia="Calibri" w:hAnsi="Work Sans" w:cs="Cambria Math"/>
          <w:color w:val="000000"/>
          <w:sz w:val="24"/>
          <w:szCs w:val="24"/>
          <w:shd w:val="clear" w:color="auto" w:fill="FFFFFF"/>
          <w:lang w:val="en-GB"/>
        </w:rPr>
        <w:fldChar w:fldCharType="separate"/>
      </w:r>
      <w:r w:rsidR="00282DE9" w:rsidRPr="00282DE9">
        <w:rPr>
          <w:rFonts w:ascii="Work Sans" w:eastAsia="Calibri" w:hAnsi="Work Sans" w:cs="Cambria Math"/>
          <w:color w:val="000000"/>
          <w:sz w:val="24"/>
          <w:szCs w:val="24"/>
          <w:shd w:val="clear" w:color="auto" w:fill="FFFFFF"/>
        </w:rPr>
        <w:t xml:space="preserve">Table </w:t>
      </w:r>
      <w:r w:rsidR="00282DE9" w:rsidRPr="00282DE9">
        <w:rPr>
          <w:rFonts w:ascii="Work Sans" w:eastAsia="Calibri" w:hAnsi="Work Sans" w:cs="Cambria Math"/>
          <w:noProof/>
          <w:color w:val="000000"/>
          <w:sz w:val="24"/>
          <w:szCs w:val="24"/>
          <w:shd w:val="clear" w:color="auto" w:fill="FFFFFF"/>
        </w:rPr>
        <w:t>1</w:t>
      </w:r>
      <w:r w:rsidRPr="003C35AE">
        <w:rPr>
          <w:rFonts w:ascii="Work Sans" w:eastAsia="Calibri" w:hAnsi="Work Sans" w:cs="Cambria Math"/>
          <w:color w:val="000000"/>
          <w:sz w:val="24"/>
          <w:szCs w:val="24"/>
          <w:shd w:val="clear" w:color="auto" w:fill="FFFFFF"/>
          <w:lang w:val="en-GB"/>
        </w:rPr>
        <w:fldChar w:fldCharType="end"/>
      </w:r>
      <w:r w:rsidRPr="003C35AE">
        <w:rPr>
          <w:rFonts w:ascii="Work Sans" w:eastAsia="Calibri" w:hAnsi="Work Sans" w:cs="Cambria Math"/>
          <w:color w:val="000000"/>
          <w:sz w:val="24"/>
          <w:szCs w:val="24"/>
          <w:shd w:val="clear" w:color="auto" w:fill="FFFFFF"/>
          <w:lang w:val="en-GB"/>
        </w:rPr>
        <w:t xml:space="preserve">. </w:t>
      </w:r>
    </w:p>
    <w:p w14:paraId="20F0CB4A" w14:textId="77777777" w:rsidR="003C35AE" w:rsidRPr="003C35AE" w:rsidRDefault="003C35AE" w:rsidP="00111449">
      <w:pPr>
        <w:spacing w:after="120"/>
        <w:rPr>
          <w:rFonts w:ascii="Work Sans" w:eastAsia="Calibri" w:hAnsi="Work Sans" w:cs="Cambria Math"/>
          <w:color w:val="000000"/>
          <w:sz w:val="24"/>
          <w:szCs w:val="24"/>
          <w:shd w:val="clear" w:color="auto" w:fill="FFFFFF"/>
        </w:rPr>
      </w:pPr>
      <w:r w:rsidRPr="003C35AE">
        <w:rPr>
          <w:rFonts w:ascii="Work Sans" w:eastAsia="Calibri" w:hAnsi="Work Sans" w:cs="Cambria Math"/>
          <w:color w:val="000000"/>
          <w:sz w:val="24"/>
          <w:szCs w:val="24"/>
          <w:shd w:val="clear" w:color="auto" w:fill="FFFFFF"/>
        </w:rPr>
        <w:t>Western Australia has the largest increase in its GST relativity and its share of the GST pool, due primarily to the application of the GST relativity floor of 0.7. The Northern Territory’s GST relativity and share of the pool have also increased. All other states will receive a smaller share of the GST pool in 2022-23 compared to 2021-22 (excluding no worse off payments).</w:t>
      </w:r>
    </w:p>
    <w:p w14:paraId="50B3938C" w14:textId="5B4C7FA7" w:rsidR="003C35AE" w:rsidRPr="003C35AE" w:rsidRDefault="003C35AE" w:rsidP="00111449">
      <w:pPr>
        <w:spacing w:after="120"/>
        <w:rPr>
          <w:rFonts w:ascii="Work Sans" w:eastAsia="Calibri" w:hAnsi="Work Sans" w:cs="Cambria Math"/>
          <w:color w:val="000000"/>
          <w:sz w:val="24"/>
          <w:szCs w:val="24"/>
          <w:shd w:val="clear" w:color="auto" w:fill="FFFFFF"/>
        </w:rPr>
      </w:pPr>
      <w:r w:rsidRPr="003C35AE">
        <w:rPr>
          <w:rFonts w:ascii="Work Sans" w:eastAsia="Calibri" w:hAnsi="Work Sans" w:cs="Cambria Math"/>
          <w:color w:val="000000"/>
          <w:sz w:val="24"/>
          <w:szCs w:val="24"/>
          <w:shd w:val="clear" w:color="auto" w:fill="FFFFFF"/>
        </w:rPr>
        <w:t>An estimated $4 billion increase in the GST pool in 2022</w:t>
      </w:r>
      <w:r w:rsidR="00CF7F16">
        <w:rPr>
          <w:rFonts w:ascii="Work Sans" w:eastAsia="Calibri" w:hAnsi="Work Sans" w:cs="Cambria Math"/>
          <w:color w:val="000000"/>
          <w:sz w:val="24"/>
          <w:szCs w:val="24"/>
          <w:shd w:val="clear" w:color="auto" w:fill="FFFFFF"/>
        </w:rPr>
        <w:noBreakHyphen/>
      </w:r>
      <w:r w:rsidRPr="003C35AE">
        <w:rPr>
          <w:rFonts w:ascii="Work Sans" w:eastAsia="Calibri" w:hAnsi="Work Sans" w:cs="Cambria Math"/>
          <w:color w:val="000000"/>
          <w:sz w:val="24"/>
          <w:szCs w:val="24"/>
          <w:shd w:val="clear" w:color="auto" w:fill="FFFFFF"/>
        </w:rPr>
        <w:t>23</w:t>
      </w:r>
      <w:r w:rsidRPr="003C35AE">
        <w:rPr>
          <w:rFonts w:ascii="Work Sans" w:eastAsia="Calibri" w:hAnsi="Work Sans" w:cs="Cambria Math"/>
          <w:color w:val="000000"/>
          <w:sz w:val="24"/>
          <w:szCs w:val="24"/>
          <w:shd w:val="clear" w:color="auto" w:fill="FFFFFF"/>
          <w:vertAlign w:val="superscript"/>
        </w:rPr>
        <w:footnoteReference w:id="3"/>
      </w:r>
      <w:r w:rsidRPr="003C35AE">
        <w:rPr>
          <w:rFonts w:ascii="Work Sans" w:eastAsia="Calibri" w:hAnsi="Work Sans" w:cs="Cambria Math"/>
          <w:color w:val="000000"/>
          <w:sz w:val="24"/>
          <w:szCs w:val="24"/>
          <w:shd w:val="clear" w:color="auto" w:fill="FFFFFF"/>
          <w:vertAlign w:val="superscript"/>
        </w:rPr>
        <w:t xml:space="preserve"> </w:t>
      </w:r>
      <w:r w:rsidRPr="003C35AE">
        <w:rPr>
          <w:rFonts w:ascii="Work Sans" w:eastAsia="Calibri" w:hAnsi="Work Sans" w:cs="Cambria Math"/>
          <w:color w:val="000000"/>
          <w:sz w:val="24"/>
          <w:szCs w:val="24"/>
          <w:shd w:val="clear" w:color="auto" w:fill="FFFFFF"/>
        </w:rPr>
        <w:t>means that most states</w:t>
      </w:r>
      <w:r w:rsidRPr="003C35AE" w:rsidDel="003B444A">
        <w:rPr>
          <w:rFonts w:ascii="Work Sans" w:eastAsia="Calibri" w:hAnsi="Work Sans" w:cs="Cambria Math"/>
          <w:color w:val="000000"/>
          <w:sz w:val="24"/>
          <w:szCs w:val="24"/>
          <w:shd w:val="clear" w:color="auto" w:fill="FFFFFF"/>
        </w:rPr>
        <w:t xml:space="preserve"> </w:t>
      </w:r>
      <w:r w:rsidRPr="003C35AE">
        <w:rPr>
          <w:rFonts w:ascii="Work Sans" w:eastAsia="Calibri" w:hAnsi="Work Sans" w:cs="Cambria Math"/>
          <w:color w:val="000000"/>
          <w:sz w:val="24"/>
          <w:szCs w:val="24"/>
          <w:shd w:val="clear" w:color="auto" w:fill="FFFFFF"/>
        </w:rPr>
        <w:t>are expected to receive a larger payment from the GST pool in 2022</w:t>
      </w:r>
      <w:r w:rsidRPr="003C35AE">
        <w:rPr>
          <w:rFonts w:ascii="Work Sans" w:eastAsia="Calibri" w:hAnsi="Work Sans" w:cs="Cambria Math"/>
          <w:color w:val="000000"/>
          <w:sz w:val="24"/>
          <w:szCs w:val="24"/>
          <w:shd w:val="clear" w:color="auto" w:fill="FFFFFF"/>
        </w:rPr>
        <w:noBreakHyphen/>
        <w:t xml:space="preserve">23 than in 2021-22, despite lower GST relativities for some states. However, Victoria is expected to receive less revenue from the GST pool in </w:t>
      </w:r>
      <w:r w:rsidRPr="003C35AE">
        <w:rPr>
          <w:rFonts w:ascii="Work Sans" w:eastAsia="Calibri" w:hAnsi="Work Sans" w:cs="Cambria Math"/>
          <w:color w:val="000000"/>
          <w:sz w:val="24"/>
          <w:szCs w:val="24"/>
          <w:shd w:val="clear" w:color="auto" w:fill="FFFFFF"/>
        </w:rPr>
        <w:lastRenderedPageBreak/>
        <w:t>2022-23 than it received in 2021</w:t>
      </w:r>
      <w:r w:rsidR="0052076C">
        <w:rPr>
          <w:rFonts w:ascii="Work Sans" w:eastAsia="Calibri" w:hAnsi="Work Sans" w:cs="Cambria Math"/>
          <w:color w:val="000000"/>
          <w:sz w:val="24"/>
          <w:szCs w:val="24"/>
          <w:shd w:val="clear" w:color="auto" w:fill="FFFFFF"/>
        </w:rPr>
        <w:noBreakHyphen/>
      </w:r>
      <w:r w:rsidRPr="003C35AE">
        <w:rPr>
          <w:rFonts w:ascii="Work Sans" w:eastAsia="Calibri" w:hAnsi="Work Sans" w:cs="Cambria Math"/>
          <w:color w:val="000000"/>
          <w:sz w:val="24"/>
          <w:szCs w:val="24"/>
          <w:shd w:val="clear" w:color="auto" w:fill="FFFFFF"/>
        </w:rPr>
        <w:t>22 and the ACT around the same. All states are expected to receive higher overall payments from the GST distribution arrangements in 2022</w:t>
      </w:r>
      <w:r w:rsidRPr="003C35AE">
        <w:rPr>
          <w:rFonts w:ascii="Work Sans" w:eastAsia="Calibri" w:hAnsi="Work Sans" w:cs="Cambria Math"/>
          <w:color w:val="000000"/>
          <w:sz w:val="24"/>
          <w:szCs w:val="24"/>
          <w:shd w:val="clear" w:color="auto" w:fill="FFFFFF"/>
        </w:rPr>
        <w:noBreakHyphen/>
        <w:t>23 when no worse off payments made during the transition period (2022</w:t>
      </w:r>
      <w:r w:rsidRPr="003C35AE">
        <w:rPr>
          <w:rFonts w:ascii="Work Sans" w:eastAsia="Calibri" w:hAnsi="Work Sans" w:cs="Cambria Math"/>
          <w:color w:val="000000"/>
          <w:sz w:val="24"/>
          <w:szCs w:val="24"/>
          <w:shd w:val="clear" w:color="auto" w:fill="FFFFFF"/>
        </w:rPr>
        <w:noBreakHyphen/>
        <w:t>23 to 2026</w:t>
      </w:r>
      <w:r w:rsidRPr="003C35AE">
        <w:rPr>
          <w:rFonts w:ascii="Work Sans" w:eastAsia="Calibri" w:hAnsi="Work Sans" w:cs="Cambria Math"/>
          <w:color w:val="000000"/>
          <w:sz w:val="24"/>
          <w:szCs w:val="24"/>
          <w:shd w:val="clear" w:color="auto" w:fill="FFFFFF"/>
        </w:rPr>
        <w:noBreakHyphen/>
        <w:t xml:space="preserve">27) are </w:t>
      </w:r>
      <w:proofErr w:type="gramStart"/>
      <w:r w:rsidRPr="003C35AE">
        <w:rPr>
          <w:rFonts w:ascii="Work Sans" w:eastAsia="Calibri" w:hAnsi="Work Sans" w:cs="Cambria Math"/>
          <w:color w:val="000000"/>
          <w:sz w:val="24"/>
          <w:szCs w:val="24"/>
          <w:shd w:val="clear" w:color="auto" w:fill="FFFFFF"/>
        </w:rPr>
        <w:t>taken into account</w:t>
      </w:r>
      <w:proofErr w:type="gramEnd"/>
      <w:r w:rsidRPr="003C35AE">
        <w:rPr>
          <w:rFonts w:ascii="Work Sans" w:eastAsia="Calibri" w:hAnsi="Work Sans" w:cs="Cambria Math"/>
          <w:color w:val="000000"/>
          <w:sz w:val="24"/>
          <w:szCs w:val="24"/>
          <w:shd w:val="clear" w:color="auto" w:fill="FFFFFF"/>
        </w:rPr>
        <w:t>.</w:t>
      </w:r>
    </w:p>
    <w:p w14:paraId="14304E82" w14:textId="375950FC" w:rsidR="003C35AE" w:rsidRPr="003C35AE" w:rsidRDefault="003C35AE" w:rsidP="003C35AE">
      <w:pPr>
        <w:keepNext/>
        <w:keepLines/>
        <w:tabs>
          <w:tab w:val="clear" w:pos="567"/>
          <w:tab w:val="left" w:pos="1134"/>
          <w:tab w:val="left" w:pos="1418"/>
        </w:tabs>
        <w:spacing w:before="240" w:after="120" w:line="240" w:lineRule="auto"/>
        <w:ind w:left="1134" w:hanging="1134"/>
        <w:jc w:val="both"/>
        <w:rPr>
          <w:rFonts w:ascii="Work Sans" w:eastAsia="Calibri" w:hAnsi="Work Sans" w:cs="Cambria Math"/>
          <w:b/>
          <w:bCs/>
          <w:color w:val="000000"/>
          <w:sz w:val="24"/>
          <w:szCs w:val="24"/>
          <w:shd w:val="clear" w:color="auto" w:fill="FFFFFF"/>
        </w:rPr>
      </w:pPr>
      <w:bookmarkStart w:id="1" w:name="_Ref95206215"/>
      <w:r w:rsidRPr="003C35AE">
        <w:rPr>
          <w:rFonts w:ascii="Work Sans" w:eastAsia="Calibri" w:hAnsi="Work Sans" w:cs="Cambria Math"/>
          <w:b/>
          <w:bCs/>
          <w:color w:val="000000"/>
          <w:sz w:val="24"/>
          <w:szCs w:val="24"/>
          <w:shd w:val="clear" w:color="auto" w:fill="FFFFFF"/>
        </w:rPr>
        <w:t xml:space="preserve">Table </w:t>
      </w:r>
      <w:r w:rsidRPr="003C35AE">
        <w:rPr>
          <w:rFonts w:ascii="Work Sans" w:eastAsia="Calibri" w:hAnsi="Work Sans" w:cs="Cambria Math"/>
          <w:b/>
          <w:bCs/>
          <w:color w:val="000000"/>
          <w:sz w:val="24"/>
          <w:szCs w:val="24"/>
          <w:shd w:val="clear" w:color="auto" w:fill="FFFFFF"/>
        </w:rPr>
        <w:fldChar w:fldCharType="begin"/>
      </w:r>
      <w:r w:rsidRPr="003C35AE">
        <w:rPr>
          <w:rFonts w:ascii="Work Sans" w:eastAsia="Calibri" w:hAnsi="Work Sans" w:cs="Cambria Math"/>
          <w:b/>
          <w:bCs/>
          <w:color w:val="000000"/>
          <w:sz w:val="24"/>
          <w:szCs w:val="24"/>
          <w:shd w:val="clear" w:color="auto" w:fill="FFFFFF"/>
        </w:rPr>
        <w:instrText>SEQ Table \* ARABIC</w:instrText>
      </w:r>
      <w:r w:rsidRPr="003C35AE">
        <w:rPr>
          <w:rFonts w:ascii="Work Sans" w:eastAsia="Calibri" w:hAnsi="Work Sans" w:cs="Cambria Math"/>
          <w:b/>
          <w:bCs/>
          <w:color w:val="000000"/>
          <w:sz w:val="24"/>
          <w:szCs w:val="24"/>
          <w:shd w:val="clear" w:color="auto" w:fill="FFFFFF"/>
        </w:rPr>
        <w:fldChar w:fldCharType="separate"/>
      </w:r>
      <w:r w:rsidR="00282DE9">
        <w:rPr>
          <w:rFonts w:ascii="Work Sans" w:eastAsia="Calibri" w:hAnsi="Work Sans" w:cs="Cambria Math"/>
          <w:b/>
          <w:bCs/>
          <w:noProof/>
          <w:color w:val="000000"/>
          <w:sz w:val="24"/>
          <w:szCs w:val="24"/>
          <w:shd w:val="clear" w:color="auto" w:fill="FFFFFF"/>
        </w:rPr>
        <w:t>1</w:t>
      </w:r>
      <w:r w:rsidRPr="003C35AE">
        <w:rPr>
          <w:rFonts w:ascii="Work Sans" w:eastAsia="Calibri" w:hAnsi="Work Sans" w:cs="Cambria Math"/>
          <w:b/>
          <w:bCs/>
          <w:color w:val="000000"/>
          <w:sz w:val="24"/>
          <w:szCs w:val="24"/>
          <w:shd w:val="clear" w:color="auto" w:fill="FFFFFF"/>
        </w:rPr>
        <w:fldChar w:fldCharType="end"/>
      </w:r>
      <w:bookmarkEnd w:id="1"/>
      <w:r w:rsidRPr="003C35AE">
        <w:rPr>
          <w:rFonts w:ascii="Work Sans" w:eastAsia="Calibri" w:hAnsi="Work Sans" w:cs="Cambria Math"/>
          <w:b/>
          <w:bCs/>
          <w:color w:val="000000"/>
          <w:sz w:val="24"/>
          <w:szCs w:val="24"/>
          <w:shd w:val="clear" w:color="auto" w:fill="FFFFFF"/>
        </w:rPr>
        <w:tab/>
        <w:t>GST Relativities, shares and estimated GST distribution, 2021-22 and 2022-23 (excludes ‘no worse off’ payments</w:t>
      </w:r>
      <w:r w:rsidRPr="003C35AE">
        <w:rPr>
          <w:rFonts w:ascii="Work Sans" w:eastAsia="Calibri" w:hAnsi="Work Sans" w:cs="Cambria Math"/>
          <w:b/>
          <w:bCs/>
          <w:color w:val="000000"/>
          <w:sz w:val="24"/>
          <w:szCs w:val="24"/>
          <w:shd w:val="clear" w:color="auto" w:fill="FFFFFF"/>
          <w:vertAlign w:val="superscript"/>
        </w:rPr>
        <w:t>(a)</w:t>
      </w:r>
      <w:r w:rsidRPr="003C35AE">
        <w:rPr>
          <w:rFonts w:ascii="Work Sans" w:eastAsia="Calibri" w:hAnsi="Work Sans" w:cs="Cambria Math"/>
          <w:b/>
          <w:bCs/>
          <w:color w:val="000000"/>
          <w:sz w:val="24"/>
          <w:szCs w:val="24"/>
          <w:shd w:val="clear" w:color="auto" w:fill="FFFFFF"/>
        </w:rPr>
        <w:t>)</w:t>
      </w:r>
    </w:p>
    <w:tbl>
      <w:tblPr>
        <w:tblW w:w="9600" w:type="dxa"/>
        <w:tblLook w:val="04A0" w:firstRow="1" w:lastRow="0" w:firstColumn="1" w:lastColumn="0" w:noHBand="0" w:noVBand="1"/>
      </w:tblPr>
      <w:tblGrid>
        <w:gridCol w:w="2880"/>
        <w:gridCol w:w="1120"/>
        <w:gridCol w:w="1120"/>
        <w:gridCol w:w="1120"/>
        <w:gridCol w:w="1120"/>
        <w:gridCol w:w="1120"/>
        <w:gridCol w:w="1120"/>
      </w:tblGrid>
      <w:tr w:rsidR="003C35AE" w:rsidRPr="003C35AE" w14:paraId="7CCB271A" w14:textId="77777777" w:rsidTr="0028318E">
        <w:trPr>
          <w:trHeight w:val="315"/>
        </w:trPr>
        <w:tc>
          <w:tcPr>
            <w:tcW w:w="2880" w:type="dxa"/>
            <w:tcBorders>
              <w:top w:val="nil"/>
              <w:left w:val="nil"/>
              <w:bottom w:val="single" w:sz="4" w:space="0" w:color="ADD6EA"/>
              <w:right w:val="nil"/>
            </w:tcBorders>
            <w:shd w:val="clear" w:color="000000" w:fill="006991"/>
            <w:noWrap/>
            <w:vAlign w:val="center"/>
            <w:hideMark/>
          </w:tcPr>
          <w:p w14:paraId="1C40933E" w14:textId="77777777" w:rsidR="003C35AE" w:rsidRPr="003C35AE" w:rsidRDefault="003C35AE" w:rsidP="003C35AE">
            <w:pPr>
              <w:tabs>
                <w:tab w:val="clear" w:pos="567"/>
              </w:tabs>
              <w:spacing w:before="0" w:line="240" w:lineRule="auto"/>
              <w:rPr>
                <w:rFonts w:ascii="Open Sans Semibold" w:eastAsia="Times New Roman" w:hAnsi="Open Sans Semibold" w:cs="Open Sans Semibold"/>
                <w:color w:val="FFFFFF"/>
                <w:sz w:val="16"/>
                <w:szCs w:val="16"/>
                <w:lang w:eastAsia="en-AU"/>
              </w:rPr>
            </w:pPr>
            <w:r w:rsidRPr="003C35AE">
              <w:rPr>
                <w:rFonts w:ascii="Open Sans Semibold" w:eastAsia="Times New Roman" w:hAnsi="Open Sans Semibold" w:cs="Open Sans Semibold"/>
                <w:color w:val="FFFFFF"/>
                <w:sz w:val="16"/>
                <w:szCs w:val="16"/>
                <w:lang w:eastAsia="en-AU"/>
              </w:rPr>
              <w:t> </w:t>
            </w:r>
          </w:p>
        </w:tc>
        <w:tc>
          <w:tcPr>
            <w:tcW w:w="2240" w:type="dxa"/>
            <w:gridSpan w:val="2"/>
            <w:tcBorders>
              <w:top w:val="nil"/>
              <w:left w:val="nil"/>
              <w:bottom w:val="single" w:sz="4" w:space="0" w:color="ADD6EA"/>
              <w:right w:val="nil"/>
            </w:tcBorders>
            <w:shd w:val="clear" w:color="000000" w:fill="006991"/>
            <w:noWrap/>
            <w:vAlign w:val="center"/>
            <w:hideMark/>
          </w:tcPr>
          <w:p w14:paraId="745D65F8" w14:textId="77777777" w:rsidR="003C35AE" w:rsidRPr="003C35AE" w:rsidRDefault="003C35AE" w:rsidP="003C35AE">
            <w:pPr>
              <w:tabs>
                <w:tab w:val="clear" w:pos="567"/>
              </w:tabs>
              <w:spacing w:before="0" w:line="240" w:lineRule="auto"/>
              <w:jc w:val="center"/>
              <w:rPr>
                <w:rFonts w:ascii="Open Sans Semibold" w:eastAsia="Times New Roman" w:hAnsi="Open Sans Semibold" w:cs="Open Sans Semibold"/>
                <w:color w:val="FFFFFF"/>
                <w:sz w:val="16"/>
                <w:szCs w:val="16"/>
                <w:lang w:eastAsia="en-AU"/>
              </w:rPr>
            </w:pPr>
            <w:r w:rsidRPr="003C35AE">
              <w:rPr>
                <w:rFonts w:ascii="Open Sans Semibold" w:eastAsia="Times New Roman" w:hAnsi="Open Sans Semibold" w:cs="Open Sans Semibold"/>
                <w:color w:val="FFFFFF"/>
                <w:sz w:val="16"/>
                <w:szCs w:val="16"/>
                <w:lang w:eastAsia="en-AU"/>
              </w:rPr>
              <w:t>GST relativities</w:t>
            </w:r>
          </w:p>
        </w:tc>
        <w:tc>
          <w:tcPr>
            <w:tcW w:w="2240" w:type="dxa"/>
            <w:gridSpan w:val="2"/>
            <w:tcBorders>
              <w:top w:val="nil"/>
              <w:left w:val="nil"/>
              <w:bottom w:val="single" w:sz="4" w:space="0" w:color="ADD6EA"/>
              <w:right w:val="nil"/>
            </w:tcBorders>
            <w:shd w:val="clear" w:color="000000" w:fill="006991"/>
            <w:noWrap/>
            <w:vAlign w:val="center"/>
            <w:hideMark/>
          </w:tcPr>
          <w:p w14:paraId="3E1DE0FE" w14:textId="77777777" w:rsidR="003C35AE" w:rsidRPr="003C35AE" w:rsidRDefault="003C35AE" w:rsidP="003C35AE">
            <w:pPr>
              <w:tabs>
                <w:tab w:val="clear" w:pos="567"/>
              </w:tabs>
              <w:spacing w:before="0" w:line="240" w:lineRule="auto"/>
              <w:jc w:val="center"/>
              <w:rPr>
                <w:rFonts w:ascii="Open Sans Semibold" w:eastAsia="Times New Roman" w:hAnsi="Open Sans Semibold" w:cs="Open Sans Semibold"/>
                <w:color w:val="FFFFFF"/>
                <w:sz w:val="16"/>
                <w:szCs w:val="16"/>
                <w:lang w:eastAsia="en-AU"/>
              </w:rPr>
            </w:pPr>
            <w:r w:rsidRPr="003C35AE">
              <w:rPr>
                <w:rFonts w:ascii="Open Sans Semibold" w:eastAsia="Times New Roman" w:hAnsi="Open Sans Semibold" w:cs="Open Sans Semibold"/>
                <w:color w:val="FFFFFF"/>
                <w:sz w:val="16"/>
                <w:szCs w:val="16"/>
                <w:lang w:eastAsia="en-AU"/>
              </w:rPr>
              <w:t>GST shares</w:t>
            </w:r>
          </w:p>
        </w:tc>
        <w:tc>
          <w:tcPr>
            <w:tcW w:w="2240" w:type="dxa"/>
            <w:gridSpan w:val="2"/>
            <w:tcBorders>
              <w:top w:val="nil"/>
              <w:left w:val="nil"/>
              <w:bottom w:val="single" w:sz="4" w:space="0" w:color="ADD6EA"/>
              <w:right w:val="nil"/>
            </w:tcBorders>
            <w:shd w:val="clear" w:color="000000" w:fill="006991"/>
            <w:noWrap/>
            <w:vAlign w:val="center"/>
            <w:hideMark/>
          </w:tcPr>
          <w:p w14:paraId="1B4D3A88" w14:textId="77777777" w:rsidR="003C35AE" w:rsidRPr="003C35AE" w:rsidRDefault="003C35AE" w:rsidP="003C35AE">
            <w:pPr>
              <w:tabs>
                <w:tab w:val="clear" w:pos="567"/>
              </w:tabs>
              <w:spacing w:before="0" w:line="240" w:lineRule="auto"/>
              <w:jc w:val="center"/>
              <w:rPr>
                <w:rFonts w:ascii="Open Sans Semibold" w:eastAsia="Times New Roman" w:hAnsi="Open Sans Semibold" w:cs="Open Sans Semibold"/>
                <w:color w:val="FFFFFF"/>
                <w:sz w:val="16"/>
                <w:szCs w:val="16"/>
                <w:lang w:eastAsia="en-AU"/>
              </w:rPr>
            </w:pPr>
            <w:r w:rsidRPr="003C35AE">
              <w:rPr>
                <w:rFonts w:ascii="Open Sans Semibold" w:eastAsia="Times New Roman" w:hAnsi="Open Sans Semibold" w:cs="Open Sans Semibold"/>
                <w:color w:val="FFFFFF"/>
                <w:sz w:val="16"/>
                <w:szCs w:val="16"/>
                <w:lang w:eastAsia="en-AU"/>
              </w:rPr>
              <w:t>GST distribution</w:t>
            </w:r>
          </w:p>
        </w:tc>
      </w:tr>
      <w:tr w:rsidR="003C35AE" w:rsidRPr="003C35AE" w14:paraId="795A5A1A" w14:textId="77777777" w:rsidTr="0028318E">
        <w:trPr>
          <w:trHeight w:val="315"/>
        </w:trPr>
        <w:tc>
          <w:tcPr>
            <w:tcW w:w="2880" w:type="dxa"/>
            <w:tcBorders>
              <w:top w:val="nil"/>
              <w:left w:val="nil"/>
              <w:bottom w:val="single" w:sz="4" w:space="0" w:color="ADD6EA"/>
              <w:right w:val="nil"/>
            </w:tcBorders>
            <w:shd w:val="clear" w:color="000000" w:fill="006991"/>
            <w:noWrap/>
            <w:vAlign w:val="center"/>
            <w:hideMark/>
          </w:tcPr>
          <w:p w14:paraId="18A81D63" w14:textId="77777777" w:rsidR="003C35AE" w:rsidRPr="003C35AE" w:rsidRDefault="003C35AE" w:rsidP="003C35AE">
            <w:pPr>
              <w:tabs>
                <w:tab w:val="clear" w:pos="567"/>
              </w:tabs>
              <w:spacing w:before="0" w:line="240" w:lineRule="auto"/>
              <w:rPr>
                <w:rFonts w:ascii="Open Sans Semibold" w:eastAsia="Times New Roman" w:hAnsi="Open Sans Semibold" w:cs="Open Sans Semibold"/>
                <w:color w:val="FFFFFF"/>
                <w:sz w:val="16"/>
                <w:szCs w:val="16"/>
                <w:lang w:eastAsia="en-AU"/>
              </w:rPr>
            </w:pPr>
            <w:r w:rsidRPr="003C35AE">
              <w:rPr>
                <w:rFonts w:ascii="Open Sans Semibold" w:eastAsia="Times New Roman" w:hAnsi="Open Sans Semibold" w:cs="Open Sans Semibold"/>
                <w:color w:val="FFFFFF"/>
                <w:sz w:val="16"/>
                <w:szCs w:val="16"/>
                <w:lang w:eastAsia="en-AU"/>
              </w:rPr>
              <w:t> </w:t>
            </w:r>
          </w:p>
        </w:tc>
        <w:tc>
          <w:tcPr>
            <w:tcW w:w="1120" w:type="dxa"/>
            <w:tcBorders>
              <w:top w:val="nil"/>
              <w:left w:val="nil"/>
              <w:bottom w:val="single" w:sz="4" w:space="0" w:color="ADD6EA"/>
              <w:right w:val="nil"/>
            </w:tcBorders>
            <w:shd w:val="clear" w:color="000000" w:fill="006991"/>
            <w:noWrap/>
            <w:vAlign w:val="center"/>
            <w:hideMark/>
          </w:tcPr>
          <w:p w14:paraId="047C2C12" w14:textId="77777777" w:rsidR="003C35AE" w:rsidRPr="003C35AE" w:rsidRDefault="003C35AE" w:rsidP="003C35A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C35AE">
              <w:rPr>
                <w:rFonts w:ascii="Open Sans Semibold" w:eastAsia="Times New Roman" w:hAnsi="Open Sans Semibold" w:cs="Open Sans Semibold"/>
                <w:color w:val="FFFFFF"/>
                <w:sz w:val="16"/>
                <w:szCs w:val="16"/>
                <w:lang w:eastAsia="en-AU"/>
              </w:rPr>
              <w:t>2021-22</w:t>
            </w:r>
          </w:p>
        </w:tc>
        <w:tc>
          <w:tcPr>
            <w:tcW w:w="1120" w:type="dxa"/>
            <w:tcBorders>
              <w:top w:val="nil"/>
              <w:left w:val="nil"/>
              <w:bottom w:val="single" w:sz="4" w:space="0" w:color="ADD6EA"/>
              <w:right w:val="nil"/>
            </w:tcBorders>
            <w:shd w:val="clear" w:color="000000" w:fill="006991"/>
            <w:noWrap/>
            <w:vAlign w:val="center"/>
            <w:hideMark/>
          </w:tcPr>
          <w:p w14:paraId="2AB35E7F" w14:textId="77777777" w:rsidR="003C35AE" w:rsidRPr="003C35AE" w:rsidRDefault="003C35AE" w:rsidP="003C35A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C35AE">
              <w:rPr>
                <w:rFonts w:ascii="Open Sans Semibold" w:eastAsia="Times New Roman" w:hAnsi="Open Sans Semibold" w:cs="Open Sans Semibold"/>
                <w:color w:val="FFFFFF"/>
                <w:sz w:val="16"/>
                <w:szCs w:val="16"/>
                <w:lang w:eastAsia="en-AU"/>
              </w:rPr>
              <w:t>2022-23</w:t>
            </w:r>
          </w:p>
        </w:tc>
        <w:tc>
          <w:tcPr>
            <w:tcW w:w="1120" w:type="dxa"/>
            <w:tcBorders>
              <w:top w:val="nil"/>
              <w:left w:val="nil"/>
              <w:bottom w:val="single" w:sz="4" w:space="0" w:color="ADD6EA"/>
              <w:right w:val="nil"/>
            </w:tcBorders>
            <w:shd w:val="clear" w:color="000000" w:fill="006991"/>
            <w:noWrap/>
            <w:vAlign w:val="center"/>
            <w:hideMark/>
          </w:tcPr>
          <w:p w14:paraId="3E3CEB34" w14:textId="77777777" w:rsidR="003C35AE" w:rsidRPr="003C35AE" w:rsidRDefault="003C35AE" w:rsidP="003C35A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C35AE">
              <w:rPr>
                <w:rFonts w:ascii="Open Sans Semibold" w:eastAsia="Times New Roman" w:hAnsi="Open Sans Semibold" w:cs="Open Sans Semibold"/>
                <w:color w:val="FFFFFF"/>
                <w:sz w:val="16"/>
                <w:szCs w:val="16"/>
                <w:lang w:eastAsia="en-AU"/>
              </w:rPr>
              <w:t>2021-22</w:t>
            </w:r>
          </w:p>
        </w:tc>
        <w:tc>
          <w:tcPr>
            <w:tcW w:w="1120" w:type="dxa"/>
            <w:tcBorders>
              <w:top w:val="nil"/>
              <w:left w:val="nil"/>
              <w:bottom w:val="single" w:sz="4" w:space="0" w:color="ADD6EA"/>
              <w:right w:val="nil"/>
            </w:tcBorders>
            <w:shd w:val="clear" w:color="000000" w:fill="006991"/>
            <w:noWrap/>
            <w:vAlign w:val="center"/>
            <w:hideMark/>
          </w:tcPr>
          <w:p w14:paraId="42180527" w14:textId="77777777" w:rsidR="003C35AE" w:rsidRPr="003C35AE" w:rsidRDefault="003C35AE" w:rsidP="003C35A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C35AE">
              <w:rPr>
                <w:rFonts w:ascii="Open Sans Semibold" w:eastAsia="Times New Roman" w:hAnsi="Open Sans Semibold" w:cs="Open Sans Semibold"/>
                <w:color w:val="FFFFFF"/>
                <w:sz w:val="16"/>
                <w:szCs w:val="16"/>
                <w:lang w:eastAsia="en-AU"/>
              </w:rPr>
              <w:t>2022-23</w:t>
            </w:r>
          </w:p>
        </w:tc>
        <w:tc>
          <w:tcPr>
            <w:tcW w:w="1120" w:type="dxa"/>
            <w:tcBorders>
              <w:top w:val="nil"/>
              <w:left w:val="nil"/>
              <w:bottom w:val="single" w:sz="4" w:space="0" w:color="ADD6EA"/>
              <w:right w:val="nil"/>
            </w:tcBorders>
            <w:shd w:val="clear" w:color="000000" w:fill="006991"/>
            <w:noWrap/>
            <w:vAlign w:val="center"/>
            <w:hideMark/>
          </w:tcPr>
          <w:p w14:paraId="2E8A8C26" w14:textId="77777777" w:rsidR="003C35AE" w:rsidRPr="003C35AE" w:rsidRDefault="003C35AE" w:rsidP="003C35A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C35AE">
              <w:rPr>
                <w:rFonts w:ascii="Open Sans Semibold" w:eastAsia="Times New Roman" w:hAnsi="Open Sans Semibold" w:cs="Open Sans Semibold"/>
                <w:color w:val="FFFFFF"/>
                <w:sz w:val="16"/>
                <w:szCs w:val="16"/>
                <w:lang w:eastAsia="en-AU"/>
              </w:rPr>
              <w:t>2021-22</w:t>
            </w:r>
          </w:p>
        </w:tc>
        <w:tc>
          <w:tcPr>
            <w:tcW w:w="1120" w:type="dxa"/>
            <w:tcBorders>
              <w:top w:val="nil"/>
              <w:left w:val="nil"/>
              <w:bottom w:val="single" w:sz="4" w:space="0" w:color="ADD6EA"/>
              <w:right w:val="nil"/>
            </w:tcBorders>
            <w:shd w:val="clear" w:color="000000" w:fill="006991"/>
            <w:noWrap/>
            <w:vAlign w:val="center"/>
            <w:hideMark/>
          </w:tcPr>
          <w:p w14:paraId="142F65A0" w14:textId="77777777" w:rsidR="003C35AE" w:rsidRPr="003C35AE" w:rsidRDefault="003C35AE" w:rsidP="003C35A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C35AE">
              <w:rPr>
                <w:rFonts w:ascii="Open Sans Semibold" w:eastAsia="Times New Roman" w:hAnsi="Open Sans Semibold" w:cs="Open Sans Semibold"/>
                <w:color w:val="FFFFFF"/>
                <w:sz w:val="16"/>
                <w:szCs w:val="16"/>
                <w:lang w:eastAsia="en-AU"/>
              </w:rPr>
              <w:t>2022-23</w:t>
            </w:r>
          </w:p>
        </w:tc>
      </w:tr>
      <w:tr w:rsidR="003C35AE" w:rsidRPr="003C35AE" w14:paraId="499FD7B7" w14:textId="77777777" w:rsidTr="0028318E">
        <w:trPr>
          <w:trHeight w:val="259"/>
        </w:trPr>
        <w:tc>
          <w:tcPr>
            <w:tcW w:w="2880" w:type="dxa"/>
            <w:tcBorders>
              <w:top w:val="nil"/>
              <w:left w:val="nil"/>
              <w:bottom w:val="single" w:sz="4" w:space="0" w:color="ADD6EA"/>
              <w:right w:val="nil"/>
            </w:tcBorders>
            <w:shd w:val="clear" w:color="000000" w:fill="B6D5E4"/>
            <w:noWrap/>
            <w:vAlign w:val="center"/>
            <w:hideMark/>
          </w:tcPr>
          <w:p w14:paraId="1A3F9361" w14:textId="77777777" w:rsidR="003C35AE" w:rsidRPr="003C35AE" w:rsidRDefault="003C35AE" w:rsidP="003C35AE">
            <w:pPr>
              <w:tabs>
                <w:tab w:val="clear" w:pos="567"/>
              </w:tabs>
              <w:spacing w:before="0" w:line="240" w:lineRule="auto"/>
              <w:jc w:val="center"/>
              <w:rPr>
                <w:rFonts w:ascii="Open Sans Semibold" w:eastAsia="Times New Roman" w:hAnsi="Open Sans Semibold" w:cs="Open Sans Semibold"/>
                <w:color w:val="000000"/>
                <w:sz w:val="16"/>
                <w:szCs w:val="16"/>
                <w:lang w:eastAsia="en-AU"/>
              </w:rPr>
            </w:pPr>
            <w:r w:rsidRPr="003C35AE">
              <w:rPr>
                <w:rFonts w:ascii="Open Sans Semibold" w:eastAsia="Times New Roman" w:hAnsi="Open Sans Semibold" w:cs="Open Sans Semibold"/>
                <w:color w:val="000000"/>
                <w:sz w:val="16"/>
                <w:szCs w:val="16"/>
                <w:lang w:eastAsia="en-AU"/>
              </w:rPr>
              <w:t> </w:t>
            </w:r>
          </w:p>
        </w:tc>
        <w:tc>
          <w:tcPr>
            <w:tcW w:w="1120" w:type="dxa"/>
            <w:tcBorders>
              <w:top w:val="nil"/>
              <w:left w:val="nil"/>
              <w:bottom w:val="single" w:sz="4" w:space="0" w:color="ADD6EA"/>
              <w:right w:val="nil"/>
            </w:tcBorders>
            <w:shd w:val="clear" w:color="000000" w:fill="B6D5E4"/>
            <w:noWrap/>
            <w:vAlign w:val="center"/>
            <w:hideMark/>
          </w:tcPr>
          <w:p w14:paraId="1405B480" w14:textId="77777777" w:rsidR="003C35AE" w:rsidRPr="003C35AE" w:rsidRDefault="003C35AE" w:rsidP="003C35AE">
            <w:pPr>
              <w:tabs>
                <w:tab w:val="clear" w:pos="567"/>
              </w:tabs>
              <w:spacing w:before="0" w:line="240" w:lineRule="auto"/>
              <w:jc w:val="center"/>
              <w:rPr>
                <w:rFonts w:ascii="Open Sans Semibold" w:eastAsia="Times New Roman" w:hAnsi="Open Sans Semibold" w:cs="Open Sans Semibold"/>
                <w:color w:val="000000"/>
                <w:sz w:val="16"/>
                <w:szCs w:val="16"/>
                <w:lang w:eastAsia="en-AU"/>
              </w:rPr>
            </w:pPr>
            <w:r w:rsidRPr="003C35AE">
              <w:rPr>
                <w:rFonts w:ascii="Open Sans Semibold" w:eastAsia="Times New Roman" w:hAnsi="Open Sans Semibold" w:cs="Open Sans Semibold"/>
                <w:color w:val="000000"/>
                <w:sz w:val="16"/>
                <w:szCs w:val="16"/>
                <w:lang w:eastAsia="en-AU"/>
              </w:rPr>
              <w:t> </w:t>
            </w:r>
          </w:p>
        </w:tc>
        <w:tc>
          <w:tcPr>
            <w:tcW w:w="1120" w:type="dxa"/>
            <w:tcBorders>
              <w:top w:val="nil"/>
              <w:left w:val="nil"/>
              <w:bottom w:val="single" w:sz="4" w:space="0" w:color="ADD6EA"/>
              <w:right w:val="nil"/>
            </w:tcBorders>
            <w:shd w:val="clear" w:color="000000" w:fill="B6D5E4"/>
            <w:noWrap/>
            <w:vAlign w:val="center"/>
            <w:hideMark/>
          </w:tcPr>
          <w:p w14:paraId="39EA582F" w14:textId="77777777" w:rsidR="003C35AE" w:rsidRPr="003C35AE" w:rsidRDefault="003C35AE" w:rsidP="003C35AE">
            <w:pPr>
              <w:tabs>
                <w:tab w:val="clear" w:pos="567"/>
              </w:tabs>
              <w:spacing w:before="0" w:line="240" w:lineRule="auto"/>
              <w:jc w:val="center"/>
              <w:rPr>
                <w:rFonts w:ascii="Open Sans Semibold" w:eastAsia="Times New Roman" w:hAnsi="Open Sans Semibold" w:cs="Open Sans Semibold"/>
                <w:color w:val="000000"/>
                <w:sz w:val="16"/>
                <w:szCs w:val="16"/>
                <w:lang w:eastAsia="en-AU"/>
              </w:rPr>
            </w:pPr>
            <w:r w:rsidRPr="003C35AE">
              <w:rPr>
                <w:rFonts w:ascii="Open Sans Semibold" w:eastAsia="Times New Roman" w:hAnsi="Open Sans Semibold" w:cs="Open Sans Semibold"/>
                <w:color w:val="000000"/>
                <w:sz w:val="16"/>
                <w:szCs w:val="16"/>
                <w:lang w:eastAsia="en-AU"/>
              </w:rPr>
              <w:t> </w:t>
            </w:r>
          </w:p>
        </w:tc>
        <w:tc>
          <w:tcPr>
            <w:tcW w:w="1120" w:type="dxa"/>
            <w:tcBorders>
              <w:top w:val="nil"/>
              <w:left w:val="nil"/>
              <w:bottom w:val="single" w:sz="4" w:space="0" w:color="ADD6EA"/>
              <w:right w:val="nil"/>
            </w:tcBorders>
            <w:shd w:val="clear" w:color="000000" w:fill="B6D5E4"/>
            <w:noWrap/>
            <w:vAlign w:val="center"/>
            <w:hideMark/>
          </w:tcPr>
          <w:p w14:paraId="6E45DA10" w14:textId="77777777" w:rsidR="003C35AE" w:rsidRPr="003C35AE" w:rsidRDefault="003C35AE" w:rsidP="003C35A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C35AE">
              <w:rPr>
                <w:rFonts w:ascii="Open Sans Semibold" w:eastAsia="Times New Roman" w:hAnsi="Open Sans Semibold" w:cs="Open Sans Semibold"/>
                <w:color w:val="000000"/>
                <w:sz w:val="16"/>
                <w:szCs w:val="16"/>
                <w:lang w:eastAsia="en-AU"/>
              </w:rPr>
              <w:t>%</w:t>
            </w:r>
          </w:p>
        </w:tc>
        <w:tc>
          <w:tcPr>
            <w:tcW w:w="1120" w:type="dxa"/>
            <w:tcBorders>
              <w:top w:val="nil"/>
              <w:left w:val="nil"/>
              <w:bottom w:val="single" w:sz="4" w:space="0" w:color="ADD6EA"/>
              <w:right w:val="nil"/>
            </w:tcBorders>
            <w:shd w:val="clear" w:color="000000" w:fill="B6D5E4"/>
            <w:noWrap/>
            <w:vAlign w:val="center"/>
            <w:hideMark/>
          </w:tcPr>
          <w:p w14:paraId="08CB9399" w14:textId="77777777" w:rsidR="003C35AE" w:rsidRPr="003C35AE" w:rsidRDefault="003C35AE" w:rsidP="003C35A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C35AE">
              <w:rPr>
                <w:rFonts w:ascii="Open Sans Semibold" w:eastAsia="Times New Roman" w:hAnsi="Open Sans Semibold" w:cs="Open Sans Semibold"/>
                <w:color w:val="000000"/>
                <w:sz w:val="16"/>
                <w:szCs w:val="16"/>
                <w:lang w:eastAsia="en-AU"/>
              </w:rPr>
              <w:t>%</w:t>
            </w:r>
          </w:p>
        </w:tc>
        <w:tc>
          <w:tcPr>
            <w:tcW w:w="1120" w:type="dxa"/>
            <w:tcBorders>
              <w:top w:val="nil"/>
              <w:left w:val="nil"/>
              <w:bottom w:val="single" w:sz="4" w:space="0" w:color="ADD6EA"/>
              <w:right w:val="nil"/>
            </w:tcBorders>
            <w:shd w:val="clear" w:color="000000" w:fill="B6D5E4"/>
            <w:noWrap/>
            <w:vAlign w:val="center"/>
            <w:hideMark/>
          </w:tcPr>
          <w:p w14:paraId="04EA0AC2" w14:textId="77777777" w:rsidR="003C35AE" w:rsidRPr="003C35AE" w:rsidRDefault="003C35AE" w:rsidP="003C35A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C35AE">
              <w:rPr>
                <w:rFonts w:ascii="Open Sans Semibold" w:eastAsia="Times New Roman" w:hAnsi="Open Sans Semibold" w:cs="Open Sans Semibold"/>
                <w:color w:val="000000"/>
                <w:sz w:val="16"/>
                <w:szCs w:val="16"/>
                <w:lang w:eastAsia="en-AU"/>
              </w:rPr>
              <w:t>$m</w:t>
            </w:r>
          </w:p>
        </w:tc>
        <w:tc>
          <w:tcPr>
            <w:tcW w:w="1120" w:type="dxa"/>
            <w:tcBorders>
              <w:top w:val="nil"/>
              <w:left w:val="nil"/>
              <w:bottom w:val="single" w:sz="4" w:space="0" w:color="ADD6EA"/>
              <w:right w:val="nil"/>
            </w:tcBorders>
            <w:shd w:val="clear" w:color="000000" w:fill="B6D5E4"/>
            <w:noWrap/>
            <w:vAlign w:val="center"/>
            <w:hideMark/>
          </w:tcPr>
          <w:p w14:paraId="21AB7478" w14:textId="77777777" w:rsidR="003C35AE" w:rsidRPr="003C35AE" w:rsidRDefault="003C35AE" w:rsidP="003C35A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C35AE">
              <w:rPr>
                <w:rFonts w:ascii="Open Sans Semibold" w:eastAsia="Times New Roman" w:hAnsi="Open Sans Semibold" w:cs="Open Sans Semibold"/>
                <w:color w:val="000000"/>
                <w:sz w:val="16"/>
                <w:szCs w:val="16"/>
                <w:lang w:eastAsia="en-AU"/>
              </w:rPr>
              <w:t>$m</w:t>
            </w:r>
          </w:p>
        </w:tc>
      </w:tr>
      <w:tr w:rsidR="003C35AE" w:rsidRPr="003C35AE" w14:paraId="0B6A3A16" w14:textId="77777777" w:rsidTr="0028318E">
        <w:trPr>
          <w:trHeight w:val="315"/>
        </w:trPr>
        <w:tc>
          <w:tcPr>
            <w:tcW w:w="2880" w:type="dxa"/>
            <w:tcBorders>
              <w:top w:val="nil"/>
              <w:left w:val="nil"/>
              <w:bottom w:val="single" w:sz="4" w:space="0" w:color="ADD6EA"/>
              <w:right w:val="nil"/>
            </w:tcBorders>
            <w:shd w:val="clear" w:color="auto" w:fill="auto"/>
            <w:vAlign w:val="bottom"/>
            <w:hideMark/>
          </w:tcPr>
          <w:p w14:paraId="14236332" w14:textId="77777777" w:rsidR="003C35AE" w:rsidRPr="003C35AE" w:rsidRDefault="003C35AE" w:rsidP="003C35AE">
            <w:pPr>
              <w:tabs>
                <w:tab w:val="clear" w:pos="567"/>
              </w:tabs>
              <w:spacing w:before="0" w:line="240" w:lineRule="auto"/>
              <w:rPr>
                <w:rFonts w:eastAsia="Times New Roman" w:cs="Open Sans Light"/>
                <w:sz w:val="16"/>
                <w:szCs w:val="16"/>
                <w:lang w:eastAsia="en-AU"/>
              </w:rPr>
            </w:pPr>
            <w:r w:rsidRPr="003C35AE">
              <w:rPr>
                <w:rFonts w:eastAsia="Times New Roman" w:cs="Open Sans Light"/>
                <w:sz w:val="16"/>
                <w:szCs w:val="16"/>
                <w:lang w:eastAsia="en-AU"/>
              </w:rPr>
              <w:t>New South Wales</w:t>
            </w:r>
          </w:p>
        </w:tc>
        <w:tc>
          <w:tcPr>
            <w:tcW w:w="1120" w:type="dxa"/>
            <w:tcBorders>
              <w:top w:val="nil"/>
              <w:left w:val="nil"/>
              <w:bottom w:val="single" w:sz="4" w:space="0" w:color="ADD6EA"/>
              <w:right w:val="nil"/>
            </w:tcBorders>
            <w:shd w:val="clear" w:color="auto" w:fill="auto"/>
            <w:vAlign w:val="bottom"/>
            <w:hideMark/>
          </w:tcPr>
          <w:p w14:paraId="2CA1353B" w14:textId="77777777" w:rsidR="003C35AE" w:rsidRPr="003C35AE" w:rsidRDefault="003C35AE" w:rsidP="003C35AE">
            <w:pPr>
              <w:tabs>
                <w:tab w:val="clear" w:pos="567"/>
              </w:tabs>
              <w:spacing w:before="0" w:line="240" w:lineRule="auto"/>
              <w:jc w:val="right"/>
              <w:rPr>
                <w:rFonts w:eastAsia="Times New Roman" w:cs="Open Sans Light"/>
                <w:sz w:val="16"/>
                <w:szCs w:val="16"/>
                <w:lang w:eastAsia="en-AU"/>
              </w:rPr>
            </w:pPr>
            <w:r w:rsidRPr="003C35AE">
              <w:rPr>
                <w:rFonts w:eastAsia="Times New Roman" w:cs="Open Sans Light"/>
                <w:sz w:val="16"/>
                <w:szCs w:val="16"/>
                <w:lang w:eastAsia="en-AU"/>
              </w:rPr>
              <w:t>0.95617</w:t>
            </w:r>
          </w:p>
        </w:tc>
        <w:tc>
          <w:tcPr>
            <w:tcW w:w="1120" w:type="dxa"/>
            <w:tcBorders>
              <w:top w:val="nil"/>
              <w:left w:val="nil"/>
              <w:bottom w:val="single" w:sz="4" w:space="0" w:color="ADD6EA"/>
              <w:right w:val="nil"/>
            </w:tcBorders>
            <w:shd w:val="clear" w:color="000000" w:fill="D6E7F0"/>
            <w:vAlign w:val="bottom"/>
            <w:hideMark/>
          </w:tcPr>
          <w:p w14:paraId="3F83D786" w14:textId="77777777" w:rsidR="003C35AE" w:rsidRPr="003C35AE" w:rsidRDefault="003C35AE" w:rsidP="003C35AE">
            <w:pPr>
              <w:tabs>
                <w:tab w:val="clear" w:pos="567"/>
              </w:tabs>
              <w:spacing w:before="0" w:line="240" w:lineRule="auto"/>
              <w:jc w:val="right"/>
              <w:rPr>
                <w:rFonts w:eastAsia="Times New Roman" w:cs="Open Sans Light"/>
                <w:color w:val="000000"/>
                <w:sz w:val="16"/>
                <w:szCs w:val="16"/>
                <w:lang w:eastAsia="en-AU"/>
              </w:rPr>
            </w:pPr>
            <w:r w:rsidRPr="003C35AE">
              <w:rPr>
                <w:rFonts w:eastAsia="Times New Roman" w:cs="Open Sans Light"/>
                <w:color w:val="000000"/>
                <w:sz w:val="16"/>
                <w:szCs w:val="16"/>
                <w:lang w:eastAsia="en-AU"/>
              </w:rPr>
              <w:t>0.95065</w:t>
            </w:r>
          </w:p>
        </w:tc>
        <w:tc>
          <w:tcPr>
            <w:tcW w:w="1120" w:type="dxa"/>
            <w:tcBorders>
              <w:top w:val="nil"/>
              <w:left w:val="nil"/>
              <w:bottom w:val="single" w:sz="4" w:space="0" w:color="ADD6EA"/>
              <w:right w:val="nil"/>
            </w:tcBorders>
            <w:shd w:val="clear" w:color="auto" w:fill="auto"/>
            <w:vAlign w:val="bottom"/>
            <w:hideMark/>
          </w:tcPr>
          <w:p w14:paraId="3FF00745" w14:textId="77777777" w:rsidR="003C35AE" w:rsidRPr="003C35AE" w:rsidRDefault="003C35AE" w:rsidP="003C35AE">
            <w:pPr>
              <w:tabs>
                <w:tab w:val="clear" w:pos="567"/>
              </w:tabs>
              <w:spacing w:before="0" w:line="240" w:lineRule="auto"/>
              <w:jc w:val="right"/>
              <w:rPr>
                <w:rFonts w:eastAsia="Times New Roman" w:cs="Open Sans Light"/>
                <w:sz w:val="16"/>
                <w:szCs w:val="16"/>
                <w:lang w:eastAsia="en-AU"/>
              </w:rPr>
            </w:pPr>
            <w:r w:rsidRPr="003C35AE">
              <w:rPr>
                <w:rFonts w:eastAsia="Times New Roman" w:cs="Open Sans Light"/>
                <w:sz w:val="16"/>
                <w:szCs w:val="16"/>
                <w:lang w:eastAsia="en-AU"/>
              </w:rPr>
              <w:t>30.3</w:t>
            </w:r>
          </w:p>
        </w:tc>
        <w:tc>
          <w:tcPr>
            <w:tcW w:w="1120" w:type="dxa"/>
            <w:tcBorders>
              <w:top w:val="nil"/>
              <w:left w:val="nil"/>
              <w:bottom w:val="single" w:sz="4" w:space="0" w:color="ADD6EA"/>
              <w:right w:val="nil"/>
            </w:tcBorders>
            <w:shd w:val="clear" w:color="000000" w:fill="D6E7F0"/>
            <w:vAlign w:val="bottom"/>
            <w:hideMark/>
          </w:tcPr>
          <w:p w14:paraId="7653C8DD" w14:textId="77777777" w:rsidR="003C35AE" w:rsidRPr="003C35AE" w:rsidRDefault="003C35AE" w:rsidP="003C35AE">
            <w:pPr>
              <w:tabs>
                <w:tab w:val="clear" w:pos="567"/>
              </w:tabs>
              <w:spacing w:before="0" w:line="240" w:lineRule="auto"/>
              <w:jc w:val="right"/>
              <w:rPr>
                <w:rFonts w:eastAsia="Times New Roman" w:cs="Open Sans Light"/>
                <w:color w:val="000000"/>
                <w:sz w:val="16"/>
                <w:szCs w:val="16"/>
                <w:lang w:eastAsia="en-AU"/>
              </w:rPr>
            </w:pPr>
            <w:r w:rsidRPr="003C35AE">
              <w:rPr>
                <w:rFonts w:eastAsia="Times New Roman" w:cs="Open Sans Light"/>
                <w:color w:val="000000"/>
                <w:sz w:val="16"/>
                <w:szCs w:val="16"/>
                <w:lang w:eastAsia="en-AU"/>
              </w:rPr>
              <w:t>30.0</w:t>
            </w:r>
          </w:p>
        </w:tc>
        <w:tc>
          <w:tcPr>
            <w:tcW w:w="1120" w:type="dxa"/>
            <w:tcBorders>
              <w:top w:val="nil"/>
              <w:left w:val="nil"/>
              <w:bottom w:val="single" w:sz="4" w:space="0" w:color="ADD6EA"/>
              <w:right w:val="nil"/>
            </w:tcBorders>
            <w:shd w:val="clear" w:color="auto" w:fill="auto"/>
            <w:vAlign w:val="bottom"/>
            <w:hideMark/>
          </w:tcPr>
          <w:p w14:paraId="074DCE95" w14:textId="77777777" w:rsidR="003C35AE" w:rsidRPr="003C35AE" w:rsidRDefault="003C35AE" w:rsidP="003C35AE">
            <w:pPr>
              <w:tabs>
                <w:tab w:val="clear" w:pos="567"/>
              </w:tabs>
              <w:spacing w:before="0" w:line="240" w:lineRule="auto"/>
              <w:jc w:val="right"/>
              <w:rPr>
                <w:rFonts w:eastAsia="Times New Roman" w:cs="Open Sans Light"/>
                <w:sz w:val="16"/>
                <w:szCs w:val="16"/>
                <w:lang w:eastAsia="en-AU"/>
              </w:rPr>
            </w:pPr>
            <w:r w:rsidRPr="003C35AE">
              <w:rPr>
                <w:rFonts w:eastAsia="Times New Roman" w:cs="Open Sans Light"/>
                <w:sz w:val="16"/>
                <w:szCs w:val="16"/>
                <w:lang w:eastAsia="en-AU"/>
              </w:rPr>
              <w:t>22,107</w:t>
            </w:r>
          </w:p>
        </w:tc>
        <w:tc>
          <w:tcPr>
            <w:tcW w:w="1120" w:type="dxa"/>
            <w:tcBorders>
              <w:top w:val="nil"/>
              <w:left w:val="nil"/>
              <w:bottom w:val="single" w:sz="4" w:space="0" w:color="ADD6EA"/>
              <w:right w:val="nil"/>
            </w:tcBorders>
            <w:shd w:val="clear" w:color="000000" w:fill="D6E7F0"/>
            <w:vAlign w:val="bottom"/>
            <w:hideMark/>
          </w:tcPr>
          <w:p w14:paraId="4EFAED30" w14:textId="77777777" w:rsidR="003C35AE" w:rsidRPr="003C35AE" w:rsidRDefault="003C35AE" w:rsidP="003C35AE">
            <w:pPr>
              <w:tabs>
                <w:tab w:val="clear" w:pos="567"/>
              </w:tabs>
              <w:spacing w:before="0" w:line="240" w:lineRule="auto"/>
              <w:jc w:val="right"/>
              <w:rPr>
                <w:rFonts w:eastAsia="Times New Roman" w:cs="Open Sans Light"/>
                <w:color w:val="000000"/>
                <w:sz w:val="16"/>
                <w:szCs w:val="16"/>
                <w:lang w:eastAsia="en-AU"/>
              </w:rPr>
            </w:pPr>
            <w:r w:rsidRPr="003C35AE">
              <w:rPr>
                <w:rFonts w:eastAsia="Times New Roman" w:cs="Open Sans Light"/>
                <w:color w:val="000000"/>
                <w:sz w:val="16"/>
                <w:szCs w:val="16"/>
                <w:lang w:eastAsia="en-AU"/>
              </w:rPr>
              <w:t>23,218</w:t>
            </w:r>
          </w:p>
        </w:tc>
      </w:tr>
      <w:tr w:rsidR="003C35AE" w:rsidRPr="003C35AE" w14:paraId="1B9CDBD2" w14:textId="77777777" w:rsidTr="0028318E">
        <w:trPr>
          <w:trHeight w:val="315"/>
        </w:trPr>
        <w:tc>
          <w:tcPr>
            <w:tcW w:w="2880" w:type="dxa"/>
            <w:tcBorders>
              <w:top w:val="nil"/>
              <w:left w:val="nil"/>
              <w:bottom w:val="single" w:sz="4" w:space="0" w:color="ADD6EA"/>
              <w:right w:val="nil"/>
            </w:tcBorders>
            <w:shd w:val="clear" w:color="auto" w:fill="auto"/>
            <w:vAlign w:val="bottom"/>
            <w:hideMark/>
          </w:tcPr>
          <w:p w14:paraId="054303D6" w14:textId="77777777" w:rsidR="003C35AE" w:rsidRPr="003C35AE" w:rsidRDefault="003C35AE" w:rsidP="003C35AE">
            <w:pPr>
              <w:tabs>
                <w:tab w:val="clear" w:pos="567"/>
              </w:tabs>
              <w:spacing w:before="0" w:line="240" w:lineRule="auto"/>
              <w:rPr>
                <w:rFonts w:eastAsia="Times New Roman" w:cs="Open Sans Light"/>
                <w:sz w:val="16"/>
                <w:szCs w:val="16"/>
                <w:lang w:eastAsia="en-AU"/>
              </w:rPr>
            </w:pPr>
            <w:r w:rsidRPr="003C35AE">
              <w:rPr>
                <w:rFonts w:eastAsia="Times New Roman" w:cs="Open Sans Light"/>
                <w:sz w:val="16"/>
                <w:szCs w:val="16"/>
                <w:lang w:eastAsia="en-AU"/>
              </w:rPr>
              <w:t>Victoria</w:t>
            </w:r>
          </w:p>
        </w:tc>
        <w:tc>
          <w:tcPr>
            <w:tcW w:w="1120" w:type="dxa"/>
            <w:tcBorders>
              <w:top w:val="nil"/>
              <w:left w:val="nil"/>
              <w:bottom w:val="single" w:sz="4" w:space="0" w:color="ADD6EA"/>
              <w:right w:val="nil"/>
            </w:tcBorders>
            <w:shd w:val="clear" w:color="auto" w:fill="auto"/>
            <w:vAlign w:val="bottom"/>
            <w:hideMark/>
          </w:tcPr>
          <w:p w14:paraId="76F6D1CD" w14:textId="77777777" w:rsidR="003C35AE" w:rsidRPr="003C35AE" w:rsidRDefault="003C35AE" w:rsidP="003C35AE">
            <w:pPr>
              <w:tabs>
                <w:tab w:val="clear" w:pos="567"/>
              </w:tabs>
              <w:spacing w:before="0" w:line="240" w:lineRule="auto"/>
              <w:jc w:val="right"/>
              <w:rPr>
                <w:rFonts w:eastAsia="Times New Roman" w:cs="Open Sans Light"/>
                <w:sz w:val="16"/>
                <w:szCs w:val="16"/>
                <w:lang w:eastAsia="en-AU"/>
              </w:rPr>
            </w:pPr>
            <w:r w:rsidRPr="003C35AE">
              <w:rPr>
                <w:rFonts w:eastAsia="Times New Roman" w:cs="Open Sans Light"/>
                <w:sz w:val="16"/>
                <w:szCs w:val="16"/>
                <w:lang w:eastAsia="en-AU"/>
              </w:rPr>
              <w:t>0.92335</w:t>
            </w:r>
          </w:p>
        </w:tc>
        <w:tc>
          <w:tcPr>
            <w:tcW w:w="1120" w:type="dxa"/>
            <w:tcBorders>
              <w:top w:val="nil"/>
              <w:left w:val="nil"/>
              <w:bottom w:val="single" w:sz="4" w:space="0" w:color="ADD6EA"/>
              <w:right w:val="nil"/>
            </w:tcBorders>
            <w:shd w:val="clear" w:color="000000" w:fill="D6E7F0"/>
            <w:vAlign w:val="bottom"/>
            <w:hideMark/>
          </w:tcPr>
          <w:p w14:paraId="75DB93FD" w14:textId="77777777" w:rsidR="003C35AE" w:rsidRPr="003C35AE" w:rsidRDefault="003C35AE" w:rsidP="003C35AE">
            <w:pPr>
              <w:tabs>
                <w:tab w:val="clear" w:pos="567"/>
              </w:tabs>
              <w:spacing w:before="0" w:line="240" w:lineRule="auto"/>
              <w:jc w:val="right"/>
              <w:rPr>
                <w:rFonts w:eastAsia="Times New Roman" w:cs="Open Sans Light"/>
                <w:color w:val="000000"/>
                <w:sz w:val="16"/>
                <w:szCs w:val="16"/>
                <w:lang w:eastAsia="en-AU"/>
              </w:rPr>
            </w:pPr>
            <w:r w:rsidRPr="003C35AE">
              <w:rPr>
                <w:rFonts w:eastAsia="Times New Roman" w:cs="Open Sans Light"/>
                <w:color w:val="000000"/>
                <w:sz w:val="16"/>
                <w:szCs w:val="16"/>
                <w:lang w:eastAsia="en-AU"/>
              </w:rPr>
              <w:t>0.85861</w:t>
            </w:r>
          </w:p>
        </w:tc>
        <w:tc>
          <w:tcPr>
            <w:tcW w:w="1120" w:type="dxa"/>
            <w:tcBorders>
              <w:top w:val="nil"/>
              <w:left w:val="nil"/>
              <w:bottom w:val="single" w:sz="4" w:space="0" w:color="ADD6EA"/>
              <w:right w:val="nil"/>
            </w:tcBorders>
            <w:shd w:val="clear" w:color="auto" w:fill="auto"/>
            <w:vAlign w:val="bottom"/>
            <w:hideMark/>
          </w:tcPr>
          <w:p w14:paraId="03C94E1F" w14:textId="77777777" w:rsidR="003C35AE" w:rsidRPr="003C35AE" w:rsidRDefault="003C35AE" w:rsidP="003C35AE">
            <w:pPr>
              <w:tabs>
                <w:tab w:val="clear" w:pos="567"/>
              </w:tabs>
              <w:spacing w:before="0" w:line="240" w:lineRule="auto"/>
              <w:jc w:val="right"/>
              <w:rPr>
                <w:rFonts w:eastAsia="Times New Roman" w:cs="Open Sans Light"/>
                <w:sz w:val="16"/>
                <w:szCs w:val="16"/>
                <w:lang w:eastAsia="en-AU"/>
              </w:rPr>
            </w:pPr>
            <w:r w:rsidRPr="003C35AE">
              <w:rPr>
                <w:rFonts w:eastAsia="Times New Roman" w:cs="Open Sans Light"/>
                <w:sz w:val="16"/>
                <w:szCs w:val="16"/>
                <w:lang w:eastAsia="en-AU"/>
              </w:rPr>
              <w:t>23.8</w:t>
            </w:r>
          </w:p>
        </w:tc>
        <w:tc>
          <w:tcPr>
            <w:tcW w:w="1120" w:type="dxa"/>
            <w:tcBorders>
              <w:top w:val="nil"/>
              <w:left w:val="nil"/>
              <w:bottom w:val="single" w:sz="4" w:space="0" w:color="ADD6EA"/>
              <w:right w:val="nil"/>
            </w:tcBorders>
            <w:shd w:val="clear" w:color="000000" w:fill="D6E7F0"/>
            <w:vAlign w:val="bottom"/>
            <w:hideMark/>
          </w:tcPr>
          <w:p w14:paraId="5CC69C74" w14:textId="77777777" w:rsidR="003C35AE" w:rsidRPr="003C35AE" w:rsidRDefault="003C35AE" w:rsidP="003C35AE">
            <w:pPr>
              <w:tabs>
                <w:tab w:val="clear" w:pos="567"/>
              </w:tabs>
              <w:spacing w:before="0" w:line="240" w:lineRule="auto"/>
              <w:jc w:val="right"/>
              <w:rPr>
                <w:rFonts w:eastAsia="Times New Roman" w:cs="Open Sans Light"/>
                <w:color w:val="000000"/>
                <w:sz w:val="16"/>
                <w:szCs w:val="16"/>
                <w:lang w:eastAsia="en-AU"/>
              </w:rPr>
            </w:pPr>
            <w:r w:rsidRPr="003C35AE">
              <w:rPr>
                <w:rFonts w:eastAsia="Times New Roman" w:cs="Open Sans Light"/>
                <w:color w:val="000000"/>
                <w:sz w:val="16"/>
                <w:szCs w:val="16"/>
                <w:lang w:eastAsia="en-AU"/>
              </w:rPr>
              <w:t>22.2</w:t>
            </w:r>
          </w:p>
        </w:tc>
        <w:tc>
          <w:tcPr>
            <w:tcW w:w="1120" w:type="dxa"/>
            <w:tcBorders>
              <w:top w:val="nil"/>
              <w:left w:val="nil"/>
              <w:bottom w:val="single" w:sz="4" w:space="0" w:color="ADD6EA"/>
              <w:right w:val="nil"/>
            </w:tcBorders>
            <w:shd w:val="clear" w:color="auto" w:fill="auto"/>
            <w:vAlign w:val="bottom"/>
            <w:hideMark/>
          </w:tcPr>
          <w:p w14:paraId="4A6CF9E3" w14:textId="77777777" w:rsidR="003C35AE" w:rsidRPr="003C35AE" w:rsidRDefault="003C35AE" w:rsidP="003C35AE">
            <w:pPr>
              <w:tabs>
                <w:tab w:val="clear" w:pos="567"/>
              </w:tabs>
              <w:spacing w:before="0" w:line="240" w:lineRule="auto"/>
              <w:jc w:val="right"/>
              <w:rPr>
                <w:rFonts w:eastAsia="Times New Roman" w:cs="Open Sans Light"/>
                <w:sz w:val="16"/>
                <w:szCs w:val="16"/>
                <w:lang w:eastAsia="en-AU"/>
              </w:rPr>
            </w:pPr>
            <w:r w:rsidRPr="003C35AE">
              <w:rPr>
                <w:rFonts w:eastAsia="Times New Roman" w:cs="Open Sans Light"/>
                <w:sz w:val="16"/>
                <w:szCs w:val="16"/>
                <w:lang w:eastAsia="en-AU"/>
              </w:rPr>
              <w:t>17,411</w:t>
            </w:r>
          </w:p>
        </w:tc>
        <w:tc>
          <w:tcPr>
            <w:tcW w:w="1120" w:type="dxa"/>
            <w:tcBorders>
              <w:top w:val="nil"/>
              <w:left w:val="nil"/>
              <w:bottom w:val="single" w:sz="4" w:space="0" w:color="ADD6EA"/>
              <w:right w:val="nil"/>
            </w:tcBorders>
            <w:shd w:val="clear" w:color="000000" w:fill="D6E7F0"/>
            <w:vAlign w:val="bottom"/>
            <w:hideMark/>
          </w:tcPr>
          <w:p w14:paraId="51BB5AF2" w14:textId="77777777" w:rsidR="003C35AE" w:rsidRPr="003C35AE" w:rsidRDefault="003C35AE" w:rsidP="003C35AE">
            <w:pPr>
              <w:tabs>
                <w:tab w:val="clear" w:pos="567"/>
              </w:tabs>
              <w:spacing w:before="0" w:line="240" w:lineRule="auto"/>
              <w:jc w:val="right"/>
              <w:rPr>
                <w:rFonts w:eastAsia="Times New Roman" w:cs="Open Sans Light"/>
                <w:color w:val="000000"/>
                <w:sz w:val="16"/>
                <w:szCs w:val="16"/>
                <w:lang w:eastAsia="en-AU"/>
              </w:rPr>
            </w:pPr>
            <w:r w:rsidRPr="003C35AE">
              <w:rPr>
                <w:rFonts w:eastAsia="Times New Roman" w:cs="Open Sans Light"/>
                <w:color w:val="000000"/>
                <w:sz w:val="16"/>
                <w:szCs w:val="16"/>
                <w:lang w:eastAsia="en-AU"/>
              </w:rPr>
              <w:t>17,167</w:t>
            </w:r>
          </w:p>
        </w:tc>
      </w:tr>
      <w:tr w:rsidR="003C35AE" w:rsidRPr="003C35AE" w14:paraId="17465025" w14:textId="77777777" w:rsidTr="0028318E">
        <w:trPr>
          <w:trHeight w:val="315"/>
        </w:trPr>
        <w:tc>
          <w:tcPr>
            <w:tcW w:w="2880" w:type="dxa"/>
            <w:tcBorders>
              <w:top w:val="nil"/>
              <w:left w:val="nil"/>
              <w:bottom w:val="single" w:sz="4" w:space="0" w:color="ADD6EA"/>
              <w:right w:val="nil"/>
            </w:tcBorders>
            <w:shd w:val="clear" w:color="auto" w:fill="auto"/>
            <w:vAlign w:val="bottom"/>
            <w:hideMark/>
          </w:tcPr>
          <w:p w14:paraId="6BA9BBF6" w14:textId="77777777" w:rsidR="003C35AE" w:rsidRPr="003C35AE" w:rsidRDefault="003C35AE" w:rsidP="003C35AE">
            <w:pPr>
              <w:tabs>
                <w:tab w:val="clear" w:pos="567"/>
              </w:tabs>
              <w:spacing w:before="0" w:line="240" w:lineRule="auto"/>
              <w:rPr>
                <w:rFonts w:eastAsia="Times New Roman" w:cs="Open Sans Light"/>
                <w:sz w:val="16"/>
                <w:szCs w:val="16"/>
                <w:lang w:eastAsia="en-AU"/>
              </w:rPr>
            </w:pPr>
            <w:r w:rsidRPr="003C35AE">
              <w:rPr>
                <w:rFonts w:eastAsia="Times New Roman" w:cs="Open Sans Light"/>
                <w:sz w:val="16"/>
                <w:szCs w:val="16"/>
                <w:lang w:eastAsia="en-AU"/>
              </w:rPr>
              <w:t>Queensland</w:t>
            </w:r>
          </w:p>
        </w:tc>
        <w:tc>
          <w:tcPr>
            <w:tcW w:w="1120" w:type="dxa"/>
            <w:tcBorders>
              <w:top w:val="nil"/>
              <w:left w:val="nil"/>
              <w:bottom w:val="single" w:sz="4" w:space="0" w:color="ADD6EA"/>
              <w:right w:val="nil"/>
            </w:tcBorders>
            <w:shd w:val="clear" w:color="auto" w:fill="auto"/>
            <w:vAlign w:val="bottom"/>
            <w:hideMark/>
          </w:tcPr>
          <w:p w14:paraId="699CC0CE" w14:textId="77777777" w:rsidR="003C35AE" w:rsidRPr="003C35AE" w:rsidRDefault="003C35AE" w:rsidP="003C35AE">
            <w:pPr>
              <w:tabs>
                <w:tab w:val="clear" w:pos="567"/>
              </w:tabs>
              <w:spacing w:before="0" w:line="240" w:lineRule="auto"/>
              <w:jc w:val="right"/>
              <w:rPr>
                <w:rFonts w:eastAsia="Times New Roman" w:cs="Open Sans Light"/>
                <w:sz w:val="16"/>
                <w:szCs w:val="16"/>
                <w:lang w:eastAsia="en-AU"/>
              </w:rPr>
            </w:pPr>
            <w:r w:rsidRPr="003C35AE">
              <w:rPr>
                <w:rFonts w:eastAsia="Times New Roman" w:cs="Open Sans Light"/>
                <w:sz w:val="16"/>
                <w:szCs w:val="16"/>
                <w:lang w:eastAsia="en-AU"/>
              </w:rPr>
              <w:t>1.05918</w:t>
            </w:r>
          </w:p>
        </w:tc>
        <w:tc>
          <w:tcPr>
            <w:tcW w:w="1120" w:type="dxa"/>
            <w:tcBorders>
              <w:top w:val="nil"/>
              <w:left w:val="nil"/>
              <w:bottom w:val="single" w:sz="4" w:space="0" w:color="ADD6EA"/>
              <w:right w:val="nil"/>
            </w:tcBorders>
            <w:shd w:val="clear" w:color="000000" w:fill="D6E7F0"/>
            <w:vAlign w:val="bottom"/>
            <w:hideMark/>
          </w:tcPr>
          <w:p w14:paraId="3D9D832A" w14:textId="77777777" w:rsidR="003C35AE" w:rsidRPr="003C35AE" w:rsidRDefault="003C35AE" w:rsidP="003C35AE">
            <w:pPr>
              <w:tabs>
                <w:tab w:val="clear" w:pos="567"/>
              </w:tabs>
              <w:spacing w:before="0" w:line="240" w:lineRule="auto"/>
              <w:jc w:val="right"/>
              <w:rPr>
                <w:rFonts w:eastAsia="Times New Roman" w:cs="Open Sans Light"/>
                <w:color w:val="000000"/>
                <w:sz w:val="16"/>
                <w:szCs w:val="16"/>
                <w:lang w:eastAsia="en-AU"/>
              </w:rPr>
            </w:pPr>
            <w:r w:rsidRPr="003C35AE">
              <w:rPr>
                <w:rFonts w:eastAsia="Times New Roman" w:cs="Open Sans Light"/>
                <w:color w:val="000000"/>
                <w:sz w:val="16"/>
                <w:szCs w:val="16"/>
                <w:lang w:eastAsia="en-AU"/>
              </w:rPr>
              <w:t>1.03377</w:t>
            </w:r>
          </w:p>
        </w:tc>
        <w:tc>
          <w:tcPr>
            <w:tcW w:w="1120" w:type="dxa"/>
            <w:tcBorders>
              <w:top w:val="nil"/>
              <w:left w:val="nil"/>
              <w:bottom w:val="single" w:sz="4" w:space="0" w:color="ADD6EA"/>
              <w:right w:val="nil"/>
            </w:tcBorders>
            <w:shd w:val="clear" w:color="auto" w:fill="auto"/>
            <w:vAlign w:val="bottom"/>
            <w:hideMark/>
          </w:tcPr>
          <w:p w14:paraId="5EBDC46A" w14:textId="77777777" w:rsidR="003C35AE" w:rsidRPr="003C35AE" w:rsidRDefault="003C35AE" w:rsidP="003C35AE">
            <w:pPr>
              <w:tabs>
                <w:tab w:val="clear" w:pos="567"/>
              </w:tabs>
              <w:spacing w:before="0" w:line="240" w:lineRule="auto"/>
              <w:jc w:val="right"/>
              <w:rPr>
                <w:rFonts w:eastAsia="Times New Roman" w:cs="Open Sans Light"/>
                <w:sz w:val="16"/>
                <w:szCs w:val="16"/>
                <w:lang w:eastAsia="en-AU"/>
              </w:rPr>
            </w:pPr>
            <w:r w:rsidRPr="003C35AE">
              <w:rPr>
                <w:rFonts w:eastAsia="Times New Roman" w:cs="Open Sans Light"/>
                <w:sz w:val="16"/>
                <w:szCs w:val="16"/>
                <w:lang w:eastAsia="en-AU"/>
              </w:rPr>
              <w:t>21.5</w:t>
            </w:r>
          </w:p>
        </w:tc>
        <w:tc>
          <w:tcPr>
            <w:tcW w:w="1120" w:type="dxa"/>
            <w:tcBorders>
              <w:top w:val="nil"/>
              <w:left w:val="nil"/>
              <w:bottom w:val="single" w:sz="4" w:space="0" w:color="ADD6EA"/>
              <w:right w:val="nil"/>
            </w:tcBorders>
            <w:shd w:val="clear" w:color="000000" w:fill="D6E7F0"/>
            <w:vAlign w:val="bottom"/>
            <w:hideMark/>
          </w:tcPr>
          <w:p w14:paraId="3124EE66" w14:textId="77777777" w:rsidR="003C35AE" w:rsidRPr="003C35AE" w:rsidRDefault="003C35AE" w:rsidP="003C35AE">
            <w:pPr>
              <w:tabs>
                <w:tab w:val="clear" w:pos="567"/>
              </w:tabs>
              <w:spacing w:before="0" w:line="240" w:lineRule="auto"/>
              <w:jc w:val="right"/>
              <w:rPr>
                <w:rFonts w:eastAsia="Times New Roman" w:cs="Open Sans Light"/>
                <w:color w:val="000000"/>
                <w:sz w:val="16"/>
                <w:szCs w:val="16"/>
                <w:lang w:eastAsia="en-AU"/>
              </w:rPr>
            </w:pPr>
            <w:r w:rsidRPr="003C35AE">
              <w:rPr>
                <w:rFonts w:eastAsia="Times New Roman" w:cs="Open Sans Light"/>
                <w:color w:val="000000"/>
                <w:sz w:val="16"/>
                <w:szCs w:val="16"/>
                <w:lang w:eastAsia="en-AU"/>
              </w:rPr>
              <w:t>21.2</w:t>
            </w:r>
          </w:p>
        </w:tc>
        <w:tc>
          <w:tcPr>
            <w:tcW w:w="1120" w:type="dxa"/>
            <w:tcBorders>
              <w:top w:val="nil"/>
              <w:left w:val="nil"/>
              <w:bottom w:val="single" w:sz="4" w:space="0" w:color="ADD6EA"/>
              <w:right w:val="nil"/>
            </w:tcBorders>
            <w:shd w:val="clear" w:color="auto" w:fill="auto"/>
            <w:vAlign w:val="bottom"/>
            <w:hideMark/>
          </w:tcPr>
          <w:p w14:paraId="70DA9B5D" w14:textId="77777777" w:rsidR="003C35AE" w:rsidRPr="003C35AE" w:rsidRDefault="003C35AE" w:rsidP="003C35AE">
            <w:pPr>
              <w:tabs>
                <w:tab w:val="clear" w:pos="567"/>
              </w:tabs>
              <w:spacing w:before="0" w:line="240" w:lineRule="auto"/>
              <w:jc w:val="right"/>
              <w:rPr>
                <w:rFonts w:eastAsia="Times New Roman" w:cs="Open Sans Light"/>
                <w:sz w:val="16"/>
                <w:szCs w:val="16"/>
                <w:lang w:eastAsia="en-AU"/>
              </w:rPr>
            </w:pPr>
            <w:r w:rsidRPr="003C35AE">
              <w:rPr>
                <w:rFonts w:eastAsia="Times New Roman" w:cs="Open Sans Light"/>
                <w:sz w:val="16"/>
                <w:szCs w:val="16"/>
                <w:lang w:eastAsia="en-AU"/>
              </w:rPr>
              <w:t>15,739</w:t>
            </w:r>
          </w:p>
        </w:tc>
        <w:tc>
          <w:tcPr>
            <w:tcW w:w="1120" w:type="dxa"/>
            <w:tcBorders>
              <w:top w:val="nil"/>
              <w:left w:val="nil"/>
              <w:bottom w:val="single" w:sz="4" w:space="0" w:color="ADD6EA"/>
              <w:right w:val="nil"/>
            </w:tcBorders>
            <w:shd w:val="clear" w:color="000000" w:fill="D6E7F0"/>
            <w:vAlign w:val="bottom"/>
            <w:hideMark/>
          </w:tcPr>
          <w:p w14:paraId="0D873699" w14:textId="77777777" w:rsidR="003C35AE" w:rsidRPr="003C35AE" w:rsidRDefault="003C35AE" w:rsidP="003C35AE">
            <w:pPr>
              <w:tabs>
                <w:tab w:val="clear" w:pos="567"/>
              </w:tabs>
              <w:spacing w:before="0" w:line="240" w:lineRule="auto"/>
              <w:jc w:val="right"/>
              <w:rPr>
                <w:rFonts w:eastAsia="Times New Roman" w:cs="Open Sans Light"/>
                <w:color w:val="000000"/>
                <w:sz w:val="16"/>
                <w:szCs w:val="16"/>
                <w:lang w:eastAsia="en-AU"/>
              </w:rPr>
            </w:pPr>
            <w:r w:rsidRPr="003C35AE">
              <w:rPr>
                <w:rFonts w:eastAsia="Times New Roman" w:cs="Open Sans Light"/>
                <w:color w:val="000000"/>
                <w:sz w:val="16"/>
                <w:szCs w:val="16"/>
                <w:lang w:eastAsia="en-AU"/>
              </w:rPr>
              <w:t>16,384</w:t>
            </w:r>
          </w:p>
        </w:tc>
      </w:tr>
      <w:tr w:rsidR="003C35AE" w:rsidRPr="003C35AE" w14:paraId="0EC701AC" w14:textId="77777777" w:rsidTr="0028318E">
        <w:trPr>
          <w:trHeight w:val="315"/>
        </w:trPr>
        <w:tc>
          <w:tcPr>
            <w:tcW w:w="2880" w:type="dxa"/>
            <w:tcBorders>
              <w:top w:val="nil"/>
              <w:left w:val="nil"/>
              <w:bottom w:val="single" w:sz="4" w:space="0" w:color="ADD6EA"/>
              <w:right w:val="nil"/>
            </w:tcBorders>
            <w:shd w:val="clear" w:color="auto" w:fill="auto"/>
            <w:vAlign w:val="bottom"/>
            <w:hideMark/>
          </w:tcPr>
          <w:p w14:paraId="7F7D56A2" w14:textId="77777777" w:rsidR="003C35AE" w:rsidRPr="003C35AE" w:rsidRDefault="003C35AE" w:rsidP="003C35AE">
            <w:pPr>
              <w:tabs>
                <w:tab w:val="clear" w:pos="567"/>
              </w:tabs>
              <w:spacing w:before="0" w:line="240" w:lineRule="auto"/>
              <w:rPr>
                <w:rFonts w:eastAsia="Times New Roman" w:cs="Open Sans Light"/>
                <w:sz w:val="16"/>
                <w:szCs w:val="16"/>
                <w:lang w:eastAsia="en-AU"/>
              </w:rPr>
            </w:pPr>
            <w:r w:rsidRPr="003C35AE">
              <w:rPr>
                <w:rFonts w:eastAsia="Times New Roman" w:cs="Open Sans Light"/>
                <w:sz w:val="16"/>
                <w:szCs w:val="16"/>
                <w:lang w:eastAsia="en-AU"/>
              </w:rPr>
              <w:t>Western Australia</w:t>
            </w:r>
          </w:p>
        </w:tc>
        <w:tc>
          <w:tcPr>
            <w:tcW w:w="1120" w:type="dxa"/>
            <w:tcBorders>
              <w:top w:val="nil"/>
              <w:left w:val="nil"/>
              <w:bottom w:val="single" w:sz="4" w:space="0" w:color="ADD6EA"/>
              <w:right w:val="nil"/>
            </w:tcBorders>
            <w:shd w:val="clear" w:color="auto" w:fill="auto"/>
            <w:vAlign w:val="bottom"/>
            <w:hideMark/>
          </w:tcPr>
          <w:p w14:paraId="067171BA" w14:textId="77777777" w:rsidR="003C35AE" w:rsidRPr="003C35AE" w:rsidRDefault="003C35AE" w:rsidP="003C35AE">
            <w:pPr>
              <w:tabs>
                <w:tab w:val="clear" w:pos="567"/>
              </w:tabs>
              <w:spacing w:before="0" w:line="240" w:lineRule="auto"/>
              <w:jc w:val="right"/>
              <w:rPr>
                <w:rFonts w:eastAsia="Times New Roman" w:cs="Open Sans Light"/>
                <w:sz w:val="16"/>
                <w:szCs w:val="16"/>
                <w:lang w:eastAsia="en-AU"/>
              </w:rPr>
            </w:pPr>
            <w:r w:rsidRPr="003C35AE">
              <w:rPr>
                <w:rFonts w:eastAsia="Times New Roman" w:cs="Open Sans Light"/>
                <w:sz w:val="16"/>
                <w:szCs w:val="16"/>
                <w:lang w:eastAsia="en-AU"/>
              </w:rPr>
              <w:t>0.41967</w:t>
            </w:r>
          </w:p>
        </w:tc>
        <w:tc>
          <w:tcPr>
            <w:tcW w:w="1120" w:type="dxa"/>
            <w:tcBorders>
              <w:top w:val="nil"/>
              <w:left w:val="nil"/>
              <w:bottom w:val="single" w:sz="4" w:space="0" w:color="ADD6EA"/>
              <w:right w:val="nil"/>
            </w:tcBorders>
            <w:shd w:val="clear" w:color="000000" w:fill="D6E7F0"/>
            <w:vAlign w:val="bottom"/>
            <w:hideMark/>
          </w:tcPr>
          <w:p w14:paraId="49249D33" w14:textId="77777777" w:rsidR="003C35AE" w:rsidRPr="003C35AE" w:rsidRDefault="003C35AE" w:rsidP="003C35AE">
            <w:pPr>
              <w:tabs>
                <w:tab w:val="clear" w:pos="567"/>
              </w:tabs>
              <w:spacing w:before="0" w:line="240" w:lineRule="auto"/>
              <w:jc w:val="right"/>
              <w:rPr>
                <w:rFonts w:eastAsia="Times New Roman" w:cs="Open Sans Light"/>
                <w:color w:val="000000"/>
                <w:sz w:val="16"/>
                <w:szCs w:val="16"/>
                <w:lang w:eastAsia="en-AU"/>
              </w:rPr>
            </w:pPr>
            <w:r w:rsidRPr="003C35AE">
              <w:rPr>
                <w:rFonts w:eastAsia="Times New Roman" w:cs="Open Sans Light"/>
                <w:color w:val="000000"/>
                <w:sz w:val="16"/>
                <w:szCs w:val="16"/>
                <w:lang w:eastAsia="en-AU"/>
              </w:rPr>
              <w:t>0.70000</w:t>
            </w:r>
          </w:p>
        </w:tc>
        <w:tc>
          <w:tcPr>
            <w:tcW w:w="1120" w:type="dxa"/>
            <w:tcBorders>
              <w:top w:val="nil"/>
              <w:left w:val="nil"/>
              <w:bottom w:val="single" w:sz="4" w:space="0" w:color="ADD6EA"/>
              <w:right w:val="nil"/>
            </w:tcBorders>
            <w:shd w:val="clear" w:color="auto" w:fill="auto"/>
            <w:vAlign w:val="bottom"/>
            <w:hideMark/>
          </w:tcPr>
          <w:p w14:paraId="1CAF82F3" w14:textId="77777777" w:rsidR="003C35AE" w:rsidRPr="003C35AE" w:rsidRDefault="003C35AE" w:rsidP="003C35AE">
            <w:pPr>
              <w:tabs>
                <w:tab w:val="clear" w:pos="567"/>
              </w:tabs>
              <w:spacing w:before="0" w:line="240" w:lineRule="auto"/>
              <w:jc w:val="right"/>
              <w:rPr>
                <w:rFonts w:eastAsia="Times New Roman" w:cs="Open Sans Light"/>
                <w:sz w:val="16"/>
                <w:szCs w:val="16"/>
                <w:lang w:eastAsia="en-AU"/>
              </w:rPr>
            </w:pPr>
            <w:r w:rsidRPr="003C35AE">
              <w:rPr>
                <w:rFonts w:eastAsia="Times New Roman" w:cs="Open Sans Light"/>
                <w:sz w:val="16"/>
                <w:szCs w:val="16"/>
                <w:lang w:eastAsia="en-AU"/>
              </w:rPr>
              <w:t>4.4</w:t>
            </w:r>
          </w:p>
        </w:tc>
        <w:tc>
          <w:tcPr>
            <w:tcW w:w="1120" w:type="dxa"/>
            <w:tcBorders>
              <w:top w:val="nil"/>
              <w:left w:val="nil"/>
              <w:bottom w:val="single" w:sz="4" w:space="0" w:color="ADD6EA"/>
              <w:right w:val="nil"/>
            </w:tcBorders>
            <w:shd w:val="clear" w:color="000000" w:fill="D6E7F0"/>
            <w:vAlign w:val="bottom"/>
            <w:hideMark/>
          </w:tcPr>
          <w:p w14:paraId="143F5A74" w14:textId="77777777" w:rsidR="003C35AE" w:rsidRPr="003C35AE" w:rsidRDefault="003C35AE" w:rsidP="003C35AE">
            <w:pPr>
              <w:tabs>
                <w:tab w:val="clear" w:pos="567"/>
              </w:tabs>
              <w:spacing w:before="0" w:line="240" w:lineRule="auto"/>
              <w:jc w:val="right"/>
              <w:rPr>
                <w:rFonts w:eastAsia="Times New Roman" w:cs="Open Sans Light"/>
                <w:color w:val="000000"/>
                <w:sz w:val="16"/>
                <w:szCs w:val="16"/>
                <w:lang w:eastAsia="en-AU"/>
              </w:rPr>
            </w:pPr>
            <w:r w:rsidRPr="003C35AE">
              <w:rPr>
                <w:rFonts w:eastAsia="Times New Roman" w:cs="Open Sans Light"/>
                <w:color w:val="000000"/>
                <w:sz w:val="16"/>
                <w:szCs w:val="16"/>
                <w:lang w:eastAsia="en-AU"/>
              </w:rPr>
              <w:t>7.3</w:t>
            </w:r>
          </w:p>
        </w:tc>
        <w:tc>
          <w:tcPr>
            <w:tcW w:w="1120" w:type="dxa"/>
            <w:tcBorders>
              <w:top w:val="nil"/>
              <w:left w:val="nil"/>
              <w:bottom w:val="single" w:sz="4" w:space="0" w:color="ADD6EA"/>
              <w:right w:val="nil"/>
            </w:tcBorders>
            <w:shd w:val="clear" w:color="auto" w:fill="auto"/>
            <w:vAlign w:val="bottom"/>
            <w:hideMark/>
          </w:tcPr>
          <w:p w14:paraId="5D7DD421" w14:textId="77777777" w:rsidR="003C35AE" w:rsidRPr="003C35AE" w:rsidRDefault="003C35AE" w:rsidP="003C35AE">
            <w:pPr>
              <w:tabs>
                <w:tab w:val="clear" w:pos="567"/>
              </w:tabs>
              <w:spacing w:before="0" w:line="240" w:lineRule="auto"/>
              <w:jc w:val="right"/>
              <w:rPr>
                <w:rFonts w:eastAsia="Times New Roman" w:cs="Open Sans Light"/>
                <w:sz w:val="16"/>
                <w:szCs w:val="16"/>
                <w:lang w:eastAsia="en-AU"/>
              </w:rPr>
            </w:pPr>
            <w:r w:rsidRPr="003C35AE">
              <w:rPr>
                <w:rFonts w:eastAsia="Times New Roman" w:cs="Open Sans Light"/>
                <w:sz w:val="16"/>
                <w:szCs w:val="16"/>
                <w:lang w:eastAsia="en-AU"/>
              </w:rPr>
              <w:t>3,199</w:t>
            </w:r>
          </w:p>
        </w:tc>
        <w:tc>
          <w:tcPr>
            <w:tcW w:w="1120" w:type="dxa"/>
            <w:tcBorders>
              <w:top w:val="nil"/>
              <w:left w:val="nil"/>
              <w:bottom w:val="single" w:sz="4" w:space="0" w:color="ADD6EA"/>
              <w:right w:val="nil"/>
            </w:tcBorders>
            <w:shd w:val="clear" w:color="000000" w:fill="D6E7F0"/>
            <w:vAlign w:val="bottom"/>
            <w:hideMark/>
          </w:tcPr>
          <w:p w14:paraId="3F3FD479" w14:textId="77777777" w:rsidR="003C35AE" w:rsidRPr="003C35AE" w:rsidRDefault="003C35AE" w:rsidP="003C35AE">
            <w:pPr>
              <w:tabs>
                <w:tab w:val="clear" w:pos="567"/>
              </w:tabs>
              <w:spacing w:before="0" w:line="240" w:lineRule="auto"/>
              <w:jc w:val="right"/>
              <w:rPr>
                <w:rFonts w:eastAsia="Times New Roman" w:cs="Open Sans Light"/>
                <w:color w:val="000000"/>
                <w:sz w:val="16"/>
                <w:szCs w:val="16"/>
                <w:lang w:eastAsia="en-AU"/>
              </w:rPr>
            </w:pPr>
            <w:r w:rsidRPr="003C35AE">
              <w:rPr>
                <w:rFonts w:eastAsia="Times New Roman" w:cs="Open Sans Light"/>
                <w:color w:val="000000"/>
                <w:sz w:val="16"/>
                <w:szCs w:val="16"/>
                <w:lang w:eastAsia="en-AU"/>
              </w:rPr>
              <w:t>5,682</w:t>
            </w:r>
          </w:p>
        </w:tc>
      </w:tr>
      <w:tr w:rsidR="003C35AE" w:rsidRPr="003C35AE" w14:paraId="2AA50C0A" w14:textId="77777777" w:rsidTr="0028318E">
        <w:trPr>
          <w:trHeight w:val="315"/>
        </w:trPr>
        <w:tc>
          <w:tcPr>
            <w:tcW w:w="2880" w:type="dxa"/>
            <w:tcBorders>
              <w:top w:val="nil"/>
              <w:left w:val="nil"/>
              <w:bottom w:val="single" w:sz="4" w:space="0" w:color="ADD6EA"/>
              <w:right w:val="nil"/>
            </w:tcBorders>
            <w:shd w:val="clear" w:color="auto" w:fill="auto"/>
            <w:vAlign w:val="bottom"/>
            <w:hideMark/>
          </w:tcPr>
          <w:p w14:paraId="0397E38D" w14:textId="77777777" w:rsidR="003C35AE" w:rsidRPr="003C35AE" w:rsidRDefault="003C35AE" w:rsidP="003C35AE">
            <w:pPr>
              <w:tabs>
                <w:tab w:val="clear" w:pos="567"/>
              </w:tabs>
              <w:spacing w:before="0" w:line="240" w:lineRule="auto"/>
              <w:rPr>
                <w:rFonts w:eastAsia="Times New Roman" w:cs="Open Sans Light"/>
                <w:sz w:val="16"/>
                <w:szCs w:val="16"/>
                <w:lang w:eastAsia="en-AU"/>
              </w:rPr>
            </w:pPr>
            <w:r w:rsidRPr="003C35AE">
              <w:rPr>
                <w:rFonts w:eastAsia="Times New Roman" w:cs="Open Sans Light"/>
                <w:sz w:val="16"/>
                <w:szCs w:val="16"/>
                <w:lang w:eastAsia="en-AU"/>
              </w:rPr>
              <w:t>South Australia</w:t>
            </w:r>
          </w:p>
        </w:tc>
        <w:tc>
          <w:tcPr>
            <w:tcW w:w="1120" w:type="dxa"/>
            <w:tcBorders>
              <w:top w:val="nil"/>
              <w:left w:val="nil"/>
              <w:bottom w:val="single" w:sz="4" w:space="0" w:color="ADD6EA"/>
              <w:right w:val="nil"/>
            </w:tcBorders>
            <w:shd w:val="clear" w:color="auto" w:fill="auto"/>
            <w:vAlign w:val="bottom"/>
            <w:hideMark/>
          </w:tcPr>
          <w:p w14:paraId="7501574F" w14:textId="77777777" w:rsidR="003C35AE" w:rsidRPr="003C35AE" w:rsidRDefault="003C35AE" w:rsidP="003C35AE">
            <w:pPr>
              <w:tabs>
                <w:tab w:val="clear" w:pos="567"/>
              </w:tabs>
              <w:spacing w:before="0" w:line="240" w:lineRule="auto"/>
              <w:jc w:val="right"/>
              <w:rPr>
                <w:rFonts w:eastAsia="Times New Roman" w:cs="Open Sans Light"/>
                <w:sz w:val="16"/>
                <w:szCs w:val="16"/>
                <w:lang w:eastAsia="en-AU"/>
              </w:rPr>
            </w:pPr>
            <w:r w:rsidRPr="003C35AE">
              <w:rPr>
                <w:rFonts w:eastAsia="Times New Roman" w:cs="Open Sans Light"/>
                <w:sz w:val="16"/>
                <w:szCs w:val="16"/>
                <w:lang w:eastAsia="en-AU"/>
              </w:rPr>
              <w:t>1.34719</w:t>
            </w:r>
          </w:p>
        </w:tc>
        <w:tc>
          <w:tcPr>
            <w:tcW w:w="1120" w:type="dxa"/>
            <w:tcBorders>
              <w:top w:val="nil"/>
              <w:left w:val="nil"/>
              <w:bottom w:val="single" w:sz="4" w:space="0" w:color="ADD6EA"/>
              <w:right w:val="nil"/>
            </w:tcBorders>
            <w:shd w:val="clear" w:color="000000" w:fill="D6E7F0"/>
            <w:vAlign w:val="bottom"/>
            <w:hideMark/>
          </w:tcPr>
          <w:p w14:paraId="4F7F6FA7" w14:textId="77777777" w:rsidR="003C35AE" w:rsidRPr="003C35AE" w:rsidRDefault="003C35AE" w:rsidP="003C35AE">
            <w:pPr>
              <w:tabs>
                <w:tab w:val="clear" w:pos="567"/>
              </w:tabs>
              <w:spacing w:before="0" w:line="240" w:lineRule="auto"/>
              <w:jc w:val="right"/>
              <w:rPr>
                <w:rFonts w:eastAsia="Times New Roman" w:cs="Open Sans Light"/>
                <w:color w:val="000000"/>
                <w:sz w:val="16"/>
                <w:szCs w:val="16"/>
                <w:lang w:eastAsia="en-AU"/>
              </w:rPr>
            </w:pPr>
            <w:r w:rsidRPr="003C35AE">
              <w:rPr>
                <w:rFonts w:eastAsia="Times New Roman" w:cs="Open Sans Light"/>
                <w:color w:val="000000"/>
                <w:sz w:val="16"/>
                <w:szCs w:val="16"/>
                <w:lang w:eastAsia="en-AU"/>
              </w:rPr>
              <w:t>1.28411</w:t>
            </w:r>
          </w:p>
        </w:tc>
        <w:tc>
          <w:tcPr>
            <w:tcW w:w="1120" w:type="dxa"/>
            <w:tcBorders>
              <w:top w:val="nil"/>
              <w:left w:val="nil"/>
              <w:bottom w:val="single" w:sz="4" w:space="0" w:color="ADD6EA"/>
              <w:right w:val="nil"/>
            </w:tcBorders>
            <w:shd w:val="clear" w:color="auto" w:fill="auto"/>
            <w:vAlign w:val="bottom"/>
            <w:hideMark/>
          </w:tcPr>
          <w:p w14:paraId="66EB408B" w14:textId="77777777" w:rsidR="003C35AE" w:rsidRPr="003C35AE" w:rsidRDefault="003C35AE" w:rsidP="003C35AE">
            <w:pPr>
              <w:tabs>
                <w:tab w:val="clear" w:pos="567"/>
              </w:tabs>
              <w:spacing w:before="0" w:line="240" w:lineRule="auto"/>
              <w:jc w:val="right"/>
              <w:rPr>
                <w:rFonts w:eastAsia="Times New Roman" w:cs="Open Sans Light"/>
                <w:sz w:val="16"/>
                <w:szCs w:val="16"/>
                <w:lang w:eastAsia="en-AU"/>
              </w:rPr>
            </w:pPr>
            <w:r w:rsidRPr="003C35AE">
              <w:rPr>
                <w:rFonts w:eastAsia="Times New Roman" w:cs="Open Sans Light"/>
                <w:sz w:val="16"/>
                <w:szCs w:val="16"/>
                <w:lang w:eastAsia="en-AU"/>
              </w:rPr>
              <w:t>9.3</w:t>
            </w:r>
          </w:p>
        </w:tc>
        <w:tc>
          <w:tcPr>
            <w:tcW w:w="1120" w:type="dxa"/>
            <w:tcBorders>
              <w:top w:val="nil"/>
              <w:left w:val="nil"/>
              <w:bottom w:val="single" w:sz="4" w:space="0" w:color="ADD6EA"/>
              <w:right w:val="nil"/>
            </w:tcBorders>
            <w:shd w:val="clear" w:color="000000" w:fill="D6E7F0"/>
            <w:vAlign w:val="bottom"/>
            <w:hideMark/>
          </w:tcPr>
          <w:p w14:paraId="6A17FD65" w14:textId="77777777" w:rsidR="003C35AE" w:rsidRPr="003C35AE" w:rsidRDefault="003C35AE" w:rsidP="003C35AE">
            <w:pPr>
              <w:tabs>
                <w:tab w:val="clear" w:pos="567"/>
              </w:tabs>
              <w:spacing w:before="0" w:line="240" w:lineRule="auto"/>
              <w:jc w:val="right"/>
              <w:rPr>
                <w:rFonts w:eastAsia="Times New Roman" w:cs="Open Sans Light"/>
                <w:color w:val="000000"/>
                <w:sz w:val="16"/>
                <w:szCs w:val="16"/>
                <w:lang w:eastAsia="en-AU"/>
              </w:rPr>
            </w:pPr>
            <w:r w:rsidRPr="003C35AE">
              <w:rPr>
                <w:rFonts w:eastAsia="Times New Roman" w:cs="Open Sans Light"/>
                <w:color w:val="000000"/>
                <w:sz w:val="16"/>
                <w:szCs w:val="16"/>
                <w:lang w:eastAsia="en-AU"/>
              </w:rPr>
              <w:t>8.9</w:t>
            </w:r>
          </w:p>
        </w:tc>
        <w:tc>
          <w:tcPr>
            <w:tcW w:w="1120" w:type="dxa"/>
            <w:tcBorders>
              <w:top w:val="nil"/>
              <w:left w:val="nil"/>
              <w:bottom w:val="single" w:sz="4" w:space="0" w:color="ADD6EA"/>
              <w:right w:val="nil"/>
            </w:tcBorders>
            <w:shd w:val="clear" w:color="auto" w:fill="auto"/>
            <w:vAlign w:val="bottom"/>
            <w:hideMark/>
          </w:tcPr>
          <w:p w14:paraId="3560F0EC" w14:textId="77777777" w:rsidR="003C35AE" w:rsidRPr="003C35AE" w:rsidRDefault="003C35AE" w:rsidP="003C35AE">
            <w:pPr>
              <w:tabs>
                <w:tab w:val="clear" w:pos="567"/>
              </w:tabs>
              <w:spacing w:before="0" w:line="240" w:lineRule="auto"/>
              <w:jc w:val="right"/>
              <w:rPr>
                <w:rFonts w:eastAsia="Times New Roman" w:cs="Open Sans Light"/>
                <w:sz w:val="16"/>
                <w:szCs w:val="16"/>
                <w:lang w:eastAsia="en-AU"/>
              </w:rPr>
            </w:pPr>
            <w:r w:rsidRPr="003C35AE">
              <w:rPr>
                <w:rFonts w:eastAsia="Times New Roman" w:cs="Open Sans Light"/>
                <w:sz w:val="16"/>
                <w:szCs w:val="16"/>
                <w:lang w:eastAsia="en-AU"/>
              </w:rPr>
              <w:t>6,785</w:t>
            </w:r>
          </w:p>
        </w:tc>
        <w:tc>
          <w:tcPr>
            <w:tcW w:w="1120" w:type="dxa"/>
            <w:tcBorders>
              <w:top w:val="nil"/>
              <w:left w:val="nil"/>
              <w:bottom w:val="single" w:sz="4" w:space="0" w:color="ADD6EA"/>
              <w:right w:val="nil"/>
            </w:tcBorders>
            <w:shd w:val="clear" w:color="000000" w:fill="D6E7F0"/>
            <w:vAlign w:val="bottom"/>
            <w:hideMark/>
          </w:tcPr>
          <w:p w14:paraId="6307506B" w14:textId="77777777" w:rsidR="003C35AE" w:rsidRPr="003C35AE" w:rsidRDefault="003C35AE" w:rsidP="003C35AE">
            <w:pPr>
              <w:tabs>
                <w:tab w:val="clear" w:pos="567"/>
              </w:tabs>
              <w:spacing w:before="0" w:line="240" w:lineRule="auto"/>
              <w:jc w:val="right"/>
              <w:rPr>
                <w:rFonts w:eastAsia="Times New Roman" w:cs="Open Sans Light"/>
                <w:color w:val="000000"/>
                <w:sz w:val="16"/>
                <w:szCs w:val="16"/>
                <w:lang w:eastAsia="en-AU"/>
              </w:rPr>
            </w:pPr>
            <w:r w:rsidRPr="003C35AE">
              <w:rPr>
                <w:rFonts w:eastAsia="Times New Roman" w:cs="Open Sans Light"/>
                <w:color w:val="000000"/>
                <w:sz w:val="16"/>
                <w:szCs w:val="16"/>
                <w:lang w:eastAsia="en-AU"/>
              </w:rPr>
              <w:t>6,865</w:t>
            </w:r>
          </w:p>
        </w:tc>
      </w:tr>
      <w:tr w:rsidR="003C35AE" w:rsidRPr="003C35AE" w14:paraId="05CAB0D5" w14:textId="77777777" w:rsidTr="0028318E">
        <w:trPr>
          <w:trHeight w:val="315"/>
        </w:trPr>
        <w:tc>
          <w:tcPr>
            <w:tcW w:w="2880" w:type="dxa"/>
            <w:tcBorders>
              <w:top w:val="nil"/>
              <w:left w:val="nil"/>
              <w:bottom w:val="single" w:sz="4" w:space="0" w:color="ADD6EA"/>
              <w:right w:val="nil"/>
            </w:tcBorders>
            <w:shd w:val="clear" w:color="auto" w:fill="auto"/>
            <w:vAlign w:val="bottom"/>
            <w:hideMark/>
          </w:tcPr>
          <w:p w14:paraId="18CB9614" w14:textId="77777777" w:rsidR="003C35AE" w:rsidRPr="003C35AE" w:rsidRDefault="003C35AE" w:rsidP="003C35AE">
            <w:pPr>
              <w:tabs>
                <w:tab w:val="clear" w:pos="567"/>
              </w:tabs>
              <w:spacing w:before="0" w:line="240" w:lineRule="auto"/>
              <w:rPr>
                <w:rFonts w:eastAsia="Times New Roman" w:cs="Open Sans Light"/>
                <w:sz w:val="16"/>
                <w:szCs w:val="16"/>
                <w:lang w:eastAsia="en-AU"/>
              </w:rPr>
            </w:pPr>
            <w:r w:rsidRPr="003C35AE">
              <w:rPr>
                <w:rFonts w:eastAsia="Times New Roman" w:cs="Open Sans Light"/>
                <w:sz w:val="16"/>
                <w:szCs w:val="16"/>
                <w:lang w:eastAsia="en-AU"/>
              </w:rPr>
              <w:t>Tasmania</w:t>
            </w:r>
          </w:p>
        </w:tc>
        <w:tc>
          <w:tcPr>
            <w:tcW w:w="1120" w:type="dxa"/>
            <w:tcBorders>
              <w:top w:val="nil"/>
              <w:left w:val="nil"/>
              <w:bottom w:val="single" w:sz="4" w:space="0" w:color="ADD6EA"/>
              <w:right w:val="nil"/>
            </w:tcBorders>
            <w:shd w:val="clear" w:color="auto" w:fill="auto"/>
            <w:vAlign w:val="bottom"/>
            <w:hideMark/>
          </w:tcPr>
          <w:p w14:paraId="55494AD1" w14:textId="77777777" w:rsidR="003C35AE" w:rsidRPr="003C35AE" w:rsidRDefault="003C35AE" w:rsidP="003C35AE">
            <w:pPr>
              <w:tabs>
                <w:tab w:val="clear" w:pos="567"/>
              </w:tabs>
              <w:spacing w:before="0" w:line="240" w:lineRule="auto"/>
              <w:jc w:val="right"/>
              <w:rPr>
                <w:rFonts w:eastAsia="Times New Roman" w:cs="Open Sans Light"/>
                <w:sz w:val="16"/>
                <w:szCs w:val="16"/>
                <w:lang w:eastAsia="en-AU"/>
              </w:rPr>
            </w:pPr>
            <w:r w:rsidRPr="003C35AE">
              <w:rPr>
                <w:rFonts w:eastAsia="Times New Roman" w:cs="Open Sans Light"/>
                <w:sz w:val="16"/>
                <w:szCs w:val="16"/>
                <w:lang w:eastAsia="en-AU"/>
              </w:rPr>
              <w:t>1.96067</w:t>
            </w:r>
          </w:p>
        </w:tc>
        <w:tc>
          <w:tcPr>
            <w:tcW w:w="1120" w:type="dxa"/>
            <w:tcBorders>
              <w:top w:val="nil"/>
              <w:left w:val="nil"/>
              <w:bottom w:val="single" w:sz="4" w:space="0" w:color="ADD6EA"/>
              <w:right w:val="nil"/>
            </w:tcBorders>
            <w:shd w:val="clear" w:color="000000" w:fill="D6E7F0"/>
            <w:vAlign w:val="bottom"/>
            <w:hideMark/>
          </w:tcPr>
          <w:p w14:paraId="77C80DB0" w14:textId="77777777" w:rsidR="003C35AE" w:rsidRPr="003C35AE" w:rsidRDefault="003C35AE" w:rsidP="003C35AE">
            <w:pPr>
              <w:tabs>
                <w:tab w:val="clear" w:pos="567"/>
              </w:tabs>
              <w:spacing w:before="0" w:line="240" w:lineRule="auto"/>
              <w:jc w:val="right"/>
              <w:rPr>
                <w:rFonts w:eastAsia="Times New Roman" w:cs="Open Sans Light"/>
                <w:color w:val="000000"/>
                <w:sz w:val="16"/>
                <w:szCs w:val="16"/>
                <w:lang w:eastAsia="en-AU"/>
              </w:rPr>
            </w:pPr>
            <w:r w:rsidRPr="003C35AE">
              <w:rPr>
                <w:rFonts w:eastAsia="Times New Roman" w:cs="Open Sans Light"/>
                <w:color w:val="000000"/>
                <w:sz w:val="16"/>
                <w:szCs w:val="16"/>
                <w:lang w:eastAsia="en-AU"/>
              </w:rPr>
              <w:t>1.85360</w:t>
            </w:r>
          </w:p>
        </w:tc>
        <w:tc>
          <w:tcPr>
            <w:tcW w:w="1120" w:type="dxa"/>
            <w:tcBorders>
              <w:top w:val="nil"/>
              <w:left w:val="nil"/>
              <w:bottom w:val="single" w:sz="4" w:space="0" w:color="ADD6EA"/>
              <w:right w:val="nil"/>
            </w:tcBorders>
            <w:shd w:val="clear" w:color="auto" w:fill="auto"/>
            <w:vAlign w:val="bottom"/>
            <w:hideMark/>
          </w:tcPr>
          <w:p w14:paraId="50C20A01" w14:textId="77777777" w:rsidR="003C35AE" w:rsidRPr="003C35AE" w:rsidRDefault="003C35AE" w:rsidP="003C35AE">
            <w:pPr>
              <w:tabs>
                <w:tab w:val="clear" w:pos="567"/>
              </w:tabs>
              <w:spacing w:before="0" w:line="240" w:lineRule="auto"/>
              <w:jc w:val="right"/>
              <w:rPr>
                <w:rFonts w:eastAsia="Times New Roman" w:cs="Open Sans Light"/>
                <w:sz w:val="16"/>
                <w:szCs w:val="16"/>
                <w:lang w:eastAsia="en-AU"/>
              </w:rPr>
            </w:pPr>
            <w:r w:rsidRPr="003C35AE">
              <w:rPr>
                <w:rFonts w:eastAsia="Times New Roman" w:cs="Open Sans Light"/>
                <w:sz w:val="16"/>
                <w:szCs w:val="16"/>
                <w:lang w:eastAsia="en-AU"/>
              </w:rPr>
              <w:t>4.1</w:t>
            </w:r>
          </w:p>
        </w:tc>
        <w:tc>
          <w:tcPr>
            <w:tcW w:w="1120" w:type="dxa"/>
            <w:tcBorders>
              <w:top w:val="nil"/>
              <w:left w:val="nil"/>
              <w:bottom w:val="single" w:sz="4" w:space="0" w:color="ADD6EA"/>
              <w:right w:val="nil"/>
            </w:tcBorders>
            <w:shd w:val="clear" w:color="000000" w:fill="D6E7F0"/>
            <w:vAlign w:val="bottom"/>
            <w:hideMark/>
          </w:tcPr>
          <w:p w14:paraId="3F06A5F3" w14:textId="77777777" w:rsidR="003C35AE" w:rsidRPr="003C35AE" w:rsidRDefault="003C35AE" w:rsidP="003C35AE">
            <w:pPr>
              <w:tabs>
                <w:tab w:val="clear" w:pos="567"/>
              </w:tabs>
              <w:spacing w:before="0" w:line="240" w:lineRule="auto"/>
              <w:jc w:val="right"/>
              <w:rPr>
                <w:rFonts w:eastAsia="Times New Roman" w:cs="Open Sans Light"/>
                <w:color w:val="000000"/>
                <w:sz w:val="16"/>
                <w:szCs w:val="16"/>
                <w:lang w:eastAsia="en-AU"/>
              </w:rPr>
            </w:pPr>
            <w:r w:rsidRPr="003C35AE">
              <w:rPr>
                <w:rFonts w:eastAsia="Times New Roman" w:cs="Open Sans Light"/>
                <w:color w:val="000000"/>
                <w:sz w:val="16"/>
                <w:szCs w:val="16"/>
                <w:lang w:eastAsia="en-AU"/>
              </w:rPr>
              <w:t>3.9</w:t>
            </w:r>
          </w:p>
        </w:tc>
        <w:tc>
          <w:tcPr>
            <w:tcW w:w="1120" w:type="dxa"/>
            <w:tcBorders>
              <w:top w:val="nil"/>
              <w:left w:val="nil"/>
              <w:bottom w:val="single" w:sz="4" w:space="0" w:color="ADD6EA"/>
              <w:right w:val="nil"/>
            </w:tcBorders>
            <w:shd w:val="clear" w:color="auto" w:fill="auto"/>
            <w:vAlign w:val="bottom"/>
            <w:hideMark/>
          </w:tcPr>
          <w:p w14:paraId="7D193018" w14:textId="77777777" w:rsidR="003C35AE" w:rsidRPr="003C35AE" w:rsidRDefault="003C35AE" w:rsidP="003C35AE">
            <w:pPr>
              <w:tabs>
                <w:tab w:val="clear" w:pos="567"/>
              </w:tabs>
              <w:spacing w:before="0" w:line="240" w:lineRule="auto"/>
              <w:jc w:val="right"/>
              <w:rPr>
                <w:rFonts w:eastAsia="Times New Roman" w:cs="Open Sans Light"/>
                <w:sz w:val="16"/>
                <w:szCs w:val="16"/>
                <w:lang w:eastAsia="en-AU"/>
              </w:rPr>
            </w:pPr>
            <w:r w:rsidRPr="003C35AE">
              <w:rPr>
                <w:rFonts w:eastAsia="Times New Roman" w:cs="Open Sans Light"/>
                <w:sz w:val="16"/>
                <w:szCs w:val="16"/>
                <w:lang w:eastAsia="en-AU"/>
              </w:rPr>
              <w:t>3,024</w:t>
            </w:r>
          </w:p>
        </w:tc>
        <w:tc>
          <w:tcPr>
            <w:tcW w:w="1120" w:type="dxa"/>
            <w:tcBorders>
              <w:top w:val="nil"/>
              <w:left w:val="nil"/>
              <w:bottom w:val="single" w:sz="4" w:space="0" w:color="ADD6EA"/>
              <w:right w:val="nil"/>
            </w:tcBorders>
            <w:shd w:val="clear" w:color="000000" w:fill="D6E7F0"/>
            <w:vAlign w:val="bottom"/>
            <w:hideMark/>
          </w:tcPr>
          <w:p w14:paraId="4A56FA3C" w14:textId="77777777" w:rsidR="003C35AE" w:rsidRPr="003C35AE" w:rsidRDefault="003C35AE" w:rsidP="003C35AE">
            <w:pPr>
              <w:tabs>
                <w:tab w:val="clear" w:pos="567"/>
              </w:tabs>
              <w:spacing w:before="0" w:line="240" w:lineRule="auto"/>
              <w:jc w:val="right"/>
              <w:rPr>
                <w:rFonts w:eastAsia="Times New Roman" w:cs="Open Sans Light"/>
                <w:color w:val="000000"/>
                <w:sz w:val="16"/>
                <w:szCs w:val="16"/>
                <w:lang w:eastAsia="en-AU"/>
              </w:rPr>
            </w:pPr>
            <w:r w:rsidRPr="003C35AE">
              <w:rPr>
                <w:rFonts w:eastAsia="Times New Roman" w:cs="Open Sans Light"/>
                <w:color w:val="000000"/>
                <w:sz w:val="16"/>
                <w:szCs w:val="16"/>
                <w:lang w:eastAsia="en-AU"/>
              </w:rPr>
              <w:t>3,035</w:t>
            </w:r>
          </w:p>
        </w:tc>
      </w:tr>
      <w:tr w:rsidR="003C35AE" w:rsidRPr="003C35AE" w14:paraId="6E6E78BA" w14:textId="77777777" w:rsidTr="0028318E">
        <w:trPr>
          <w:trHeight w:val="315"/>
        </w:trPr>
        <w:tc>
          <w:tcPr>
            <w:tcW w:w="2880" w:type="dxa"/>
            <w:tcBorders>
              <w:top w:val="nil"/>
              <w:left w:val="nil"/>
              <w:bottom w:val="single" w:sz="4" w:space="0" w:color="ADD6EA"/>
              <w:right w:val="nil"/>
            </w:tcBorders>
            <w:shd w:val="clear" w:color="auto" w:fill="auto"/>
            <w:vAlign w:val="bottom"/>
            <w:hideMark/>
          </w:tcPr>
          <w:p w14:paraId="4BEE9779" w14:textId="77777777" w:rsidR="003C35AE" w:rsidRPr="003C35AE" w:rsidRDefault="003C35AE" w:rsidP="003C35AE">
            <w:pPr>
              <w:tabs>
                <w:tab w:val="clear" w:pos="567"/>
              </w:tabs>
              <w:spacing w:before="0" w:line="240" w:lineRule="auto"/>
              <w:rPr>
                <w:rFonts w:eastAsia="Times New Roman" w:cs="Open Sans Light"/>
                <w:sz w:val="16"/>
                <w:szCs w:val="16"/>
                <w:lang w:eastAsia="en-AU"/>
              </w:rPr>
            </w:pPr>
            <w:r w:rsidRPr="003C35AE">
              <w:rPr>
                <w:rFonts w:eastAsia="Times New Roman" w:cs="Open Sans Light"/>
                <w:sz w:val="16"/>
                <w:szCs w:val="16"/>
                <w:lang w:eastAsia="en-AU"/>
              </w:rPr>
              <w:t>Australian Capital Territory</w:t>
            </w:r>
          </w:p>
        </w:tc>
        <w:tc>
          <w:tcPr>
            <w:tcW w:w="1120" w:type="dxa"/>
            <w:tcBorders>
              <w:top w:val="nil"/>
              <w:left w:val="nil"/>
              <w:bottom w:val="single" w:sz="4" w:space="0" w:color="ADD6EA"/>
              <w:right w:val="nil"/>
            </w:tcBorders>
            <w:shd w:val="clear" w:color="auto" w:fill="auto"/>
            <w:vAlign w:val="bottom"/>
            <w:hideMark/>
          </w:tcPr>
          <w:p w14:paraId="1B35CA5C" w14:textId="77777777" w:rsidR="003C35AE" w:rsidRPr="003C35AE" w:rsidRDefault="003C35AE" w:rsidP="003C35AE">
            <w:pPr>
              <w:tabs>
                <w:tab w:val="clear" w:pos="567"/>
              </w:tabs>
              <w:spacing w:before="0" w:line="240" w:lineRule="auto"/>
              <w:jc w:val="right"/>
              <w:rPr>
                <w:rFonts w:eastAsia="Times New Roman" w:cs="Open Sans Light"/>
                <w:sz w:val="16"/>
                <w:szCs w:val="16"/>
                <w:lang w:eastAsia="en-AU"/>
              </w:rPr>
            </w:pPr>
            <w:r w:rsidRPr="003C35AE">
              <w:rPr>
                <w:rFonts w:eastAsia="Times New Roman" w:cs="Open Sans Light"/>
                <w:sz w:val="16"/>
                <w:szCs w:val="16"/>
                <w:lang w:eastAsia="en-AU"/>
              </w:rPr>
              <w:t>1.16266</w:t>
            </w:r>
          </w:p>
        </w:tc>
        <w:tc>
          <w:tcPr>
            <w:tcW w:w="1120" w:type="dxa"/>
            <w:tcBorders>
              <w:top w:val="nil"/>
              <w:left w:val="nil"/>
              <w:bottom w:val="single" w:sz="4" w:space="0" w:color="ADD6EA"/>
              <w:right w:val="nil"/>
            </w:tcBorders>
            <w:shd w:val="clear" w:color="000000" w:fill="D6E7F0"/>
            <w:vAlign w:val="bottom"/>
            <w:hideMark/>
          </w:tcPr>
          <w:p w14:paraId="79A0F73F" w14:textId="77777777" w:rsidR="003C35AE" w:rsidRPr="003C35AE" w:rsidRDefault="003C35AE" w:rsidP="003C35AE">
            <w:pPr>
              <w:tabs>
                <w:tab w:val="clear" w:pos="567"/>
              </w:tabs>
              <w:spacing w:before="0" w:line="240" w:lineRule="auto"/>
              <w:jc w:val="right"/>
              <w:rPr>
                <w:rFonts w:eastAsia="Times New Roman" w:cs="Open Sans Light"/>
                <w:color w:val="000000"/>
                <w:sz w:val="16"/>
                <w:szCs w:val="16"/>
                <w:lang w:eastAsia="en-AU"/>
              </w:rPr>
            </w:pPr>
            <w:r w:rsidRPr="003C35AE">
              <w:rPr>
                <w:rFonts w:eastAsia="Times New Roman" w:cs="Open Sans Light"/>
                <w:color w:val="000000"/>
                <w:sz w:val="16"/>
                <w:szCs w:val="16"/>
                <w:lang w:eastAsia="en-AU"/>
              </w:rPr>
              <w:t>1.09250</w:t>
            </w:r>
          </w:p>
        </w:tc>
        <w:tc>
          <w:tcPr>
            <w:tcW w:w="1120" w:type="dxa"/>
            <w:tcBorders>
              <w:top w:val="nil"/>
              <w:left w:val="nil"/>
              <w:bottom w:val="single" w:sz="4" w:space="0" w:color="ADD6EA"/>
              <w:right w:val="nil"/>
            </w:tcBorders>
            <w:shd w:val="clear" w:color="auto" w:fill="auto"/>
            <w:vAlign w:val="bottom"/>
            <w:hideMark/>
          </w:tcPr>
          <w:p w14:paraId="2F3A2532" w14:textId="77777777" w:rsidR="003C35AE" w:rsidRPr="003C35AE" w:rsidRDefault="003C35AE" w:rsidP="003C35AE">
            <w:pPr>
              <w:tabs>
                <w:tab w:val="clear" w:pos="567"/>
              </w:tabs>
              <w:spacing w:before="0" w:line="240" w:lineRule="auto"/>
              <w:jc w:val="right"/>
              <w:rPr>
                <w:rFonts w:eastAsia="Times New Roman" w:cs="Open Sans Light"/>
                <w:sz w:val="16"/>
                <w:szCs w:val="16"/>
                <w:lang w:eastAsia="en-AU"/>
              </w:rPr>
            </w:pPr>
            <w:r w:rsidRPr="003C35AE">
              <w:rPr>
                <w:rFonts w:eastAsia="Times New Roman" w:cs="Open Sans Light"/>
                <w:sz w:val="16"/>
                <w:szCs w:val="16"/>
                <w:lang w:eastAsia="en-AU"/>
              </w:rPr>
              <w:t>2.0</w:t>
            </w:r>
          </w:p>
        </w:tc>
        <w:tc>
          <w:tcPr>
            <w:tcW w:w="1120" w:type="dxa"/>
            <w:tcBorders>
              <w:top w:val="nil"/>
              <w:left w:val="nil"/>
              <w:bottom w:val="single" w:sz="4" w:space="0" w:color="ADD6EA"/>
              <w:right w:val="nil"/>
            </w:tcBorders>
            <w:shd w:val="clear" w:color="000000" w:fill="D6E7F0"/>
            <w:vAlign w:val="bottom"/>
            <w:hideMark/>
          </w:tcPr>
          <w:p w14:paraId="64B1CC00" w14:textId="77777777" w:rsidR="003C35AE" w:rsidRPr="003C35AE" w:rsidRDefault="003C35AE" w:rsidP="003C35AE">
            <w:pPr>
              <w:tabs>
                <w:tab w:val="clear" w:pos="567"/>
              </w:tabs>
              <w:spacing w:before="0" w:line="240" w:lineRule="auto"/>
              <w:jc w:val="right"/>
              <w:rPr>
                <w:rFonts w:eastAsia="Times New Roman" w:cs="Open Sans Light"/>
                <w:color w:val="000000"/>
                <w:sz w:val="16"/>
                <w:szCs w:val="16"/>
                <w:lang w:eastAsia="en-AU"/>
              </w:rPr>
            </w:pPr>
            <w:r w:rsidRPr="003C35AE">
              <w:rPr>
                <w:rFonts w:eastAsia="Times New Roman" w:cs="Open Sans Light"/>
                <w:color w:val="000000"/>
                <w:sz w:val="16"/>
                <w:szCs w:val="16"/>
                <w:lang w:eastAsia="en-AU"/>
              </w:rPr>
              <w:t>1.8</w:t>
            </w:r>
          </w:p>
        </w:tc>
        <w:tc>
          <w:tcPr>
            <w:tcW w:w="1120" w:type="dxa"/>
            <w:tcBorders>
              <w:top w:val="nil"/>
              <w:left w:val="nil"/>
              <w:bottom w:val="single" w:sz="4" w:space="0" w:color="ADD6EA"/>
              <w:right w:val="nil"/>
            </w:tcBorders>
            <w:shd w:val="clear" w:color="auto" w:fill="auto"/>
            <w:vAlign w:val="bottom"/>
            <w:hideMark/>
          </w:tcPr>
          <w:p w14:paraId="13EBF7DD" w14:textId="77777777" w:rsidR="003C35AE" w:rsidRPr="003C35AE" w:rsidRDefault="003C35AE" w:rsidP="003C35AE">
            <w:pPr>
              <w:tabs>
                <w:tab w:val="clear" w:pos="567"/>
              </w:tabs>
              <w:spacing w:before="0" w:line="240" w:lineRule="auto"/>
              <w:jc w:val="right"/>
              <w:rPr>
                <w:rFonts w:eastAsia="Times New Roman" w:cs="Open Sans Light"/>
                <w:sz w:val="16"/>
                <w:szCs w:val="16"/>
                <w:lang w:eastAsia="en-AU"/>
              </w:rPr>
            </w:pPr>
            <w:r w:rsidRPr="003C35AE">
              <w:rPr>
                <w:rFonts w:eastAsia="Times New Roman" w:cs="Open Sans Light"/>
                <w:sz w:val="16"/>
                <w:szCs w:val="16"/>
                <w:lang w:eastAsia="en-AU"/>
              </w:rPr>
              <w:t>1,426</w:t>
            </w:r>
          </w:p>
        </w:tc>
        <w:tc>
          <w:tcPr>
            <w:tcW w:w="1120" w:type="dxa"/>
            <w:tcBorders>
              <w:top w:val="nil"/>
              <w:left w:val="nil"/>
              <w:bottom w:val="single" w:sz="4" w:space="0" w:color="ADD6EA"/>
              <w:right w:val="nil"/>
            </w:tcBorders>
            <w:shd w:val="clear" w:color="000000" w:fill="D6E7F0"/>
            <w:vAlign w:val="bottom"/>
            <w:hideMark/>
          </w:tcPr>
          <w:p w14:paraId="5E90A749" w14:textId="77777777" w:rsidR="003C35AE" w:rsidRPr="003C35AE" w:rsidRDefault="003C35AE" w:rsidP="003C35AE">
            <w:pPr>
              <w:tabs>
                <w:tab w:val="clear" w:pos="567"/>
              </w:tabs>
              <w:spacing w:before="0" w:line="240" w:lineRule="auto"/>
              <w:jc w:val="right"/>
              <w:rPr>
                <w:rFonts w:eastAsia="Times New Roman" w:cs="Open Sans Light"/>
                <w:color w:val="000000"/>
                <w:sz w:val="16"/>
                <w:szCs w:val="16"/>
                <w:lang w:eastAsia="en-AU"/>
              </w:rPr>
            </w:pPr>
            <w:r w:rsidRPr="003C35AE">
              <w:rPr>
                <w:rFonts w:eastAsia="Times New Roman" w:cs="Open Sans Light"/>
                <w:color w:val="000000"/>
                <w:sz w:val="16"/>
                <w:szCs w:val="16"/>
                <w:lang w:eastAsia="en-AU"/>
              </w:rPr>
              <w:t>1,421</w:t>
            </w:r>
          </w:p>
        </w:tc>
      </w:tr>
      <w:tr w:rsidR="003C35AE" w:rsidRPr="003C35AE" w14:paraId="48ED5857" w14:textId="77777777" w:rsidTr="0028318E">
        <w:trPr>
          <w:trHeight w:val="315"/>
        </w:trPr>
        <w:tc>
          <w:tcPr>
            <w:tcW w:w="2880" w:type="dxa"/>
            <w:tcBorders>
              <w:top w:val="nil"/>
              <w:left w:val="nil"/>
              <w:bottom w:val="single" w:sz="4" w:space="0" w:color="ADD6EA"/>
              <w:right w:val="nil"/>
            </w:tcBorders>
            <w:shd w:val="clear" w:color="auto" w:fill="auto"/>
            <w:vAlign w:val="bottom"/>
            <w:hideMark/>
          </w:tcPr>
          <w:p w14:paraId="1F1A7647" w14:textId="77777777" w:rsidR="003C35AE" w:rsidRPr="003C35AE" w:rsidRDefault="003C35AE" w:rsidP="003C35AE">
            <w:pPr>
              <w:tabs>
                <w:tab w:val="clear" w:pos="567"/>
              </w:tabs>
              <w:spacing w:before="0" w:line="240" w:lineRule="auto"/>
              <w:rPr>
                <w:rFonts w:eastAsia="Times New Roman" w:cs="Open Sans Light"/>
                <w:sz w:val="16"/>
                <w:szCs w:val="16"/>
                <w:lang w:eastAsia="en-AU"/>
              </w:rPr>
            </w:pPr>
            <w:r w:rsidRPr="003C35AE">
              <w:rPr>
                <w:rFonts w:eastAsia="Times New Roman" w:cs="Open Sans Light"/>
                <w:sz w:val="16"/>
                <w:szCs w:val="16"/>
                <w:lang w:eastAsia="en-AU"/>
              </w:rPr>
              <w:t>Northern Territory</w:t>
            </w:r>
          </w:p>
        </w:tc>
        <w:tc>
          <w:tcPr>
            <w:tcW w:w="1120" w:type="dxa"/>
            <w:tcBorders>
              <w:top w:val="nil"/>
              <w:left w:val="nil"/>
              <w:bottom w:val="single" w:sz="4" w:space="0" w:color="ADD6EA"/>
              <w:right w:val="nil"/>
            </w:tcBorders>
            <w:shd w:val="clear" w:color="auto" w:fill="auto"/>
            <w:vAlign w:val="bottom"/>
            <w:hideMark/>
          </w:tcPr>
          <w:p w14:paraId="55383B43" w14:textId="77777777" w:rsidR="003C35AE" w:rsidRPr="003C35AE" w:rsidRDefault="003C35AE" w:rsidP="003C35AE">
            <w:pPr>
              <w:tabs>
                <w:tab w:val="clear" w:pos="567"/>
              </w:tabs>
              <w:spacing w:before="0" w:line="240" w:lineRule="auto"/>
              <w:jc w:val="right"/>
              <w:rPr>
                <w:rFonts w:eastAsia="Times New Roman" w:cs="Open Sans Light"/>
                <w:sz w:val="16"/>
                <w:szCs w:val="16"/>
                <w:lang w:eastAsia="en-AU"/>
              </w:rPr>
            </w:pPr>
            <w:r w:rsidRPr="003C35AE">
              <w:rPr>
                <w:rFonts w:eastAsia="Times New Roman" w:cs="Open Sans Light"/>
                <w:sz w:val="16"/>
                <w:szCs w:val="16"/>
                <w:lang w:eastAsia="en-AU"/>
              </w:rPr>
              <w:t>4.79985</w:t>
            </w:r>
          </w:p>
        </w:tc>
        <w:tc>
          <w:tcPr>
            <w:tcW w:w="1120" w:type="dxa"/>
            <w:tcBorders>
              <w:top w:val="nil"/>
              <w:left w:val="nil"/>
              <w:bottom w:val="single" w:sz="4" w:space="0" w:color="ADD6EA"/>
              <w:right w:val="nil"/>
            </w:tcBorders>
            <w:shd w:val="clear" w:color="000000" w:fill="D6E7F0"/>
            <w:vAlign w:val="bottom"/>
            <w:hideMark/>
          </w:tcPr>
          <w:p w14:paraId="69465F64" w14:textId="77777777" w:rsidR="003C35AE" w:rsidRPr="003C35AE" w:rsidRDefault="003C35AE" w:rsidP="003C35AE">
            <w:pPr>
              <w:tabs>
                <w:tab w:val="clear" w:pos="567"/>
              </w:tabs>
              <w:spacing w:before="0" w:line="240" w:lineRule="auto"/>
              <w:jc w:val="right"/>
              <w:rPr>
                <w:rFonts w:eastAsia="Times New Roman" w:cs="Open Sans Light"/>
                <w:color w:val="000000"/>
                <w:sz w:val="16"/>
                <w:szCs w:val="16"/>
                <w:lang w:eastAsia="en-AU"/>
              </w:rPr>
            </w:pPr>
            <w:r w:rsidRPr="003C35AE">
              <w:rPr>
                <w:rFonts w:eastAsia="Times New Roman" w:cs="Open Sans Light"/>
                <w:color w:val="000000"/>
                <w:sz w:val="16"/>
                <w:szCs w:val="16"/>
                <w:lang w:eastAsia="en-AU"/>
              </w:rPr>
              <w:t>4.86988</w:t>
            </w:r>
          </w:p>
        </w:tc>
        <w:tc>
          <w:tcPr>
            <w:tcW w:w="1120" w:type="dxa"/>
            <w:tcBorders>
              <w:top w:val="nil"/>
              <w:left w:val="nil"/>
              <w:bottom w:val="single" w:sz="4" w:space="0" w:color="ADD6EA"/>
              <w:right w:val="nil"/>
            </w:tcBorders>
            <w:shd w:val="clear" w:color="auto" w:fill="auto"/>
            <w:vAlign w:val="bottom"/>
            <w:hideMark/>
          </w:tcPr>
          <w:p w14:paraId="4BC6684D" w14:textId="77777777" w:rsidR="003C35AE" w:rsidRPr="003C35AE" w:rsidRDefault="003C35AE" w:rsidP="003C35AE">
            <w:pPr>
              <w:tabs>
                <w:tab w:val="clear" w:pos="567"/>
              </w:tabs>
              <w:spacing w:before="0" w:line="240" w:lineRule="auto"/>
              <w:jc w:val="right"/>
              <w:rPr>
                <w:rFonts w:eastAsia="Times New Roman" w:cs="Open Sans Light"/>
                <w:sz w:val="16"/>
                <w:szCs w:val="16"/>
                <w:lang w:eastAsia="en-AU"/>
              </w:rPr>
            </w:pPr>
            <w:r w:rsidRPr="003C35AE">
              <w:rPr>
                <w:rFonts w:eastAsia="Times New Roman" w:cs="Open Sans Light"/>
                <w:sz w:val="16"/>
                <w:szCs w:val="16"/>
                <w:lang w:eastAsia="en-AU"/>
              </w:rPr>
              <w:t>4.6</w:t>
            </w:r>
          </w:p>
        </w:tc>
        <w:tc>
          <w:tcPr>
            <w:tcW w:w="1120" w:type="dxa"/>
            <w:tcBorders>
              <w:top w:val="nil"/>
              <w:left w:val="nil"/>
              <w:bottom w:val="single" w:sz="4" w:space="0" w:color="ADD6EA"/>
              <w:right w:val="nil"/>
            </w:tcBorders>
            <w:shd w:val="clear" w:color="000000" w:fill="D6E7F0"/>
            <w:vAlign w:val="bottom"/>
            <w:hideMark/>
          </w:tcPr>
          <w:p w14:paraId="159C3E2C" w14:textId="77777777" w:rsidR="003C35AE" w:rsidRPr="003C35AE" w:rsidRDefault="003C35AE" w:rsidP="003C35AE">
            <w:pPr>
              <w:tabs>
                <w:tab w:val="clear" w:pos="567"/>
              </w:tabs>
              <w:spacing w:before="0" w:line="240" w:lineRule="auto"/>
              <w:jc w:val="right"/>
              <w:rPr>
                <w:rFonts w:eastAsia="Times New Roman" w:cs="Open Sans Light"/>
                <w:color w:val="000000"/>
                <w:sz w:val="16"/>
                <w:szCs w:val="16"/>
                <w:lang w:eastAsia="en-AU"/>
              </w:rPr>
            </w:pPr>
            <w:r w:rsidRPr="003C35AE">
              <w:rPr>
                <w:rFonts w:eastAsia="Times New Roman" w:cs="Open Sans Light"/>
                <w:color w:val="000000"/>
                <w:sz w:val="16"/>
                <w:szCs w:val="16"/>
                <w:lang w:eastAsia="en-AU"/>
              </w:rPr>
              <w:t>4.7</w:t>
            </w:r>
          </w:p>
        </w:tc>
        <w:tc>
          <w:tcPr>
            <w:tcW w:w="1120" w:type="dxa"/>
            <w:tcBorders>
              <w:top w:val="nil"/>
              <w:left w:val="nil"/>
              <w:bottom w:val="single" w:sz="4" w:space="0" w:color="ADD6EA"/>
              <w:right w:val="nil"/>
            </w:tcBorders>
            <w:shd w:val="clear" w:color="auto" w:fill="auto"/>
            <w:vAlign w:val="bottom"/>
            <w:hideMark/>
          </w:tcPr>
          <w:p w14:paraId="2609DC8D" w14:textId="77777777" w:rsidR="003C35AE" w:rsidRPr="003C35AE" w:rsidRDefault="003C35AE" w:rsidP="003C35AE">
            <w:pPr>
              <w:tabs>
                <w:tab w:val="clear" w:pos="567"/>
              </w:tabs>
              <w:spacing w:before="0" w:line="240" w:lineRule="auto"/>
              <w:jc w:val="right"/>
              <w:rPr>
                <w:rFonts w:eastAsia="Times New Roman" w:cs="Open Sans Light"/>
                <w:sz w:val="16"/>
                <w:szCs w:val="16"/>
                <w:lang w:eastAsia="en-AU"/>
              </w:rPr>
            </w:pPr>
            <w:r w:rsidRPr="003C35AE">
              <w:rPr>
                <w:rFonts w:eastAsia="Times New Roman" w:cs="Open Sans Light"/>
                <w:sz w:val="16"/>
                <w:szCs w:val="16"/>
                <w:lang w:eastAsia="en-AU"/>
              </w:rPr>
              <w:t>3,379</w:t>
            </w:r>
          </w:p>
        </w:tc>
        <w:tc>
          <w:tcPr>
            <w:tcW w:w="1120" w:type="dxa"/>
            <w:tcBorders>
              <w:top w:val="nil"/>
              <w:left w:val="nil"/>
              <w:bottom w:val="single" w:sz="4" w:space="0" w:color="ADD6EA"/>
              <w:right w:val="nil"/>
            </w:tcBorders>
            <w:shd w:val="clear" w:color="000000" w:fill="D6E7F0"/>
            <w:vAlign w:val="bottom"/>
            <w:hideMark/>
          </w:tcPr>
          <w:p w14:paraId="635EDA66" w14:textId="77777777" w:rsidR="003C35AE" w:rsidRPr="003C35AE" w:rsidRDefault="003C35AE" w:rsidP="003C35AE">
            <w:pPr>
              <w:tabs>
                <w:tab w:val="clear" w:pos="567"/>
              </w:tabs>
              <w:spacing w:before="0" w:line="240" w:lineRule="auto"/>
              <w:jc w:val="right"/>
              <w:rPr>
                <w:rFonts w:eastAsia="Times New Roman" w:cs="Open Sans Light"/>
                <w:color w:val="000000"/>
                <w:sz w:val="16"/>
                <w:szCs w:val="16"/>
                <w:lang w:eastAsia="en-AU"/>
              </w:rPr>
            </w:pPr>
            <w:r w:rsidRPr="003C35AE">
              <w:rPr>
                <w:rFonts w:eastAsia="Times New Roman" w:cs="Open Sans Light"/>
                <w:color w:val="000000"/>
                <w:sz w:val="16"/>
                <w:szCs w:val="16"/>
                <w:lang w:eastAsia="en-AU"/>
              </w:rPr>
              <w:t>3,644</w:t>
            </w:r>
          </w:p>
        </w:tc>
      </w:tr>
      <w:tr w:rsidR="003C35AE" w:rsidRPr="003C35AE" w14:paraId="3ACAAA16" w14:textId="77777777" w:rsidTr="0028318E">
        <w:trPr>
          <w:trHeight w:val="315"/>
        </w:trPr>
        <w:tc>
          <w:tcPr>
            <w:tcW w:w="2880" w:type="dxa"/>
            <w:tcBorders>
              <w:top w:val="nil"/>
              <w:left w:val="nil"/>
              <w:bottom w:val="single" w:sz="4" w:space="0" w:color="ADD6EA"/>
              <w:right w:val="nil"/>
            </w:tcBorders>
            <w:shd w:val="clear" w:color="auto" w:fill="auto"/>
            <w:vAlign w:val="bottom"/>
            <w:hideMark/>
          </w:tcPr>
          <w:p w14:paraId="5462E0EA" w14:textId="77777777" w:rsidR="003C35AE" w:rsidRPr="003C35AE" w:rsidRDefault="003C35AE" w:rsidP="003C35AE">
            <w:pPr>
              <w:tabs>
                <w:tab w:val="clear" w:pos="567"/>
              </w:tabs>
              <w:spacing w:before="0" w:line="240" w:lineRule="auto"/>
              <w:rPr>
                <w:rFonts w:ascii="Open Sans Semibold" w:eastAsia="Times New Roman" w:hAnsi="Open Sans Semibold" w:cs="Open Sans Semibold"/>
                <w:sz w:val="16"/>
                <w:szCs w:val="16"/>
                <w:lang w:eastAsia="en-AU"/>
              </w:rPr>
            </w:pPr>
            <w:r w:rsidRPr="003C35AE">
              <w:rPr>
                <w:rFonts w:ascii="Open Sans Semibold" w:eastAsia="Times New Roman" w:hAnsi="Open Sans Semibold" w:cs="Open Sans Semibold"/>
                <w:sz w:val="16"/>
                <w:szCs w:val="16"/>
                <w:lang w:eastAsia="en-AU"/>
              </w:rPr>
              <w:t>Total</w:t>
            </w:r>
          </w:p>
        </w:tc>
        <w:tc>
          <w:tcPr>
            <w:tcW w:w="1120" w:type="dxa"/>
            <w:tcBorders>
              <w:top w:val="nil"/>
              <w:left w:val="nil"/>
              <w:bottom w:val="single" w:sz="4" w:space="0" w:color="ADD6EA"/>
              <w:right w:val="nil"/>
            </w:tcBorders>
            <w:shd w:val="clear" w:color="auto" w:fill="auto"/>
            <w:vAlign w:val="bottom"/>
            <w:hideMark/>
          </w:tcPr>
          <w:p w14:paraId="705B4CA4" w14:textId="77777777" w:rsidR="003C35AE" w:rsidRPr="003C35AE" w:rsidRDefault="003C35AE" w:rsidP="003C35AE">
            <w:pPr>
              <w:tabs>
                <w:tab w:val="clear" w:pos="567"/>
              </w:tabs>
              <w:spacing w:before="0" w:line="240" w:lineRule="auto"/>
              <w:jc w:val="right"/>
              <w:rPr>
                <w:rFonts w:ascii="Open Sans Semibold" w:eastAsia="Times New Roman" w:hAnsi="Open Sans Semibold" w:cs="Open Sans Semibold"/>
                <w:sz w:val="16"/>
                <w:szCs w:val="16"/>
                <w:lang w:eastAsia="en-AU"/>
              </w:rPr>
            </w:pPr>
            <w:r w:rsidRPr="003C35AE">
              <w:rPr>
                <w:rFonts w:ascii="Open Sans Semibold" w:eastAsia="Times New Roman" w:hAnsi="Open Sans Semibold" w:cs="Open Sans Semibold"/>
                <w:sz w:val="16"/>
                <w:szCs w:val="16"/>
                <w:lang w:eastAsia="en-AU"/>
              </w:rPr>
              <w:t>1.00000</w:t>
            </w:r>
          </w:p>
        </w:tc>
        <w:tc>
          <w:tcPr>
            <w:tcW w:w="1120" w:type="dxa"/>
            <w:tcBorders>
              <w:top w:val="nil"/>
              <w:left w:val="nil"/>
              <w:bottom w:val="single" w:sz="4" w:space="0" w:color="ADD6EA"/>
              <w:right w:val="nil"/>
            </w:tcBorders>
            <w:shd w:val="clear" w:color="000000" w:fill="D6E7F0"/>
            <w:vAlign w:val="bottom"/>
            <w:hideMark/>
          </w:tcPr>
          <w:p w14:paraId="79983566" w14:textId="77777777" w:rsidR="003C35AE" w:rsidRPr="003C35AE" w:rsidRDefault="003C35AE" w:rsidP="003C35A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C35AE">
              <w:rPr>
                <w:rFonts w:ascii="Open Sans Semibold" w:eastAsia="Times New Roman" w:hAnsi="Open Sans Semibold" w:cs="Open Sans Semibold"/>
                <w:color w:val="000000"/>
                <w:sz w:val="16"/>
                <w:szCs w:val="16"/>
                <w:lang w:eastAsia="en-AU"/>
              </w:rPr>
              <w:t>1.00000</w:t>
            </w:r>
          </w:p>
        </w:tc>
        <w:tc>
          <w:tcPr>
            <w:tcW w:w="1120" w:type="dxa"/>
            <w:tcBorders>
              <w:top w:val="nil"/>
              <w:left w:val="nil"/>
              <w:bottom w:val="single" w:sz="4" w:space="0" w:color="ADD6EA"/>
              <w:right w:val="nil"/>
            </w:tcBorders>
            <w:shd w:val="clear" w:color="auto" w:fill="auto"/>
            <w:vAlign w:val="bottom"/>
            <w:hideMark/>
          </w:tcPr>
          <w:p w14:paraId="5F4573C7" w14:textId="77777777" w:rsidR="003C35AE" w:rsidRPr="003C35AE" w:rsidRDefault="003C35AE" w:rsidP="003C35AE">
            <w:pPr>
              <w:tabs>
                <w:tab w:val="clear" w:pos="567"/>
              </w:tabs>
              <w:spacing w:before="0" w:line="240" w:lineRule="auto"/>
              <w:jc w:val="right"/>
              <w:rPr>
                <w:rFonts w:ascii="Open Sans Semibold" w:eastAsia="Times New Roman" w:hAnsi="Open Sans Semibold" w:cs="Open Sans Semibold"/>
                <w:sz w:val="16"/>
                <w:szCs w:val="16"/>
                <w:lang w:eastAsia="en-AU"/>
              </w:rPr>
            </w:pPr>
            <w:r w:rsidRPr="003C35AE">
              <w:rPr>
                <w:rFonts w:ascii="Open Sans Semibold" w:eastAsia="Times New Roman" w:hAnsi="Open Sans Semibold" w:cs="Open Sans Semibold"/>
                <w:sz w:val="16"/>
                <w:szCs w:val="16"/>
                <w:lang w:eastAsia="en-AU"/>
              </w:rPr>
              <w:t>100.0</w:t>
            </w:r>
          </w:p>
        </w:tc>
        <w:tc>
          <w:tcPr>
            <w:tcW w:w="1120" w:type="dxa"/>
            <w:tcBorders>
              <w:top w:val="nil"/>
              <w:left w:val="nil"/>
              <w:bottom w:val="single" w:sz="4" w:space="0" w:color="ADD6EA"/>
              <w:right w:val="nil"/>
            </w:tcBorders>
            <w:shd w:val="clear" w:color="000000" w:fill="D6E7F0"/>
            <w:vAlign w:val="bottom"/>
            <w:hideMark/>
          </w:tcPr>
          <w:p w14:paraId="06777E86" w14:textId="77777777" w:rsidR="003C35AE" w:rsidRPr="003C35AE" w:rsidRDefault="003C35AE" w:rsidP="003C35A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C35AE">
              <w:rPr>
                <w:rFonts w:ascii="Open Sans Semibold" w:eastAsia="Times New Roman" w:hAnsi="Open Sans Semibold" w:cs="Open Sans Semibold"/>
                <w:color w:val="000000"/>
                <w:sz w:val="16"/>
                <w:szCs w:val="16"/>
                <w:lang w:eastAsia="en-AU"/>
              </w:rPr>
              <w:t>100.0</w:t>
            </w:r>
          </w:p>
        </w:tc>
        <w:tc>
          <w:tcPr>
            <w:tcW w:w="1120" w:type="dxa"/>
            <w:tcBorders>
              <w:top w:val="nil"/>
              <w:left w:val="nil"/>
              <w:bottom w:val="single" w:sz="4" w:space="0" w:color="ADD6EA"/>
              <w:right w:val="nil"/>
            </w:tcBorders>
            <w:shd w:val="clear" w:color="auto" w:fill="auto"/>
            <w:vAlign w:val="bottom"/>
            <w:hideMark/>
          </w:tcPr>
          <w:p w14:paraId="313D9D5E" w14:textId="77777777" w:rsidR="003C35AE" w:rsidRPr="003C35AE" w:rsidRDefault="003C35AE" w:rsidP="003C35AE">
            <w:pPr>
              <w:tabs>
                <w:tab w:val="clear" w:pos="567"/>
              </w:tabs>
              <w:spacing w:before="0" w:line="240" w:lineRule="auto"/>
              <w:jc w:val="right"/>
              <w:rPr>
                <w:rFonts w:ascii="Open Sans Semibold" w:eastAsia="Times New Roman" w:hAnsi="Open Sans Semibold" w:cs="Open Sans Semibold"/>
                <w:sz w:val="16"/>
                <w:szCs w:val="16"/>
                <w:lang w:eastAsia="en-AU"/>
              </w:rPr>
            </w:pPr>
            <w:r w:rsidRPr="003C35AE">
              <w:rPr>
                <w:rFonts w:ascii="Open Sans Semibold" w:eastAsia="Times New Roman" w:hAnsi="Open Sans Semibold" w:cs="Open Sans Semibold"/>
                <w:sz w:val="16"/>
                <w:szCs w:val="16"/>
                <w:lang w:eastAsia="en-AU"/>
              </w:rPr>
              <w:t>73,070</w:t>
            </w:r>
          </w:p>
        </w:tc>
        <w:tc>
          <w:tcPr>
            <w:tcW w:w="1120" w:type="dxa"/>
            <w:tcBorders>
              <w:top w:val="nil"/>
              <w:left w:val="nil"/>
              <w:bottom w:val="single" w:sz="4" w:space="0" w:color="ADD6EA"/>
              <w:right w:val="nil"/>
            </w:tcBorders>
            <w:shd w:val="clear" w:color="000000" w:fill="D6E7F0"/>
            <w:vAlign w:val="bottom"/>
            <w:hideMark/>
          </w:tcPr>
          <w:p w14:paraId="23CAEBF4" w14:textId="77777777" w:rsidR="003C35AE" w:rsidRPr="003C35AE" w:rsidRDefault="003C35AE" w:rsidP="003C35A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C35AE">
              <w:rPr>
                <w:rFonts w:ascii="Open Sans Semibold" w:eastAsia="Times New Roman" w:hAnsi="Open Sans Semibold" w:cs="Open Sans Semibold"/>
                <w:color w:val="000000"/>
                <w:sz w:val="16"/>
                <w:szCs w:val="16"/>
                <w:lang w:eastAsia="en-AU"/>
              </w:rPr>
              <w:t>77,416</w:t>
            </w:r>
          </w:p>
        </w:tc>
      </w:tr>
    </w:tbl>
    <w:p w14:paraId="0BEBDB8C" w14:textId="77777777" w:rsidR="003C35AE" w:rsidRPr="003C35AE" w:rsidRDefault="003C35AE" w:rsidP="003C35AE">
      <w:pPr>
        <w:keepNext/>
        <w:keepLines/>
        <w:tabs>
          <w:tab w:val="clear" w:pos="567"/>
          <w:tab w:val="left" w:pos="709"/>
        </w:tabs>
        <w:spacing w:before="40" w:line="240" w:lineRule="auto"/>
        <w:ind w:left="709" w:hanging="709"/>
        <w:rPr>
          <w:rFonts w:ascii="Work Sans" w:eastAsia="Calibri" w:hAnsi="Work Sans" w:cs="Arial"/>
          <w:sz w:val="14"/>
          <w:szCs w:val="14"/>
        </w:rPr>
      </w:pPr>
      <w:r w:rsidRPr="003C35AE">
        <w:rPr>
          <w:rFonts w:ascii="Work Sans" w:eastAsia="Calibri" w:hAnsi="Work Sans" w:cs="Arial"/>
          <w:sz w:val="14"/>
          <w:szCs w:val="14"/>
        </w:rPr>
        <w:t>Note:</w:t>
      </w:r>
      <w:r w:rsidRPr="003C35AE">
        <w:rPr>
          <w:rFonts w:ascii="Work Sans" w:eastAsia="Calibri" w:hAnsi="Work Sans" w:cs="Arial"/>
          <w:sz w:val="14"/>
          <w:szCs w:val="14"/>
        </w:rPr>
        <w:tab/>
        <w:t>The estimated GST pool distribution for 2022-23 was calculated by applying 2022 Update relativities to estimated state populations for 2022-23 (as of December 2022) and the estimated GST pool for 2022-23.</w:t>
      </w:r>
    </w:p>
    <w:p w14:paraId="72523D42" w14:textId="1A2D5E01" w:rsidR="003C35AE" w:rsidRPr="003C35AE" w:rsidRDefault="003C35AE" w:rsidP="003C35AE">
      <w:pPr>
        <w:keepNext/>
        <w:keepLines/>
        <w:tabs>
          <w:tab w:val="clear" w:pos="567"/>
          <w:tab w:val="left" w:pos="709"/>
        </w:tabs>
        <w:spacing w:before="40" w:line="240" w:lineRule="auto"/>
        <w:ind w:left="709" w:hanging="709"/>
        <w:rPr>
          <w:rFonts w:ascii="Work Sans" w:eastAsia="Calibri" w:hAnsi="Work Sans" w:cs="Arial"/>
          <w:sz w:val="14"/>
          <w:szCs w:val="14"/>
        </w:rPr>
      </w:pPr>
      <w:r w:rsidRPr="003C35AE">
        <w:rPr>
          <w:rFonts w:ascii="Work Sans" w:eastAsia="Calibri" w:hAnsi="Work Sans" w:cs="Arial"/>
          <w:sz w:val="14"/>
          <w:szCs w:val="14"/>
        </w:rPr>
        <w:t>(a)</w:t>
      </w:r>
      <w:r w:rsidRPr="003C35AE">
        <w:rPr>
          <w:rFonts w:ascii="Work Sans" w:eastAsia="Calibri" w:hAnsi="Work Sans" w:cs="Arial"/>
          <w:sz w:val="14"/>
          <w:szCs w:val="14"/>
        </w:rPr>
        <w:tab/>
      </w:r>
      <w:r w:rsidR="008C7288" w:rsidRPr="00304071">
        <w:rPr>
          <w:rFonts w:ascii="Work Sans" w:eastAsia="Calibri" w:hAnsi="Work Sans" w:cs="Arial"/>
          <w:sz w:val="14"/>
          <w:szCs w:val="14"/>
        </w:rPr>
        <w:t>From</w:t>
      </w:r>
      <w:r w:rsidRPr="003C35AE">
        <w:rPr>
          <w:rFonts w:ascii="Work Sans" w:eastAsia="Calibri" w:hAnsi="Work Sans" w:cs="Arial"/>
          <w:sz w:val="14"/>
          <w:szCs w:val="14"/>
        </w:rPr>
        <w:t xml:space="preserve"> 2019-20</w:t>
      </w:r>
      <w:r w:rsidR="00A35727" w:rsidRPr="00304071">
        <w:rPr>
          <w:rFonts w:ascii="Work Sans" w:eastAsia="Calibri" w:hAnsi="Work Sans" w:cs="Arial"/>
          <w:sz w:val="14"/>
          <w:szCs w:val="14"/>
        </w:rPr>
        <w:t xml:space="preserve"> to 2021-22</w:t>
      </w:r>
      <w:r w:rsidRPr="003C35AE">
        <w:rPr>
          <w:rFonts w:ascii="Work Sans" w:eastAsia="Calibri" w:hAnsi="Work Sans" w:cs="Arial"/>
          <w:sz w:val="14"/>
          <w:szCs w:val="14"/>
        </w:rPr>
        <w:t xml:space="preserve">, the Commonwealth made supplementary payments to Western Australia to deliver an outcome at least equivalent to a relativity of 0.7. This does not apply from 2022-23. </w:t>
      </w:r>
    </w:p>
    <w:p w14:paraId="5804FE0B" w14:textId="77777777" w:rsidR="003C35AE" w:rsidRPr="003C35AE" w:rsidRDefault="003C35AE" w:rsidP="003C35AE">
      <w:pPr>
        <w:keepNext/>
        <w:keepLines/>
        <w:tabs>
          <w:tab w:val="clear" w:pos="567"/>
          <w:tab w:val="left" w:pos="709"/>
        </w:tabs>
        <w:spacing w:before="40" w:line="240" w:lineRule="auto"/>
        <w:ind w:left="709" w:hanging="709"/>
        <w:rPr>
          <w:rFonts w:ascii="Work Sans" w:eastAsia="Calibri" w:hAnsi="Work Sans" w:cs="Arial"/>
          <w:sz w:val="14"/>
          <w:szCs w:val="14"/>
        </w:rPr>
      </w:pPr>
      <w:r w:rsidRPr="003C35AE">
        <w:rPr>
          <w:rFonts w:ascii="Work Sans" w:eastAsia="Calibri" w:hAnsi="Work Sans" w:cs="Arial"/>
          <w:sz w:val="14"/>
          <w:szCs w:val="14"/>
        </w:rPr>
        <w:t>Source:</w:t>
      </w:r>
      <w:r w:rsidRPr="003C35AE">
        <w:rPr>
          <w:rFonts w:ascii="Work Sans" w:eastAsia="Calibri" w:hAnsi="Work Sans" w:cs="Arial"/>
          <w:sz w:val="14"/>
          <w:szCs w:val="14"/>
        </w:rPr>
        <w:tab/>
        <w:t>Commission calculation.</w:t>
      </w:r>
    </w:p>
    <w:p w14:paraId="5292C995" w14:textId="77777777" w:rsidR="003C35AE" w:rsidRPr="003C35AE" w:rsidRDefault="003C35AE" w:rsidP="003C35AE">
      <w:pPr>
        <w:tabs>
          <w:tab w:val="clear" w:pos="567"/>
        </w:tabs>
        <w:spacing w:before="360" w:after="200" w:line="276" w:lineRule="auto"/>
        <w:outlineLvl w:val="1"/>
        <w:rPr>
          <w:rFonts w:ascii="Work Sans" w:eastAsia="Yu Gothic Light" w:hAnsi="Work Sans" w:cs="Open Sans"/>
          <w:b/>
          <w:bCs/>
          <w:color w:val="006991"/>
          <w:sz w:val="36"/>
          <w:szCs w:val="36"/>
        </w:rPr>
      </w:pPr>
      <w:r w:rsidRPr="003C35AE">
        <w:rPr>
          <w:rFonts w:ascii="Work Sans" w:eastAsia="Yu Gothic Light" w:hAnsi="Work Sans" w:cs="Open Sans"/>
          <w:b/>
          <w:bCs/>
          <w:color w:val="006991"/>
          <w:sz w:val="36"/>
          <w:szCs w:val="36"/>
        </w:rPr>
        <w:t>Key developments affecting GST distribution</w:t>
      </w:r>
    </w:p>
    <w:p w14:paraId="644C2DF2" w14:textId="77777777" w:rsidR="003C35AE" w:rsidRPr="003C35AE" w:rsidRDefault="003C35AE" w:rsidP="003C35AE">
      <w:pPr>
        <w:tabs>
          <w:tab w:val="clear" w:pos="567"/>
        </w:tabs>
        <w:spacing w:before="360" w:after="200" w:line="276" w:lineRule="auto"/>
        <w:outlineLvl w:val="2"/>
        <w:rPr>
          <w:rFonts w:ascii="Work Sans" w:eastAsia="Yu Gothic Light" w:hAnsi="Work Sans" w:cs="Open Sans"/>
          <w:b/>
          <w:bCs/>
          <w:color w:val="006991"/>
          <w:sz w:val="32"/>
          <w:szCs w:val="32"/>
        </w:rPr>
      </w:pPr>
      <w:r w:rsidRPr="003C35AE">
        <w:rPr>
          <w:rFonts w:ascii="Work Sans" w:eastAsia="Yu Gothic Light" w:hAnsi="Work Sans" w:cs="Open Sans"/>
          <w:b/>
          <w:bCs/>
          <w:color w:val="006991"/>
          <w:sz w:val="32"/>
          <w:szCs w:val="32"/>
        </w:rPr>
        <w:t>Change in assessment period</w:t>
      </w:r>
    </w:p>
    <w:p w14:paraId="598B8E6E" w14:textId="401DECC8" w:rsidR="003C35AE" w:rsidRPr="003C35AE" w:rsidRDefault="003C35AE" w:rsidP="00111449">
      <w:pPr>
        <w:spacing w:after="120"/>
        <w:rPr>
          <w:rFonts w:ascii="Work Sans" w:eastAsia="Calibri" w:hAnsi="Work Sans" w:cs="Cambria Math"/>
          <w:color w:val="000000"/>
          <w:sz w:val="24"/>
          <w:szCs w:val="24"/>
          <w:shd w:val="clear" w:color="auto" w:fill="FFFFFF"/>
        </w:rPr>
      </w:pPr>
      <w:r w:rsidRPr="003C35AE">
        <w:rPr>
          <w:rFonts w:ascii="Work Sans" w:eastAsia="Calibri" w:hAnsi="Work Sans" w:cs="Cambria Math"/>
          <w:color w:val="000000"/>
          <w:sz w:val="24"/>
          <w:szCs w:val="24"/>
          <w:shd w:val="clear" w:color="auto" w:fill="FFFFFF"/>
        </w:rPr>
        <w:t>To smooth the effects of volatility, the Commission averages three years of data in its assessments. The three-year assessment period for the 2022 Update is 2018</w:t>
      </w:r>
      <w:r w:rsidRPr="003C35AE">
        <w:rPr>
          <w:rFonts w:ascii="Work Sans" w:eastAsia="Calibri" w:hAnsi="Work Sans" w:cs="Cambria Math"/>
          <w:color w:val="000000"/>
          <w:sz w:val="24"/>
          <w:szCs w:val="24"/>
          <w:shd w:val="clear" w:color="auto" w:fill="FFFFFF"/>
        </w:rPr>
        <w:noBreakHyphen/>
        <w:t>19, 2019</w:t>
      </w:r>
      <w:r w:rsidRPr="003C35AE">
        <w:rPr>
          <w:rFonts w:ascii="Work Sans" w:eastAsia="Calibri" w:hAnsi="Work Sans" w:cs="Cambria Math"/>
          <w:color w:val="000000"/>
          <w:sz w:val="24"/>
          <w:szCs w:val="24"/>
          <w:shd w:val="clear" w:color="auto" w:fill="FFFFFF"/>
        </w:rPr>
        <w:noBreakHyphen/>
        <w:t>20 and 2020</w:t>
      </w:r>
      <w:r w:rsidRPr="003C35AE">
        <w:rPr>
          <w:rFonts w:ascii="Work Sans" w:eastAsia="Calibri" w:hAnsi="Work Sans" w:cs="Cambria Math"/>
          <w:color w:val="000000"/>
          <w:sz w:val="24"/>
          <w:szCs w:val="24"/>
          <w:shd w:val="clear" w:color="auto" w:fill="FFFFFF"/>
        </w:rPr>
        <w:noBreakHyphen/>
        <w:t>21. Replacing the 2017</w:t>
      </w:r>
      <w:r w:rsidRPr="003C35AE">
        <w:rPr>
          <w:rFonts w:ascii="Work Sans" w:eastAsia="Calibri" w:hAnsi="Work Sans" w:cs="Cambria Math"/>
          <w:color w:val="000000"/>
          <w:sz w:val="24"/>
          <w:szCs w:val="24"/>
          <w:shd w:val="clear" w:color="auto" w:fill="FFFFFF"/>
        </w:rPr>
        <w:noBreakHyphen/>
        <w:t>18 data used in the 2021 Update with 2020</w:t>
      </w:r>
      <w:r w:rsidRPr="003C35AE">
        <w:rPr>
          <w:rFonts w:ascii="Work Sans" w:eastAsia="Calibri" w:hAnsi="Work Sans" w:cs="Cambria Math"/>
          <w:color w:val="000000"/>
          <w:sz w:val="24"/>
          <w:szCs w:val="24"/>
          <w:shd w:val="clear" w:color="auto" w:fill="FFFFFF"/>
        </w:rPr>
        <w:noBreakHyphen/>
        <w:t>21 data in the 2022 Update brings changes in the distribution of GST, evident in some of the drivers of change outlined below.</w:t>
      </w:r>
    </w:p>
    <w:p w14:paraId="59E3F2EB" w14:textId="77777777" w:rsidR="003C35AE" w:rsidRPr="003C35AE" w:rsidRDefault="003C35AE" w:rsidP="003C35AE">
      <w:pPr>
        <w:tabs>
          <w:tab w:val="clear" w:pos="567"/>
        </w:tabs>
        <w:spacing w:before="360" w:after="200" w:line="276" w:lineRule="auto"/>
        <w:outlineLvl w:val="2"/>
        <w:rPr>
          <w:rFonts w:ascii="Work Sans" w:eastAsia="Yu Gothic Light" w:hAnsi="Work Sans" w:cs="Open Sans"/>
          <w:b/>
          <w:bCs/>
          <w:color w:val="006991"/>
          <w:sz w:val="32"/>
          <w:szCs w:val="32"/>
        </w:rPr>
      </w:pPr>
      <w:r w:rsidRPr="003C35AE">
        <w:rPr>
          <w:rFonts w:ascii="Work Sans" w:eastAsia="Yu Gothic Light" w:hAnsi="Work Sans" w:cs="Open Sans"/>
          <w:b/>
          <w:bCs/>
          <w:color w:val="006991"/>
          <w:sz w:val="32"/>
          <w:szCs w:val="32"/>
        </w:rPr>
        <w:t xml:space="preserve">2018 legislative changes </w:t>
      </w:r>
    </w:p>
    <w:p w14:paraId="18EAFCDC" w14:textId="77777777" w:rsidR="003C35AE" w:rsidRPr="003C35AE" w:rsidRDefault="003C35AE" w:rsidP="00111449">
      <w:pPr>
        <w:spacing w:after="120"/>
        <w:rPr>
          <w:rFonts w:ascii="Work Sans" w:eastAsia="Calibri" w:hAnsi="Work Sans" w:cs="Cambria Math"/>
          <w:color w:val="000000"/>
          <w:sz w:val="24"/>
          <w:szCs w:val="24"/>
          <w:shd w:val="clear" w:color="auto" w:fill="FFFFFF"/>
        </w:rPr>
      </w:pPr>
      <w:r w:rsidRPr="003C35AE">
        <w:rPr>
          <w:rFonts w:ascii="Work Sans" w:eastAsia="Calibri" w:hAnsi="Work Sans" w:cs="Cambria Math"/>
          <w:color w:val="000000"/>
          <w:sz w:val="24"/>
          <w:szCs w:val="24"/>
          <w:shd w:val="clear" w:color="auto" w:fill="FFFFFF"/>
        </w:rPr>
        <w:t>2022-23 is the second year in a six-year transition to the 2018 legislated arrangements for the distribution of GST.</w:t>
      </w:r>
    </w:p>
    <w:p w14:paraId="09F35573" w14:textId="646C87DE" w:rsidR="003C35AE" w:rsidRPr="003C35AE" w:rsidRDefault="003C35AE" w:rsidP="00111449">
      <w:pPr>
        <w:spacing w:after="120"/>
        <w:rPr>
          <w:rFonts w:ascii="Work Sans" w:eastAsia="Calibri" w:hAnsi="Work Sans" w:cs="Cambria Math"/>
          <w:color w:val="000000"/>
          <w:sz w:val="24"/>
          <w:szCs w:val="24"/>
          <w:shd w:val="clear" w:color="auto" w:fill="FFFFFF"/>
        </w:rPr>
      </w:pPr>
      <w:r w:rsidRPr="003C35AE">
        <w:rPr>
          <w:rFonts w:ascii="Work Sans" w:eastAsia="Calibri" w:hAnsi="Work Sans" w:cs="Cambria Math"/>
          <w:color w:val="000000"/>
          <w:sz w:val="24"/>
          <w:szCs w:val="24"/>
          <w:shd w:val="clear" w:color="auto" w:fill="FFFFFF"/>
        </w:rPr>
        <w:lastRenderedPageBreak/>
        <w:t>For the first time, the GST relativity floor of 0.7 operated within the GST pool. Previously</w:t>
      </w:r>
      <w:r w:rsidRPr="003C35AE">
        <w:rPr>
          <w:rFonts w:ascii="Work Sans" w:eastAsia="Calibri" w:hAnsi="Work Sans" w:cs="Cambria Math"/>
          <w:color w:val="000000"/>
          <w:sz w:val="24"/>
          <w:szCs w:val="24"/>
          <w:shd w:val="clear" w:color="auto" w:fill="FFFFFF"/>
          <w:vertAlign w:val="superscript"/>
        </w:rPr>
        <w:footnoteReference w:id="4"/>
      </w:r>
      <w:r w:rsidRPr="003C35AE">
        <w:rPr>
          <w:rFonts w:ascii="Work Sans" w:eastAsia="Calibri" w:hAnsi="Work Sans" w:cs="Cambria Math"/>
          <w:color w:val="000000"/>
          <w:sz w:val="24"/>
          <w:szCs w:val="24"/>
          <w:shd w:val="clear" w:color="auto" w:fill="FFFFFF"/>
        </w:rPr>
        <w:t>, the Commonwealth made supplementary payments (outside the GST pool) to Western Australia to achieve an outcome equivalent to a relativity of 0.7. Increasing Western Australia’s relativity to the 0.7 floor in the 2022 Update increases its GST share significantly, while lowering the shares of the other states. The impact on them would be ameliorated by the Commonwealth’s top</w:t>
      </w:r>
      <w:r w:rsidRPr="003C35AE">
        <w:rPr>
          <w:rFonts w:ascii="Work Sans" w:eastAsia="Calibri" w:hAnsi="Work Sans" w:cs="Cambria Math"/>
          <w:color w:val="000000"/>
          <w:sz w:val="24"/>
          <w:szCs w:val="24"/>
          <w:shd w:val="clear" w:color="auto" w:fill="FFFFFF"/>
        </w:rPr>
        <w:noBreakHyphen/>
        <w:t xml:space="preserve">up to the GST pool and the transitional no worse off guarantee. </w:t>
      </w:r>
    </w:p>
    <w:p w14:paraId="5721C1DE" w14:textId="77777777" w:rsidR="003C35AE" w:rsidRPr="003C35AE" w:rsidRDefault="003C35AE" w:rsidP="003C35AE">
      <w:pPr>
        <w:tabs>
          <w:tab w:val="clear" w:pos="567"/>
        </w:tabs>
        <w:spacing w:before="360" w:after="200" w:line="276" w:lineRule="auto"/>
        <w:outlineLvl w:val="2"/>
        <w:rPr>
          <w:rFonts w:ascii="Work Sans" w:eastAsia="Yu Gothic Light" w:hAnsi="Work Sans" w:cs="Open Sans"/>
          <w:b/>
          <w:bCs/>
          <w:color w:val="006991"/>
          <w:sz w:val="32"/>
          <w:szCs w:val="32"/>
        </w:rPr>
      </w:pPr>
      <w:r w:rsidRPr="003C35AE">
        <w:rPr>
          <w:rFonts w:ascii="Work Sans" w:eastAsia="Yu Gothic Light" w:hAnsi="Work Sans" w:cs="Open Sans"/>
          <w:b/>
          <w:bCs/>
          <w:color w:val="006991"/>
          <w:sz w:val="32"/>
          <w:szCs w:val="32"/>
        </w:rPr>
        <w:t>COVID</w:t>
      </w:r>
      <w:r w:rsidRPr="003C35AE">
        <w:rPr>
          <w:rFonts w:ascii="Work Sans" w:eastAsia="Yu Gothic Light" w:hAnsi="Work Sans" w:cs="Open Sans"/>
          <w:b/>
          <w:bCs/>
          <w:color w:val="006991"/>
          <w:sz w:val="32"/>
          <w:szCs w:val="32"/>
        </w:rPr>
        <w:noBreakHyphen/>
        <w:t>19</w:t>
      </w:r>
    </w:p>
    <w:p w14:paraId="4517381E" w14:textId="77777777" w:rsidR="003C35AE" w:rsidRPr="003C35AE" w:rsidRDefault="003C35AE" w:rsidP="00D7360B">
      <w:pPr>
        <w:spacing w:after="120"/>
        <w:rPr>
          <w:rFonts w:ascii="Work Sans" w:eastAsia="Calibri" w:hAnsi="Work Sans" w:cs="Cambria Math"/>
          <w:color w:val="000000"/>
          <w:sz w:val="24"/>
          <w:szCs w:val="24"/>
          <w:shd w:val="clear" w:color="auto" w:fill="FFFFFF"/>
        </w:rPr>
      </w:pPr>
      <w:r w:rsidRPr="003C35AE">
        <w:rPr>
          <w:rFonts w:ascii="Work Sans" w:eastAsia="Calibri" w:hAnsi="Work Sans" w:cs="Cambria Math"/>
          <w:color w:val="000000"/>
          <w:sz w:val="24"/>
          <w:szCs w:val="24"/>
          <w:shd w:val="clear" w:color="auto" w:fill="FFFFFF"/>
        </w:rPr>
        <w:t xml:space="preserve">COVID-19, and Commonwealth and state government responses to it, continue to affect Australia’s economy and society. The 2022 Update assessed state circumstances for the 36 months from July 2018 to June 2021, of which 16 months were affected by the pandemic. The Omicron </w:t>
      </w:r>
      <w:r w:rsidRPr="003C35AE" w:rsidDel="007B6F96">
        <w:rPr>
          <w:rFonts w:ascii="Work Sans" w:eastAsia="Calibri" w:hAnsi="Work Sans" w:cs="Cambria Math"/>
          <w:color w:val="000000"/>
          <w:sz w:val="24"/>
          <w:szCs w:val="24"/>
          <w:shd w:val="clear" w:color="auto" w:fill="FFFFFF"/>
        </w:rPr>
        <w:t xml:space="preserve">outbreak </w:t>
      </w:r>
      <w:r w:rsidRPr="003C35AE">
        <w:rPr>
          <w:rFonts w:ascii="Work Sans" w:eastAsia="Calibri" w:hAnsi="Work Sans" w:cs="Cambria Math"/>
          <w:color w:val="000000"/>
          <w:sz w:val="24"/>
          <w:szCs w:val="24"/>
          <w:shd w:val="clear" w:color="auto" w:fill="FFFFFF"/>
        </w:rPr>
        <w:t>emerged in 2021-22 so its impacts are not reflected in this update.</w:t>
      </w:r>
    </w:p>
    <w:p w14:paraId="26D0A1E7" w14:textId="3C347708" w:rsidR="003C35AE" w:rsidRPr="003C35AE" w:rsidRDefault="003C35AE" w:rsidP="00D7360B">
      <w:pPr>
        <w:spacing w:after="120"/>
        <w:rPr>
          <w:rFonts w:ascii="Work Sans" w:eastAsia="Calibri" w:hAnsi="Work Sans" w:cs="Cambria Math"/>
          <w:i/>
          <w:iCs/>
          <w:color w:val="000000"/>
          <w:sz w:val="24"/>
          <w:szCs w:val="24"/>
          <w:shd w:val="clear" w:color="auto" w:fill="FFFFFF"/>
        </w:rPr>
      </w:pPr>
      <w:r w:rsidRPr="003C35AE">
        <w:rPr>
          <w:rFonts w:ascii="Work Sans" w:eastAsia="Calibri" w:hAnsi="Work Sans" w:cs="Cambria Math"/>
          <w:color w:val="000000"/>
          <w:sz w:val="24"/>
          <w:szCs w:val="24"/>
          <w:shd w:val="clear" w:color="auto" w:fill="FFFFFF"/>
        </w:rPr>
        <w:t xml:space="preserve">The Commission, in consultation with the states, considered the implications of the pandemic for the update (see </w:t>
      </w:r>
      <w:hyperlink r:id="rId21" w:history="1">
        <w:r w:rsidRPr="0028318E">
          <w:rPr>
            <w:rStyle w:val="Hyperlink"/>
            <w:rFonts w:ascii="Work Sans" w:eastAsia="Calibri" w:hAnsi="Work Sans" w:cs="Cambria Math"/>
            <w:i/>
            <w:iCs/>
            <w:sz w:val="24"/>
            <w:szCs w:val="24"/>
            <w:shd w:val="clear" w:color="auto" w:fill="FFFFFF"/>
          </w:rPr>
          <w:t>New issues in the 2022 Update</w:t>
        </w:r>
      </w:hyperlink>
      <w:r w:rsidRPr="003C35AE">
        <w:rPr>
          <w:rFonts w:ascii="Work Sans" w:eastAsia="Calibri" w:hAnsi="Work Sans" w:cs="Cambria Math"/>
          <w:i/>
          <w:iCs/>
          <w:color w:val="000000"/>
          <w:sz w:val="24"/>
          <w:szCs w:val="24"/>
          <w:shd w:val="clear" w:color="auto" w:fill="FFFFFF"/>
        </w:rPr>
        <w:t>).</w:t>
      </w:r>
    </w:p>
    <w:p w14:paraId="2CDFEDF1" w14:textId="77777777" w:rsidR="003C35AE" w:rsidRPr="003C35AE" w:rsidRDefault="003C35AE" w:rsidP="00D7360B">
      <w:pPr>
        <w:spacing w:after="120"/>
        <w:rPr>
          <w:rFonts w:ascii="Work Sans" w:eastAsia="Calibri" w:hAnsi="Work Sans" w:cs="Cambria Math"/>
          <w:color w:val="000000"/>
          <w:sz w:val="24"/>
          <w:szCs w:val="24"/>
          <w:shd w:val="clear" w:color="auto" w:fill="FFFFFF"/>
        </w:rPr>
      </w:pPr>
      <w:r w:rsidRPr="003C35AE">
        <w:rPr>
          <w:rFonts w:ascii="Work Sans" w:eastAsia="Calibri" w:hAnsi="Work Sans" w:cs="Cambria Math"/>
          <w:color w:val="000000"/>
          <w:sz w:val="24"/>
          <w:szCs w:val="24"/>
          <w:shd w:val="clear" w:color="auto" w:fill="FFFFFF"/>
        </w:rPr>
        <w:t>The Commission concluded that its revenue assessments largely captured the effects of the pandemic on states’ revenue raising capacities. Some states considered the pandemic brought into question the appropriateness of some of the expenditure assessments, particularly for health and business support. However, a change in assessment methods was outside the terms of reference set for the 2022 Update.</w:t>
      </w:r>
    </w:p>
    <w:p w14:paraId="25B7F3EB" w14:textId="77777777" w:rsidR="003C35AE" w:rsidRPr="003C35AE" w:rsidRDefault="003C35AE" w:rsidP="00D7360B">
      <w:pPr>
        <w:spacing w:after="120"/>
        <w:rPr>
          <w:rFonts w:ascii="Work Sans" w:eastAsia="Calibri" w:hAnsi="Work Sans" w:cs="Cambria Math"/>
          <w:color w:val="000000"/>
          <w:sz w:val="24"/>
          <w:szCs w:val="24"/>
          <w:shd w:val="clear" w:color="auto" w:fill="FFFFFF"/>
          <w:lang w:eastAsia="en-AU"/>
        </w:rPr>
      </w:pPr>
      <w:r w:rsidRPr="003C35AE">
        <w:rPr>
          <w:rFonts w:ascii="Work Sans" w:eastAsia="Calibri" w:hAnsi="Work Sans" w:cs="Cambria Math"/>
          <w:color w:val="000000"/>
          <w:sz w:val="24"/>
          <w:szCs w:val="24"/>
          <w:shd w:val="clear" w:color="auto" w:fill="FFFFFF"/>
          <w:lang w:eastAsia="en-AU"/>
        </w:rPr>
        <w:t>The Commission will continue to monitor impacts of the pandemic and its ongoing consequences as part of its work for future updates.</w:t>
      </w:r>
    </w:p>
    <w:p w14:paraId="1D154F25" w14:textId="77777777" w:rsidR="003C35AE" w:rsidRPr="003C35AE" w:rsidRDefault="003C35AE" w:rsidP="00D7360B">
      <w:pPr>
        <w:spacing w:after="120"/>
        <w:rPr>
          <w:rFonts w:ascii="Work Sans" w:eastAsia="Calibri" w:hAnsi="Work Sans" w:cs="Cambria Math"/>
          <w:color w:val="000000"/>
          <w:sz w:val="24"/>
          <w:szCs w:val="24"/>
          <w:shd w:val="clear" w:color="auto" w:fill="FFFFFF"/>
        </w:rPr>
      </w:pPr>
      <w:r w:rsidRPr="003C35AE">
        <w:rPr>
          <w:rFonts w:ascii="Work Sans" w:eastAsia="Calibri" w:hAnsi="Work Sans" w:cs="Cambria Math"/>
          <w:color w:val="000000"/>
          <w:sz w:val="24"/>
          <w:szCs w:val="24"/>
          <w:shd w:val="clear" w:color="auto" w:fill="FFFFFF"/>
          <w:lang w:eastAsia="en-AU"/>
        </w:rPr>
        <w:t xml:space="preserve">While the pandemic had an impact on GST distribution in 2022-23, other developments had a much larger influence. </w:t>
      </w:r>
    </w:p>
    <w:p w14:paraId="558A10F0" w14:textId="77777777" w:rsidR="003C35AE" w:rsidRPr="003C35AE" w:rsidRDefault="003C35AE" w:rsidP="003C35AE">
      <w:pPr>
        <w:tabs>
          <w:tab w:val="clear" w:pos="567"/>
        </w:tabs>
        <w:spacing w:before="360" w:after="200" w:line="276" w:lineRule="auto"/>
        <w:outlineLvl w:val="2"/>
        <w:rPr>
          <w:rFonts w:ascii="Work Sans" w:eastAsia="Yu Gothic Light" w:hAnsi="Work Sans" w:cs="Open Sans"/>
          <w:b/>
          <w:bCs/>
          <w:color w:val="006991"/>
          <w:sz w:val="32"/>
          <w:szCs w:val="32"/>
        </w:rPr>
      </w:pPr>
      <w:r w:rsidRPr="003C35AE">
        <w:rPr>
          <w:rFonts w:ascii="Work Sans" w:eastAsia="Yu Gothic Light" w:hAnsi="Work Sans" w:cs="Open Sans"/>
          <w:b/>
          <w:bCs/>
          <w:color w:val="006991"/>
          <w:sz w:val="32"/>
          <w:szCs w:val="32"/>
        </w:rPr>
        <w:t xml:space="preserve">Value of iron ore production </w:t>
      </w:r>
    </w:p>
    <w:p w14:paraId="2CB8A081" w14:textId="05FEF275" w:rsidR="003C35AE" w:rsidRPr="003C35AE" w:rsidRDefault="003C35AE" w:rsidP="00D7360B">
      <w:pPr>
        <w:rPr>
          <w:rFonts w:ascii="Work Sans" w:eastAsia="Times New Roman" w:hAnsi="Work Sans" w:cs="Times New Roman"/>
          <w:color w:val="000000"/>
          <w:sz w:val="24"/>
          <w:szCs w:val="20"/>
          <w:shd w:val="clear" w:color="auto" w:fill="FFFFFF"/>
          <w:lang w:eastAsia="en-AU"/>
        </w:rPr>
      </w:pPr>
      <w:r w:rsidRPr="003C35AE">
        <w:rPr>
          <w:rFonts w:ascii="Work Sans" w:eastAsia="Times New Roman" w:hAnsi="Work Sans" w:cs="Times New Roman"/>
          <w:color w:val="000000"/>
          <w:sz w:val="24"/>
          <w:szCs w:val="20"/>
          <w:shd w:val="clear" w:color="auto" w:fill="FFFFFF"/>
          <w:lang w:eastAsia="en-AU"/>
        </w:rPr>
        <w:t>In recent years, changes in mining production and commodity prices have had large impacts on the value of mining activity. When coupled with the uneven distribution of resource endowments, this has resulted in the mining revenue assessment having a significant impact on GST distribution (see </w:t>
      </w:r>
      <w:hyperlink r:id="rId22" w:history="1">
        <w:r w:rsidRPr="003C35AE">
          <w:rPr>
            <w:rFonts w:ascii="Work Sans" w:eastAsia="Calibri" w:hAnsi="Work Sans" w:cs="Cambria Math"/>
            <w:i/>
            <w:iCs/>
            <w:color w:val="0563C1"/>
            <w:sz w:val="24"/>
            <w:szCs w:val="21"/>
            <w:u w:val="single"/>
            <w:shd w:val="clear" w:color="auto" w:fill="FFFFFF"/>
          </w:rPr>
          <w:t>Occasional Paper #3 Mining revenue and GST distribution</w:t>
        </w:r>
      </w:hyperlink>
      <w:r w:rsidRPr="003C35AE">
        <w:rPr>
          <w:rFonts w:ascii="Work Sans" w:eastAsia="Calibri" w:hAnsi="Work Sans" w:cs="Cambria Math"/>
          <w:color w:val="000000"/>
          <w:sz w:val="24"/>
          <w:szCs w:val="21"/>
          <w:shd w:val="clear" w:color="auto" w:fill="FFFFFF"/>
        </w:rPr>
        <w:t>)</w:t>
      </w:r>
      <w:r w:rsidRPr="003C35AE">
        <w:rPr>
          <w:rFonts w:ascii="Work Sans" w:eastAsia="Times New Roman" w:hAnsi="Work Sans" w:cs="Times New Roman"/>
          <w:color w:val="000000"/>
          <w:sz w:val="24"/>
          <w:szCs w:val="20"/>
          <w:shd w:val="clear" w:color="auto" w:fill="FFFFFF"/>
          <w:lang w:eastAsia="en-AU"/>
        </w:rPr>
        <w:t>. Mining revenue is the second largest driver of change in GST distribution in 2022</w:t>
      </w:r>
      <w:r w:rsidR="00D7360B">
        <w:rPr>
          <w:rFonts w:ascii="Work Sans" w:eastAsia="Times New Roman" w:hAnsi="Work Sans" w:cs="Times New Roman"/>
          <w:color w:val="000000"/>
          <w:sz w:val="24"/>
          <w:szCs w:val="20"/>
          <w:shd w:val="clear" w:color="auto" w:fill="FFFFFF"/>
          <w:lang w:eastAsia="en-AU"/>
        </w:rPr>
        <w:noBreakHyphen/>
      </w:r>
      <w:r w:rsidRPr="003C35AE">
        <w:rPr>
          <w:rFonts w:ascii="Work Sans" w:eastAsia="Times New Roman" w:hAnsi="Work Sans" w:cs="Times New Roman"/>
          <w:color w:val="000000"/>
          <w:sz w:val="24"/>
          <w:szCs w:val="20"/>
          <w:shd w:val="clear" w:color="auto" w:fill="FFFFFF"/>
          <w:lang w:eastAsia="en-AU"/>
        </w:rPr>
        <w:t>23.</w:t>
      </w:r>
    </w:p>
    <w:p w14:paraId="41F23C1F" w14:textId="77777777" w:rsidR="003C35AE" w:rsidRPr="003C35AE" w:rsidRDefault="003C35AE" w:rsidP="00D7360B">
      <w:pPr>
        <w:rPr>
          <w:rFonts w:ascii="Work Sans" w:eastAsia="Times New Roman" w:hAnsi="Work Sans" w:cs="Times New Roman"/>
          <w:color w:val="000000"/>
          <w:sz w:val="24"/>
          <w:szCs w:val="20"/>
          <w:shd w:val="clear" w:color="auto" w:fill="FFFFFF"/>
          <w:lang w:eastAsia="en-AU"/>
        </w:rPr>
      </w:pPr>
      <w:r w:rsidRPr="003C35AE">
        <w:rPr>
          <w:rFonts w:ascii="Work Sans" w:eastAsia="Times New Roman" w:hAnsi="Work Sans" w:cs="Times New Roman"/>
          <w:color w:val="000000"/>
          <w:sz w:val="24"/>
          <w:szCs w:val="20"/>
          <w:shd w:val="clear" w:color="auto" w:fill="FFFFFF"/>
          <w:lang w:eastAsia="en-AU"/>
        </w:rPr>
        <w:lastRenderedPageBreak/>
        <w:t xml:space="preserve">Almost all iron ore royalties are raised in Western Australia. Significant growth in the value of iron ore production </w:t>
      </w:r>
      <w:r w:rsidRPr="003C35AE" w:rsidDel="00BF59BC">
        <w:rPr>
          <w:rFonts w:ascii="Work Sans" w:eastAsia="Times New Roman" w:hAnsi="Work Sans" w:cs="Times New Roman"/>
          <w:color w:val="000000"/>
          <w:sz w:val="24"/>
          <w:szCs w:val="20"/>
          <w:shd w:val="clear" w:color="auto" w:fill="FFFFFF"/>
          <w:lang w:eastAsia="en-AU"/>
        </w:rPr>
        <w:t xml:space="preserve">increased </w:t>
      </w:r>
      <w:r w:rsidRPr="003C35AE">
        <w:rPr>
          <w:rFonts w:ascii="Work Sans" w:eastAsia="Times New Roman" w:hAnsi="Work Sans" w:cs="Times New Roman"/>
          <w:color w:val="000000"/>
          <w:sz w:val="24"/>
          <w:szCs w:val="20"/>
          <w:shd w:val="clear" w:color="auto" w:fill="FFFFFF"/>
          <w:lang w:eastAsia="en-AU"/>
        </w:rPr>
        <w:t>its assessed capacity to raise mining revenue (reducing its GST needs) and reduced the relative capacities of the other states to raise mining revenue (increasing their GST needs).</w:t>
      </w:r>
    </w:p>
    <w:p w14:paraId="04F94124" w14:textId="77777777" w:rsidR="003C35AE" w:rsidRPr="003C35AE" w:rsidRDefault="003C35AE" w:rsidP="003C35AE">
      <w:pPr>
        <w:tabs>
          <w:tab w:val="clear" w:pos="567"/>
        </w:tabs>
        <w:spacing w:before="360" w:after="200" w:line="276" w:lineRule="auto"/>
        <w:outlineLvl w:val="2"/>
        <w:rPr>
          <w:rFonts w:ascii="Work Sans" w:eastAsia="Yu Gothic Light" w:hAnsi="Work Sans" w:cs="Open Sans"/>
          <w:b/>
          <w:bCs/>
          <w:color w:val="006991"/>
          <w:sz w:val="32"/>
          <w:szCs w:val="32"/>
        </w:rPr>
      </w:pPr>
      <w:r w:rsidRPr="003C35AE">
        <w:rPr>
          <w:rFonts w:ascii="Work Sans" w:eastAsia="Yu Gothic Light" w:hAnsi="Work Sans" w:cs="Open Sans"/>
          <w:b/>
          <w:bCs/>
          <w:color w:val="006991"/>
          <w:sz w:val="32"/>
          <w:szCs w:val="32"/>
        </w:rPr>
        <w:t>Changing state population growth trends</w:t>
      </w:r>
    </w:p>
    <w:p w14:paraId="6944A751" w14:textId="22C4CDD8" w:rsidR="003C35AE" w:rsidRPr="003C35AE" w:rsidRDefault="003C35AE" w:rsidP="00D7360B">
      <w:pPr>
        <w:spacing w:after="120"/>
        <w:rPr>
          <w:rFonts w:ascii="Work Sans" w:eastAsia="Calibri" w:hAnsi="Work Sans" w:cs="Cambria Math"/>
          <w:color w:val="000000"/>
          <w:sz w:val="24"/>
          <w:szCs w:val="24"/>
          <w:shd w:val="clear" w:color="auto" w:fill="FFFFFF"/>
        </w:rPr>
      </w:pPr>
      <w:r w:rsidRPr="003C35AE">
        <w:rPr>
          <w:rFonts w:ascii="Work Sans" w:eastAsia="Calibri" w:hAnsi="Work Sans" w:cs="Cambria Math"/>
          <w:color w:val="000000"/>
          <w:sz w:val="24"/>
          <w:szCs w:val="24"/>
          <w:shd w:val="clear" w:color="auto" w:fill="FFFFFF"/>
        </w:rPr>
        <w:t>As states’ populations grow, they require more infrastructure to deliver services. The Commission assesses states with relatively fast</w:t>
      </w:r>
      <w:r w:rsidRPr="003C35AE">
        <w:rPr>
          <w:rFonts w:ascii="Work Sans" w:eastAsia="Calibri" w:hAnsi="Work Sans" w:cs="Cambria Math"/>
          <w:color w:val="000000"/>
          <w:sz w:val="24"/>
          <w:szCs w:val="24"/>
          <w:shd w:val="clear" w:color="auto" w:fill="FFFFFF"/>
        </w:rPr>
        <w:noBreakHyphen/>
        <w:t xml:space="preserve">growing populations as requiring more GST to fund this infrastructure. </w:t>
      </w:r>
      <w:r w:rsidRPr="003C35AE">
        <w:rPr>
          <w:rFonts w:ascii="Work Sans" w:eastAsia="Calibri" w:hAnsi="Work Sans" w:cs="Cambria Math"/>
          <w:color w:val="000000"/>
          <w:sz w:val="24"/>
          <w:szCs w:val="24"/>
        </w:rPr>
        <w:t>Victoria’s population</w:t>
      </w:r>
      <w:r w:rsidRPr="003C35AE">
        <w:rPr>
          <w:rFonts w:ascii="Work Sans" w:eastAsia="Calibri" w:hAnsi="Work Sans" w:cs="Cambria Math"/>
          <w:color w:val="000000"/>
          <w:sz w:val="24"/>
          <w:szCs w:val="24"/>
          <w:shd w:val="clear" w:color="auto" w:fill="FFFFFF"/>
        </w:rPr>
        <w:t xml:space="preserve"> declined in 2020-21, primarily due to lower overseas arrivals and, to a lesser extent, lower interstate migration, because of the pandemic. Victoria’s lower population growth rate over the assessment period for the update </w:t>
      </w:r>
      <w:r w:rsidRPr="003C35AE">
        <w:rPr>
          <w:rFonts w:ascii="Work Sans" w:eastAsia="Calibri" w:hAnsi="Work Sans" w:cs="Cambria Math"/>
          <w:color w:val="000000"/>
          <w:sz w:val="24"/>
          <w:szCs w:val="24"/>
        </w:rPr>
        <w:t xml:space="preserve">reduced its </w:t>
      </w:r>
      <w:r w:rsidRPr="003C35AE">
        <w:rPr>
          <w:rFonts w:ascii="Work Sans" w:eastAsia="Calibri" w:hAnsi="Work Sans" w:cs="Cambria Math"/>
          <w:color w:val="000000"/>
          <w:sz w:val="24"/>
          <w:szCs w:val="24"/>
          <w:shd w:val="clear" w:color="auto" w:fill="FFFFFF"/>
        </w:rPr>
        <w:t xml:space="preserve">assessed </w:t>
      </w:r>
      <w:r w:rsidRPr="003C35AE">
        <w:rPr>
          <w:rFonts w:ascii="Work Sans" w:eastAsia="Calibri" w:hAnsi="Work Sans" w:cs="Cambria Math"/>
          <w:color w:val="000000"/>
          <w:sz w:val="24"/>
          <w:szCs w:val="24"/>
        </w:rPr>
        <w:t>need to invest in infrastructure, relative to other states, and reduced its share of the GST pool</w:t>
      </w:r>
      <w:r w:rsidRPr="003C35AE">
        <w:rPr>
          <w:rFonts w:ascii="Work Sans" w:eastAsia="Calibri" w:hAnsi="Work Sans" w:cs="Cambria Math"/>
          <w:color w:val="000000"/>
          <w:sz w:val="24"/>
          <w:szCs w:val="24"/>
          <w:shd w:val="clear" w:color="auto" w:fill="FFFFFF"/>
        </w:rPr>
        <w:t xml:space="preserve">. </w:t>
      </w:r>
    </w:p>
    <w:p w14:paraId="09D3B2D5" w14:textId="16DBB029" w:rsidR="003C35AE" w:rsidRPr="003C35AE" w:rsidRDefault="003C35AE" w:rsidP="00D7360B">
      <w:pPr>
        <w:spacing w:after="120"/>
        <w:rPr>
          <w:rFonts w:ascii="Work Sans" w:eastAsia="Calibri" w:hAnsi="Work Sans" w:cs="Cambria Math"/>
          <w:color w:val="000000"/>
          <w:sz w:val="24"/>
          <w:szCs w:val="24"/>
          <w:shd w:val="clear" w:color="auto" w:fill="FFFFFF"/>
        </w:rPr>
      </w:pPr>
      <w:r w:rsidRPr="003C35AE">
        <w:rPr>
          <w:rFonts w:ascii="Work Sans" w:eastAsia="Calibri" w:hAnsi="Work Sans" w:cs="Cambria Math"/>
          <w:color w:val="000000"/>
          <w:sz w:val="24"/>
          <w:szCs w:val="24"/>
          <w:shd w:val="clear" w:color="auto" w:fill="FFFFFF"/>
        </w:rPr>
        <w:t xml:space="preserve">This decline may be short-term. If Victoria’s population growth reverts to its medium-term trend, or there is subsequent catch-up growth, this would be reflected in the Commission’s future assessments. </w:t>
      </w:r>
    </w:p>
    <w:p w14:paraId="19805825" w14:textId="77777777" w:rsidR="003C35AE" w:rsidRPr="003C35AE" w:rsidRDefault="003C35AE" w:rsidP="00D7360B">
      <w:pPr>
        <w:tabs>
          <w:tab w:val="clear" w:pos="567"/>
        </w:tabs>
        <w:spacing w:before="240" w:line="300" w:lineRule="atLeast"/>
        <w:rPr>
          <w:rFonts w:ascii="Work Sans" w:eastAsia="Times New Roman" w:hAnsi="Work Sans" w:cs="Times New Roman"/>
          <w:sz w:val="24"/>
          <w:szCs w:val="20"/>
          <w:lang w:eastAsia="en-AU"/>
        </w:rPr>
      </w:pPr>
      <w:r w:rsidRPr="003C35AE">
        <w:rPr>
          <w:rFonts w:ascii="Work Sans" w:eastAsia="Times New Roman" w:hAnsi="Work Sans" w:cs="Times New Roman"/>
          <w:sz w:val="24"/>
          <w:szCs w:val="20"/>
          <w:lang w:eastAsia="en-AU"/>
        </w:rPr>
        <w:t>Despite a significant fall in national population growth, Western Australia and the Northern Territory had faster population growth in 2020-21 than in 2017</w:t>
      </w:r>
      <w:r w:rsidRPr="003C35AE">
        <w:rPr>
          <w:rFonts w:ascii="Work Sans" w:eastAsia="Times New Roman" w:hAnsi="Work Sans" w:cs="Times New Roman"/>
          <w:sz w:val="24"/>
          <w:szCs w:val="20"/>
          <w:lang w:eastAsia="en-AU"/>
        </w:rPr>
        <w:noBreakHyphen/>
        <w:t>18, increasing their investment needs and their share of the GST pool.</w:t>
      </w:r>
    </w:p>
    <w:p w14:paraId="6BC230D8" w14:textId="77777777" w:rsidR="003C35AE" w:rsidRPr="003C35AE" w:rsidRDefault="003C35AE" w:rsidP="003C35AE">
      <w:pPr>
        <w:tabs>
          <w:tab w:val="clear" w:pos="567"/>
        </w:tabs>
        <w:spacing w:before="360" w:after="200" w:line="276" w:lineRule="auto"/>
        <w:outlineLvl w:val="2"/>
        <w:rPr>
          <w:rFonts w:ascii="Work Sans" w:eastAsia="Yu Gothic Light" w:hAnsi="Work Sans" w:cs="Open Sans"/>
          <w:b/>
          <w:bCs/>
          <w:color w:val="006991"/>
          <w:sz w:val="32"/>
          <w:szCs w:val="32"/>
        </w:rPr>
      </w:pPr>
      <w:r w:rsidRPr="003C35AE">
        <w:rPr>
          <w:rFonts w:ascii="Work Sans" w:eastAsia="Yu Gothic Light" w:hAnsi="Work Sans" w:cs="Open Sans"/>
          <w:b/>
          <w:bCs/>
          <w:color w:val="006991"/>
          <w:sz w:val="32"/>
          <w:szCs w:val="32"/>
        </w:rPr>
        <w:t>Uneven property price increases</w:t>
      </w:r>
    </w:p>
    <w:p w14:paraId="13D8D185" w14:textId="77777777" w:rsidR="003C35AE" w:rsidRPr="003C35AE" w:rsidRDefault="003C35AE" w:rsidP="00D7360B">
      <w:pPr>
        <w:spacing w:after="120"/>
        <w:rPr>
          <w:rFonts w:ascii="Work Sans" w:eastAsia="Calibri" w:hAnsi="Work Sans" w:cs="Cambria Math"/>
          <w:color w:val="000000"/>
          <w:sz w:val="24"/>
          <w:szCs w:val="24"/>
          <w:shd w:val="clear" w:color="auto" w:fill="FFFFFF"/>
        </w:rPr>
      </w:pPr>
      <w:r w:rsidRPr="003C35AE">
        <w:rPr>
          <w:rFonts w:ascii="Work Sans" w:eastAsia="Calibri" w:hAnsi="Work Sans" w:cs="Cambria Math"/>
          <w:color w:val="000000"/>
          <w:sz w:val="24"/>
          <w:szCs w:val="24"/>
          <w:shd w:val="clear" w:color="auto" w:fill="FFFFFF"/>
        </w:rPr>
        <w:t>Stamp duties raised from the transfer of property are potentially volatile. Property market cycles can lead to large changes to states’ relative revenue raising capacities.</w:t>
      </w:r>
    </w:p>
    <w:p w14:paraId="7FEAA950" w14:textId="77777777" w:rsidR="003C35AE" w:rsidRPr="003C35AE" w:rsidRDefault="003C35AE" w:rsidP="00D7360B">
      <w:pPr>
        <w:spacing w:after="120"/>
        <w:rPr>
          <w:rFonts w:ascii="Work Sans" w:eastAsia="Calibri" w:hAnsi="Work Sans" w:cs="Cambria Math"/>
          <w:color w:val="000000"/>
          <w:sz w:val="24"/>
          <w:szCs w:val="24"/>
          <w:shd w:val="clear" w:color="auto" w:fill="FFFFFF"/>
        </w:rPr>
      </w:pPr>
      <w:r w:rsidRPr="003C35AE">
        <w:rPr>
          <w:rFonts w:ascii="Work Sans" w:eastAsia="Calibri" w:hAnsi="Work Sans" w:cs="Cambria Math"/>
          <w:color w:val="000000"/>
          <w:sz w:val="24"/>
          <w:szCs w:val="24"/>
          <w:shd w:val="clear" w:color="auto" w:fill="FFFFFF"/>
        </w:rPr>
        <w:t>Between 2017</w:t>
      </w:r>
      <w:r w:rsidRPr="003C35AE" w:rsidDel="0094427B">
        <w:rPr>
          <w:rFonts w:ascii="Work Sans" w:eastAsia="Calibri" w:hAnsi="Work Sans" w:cs="Cambria Math"/>
          <w:color w:val="000000"/>
          <w:sz w:val="24"/>
          <w:szCs w:val="24"/>
          <w:shd w:val="clear" w:color="auto" w:fill="FFFFFF"/>
        </w:rPr>
        <w:noBreakHyphen/>
        <w:t>18</w:t>
      </w:r>
      <w:r w:rsidRPr="003C35AE">
        <w:rPr>
          <w:rFonts w:ascii="Work Sans" w:eastAsia="Calibri" w:hAnsi="Work Sans" w:cs="Cambria Math"/>
          <w:color w:val="000000"/>
          <w:sz w:val="24"/>
          <w:szCs w:val="24"/>
          <w:shd w:val="clear" w:color="auto" w:fill="FFFFFF"/>
        </w:rPr>
        <w:t xml:space="preserve"> and 2020</w:t>
      </w:r>
      <w:r w:rsidRPr="003C35AE">
        <w:rPr>
          <w:rFonts w:ascii="Work Sans" w:eastAsia="Calibri" w:hAnsi="Work Sans" w:cs="Cambria Math"/>
          <w:color w:val="000000"/>
          <w:sz w:val="24"/>
          <w:szCs w:val="24"/>
          <w:shd w:val="clear" w:color="auto" w:fill="FFFFFF"/>
        </w:rPr>
        <w:noBreakHyphen/>
        <w:t>21, the per person value of property transferred increased nationally by 10%. All states except Victoria experienced above average increases over this period, strengthening their revenue raising capacity. The per person value of property transfers in Victoria was 7.4% lower in 2020-21 than in 2017-18. This weakened its revenue raising capacity and increased its GST needs.</w:t>
      </w:r>
    </w:p>
    <w:p w14:paraId="686E65A2" w14:textId="77777777" w:rsidR="003C35AE" w:rsidRPr="003C35AE" w:rsidRDefault="003C35AE" w:rsidP="003C35AE">
      <w:pPr>
        <w:tabs>
          <w:tab w:val="clear" w:pos="567"/>
        </w:tabs>
        <w:spacing w:before="360" w:after="200" w:line="276" w:lineRule="auto"/>
        <w:outlineLvl w:val="2"/>
        <w:rPr>
          <w:rFonts w:ascii="Work Sans" w:eastAsia="Yu Gothic Light" w:hAnsi="Work Sans" w:cs="Open Sans"/>
          <w:b/>
          <w:bCs/>
          <w:color w:val="006991"/>
          <w:sz w:val="32"/>
          <w:szCs w:val="32"/>
        </w:rPr>
      </w:pPr>
      <w:r w:rsidRPr="003C35AE">
        <w:rPr>
          <w:rFonts w:ascii="Work Sans" w:eastAsia="Yu Gothic Light" w:hAnsi="Work Sans" w:cs="Open Sans"/>
          <w:b/>
          <w:bCs/>
          <w:color w:val="006991"/>
          <w:sz w:val="32"/>
          <w:szCs w:val="32"/>
        </w:rPr>
        <w:t>Uneven wage growth</w:t>
      </w:r>
    </w:p>
    <w:p w14:paraId="6E3DF68E" w14:textId="77777777" w:rsidR="003C35AE" w:rsidRPr="003C35AE" w:rsidRDefault="003C35AE" w:rsidP="00D7360B">
      <w:pPr>
        <w:spacing w:after="120"/>
        <w:rPr>
          <w:rFonts w:ascii="Work Sans" w:eastAsia="Calibri" w:hAnsi="Work Sans" w:cs="Cambria Math"/>
          <w:color w:val="000000"/>
          <w:sz w:val="24"/>
          <w:szCs w:val="24"/>
          <w:shd w:val="clear" w:color="auto" w:fill="FFFFFF"/>
        </w:rPr>
      </w:pPr>
      <w:r w:rsidRPr="003C35AE">
        <w:rPr>
          <w:rFonts w:ascii="Work Sans" w:eastAsia="Calibri" w:hAnsi="Work Sans" w:cs="Cambria Math"/>
          <w:color w:val="000000"/>
          <w:sz w:val="24"/>
          <w:szCs w:val="24"/>
          <w:shd w:val="clear" w:color="auto" w:fill="FFFFFF"/>
        </w:rPr>
        <w:t>Wage costs account for a large proportion of the cost of delivering services. Differences between states’ relative wage costs in 2017-18 and 2020-21 changed the GST needs of states.</w:t>
      </w:r>
    </w:p>
    <w:p w14:paraId="5A288558" w14:textId="77777777" w:rsidR="003C35AE" w:rsidRPr="003C35AE" w:rsidRDefault="003C35AE" w:rsidP="00D7360B">
      <w:pPr>
        <w:spacing w:after="120"/>
        <w:rPr>
          <w:rFonts w:ascii="Work Sans" w:eastAsia="Calibri" w:hAnsi="Work Sans" w:cs="Cambria Math"/>
          <w:color w:val="000000"/>
          <w:sz w:val="24"/>
          <w:szCs w:val="24"/>
          <w:shd w:val="clear" w:color="auto" w:fill="FFFFFF"/>
        </w:rPr>
      </w:pPr>
      <w:r w:rsidRPr="003C35AE">
        <w:rPr>
          <w:rFonts w:ascii="Work Sans" w:eastAsia="Calibri" w:hAnsi="Work Sans" w:cs="Cambria Math"/>
          <w:color w:val="000000"/>
          <w:sz w:val="24"/>
          <w:szCs w:val="24"/>
          <w:shd w:val="clear" w:color="auto" w:fill="FFFFFF"/>
        </w:rPr>
        <w:t xml:space="preserve">Relative wage costs grew in New South Wales, Western Australia and South Australia between 2017-18 and 2020-21. This increased their GST </w:t>
      </w:r>
      <w:r w:rsidRPr="003C35AE">
        <w:rPr>
          <w:rFonts w:ascii="Work Sans" w:eastAsia="Calibri" w:hAnsi="Work Sans" w:cs="Cambria Math"/>
          <w:color w:val="000000"/>
          <w:sz w:val="24"/>
          <w:szCs w:val="24"/>
          <w:shd w:val="clear" w:color="auto" w:fill="FFFFFF"/>
        </w:rPr>
        <w:lastRenderedPageBreak/>
        <w:t>needs. Relative wage costs in Victoria, Queensland, the ACT and the Northern Territory fell, lowering their GST needs.</w:t>
      </w:r>
    </w:p>
    <w:p w14:paraId="5F906033" w14:textId="77777777" w:rsidR="003C35AE" w:rsidRPr="003C35AE" w:rsidRDefault="003C35AE" w:rsidP="003C35AE">
      <w:pPr>
        <w:tabs>
          <w:tab w:val="clear" w:pos="567"/>
        </w:tabs>
        <w:spacing w:before="360" w:after="200" w:line="276" w:lineRule="auto"/>
        <w:outlineLvl w:val="1"/>
        <w:rPr>
          <w:rFonts w:ascii="Work Sans" w:eastAsia="Yu Gothic Light" w:hAnsi="Work Sans" w:cs="Open Sans"/>
          <w:b/>
          <w:bCs/>
          <w:color w:val="006991"/>
          <w:sz w:val="36"/>
          <w:szCs w:val="36"/>
        </w:rPr>
      </w:pPr>
      <w:r w:rsidRPr="003C35AE">
        <w:rPr>
          <w:rFonts w:ascii="Work Sans" w:eastAsia="Yu Gothic Light" w:hAnsi="Work Sans" w:cs="Open Sans"/>
          <w:b/>
          <w:bCs/>
          <w:color w:val="006991"/>
          <w:sz w:val="36"/>
          <w:szCs w:val="36"/>
        </w:rPr>
        <w:t>Conclusion</w:t>
      </w:r>
    </w:p>
    <w:p w14:paraId="40C77F8F" w14:textId="619B59BA" w:rsidR="003C35AE" w:rsidRPr="003C35AE" w:rsidRDefault="003C35AE" w:rsidP="00D7360B">
      <w:pPr>
        <w:spacing w:after="120"/>
        <w:rPr>
          <w:rFonts w:ascii="Work Sans" w:eastAsia="Calibri" w:hAnsi="Work Sans" w:cs="Cambria Math"/>
          <w:color w:val="000000"/>
          <w:sz w:val="24"/>
          <w:szCs w:val="24"/>
          <w:shd w:val="clear" w:color="auto" w:fill="FFFFFF"/>
        </w:rPr>
      </w:pPr>
      <w:r w:rsidRPr="003C35AE">
        <w:rPr>
          <w:rFonts w:ascii="Work Sans" w:eastAsia="Calibri" w:hAnsi="Work Sans" w:cs="Cambria Math"/>
          <w:color w:val="000000"/>
          <w:sz w:val="24"/>
          <w:szCs w:val="24"/>
          <w:shd w:val="clear" w:color="auto" w:fill="FFFFFF"/>
        </w:rPr>
        <w:t>In 2022-23 all states are expected to receive higher overall payments than in 2021-22, after including the effects of the Commonwealth’s GST pool top</w:t>
      </w:r>
      <w:r w:rsidR="005332C3">
        <w:rPr>
          <w:rFonts w:ascii="Work Sans" w:eastAsia="Calibri" w:hAnsi="Work Sans" w:cs="Cambria Math"/>
          <w:color w:val="000000"/>
          <w:sz w:val="24"/>
          <w:szCs w:val="24"/>
          <w:shd w:val="clear" w:color="auto" w:fill="FFFFFF"/>
        </w:rPr>
        <w:noBreakHyphen/>
      </w:r>
      <w:r w:rsidRPr="003C35AE">
        <w:rPr>
          <w:rFonts w:ascii="Work Sans" w:eastAsia="Calibri" w:hAnsi="Work Sans" w:cs="Cambria Math"/>
          <w:color w:val="000000"/>
          <w:sz w:val="24"/>
          <w:szCs w:val="24"/>
          <w:shd w:val="clear" w:color="auto" w:fill="FFFFFF"/>
        </w:rPr>
        <w:t>ups and no worse off payments.</w:t>
      </w:r>
    </w:p>
    <w:p w14:paraId="40757487" w14:textId="03BA844A" w:rsidR="003C35AE" w:rsidRPr="003C35AE" w:rsidRDefault="003C35AE" w:rsidP="00D7360B">
      <w:pPr>
        <w:spacing w:after="120"/>
        <w:rPr>
          <w:rFonts w:ascii="Work Sans" w:eastAsia="Calibri" w:hAnsi="Work Sans" w:cs="Cambria Math"/>
          <w:color w:val="000000"/>
          <w:sz w:val="24"/>
          <w:szCs w:val="24"/>
          <w:shd w:val="clear" w:color="auto" w:fill="FFFFFF"/>
          <w:lang w:eastAsia="en-AU"/>
        </w:rPr>
      </w:pPr>
      <w:r w:rsidRPr="003C35AE">
        <w:rPr>
          <w:rFonts w:ascii="Work Sans" w:eastAsia="Calibri" w:hAnsi="Work Sans" w:cs="Cambria Math"/>
          <w:color w:val="000000"/>
          <w:sz w:val="24"/>
          <w:szCs w:val="24"/>
          <w:shd w:val="clear" w:color="auto" w:fill="FFFFFF"/>
          <w:lang w:eastAsia="en-AU"/>
        </w:rPr>
        <w:t xml:space="preserve">While the pandemic had an impact, </w:t>
      </w:r>
      <w:r w:rsidR="00534659">
        <w:rPr>
          <w:rFonts w:ascii="Work Sans" w:eastAsia="Calibri" w:hAnsi="Work Sans" w:cs="Cambria Math"/>
          <w:color w:val="000000"/>
          <w:sz w:val="24"/>
          <w:szCs w:val="24"/>
          <w:shd w:val="clear" w:color="auto" w:fill="FFFFFF"/>
          <w:lang w:eastAsia="en-AU"/>
        </w:rPr>
        <w:t>including on state population growth trends</w:t>
      </w:r>
      <w:r w:rsidR="00BC79A4">
        <w:rPr>
          <w:rFonts w:ascii="Work Sans" w:eastAsia="Calibri" w:hAnsi="Work Sans" w:cs="Cambria Math"/>
          <w:color w:val="000000"/>
          <w:sz w:val="24"/>
          <w:szCs w:val="24"/>
          <w:shd w:val="clear" w:color="auto" w:fill="FFFFFF"/>
          <w:lang w:eastAsia="en-AU"/>
        </w:rPr>
        <w:t xml:space="preserve">, </w:t>
      </w:r>
      <w:r w:rsidRPr="003C35AE">
        <w:rPr>
          <w:rFonts w:ascii="Work Sans" w:eastAsia="Calibri" w:hAnsi="Work Sans" w:cs="Cambria Math"/>
          <w:color w:val="000000"/>
          <w:sz w:val="24"/>
          <w:szCs w:val="24"/>
          <w:shd w:val="clear" w:color="auto" w:fill="FFFFFF"/>
          <w:lang w:eastAsia="en-AU"/>
        </w:rPr>
        <w:t>other developments had a greater influence on GST distribution. These include strong growth in Western Australia’s iron ore royalties, differences in states’ wage growth rates, value of properties transferred and receipt of other Commonwealth payments.</w:t>
      </w:r>
    </w:p>
    <w:p w14:paraId="1E563DA4" w14:textId="05640DEE" w:rsidR="007F1629" w:rsidRPr="00A10D18" w:rsidRDefault="003C35AE" w:rsidP="00D7360B">
      <w:pPr>
        <w:spacing w:after="120"/>
        <w:rPr>
          <w:rFonts w:ascii="Work Sans" w:eastAsia="Calibri" w:hAnsi="Work Sans" w:cs="Cambria Math"/>
          <w:color w:val="000000"/>
          <w:sz w:val="24"/>
          <w:szCs w:val="24"/>
          <w:shd w:val="clear" w:color="auto" w:fill="FFFFFF"/>
          <w:lang w:eastAsia="en-AU"/>
        </w:rPr>
      </w:pPr>
      <w:r w:rsidRPr="003C35AE">
        <w:rPr>
          <w:rFonts w:ascii="Work Sans" w:eastAsia="Calibri" w:hAnsi="Work Sans" w:cs="Cambria Math"/>
          <w:color w:val="000000"/>
          <w:sz w:val="24"/>
          <w:szCs w:val="24"/>
          <w:shd w:val="clear" w:color="auto" w:fill="FFFFFF"/>
          <w:lang w:eastAsia="en-AU"/>
        </w:rPr>
        <w:t>The 2018 legislated change to GST distribution, particularly the 0.7</w:t>
      </w:r>
      <w:r w:rsidR="00F15971">
        <w:rPr>
          <w:rFonts w:ascii="Work Sans" w:eastAsia="Calibri" w:hAnsi="Work Sans" w:cs="Cambria Math"/>
          <w:color w:val="000000"/>
          <w:sz w:val="24"/>
          <w:szCs w:val="24"/>
          <w:shd w:val="clear" w:color="auto" w:fill="FFFFFF"/>
          <w:lang w:eastAsia="en-AU"/>
        </w:rPr>
        <w:t> </w:t>
      </w:r>
      <w:r w:rsidRPr="003C35AE">
        <w:rPr>
          <w:rFonts w:ascii="Work Sans" w:eastAsia="Calibri" w:hAnsi="Work Sans" w:cs="Cambria Math"/>
          <w:color w:val="000000"/>
          <w:sz w:val="24"/>
          <w:szCs w:val="24"/>
          <w:shd w:val="clear" w:color="auto" w:fill="FFFFFF"/>
          <w:lang w:eastAsia="en-AU"/>
        </w:rPr>
        <w:t xml:space="preserve">GST relativity floor which operates within the GST pool for the first time, </w:t>
      </w:r>
      <w:r w:rsidRPr="003C35AE" w:rsidDel="000D3A3F">
        <w:rPr>
          <w:rFonts w:ascii="Work Sans" w:eastAsia="Calibri" w:hAnsi="Work Sans" w:cs="Cambria Math"/>
          <w:color w:val="000000"/>
          <w:sz w:val="24"/>
          <w:szCs w:val="24"/>
          <w:shd w:val="clear" w:color="auto" w:fill="FFFFFF"/>
          <w:lang w:eastAsia="en-AU"/>
        </w:rPr>
        <w:t xml:space="preserve">is </w:t>
      </w:r>
      <w:r w:rsidRPr="003C35AE">
        <w:rPr>
          <w:rFonts w:ascii="Work Sans" w:eastAsia="Calibri" w:hAnsi="Work Sans" w:cs="Cambria Math"/>
          <w:color w:val="000000"/>
          <w:sz w:val="24"/>
          <w:szCs w:val="24"/>
          <w:shd w:val="clear" w:color="auto" w:fill="FFFFFF"/>
          <w:lang w:eastAsia="en-AU"/>
        </w:rPr>
        <w:t>the biggest driver of changes in GST distribution in 2022-23. It significantly increased Western Australia’s GST share, while lowering the shares of other states. The</w:t>
      </w:r>
      <w:r w:rsidRPr="003C35AE" w:rsidDel="00052251">
        <w:rPr>
          <w:rFonts w:ascii="Work Sans" w:eastAsia="Calibri" w:hAnsi="Work Sans" w:cs="Cambria Math"/>
          <w:color w:val="000000"/>
          <w:sz w:val="24"/>
          <w:szCs w:val="24"/>
          <w:shd w:val="clear" w:color="auto" w:fill="FFFFFF"/>
          <w:lang w:eastAsia="en-AU"/>
        </w:rPr>
        <w:t xml:space="preserve"> </w:t>
      </w:r>
      <w:r w:rsidRPr="003C35AE">
        <w:rPr>
          <w:rFonts w:ascii="Work Sans" w:eastAsia="Calibri" w:hAnsi="Work Sans" w:cs="Cambria Math"/>
          <w:color w:val="000000"/>
          <w:sz w:val="24"/>
          <w:szCs w:val="24"/>
          <w:shd w:val="clear" w:color="auto" w:fill="FFFFFF"/>
          <w:lang w:eastAsia="en-AU"/>
        </w:rPr>
        <w:t>Commonwealth’s top-up to the GST pool and the transitional no worse off guarantee ameliorate this impact.</w:t>
      </w:r>
    </w:p>
    <w:p w14:paraId="23B6176D" w14:textId="67B56AD5" w:rsidR="00AD53D2" w:rsidRPr="009D2E84" w:rsidRDefault="00AD53D2" w:rsidP="00D838D7">
      <w:pPr>
        <w:rPr>
          <w:rFonts w:ascii="Work Sans" w:hAnsi="Work Sans"/>
        </w:rPr>
      </w:pPr>
    </w:p>
    <w:sectPr w:rsidR="00AD53D2" w:rsidRPr="009D2E84" w:rsidSect="004C78B6">
      <w:pgSz w:w="11900" w:h="16840"/>
      <w:pgMar w:top="1985" w:right="1418" w:bottom="1418" w:left="1418" w:header="709"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40FCF" w14:textId="77777777" w:rsidR="00537BF9" w:rsidRDefault="00537BF9" w:rsidP="005C0550">
      <w:pPr>
        <w:spacing w:before="0" w:line="240" w:lineRule="auto"/>
      </w:pPr>
      <w:r>
        <w:separator/>
      </w:r>
    </w:p>
  </w:endnote>
  <w:endnote w:type="continuationSeparator" w:id="0">
    <w:p w14:paraId="1D885224" w14:textId="77777777" w:rsidR="00537BF9" w:rsidRDefault="00537BF9" w:rsidP="005C0550">
      <w:pPr>
        <w:spacing w:before="0" w:line="240" w:lineRule="auto"/>
      </w:pPr>
      <w:r>
        <w:continuationSeparator/>
      </w:r>
    </w:p>
  </w:endnote>
  <w:endnote w:type="continuationNotice" w:id="1">
    <w:p w14:paraId="25F08F91" w14:textId="77777777" w:rsidR="00537BF9" w:rsidRDefault="00537BF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Work Sans">
    <w:altName w:val="Work Sans"/>
    <w:charset w:val="00"/>
    <w:family w:val="auto"/>
    <w:pitch w:val="variable"/>
    <w:sig w:usb0="A00000FF" w:usb1="5000E07B" w:usb2="00000000" w:usb3="00000000" w:csb0="00000193"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Open Sans Semibold">
    <w:panose1 w:val="020B0706030804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5555125"/>
      <w:docPartObj>
        <w:docPartGallery w:val="Page Numbers (Bottom of Page)"/>
        <w:docPartUnique/>
      </w:docPartObj>
    </w:sdtPr>
    <w:sdtEndPr>
      <w:rPr>
        <w:rStyle w:val="PageNumber"/>
      </w:rPr>
    </w:sdtEndPr>
    <w:sdtContent>
      <w:p w14:paraId="74BA921F" w14:textId="6126DBBB" w:rsidR="008B3F9B" w:rsidRDefault="008B3F9B" w:rsidP="002831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03134E" w14:textId="77777777" w:rsidR="008B3F9B" w:rsidRDefault="008B3F9B" w:rsidP="008B3F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027398"/>
      <w:docPartObj>
        <w:docPartGallery w:val="Page Numbers (Bottom of Page)"/>
        <w:docPartUnique/>
      </w:docPartObj>
    </w:sdtPr>
    <w:sdtEndPr>
      <w:rPr>
        <w:noProof/>
      </w:rPr>
    </w:sdtEndPr>
    <w:sdtContent>
      <w:p w14:paraId="528510BA" w14:textId="7EBAEF61" w:rsidR="00BB75BA" w:rsidRDefault="00BB75B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855381" w14:textId="0F38CDC3" w:rsidR="008B3F9B" w:rsidRPr="004D50E0" w:rsidRDefault="00537BF9" w:rsidP="008B3F9B">
    <w:pPr>
      <w:pStyle w:val="Footer"/>
      <w:ind w:right="360"/>
      <w:rPr>
        <w:rFonts w:ascii="Work Sans" w:hAnsi="Work Sans" w:cs="Open Sans"/>
        <w:color w:val="004563"/>
      </w:rPr>
    </w:pPr>
    <w:hyperlink r:id="rId1" w:history="1">
      <w:r w:rsidR="005273F5" w:rsidRPr="00B21FC0">
        <w:rPr>
          <w:rStyle w:val="Hyperlink"/>
          <w:rFonts w:ascii="Work Sans" w:hAnsi="Work Sans" w:cs="Open Sans"/>
        </w:rPr>
        <w:t>www.cgc.gov.au</w:t>
      </w:r>
    </w:hyperlink>
    <w:r w:rsidR="005273F5">
      <w:rPr>
        <w:rFonts w:ascii="Work Sans" w:hAnsi="Work Sans" w:cs="Open Sans"/>
        <w:color w:val="004563"/>
      </w:rPr>
      <w:tab/>
      <w:t>Occasional Paper Series</w:t>
    </w:r>
    <w:r w:rsidR="005273F5">
      <w:rPr>
        <w:rFonts w:ascii="Work Sans" w:hAnsi="Work Sans" w:cs="Open Sans"/>
        <w:color w:val="004563"/>
      </w:rPr>
      <w:tab/>
      <w:t>March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A5045" w14:textId="77777777" w:rsidR="00537BF9" w:rsidRDefault="00537BF9" w:rsidP="005C0550">
      <w:pPr>
        <w:spacing w:before="0" w:line="240" w:lineRule="auto"/>
      </w:pPr>
      <w:r>
        <w:separator/>
      </w:r>
    </w:p>
  </w:footnote>
  <w:footnote w:type="continuationSeparator" w:id="0">
    <w:p w14:paraId="6FDE535D" w14:textId="77777777" w:rsidR="00537BF9" w:rsidRDefault="00537BF9" w:rsidP="005C0550">
      <w:pPr>
        <w:spacing w:before="0" w:line="240" w:lineRule="auto"/>
      </w:pPr>
      <w:r>
        <w:continuationSeparator/>
      </w:r>
    </w:p>
  </w:footnote>
  <w:footnote w:type="continuationNotice" w:id="1">
    <w:p w14:paraId="58600443" w14:textId="77777777" w:rsidR="00537BF9" w:rsidRDefault="00537BF9">
      <w:pPr>
        <w:spacing w:before="0" w:line="240" w:lineRule="auto"/>
      </w:pPr>
    </w:p>
  </w:footnote>
  <w:footnote w:id="2">
    <w:p w14:paraId="44FDAE01" w14:textId="77777777" w:rsidR="003C35AE" w:rsidRPr="00ED6AC9" w:rsidRDefault="003C35AE" w:rsidP="003C35AE">
      <w:pPr>
        <w:pStyle w:val="FootnoteText"/>
        <w:rPr>
          <w:rStyle w:val="FootnoteReference"/>
        </w:rPr>
      </w:pPr>
      <w:r w:rsidRPr="00BD4909">
        <w:rPr>
          <w:rStyle w:val="FootnoteReference"/>
        </w:rPr>
        <w:footnoteRef/>
      </w:r>
      <w:r w:rsidRPr="00BD4909">
        <w:rPr>
          <w:rStyle w:val="FootnoteReference"/>
        </w:rPr>
        <w:t xml:space="preserve"> </w:t>
      </w:r>
      <w:r w:rsidRPr="00ED6AC9">
        <w:rPr>
          <w:rStyle w:val="FootnoteReference"/>
        </w:rPr>
        <w:t>The Commission expresses recommendations for the distribution of the GST pool in terms of state GST relativities. This is a relative measure of a state’s share of the GST pool. It measures the extent to which a state receives more or less than its population share of the pool. The average relativity is one. A relativity above one means a state gets more than its population share, a relativity below one means it gets less than its population share. As well as state fiscal capacities, GST relativities also reflect legislated requirements, such as a floor below which no state’s relativity can fall.</w:t>
      </w:r>
    </w:p>
  </w:footnote>
  <w:footnote w:id="3">
    <w:p w14:paraId="53093B39" w14:textId="0C4F0F0B" w:rsidR="003C35AE" w:rsidRPr="00ED6AC9" w:rsidRDefault="003C35AE" w:rsidP="003C35AE">
      <w:pPr>
        <w:pStyle w:val="FootnoteText"/>
        <w:rPr>
          <w:rStyle w:val="FootnoteReference"/>
        </w:rPr>
      </w:pPr>
      <w:r w:rsidRPr="00ED6AC9">
        <w:rPr>
          <w:rStyle w:val="FootnoteReference"/>
        </w:rPr>
        <w:footnoteRef/>
      </w:r>
      <w:r w:rsidRPr="00ED6AC9">
        <w:rPr>
          <w:rStyle w:val="FootnoteReference"/>
        </w:rPr>
        <w:t xml:space="preserve"> The GST pool consists of revenue from the GST plus top</w:t>
      </w:r>
      <w:r w:rsidRPr="00ED6AC9">
        <w:rPr>
          <w:rStyle w:val="FootnoteReference"/>
        </w:rPr>
        <w:noBreakHyphen/>
        <w:t xml:space="preserve">up payment from the Commonwealth. See </w:t>
      </w:r>
      <w:hyperlink r:id="rId1" w:history="1">
        <w:r w:rsidRPr="00ED6AC9">
          <w:rPr>
            <w:rStyle w:val="FootnoteReference"/>
          </w:rPr>
          <w:t>Mid-Year Economic and Fiscal Outlook</w:t>
        </w:r>
      </w:hyperlink>
      <w:r w:rsidRPr="00ED6AC9">
        <w:rPr>
          <w:rStyle w:val="FootnoteReference"/>
        </w:rPr>
        <w:t>, Appendix</w:t>
      </w:r>
      <w:r w:rsidR="00ED6AC9">
        <w:t> </w:t>
      </w:r>
      <w:r w:rsidRPr="00ED6AC9">
        <w:rPr>
          <w:rStyle w:val="FootnoteReference"/>
        </w:rPr>
        <w:t>C, Table C.7.</w:t>
      </w:r>
    </w:p>
  </w:footnote>
  <w:footnote w:id="4">
    <w:p w14:paraId="2431D1E6" w14:textId="77777777" w:rsidR="003C35AE" w:rsidRPr="001F2937" w:rsidRDefault="003C35AE" w:rsidP="003C35AE">
      <w:pPr>
        <w:pStyle w:val="FootnoteText"/>
        <w:rPr>
          <w:rStyle w:val="FootnoteReference"/>
        </w:rPr>
      </w:pPr>
      <w:r w:rsidRPr="001F2937">
        <w:rPr>
          <w:rStyle w:val="FootnoteReference"/>
        </w:rPr>
        <w:footnoteRef/>
      </w:r>
      <w:r w:rsidRPr="008436FC">
        <w:rPr>
          <w:rStyle w:val="FootnoteReference"/>
        </w:rPr>
        <w:t xml:space="preserve"> </w:t>
      </w:r>
      <w:r w:rsidRPr="00E72840">
        <w:rPr>
          <w:rStyle w:val="FootnoteReference"/>
        </w:rPr>
        <w:t>This applied from</w:t>
      </w:r>
      <w:r w:rsidRPr="008436FC">
        <w:rPr>
          <w:rStyle w:val="FootnoteReference"/>
        </w:rPr>
        <w:t xml:space="preserve"> 2019-20 to 2021-22. In 2019</w:t>
      </w:r>
      <w:r w:rsidRPr="008436FC">
        <w:rPr>
          <w:rStyle w:val="FootnoteReference"/>
        </w:rPr>
        <w:noBreakHyphen/>
        <w:t>20 a payment was also made to the Northern Territory to deliver an outcome equivalent to a relativity of 4.66.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BD180" w14:textId="0A59451C" w:rsidR="003B72AA" w:rsidRDefault="003B72AA">
    <w:pPr>
      <w:pStyle w:val="Header"/>
    </w:pPr>
    <w:r w:rsidRPr="009D2E84">
      <w:rPr>
        <w:rFonts w:ascii="Work Sans" w:hAnsi="Work Sans"/>
        <w:noProof/>
      </w:rPr>
      <w:drawing>
        <wp:anchor distT="0" distB="0" distL="114300" distR="114300" simplePos="0" relativeHeight="251658244" behindDoc="1" locked="1" layoutInCell="1" allowOverlap="1" wp14:anchorId="1DBCF228" wp14:editId="3C1D5B79">
          <wp:simplePos x="0" y="0"/>
          <wp:positionH relativeFrom="page">
            <wp:posOffset>0</wp:posOffset>
          </wp:positionH>
          <wp:positionV relativeFrom="margin">
            <wp:posOffset>-1257300</wp:posOffset>
          </wp:positionV>
          <wp:extent cx="7563485" cy="10691495"/>
          <wp:effectExtent l="0" t="0" r="0" b="0"/>
          <wp:wrapNone/>
          <wp:docPr id="17" name="Picture 1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485" cy="1069149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859C9" w14:textId="713926D7" w:rsidR="00C25219" w:rsidRDefault="00AB73C2">
    <w:pPr>
      <w:pStyle w:val="Header"/>
    </w:pPr>
    <w:r>
      <w:rPr>
        <w:noProof/>
      </w:rPr>
      <w:drawing>
        <wp:anchor distT="0" distB="0" distL="114300" distR="114300" simplePos="0" relativeHeight="251658240" behindDoc="1" locked="0" layoutInCell="1" allowOverlap="1" wp14:anchorId="3D0DD578" wp14:editId="34A479C4">
          <wp:simplePos x="0" y="0"/>
          <wp:positionH relativeFrom="column">
            <wp:posOffset>-899907</wp:posOffset>
          </wp:positionH>
          <wp:positionV relativeFrom="paragraph">
            <wp:posOffset>-469723</wp:posOffset>
          </wp:positionV>
          <wp:extent cx="7562789" cy="10689589"/>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62789" cy="10689589"/>
                  </a:xfrm>
                  <a:prstGeom prst="rect">
                    <a:avLst/>
                  </a:prstGeom>
                </pic:spPr>
              </pic:pic>
            </a:graphicData>
          </a:graphic>
          <wp14:sizeRelH relativeFrom="margin">
            <wp14:pctWidth>0</wp14:pctWidth>
          </wp14:sizeRelH>
          <wp14:sizeRelV relativeFrom="margin">
            <wp14:pctHeight>0</wp14:pctHeight>
          </wp14:sizeRelV>
        </wp:anchor>
      </w:drawing>
    </w:r>
    <w:r w:rsidR="003759A1">
      <w:rPr>
        <w:noProof/>
      </w:rPr>
      <w:drawing>
        <wp:anchor distT="0" distB="0" distL="114300" distR="114300" simplePos="0" relativeHeight="251658243" behindDoc="1" locked="0" layoutInCell="1" allowOverlap="1" wp14:anchorId="5E0448FF" wp14:editId="3893EFC1">
          <wp:simplePos x="0" y="0"/>
          <wp:positionH relativeFrom="column">
            <wp:posOffset>-923290</wp:posOffset>
          </wp:positionH>
          <wp:positionV relativeFrom="paragraph">
            <wp:posOffset>10351135</wp:posOffset>
          </wp:positionV>
          <wp:extent cx="7580630" cy="10691495"/>
          <wp:effectExtent l="0" t="0" r="1270"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extLst>
                      <a:ext uri="{28A0092B-C50C-407E-A947-70E740481C1C}">
                        <a14:useLocalDpi xmlns:a14="http://schemas.microsoft.com/office/drawing/2010/main" val="0"/>
                      </a:ext>
                    </a:extLst>
                  </a:blip>
                  <a:stretch>
                    <a:fillRect/>
                  </a:stretch>
                </pic:blipFill>
                <pic:spPr>
                  <a:xfrm>
                    <a:off x="0" y="0"/>
                    <a:ext cx="7580630" cy="10691495"/>
                  </a:xfrm>
                  <a:prstGeom prst="rect">
                    <a:avLst/>
                  </a:prstGeom>
                </pic:spPr>
              </pic:pic>
            </a:graphicData>
          </a:graphic>
          <wp14:sizeRelH relativeFrom="margin">
            <wp14:pctWidth>0</wp14:pctWidth>
          </wp14:sizeRelH>
          <wp14:sizeRelV relativeFrom="margin">
            <wp14:pctHeight>0</wp14:pctHeight>
          </wp14:sizeRelV>
        </wp:anchor>
      </w:drawing>
    </w:r>
    <w:r w:rsidR="00A345CD">
      <w:rPr>
        <w:noProof/>
      </w:rPr>
      <w:drawing>
        <wp:anchor distT="0" distB="0" distL="114300" distR="114300" simplePos="0" relativeHeight="251658242" behindDoc="1" locked="0" layoutInCell="1" allowOverlap="1" wp14:anchorId="2CFE1E5C" wp14:editId="795823A5">
          <wp:simplePos x="0" y="0"/>
          <wp:positionH relativeFrom="column">
            <wp:posOffset>-900430</wp:posOffset>
          </wp:positionH>
          <wp:positionV relativeFrom="paragraph">
            <wp:posOffset>10362565</wp:posOffset>
          </wp:positionV>
          <wp:extent cx="7580630" cy="10691495"/>
          <wp:effectExtent l="0" t="0" r="1270"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3">
                    <a:extLst>
                      <a:ext uri="{28A0092B-C50C-407E-A947-70E740481C1C}">
                        <a14:useLocalDpi xmlns:a14="http://schemas.microsoft.com/office/drawing/2010/main" val="0"/>
                      </a:ext>
                    </a:extLst>
                  </a:blip>
                  <a:stretch>
                    <a:fillRect/>
                  </a:stretch>
                </pic:blipFill>
                <pic:spPr>
                  <a:xfrm>
                    <a:off x="0" y="0"/>
                    <a:ext cx="7580630" cy="10691495"/>
                  </a:xfrm>
                  <a:prstGeom prst="rect">
                    <a:avLst/>
                  </a:prstGeom>
                </pic:spPr>
              </pic:pic>
            </a:graphicData>
          </a:graphic>
          <wp14:sizeRelH relativeFrom="margin">
            <wp14:pctWidth>0</wp14:pctWidth>
          </wp14:sizeRelH>
          <wp14:sizeRelV relativeFrom="margin">
            <wp14:pctHeight>0</wp14:pctHeight>
          </wp14:sizeRelV>
        </wp:anchor>
      </w:drawing>
    </w:r>
    <w:r w:rsidR="00C25219" w:rsidRPr="00410188">
      <w:rPr>
        <w:rFonts w:ascii="Open Sans Semibold" w:hAnsi="Open Sans Semibold" w:cs="Open Sans Semibold"/>
        <w:bCs/>
        <w:noProof/>
        <w:sz w:val="40"/>
        <w:szCs w:val="40"/>
        <w:lang w:val="en-US"/>
      </w:rPr>
      <w:drawing>
        <wp:anchor distT="0" distB="0" distL="114300" distR="114300" simplePos="0" relativeHeight="251658241" behindDoc="1" locked="0" layoutInCell="1" allowOverlap="1" wp14:anchorId="355101D3" wp14:editId="6682A560">
          <wp:simplePos x="0" y="0"/>
          <wp:positionH relativeFrom="column">
            <wp:posOffset>-1037590</wp:posOffset>
          </wp:positionH>
          <wp:positionV relativeFrom="paragraph">
            <wp:posOffset>10328275</wp:posOffset>
          </wp:positionV>
          <wp:extent cx="7683500" cy="10836275"/>
          <wp:effectExtent l="38100" t="38100" r="63500" b="349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4">
                    <a:extLst>
                      <a:ext uri="{28A0092B-C50C-407E-A947-70E740481C1C}">
                        <a14:useLocalDpi xmlns:a14="http://schemas.microsoft.com/office/drawing/2010/main" val="0"/>
                      </a:ext>
                    </a:extLst>
                  </a:blip>
                  <a:stretch>
                    <a:fillRect/>
                  </a:stretch>
                </pic:blipFill>
                <pic:spPr>
                  <a:xfrm>
                    <a:off x="0" y="0"/>
                    <a:ext cx="7683500" cy="10836275"/>
                  </a:xfrm>
                  <a:prstGeom prst="rect">
                    <a:avLst/>
                  </a:prstGeom>
                  <a:noFill/>
                  <a:ln w="88900" cap="sq">
                    <a:noFill/>
                    <a:miter lim="800000"/>
                  </a:ln>
                  <a:effectLst>
                    <a:outerShdw blurRad="55000" dist="18000" dir="5400000" algn="tl" rotWithShape="0">
                      <a:srgbClr val="000000">
                        <a:alpha val="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6750F"/>
    <w:multiLevelType w:val="hybridMultilevel"/>
    <w:tmpl w:val="24DA24BA"/>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 w15:restartNumberingAfterBreak="0">
    <w:nsid w:val="44511CFA"/>
    <w:multiLevelType w:val="hybridMultilevel"/>
    <w:tmpl w:val="BCC2C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550"/>
    <w:rsid w:val="00000BDE"/>
    <w:rsid w:val="00072432"/>
    <w:rsid w:val="00076031"/>
    <w:rsid w:val="00087F33"/>
    <w:rsid w:val="00093E9F"/>
    <w:rsid w:val="000A6AA8"/>
    <w:rsid w:val="00111449"/>
    <w:rsid w:val="00190645"/>
    <w:rsid w:val="001972F0"/>
    <w:rsid w:val="001B702F"/>
    <w:rsid w:val="001D4EC5"/>
    <w:rsid w:val="001E7596"/>
    <w:rsid w:val="002258A4"/>
    <w:rsid w:val="002424E1"/>
    <w:rsid w:val="00250980"/>
    <w:rsid w:val="00282DE9"/>
    <w:rsid w:val="0028318E"/>
    <w:rsid w:val="00290F19"/>
    <w:rsid w:val="002A3947"/>
    <w:rsid w:val="002A5EC9"/>
    <w:rsid w:val="002B21C5"/>
    <w:rsid w:val="002F1DD5"/>
    <w:rsid w:val="00304071"/>
    <w:rsid w:val="00307433"/>
    <w:rsid w:val="0032196B"/>
    <w:rsid w:val="00340F7A"/>
    <w:rsid w:val="00341E89"/>
    <w:rsid w:val="00347F51"/>
    <w:rsid w:val="003740A7"/>
    <w:rsid w:val="003759A1"/>
    <w:rsid w:val="003A3A55"/>
    <w:rsid w:val="003B72AA"/>
    <w:rsid w:val="003C35AE"/>
    <w:rsid w:val="003E40FF"/>
    <w:rsid w:val="003E712E"/>
    <w:rsid w:val="004062ED"/>
    <w:rsid w:val="00440A17"/>
    <w:rsid w:val="004664DE"/>
    <w:rsid w:val="004728A5"/>
    <w:rsid w:val="004A4F78"/>
    <w:rsid w:val="004B50BC"/>
    <w:rsid w:val="004C3CCB"/>
    <w:rsid w:val="004C78B6"/>
    <w:rsid w:val="004D50E0"/>
    <w:rsid w:val="004D7BF9"/>
    <w:rsid w:val="0052076C"/>
    <w:rsid w:val="005253E9"/>
    <w:rsid w:val="005273F5"/>
    <w:rsid w:val="005332C3"/>
    <w:rsid w:val="00534659"/>
    <w:rsid w:val="00537BF9"/>
    <w:rsid w:val="0059532F"/>
    <w:rsid w:val="005B4DF0"/>
    <w:rsid w:val="005C0550"/>
    <w:rsid w:val="005D7039"/>
    <w:rsid w:val="005F726E"/>
    <w:rsid w:val="00607164"/>
    <w:rsid w:val="0060793C"/>
    <w:rsid w:val="00610054"/>
    <w:rsid w:val="00622ECD"/>
    <w:rsid w:val="00640C78"/>
    <w:rsid w:val="00656980"/>
    <w:rsid w:val="00667FA9"/>
    <w:rsid w:val="00670411"/>
    <w:rsid w:val="006C1D3C"/>
    <w:rsid w:val="006E6000"/>
    <w:rsid w:val="006F7B83"/>
    <w:rsid w:val="007354E0"/>
    <w:rsid w:val="00747B0A"/>
    <w:rsid w:val="00750796"/>
    <w:rsid w:val="007563EC"/>
    <w:rsid w:val="0079243C"/>
    <w:rsid w:val="007A13A9"/>
    <w:rsid w:val="007A4A32"/>
    <w:rsid w:val="007B10B4"/>
    <w:rsid w:val="007C2647"/>
    <w:rsid w:val="007C2918"/>
    <w:rsid w:val="007C4F51"/>
    <w:rsid w:val="007F1629"/>
    <w:rsid w:val="008101D5"/>
    <w:rsid w:val="0081796D"/>
    <w:rsid w:val="008230CC"/>
    <w:rsid w:val="00831124"/>
    <w:rsid w:val="00853A77"/>
    <w:rsid w:val="00854947"/>
    <w:rsid w:val="00876CC3"/>
    <w:rsid w:val="008B3F9B"/>
    <w:rsid w:val="008C7288"/>
    <w:rsid w:val="008D26B6"/>
    <w:rsid w:val="008F6454"/>
    <w:rsid w:val="0090223F"/>
    <w:rsid w:val="00903A79"/>
    <w:rsid w:val="0093510B"/>
    <w:rsid w:val="00946166"/>
    <w:rsid w:val="00956AEC"/>
    <w:rsid w:val="00957520"/>
    <w:rsid w:val="00961B1B"/>
    <w:rsid w:val="00977028"/>
    <w:rsid w:val="0099154D"/>
    <w:rsid w:val="009D2E84"/>
    <w:rsid w:val="00A10D18"/>
    <w:rsid w:val="00A345CD"/>
    <w:rsid w:val="00A35727"/>
    <w:rsid w:val="00A437F8"/>
    <w:rsid w:val="00A76A80"/>
    <w:rsid w:val="00A917CF"/>
    <w:rsid w:val="00AB73C2"/>
    <w:rsid w:val="00AD53D2"/>
    <w:rsid w:val="00AD54C8"/>
    <w:rsid w:val="00AF1808"/>
    <w:rsid w:val="00B04424"/>
    <w:rsid w:val="00B075B6"/>
    <w:rsid w:val="00B21ECE"/>
    <w:rsid w:val="00B34E3B"/>
    <w:rsid w:val="00B417A0"/>
    <w:rsid w:val="00B45ABB"/>
    <w:rsid w:val="00B80333"/>
    <w:rsid w:val="00B82B0B"/>
    <w:rsid w:val="00BA60D6"/>
    <w:rsid w:val="00BB75BA"/>
    <w:rsid w:val="00BC79A4"/>
    <w:rsid w:val="00C25219"/>
    <w:rsid w:val="00C25C96"/>
    <w:rsid w:val="00C4575B"/>
    <w:rsid w:val="00C91274"/>
    <w:rsid w:val="00C9327A"/>
    <w:rsid w:val="00CF7F16"/>
    <w:rsid w:val="00D30BA4"/>
    <w:rsid w:val="00D36398"/>
    <w:rsid w:val="00D44D3B"/>
    <w:rsid w:val="00D46FBF"/>
    <w:rsid w:val="00D7360B"/>
    <w:rsid w:val="00D838D7"/>
    <w:rsid w:val="00DA4697"/>
    <w:rsid w:val="00DC2D1E"/>
    <w:rsid w:val="00DF36C4"/>
    <w:rsid w:val="00E32EEC"/>
    <w:rsid w:val="00E370FA"/>
    <w:rsid w:val="00E41D7F"/>
    <w:rsid w:val="00E54A46"/>
    <w:rsid w:val="00E704ED"/>
    <w:rsid w:val="00E84F44"/>
    <w:rsid w:val="00E9194D"/>
    <w:rsid w:val="00EA2DE7"/>
    <w:rsid w:val="00EA383D"/>
    <w:rsid w:val="00EC0F01"/>
    <w:rsid w:val="00EC1242"/>
    <w:rsid w:val="00ED6AC9"/>
    <w:rsid w:val="00F15971"/>
    <w:rsid w:val="00F33EEA"/>
    <w:rsid w:val="00F52EC6"/>
    <w:rsid w:val="00F66DED"/>
    <w:rsid w:val="00F7543A"/>
    <w:rsid w:val="00F81249"/>
    <w:rsid w:val="00F8305F"/>
    <w:rsid w:val="00F9746E"/>
    <w:rsid w:val="00FA0BE6"/>
    <w:rsid w:val="00FC0C77"/>
    <w:rsid w:val="00FD0D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F6998"/>
  <w15:chartTrackingRefBased/>
  <w15:docId w15:val="{390EDD59-12C4-4E62-95F1-FCA4F34FB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550"/>
    <w:pPr>
      <w:tabs>
        <w:tab w:val="left" w:pos="567"/>
      </w:tabs>
      <w:spacing w:before="120" w:line="254" w:lineRule="auto"/>
    </w:pPr>
    <w:rPr>
      <w:rFonts w:ascii="Open Sans Light" w:hAnsi="Open Sans Light"/>
      <w:sz w:val="20"/>
      <w:szCs w:val="22"/>
    </w:rPr>
  </w:style>
  <w:style w:type="paragraph" w:styleId="Heading1">
    <w:name w:val="heading 1"/>
    <w:basedOn w:val="CGCSubHead"/>
    <w:next w:val="Normal"/>
    <w:link w:val="Heading1Char"/>
    <w:uiPriority w:val="9"/>
    <w:qFormat/>
    <w:rsid w:val="00F8305F"/>
    <w:pPr>
      <w:spacing w:before="360"/>
      <w:outlineLvl w:val="0"/>
    </w:pPr>
    <w:rPr>
      <w:sz w:val="40"/>
      <w:szCs w:val="40"/>
    </w:rPr>
  </w:style>
  <w:style w:type="paragraph" w:styleId="Heading2">
    <w:name w:val="heading 2"/>
    <w:basedOn w:val="CGCSubHead"/>
    <w:next w:val="Normal"/>
    <w:link w:val="Heading2Char"/>
    <w:uiPriority w:val="9"/>
    <w:unhideWhenUsed/>
    <w:qFormat/>
    <w:rsid w:val="00F8305F"/>
    <w:pPr>
      <w:spacing w:before="360"/>
      <w:outlineLvl w:val="1"/>
    </w:pPr>
    <w:rPr>
      <w:sz w:val="36"/>
      <w:szCs w:val="36"/>
    </w:rPr>
  </w:style>
  <w:style w:type="paragraph" w:styleId="Heading3">
    <w:name w:val="heading 3"/>
    <w:basedOn w:val="CGCSubHead"/>
    <w:next w:val="Normal"/>
    <w:link w:val="Heading3Char"/>
    <w:uiPriority w:val="9"/>
    <w:unhideWhenUsed/>
    <w:qFormat/>
    <w:rsid w:val="00F8305F"/>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550"/>
    <w:pPr>
      <w:tabs>
        <w:tab w:val="center" w:pos="4513"/>
        <w:tab w:val="right" w:pos="9026"/>
      </w:tabs>
    </w:pPr>
  </w:style>
  <w:style w:type="character" w:customStyle="1" w:styleId="HeaderChar">
    <w:name w:val="Header Char"/>
    <w:basedOn w:val="DefaultParagraphFont"/>
    <w:link w:val="Header"/>
    <w:uiPriority w:val="99"/>
    <w:rsid w:val="005C0550"/>
  </w:style>
  <w:style w:type="paragraph" w:styleId="Footer">
    <w:name w:val="footer"/>
    <w:basedOn w:val="Normal"/>
    <w:link w:val="FooterChar"/>
    <w:uiPriority w:val="99"/>
    <w:unhideWhenUsed/>
    <w:rsid w:val="005C0550"/>
    <w:pPr>
      <w:tabs>
        <w:tab w:val="center" w:pos="4513"/>
        <w:tab w:val="right" w:pos="9026"/>
      </w:tabs>
    </w:pPr>
  </w:style>
  <w:style w:type="character" w:customStyle="1" w:styleId="FooterChar">
    <w:name w:val="Footer Char"/>
    <w:basedOn w:val="DefaultParagraphFont"/>
    <w:link w:val="Footer"/>
    <w:uiPriority w:val="99"/>
    <w:rsid w:val="005C0550"/>
  </w:style>
  <w:style w:type="paragraph" w:styleId="Caption">
    <w:name w:val="caption"/>
    <w:basedOn w:val="Normal"/>
    <w:next w:val="Normal"/>
    <w:link w:val="CaptionChar"/>
    <w:qFormat/>
    <w:rsid w:val="005C0550"/>
    <w:pPr>
      <w:keepNext/>
      <w:keepLines/>
      <w:tabs>
        <w:tab w:val="clear" w:pos="567"/>
        <w:tab w:val="left" w:pos="1134"/>
        <w:tab w:val="left" w:pos="1418"/>
      </w:tabs>
      <w:spacing w:before="240" w:after="120" w:line="240" w:lineRule="auto"/>
      <w:ind w:left="1134" w:hanging="1134"/>
    </w:pPr>
    <w:rPr>
      <w:b/>
      <w:bCs/>
      <w:szCs w:val="20"/>
    </w:rPr>
  </w:style>
  <w:style w:type="character" w:customStyle="1" w:styleId="CaptionChar">
    <w:name w:val="Caption Char"/>
    <w:basedOn w:val="DefaultParagraphFont"/>
    <w:link w:val="Caption"/>
    <w:rsid w:val="005C0550"/>
    <w:rPr>
      <w:rFonts w:ascii="Open Sans Light" w:hAnsi="Open Sans Light"/>
      <w:b/>
      <w:bCs/>
      <w:sz w:val="20"/>
      <w:szCs w:val="20"/>
    </w:rPr>
  </w:style>
  <w:style w:type="paragraph" w:customStyle="1" w:styleId="CGCTablenote">
    <w:name w:val="CGC Table note"/>
    <w:basedOn w:val="Normal"/>
    <w:next w:val="Normal"/>
    <w:qFormat/>
    <w:rsid w:val="005C0550"/>
    <w:pPr>
      <w:tabs>
        <w:tab w:val="left" w:pos="680"/>
      </w:tabs>
      <w:spacing w:before="40" w:line="240" w:lineRule="auto"/>
      <w:ind w:left="340" w:hanging="227"/>
    </w:pPr>
    <w:rPr>
      <w:sz w:val="14"/>
    </w:rPr>
  </w:style>
  <w:style w:type="paragraph" w:styleId="BodyText">
    <w:name w:val="Body Text"/>
    <w:link w:val="BodyTextChar"/>
    <w:qFormat/>
    <w:rsid w:val="005C0550"/>
    <w:pPr>
      <w:spacing w:before="240" w:line="300" w:lineRule="atLeast"/>
      <w:jc w:val="both"/>
    </w:pPr>
    <w:rPr>
      <w:rFonts w:ascii="Open Sans Light" w:eastAsia="Times New Roman" w:hAnsi="Open Sans Light" w:cs="Times New Roman"/>
      <w:szCs w:val="20"/>
      <w:lang w:eastAsia="en-AU"/>
    </w:rPr>
  </w:style>
  <w:style w:type="character" w:customStyle="1" w:styleId="BodyTextChar">
    <w:name w:val="Body Text Char"/>
    <w:basedOn w:val="DefaultParagraphFont"/>
    <w:link w:val="BodyText"/>
    <w:rsid w:val="005C0550"/>
    <w:rPr>
      <w:rFonts w:ascii="Open Sans Light" w:eastAsia="Times New Roman" w:hAnsi="Open Sans Light" w:cs="Times New Roman"/>
      <w:szCs w:val="20"/>
      <w:lang w:eastAsia="en-AU"/>
    </w:rPr>
  </w:style>
  <w:style w:type="character" w:customStyle="1" w:styleId="normaltextrun">
    <w:name w:val="normaltextrun"/>
    <w:basedOn w:val="DefaultParagraphFont"/>
    <w:rsid w:val="005C0550"/>
  </w:style>
  <w:style w:type="paragraph" w:customStyle="1" w:styleId="CGCBodyCopy">
    <w:name w:val="CGC Body Copy"/>
    <w:basedOn w:val="Normal"/>
    <w:autoRedefine/>
    <w:qFormat/>
    <w:rsid w:val="00C9327A"/>
    <w:pPr>
      <w:jc w:val="both"/>
    </w:pPr>
    <w:rPr>
      <w:rFonts w:cs="Cambria Math"/>
      <w:color w:val="000000"/>
      <w:sz w:val="24"/>
      <w:szCs w:val="21"/>
      <w:shd w:val="clear" w:color="auto" w:fill="FFFFFF"/>
    </w:rPr>
  </w:style>
  <w:style w:type="paragraph" w:customStyle="1" w:styleId="CGCSubHead">
    <w:name w:val="CGC Sub Head"/>
    <w:autoRedefine/>
    <w:qFormat/>
    <w:rsid w:val="00F8305F"/>
    <w:pPr>
      <w:spacing w:before="240" w:after="200" w:line="276" w:lineRule="auto"/>
    </w:pPr>
    <w:rPr>
      <w:rFonts w:ascii="Work Sans" w:eastAsiaTheme="majorEastAsia" w:hAnsi="Work Sans" w:cs="Open Sans"/>
      <w:b/>
      <w:bCs/>
      <w:color w:val="006991"/>
      <w:sz w:val="28"/>
      <w:szCs w:val="28"/>
    </w:rPr>
  </w:style>
  <w:style w:type="character" w:styleId="Hyperlink">
    <w:name w:val="Hyperlink"/>
    <w:basedOn w:val="DefaultParagraphFont"/>
    <w:uiPriority w:val="99"/>
    <w:unhideWhenUsed/>
    <w:rsid w:val="008B3F9B"/>
    <w:rPr>
      <w:color w:val="006991" w:themeColor="hyperlink"/>
      <w:u w:val="single"/>
    </w:rPr>
  </w:style>
  <w:style w:type="character" w:styleId="UnresolvedMention">
    <w:name w:val="Unresolved Mention"/>
    <w:basedOn w:val="DefaultParagraphFont"/>
    <w:uiPriority w:val="99"/>
    <w:semiHidden/>
    <w:unhideWhenUsed/>
    <w:rsid w:val="008B3F9B"/>
    <w:rPr>
      <w:color w:val="605E5C"/>
      <w:shd w:val="clear" w:color="auto" w:fill="E1DFDD"/>
    </w:rPr>
  </w:style>
  <w:style w:type="character" w:styleId="PageNumber">
    <w:name w:val="page number"/>
    <w:basedOn w:val="DefaultParagraphFont"/>
    <w:uiPriority w:val="99"/>
    <w:semiHidden/>
    <w:unhideWhenUsed/>
    <w:rsid w:val="008B3F9B"/>
  </w:style>
  <w:style w:type="character" w:customStyle="1" w:styleId="Heading1Char">
    <w:name w:val="Heading 1 Char"/>
    <w:basedOn w:val="DefaultParagraphFont"/>
    <w:link w:val="Heading1"/>
    <w:uiPriority w:val="9"/>
    <w:rsid w:val="00F8305F"/>
    <w:rPr>
      <w:rFonts w:ascii="Work Sans" w:eastAsiaTheme="majorEastAsia" w:hAnsi="Work Sans" w:cs="Open Sans"/>
      <w:b/>
      <w:bCs/>
      <w:color w:val="006991"/>
      <w:sz w:val="40"/>
      <w:szCs w:val="40"/>
    </w:rPr>
  </w:style>
  <w:style w:type="character" w:customStyle="1" w:styleId="Heading2Char">
    <w:name w:val="Heading 2 Char"/>
    <w:basedOn w:val="DefaultParagraphFont"/>
    <w:link w:val="Heading2"/>
    <w:uiPriority w:val="9"/>
    <w:rsid w:val="00F8305F"/>
    <w:rPr>
      <w:rFonts w:ascii="Work Sans" w:eastAsiaTheme="majorEastAsia" w:hAnsi="Work Sans" w:cs="Open Sans"/>
      <w:b/>
      <w:bCs/>
      <w:color w:val="006991"/>
      <w:sz w:val="36"/>
      <w:szCs w:val="36"/>
    </w:rPr>
  </w:style>
  <w:style w:type="character" w:customStyle="1" w:styleId="Heading3Char">
    <w:name w:val="Heading 3 Char"/>
    <w:basedOn w:val="DefaultParagraphFont"/>
    <w:link w:val="Heading3"/>
    <w:uiPriority w:val="9"/>
    <w:rsid w:val="00F8305F"/>
    <w:rPr>
      <w:rFonts w:ascii="Work Sans" w:eastAsiaTheme="majorEastAsia" w:hAnsi="Work Sans" w:cs="Open Sans"/>
      <w:b/>
      <w:bCs/>
      <w:color w:val="006991"/>
      <w:sz w:val="28"/>
      <w:szCs w:val="28"/>
    </w:rPr>
  </w:style>
  <w:style w:type="paragraph" w:styleId="FootnoteText">
    <w:name w:val="footnote text"/>
    <w:basedOn w:val="Normal"/>
    <w:link w:val="FootnoteTextChar"/>
    <w:uiPriority w:val="99"/>
    <w:semiHidden/>
    <w:unhideWhenUsed/>
    <w:rsid w:val="003C35AE"/>
    <w:pPr>
      <w:spacing w:before="0" w:line="240" w:lineRule="auto"/>
    </w:pPr>
    <w:rPr>
      <w:szCs w:val="20"/>
    </w:rPr>
  </w:style>
  <w:style w:type="character" w:customStyle="1" w:styleId="FootnoteTextChar">
    <w:name w:val="Footnote Text Char"/>
    <w:basedOn w:val="DefaultParagraphFont"/>
    <w:link w:val="FootnoteText"/>
    <w:uiPriority w:val="99"/>
    <w:semiHidden/>
    <w:rsid w:val="003C35AE"/>
    <w:rPr>
      <w:rFonts w:ascii="Open Sans Light" w:hAnsi="Open Sans Light"/>
      <w:sz w:val="20"/>
      <w:szCs w:val="20"/>
    </w:rPr>
  </w:style>
  <w:style w:type="character" w:styleId="CommentReference">
    <w:name w:val="annotation reference"/>
    <w:basedOn w:val="DefaultParagraphFont"/>
    <w:uiPriority w:val="99"/>
    <w:semiHidden/>
    <w:unhideWhenUsed/>
    <w:rsid w:val="003C35AE"/>
    <w:rPr>
      <w:sz w:val="16"/>
      <w:szCs w:val="16"/>
    </w:rPr>
  </w:style>
  <w:style w:type="paragraph" w:styleId="CommentText">
    <w:name w:val="annotation text"/>
    <w:basedOn w:val="Normal"/>
    <w:link w:val="CommentTextChar"/>
    <w:uiPriority w:val="99"/>
    <w:unhideWhenUsed/>
    <w:rsid w:val="003C35AE"/>
    <w:pPr>
      <w:spacing w:line="240" w:lineRule="auto"/>
      <w:jc w:val="both"/>
    </w:pPr>
    <w:rPr>
      <w:rFonts w:cs="Cambria Math"/>
      <w:color w:val="000000"/>
      <w:szCs w:val="20"/>
      <w:shd w:val="clear" w:color="auto" w:fill="FFFFFF"/>
    </w:rPr>
  </w:style>
  <w:style w:type="character" w:customStyle="1" w:styleId="CommentTextChar">
    <w:name w:val="Comment Text Char"/>
    <w:basedOn w:val="DefaultParagraphFont"/>
    <w:link w:val="CommentText"/>
    <w:uiPriority w:val="99"/>
    <w:rsid w:val="003C35AE"/>
    <w:rPr>
      <w:rFonts w:ascii="Open Sans Light" w:hAnsi="Open Sans Light" w:cs="Cambria Math"/>
      <w:color w:val="000000"/>
      <w:sz w:val="20"/>
      <w:szCs w:val="20"/>
    </w:rPr>
  </w:style>
  <w:style w:type="character" w:styleId="FootnoteReference">
    <w:name w:val="footnote reference"/>
    <w:basedOn w:val="DefaultParagraphFont"/>
    <w:qFormat/>
    <w:rsid w:val="003C35AE"/>
    <w:rPr>
      <w:rFonts w:ascii="Work Sans" w:hAnsi="Work Sans"/>
      <w:vertAlign w:val="superscript"/>
    </w:rPr>
  </w:style>
  <w:style w:type="paragraph" w:styleId="NormalWeb">
    <w:name w:val="Normal (Web)"/>
    <w:basedOn w:val="Normal"/>
    <w:uiPriority w:val="99"/>
    <w:unhideWhenUsed/>
    <w:rsid w:val="0090223F"/>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s://www.cgc.gov.au/sites/default/files/2022-03/New%20issues%20in%20the%202022%20Update.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creativecommons.org/licenses/by/4.0/legalcode"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cgc.gov.au/publications/occasional-paper-4-new-arrangements-distributing-g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gc.gov.au/publications/2022-upda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gc.gov.au/publications/occasional-paper-3-mining-revenue-and-gst-distributio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gc.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budget.gov.au/2021-22/content/myefo/index.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1.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CGC Colour Themes">
      <a:dk1>
        <a:srgbClr val="004562"/>
      </a:dk1>
      <a:lt1>
        <a:srgbClr val="FFFFFF"/>
      </a:lt1>
      <a:dk2>
        <a:srgbClr val="004562"/>
      </a:dk2>
      <a:lt2>
        <a:srgbClr val="E7E6E6"/>
      </a:lt2>
      <a:accent1>
        <a:srgbClr val="004563"/>
      </a:accent1>
      <a:accent2>
        <a:srgbClr val="0092C8"/>
      </a:accent2>
      <a:accent3>
        <a:srgbClr val="CC5E12"/>
      </a:accent3>
      <a:accent4>
        <a:srgbClr val="EDAB16"/>
      </a:accent4>
      <a:accent5>
        <a:srgbClr val="008069"/>
      </a:accent5>
      <a:accent6>
        <a:srgbClr val="00CE87"/>
      </a:accent6>
      <a:hlink>
        <a:srgbClr val="006991"/>
      </a:hlink>
      <a:folHlink>
        <a:srgbClr val="93EA9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EA9839F97DA84EAC43A7FB852BABF8" ma:contentTypeVersion="10" ma:contentTypeDescription="Create a new document." ma:contentTypeScope="" ma:versionID="5d39d10a32ccba9c96e4777a503aeead">
  <xsd:schema xmlns:xsd="http://www.w3.org/2001/XMLSchema" xmlns:xs="http://www.w3.org/2001/XMLSchema" xmlns:p="http://schemas.microsoft.com/office/2006/metadata/properties" xmlns:ns2="fddab0a8-5dcd-452e-8920-feabfc03300f" xmlns:ns3="3b147965-d003-4c9e-9913-90f0d9e77379" targetNamespace="http://schemas.microsoft.com/office/2006/metadata/properties" ma:root="true" ma:fieldsID="77dc74ff3cf2b8b3397f2f35b7aae2c9" ns2:_="" ns3:_="">
    <xsd:import namespace="fddab0a8-5dcd-452e-8920-feabfc03300f"/>
    <xsd:import namespace="3b147965-d003-4c9e-9913-90f0d9e773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ab0a8-5dcd-452e-8920-feabfc033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47965-d003-4c9e-9913-90f0d9e7737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3b147965-d003-4c9e-9913-90f0d9e77379">
      <UserInfo>
        <DisplayName>Maria Henriquez</DisplayName>
        <AccountId>81</AccountId>
        <AccountType/>
      </UserInfo>
    </SharedWithUsers>
  </documentManagement>
</p:properties>
</file>

<file path=customXml/itemProps1.xml><?xml version="1.0" encoding="utf-8"?>
<ds:datastoreItem xmlns:ds="http://schemas.openxmlformats.org/officeDocument/2006/customXml" ds:itemID="{6E0EC2E2-2735-46D1-9AF4-46F8E161B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ab0a8-5dcd-452e-8920-feabfc03300f"/>
    <ds:schemaRef ds:uri="3b147965-d003-4c9e-9913-90f0d9e77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AFEE77-DB88-48B5-976E-1D87DFA759C3}">
  <ds:schemaRefs>
    <ds:schemaRef ds:uri="http://schemas.openxmlformats.org/officeDocument/2006/bibliography"/>
  </ds:schemaRefs>
</ds:datastoreItem>
</file>

<file path=customXml/itemProps3.xml><?xml version="1.0" encoding="utf-8"?>
<ds:datastoreItem xmlns:ds="http://schemas.openxmlformats.org/officeDocument/2006/customXml" ds:itemID="{49494F84-814F-4EE2-B308-02A3D0AE89C4}">
  <ds:schemaRefs>
    <ds:schemaRef ds:uri="http://schemas.microsoft.com/sharepoint/v3/contenttype/forms"/>
  </ds:schemaRefs>
</ds:datastoreItem>
</file>

<file path=customXml/itemProps4.xml><?xml version="1.0" encoding="utf-8"?>
<ds:datastoreItem xmlns:ds="http://schemas.openxmlformats.org/officeDocument/2006/customXml" ds:itemID="{52979382-591B-49F4-B835-508E57F947A4}">
  <ds:schemaRefs>
    <ds:schemaRef ds:uri="http://schemas.microsoft.com/office/2006/metadata/properties"/>
    <ds:schemaRef ds:uri="http://schemas.microsoft.com/office/infopath/2007/PartnerControls"/>
    <ds:schemaRef ds:uri="3b147965-d003-4c9e-9913-90f0d9e77379"/>
  </ds:schemaRefs>
</ds:datastoreItem>
</file>

<file path=docProps/app.xml><?xml version="1.0" encoding="utf-8"?>
<Properties xmlns="http://schemas.openxmlformats.org/officeDocument/2006/extended-properties" xmlns:vt="http://schemas.openxmlformats.org/officeDocument/2006/docPropsVTypes">
  <Template>Normal</Template>
  <TotalTime>1351</TotalTime>
  <Pages>8</Pages>
  <Words>1901</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Warder</dc:creator>
  <cp:keywords/>
  <dc:description/>
  <cp:lastModifiedBy>Maria Henriquez</cp:lastModifiedBy>
  <cp:revision>63</cp:revision>
  <cp:lastPrinted>2022-04-21T05:54:00Z</cp:lastPrinted>
  <dcterms:created xsi:type="dcterms:W3CDTF">2022-03-23T00:59:00Z</dcterms:created>
  <dcterms:modified xsi:type="dcterms:W3CDTF">2022-04-21T05:54:00Z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0x0101009AEA9839F97DA84EAC43A7FB852BABF8</vt:lpwstr>
  </property>
</Properties>
</file>