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7.xml" ContentType="application/vnd.openxmlformats-officedocument.wordprocessingml.footer+xml"/>
  <Override PartName="/word/footer18.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35B" w:rsidRDefault="0072435B" w:rsidP="0072435B">
      <w:pPr>
        <w:jc w:val="center"/>
      </w:pPr>
      <w:bookmarkStart w:id="0" w:name="_GoBack"/>
      <w:bookmarkEnd w:id="0"/>
    </w:p>
    <w:p w:rsidR="0072435B" w:rsidRPr="002A48E0" w:rsidRDefault="0072435B" w:rsidP="0072435B">
      <w:pPr>
        <w:jc w:val="center"/>
      </w:pPr>
      <w:r w:rsidRPr="002A48E0">
        <w:rPr>
          <w:noProof/>
          <w:lang w:eastAsia="en-AU"/>
        </w:rPr>
        <w:drawing>
          <wp:inline distT="0" distB="0" distL="0" distR="0" wp14:anchorId="1D4ECB68" wp14:editId="72DE1D89">
            <wp:extent cx="3050540" cy="1575435"/>
            <wp:effectExtent l="0" t="0" r="0" b="5715"/>
            <wp:docPr id="24" name="Picture 24" descr="Description: Description: Description: CGC_stackedstrip resized"/>
            <wp:cNvGraphicFramePr/>
            <a:graphic xmlns:a="http://schemas.openxmlformats.org/drawingml/2006/main">
              <a:graphicData uri="http://schemas.openxmlformats.org/drawingml/2006/picture">
                <pic:pic xmlns:pic="http://schemas.openxmlformats.org/drawingml/2006/picture">
                  <pic:nvPicPr>
                    <pic:cNvPr id="24" name="Picture 24" descr="Description: Description: Description: CGC_stackedstrip resiz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0540" cy="1575435"/>
                    </a:xfrm>
                    <a:prstGeom prst="rect">
                      <a:avLst/>
                    </a:prstGeom>
                    <a:noFill/>
                    <a:ln>
                      <a:noFill/>
                    </a:ln>
                  </pic:spPr>
                </pic:pic>
              </a:graphicData>
            </a:graphic>
          </wp:inline>
        </w:drawing>
      </w:r>
    </w:p>
    <w:p w:rsidR="0072435B" w:rsidRPr="002A48E0" w:rsidRDefault="0072435B" w:rsidP="0072435B">
      <w:pPr>
        <w:spacing w:before="3360"/>
        <w:jc w:val="center"/>
        <w:rPr>
          <w:b/>
          <w:color w:val="329664"/>
          <w:sz w:val="52"/>
          <w:szCs w:val="52"/>
        </w:rPr>
      </w:pPr>
      <w:r w:rsidRPr="002A48E0">
        <w:rPr>
          <w:b/>
          <w:color w:val="329664"/>
          <w:sz w:val="52"/>
          <w:szCs w:val="52"/>
        </w:rPr>
        <w:t>Report on</w:t>
      </w:r>
    </w:p>
    <w:p w:rsidR="0072435B" w:rsidRPr="002A48E0" w:rsidRDefault="0072435B" w:rsidP="0072435B">
      <w:pPr>
        <w:jc w:val="center"/>
        <w:rPr>
          <w:b/>
          <w:color w:val="329664"/>
          <w:sz w:val="52"/>
          <w:szCs w:val="52"/>
        </w:rPr>
      </w:pPr>
      <w:r w:rsidRPr="002A48E0">
        <w:rPr>
          <w:b/>
          <w:color w:val="329664"/>
          <w:sz w:val="52"/>
          <w:szCs w:val="52"/>
        </w:rPr>
        <w:t>GST Revenue Sharing Relativities</w:t>
      </w:r>
    </w:p>
    <w:p w:rsidR="0072435B" w:rsidRPr="002A48E0" w:rsidRDefault="0072435B" w:rsidP="0072435B">
      <w:pPr>
        <w:spacing w:before="720"/>
        <w:jc w:val="center"/>
        <w:rPr>
          <w:b/>
          <w:color w:val="329664"/>
          <w:sz w:val="52"/>
          <w:szCs w:val="52"/>
        </w:rPr>
      </w:pPr>
      <w:r w:rsidRPr="002A48E0">
        <w:rPr>
          <w:b/>
          <w:color w:val="329664"/>
          <w:sz w:val="52"/>
          <w:szCs w:val="52"/>
        </w:rPr>
        <w:t>201</w:t>
      </w:r>
      <w:r>
        <w:rPr>
          <w:b/>
          <w:color w:val="329664"/>
          <w:sz w:val="52"/>
          <w:szCs w:val="52"/>
        </w:rPr>
        <w:t>8</w:t>
      </w:r>
      <w:r w:rsidR="00DE59C5">
        <w:rPr>
          <w:b/>
          <w:color w:val="329664"/>
          <w:sz w:val="52"/>
          <w:szCs w:val="52"/>
        </w:rPr>
        <w:t> </w:t>
      </w:r>
      <w:r w:rsidRPr="002A48E0">
        <w:rPr>
          <w:b/>
          <w:color w:val="329664"/>
          <w:sz w:val="52"/>
          <w:szCs w:val="52"/>
        </w:rPr>
        <w:t>Update</w:t>
      </w:r>
    </w:p>
    <w:p w:rsidR="0072435B" w:rsidRPr="002A48E0" w:rsidRDefault="0072435B" w:rsidP="0072435B">
      <w:pPr>
        <w:spacing w:before="3600"/>
        <w:jc w:val="center"/>
        <w:rPr>
          <w:b/>
          <w:color w:val="329664"/>
          <w:sz w:val="40"/>
          <w:szCs w:val="40"/>
        </w:rPr>
      </w:pPr>
      <w:r w:rsidRPr="002A48E0">
        <w:rPr>
          <w:b/>
          <w:color w:val="329664"/>
          <w:sz w:val="40"/>
          <w:szCs w:val="40"/>
        </w:rPr>
        <w:t>Canberra</w:t>
      </w:r>
    </w:p>
    <w:p w:rsidR="0072435B" w:rsidRPr="002A48E0" w:rsidRDefault="0072435B" w:rsidP="0072435B">
      <w:pPr>
        <w:spacing w:before="3600"/>
        <w:jc w:val="center"/>
        <w:rPr>
          <w:b/>
          <w:color w:val="329664"/>
          <w:sz w:val="40"/>
          <w:szCs w:val="40"/>
        </w:rPr>
        <w:sectPr w:rsidR="0072435B" w:rsidRPr="002A48E0" w:rsidSect="007F77EC">
          <w:headerReference w:type="default" r:id="rId10"/>
          <w:footerReference w:type="default" r:id="rId11"/>
          <w:footerReference w:type="first" r:id="rId12"/>
          <w:pgSz w:w="11899" w:h="16838" w:code="9"/>
          <w:pgMar w:top="1701" w:right="1474" w:bottom="1701" w:left="1474" w:header="709" w:footer="709" w:gutter="0"/>
          <w:cols w:space="708"/>
          <w:titlePg/>
          <w:docGrid w:linePitch="326"/>
        </w:sectPr>
      </w:pPr>
    </w:p>
    <w:p w:rsidR="0072435B" w:rsidRPr="002A48E0" w:rsidRDefault="0072435B" w:rsidP="0072435B">
      <w:pPr>
        <w:pStyle w:val="H3notoc"/>
      </w:pPr>
      <w:bookmarkStart w:id="1" w:name="_Toc283907661"/>
      <w:bookmarkStart w:id="2" w:name="_Toc283984117"/>
      <w:bookmarkStart w:id="3" w:name="_Toc283984283"/>
      <w:bookmarkStart w:id="4" w:name="_Toc283984534"/>
      <w:bookmarkStart w:id="5" w:name="_Toc284593047"/>
      <w:bookmarkStart w:id="6" w:name="_Toc284950444"/>
      <w:bookmarkStart w:id="7" w:name="_Toc284950513"/>
      <w:bookmarkStart w:id="8" w:name="_Toc284950874"/>
      <w:bookmarkStart w:id="9" w:name="_Toc284951045"/>
      <w:bookmarkStart w:id="10" w:name="_Toc284951274"/>
      <w:bookmarkStart w:id="11" w:name="_Toc285634893"/>
      <w:bookmarkStart w:id="12" w:name="_Toc285635052"/>
      <w:bookmarkStart w:id="13" w:name="_Toc300732051"/>
      <w:bookmarkStart w:id="14" w:name="_Toc300732121"/>
      <w:bookmarkStart w:id="15" w:name="_Toc300732197"/>
      <w:bookmarkStart w:id="16" w:name="_Toc300732263"/>
      <w:bookmarkStart w:id="17" w:name="_Toc300732337"/>
      <w:bookmarkStart w:id="18" w:name="_Toc300732455"/>
      <w:bookmarkStart w:id="19" w:name="_Toc303952552"/>
      <w:bookmarkStart w:id="20" w:name="_Toc333409208"/>
      <w:bookmarkStart w:id="21" w:name="_Toc333409439"/>
      <w:bookmarkStart w:id="22" w:name="_Toc336335853"/>
      <w:bookmarkStart w:id="23" w:name="_Toc399487783"/>
      <w:bookmarkStart w:id="24" w:name="_Toc399487986"/>
      <w:bookmarkStart w:id="25" w:name="_Toc410741645"/>
      <w:bookmarkStart w:id="26" w:name="_Toc410744191"/>
      <w:bookmarkStart w:id="27" w:name="_Toc411511181"/>
      <w:bookmarkStart w:id="28" w:name="_Toc411511634"/>
      <w:bookmarkStart w:id="29" w:name="_Toc411924574"/>
      <w:bookmarkStart w:id="30" w:name="_Toc428435377"/>
      <w:bookmarkStart w:id="31" w:name="_Toc428435613"/>
      <w:bookmarkStart w:id="32" w:name="_Toc428435775"/>
      <w:bookmarkStart w:id="33" w:name="_Toc428435859"/>
      <w:bookmarkStart w:id="34" w:name="_Toc428803203"/>
      <w:bookmarkStart w:id="35" w:name="_Toc430166067"/>
      <w:bookmarkStart w:id="36" w:name="_Toc441241570"/>
      <w:bookmarkStart w:id="37" w:name="_Toc441242255"/>
      <w:bookmarkStart w:id="38" w:name="_Toc441242309"/>
      <w:bookmarkStart w:id="39" w:name="_Toc441499240"/>
      <w:bookmarkStart w:id="40" w:name="_Toc441655981"/>
      <w:bookmarkStart w:id="41" w:name="_Toc441656017"/>
      <w:bookmarkStart w:id="42" w:name="_Toc442191896"/>
      <w:bookmarkStart w:id="43" w:name="_Toc442192078"/>
      <w:bookmarkStart w:id="44" w:name="_Toc442192143"/>
      <w:bookmarkStart w:id="45" w:name="_Toc442192208"/>
      <w:r w:rsidRPr="002A48E0">
        <w:lastRenderedPageBreak/>
        <w:t>Copyright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72435B" w:rsidRPr="002A48E0" w:rsidRDefault="0072435B" w:rsidP="0072435B">
      <w:r w:rsidRPr="002A48E0">
        <w:t>© Commonwealth of Australia 201</w:t>
      </w:r>
      <w:r>
        <w:t>8</w:t>
      </w:r>
      <w:r w:rsidRPr="002A48E0">
        <w:tab/>
      </w:r>
      <w:r w:rsidRPr="002A48E0">
        <w:tab/>
        <w:t>ISBN: 978-0-9923954-</w:t>
      </w:r>
      <w:r>
        <w:t>6</w:t>
      </w:r>
      <w:r w:rsidRPr="002A48E0">
        <w:t>-</w:t>
      </w:r>
      <w:r>
        <w:t>9</w:t>
      </w:r>
    </w:p>
    <w:p w:rsidR="0072435B" w:rsidRPr="002A48E0" w:rsidRDefault="0072435B" w:rsidP="0072435B">
      <w:pPr>
        <w:rPr>
          <w:i/>
        </w:rPr>
      </w:pPr>
      <w:r w:rsidRPr="002A48E0">
        <w:t xml:space="preserve">With the exception of the Commonwealth Coat of Arms, all material presented in this document is provided under an </w:t>
      </w:r>
      <w:hyperlink r:id="rId13" w:history="1">
        <w:r w:rsidRPr="002A48E0">
          <w:rPr>
            <w:rStyle w:val="Hyperlink"/>
          </w:rPr>
          <w:t>Attribution 4.0 (CC BY 4.0) licence</w:t>
        </w:r>
      </w:hyperlink>
      <w:r w:rsidRPr="002A48E0">
        <w:t xml:space="preserve"> (http://creativecommons.org/licenses/by/4.0).</w:t>
      </w:r>
    </w:p>
    <w:p w:rsidR="0072435B" w:rsidRPr="002A48E0" w:rsidRDefault="0072435B" w:rsidP="0072435B">
      <w:r w:rsidRPr="002A48E0">
        <w:rPr>
          <w:noProof/>
          <w:lang w:eastAsia="en-AU"/>
        </w:rPr>
        <w:drawing>
          <wp:inline distT="0" distB="0" distL="0" distR="0" wp14:anchorId="4E1FF8EB" wp14:editId="3B9D3BCB">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72435B" w:rsidRPr="002A48E0" w:rsidRDefault="0072435B" w:rsidP="0072435B">
      <w:pPr>
        <w:pStyle w:val="H3notoc"/>
      </w:pPr>
      <w:bookmarkStart w:id="46" w:name="_Toc283907662"/>
      <w:bookmarkStart w:id="47" w:name="_Toc283984118"/>
      <w:bookmarkStart w:id="48" w:name="_Toc283984284"/>
      <w:bookmarkStart w:id="49" w:name="_Toc284951046"/>
      <w:bookmarkStart w:id="50" w:name="_Toc300732052"/>
      <w:bookmarkStart w:id="51" w:name="_Toc300732122"/>
      <w:bookmarkStart w:id="52" w:name="_Toc300732338"/>
      <w:bookmarkStart w:id="53" w:name="_Toc300732456"/>
      <w:bookmarkStart w:id="54" w:name="_Toc303952553"/>
      <w:bookmarkStart w:id="55" w:name="_Toc336335854"/>
      <w:bookmarkStart w:id="56" w:name="_Toc399487987"/>
      <w:bookmarkStart w:id="57" w:name="_Toc428435614"/>
      <w:bookmarkStart w:id="58" w:name="_Toc428435776"/>
      <w:bookmarkStart w:id="59" w:name="_Toc428435860"/>
      <w:bookmarkStart w:id="60" w:name="_Toc428803204"/>
      <w:bookmarkStart w:id="61" w:name="_Toc430166068"/>
      <w:bookmarkStart w:id="62" w:name="_Toc441241571"/>
      <w:bookmarkStart w:id="63" w:name="_Toc441242256"/>
      <w:bookmarkStart w:id="64" w:name="_Toc441242310"/>
      <w:bookmarkStart w:id="65" w:name="_Toc441499241"/>
      <w:bookmarkStart w:id="66" w:name="_Toc442191897"/>
      <w:bookmarkStart w:id="67" w:name="_Toc442192079"/>
      <w:bookmarkStart w:id="68" w:name="_Toc442192144"/>
      <w:bookmarkStart w:id="69" w:name="_Toc442192209"/>
      <w:r w:rsidRPr="002A48E0">
        <w:t>Attribution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72435B" w:rsidRPr="002A48E0" w:rsidRDefault="0072435B" w:rsidP="0072435B">
      <w:pPr>
        <w:rPr>
          <w:i/>
        </w:rPr>
      </w:pPr>
      <w:r w:rsidRPr="002A48E0">
        <w:t xml:space="preserve">This document should be attributed as: Commonwealth Grants Commission, </w:t>
      </w:r>
      <w:r w:rsidRPr="002A48E0">
        <w:rPr>
          <w:i/>
        </w:rPr>
        <w:t>Report on GST Revenue Sharing Relativities, 201</w:t>
      </w:r>
      <w:r>
        <w:rPr>
          <w:i/>
        </w:rPr>
        <w:t>8</w:t>
      </w:r>
      <w:r w:rsidR="00E85C3A">
        <w:rPr>
          <w:i/>
        </w:rPr>
        <w:t> </w:t>
      </w:r>
      <w:r w:rsidRPr="002A48E0">
        <w:rPr>
          <w:i/>
        </w:rPr>
        <w:t>Update.</w:t>
      </w:r>
    </w:p>
    <w:p w:rsidR="0072435B" w:rsidRPr="002A48E0" w:rsidRDefault="0072435B" w:rsidP="0072435B">
      <w:pPr>
        <w:pStyle w:val="H3notoc"/>
      </w:pPr>
      <w:bookmarkStart w:id="70" w:name="_Toc283907663"/>
      <w:bookmarkStart w:id="71" w:name="_Toc283984119"/>
      <w:bookmarkStart w:id="72" w:name="_Toc283984285"/>
      <w:bookmarkStart w:id="73" w:name="_Toc284951047"/>
      <w:bookmarkStart w:id="74" w:name="_Toc300732053"/>
      <w:bookmarkStart w:id="75" w:name="_Toc300732123"/>
      <w:bookmarkStart w:id="76" w:name="_Toc300732339"/>
      <w:bookmarkStart w:id="77" w:name="_Toc300732457"/>
      <w:bookmarkStart w:id="78" w:name="_Toc303952554"/>
      <w:bookmarkStart w:id="79" w:name="_Toc336335855"/>
      <w:bookmarkStart w:id="80" w:name="_Toc399487988"/>
      <w:bookmarkStart w:id="81" w:name="_Toc428435615"/>
      <w:bookmarkStart w:id="82" w:name="_Toc428435777"/>
      <w:bookmarkStart w:id="83" w:name="_Toc428435861"/>
      <w:bookmarkStart w:id="84" w:name="_Toc428803205"/>
      <w:bookmarkStart w:id="85" w:name="_Toc430166069"/>
      <w:bookmarkStart w:id="86" w:name="_Toc441241572"/>
      <w:bookmarkStart w:id="87" w:name="_Toc441242257"/>
      <w:bookmarkStart w:id="88" w:name="_Toc441242311"/>
      <w:bookmarkStart w:id="89" w:name="_Toc441499242"/>
      <w:bookmarkStart w:id="90" w:name="_Toc442191898"/>
      <w:bookmarkStart w:id="91" w:name="_Toc442192080"/>
      <w:bookmarkStart w:id="92" w:name="_Toc442192145"/>
      <w:bookmarkStart w:id="93" w:name="_Toc442192210"/>
      <w:r w:rsidRPr="002A48E0">
        <w:t>Licence conditions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72435B" w:rsidRPr="002A48E0" w:rsidRDefault="0072435B" w:rsidP="0072435B">
      <w:pPr>
        <w:rPr>
          <w:i/>
        </w:rPr>
      </w:pPr>
      <w:r w:rsidRPr="002A48E0">
        <w:t xml:space="preserve">The details of the relevant licence conditions are available on the </w:t>
      </w:r>
      <w:hyperlink r:id="rId15" w:history="1">
        <w:r w:rsidRPr="002A48E0">
          <w:rPr>
            <w:rStyle w:val="Hyperlink"/>
          </w:rPr>
          <w:t>Creative Commons website</w:t>
        </w:r>
      </w:hyperlink>
      <w:r w:rsidRPr="002A48E0">
        <w:t xml:space="preserve"> (http://creativecommons.org), </w:t>
      </w:r>
      <w:r w:rsidRPr="002A48E0">
        <w:br/>
        <w:t xml:space="preserve">as are the </w:t>
      </w:r>
      <w:hyperlink r:id="rId16" w:history="1">
        <w:r w:rsidRPr="002A48E0">
          <w:rPr>
            <w:rStyle w:val="Hyperlink"/>
          </w:rPr>
          <w:t>CC BY 4.0 licence deed</w:t>
        </w:r>
      </w:hyperlink>
      <w:r w:rsidRPr="002A48E0">
        <w:t xml:space="preserve"> (http://creativecommons.org/licenses/by/4.0) </w:t>
      </w:r>
      <w:r w:rsidRPr="002A48E0">
        <w:br/>
        <w:t xml:space="preserve">and </w:t>
      </w:r>
      <w:hyperlink r:id="rId17" w:history="1">
        <w:r w:rsidRPr="002A48E0">
          <w:rPr>
            <w:rStyle w:val="Hyperlink"/>
          </w:rPr>
          <w:t>full legal code</w:t>
        </w:r>
      </w:hyperlink>
      <w:r w:rsidRPr="002A48E0">
        <w:t xml:space="preserve"> (http://creativecommons.org/licenses/by/4.0/legalcode).</w:t>
      </w:r>
    </w:p>
    <w:p w:rsidR="0072435B" w:rsidRPr="002A48E0" w:rsidRDefault="0072435B" w:rsidP="0072435B">
      <w:pPr>
        <w:pStyle w:val="H3notoc"/>
      </w:pPr>
      <w:bookmarkStart w:id="94" w:name="_Toc283907664"/>
      <w:bookmarkStart w:id="95" w:name="_Toc283984120"/>
      <w:bookmarkStart w:id="96" w:name="_Toc283984286"/>
      <w:bookmarkStart w:id="97" w:name="_Toc284951048"/>
      <w:bookmarkStart w:id="98" w:name="_Toc300732054"/>
      <w:bookmarkStart w:id="99" w:name="_Toc300732124"/>
      <w:bookmarkStart w:id="100" w:name="_Toc300732340"/>
      <w:bookmarkStart w:id="101" w:name="_Toc300732458"/>
      <w:bookmarkStart w:id="102" w:name="_Toc303952555"/>
      <w:bookmarkStart w:id="103" w:name="_Toc336335856"/>
      <w:bookmarkStart w:id="104" w:name="_Toc399487989"/>
      <w:bookmarkStart w:id="105" w:name="_Toc428435616"/>
      <w:bookmarkStart w:id="106" w:name="_Toc428435778"/>
      <w:bookmarkStart w:id="107" w:name="_Toc428435862"/>
      <w:bookmarkStart w:id="108" w:name="_Toc428803206"/>
      <w:bookmarkStart w:id="109" w:name="_Toc430166070"/>
      <w:bookmarkStart w:id="110" w:name="_Toc441241573"/>
      <w:bookmarkStart w:id="111" w:name="_Toc441242258"/>
      <w:bookmarkStart w:id="112" w:name="_Toc441242312"/>
      <w:bookmarkStart w:id="113" w:name="_Toc441499243"/>
      <w:bookmarkStart w:id="114" w:name="_Toc442191899"/>
      <w:bookmarkStart w:id="115" w:name="_Toc442192081"/>
      <w:bookmarkStart w:id="116" w:name="_Toc442192146"/>
      <w:bookmarkStart w:id="117" w:name="_Toc442192211"/>
      <w:r w:rsidRPr="002A48E0">
        <w:t>Use of the Coat of Arms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72435B" w:rsidRPr="002A48E0" w:rsidRDefault="0072435B" w:rsidP="0072435B">
      <w:pPr>
        <w:rPr>
          <w:i/>
        </w:rPr>
      </w:pPr>
      <w:r w:rsidRPr="002A48E0">
        <w:t xml:space="preserve">The terms under which the Coat of Arms can be used are detailed on the </w:t>
      </w:r>
      <w:hyperlink r:id="rId18" w:history="1">
        <w:r w:rsidRPr="002A48E0">
          <w:rPr>
            <w:rStyle w:val="Hyperlink"/>
          </w:rPr>
          <w:t>It’s an Honour website</w:t>
        </w:r>
      </w:hyperlink>
      <w:r w:rsidRPr="002A48E0">
        <w:t xml:space="preserve"> (http://www.itsanhonour.gov.au/coat-arms/).</w:t>
      </w:r>
    </w:p>
    <w:p w:rsidR="0072435B" w:rsidRPr="002A48E0" w:rsidRDefault="0072435B" w:rsidP="0072435B">
      <w:pPr>
        <w:pStyle w:val="H3notoc"/>
      </w:pPr>
      <w:bookmarkStart w:id="118" w:name="_Toc283907665"/>
      <w:bookmarkStart w:id="119" w:name="_Toc283984121"/>
      <w:bookmarkStart w:id="120" w:name="_Toc283984287"/>
      <w:bookmarkStart w:id="121" w:name="_Toc284951049"/>
      <w:bookmarkStart w:id="122" w:name="_Toc300732055"/>
      <w:bookmarkStart w:id="123" w:name="_Toc300732125"/>
      <w:bookmarkStart w:id="124" w:name="_Toc300732198"/>
      <w:bookmarkStart w:id="125" w:name="_Toc300732264"/>
      <w:bookmarkStart w:id="126" w:name="_Toc300732341"/>
      <w:bookmarkStart w:id="127" w:name="_Toc300732459"/>
      <w:bookmarkStart w:id="128" w:name="_Toc303952556"/>
      <w:bookmarkStart w:id="129" w:name="_Toc333409209"/>
      <w:bookmarkStart w:id="130" w:name="_Toc333409440"/>
      <w:bookmarkStart w:id="131" w:name="_Toc336335857"/>
      <w:bookmarkStart w:id="132" w:name="_Toc399487784"/>
      <w:bookmarkStart w:id="133" w:name="_Toc399487990"/>
      <w:bookmarkStart w:id="134" w:name="_Toc410741646"/>
      <w:bookmarkStart w:id="135" w:name="_Toc410744192"/>
      <w:bookmarkStart w:id="136" w:name="_Toc411511182"/>
      <w:bookmarkStart w:id="137" w:name="_Toc411511635"/>
      <w:bookmarkStart w:id="138" w:name="_Toc411924575"/>
      <w:bookmarkStart w:id="139" w:name="_Toc428435378"/>
      <w:bookmarkStart w:id="140" w:name="_Toc428435617"/>
      <w:bookmarkStart w:id="141" w:name="_Toc428435779"/>
      <w:bookmarkStart w:id="142" w:name="_Toc428435863"/>
      <w:bookmarkStart w:id="143" w:name="_Toc428803207"/>
      <w:bookmarkStart w:id="144" w:name="_Toc430166071"/>
      <w:bookmarkStart w:id="145" w:name="_Toc441241574"/>
      <w:bookmarkStart w:id="146" w:name="_Toc441242259"/>
      <w:bookmarkStart w:id="147" w:name="_Toc441242313"/>
      <w:bookmarkStart w:id="148" w:name="_Toc441499244"/>
      <w:bookmarkStart w:id="149" w:name="_Toc441655982"/>
      <w:bookmarkStart w:id="150" w:name="_Toc441656018"/>
      <w:bookmarkStart w:id="151" w:name="_Toc442191900"/>
      <w:bookmarkStart w:id="152" w:name="_Toc442192082"/>
      <w:bookmarkStart w:id="153" w:name="_Toc442192147"/>
      <w:bookmarkStart w:id="154" w:name="_Toc442192212"/>
      <w:r w:rsidRPr="002A48E0">
        <w:t>CONTACT US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72435B" w:rsidRPr="002A48E0" w:rsidRDefault="0072435B" w:rsidP="0072435B">
      <w:pPr>
        <w:pStyle w:val="NoSpacing"/>
      </w:pPr>
      <w:r w:rsidRPr="002A48E0">
        <w:t>Inquiries regarding the licence and any use of this document should be directed to:</w:t>
      </w:r>
    </w:p>
    <w:p w:rsidR="0072435B" w:rsidRPr="002A48E0" w:rsidRDefault="0072435B" w:rsidP="0072435B">
      <w:pPr>
        <w:pStyle w:val="NoSpacing"/>
      </w:pPr>
    </w:p>
    <w:p w:rsidR="0072435B" w:rsidRPr="002A48E0" w:rsidRDefault="005A206C" w:rsidP="0072435B">
      <w:pPr>
        <w:pStyle w:val="NoSpacing"/>
      </w:pPr>
      <w:r>
        <w:t>Secretary</w:t>
      </w:r>
    </w:p>
    <w:p w:rsidR="0072435B" w:rsidRPr="002A48E0" w:rsidRDefault="0072435B" w:rsidP="0072435B">
      <w:pPr>
        <w:pStyle w:val="NoSpacing"/>
      </w:pPr>
      <w:r w:rsidRPr="002A48E0">
        <w:t>Commonwealth Grants Commission</w:t>
      </w:r>
    </w:p>
    <w:p w:rsidR="0072435B" w:rsidRPr="002A48E0" w:rsidRDefault="0072435B" w:rsidP="0072435B">
      <w:pPr>
        <w:pStyle w:val="NoSpacing"/>
      </w:pPr>
      <w:r w:rsidRPr="002A48E0">
        <w:t>First Floor, Phoenix House</w:t>
      </w:r>
    </w:p>
    <w:p w:rsidR="0072435B" w:rsidRPr="002A48E0" w:rsidRDefault="0072435B" w:rsidP="0072435B">
      <w:pPr>
        <w:pStyle w:val="NoSpacing"/>
      </w:pPr>
      <w:r w:rsidRPr="002A48E0">
        <w:t>86-88 Northbourne Avenue</w:t>
      </w:r>
    </w:p>
    <w:p w:rsidR="0072435B" w:rsidRPr="002A48E0" w:rsidRDefault="0072435B" w:rsidP="0072435B">
      <w:pPr>
        <w:pStyle w:val="NoSpacing"/>
      </w:pPr>
      <w:r w:rsidRPr="002A48E0">
        <w:t>BRADDON ACT 2612</w:t>
      </w:r>
    </w:p>
    <w:p w:rsidR="0072435B" w:rsidRPr="002A48E0" w:rsidRDefault="0072435B" w:rsidP="0072435B">
      <w:pPr>
        <w:pStyle w:val="NoSpacing"/>
      </w:pPr>
      <w:r w:rsidRPr="002A48E0">
        <w:t>Telephone (02) 6229 88</w:t>
      </w:r>
      <w:r w:rsidR="00726D11">
        <w:t>61</w:t>
      </w:r>
    </w:p>
    <w:p w:rsidR="0072435B" w:rsidRPr="002A48E0" w:rsidRDefault="0072435B" w:rsidP="0072435B">
      <w:pPr>
        <w:pStyle w:val="NoSpacing"/>
      </w:pPr>
      <w:r w:rsidRPr="002A48E0">
        <w:t>Facsimile (02) 6229 8821</w:t>
      </w:r>
    </w:p>
    <w:p w:rsidR="0072435B" w:rsidRPr="002A48E0" w:rsidRDefault="0072435B" w:rsidP="0072435B">
      <w:pPr>
        <w:pStyle w:val="NoSpacing"/>
      </w:pPr>
      <w:r w:rsidRPr="002A48E0">
        <w:t xml:space="preserve">Email </w:t>
      </w:r>
      <w:hyperlink r:id="rId19" w:history="1">
        <w:r w:rsidR="005A206C">
          <w:rPr>
            <w:rStyle w:val="Hyperlink"/>
          </w:rPr>
          <w:t>secretary</w:t>
        </w:r>
        <w:r w:rsidR="005A206C" w:rsidRPr="005958F5">
          <w:rPr>
            <w:rStyle w:val="Hyperlink"/>
          </w:rPr>
          <w:t>@cgc.gov.au</w:t>
        </w:r>
      </w:hyperlink>
    </w:p>
    <w:p w:rsidR="0072435B" w:rsidRPr="002A48E0" w:rsidRDefault="0072435B" w:rsidP="0072435B">
      <w:pPr>
        <w:pStyle w:val="H3notoc"/>
      </w:pPr>
      <w:bookmarkStart w:id="155" w:name="_Toc411511183"/>
      <w:bookmarkStart w:id="156" w:name="_Toc411511636"/>
      <w:bookmarkStart w:id="157" w:name="_Toc411924576"/>
      <w:bookmarkStart w:id="158" w:name="_Toc428435379"/>
      <w:bookmarkStart w:id="159" w:name="_Toc428435618"/>
      <w:bookmarkStart w:id="160" w:name="_Toc428435780"/>
      <w:bookmarkStart w:id="161" w:name="_Toc428435864"/>
      <w:bookmarkStart w:id="162" w:name="_Toc428803208"/>
      <w:bookmarkStart w:id="163" w:name="_Toc430166072"/>
      <w:bookmarkStart w:id="164" w:name="_Toc441241575"/>
      <w:bookmarkStart w:id="165" w:name="_Toc441242260"/>
      <w:bookmarkStart w:id="166" w:name="_Toc441242314"/>
      <w:bookmarkStart w:id="167" w:name="_Toc441499245"/>
      <w:bookmarkStart w:id="168" w:name="_Toc441655983"/>
      <w:bookmarkStart w:id="169" w:name="_Toc441656019"/>
      <w:bookmarkStart w:id="170" w:name="_Toc442191901"/>
      <w:bookmarkStart w:id="171" w:name="_Toc442192083"/>
      <w:bookmarkStart w:id="172" w:name="_Toc442192148"/>
      <w:bookmarkStart w:id="173" w:name="_Toc442192213"/>
      <w:r w:rsidRPr="002A48E0">
        <w:t>INTERNET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72435B" w:rsidRPr="002A48E0" w:rsidRDefault="0072435B" w:rsidP="0072435B">
      <w:pPr>
        <w:pStyle w:val="NoSpacing"/>
        <w:sectPr w:rsidR="0072435B" w:rsidRPr="002A48E0" w:rsidSect="007F77EC">
          <w:headerReference w:type="default" r:id="rId20"/>
          <w:pgSz w:w="11899" w:h="16838" w:code="9"/>
          <w:pgMar w:top="1701" w:right="1474" w:bottom="1701" w:left="1474" w:header="709" w:footer="709" w:gutter="0"/>
          <w:pgNumType w:fmt="lowerRoman"/>
          <w:cols w:space="708"/>
          <w:docGrid w:linePitch="326"/>
        </w:sectPr>
      </w:pPr>
      <w:r w:rsidRPr="002A48E0">
        <w:t xml:space="preserve">A copy of this report can be obtained from the </w:t>
      </w:r>
      <w:hyperlink r:id="rId21" w:history="1">
        <w:r w:rsidRPr="002A48E0">
          <w:rPr>
            <w:rStyle w:val="Hyperlink"/>
          </w:rPr>
          <w:t>Commission’s website</w:t>
        </w:r>
      </w:hyperlink>
      <w:r w:rsidRPr="002A48E0">
        <w:t xml:space="preserve"> (</w:t>
      </w:r>
      <w:r w:rsidR="00441C6C" w:rsidRPr="00103485">
        <w:t>https://cgc.gov.au/</w:t>
      </w:r>
      <w:r w:rsidRPr="002A48E0">
        <w:t>).</w:t>
      </w:r>
    </w:p>
    <w:p w:rsidR="0072435B" w:rsidRDefault="0072435B" w:rsidP="0072435B">
      <w:pPr>
        <w:pStyle w:val="H1notoc"/>
        <w:spacing w:before="360"/>
      </w:pPr>
      <w:bookmarkStart w:id="174" w:name="_Toc441241576"/>
      <w:bookmarkStart w:id="175" w:name="_Toc441242261"/>
      <w:bookmarkStart w:id="176" w:name="_Toc441242315"/>
      <w:bookmarkStart w:id="177" w:name="_Toc441499246"/>
      <w:bookmarkStart w:id="178" w:name="_Toc441656020"/>
      <w:bookmarkStart w:id="179" w:name="_Toc442191902"/>
      <w:bookmarkStart w:id="180" w:name="_Toc442192084"/>
      <w:bookmarkStart w:id="181" w:name="_Toc442192149"/>
      <w:bookmarkStart w:id="182" w:name="_Toc442192214"/>
      <w:r w:rsidRPr="002A48E0">
        <w:lastRenderedPageBreak/>
        <w:t>LETTER OF TRANSMITTAL</w:t>
      </w:r>
      <w:bookmarkEnd w:id="174"/>
      <w:bookmarkEnd w:id="175"/>
      <w:bookmarkEnd w:id="176"/>
      <w:bookmarkEnd w:id="177"/>
      <w:bookmarkEnd w:id="178"/>
      <w:bookmarkEnd w:id="179"/>
      <w:bookmarkEnd w:id="180"/>
      <w:bookmarkEnd w:id="181"/>
      <w:bookmarkEnd w:id="182"/>
    </w:p>
    <w:p w:rsidR="000A6746" w:rsidRPr="000A6746" w:rsidRDefault="000A6746" w:rsidP="000A6746"/>
    <w:p w:rsidR="00DC0F02" w:rsidRDefault="000A6746" w:rsidP="00C21EF9">
      <w:r w:rsidRPr="000A6746">
        <w:rPr>
          <w:noProof/>
          <w:lang w:eastAsia="en-AU"/>
        </w:rPr>
        <w:drawing>
          <wp:inline distT="0" distB="0" distL="0" distR="0" wp14:anchorId="64C77764" wp14:editId="533C1716">
            <wp:extent cx="5422065" cy="7668883"/>
            <wp:effectExtent l="0" t="0" r="762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21645" cy="7668289"/>
                    </a:xfrm>
                    <a:prstGeom prst="rect">
                      <a:avLst/>
                    </a:prstGeom>
                  </pic:spPr>
                </pic:pic>
              </a:graphicData>
            </a:graphic>
          </wp:inline>
        </w:drawing>
      </w:r>
    </w:p>
    <w:p w:rsidR="0072435B" w:rsidRDefault="0072435B" w:rsidP="00C21EF9">
      <w:pPr>
        <w:sectPr w:rsidR="0072435B" w:rsidSect="005A0FC4">
          <w:footerReference w:type="default" r:id="rId23"/>
          <w:footerReference w:type="first" r:id="rId24"/>
          <w:pgSz w:w="11899" w:h="16838" w:code="9"/>
          <w:pgMar w:top="1701" w:right="1474" w:bottom="1701" w:left="1474" w:header="709" w:footer="709" w:gutter="0"/>
          <w:pgNumType w:fmt="lowerRoman"/>
          <w:cols w:space="708"/>
          <w:titlePg/>
          <w:docGrid w:linePitch="299"/>
        </w:sectPr>
      </w:pPr>
    </w:p>
    <w:p w:rsidR="0072435B" w:rsidRPr="002A48E0" w:rsidRDefault="0072435B" w:rsidP="0072435B">
      <w:pPr>
        <w:pStyle w:val="H1notoc"/>
      </w:pPr>
      <w:bookmarkStart w:id="183" w:name="_Toc428353470"/>
      <w:bookmarkStart w:id="184" w:name="_Toc428354217"/>
      <w:bookmarkStart w:id="185" w:name="_Toc428435380"/>
      <w:bookmarkStart w:id="186" w:name="_Toc428435619"/>
      <w:bookmarkStart w:id="187" w:name="_Toc428435781"/>
      <w:bookmarkStart w:id="188" w:name="_Toc428435865"/>
      <w:bookmarkStart w:id="189" w:name="_Toc428803209"/>
      <w:bookmarkStart w:id="190" w:name="_Toc430166073"/>
      <w:bookmarkStart w:id="191" w:name="_Toc442192085"/>
      <w:bookmarkStart w:id="192" w:name="_Toc442192150"/>
      <w:bookmarkStart w:id="193" w:name="_Toc442192215"/>
      <w:r w:rsidRPr="002A48E0">
        <w:lastRenderedPageBreak/>
        <w:t>Acknowledg</w:t>
      </w:r>
      <w:r w:rsidR="00D916A1">
        <w:t>e</w:t>
      </w:r>
      <w:r w:rsidRPr="002A48E0">
        <w:t>ments</w:t>
      </w:r>
      <w:bookmarkEnd w:id="183"/>
      <w:bookmarkEnd w:id="184"/>
      <w:bookmarkEnd w:id="185"/>
      <w:bookmarkEnd w:id="186"/>
      <w:bookmarkEnd w:id="187"/>
      <w:bookmarkEnd w:id="188"/>
      <w:bookmarkEnd w:id="189"/>
      <w:bookmarkEnd w:id="190"/>
      <w:bookmarkEnd w:id="191"/>
      <w:bookmarkEnd w:id="192"/>
      <w:bookmarkEnd w:id="193"/>
    </w:p>
    <w:p w:rsidR="0072435B" w:rsidRPr="002A48E0" w:rsidRDefault="0072435B" w:rsidP="0072435B">
      <w:pPr>
        <w:pStyle w:val="NoSpacing"/>
      </w:pPr>
    </w:p>
    <w:p w:rsidR="0072435B" w:rsidRPr="002A48E0" w:rsidRDefault="0072435B" w:rsidP="0072435B">
      <w:r w:rsidRPr="002A48E0">
        <w:t xml:space="preserve">The Commission appreciates the ready co-operation extended to it and its staff during this update by staff of Commonwealth </w:t>
      </w:r>
      <w:r w:rsidR="00D916A1">
        <w:t xml:space="preserve">and State Treasuries </w:t>
      </w:r>
      <w:r w:rsidRPr="002A48E0">
        <w:t>and other agencies.</w:t>
      </w:r>
    </w:p>
    <w:p w:rsidR="0072435B" w:rsidRPr="002A48E0" w:rsidRDefault="0072435B" w:rsidP="0072435B">
      <w:pPr>
        <w:pStyle w:val="NoSpacing"/>
      </w:pPr>
    </w:p>
    <w:p w:rsidR="0072435B" w:rsidRPr="002A48E0" w:rsidRDefault="0072435B" w:rsidP="0072435B">
      <w:pPr>
        <w:sectPr w:rsidR="0072435B" w:rsidRPr="002A48E0" w:rsidSect="007F77EC">
          <w:headerReference w:type="default" r:id="rId25"/>
          <w:footerReference w:type="default" r:id="rId26"/>
          <w:pgSz w:w="11899" w:h="16838" w:code="9"/>
          <w:pgMar w:top="1701" w:right="1474" w:bottom="1701" w:left="1474" w:header="709" w:footer="709" w:gutter="0"/>
          <w:pgNumType w:fmt="lowerRoman"/>
          <w:cols w:space="708"/>
          <w:docGrid w:linePitch="326"/>
        </w:sectPr>
      </w:pPr>
      <w:r w:rsidRPr="002A48E0">
        <w:t xml:space="preserve">The Commission also acknowledges the commitment and capable contribution </w:t>
      </w:r>
      <w:r>
        <w:t>of</w:t>
      </w:r>
      <w:r w:rsidRPr="002A48E0">
        <w:t xml:space="preserve"> its staff.</w:t>
      </w:r>
    </w:p>
    <w:p w:rsidR="0072435B" w:rsidRPr="002A48E0" w:rsidRDefault="0072435B" w:rsidP="0072435B">
      <w:pPr>
        <w:pStyle w:val="H1notoc"/>
        <w:spacing w:before="360"/>
      </w:pPr>
      <w:bookmarkStart w:id="194" w:name="_Toc428353471"/>
      <w:bookmarkStart w:id="195" w:name="_Toc428354218"/>
      <w:bookmarkStart w:id="196" w:name="_Toc428435381"/>
      <w:bookmarkStart w:id="197" w:name="_Toc428435620"/>
      <w:bookmarkStart w:id="198" w:name="_Toc428435782"/>
      <w:bookmarkStart w:id="199" w:name="_Toc428435866"/>
      <w:bookmarkStart w:id="200" w:name="_Toc428803210"/>
      <w:bookmarkStart w:id="201" w:name="_Toc430166074"/>
      <w:bookmarkStart w:id="202" w:name="_Toc442192086"/>
      <w:bookmarkStart w:id="203" w:name="_Toc442192151"/>
      <w:bookmarkStart w:id="204" w:name="_Toc442192216"/>
      <w:r w:rsidRPr="002A48E0">
        <w:lastRenderedPageBreak/>
        <w:t>Terms of reference</w:t>
      </w:r>
      <w:bookmarkEnd w:id="194"/>
      <w:bookmarkEnd w:id="195"/>
      <w:bookmarkEnd w:id="196"/>
      <w:bookmarkEnd w:id="197"/>
      <w:bookmarkEnd w:id="198"/>
      <w:bookmarkEnd w:id="199"/>
      <w:bookmarkEnd w:id="200"/>
      <w:bookmarkEnd w:id="201"/>
      <w:bookmarkEnd w:id="202"/>
      <w:bookmarkEnd w:id="203"/>
      <w:bookmarkEnd w:id="204"/>
    </w:p>
    <w:p w:rsidR="0072435B" w:rsidRDefault="00D87C89" w:rsidP="00C21EF9">
      <w:r w:rsidRPr="00D87C89">
        <w:rPr>
          <w:noProof/>
          <w:lang w:eastAsia="en-AU"/>
        </w:rPr>
        <w:drawing>
          <wp:inline distT="0" distB="0" distL="0" distR="0" wp14:anchorId="0C70E5F3" wp14:editId="623249E2">
            <wp:extent cx="5683276" cy="79531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3885" cy="7954007"/>
                    </a:xfrm>
                    <a:prstGeom prst="rect">
                      <a:avLst/>
                    </a:prstGeom>
                    <a:noFill/>
                    <a:ln>
                      <a:noFill/>
                    </a:ln>
                  </pic:spPr>
                </pic:pic>
              </a:graphicData>
            </a:graphic>
          </wp:inline>
        </w:drawing>
      </w:r>
      <w:r w:rsidR="0072435B">
        <w:br w:type="page"/>
      </w:r>
    </w:p>
    <w:p w:rsidR="009E54DB" w:rsidRDefault="009E54DB" w:rsidP="00C21EF9">
      <w:r w:rsidRPr="009E54DB">
        <w:rPr>
          <w:noProof/>
          <w:lang w:eastAsia="en-AU"/>
        </w:rPr>
        <w:lastRenderedPageBreak/>
        <w:drawing>
          <wp:inline distT="0" distB="0" distL="0" distR="0" wp14:anchorId="3B14B669" wp14:editId="24A6A05B">
            <wp:extent cx="5683885" cy="803907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83885" cy="8039076"/>
                    </a:xfrm>
                    <a:prstGeom prst="rect">
                      <a:avLst/>
                    </a:prstGeom>
                    <a:noFill/>
                    <a:ln>
                      <a:noFill/>
                    </a:ln>
                  </pic:spPr>
                </pic:pic>
              </a:graphicData>
            </a:graphic>
          </wp:inline>
        </w:drawing>
      </w:r>
    </w:p>
    <w:p w:rsidR="009E54DB" w:rsidRDefault="009E54DB">
      <w:pPr>
        <w:tabs>
          <w:tab w:val="clear" w:pos="567"/>
        </w:tabs>
        <w:spacing w:after="200" w:line="276" w:lineRule="auto"/>
      </w:pPr>
      <w:r>
        <w:br w:type="page"/>
      </w:r>
    </w:p>
    <w:p w:rsidR="009E54DB" w:rsidRDefault="009E54DB" w:rsidP="00C21EF9">
      <w:r w:rsidRPr="009E54DB">
        <w:rPr>
          <w:noProof/>
          <w:lang w:eastAsia="en-AU"/>
        </w:rPr>
        <w:lastRenderedPageBreak/>
        <w:drawing>
          <wp:inline distT="0" distB="0" distL="0" distR="0" wp14:anchorId="331D5251" wp14:editId="06EBCD56">
            <wp:extent cx="5683885" cy="803907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3885" cy="8039076"/>
                    </a:xfrm>
                    <a:prstGeom prst="rect">
                      <a:avLst/>
                    </a:prstGeom>
                    <a:noFill/>
                    <a:ln>
                      <a:noFill/>
                    </a:ln>
                  </pic:spPr>
                </pic:pic>
              </a:graphicData>
            </a:graphic>
          </wp:inline>
        </w:drawing>
      </w:r>
    </w:p>
    <w:p w:rsidR="009E54DB" w:rsidRDefault="009E54DB" w:rsidP="00D33864">
      <w:pPr>
        <w:tabs>
          <w:tab w:val="clear" w:pos="567"/>
        </w:tabs>
        <w:spacing w:after="200" w:line="276" w:lineRule="auto"/>
      </w:pPr>
      <w:r>
        <w:br w:type="page"/>
      </w:r>
    </w:p>
    <w:p w:rsidR="0072435B" w:rsidRPr="002A48E0" w:rsidRDefault="0072435B" w:rsidP="0072435B">
      <w:pPr>
        <w:pStyle w:val="H1notoc"/>
      </w:pPr>
      <w:bookmarkStart w:id="205" w:name="_Toc442192087"/>
      <w:bookmarkStart w:id="206" w:name="_Toc442192152"/>
      <w:bookmarkStart w:id="207" w:name="_Toc442192217"/>
      <w:r w:rsidRPr="002A48E0">
        <w:lastRenderedPageBreak/>
        <w:t>The Task</w:t>
      </w:r>
      <w:bookmarkEnd w:id="205"/>
      <w:bookmarkEnd w:id="206"/>
      <w:bookmarkEnd w:id="207"/>
    </w:p>
    <w:p w:rsidR="0072435B" w:rsidRPr="002A48E0" w:rsidRDefault="0072435B" w:rsidP="0072435B">
      <w:pPr>
        <w:pStyle w:val="NoSpacing"/>
      </w:pPr>
    </w:p>
    <w:tbl>
      <w:tblPr>
        <w:tblStyle w:val="TableGrid"/>
        <w:tblW w:w="0" w:type="auto"/>
        <w:tblLook w:val="04A0" w:firstRow="1" w:lastRow="0" w:firstColumn="1" w:lastColumn="0" w:noHBand="0" w:noVBand="1"/>
      </w:tblPr>
      <w:tblGrid>
        <w:gridCol w:w="9167"/>
      </w:tblGrid>
      <w:tr w:rsidR="0072435B" w:rsidRPr="002A48E0" w:rsidTr="007F77EC">
        <w:tc>
          <w:tcPr>
            <w:tcW w:w="9374" w:type="dxa"/>
            <w:tcBorders>
              <w:top w:val="nil"/>
              <w:left w:val="nil"/>
              <w:bottom w:val="nil"/>
              <w:right w:val="nil"/>
            </w:tcBorders>
            <w:shd w:val="clear" w:color="auto" w:fill="D9F3E6"/>
          </w:tcPr>
          <w:p w:rsidR="0072435B" w:rsidRPr="002A48E0" w:rsidRDefault="0072435B" w:rsidP="007F77EC">
            <w:pPr>
              <w:rPr>
                <w:szCs w:val="24"/>
              </w:rPr>
            </w:pPr>
            <w:r w:rsidRPr="002A48E0">
              <w:rPr>
                <w:szCs w:val="24"/>
              </w:rPr>
              <w:t>This report contains the Commission’s response to the terms of reference for the 201</w:t>
            </w:r>
            <w:r>
              <w:rPr>
                <w:szCs w:val="24"/>
              </w:rPr>
              <w:t>8</w:t>
            </w:r>
            <w:r w:rsidRPr="002A48E0">
              <w:rPr>
                <w:szCs w:val="24"/>
              </w:rPr>
              <w:t xml:space="preserve"> Update received from the Commonwealth Treasurer on </w:t>
            </w:r>
            <w:r w:rsidR="00D87C89" w:rsidRPr="00D87C89">
              <w:rPr>
                <w:szCs w:val="24"/>
              </w:rPr>
              <w:t>27</w:t>
            </w:r>
            <w:r w:rsidR="00275F0C" w:rsidRPr="00D87C89">
              <w:rPr>
                <w:szCs w:val="24"/>
              </w:rPr>
              <w:t> </w:t>
            </w:r>
            <w:r w:rsidR="00C77201" w:rsidRPr="00D87C89">
              <w:rPr>
                <w:szCs w:val="24"/>
              </w:rPr>
              <w:t>March</w:t>
            </w:r>
            <w:r w:rsidR="00275F0C" w:rsidRPr="00D87C89">
              <w:rPr>
                <w:szCs w:val="24"/>
              </w:rPr>
              <w:t> </w:t>
            </w:r>
            <w:r w:rsidRPr="00D87C89">
              <w:rPr>
                <w:szCs w:val="24"/>
              </w:rPr>
              <w:t>201</w:t>
            </w:r>
            <w:r w:rsidR="00C77201" w:rsidRPr="00D87C89">
              <w:rPr>
                <w:szCs w:val="24"/>
              </w:rPr>
              <w:t>8</w:t>
            </w:r>
            <w:r w:rsidRPr="002A48E0">
              <w:rPr>
                <w:szCs w:val="24"/>
              </w:rPr>
              <w:t xml:space="preserve">. </w:t>
            </w:r>
          </w:p>
          <w:p w:rsidR="0072435B" w:rsidRPr="002A48E0" w:rsidRDefault="0072435B" w:rsidP="007F77EC">
            <w:pPr>
              <w:rPr>
                <w:szCs w:val="24"/>
              </w:rPr>
            </w:pPr>
            <w:r w:rsidRPr="002A48E0">
              <w:rPr>
                <w:szCs w:val="24"/>
              </w:rPr>
              <w:t>The Commission has been asked to advise how Goods and Services Tax</w:t>
            </w:r>
            <w:r w:rsidR="000E65FF">
              <w:rPr>
                <w:szCs w:val="24"/>
              </w:rPr>
              <w:t xml:space="preserve"> (</w:t>
            </w:r>
            <w:r w:rsidR="000E65FF" w:rsidRPr="002A48E0">
              <w:rPr>
                <w:szCs w:val="24"/>
              </w:rPr>
              <w:t>GST</w:t>
            </w:r>
            <w:r w:rsidR="000E65FF">
              <w:rPr>
                <w:szCs w:val="24"/>
              </w:rPr>
              <w:t>)</w:t>
            </w:r>
            <w:r w:rsidRPr="002A48E0">
              <w:rPr>
                <w:szCs w:val="24"/>
              </w:rPr>
              <w:t xml:space="preserve"> revenue should be dist</w:t>
            </w:r>
            <w:r w:rsidR="004D7E37">
              <w:rPr>
                <w:szCs w:val="24"/>
              </w:rPr>
              <w:t>ributed among the States in 2018</w:t>
            </w:r>
            <w:r w:rsidR="00DE59C5">
              <w:rPr>
                <w:szCs w:val="24"/>
              </w:rPr>
              <w:noBreakHyphen/>
            </w:r>
            <w:r w:rsidRPr="002A48E0">
              <w:rPr>
                <w:szCs w:val="24"/>
              </w:rPr>
              <w:t>1</w:t>
            </w:r>
            <w:r w:rsidR="004D7E37">
              <w:rPr>
                <w:szCs w:val="24"/>
              </w:rPr>
              <w:t>9</w:t>
            </w:r>
            <w:r w:rsidRPr="002A48E0">
              <w:rPr>
                <w:szCs w:val="24"/>
              </w:rPr>
              <w:t>. As directed in the terms of reference the Commission has:</w:t>
            </w:r>
          </w:p>
          <w:p w:rsidR="0072435B" w:rsidRPr="006455BD" w:rsidRDefault="0072435B" w:rsidP="006455BD">
            <w:pPr>
              <w:pStyle w:val="CGCBulletlist"/>
            </w:pPr>
            <w:r w:rsidRPr="006455BD">
              <w:t>used the same principles and methods used in the 2017</w:t>
            </w:r>
            <w:r w:rsidR="00DE59C5" w:rsidRPr="006455BD">
              <w:t> </w:t>
            </w:r>
            <w:r w:rsidRPr="006455BD">
              <w:t>Update</w:t>
            </w:r>
          </w:p>
          <w:p w:rsidR="0072435B" w:rsidRPr="006455BD" w:rsidRDefault="0072435B" w:rsidP="006455BD">
            <w:pPr>
              <w:pStyle w:val="CGCBulletlist"/>
            </w:pPr>
            <w:r w:rsidRPr="006455BD">
              <w:t xml:space="preserve">used the latest available reliable data for </w:t>
            </w:r>
            <w:r w:rsidR="005A206C">
              <w:t xml:space="preserve">the three years </w:t>
            </w:r>
            <w:r w:rsidRPr="006455BD">
              <w:t>2014</w:t>
            </w:r>
            <w:r w:rsidRPr="006455BD">
              <w:noBreakHyphen/>
              <w:t>15 to 2016</w:t>
            </w:r>
            <w:r w:rsidRPr="006455BD">
              <w:noBreakHyphen/>
              <w:t>17</w:t>
            </w:r>
          </w:p>
          <w:p w:rsidR="0072435B" w:rsidRPr="006455BD" w:rsidRDefault="0072435B" w:rsidP="006455BD">
            <w:pPr>
              <w:pStyle w:val="CGCBulletlist"/>
            </w:pPr>
            <w:proofErr w:type="gramStart"/>
            <w:r w:rsidRPr="006455BD">
              <w:t>followed</w:t>
            </w:r>
            <w:proofErr w:type="gramEnd"/>
            <w:r w:rsidRPr="006455BD">
              <w:t xml:space="preserve"> the guidance on the treatment of Commonwealth payments and direction on how some payments should be treated. </w:t>
            </w:r>
          </w:p>
          <w:p w:rsidR="0072435B" w:rsidRPr="002A48E0" w:rsidRDefault="0072435B" w:rsidP="00DE59C5">
            <w:r w:rsidRPr="002A48E0">
              <w:rPr>
                <w:szCs w:val="24"/>
              </w:rPr>
              <w:t xml:space="preserve">Details of the Commission’s task are in Chapter 1 of the </w:t>
            </w:r>
            <w:r w:rsidRPr="002A48E0">
              <w:rPr>
                <w:i/>
                <w:szCs w:val="24"/>
              </w:rPr>
              <w:t xml:space="preserve">Report on GST </w:t>
            </w:r>
            <w:r>
              <w:rPr>
                <w:i/>
                <w:szCs w:val="24"/>
              </w:rPr>
              <w:t xml:space="preserve">Revenue </w:t>
            </w:r>
            <w:r w:rsidRPr="002A48E0">
              <w:rPr>
                <w:i/>
                <w:szCs w:val="24"/>
              </w:rPr>
              <w:t>Sharing Relativities, 2015</w:t>
            </w:r>
            <w:r w:rsidR="00DE59C5">
              <w:rPr>
                <w:i/>
                <w:szCs w:val="24"/>
              </w:rPr>
              <w:t> </w:t>
            </w:r>
            <w:r w:rsidRPr="002A48E0">
              <w:rPr>
                <w:i/>
                <w:szCs w:val="24"/>
              </w:rPr>
              <w:t>Review, Volume 1</w:t>
            </w:r>
            <w:r w:rsidRPr="002A48E0">
              <w:rPr>
                <w:szCs w:val="24"/>
              </w:rPr>
              <w:t xml:space="preserve"> and the principles used in undertaking it are in Chapter</w:t>
            </w:r>
            <w:r>
              <w:rPr>
                <w:szCs w:val="24"/>
              </w:rPr>
              <w:t> </w:t>
            </w:r>
            <w:r w:rsidRPr="002A48E0">
              <w:rPr>
                <w:szCs w:val="24"/>
              </w:rPr>
              <w:t xml:space="preserve">1 of Volume 2 in the same report. These documents are available on the </w:t>
            </w:r>
            <w:hyperlink r:id="rId30" w:history="1">
              <w:r w:rsidRPr="002A48E0">
                <w:rPr>
                  <w:rStyle w:val="Hyperlink"/>
                  <w:szCs w:val="24"/>
                </w:rPr>
                <w:t>Commission’s website</w:t>
              </w:r>
            </w:hyperlink>
            <w:r w:rsidRPr="002A48E0">
              <w:rPr>
                <w:szCs w:val="24"/>
              </w:rPr>
              <w:t xml:space="preserve"> (</w:t>
            </w:r>
            <w:r w:rsidR="00441C6C" w:rsidRPr="00103485">
              <w:t>https://cgc.gov.au/</w:t>
            </w:r>
            <w:r w:rsidRPr="002A48E0">
              <w:rPr>
                <w:szCs w:val="24"/>
              </w:rPr>
              <w:t>). An overview of the Commission’s update processes is also available on the website.</w:t>
            </w:r>
          </w:p>
        </w:tc>
      </w:tr>
    </w:tbl>
    <w:p w:rsidR="0072435B" w:rsidRPr="002A48E0" w:rsidRDefault="0072435B" w:rsidP="0072435B">
      <w:r w:rsidRPr="002A48E0">
        <w:br w:type="page"/>
      </w:r>
    </w:p>
    <w:p w:rsidR="0072435B" w:rsidRPr="002A48E0" w:rsidRDefault="0072435B" w:rsidP="0072435B">
      <w:pPr>
        <w:pStyle w:val="H1notoc"/>
      </w:pPr>
      <w:r w:rsidRPr="002A48E0">
        <w:lastRenderedPageBreak/>
        <w:t>Contents</w:t>
      </w:r>
    </w:p>
    <w:p w:rsidR="0072435B" w:rsidRDefault="0072435B" w:rsidP="00C21EF9"/>
    <w:p w:rsidR="00AC2929" w:rsidRDefault="00AC2929" w:rsidP="00AC2929">
      <w:pPr>
        <w:pStyle w:val="TOC1"/>
      </w:pPr>
      <w:r>
        <w:t>Overview</w:t>
      </w:r>
    </w:p>
    <w:p w:rsidR="00452B0D" w:rsidRPr="004225E3" w:rsidRDefault="00452B0D" w:rsidP="00452B0D">
      <w:pPr>
        <w:pStyle w:val="TOC3"/>
        <w:rPr>
          <w:rFonts w:eastAsiaTheme="minorEastAsia"/>
          <w:b/>
          <w:iCs w:val="0"/>
          <w:caps w:val="0"/>
          <w:noProof/>
          <w:sz w:val="22"/>
          <w:lang w:eastAsia="en-AU"/>
        </w:rPr>
      </w:pPr>
      <w:r>
        <w:fldChar w:fldCharType="begin"/>
      </w:r>
      <w:r>
        <w:instrText xml:space="preserve"> TOC \o "2-2" \f \h \z \u \t "Heading 2,1,Heading 3,3,Heading 4,4" </w:instrText>
      </w:r>
      <w:r>
        <w:fldChar w:fldCharType="separate"/>
      </w:r>
      <w:hyperlink w:anchor="_Toc505872164" w:history="1">
        <w:r w:rsidR="004225E3" w:rsidRPr="004225E3">
          <w:rPr>
            <w:rStyle w:val="Hyperlink"/>
            <w:b/>
            <w:caps w:val="0"/>
            <w:noProof/>
          </w:rPr>
          <w:t>Executive summary</w:t>
        </w:r>
        <w:r w:rsidRPr="004225E3">
          <w:rPr>
            <w:b/>
            <w:noProof/>
            <w:webHidden/>
          </w:rPr>
          <w:tab/>
        </w:r>
        <w:r w:rsidRPr="004225E3">
          <w:rPr>
            <w:b/>
            <w:noProof/>
            <w:webHidden/>
          </w:rPr>
          <w:fldChar w:fldCharType="begin"/>
        </w:r>
        <w:r w:rsidRPr="004225E3">
          <w:rPr>
            <w:b/>
            <w:noProof/>
            <w:webHidden/>
          </w:rPr>
          <w:instrText xml:space="preserve"> PAGEREF _Toc505872164 \h </w:instrText>
        </w:r>
        <w:r w:rsidRPr="004225E3">
          <w:rPr>
            <w:b/>
            <w:noProof/>
            <w:webHidden/>
          </w:rPr>
        </w:r>
        <w:r w:rsidRPr="004225E3">
          <w:rPr>
            <w:b/>
            <w:noProof/>
            <w:webHidden/>
          </w:rPr>
          <w:fldChar w:fldCharType="separate"/>
        </w:r>
        <w:r w:rsidR="000A6746">
          <w:rPr>
            <w:b/>
            <w:noProof/>
            <w:webHidden/>
          </w:rPr>
          <w:t>1</w:t>
        </w:r>
        <w:r w:rsidRPr="004225E3">
          <w:rPr>
            <w:b/>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65" w:history="1">
        <w:r w:rsidR="004225E3" w:rsidRPr="004225E3">
          <w:rPr>
            <w:rStyle w:val="Hyperlink"/>
            <w:b/>
            <w:caps w:val="0"/>
            <w:noProof/>
          </w:rPr>
          <w:t>Recommended GST distribution</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_Toc505872165 \h </w:instrText>
        </w:r>
        <w:r w:rsidR="00452B0D" w:rsidRPr="004225E3">
          <w:rPr>
            <w:b/>
            <w:noProof/>
            <w:webHidden/>
          </w:rPr>
        </w:r>
        <w:r w:rsidR="00452B0D" w:rsidRPr="004225E3">
          <w:rPr>
            <w:b/>
            <w:noProof/>
            <w:webHidden/>
          </w:rPr>
          <w:fldChar w:fldCharType="separate"/>
        </w:r>
        <w:r w:rsidR="000A6746">
          <w:rPr>
            <w:b/>
            <w:noProof/>
            <w:webHidden/>
          </w:rPr>
          <w:t>2</w:t>
        </w:r>
        <w:r w:rsidR="00452B0D" w:rsidRPr="004225E3">
          <w:rPr>
            <w:b/>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66" w:history="1">
        <w:r w:rsidR="001B11CE">
          <w:rPr>
            <w:rStyle w:val="Hyperlink"/>
            <w:b/>
            <w:caps w:val="0"/>
            <w:noProof/>
          </w:rPr>
          <w:t xml:space="preserve">Movements in the </w:t>
        </w:r>
        <w:r w:rsidR="004225E3" w:rsidRPr="004225E3">
          <w:rPr>
            <w:rStyle w:val="Hyperlink"/>
            <w:b/>
            <w:caps w:val="0"/>
            <w:noProof/>
          </w:rPr>
          <w:t>GST distribution</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_Toc505872166 \h </w:instrText>
        </w:r>
        <w:r w:rsidR="00452B0D" w:rsidRPr="004225E3">
          <w:rPr>
            <w:b/>
            <w:noProof/>
            <w:webHidden/>
          </w:rPr>
        </w:r>
        <w:r w:rsidR="00452B0D" w:rsidRPr="004225E3">
          <w:rPr>
            <w:b/>
            <w:noProof/>
            <w:webHidden/>
          </w:rPr>
          <w:fldChar w:fldCharType="separate"/>
        </w:r>
        <w:r w:rsidR="000A6746">
          <w:rPr>
            <w:b/>
            <w:noProof/>
            <w:webHidden/>
          </w:rPr>
          <w:t>3</w:t>
        </w:r>
        <w:r w:rsidR="00452B0D" w:rsidRPr="004225E3">
          <w:rPr>
            <w:b/>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67" w:history="1">
        <w:r w:rsidR="004225E3" w:rsidRPr="004225E3">
          <w:rPr>
            <w:rStyle w:val="Hyperlink"/>
            <w:b/>
            <w:caps w:val="0"/>
            <w:noProof/>
          </w:rPr>
          <w:t xml:space="preserve">Why </w:t>
        </w:r>
        <w:r w:rsidR="00626E3A">
          <w:rPr>
            <w:rStyle w:val="Hyperlink"/>
            <w:b/>
            <w:caps w:val="0"/>
            <w:noProof/>
          </w:rPr>
          <w:t>S</w:t>
        </w:r>
        <w:r w:rsidR="004225E3" w:rsidRPr="004225E3">
          <w:rPr>
            <w:rStyle w:val="Hyperlink"/>
            <w:b/>
            <w:caps w:val="0"/>
            <w:noProof/>
          </w:rPr>
          <w:t>tate fiscal capacities have changed</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_Toc505872167 \h </w:instrText>
        </w:r>
        <w:r w:rsidR="00452B0D" w:rsidRPr="004225E3">
          <w:rPr>
            <w:b/>
            <w:noProof/>
            <w:webHidden/>
          </w:rPr>
        </w:r>
        <w:r w:rsidR="00452B0D" w:rsidRPr="004225E3">
          <w:rPr>
            <w:b/>
            <w:noProof/>
            <w:webHidden/>
          </w:rPr>
          <w:fldChar w:fldCharType="separate"/>
        </w:r>
        <w:r w:rsidR="000A6746">
          <w:rPr>
            <w:b/>
            <w:noProof/>
            <w:webHidden/>
          </w:rPr>
          <w:t>4</w:t>
        </w:r>
        <w:r w:rsidR="00452B0D" w:rsidRPr="004225E3">
          <w:rPr>
            <w:b/>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68" w:history="1">
        <w:r w:rsidR="004225E3" w:rsidRPr="004225E3">
          <w:rPr>
            <w:rStyle w:val="Hyperlink"/>
            <w:b/>
            <w:caps w:val="0"/>
            <w:noProof/>
          </w:rPr>
          <w:t xml:space="preserve">State by </w:t>
        </w:r>
        <w:r w:rsidR="00626E3A">
          <w:rPr>
            <w:rStyle w:val="Hyperlink"/>
            <w:b/>
            <w:caps w:val="0"/>
            <w:noProof/>
          </w:rPr>
          <w:t>S</w:t>
        </w:r>
        <w:r w:rsidR="004225E3" w:rsidRPr="004225E3">
          <w:rPr>
            <w:rStyle w:val="Hyperlink"/>
            <w:b/>
            <w:caps w:val="0"/>
            <w:noProof/>
          </w:rPr>
          <w:t>tate changes since the 2017 update</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_Toc505872168 \h </w:instrText>
        </w:r>
        <w:r w:rsidR="00452B0D" w:rsidRPr="004225E3">
          <w:rPr>
            <w:b/>
            <w:noProof/>
            <w:webHidden/>
          </w:rPr>
        </w:r>
        <w:r w:rsidR="00452B0D" w:rsidRPr="004225E3">
          <w:rPr>
            <w:b/>
            <w:noProof/>
            <w:webHidden/>
          </w:rPr>
          <w:fldChar w:fldCharType="separate"/>
        </w:r>
        <w:r w:rsidR="000A6746">
          <w:rPr>
            <w:b/>
            <w:noProof/>
            <w:webHidden/>
          </w:rPr>
          <w:t>7</w:t>
        </w:r>
        <w:r w:rsidR="00452B0D" w:rsidRPr="004225E3">
          <w:rPr>
            <w:b/>
            <w:noProof/>
            <w:webHidden/>
          </w:rPr>
          <w:fldChar w:fldCharType="end"/>
        </w:r>
      </w:hyperlink>
    </w:p>
    <w:p w:rsidR="00452B0D" w:rsidRDefault="00CD68E8" w:rsidP="00452B0D">
      <w:pPr>
        <w:pStyle w:val="TOC4"/>
        <w:rPr>
          <w:rFonts w:eastAsiaTheme="minorEastAsia"/>
          <w:noProof/>
          <w:sz w:val="22"/>
          <w:lang w:eastAsia="en-AU"/>
        </w:rPr>
      </w:pPr>
      <w:hyperlink w:anchor="_Toc505872169" w:history="1">
        <w:r w:rsidR="00452B0D" w:rsidRPr="00D329B3">
          <w:rPr>
            <w:rStyle w:val="Hyperlink"/>
            <w:noProof/>
          </w:rPr>
          <w:t>New South Wales</w:t>
        </w:r>
        <w:r w:rsidR="00452B0D">
          <w:rPr>
            <w:noProof/>
            <w:webHidden/>
          </w:rPr>
          <w:tab/>
        </w:r>
        <w:r w:rsidR="00452B0D">
          <w:rPr>
            <w:noProof/>
            <w:webHidden/>
          </w:rPr>
          <w:fldChar w:fldCharType="begin"/>
        </w:r>
        <w:r w:rsidR="00452B0D">
          <w:rPr>
            <w:noProof/>
            <w:webHidden/>
          </w:rPr>
          <w:instrText xml:space="preserve"> PAGEREF _Toc505872169 \h </w:instrText>
        </w:r>
        <w:r w:rsidR="00452B0D">
          <w:rPr>
            <w:noProof/>
            <w:webHidden/>
          </w:rPr>
        </w:r>
        <w:r w:rsidR="00452B0D">
          <w:rPr>
            <w:noProof/>
            <w:webHidden/>
          </w:rPr>
          <w:fldChar w:fldCharType="separate"/>
        </w:r>
        <w:r w:rsidR="000A6746">
          <w:rPr>
            <w:noProof/>
            <w:webHidden/>
          </w:rPr>
          <w:t>8</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0" w:history="1">
        <w:r w:rsidR="00452B0D" w:rsidRPr="00D329B3">
          <w:rPr>
            <w:rStyle w:val="Hyperlink"/>
            <w:noProof/>
          </w:rPr>
          <w:t>Victoria</w:t>
        </w:r>
        <w:r w:rsidR="00452B0D">
          <w:rPr>
            <w:noProof/>
            <w:webHidden/>
          </w:rPr>
          <w:tab/>
        </w:r>
        <w:r w:rsidR="00452B0D">
          <w:rPr>
            <w:noProof/>
            <w:webHidden/>
          </w:rPr>
          <w:fldChar w:fldCharType="begin"/>
        </w:r>
        <w:r w:rsidR="00452B0D">
          <w:rPr>
            <w:noProof/>
            <w:webHidden/>
          </w:rPr>
          <w:instrText xml:space="preserve"> PAGEREF _Toc505872170 \h </w:instrText>
        </w:r>
        <w:r w:rsidR="00452B0D">
          <w:rPr>
            <w:noProof/>
            <w:webHidden/>
          </w:rPr>
        </w:r>
        <w:r w:rsidR="00452B0D">
          <w:rPr>
            <w:noProof/>
            <w:webHidden/>
          </w:rPr>
          <w:fldChar w:fldCharType="separate"/>
        </w:r>
        <w:r w:rsidR="000A6746">
          <w:rPr>
            <w:noProof/>
            <w:webHidden/>
          </w:rPr>
          <w:t>9</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1" w:history="1">
        <w:r w:rsidR="00452B0D" w:rsidRPr="00D329B3">
          <w:rPr>
            <w:rStyle w:val="Hyperlink"/>
            <w:noProof/>
          </w:rPr>
          <w:t>Queensland</w:t>
        </w:r>
        <w:r w:rsidR="00452B0D">
          <w:rPr>
            <w:noProof/>
            <w:webHidden/>
          </w:rPr>
          <w:tab/>
        </w:r>
        <w:r w:rsidR="00452B0D">
          <w:rPr>
            <w:noProof/>
            <w:webHidden/>
          </w:rPr>
          <w:fldChar w:fldCharType="begin"/>
        </w:r>
        <w:r w:rsidR="00452B0D">
          <w:rPr>
            <w:noProof/>
            <w:webHidden/>
          </w:rPr>
          <w:instrText xml:space="preserve"> PAGEREF _Toc505872171 \h </w:instrText>
        </w:r>
        <w:r w:rsidR="00452B0D">
          <w:rPr>
            <w:noProof/>
            <w:webHidden/>
          </w:rPr>
        </w:r>
        <w:r w:rsidR="00452B0D">
          <w:rPr>
            <w:noProof/>
            <w:webHidden/>
          </w:rPr>
          <w:fldChar w:fldCharType="separate"/>
        </w:r>
        <w:r w:rsidR="000A6746">
          <w:rPr>
            <w:noProof/>
            <w:webHidden/>
          </w:rPr>
          <w:t>10</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2" w:history="1">
        <w:r w:rsidR="00452B0D" w:rsidRPr="00D329B3">
          <w:rPr>
            <w:rStyle w:val="Hyperlink"/>
            <w:noProof/>
          </w:rPr>
          <w:t>Western Australia</w:t>
        </w:r>
        <w:r w:rsidR="00452B0D">
          <w:rPr>
            <w:noProof/>
            <w:webHidden/>
          </w:rPr>
          <w:tab/>
        </w:r>
        <w:r w:rsidR="00452B0D">
          <w:rPr>
            <w:noProof/>
            <w:webHidden/>
          </w:rPr>
          <w:fldChar w:fldCharType="begin"/>
        </w:r>
        <w:r w:rsidR="00452B0D">
          <w:rPr>
            <w:noProof/>
            <w:webHidden/>
          </w:rPr>
          <w:instrText xml:space="preserve"> PAGEREF _Toc505872172 \h </w:instrText>
        </w:r>
        <w:r w:rsidR="00452B0D">
          <w:rPr>
            <w:noProof/>
            <w:webHidden/>
          </w:rPr>
        </w:r>
        <w:r w:rsidR="00452B0D">
          <w:rPr>
            <w:noProof/>
            <w:webHidden/>
          </w:rPr>
          <w:fldChar w:fldCharType="separate"/>
        </w:r>
        <w:r w:rsidR="000A6746">
          <w:rPr>
            <w:noProof/>
            <w:webHidden/>
          </w:rPr>
          <w:t>11</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3" w:history="1">
        <w:r w:rsidR="00452B0D" w:rsidRPr="00D329B3">
          <w:rPr>
            <w:rStyle w:val="Hyperlink"/>
            <w:noProof/>
          </w:rPr>
          <w:t>South Australia</w:t>
        </w:r>
        <w:r w:rsidR="00452B0D">
          <w:rPr>
            <w:noProof/>
            <w:webHidden/>
          </w:rPr>
          <w:tab/>
        </w:r>
        <w:r w:rsidR="00452B0D">
          <w:rPr>
            <w:noProof/>
            <w:webHidden/>
          </w:rPr>
          <w:fldChar w:fldCharType="begin"/>
        </w:r>
        <w:r w:rsidR="00452B0D">
          <w:rPr>
            <w:noProof/>
            <w:webHidden/>
          </w:rPr>
          <w:instrText xml:space="preserve"> PAGEREF _Toc505872173 \h </w:instrText>
        </w:r>
        <w:r w:rsidR="00452B0D">
          <w:rPr>
            <w:noProof/>
            <w:webHidden/>
          </w:rPr>
        </w:r>
        <w:r w:rsidR="00452B0D">
          <w:rPr>
            <w:noProof/>
            <w:webHidden/>
          </w:rPr>
          <w:fldChar w:fldCharType="separate"/>
        </w:r>
        <w:r w:rsidR="000A6746">
          <w:rPr>
            <w:noProof/>
            <w:webHidden/>
          </w:rPr>
          <w:t>12</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4" w:history="1">
        <w:r w:rsidR="00452B0D" w:rsidRPr="00D329B3">
          <w:rPr>
            <w:rStyle w:val="Hyperlink"/>
            <w:noProof/>
          </w:rPr>
          <w:t>Tasmania</w:t>
        </w:r>
        <w:r w:rsidR="00452B0D">
          <w:rPr>
            <w:noProof/>
            <w:webHidden/>
          </w:rPr>
          <w:tab/>
        </w:r>
        <w:r w:rsidR="00452B0D">
          <w:rPr>
            <w:noProof/>
            <w:webHidden/>
          </w:rPr>
          <w:fldChar w:fldCharType="begin"/>
        </w:r>
        <w:r w:rsidR="00452B0D">
          <w:rPr>
            <w:noProof/>
            <w:webHidden/>
          </w:rPr>
          <w:instrText xml:space="preserve"> PAGEREF _Toc505872174 \h </w:instrText>
        </w:r>
        <w:r w:rsidR="00452B0D">
          <w:rPr>
            <w:noProof/>
            <w:webHidden/>
          </w:rPr>
        </w:r>
        <w:r w:rsidR="00452B0D">
          <w:rPr>
            <w:noProof/>
            <w:webHidden/>
          </w:rPr>
          <w:fldChar w:fldCharType="separate"/>
        </w:r>
        <w:r w:rsidR="000A6746">
          <w:rPr>
            <w:noProof/>
            <w:webHidden/>
          </w:rPr>
          <w:t>13</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5" w:history="1">
        <w:r w:rsidR="00452B0D" w:rsidRPr="00D329B3">
          <w:rPr>
            <w:rStyle w:val="Hyperlink"/>
            <w:noProof/>
          </w:rPr>
          <w:t>Australian Capital Territory</w:t>
        </w:r>
        <w:r w:rsidR="00452B0D">
          <w:rPr>
            <w:noProof/>
            <w:webHidden/>
          </w:rPr>
          <w:tab/>
        </w:r>
        <w:r w:rsidR="00452B0D">
          <w:rPr>
            <w:noProof/>
            <w:webHidden/>
          </w:rPr>
          <w:fldChar w:fldCharType="begin"/>
        </w:r>
        <w:r w:rsidR="00452B0D">
          <w:rPr>
            <w:noProof/>
            <w:webHidden/>
          </w:rPr>
          <w:instrText xml:space="preserve"> PAGEREF _Toc505872175 \h </w:instrText>
        </w:r>
        <w:r w:rsidR="00452B0D">
          <w:rPr>
            <w:noProof/>
            <w:webHidden/>
          </w:rPr>
        </w:r>
        <w:r w:rsidR="00452B0D">
          <w:rPr>
            <w:noProof/>
            <w:webHidden/>
          </w:rPr>
          <w:fldChar w:fldCharType="separate"/>
        </w:r>
        <w:r w:rsidR="000A6746">
          <w:rPr>
            <w:noProof/>
            <w:webHidden/>
          </w:rPr>
          <w:t>14</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76" w:history="1">
        <w:r w:rsidR="00452B0D" w:rsidRPr="00D329B3">
          <w:rPr>
            <w:rStyle w:val="Hyperlink"/>
            <w:noProof/>
          </w:rPr>
          <w:t>Northern Territory</w:t>
        </w:r>
        <w:r w:rsidR="00452B0D">
          <w:rPr>
            <w:noProof/>
            <w:webHidden/>
          </w:rPr>
          <w:tab/>
        </w:r>
        <w:r w:rsidR="00452B0D">
          <w:rPr>
            <w:noProof/>
            <w:webHidden/>
          </w:rPr>
          <w:fldChar w:fldCharType="begin"/>
        </w:r>
        <w:r w:rsidR="00452B0D">
          <w:rPr>
            <w:noProof/>
            <w:webHidden/>
          </w:rPr>
          <w:instrText xml:space="preserve"> PAGEREF _Toc505872176 \h </w:instrText>
        </w:r>
        <w:r w:rsidR="00452B0D">
          <w:rPr>
            <w:noProof/>
            <w:webHidden/>
          </w:rPr>
        </w:r>
        <w:r w:rsidR="00452B0D">
          <w:rPr>
            <w:noProof/>
            <w:webHidden/>
          </w:rPr>
          <w:fldChar w:fldCharType="separate"/>
        </w:r>
        <w:r w:rsidR="000A6746">
          <w:rPr>
            <w:noProof/>
            <w:webHidden/>
          </w:rPr>
          <w:t>15</w:t>
        </w:r>
        <w:r w:rsidR="00452B0D">
          <w:rPr>
            <w:noProof/>
            <w:webHidden/>
          </w:rPr>
          <w:fldChar w:fldCharType="end"/>
        </w:r>
      </w:hyperlink>
    </w:p>
    <w:p w:rsidR="00452B0D" w:rsidRDefault="00AC2929" w:rsidP="00452B0D">
      <w:pPr>
        <w:pStyle w:val="TOC1"/>
        <w:rPr>
          <w:rFonts w:eastAsiaTheme="minorEastAsia"/>
          <w:b w:val="0"/>
          <w:bCs w:val="0"/>
          <w:caps w:val="0"/>
          <w:noProof/>
          <w:sz w:val="22"/>
          <w:szCs w:val="22"/>
          <w:lang w:eastAsia="en-AU"/>
        </w:rPr>
      </w:pPr>
      <w:r>
        <w:rPr>
          <w:noProof/>
        </w:rPr>
        <w:t xml:space="preserve">Chapter 1 - </w:t>
      </w:r>
      <w:hyperlink w:anchor="_Toc505872177" w:history="1">
        <w:r w:rsidR="00452B0D" w:rsidRPr="00D329B3">
          <w:rPr>
            <w:rStyle w:val="Hyperlink"/>
            <w:noProof/>
          </w:rPr>
          <w:t>Changes in the GST distribution</w:t>
        </w:r>
        <w:r w:rsidR="00452B0D">
          <w:rPr>
            <w:noProof/>
            <w:webHidden/>
          </w:rPr>
          <w:tab/>
        </w:r>
        <w:r w:rsidR="00452B0D">
          <w:rPr>
            <w:noProof/>
            <w:webHidden/>
          </w:rPr>
          <w:fldChar w:fldCharType="begin"/>
        </w:r>
        <w:r w:rsidR="00452B0D">
          <w:rPr>
            <w:noProof/>
            <w:webHidden/>
          </w:rPr>
          <w:instrText xml:space="preserve"> PAGEREF _Toc505872177 \h </w:instrText>
        </w:r>
        <w:r w:rsidR="00452B0D">
          <w:rPr>
            <w:noProof/>
            <w:webHidden/>
          </w:rPr>
        </w:r>
        <w:r w:rsidR="00452B0D">
          <w:rPr>
            <w:noProof/>
            <w:webHidden/>
          </w:rPr>
          <w:fldChar w:fldCharType="separate"/>
        </w:r>
        <w:r w:rsidR="000A6746">
          <w:rPr>
            <w:noProof/>
            <w:webHidden/>
          </w:rPr>
          <w:t>16</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78" w:history="1">
        <w:r w:rsidR="001B11CE">
          <w:rPr>
            <w:rStyle w:val="Hyperlink"/>
            <w:b/>
            <w:caps w:val="0"/>
            <w:noProof/>
          </w:rPr>
          <w:t xml:space="preserve">Movements in </w:t>
        </w:r>
        <w:r w:rsidR="004225E3" w:rsidRPr="004225E3">
          <w:rPr>
            <w:rStyle w:val="Hyperlink"/>
            <w:b/>
            <w:caps w:val="0"/>
            <w:noProof/>
          </w:rPr>
          <w:t xml:space="preserve">the </w:t>
        </w:r>
        <w:r w:rsidR="00626E3A">
          <w:rPr>
            <w:rStyle w:val="Hyperlink"/>
            <w:b/>
            <w:caps w:val="0"/>
            <w:noProof/>
          </w:rPr>
          <w:t>GST</w:t>
        </w:r>
        <w:r w:rsidR="004225E3" w:rsidRPr="004225E3">
          <w:rPr>
            <w:rStyle w:val="Hyperlink"/>
            <w:b/>
            <w:caps w:val="0"/>
            <w:noProof/>
          </w:rPr>
          <w:t xml:space="preserve"> distribution</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_Toc505872178 \h </w:instrText>
        </w:r>
        <w:r w:rsidR="00452B0D" w:rsidRPr="004225E3">
          <w:rPr>
            <w:b/>
            <w:noProof/>
            <w:webHidden/>
          </w:rPr>
        </w:r>
        <w:r w:rsidR="00452B0D" w:rsidRPr="004225E3">
          <w:rPr>
            <w:b/>
            <w:noProof/>
            <w:webHidden/>
          </w:rPr>
          <w:fldChar w:fldCharType="separate"/>
        </w:r>
        <w:r w:rsidR="000A6746">
          <w:rPr>
            <w:b/>
            <w:noProof/>
            <w:webHidden/>
          </w:rPr>
          <w:t>16</w:t>
        </w:r>
        <w:r w:rsidR="00452B0D" w:rsidRPr="004225E3">
          <w:rPr>
            <w:b/>
            <w:noProof/>
            <w:webHidden/>
          </w:rPr>
          <w:fldChar w:fldCharType="end"/>
        </w:r>
      </w:hyperlink>
    </w:p>
    <w:p w:rsidR="00452B0D" w:rsidRDefault="00CD68E8" w:rsidP="00452B0D">
      <w:pPr>
        <w:pStyle w:val="TOC4"/>
        <w:rPr>
          <w:rFonts w:eastAsiaTheme="minorEastAsia"/>
          <w:noProof/>
          <w:sz w:val="22"/>
          <w:lang w:eastAsia="en-AU"/>
        </w:rPr>
      </w:pPr>
      <w:hyperlink w:anchor="_Toc505872179" w:history="1">
        <w:r w:rsidR="00452B0D" w:rsidRPr="00D329B3">
          <w:rPr>
            <w:rStyle w:val="Hyperlink"/>
            <w:noProof/>
          </w:rPr>
          <w:t>Why State fiscal capacities change between updates</w:t>
        </w:r>
        <w:r w:rsidR="00452B0D">
          <w:rPr>
            <w:noProof/>
            <w:webHidden/>
          </w:rPr>
          <w:tab/>
        </w:r>
        <w:r w:rsidR="00452B0D">
          <w:rPr>
            <w:noProof/>
            <w:webHidden/>
          </w:rPr>
          <w:fldChar w:fldCharType="begin"/>
        </w:r>
        <w:r w:rsidR="00452B0D">
          <w:rPr>
            <w:noProof/>
            <w:webHidden/>
          </w:rPr>
          <w:instrText xml:space="preserve"> PAGEREF _Toc505872179 \h </w:instrText>
        </w:r>
        <w:r w:rsidR="00452B0D">
          <w:rPr>
            <w:noProof/>
            <w:webHidden/>
          </w:rPr>
        </w:r>
        <w:r w:rsidR="00452B0D">
          <w:rPr>
            <w:noProof/>
            <w:webHidden/>
          </w:rPr>
          <w:fldChar w:fldCharType="separate"/>
        </w:r>
        <w:r w:rsidR="000A6746">
          <w:rPr>
            <w:noProof/>
            <w:webHidden/>
          </w:rPr>
          <w:t>17</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80" w:history="1">
        <w:r w:rsidR="004225E3" w:rsidRPr="004225E3">
          <w:rPr>
            <w:rStyle w:val="Hyperlink"/>
            <w:b/>
            <w:caps w:val="0"/>
            <w:noProof/>
          </w:rPr>
          <w:t>Data revisions</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_Toc505872180 \h </w:instrText>
        </w:r>
        <w:r w:rsidR="00452B0D" w:rsidRPr="004225E3">
          <w:rPr>
            <w:b/>
            <w:noProof/>
            <w:webHidden/>
          </w:rPr>
        </w:r>
        <w:r w:rsidR="00452B0D" w:rsidRPr="004225E3">
          <w:rPr>
            <w:b/>
            <w:noProof/>
            <w:webHidden/>
          </w:rPr>
          <w:fldChar w:fldCharType="separate"/>
        </w:r>
        <w:r w:rsidR="000A6746">
          <w:rPr>
            <w:b/>
            <w:noProof/>
            <w:webHidden/>
          </w:rPr>
          <w:t>18</w:t>
        </w:r>
        <w:r w:rsidR="00452B0D" w:rsidRPr="004225E3">
          <w:rPr>
            <w:b/>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81" w:history="1">
        <w:r w:rsidR="004225E3" w:rsidRPr="004225E3">
          <w:rPr>
            <w:rStyle w:val="Hyperlink"/>
            <w:b/>
            <w:caps w:val="0"/>
            <w:noProof/>
          </w:rPr>
          <w:t xml:space="preserve">Changes in </w:t>
        </w:r>
        <w:r w:rsidR="00626E3A">
          <w:rPr>
            <w:rStyle w:val="Hyperlink"/>
            <w:b/>
            <w:caps w:val="0"/>
            <w:noProof/>
          </w:rPr>
          <w:t>S</w:t>
        </w:r>
        <w:r w:rsidR="004225E3" w:rsidRPr="004225E3">
          <w:rPr>
            <w:rStyle w:val="Hyperlink"/>
            <w:b/>
            <w:caps w:val="0"/>
            <w:noProof/>
          </w:rPr>
          <w:t>tate circumstances since the 2017 update</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_Toc505872181 \h </w:instrText>
        </w:r>
        <w:r w:rsidR="00452B0D" w:rsidRPr="004225E3">
          <w:rPr>
            <w:b/>
            <w:noProof/>
            <w:webHidden/>
          </w:rPr>
        </w:r>
        <w:r w:rsidR="00452B0D" w:rsidRPr="004225E3">
          <w:rPr>
            <w:b/>
            <w:noProof/>
            <w:webHidden/>
          </w:rPr>
          <w:fldChar w:fldCharType="separate"/>
        </w:r>
        <w:r w:rsidR="000A6746">
          <w:rPr>
            <w:b/>
            <w:noProof/>
            <w:webHidden/>
          </w:rPr>
          <w:t>21</w:t>
        </w:r>
        <w:r w:rsidR="00452B0D" w:rsidRPr="004225E3">
          <w:rPr>
            <w:b/>
            <w:noProof/>
            <w:webHidden/>
          </w:rPr>
          <w:fldChar w:fldCharType="end"/>
        </w:r>
      </w:hyperlink>
    </w:p>
    <w:p w:rsidR="00452B0D" w:rsidRDefault="00CD68E8" w:rsidP="00452B0D">
      <w:pPr>
        <w:pStyle w:val="TOC4"/>
        <w:rPr>
          <w:rFonts w:eastAsiaTheme="minorEastAsia"/>
          <w:noProof/>
          <w:sz w:val="22"/>
          <w:lang w:eastAsia="en-AU"/>
        </w:rPr>
      </w:pPr>
      <w:hyperlink w:anchor="_Toc505872182" w:history="1">
        <w:r w:rsidR="00452B0D" w:rsidRPr="00D329B3">
          <w:rPr>
            <w:rStyle w:val="Hyperlink"/>
            <w:noProof/>
          </w:rPr>
          <w:t>Revenue</w:t>
        </w:r>
        <w:r w:rsidR="00452B0D">
          <w:rPr>
            <w:noProof/>
            <w:webHidden/>
          </w:rPr>
          <w:tab/>
        </w:r>
        <w:r w:rsidR="00452B0D">
          <w:rPr>
            <w:noProof/>
            <w:webHidden/>
          </w:rPr>
          <w:fldChar w:fldCharType="begin"/>
        </w:r>
        <w:r w:rsidR="00452B0D">
          <w:rPr>
            <w:noProof/>
            <w:webHidden/>
          </w:rPr>
          <w:instrText xml:space="preserve"> PAGEREF _Toc505872182 \h </w:instrText>
        </w:r>
        <w:r w:rsidR="00452B0D">
          <w:rPr>
            <w:noProof/>
            <w:webHidden/>
          </w:rPr>
        </w:r>
        <w:r w:rsidR="00452B0D">
          <w:rPr>
            <w:noProof/>
            <w:webHidden/>
          </w:rPr>
          <w:fldChar w:fldCharType="separate"/>
        </w:r>
        <w:r w:rsidR="000A6746">
          <w:rPr>
            <w:noProof/>
            <w:webHidden/>
          </w:rPr>
          <w:t>23</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83" w:history="1">
        <w:r w:rsidR="00452B0D" w:rsidRPr="00D329B3">
          <w:rPr>
            <w:rStyle w:val="Hyperlink"/>
            <w:noProof/>
          </w:rPr>
          <w:t>Commonwealth payments</w:t>
        </w:r>
        <w:r w:rsidR="00452B0D">
          <w:rPr>
            <w:noProof/>
            <w:webHidden/>
          </w:rPr>
          <w:tab/>
        </w:r>
        <w:r w:rsidR="00452B0D">
          <w:rPr>
            <w:noProof/>
            <w:webHidden/>
          </w:rPr>
          <w:fldChar w:fldCharType="begin"/>
        </w:r>
        <w:r w:rsidR="00452B0D">
          <w:rPr>
            <w:noProof/>
            <w:webHidden/>
          </w:rPr>
          <w:instrText xml:space="preserve"> PAGEREF _Toc505872183 \h </w:instrText>
        </w:r>
        <w:r w:rsidR="00452B0D">
          <w:rPr>
            <w:noProof/>
            <w:webHidden/>
          </w:rPr>
        </w:r>
        <w:r w:rsidR="00452B0D">
          <w:rPr>
            <w:noProof/>
            <w:webHidden/>
          </w:rPr>
          <w:fldChar w:fldCharType="separate"/>
        </w:r>
        <w:r w:rsidR="000A6746">
          <w:rPr>
            <w:noProof/>
            <w:webHidden/>
          </w:rPr>
          <w:t>25</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84" w:history="1">
        <w:r w:rsidR="00452B0D" w:rsidRPr="00D329B3">
          <w:rPr>
            <w:rStyle w:val="Hyperlink"/>
            <w:noProof/>
          </w:rPr>
          <w:t>Expenditure</w:t>
        </w:r>
        <w:r w:rsidR="00452B0D">
          <w:rPr>
            <w:noProof/>
            <w:webHidden/>
          </w:rPr>
          <w:tab/>
        </w:r>
        <w:r w:rsidR="00452B0D">
          <w:rPr>
            <w:noProof/>
            <w:webHidden/>
          </w:rPr>
          <w:fldChar w:fldCharType="begin"/>
        </w:r>
        <w:r w:rsidR="00452B0D">
          <w:rPr>
            <w:noProof/>
            <w:webHidden/>
          </w:rPr>
          <w:instrText xml:space="preserve"> PAGEREF _Toc505872184 \h </w:instrText>
        </w:r>
        <w:r w:rsidR="00452B0D">
          <w:rPr>
            <w:noProof/>
            <w:webHidden/>
          </w:rPr>
        </w:r>
        <w:r w:rsidR="00452B0D">
          <w:rPr>
            <w:noProof/>
            <w:webHidden/>
          </w:rPr>
          <w:fldChar w:fldCharType="separate"/>
        </w:r>
        <w:r w:rsidR="000A6746">
          <w:rPr>
            <w:noProof/>
            <w:webHidden/>
          </w:rPr>
          <w:t>28</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85" w:history="1">
        <w:r w:rsidR="00626E3A">
          <w:rPr>
            <w:rStyle w:val="Hyperlink"/>
            <w:b/>
            <w:caps w:val="0"/>
            <w:noProof/>
          </w:rPr>
          <w:t>Why S</w:t>
        </w:r>
        <w:r w:rsidR="004225E3" w:rsidRPr="004225E3">
          <w:rPr>
            <w:rStyle w:val="Hyperlink"/>
            <w:b/>
            <w:caps w:val="0"/>
            <w:noProof/>
          </w:rPr>
          <w:t>tate fiscal capacities differ</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_Toc505872185 \h </w:instrText>
        </w:r>
        <w:r w:rsidR="00452B0D" w:rsidRPr="004225E3">
          <w:rPr>
            <w:b/>
            <w:noProof/>
            <w:webHidden/>
          </w:rPr>
        </w:r>
        <w:r w:rsidR="00452B0D" w:rsidRPr="004225E3">
          <w:rPr>
            <w:b/>
            <w:noProof/>
            <w:webHidden/>
          </w:rPr>
          <w:fldChar w:fldCharType="separate"/>
        </w:r>
        <w:r w:rsidR="000A6746">
          <w:rPr>
            <w:b/>
            <w:noProof/>
            <w:webHidden/>
          </w:rPr>
          <w:t>30</w:t>
        </w:r>
        <w:r w:rsidR="00452B0D" w:rsidRPr="004225E3">
          <w:rPr>
            <w:b/>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86" w:history="1">
        <w:r w:rsidR="004225E3" w:rsidRPr="004225E3">
          <w:rPr>
            <w:rStyle w:val="Hyperlink"/>
            <w:b/>
            <w:caps w:val="0"/>
            <w:noProof/>
          </w:rPr>
          <w:t>Size of the equalisation task</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_Toc505872186 \h </w:instrText>
        </w:r>
        <w:r w:rsidR="00452B0D" w:rsidRPr="004225E3">
          <w:rPr>
            <w:b/>
            <w:noProof/>
            <w:webHidden/>
          </w:rPr>
        </w:r>
        <w:r w:rsidR="00452B0D" w:rsidRPr="004225E3">
          <w:rPr>
            <w:b/>
            <w:noProof/>
            <w:webHidden/>
          </w:rPr>
          <w:fldChar w:fldCharType="separate"/>
        </w:r>
        <w:r w:rsidR="000A6746">
          <w:rPr>
            <w:b/>
            <w:noProof/>
            <w:webHidden/>
          </w:rPr>
          <w:t>32</w:t>
        </w:r>
        <w:r w:rsidR="00452B0D" w:rsidRPr="004225E3">
          <w:rPr>
            <w:b/>
            <w:noProof/>
            <w:webHidden/>
          </w:rPr>
          <w:fldChar w:fldCharType="end"/>
        </w:r>
      </w:hyperlink>
    </w:p>
    <w:p w:rsidR="00452B0D" w:rsidRDefault="00AC2929" w:rsidP="00452B0D">
      <w:pPr>
        <w:pStyle w:val="TOC1"/>
        <w:rPr>
          <w:rFonts w:eastAsiaTheme="minorEastAsia"/>
          <w:b w:val="0"/>
          <w:bCs w:val="0"/>
          <w:caps w:val="0"/>
          <w:noProof/>
          <w:sz w:val="22"/>
          <w:szCs w:val="22"/>
          <w:lang w:eastAsia="en-AU"/>
        </w:rPr>
      </w:pPr>
      <w:r>
        <w:rPr>
          <w:noProof/>
        </w:rPr>
        <w:t xml:space="preserve">Chapter 2 - </w:t>
      </w:r>
      <w:hyperlink w:anchor="_Toc505872187" w:history="1">
        <w:r w:rsidR="00452B0D" w:rsidRPr="00D329B3">
          <w:rPr>
            <w:rStyle w:val="Hyperlink"/>
            <w:noProof/>
          </w:rPr>
          <w:t>New issues in this update</w:t>
        </w:r>
        <w:r w:rsidR="00452B0D">
          <w:rPr>
            <w:noProof/>
            <w:webHidden/>
          </w:rPr>
          <w:tab/>
        </w:r>
        <w:r w:rsidR="00452B0D">
          <w:rPr>
            <w:noProof/>
            <w:webHidden/>
          </w:rPr>
          <w:fldChar w:fldCharType="begin"/>
        </w:r>
        <w:r w:rsidR="00452B0D">
          <w:rPr>
            <w:noProof/>
            <w:webHidden/>
          </w:rPr>
          <w:instrText xml:space="preserve"> PAGEREF _Toc505872187 \h </w:instrText>
        </w:r>
        <w:r w:rsidR="00452B0D">
          <w:rPr>
            <w:noProof/>
            <w:webHidden/>
          </w:rPr>
        </w:r>
        <w:r w:rsidR="00452B0D">
          <w:rPr>
            <w:noProof/>
            <w:webHidden/>
          </w:rPr>
          <w:fldChar w:fldCharType="separate"/>
        </w:r>
        <w:r w:rsidR="000A6746">
          <w:rPr>
            <w:noProof/>
            <w:webHidden/>
          </w:rPr>
          <w:t>36</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88" w:history="1">
        <w:r w:rsidR="004225E3" w:rsidRPr="004225E3">
          <w:rPr>
            <w:rStyle w:val="Hyperlink"/>
            <w:b/>
            <w:caps w:val="0"/>
            <w:noProof/>
          </w:rPr>
          <w:t>Data issues</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_Toc505872188 \h </w:instrText>
        </w:r>
        <w:r w:rsidR="00452B0D" w:rsidRPr="004225E3">
          <w:rPr>
            <w:b/>
            <w:noProof/>
            <w:webHidden/>
          </w:rPr>
        </w:r>
        <w:r w:rsidR="00452B0D" w:rsidRPr="004225E3">
          <w:rPr>
            <w:b/>
            <w:noProof/>
            <w:webHidden/>
          </w:rPr>
          <w:fldChar w:fldCharType="separate"/>
        </w:r>
        <w:r w:rsidR="000A6746">
          <w:rPr>
            <w:b/>
            <w:noProof/>
            <w:webHidden/>
          </w:rPr>
          <w:t>36</w:t>
        </w:r>
        <w:r w:rsidR="00452B0D" w:rsidRPr="004225E3">
          <w:rPr>
            <w:b/>
            <w:noProof/>
            <w:webHidden/>
          </w:rPr>
          <w:fldChar w:fldCharType="end"/>
        </w:r>
      </w:hyperlink>
    </w:p>
    <w:p w:rsidR="00452B0D" w:rsidRDefault="00CD68E8" w:rsidP="00452B0D">
      <w:pPr>
        <w:pStyle w:val="TOC4"/>
        <w:rPr>
          <w:rFonts w:eastAsiaTheme="minorEastAsia"/>
          <w:noProof/>
          <w:sz w:val="22"/>
          <w:lang w:eastAsia="en-AU"/>
        </w:rPr>
      </w:pPr>
      <w:hyperlink w:anchor="_Toc505872189" w:history="1">
        <w:r w:rsidR="00452B0D" w:rsidRPr="00D329B3">
          <w:rPr>
            <w:rStyle w:val="Hyperlink"/>
            <w:noProof/>
          </w:rPr>
          <w:t>Use of new Census data</w:t>
        </w:r>
        <w:r w:rsidR="00452B0D">
          <w:rPr>
            <w:noProof/>
            <w:webHidden/>
          </w:rPr>
          <w:tab/>
        </w:r>
        <w:r w:rsidR="00452B0D">
          <w:rPr>
            <w:noProof/>
            <w:webHidden/>
          </w:rPr>
          <w:fldChar w:fldCharType="begin"/>
        </w:r>
        <w:r w:rsidR="00452B0D">
          <w:rPr>
            <w:noProof/>
            <w:webHidden/>
          </w:rPr>
          <w:instrText xml:space="preserve"> PAGEREF _Toc505872189 \h </w:instrText>
        </w:r>
        <w:r w:rsidR="00452B0D">
          <w:rPr>
            <w:noProof/>
            <w:webHidden/>
          </w:rPr>
        </w:r>
        <w:r w:rsidR="00452B0D">
          <w:rPr>
            <w:noProof/>
            <w:webHidden/>
          </w:rPr>
          <w:fldChar w:fldCharType="separate"/>
        </w:r>
        <w:r w:rsidR="000A6746">
          <w:rPr>
            <w:noProof/>
            <w:webHidden/>
          </w:rPr>
          <w:t>36</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90" w:history="1">
        <w:r w:rsidR="004225E3" w:rsidRPr="004225E3">
          <w:rPr>
            <w:rStyle w:val="Hyperlink"/>
            <w:b/>
            <w:caps w:val="0"/>
            <w:noProof/>
          </w:rPr>
          <w:t>Assessment issues</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_Toc505872190 \h </w:instrText>
        </w:r>
        <w:r w:rsidR="00452B0D" w:rsidRPr="004225E3">
          <w:rPr>
            <w:b/>
            <w:noProof/>
            <w:webHidden/>
          </w:rPr>
        </w:r>
        <w:r w:rsidR="00452B0D" w:rsidRPr="004225E3">
          <w:rPr>
            <w:b/>
            <w:noProof/>
            <w:webHidden/>
          </w:rPr>
          <w:fldChar w:fldCharType="separate"/>
        </w:r>
        <w:r w:rsidR="000A6746">
          <w:rPr>
            <w:b/>
            <w:noProof/>
            <w:webHidden/>
          </w:rPr>
          <w:t>43</w:t>
        </w:r>
        <w:r w:rsidR="00452B0D" w:rsidRPr="004225E3">
          <w:rPr>
            <w:b/>
            <w:noProof/>
            <w:webHidden/>
          </w:rPr>
          <w:fldChar w:fldCharType="end"/>
        </w:r>
      </w:hyperlink>
    </w:p>
    <w:p w:rsidR="00452B0D" w:rsidRDefault="00CD68E8" w:rsidP="00452B0D">
      <w:pPr>
        <w:pStyle w:val="TOC4"/>
        <w:rPr>
          <w:rFonts w:eastAsiaTheme="minorEastAsia"/>
          <w:noProof/>
          <w:sz w:val="22"/>
          <w:lang w:eastAsia="en-AU"/>
        </w:rPr>
      </w:pPr>
      <w:hyperlink w:anchor="_Toc505872191" w:history="1">
        <w:r w:rsidR="00452B0D" w:rsidRPr="00D329B3">
          <w:rPr>
            <w:rStyle w:val="Hyperlink"/>
            <w:noProof/>
          </w:rPr>
          <w:t>Wage costs assessment – Commonwealth Superannuation Scheme</w:t>
        </w:r>
        <w:r w:rsidR="00452B0D">
          <w:rPr>
            <w:noProof/>
            <w:webHidden/>
          </w:rPr>
          <w:tab/>
        </w:r>
        <w:r w:rsidR="00452B0D">
          <w:rPr>
            <w:noProof/>
            <w:webHidden/>
          </w:rPr>
          <w:fldChar w:fldCharType="begin"/>
        </w:r>
        <w:r w:rsidR="00452B0D">
          <w:rPr>
            <w:noProof/>
            <w:webHidden/>
          </w:rPr>
          <w:instrText xml:space="preserve"> PAGEREF _Toc505872191 \h </w:instrText>
        </w:r>
        <w:r w:rsidR="00452B0D">
          <w:rPr>
            <w:noProof/>
            <w:webHidden/>
          </w:rPr>
        </w:r>
        <w:r w:rsidR="00452B0D">
          <w:rPr>
            <w:noProof/>
            <w:webHidden/>
          </w:rPr>
          <w:fldChar w:fldCharType="separate"/>
        </w:r>
        <w:r w:rsidR="000A6746">
          <w:rPr>
            <w:noProof/>
            <w:webHidden/>
          </w:rPr>
          <w:t>43</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92" w:history="1">
        <w:r w:rsidR="00452B0D" w:rsidRPr="00D329B3">
          <w:rPr>
            <w:rStyle w:val="Hyperlink"/>
            <w:noProof/>
          </w:rPr>
          <w:t>Commonwealth payments for the National Disability Insurance Scheme</w:t>
        </w:r>
        <w:r w:rsidR="00452B0D">
          <w:rPr>
            <w:noProof/>
            <w:webHidden/>
          </w:rPr>
          <w:tab/>
        </w:r>
        <w:r w:rsidR="00452B0D">
          <w:rPr>
            <w:noProof/>
            <w:webHidden/>
          </w:rPr>
          <w:fldChar w:fldCharType="begin"/>
        </w:r>
        <w:r w:rsidR="00452B0D">
          <w:rPr>
            <w:noProof/>
            <w:webHidden/>
          </w:rPr>
          <w:instrText xml:space="preserve"> PAGEREF _Toc505872192 \h </w:instrText>
        </w:r>
        <w:r w:rsidR="00452B0D">
          <w:rPr>
            <w:noProof/>
            <w:webHidden/>
          </w:rPr>
        </w:r>
        <w:r w:rsidR="00452B0D">
          <w:rPr>
            <w:noProof/>
            <w:webHidden/>
          </w:rPr>
          <w:fldChar w:fldCharType="separate"/>
        </w:r>
        <w:r w:rsidR="000A6746">
          <w:rPr>
            <w:noProof/>
            <w:webHidden/>
          </w:rPr>
          <w:t>47</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93" w:history="1">
        <w:r w:rsidR="00452B0D" w:rsidRPr="00D329B3">
          <w:rPr>
            <w:rStyle w:val="Hyperlink"/>
            <w:noProof/>
          </w:rPr>
          <w:t>Health assessment</w:t>
        </w:r>
        <w:r w:rsidR="00452B0D">
          <w:rPr>
            <w:noProof/>
            <w:webHidden/>
          </w:rPr>
          <w:tab/>
        </w:r>
        <w:r w:rsidR="00452B0D">
          <w:rPr>
            <w:noProof/>
            <w:webHidden/>
          </w:rPr>
          <w:fldChar w:fldCharType="begin"/>
        </w:r>
        <w:r w:rsidR="00452B0D">
          <w:rPr>
            <w:noProof/>
            <w:webHidden/>
          </w:rPr>
          <w:instrText xml:space="preserve"> PAGEREF _Toc505872193 \h </w:instrText>
        </w:r>
        <w:r w:rsidR="00452B0D">
          <w:rPr>
            <w:noProof/>
            <w:webHidden/>
          </w:rPr>
        </w:r>
        <w:r w:rsidR="00452B0D">
          <w:rPr>
            <w:noProof/>
            <w:webHidden/>
          </w:rPr>
          <w:fldChar w:fldCharType="separate"/>
        </w:r>
        <w:r w:rsidR="000A6746">
          <w:rPr>
            <w:noProof/>
            <w:webHidden/>
          </w:rPr>
          <w:t>48</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94" w:history="1">
        <w:r w:rsidR="00452B0D" w:rsidRPr="00D329B3">
          <w:rPr>
            <w:rStyle w:val="Hyperlink"/>
            <w:noProof/>
          </w:rPr>
          <w:t>Schools assessment and the Commonwealth payment for Quality schools</w:t>
        </w:r>
        <w:r w:rsidR="00452B0D">
          <w:rPr>
            <w:noProof/>
            <w:webHidden/>
          </w:rPr>
          <w:tab/>
        </w:r>
        <w:r w:rsidR="00452B0D">
          <w:rPr>
            <w:noProof/>
            <w:webHidden/>
          </w:rPr>
          <w:fldChar w:fldCharType="begin"/>
        </w:r>
        <w:r w:rsidR="00452B0D">
          <w:rPr>
            <w:noProof/>
            <w:webHidden/>
          </w:rPr>
          <w:instrText xml:space="preserve"> PAGEREF _Toc505872194 \h </w:instrText>
        </w:r>
        <w:r w:rsidR="00452B0D">
          <w:rPr>
            <w:noProof/>
            <w:webHidden/>
          </w:rPr>
        </w:r>
        <w:r w:rsidR="00452B0D">
          <w:rPr>
            <w:noProof/>
            <w:webHidden/>
          </w:rPr>
          <w:fldChar w:fldCharType="separate"/>
        </w:r>
        <w:r w:rsidR="000A6746">
          <w:rPr>
            <w:noProof/>
            <w:webHidden/>
          </w:rPr>
          <w:t>51</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95" w:history="1">
        <w:r w:rsidR="00452B0D" w:rsidRPr="00D329B3">
          <w:rPr>
            <w:rStyle w:val="Hyperlink"/>
            <w:noProof/>
          </w:rPr>
          <w:t>Rescaling in the Investment assessment</w:t>
        </w:r>
        <w:r w:rsidR="00452B0D">
          <w:rPr>
            <w:noProof/>
            <w:webHidden/>
          </w:rPr>
          <w:tab/>
        </w:r>
        <w:r w:rsidR="00452B0D">
          <w:rPr>
            <w:noProof/>
            <w:webHidden/>
          </w:rPr>
          <w:fldChar w:fldCharType="begin"/>
        </w:r>
        <w:r w:rsidR="00452B0D">
          <w:rPr>
            <w:noProof/>
            <w:webHidden/>
          </w:rPr>
          <w:instrText xml:space="preserve"> PAGEREF _Toc505872195 \h </w:instrText>
        </w:r>
        <w:r w:rsidR="00452B0D">
          <w:rPr>
            <w:noProof/>
            <w:webHidden/>
          </w:rPr>
        </w:r>
        <w:r w:rsidR="00452B0D">
          <w:rPr>
            <w:noProof/>
            <w:webHidden/>
          </w:rPr>
          <w:fldChar w:fldCharType="separate"/>
        </w:r>
        <w:r w:rsidR="000A6746">
          <w:rPr>
            <w:noProof/>
            <w:webHidden/>
          </w:rPr>
          <w:t>52</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96" w:history="1">
        <w:r w:rsidR="00452B0D" w:rsidRPr="00D329B3">
          <w:rPr>
            <w:rStyle w:val="Hyperlink"/>
            <w:noProof/>
          </w:rPr>
          <w:t>Treatment of mining royalties where bans have been introduced</w:t>
        </w:r>
        <w:r w:rsidR="00452B0D">
          <w:rPr>
            <w:noProof/>
            <w:webHidden/>
          </w:rPr>
          <w:tab/>
        </w:r>
        <w:r w:rsidR="00452B0D">
          <w:rPr>
            <w:noProof/>
            <w:webHidden/>
          </w:rPr>
          <w:fldChar w:fldCharType="begin"/>
        </w:r>
        <w:r w:rsidR="00452B0D">
          <w:rPr>
            <w:noProof/>
            <w:webHidden/>
          </w:rPr>
          <w:instrText xml:space="preserve"> PAGEREF _Toc505872196 \h </w:instrText>
        </w:r>
        <w:r w:rsidR="00452B0D">
          <w:rPr>
            <w:noProof/>
            <w:webHidden/>
          </w:rPr>
        </w:r>
        <w:r w:rsidR="00452B0D">
          <w:rPr>
            <w:noProof/>
            <w:webHidden/>
          </w:rPr>
          <w:fldChar w:fldCharType="separate"/>
        </w:r>
        <w:r w:rsidR="000A6746">
          <w:rPr>
            <w:noProof/>
            <w:webHidden/>
          </w:rPr>
          <w:t>53</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197" w:history="1">
        <w:r w:rsidR="004225E3" w:rsidRPr="004225E3">
          <w:rPr>
            <w:rStyle w:val="Hyperlink"/>
            <w:b/>
            <w:caps w:val="0"/>
            <w:noProof/>
          </w:rPr>
          <w:t xml:space="preserve">Treatment of </w:t>
        </w:r>
        <w:r w:rsidR="00626E3A">
          <w:rPr>
            <w:rStyle w:val="Hyperlink"/>
            <w:b/>
            <w:caps w:val="0"/>
            <w:noProof/>
          </w:rPr>
          <w:t>C</w:t>
        </w:r>
        <w:r w:rsidR="004225E3" w:rsidRPr="004225E3">
          <w:rPr>
            <w:rStyle w:val="Hyperlink"/>
            <w:b/>
            <w:caps w:val="0"/>
            <w:noProof/>
          </w:rPr>
          <w:t>ommonwealth payments</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_Toc505872197 \h </w:instrText>
        </w:r>
        <w:r w:rsidR="00452B0D" w:rsidRPr="004225E3">
          <w:rPr>
            <w:b/>
            <w:noProof/>
            <w:webHidden/>
          </w:rPr>
        </w:r>
        <w:r w:rsidR="00452B0D" w:rsidRPr="004225E3">
          <w:rPr>
            <w:b/>
            <w:noProof/>
            <w:webHidden/>
          </w:rPr>
          <w:fldChar w:fldCharType="separate"/>
        </w:r>
        <w:r w:rsidR="000A6746">
          <w:rPr>
            <w:b/>
            <w:noProof/>
            <w:webHidden/>
          </w:rPr>
          <w:t>54</w:t>
        </w:r>
        <w:r w:rsidR="00452B0D" w:rsidRPr="004225E3">
          <w:rPr>
            <w:b/>
            <w:noProof/>
            <w:webHidden/>
          </w:rPr>
          <w:fldChar w:fldCharType="end"/>
        </w:r>
      </w:hyperlink>
    </w:p>
    <w:p w:rsidR="00452B0D" w:rsidRDefault="00CD68E8" w:rsidP="00452B0D">
      <w:pPr>
        <w:pStyle w:val="TOC4"/>
        <w:rPr>
          <w:rFonts w:eastAsiaTheme="minorEastAsia"/>
          <w:noProof/>
          <w:sz w:val="22"/>
          <w:lang w:eastAsia="en-AU"/>
        </w:rPr>
      </w:pPr>
      <w:hyperlink w:anchor="_Toc505872198" w:history="1">
        <w:r w:rsidR="00452B0D" w:rsidRPr="00D329B3">
          <w:rPr>
            <w:rStyle w:val="Hyperlink"/>
            <w:noProof/>
          </w:rPr>
          <w:t>Terms of reference requirements</w:t>
        </w:r>
        <w:r w:rsidR="00452B0D">
          <w:rPr>
            <w:noProof/>
            <w:webHidden/>
          </w:rPr>
          <w:tab/>
        </w:r>
        <w:r w:rsidR="00452B0D">
          <w:rPr>
            <w:noProof/>
            <w:webHidden/>
          </w:rPr>
          <w:fldChar w:fldCharType="begin"/>
        </w:r>
        <w:r w:rsidR="00452B0D">
          <w:rPr>
            <w:noProof/>
            <w:webHidden/>
          </w:rPr>
          <w:instrText xml:space="preserve"> PAGEREF _Toc505872198 \h </w:instrText>
        </w:r>
        <w:r w:rsidR="00452B0D">
          <w:rPr>
            <w:noProof/>
            <w:webHidden/>
          </w:rPr>
        </w:r>
        <w:r w:rsidR="00452B0D">
          <w:rPr>
            <w:noProof/>
            <w:webHidden/>
          </w:rPr>
          <w:fldChar w:fldCharType="separate"/>
        </w:r>
        <w:r w:rsidR="000A6746">
          <w:rPr>
            <w:noProof/>
            <w:webHidden/>
          </w:rPr>
          <w:t>54</w:t>
        </w:r>
        <w:r w:rsidR="00452B0D">
          <w:rPr>
            <w:noProof/>
            <w:webHidden/>
          </w:rPr>
          <w:fldChar w:fldCharType="end"/>
        </w:r>
      </w:hyperlink>
    </w:p>
    <w:p w:rsidR="00452B0D" w:rsidRDefault="00CD68E8" w:rsidP="00452B0D">
      <w:pPr>
        <w:pStyle w:val="TOC4"/>
        <w:rPr>
          <w:rFonts w:eastAsiaTheme="minorEastAsia"/>
          <w:noProof/>
          <w:sz w:val="22"/>
          <w:lang w:eastAsia="en-AU"/>
        </w:rPr>
      </w:pPr>
      <w:hyperlink w:anchor="_Toc505872199" w:history="1">
        <w:r w:rsidR="00452B0D" w:rsidRPr="00D329B3">
          <w:rPr>
            <w:rStyle w:val="Hyperlink"/>
            <w:noProof/>
          </w:rPr>
          <w:t>Treatment of new Commonwealth payments</w:t>
        </w:r>
        <w:r w:rsidR="00452B0D">
          <w:rPr>
            <w:noProof/>
            <w:webHidden/>
          </w:rPr>
          <w:tab/>
        </w:r>
        <w:r w:rsidR="00452B0D">
          <w:rPr>
            <w:noProof/>
            <w:webHidden/>
          </w:rPr>
          <w:fldChar w:fldCharType="begin"/>
        </w:r>
        <w:r w:rsidR="00452B0D">
          <w:rPr>
            <w:noProof/>
            <w:webHidden/>
          </w:rPr>
          <w:instrText xml:space="preserve"> PAGEREF _Toc505872199 \h </w:instrText>
        </w:r>
        <w:r w:rsidR="00452B0D">
          <w:rPr>
            <w:noProof/>
            <w:webHidden/>
          </w:rPr>
        </w:r>
        <w:r w:rsidR="00452B0D">
          <w:rPr>
            <w:noProof/>
            <w:webHidden/>
          </w:rPr>
          <w:fldChar w:fldCharType="separate"/>
        </w:r>
        <w:r w:rsidR="000A6746">
          <w:rPr>
            <w:noProof/>
            <w:webHidden/>
          </w:rPr>
          <w:t>55</w:t>
        </w:r>
        <w:r w:rsidR="00452B0D">
          <w:rPr>
            <w:noProof/>
            <w:webHidden/>
          </w:rPr>
          <w:fldChar w:fldCharType="end"/>
        </w:r>
      </w:hyperlink>
    </w:p>
    <w:p w:rsidR="00452B0D" w:rsidRPr="004225E3" w:rsidRDefault="00CD68E8" w:rsidP="00452B0D">
      <w:pPr>
        <w:pStyle w:val="TOC3"/>
        <w:rPr>
          <w:rFonts w:eastAsiaTheme="minorEastAsia"/>
          <w:b/>
          <w:iCs w:val="0"/>
          <w:caps w:val="0"/>
          <w:noProof/>
          <w:sz w:val="22"/>
          <w:lang w:eastAsia="en-AU"/>
        </w:rPr>
      </w:pPr>
      <w:hyperlink w:anchor="_Toc505872200" w:history="1">
        <w:r w:rsidR="004225E3" w:rsidRPr="004225E3">
          <w:rPr>
            <w:rStyle w:val="Hyperlink"/>
            <w:b/>
            <w:caps w:val="0"/>
            <w:noProof/>
          </w:rPr>
          <w:t>Publishing quarantined payments information in update/review report</w:t>
        </w:r>
        <w:r w:rsidR="00452B0D" w:rsidRPr="004225E3">
          <w:rPr>
            <w:b/>
            <w:noProof/>
            <w:webHidden/>
          </w:rPr>
          <w:tab/>
        </w:r>
        <w:r w:rsidR="00452B0D" w:rsidRPr="004225E3">
          <w:rPr>
            <w:b/>
            <w:noProof/>
            <w:webHidden/>
          </w:rPr>
          <w:fldChar w:fldCharType="begin"/>
        </w:r>
        <w:r w:rsidR="00452B0D" w:rsidRPr="004225E3">
          <w:rPr>
            <w:b/>
            <w:noProof/>
            <w:webHidden/>
          </w:rPr>
          <w:instrText xml:space="preserve"> PAGEREF _Toc505872200 \h </w:instrText>
        </w:r>
        <w:r w:rsidR="00452B0D" w:rsidRPr="004225E3">
          <w:rPr>
            <w:b/>
            <w:noProof/>
            <w:webHidden/>
          </w:rPr>
        </w:r>
        <w:r w:rsidR="00452B0D" w:rsidRPr="004225E3">
          <w:rPr>
            <w:b/>
            <w:noProof/>
            <w:webHidden/>
          </w:rPr>
          <w:fldChar w:fldCharType="separate"/>
        </w:r>
        <w:r w:rsidR="000A6746">
          <w:rPr>
            <w:b/>
            <w:noProof/>
            <w:webHidden/>
          </w:rPr>
          <w:t>60</w:t>
        </w:r>
        <w:r w:rsidR="00452B0D" w:rsidRPr="004225E3">
          <w:rPr>
            <w:b/>
            <w:noProof/>
            <w:webHidden/>
          </w:rPr>
          <w:fldChar w:fldCharType="end"/>
        </w:r>
      </w:hyperlink>
    </w:p>
    <w:p w:rsidR="00452B0D" w:rsidRDefault="00AC2929" w:rsidP="00452B0D">
      <w:pPr>
        <w:pStyle w:val="TOC1"/>
        <w:rPr>
          <w:rFonts w:eastAsiaTheme="minorEastAsia"/>
          <w:b w:val="0"/>
          <w:bCs w:val="0"/>
          <w:caps w:val="0"/>
          <w:noProof/>
          <w:sz w:val="22"/>
          <w:szCs w:val="22"/>
          <w:lang w:eastAsia="en-AU"/>
        </w:rPr>
      </w:pPr>
      <w:r>
        <w:rPr>
          <w:noProof/>
        </w:rPr>
        <w:t xml:space="preserve">Attachment A - </w:t>
      </w:r>
      <w:hyperlink w:anchor="_Toc505872201" w:history="1">
        <w:r w:rsidR="00452B0D" w:rsidRPr="00D329B3">
          <w:rPr>
            <w:rStyle w:val="Hyperlink"/>
            <w:noProof/>
          </w:rPr>
          <w:t>Quality assurance</w:t>
        </w:r>
        <w:r w:rsidR="00452B0D">
          <w:rPr>
            <w:noProof/>
            <w:webHidden/>
          </w:rPr>
          <w:tab/>
        </w:r>
        <w:r w:rsidR="00452B0D">
          <w:rPr>
            <w:noProof/>
            <w:webHidden/>
          </w:rPr>
          <w:fldChar w:fldCharType="begin"/>
        </w:r>
        <w:r w:rsidR="00452B0D">
          <w:rPr>
            <w:noProof/>
            <w:webHidden/>
          </w:rPr>
          <w:instrText xml:space="preserve"> PAGEREF _Toc505872201 \h </w:instrText>
        </w:r>
        <w:r w:rsidR="00452B0D">
          <w:rPr>
            <w:noProof/>
            <w:webHidden/>
          </w:rPr>
        </w:r>
        <w:r w:rsidR="00452B0D">
          <w:rPr>
            <w:noProof/>
            <w:webHidden/>
          </w:rPr>
          <w:fldChar w:fldCharType="separate"/>
        </w:r>
        <w:r w:rsidR="000A6746">
          <w:rPr>
            <w:noProof/>
            <w:webHidden/>
          </w:rPr>
          <w:t>61</w:t>
        </w:r>
        <w:r w:rsidR="00452B0D">
          <w:rPr>
            <w:noProof/>
            <w:webHidden/>
          </w:rPr>
          <w:fldChar w:fldCharType="end"/>
        </w:r>
      </w:hyperlink>
    </w:p>
    <w:p w:rsidR="00452B0D" w:rsidRDefault="00CD68E8" w:rsidP="00452B0D">
      <w:pPr>
        <w:pStyle w:val="TOC3"/>
        <w:rPr>
          <w:rFonts w:eastAsiaTheme="minorEastAsia"/>
          <w:iCs w:val="0"/>
          <w:caps w:val="0"/>
          <w:noProof/>
          <w:sz w:val="22"/>
          <w:lang w:eastAsia="en-AU"/>
        </w:rPr>
      </w:pPr>
      <w:hyperlink w:anchor="_Toc505872202" w:history="1">
        <w:r w:rsidR="004225E3" w:rsidRPr="00D329B3">
          <w:rPr>
            <w:rStyle w:val="Hyperlink"/>
            <w:caps w:val="0"/>
            <w:noProof/>
          </w:rPr>
          <w:t>Data quality improvement</w:t>
        </w:r>
        <w:r w:rsidR="00452B0D">
          <w:rPr>
            <w:noProof/>
            <w:webHidden/>
          </w:rPr>
          <w:tab/>
        </w:r>
        <w:r w:rsidR="00452B0D">
          <w:rPr>
            <w:noProof/>
            <w:webHidden/>
          </w:rPr>
          <w:fldChar w:fldCharType="begin"/>
        </w:r>
        <w:r w:rsidR="00452B0D">
          <w:rPr>
            <w:noProof/>
            <w:webHidden/>
          </w:rPr>
          <w:instrText xml:space="preserve"> PAGEREF _Toc505872202 \h </w:instrText>
        </w:r>
        <w:r w:rsidR="00452B0D">
          <w:rPr>
            <w:noProof/>
            <w:webHidden/>
          </w:rPr>
        </w:r>
        <w:r w:rsidR="00452B0D">
          <w:rPr>
            <w:noProof/>
            <w:webHidden/>
          </w:rPr>
          <w:fldChar w:fldCharType="separate"/>
        </w:r>
        <w:r w:rsidR="000A6746">
          <w:rPr>
            <w:noProof/>
            <w:webHidden/>
          </w:rPr>
          <w:t>61</w:t>
        </w:r>
        <w:r w:rsidR="00452B0D">
          <w:rPr>
            <w:noProof/>
            <w:webHidden/>
          </w:rPr>
          <w:fldChar w:fldCharType="end"/>
        </w:r>
      </w:hyperlink>
    </w:p>
    <w:p w:rsidR="00452B0D" w:rsidRDefault="00CD68E8" w:rsidP="00452B0D">
      <w:pPr>
        <w:pStyle w:val="TOC3"/>
        <w:rPr>
          <w:rFonts w:eastAsiaTheme="minorEastAsia"/>
          <w:iCs w:val="0"/>
          <w:caps w:val="0"/>
          <w:noProof/>
          <w:sz w:val="22"/>
          <w:lang w:eastAsia="en-AU"/>
        </w:rPr>
      </w:pPr>
      <w:hyperlink w:anchor="_Toc505872203" w:history="1">
        <w:r w:rsidR="004225E3" w:rsidRPr="00D329B3">
          <w:rPr>
            <w:rStyle w:val="Hyperlink"/>
            <w:caps w:val="0"/>
            <w:noProof/>
          </w:rPr>
          <w:t>Calculation audit processes</w:t>
        </w:r>
        <w:r w:rsidR="00452B0D">
          <w:rPr>
            <w:noProof/>
            <w:webHidden/>
          </w:rPr>
          <w:tab/>
        </w:r>
        <w:r w:rsidR="00452B0D">
          <w:rPr>
            <w:noProof/>
            <w:webHidden/>
          </w:rPr>
          <w:fldChar w:fldCharType="begin"/>
        </w:r>
        <w:r w:rsidR="00452B0D">
          <w:rPr>
            <w:noProof/>
            <w:webHidden/>
          </w:rPr>
          <w:instrText xml:space="preserve"> PAGEREF _Toc505872203 \h </w:instrText>
        </w:r>
        <w:r w:rsidR="00452B0D">
          <w:rPr>
            <w:noProof/>
            <w:webHidden/>
          </w:rPr>
        </w:r>
        <w:r w:rsidR="00452B0D">
          <w:rPr>
            <w:noProof/>
            <w:webHidden/>
          </w:rPr>
          <w:fldChar w:fldCharType="separate"/>
        </w:r>
        <w:r w:rsidR="000A6746">
          <w:rPr>
            <w:noProof/>
            <w:webHidden/>
          </w:rPr>
          <w:t>62</w:t>
        </w:r>
        <w:r w:rsidR="00452B0D">
          <w:rPr>
            <w:noProof/>
            <w:webHidden/>
          </w:rPr>
          <w:fldChar w:fldCharType="end"/>
        </w:r>
      </w:hyperlink>
    </w:p>
    <w:p w:rsidR="00452B0D" w:rsidRDefault="00CD68E8" w:rsidP="00452B0D">
      <w:pPr>
        <w:pStyle w:val="TOC3"/>
        <w:rPr>
          <w:rFonts w:eastAsiaTheme="minorEastAsia"/>
          <w:iCs w:val="0"/>
          <w:caps w:val="0"/>
          <w:noProof/>
          <w:sz w:val="22"/>
          <w:lang w:eastAsia="en-AU"/>
        </w:rPr>
      </w:pPr>
      <w:hyperlink w:anchor="_Toc505872204" w:history="1">
        <w:r w:rsidR="004225E3" w:rsidRPr="00D329B3">
          <w:rPr>
            <w:rStyle w:val="Hyperlink"/>
            <w:caps w:val="0"/>
            <w:noProof/>
          </w:rPr>
          <w:t>Reporting of methods, decisions and results</w:t>
        </w:r>
        <w:r w:rsidR="00452B0D">
          <w:rPr>
            <w:noProof/>
            <w:webHidden/>
          </w:rPr>
          <w:tab/>
        </w:r>
        <w:r w:rsidR="00452B0D">
          <w:rPr>
            <w:noProof/>
            <w:webHidden/>
          </w:rPr>
          <w:fldChar w:fldCharType="begin"/>
        </w:r>
        <w:r w:rsidR="00452B0D">
          <w:rPr>
            <w:noProof/>
            <w:webHidden/>
          </w:rPr>
          <w:instrText xml:space="preserve"> PAGEREF _Toc505872204 \h </w:instrText>
        </w:r>
        <w:r w:rsidR="00452B0D">
          <w:rPr>
            <w:noProof/>
            <w:webHidden/>
          </w:rPr>
        </w:r>
        <w:r w:rsidR="00452B0D">
          <w:rPr>
            <w:noProof/>
            <w:webHidden/>
          </w:rPr>
          <w:fldChar w:fldCharType="separate"/>
        </w:r>
        <w:r w:rsidR="000A6746">
          <w:rPr>
            <w:noProof/>
            <w:webHidden/>
          </w:rPr>
          <w:t>62</w:t>
        </w:r>
        <w:r w:rsidR="00452B0D">
          <w:rPr>
            <w:noProof/>
            <w:webHidden/>
          </w:rPr>
          <w:fldChar w:fldCharType="end"/>
        </w:r>
      </w:hyperlink>
    </w:p>
    <w:p w:rsidR="00452B0D" w:rsidRDefault="00CD68E8" w:rsidP="00452B0D">
      <w:pPr>
        <w:pStyle w:val="TOC1"/>
        <w:rPr>
          <w:rFonts w:eastAsiaTheme="minorEastAsia"/>
          <w:b w:val="0"/>
          <w:bCs w:val="0"/>
          <w:caps w:val="0"/>
          <w:noProof/>
          <w:sz w:val="22"/>
          <w:szCs w:val="22"/>
          <w:lang w:eastAsia="en-AU"/>
        </w:rPr>
      </w:pPr>
      <w:hyperlink w:anchor="_Toc505872205" w:history="1">
        <w:r w:rsidR="00452B0D" w:rsidRPr="00D329B3">
          <w:rPr>
            <w:rStyle w:val="Hyperlink"/>
            <w:noProof/>
          </w:rPr>
          <w:t>Commission Terminology</w:t>
        </w:r>
        <w:r w:rsidR="00452B0D">
          <w:rPr>
            <w:noProof/>
            <w:webHidden/>
          </w:rPr>
          <w:tab/>
        </w:r>
        <w:r w:rsidR="00452B0D">
          <w:rPr>
            <w:noProof/>
            <w:webHidden/>
          </w:rPr>
          <w:fldChar w:fldCharType="begin"/>
        </w:r>
        <w:r w:rsidR="00452B0D">
          <w:rPr>
            <w:noProof/>
            <w:webHidden/>
          </w:rPr>
          <w:instrText xml:space="preserve"> PAGEREF _Toc505872205 \h </w:instrText>
        </w:r>
        <w:r w:rsidR="00452B0D">
          <w:rPr>
            <w:noProof/>
            <w:webHidden/>
          </w:rPr>
        </w:r>
        <w:r w:rsidR="00452B0D">
          <w:rPr>
            <w:noProof/>
            <w:webHidden/>
          </w:rPr>
          <w:fldChar w:fldCharType="separate"/>
        </w:r>
        <w:r w:rsidR="000A6746">
          <w:rPr>
            <w:noProof/>
            <w:webHidden/>
          </w:rPr>
          <w:t>63</w:t>
        </w:r>
        <w:r w:rsidR="00452B0D">
          <w:rPr>
            <w:noProof/>
            <w:webHidden/>
          </w:rPr>
          <w:fldChar w:fldCharType="end"/>
        </w:r>
      </w:hyperlink>
    </w:p>
    <w:p w:rsidR="00452B0D" w:rsidRDefault="00CD68E8" w:rsidP="00452B0D">
      <w:pPr>
        <w:pStyle w:val="TOC1"/>
        <w:rPr>
          <w:rFonts w:eastAsiaTheme="minorEastAsia"/>
          <w:b w:val="0"/>
          <w:bCs w:val="0"/>
          <w:caps w:val="0"/>
          <w:noProof/>
          <w:sz w:val="22"/>
          <w:szCs w:val="22"/>
          <w:lang w:eastAsia="en-AU"/>
        </w:rPr>
      </w:pPr>
      <w:hyperlink w:anchor="_Toc505872206" w:history="1">
        <w:r w:rsidR="00452B0D" w:rsidRPr="00D329B3">
          <w:rPr>
            <w:rStyle w:val="Hyperlink"/>
            <w:noProof/>
          </w:rPr>
          <w:t>Acronyms</w:t>
        </w:r>
        <w:r w:rsidR="00452B0D">
          <w:rPr>
            <w:noProof/>
            <w:webHidden/>
          </w:rPr>
          <w:tab/>
        </w:r>
        <w:r w:rsidR="00452B0D">
          <w:rPr>
            <w:noProof/>
            <w:webHidden/>
          </w:rPr>
          <w:fldChar w:fldCharType="begin"/>
        </w:r>
        <w:r w:rsidR="00452B0D">
          <w:rPr>
            <w:noProof/>
            <w:webHidden/>
          </w:rPr>
          <w:instrText xml:space="preserve"> PAGEREF _Toc505872206 \h </w:instrText>
        </w:r>
        <w:r w:rsidR="00452B0D">
          <w:rPr>
            <w:noProof/>
            <w:webHidden/>
          </w:rPr>
        </w:r>
        <w:r w:rsidR="00452B0D">
          <w:rPr>
            <w:noProof/>
            <w:webHidden/>
          </w:rPr>
          <w:fldChar w:fldCharType="separate"/>
        </w:r>
        <w:r w:rsidR="000A6746">
          <w:rPr>
            <w:noProof/>
            <w:webHidden/>
          </w:rPr>
          <w:t>72</w:t>
        </w:r>
        <w:r w:rsidR="00452B0D">
          <w:rPr>
            <w:noProof/>
            <w:webHidden/>
          </w:rPr>
          <w:fldChar w:fldCharType="end"/>
        </w:r>
      </w:hyperlink>
    </w:p>
    <w:p w:rsidR="0072435B" w:rsidRDefault="00452B0D" w:rsidP="00C21EF9">
      <w:pPr>
        <w:sectPr w:rsidR="0072435B" w:rsidSect="005A0FC4">
          <w:footerReference w:type="first" r:id="rId31"/>
          <w:pgSz w:w="11899" w:h="16838" w:code="9"/>
          <w:pgMar w:top="1701" w:right="1474" w:bottom="1701" w:left="1474" w:header="709" w:footer="709" w:gutter="0"/>
          <w:pgNumType w:fmt="lowerRoman"/>
          <w:cols w:space="708"/>
          <w:titlePg/>
          <w:docGrid w:linePitch="299"/>
        </w:sectPr>
      </w:pPr>
      <w:r>
        <w:fldChar w:fldCharType="end"/>
      </w:r>
    </w:p>
    <w:p w:rsidR="007B5BF6" w:rsidRPr="002A48E0" w:rsidRDefault="007B5BF6" w:rsidP="007B5BF6">
      <w:pPr>
        <w:pStyle w:val="Heading1"/>
      </w:pPr>
      <w:bookmarkStart w:id="208" w:name="_Ref473727170"/>
      <w:bookmarkStart w:id="209" w:name="_Toc474923737"/>
      <w:r w:rsidRPr="002A48E0">
        <w:lastRenderedPageBreak/>
        <w:t>Overview</w:t>
      </w:r>
      <w:bookmarkEnd w:id="208"/>
      <w:bookmarkEnd w:id="209"/>
    </w:p>
    <w:tbl>
      <w:tblPr>
        <w:tblStyle w:val="TableGrid"/>
        <w:tblW w:w="0" w:type="auto"/>
        <w:tblLook w:val="04A0" w:firstRow="1" w:lastRow="0" w:firstColumn="1" w:lastColumn="0" w:noHBand="0" w:noVBand="1"/>
      </w:tblPr>
      <w:tblGrid>
        <w:gridCol w:w="9167"/>
      </w:tblGrid>
      <w:tr w:rsidR="00422257" w:rsidTr="00422257">
        <w:tc>
          <w:tcPr>
            <w:tcW w:w="9167" w:type="dxa"/>
            <w:tcBorders>
              <w:top w:val="nil"/>
              <w:left w:val="nil"/>
              <w:bottom w:val="nil"/>
              <w:right w:val="nil"/>
            </w:tcBorders>
            <w:shd w:val="clear" w:color="auto" w:fill="D9F3E6"/>
          </w:tcPr>
          <w:p w:rsidR="00422257" w:rsidRPr="002A48E0" w:rsidRDefault="00422257" w:rsidP="00422257">
            <w:pPr>
              <w:pStyle w:val="Heading3"/>
              <w:spacing w:before="200"/>
              <w:outlineLvl w:val="2"/>
            </w:pPr>
            <w:bookmarkStart w:id="210" w:name="_Toc433353471"/>
            <w:bookmarkStart w:id="211" w:name="_Toc441241577"/>
            <w:bookmarkStart w:id="212" w:name="_Toc441499247"/>
            <w:bookmarkStart w:id="213" w:name="_Toc441656021"/>
            <w:bookmarkStart w:id="214" w:name="_Toc442191903"/>
            <w:bookmarkStart w:id="215" w:name="_Toc442192155"/>
            <w:bookmarkStart w:id="216" w:name="_Toc442192220"/>
            <w:bookmarkStart w:id="217" w:name="_Toc442772806"/>
            <w:bookmarkStart w:id="218" w:name="_Toc442773033"/>
            <w:bookmarkStart w:id="219" w:name="_Toc442773205"/>
            <w:bookmarkStart w:id="220" w:name="_Toc442773557"/>
            <w:bookmarkStart w:id="221" w:name="_Toc442883270"/>
            <w:bookmarkStart w:id="222" w:name="_Toc474923738"/>
            <w:bookmarkStart w:id="223" w:name="_Toc505872164"/>
            <w:r w:rsidRPr="002A48E0">
              <w:t>Executive summary</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547666" w:rsidRPr="002A48E0" w:rsidRDefault="00547666" w:rsidP="00547666">
            <w:r w:rsidRPr="002A48E0">
              <w:t>This report recommends a distribution of GST revenue among the States in 201</w:t>
            </w:r>
            <w:r>
              <w:t>8</w:t>
            </w:r>
            <w:r w:rsidR="00602CF4">
              <w:noBreakHyphen/>
            </w:r>
            <w:r>
              <w:t>19</w:t>
            </w:r>
            <w:r w:rsidRPr="002A48E0">
              <w:t xml:space="preserve"> designed to give each of them the fiscal capacity to deliver services and the associated infrastructure at the same </w:t>
            </w:r>
            <w:r w:rsidR="00D916A1">
              <w:t xml:space="preserve">(average) </w:t>
            </w:r>
            <w:r w:rsidRPr="002A48E0">
              <w:t xml:space="preserve">standard, if each made the </w:t>
            </w:r>
            <w:r w:rsidR="00D916A1">
              <w:t>average</w:t>
            </w:r>
            <w:r w:rsidR="00D916A1" w:rsidRPr="002A48E0">
              <w:t xml:space="preserve"> </w:t>
            </w:r>
            <w:r w:rsidRPr="002A48E0">
              <w:t xml:space="preserve">effort to raise revenue from its own sources and operated at the </w:t>
            </w:r>
            <w:r w:rsidR="00D916A1">
              <w:t xml:space="preserve">average </w:t>
            </w:r>
            <w:r w:rsidRPr="002A48E0">
              <w:t>level of efficiency.</w:t>
            </w:r>
          </w:p>
          <w:p w:rsidR="005A206C" w:rsidRDefault="00547666" w:rsidP="00C21EF9">
            <w:r w:rsidRPr="002A48E0">
              <w:t>The GST distribution is based on the same methods applied in the 201</w:t>
            </w:r>
            <w:r>
              <w:t>7</w:t>
            </w:r>
            <w:r w:rsidR="00DE59C5">
              <w:t> </w:t>
            </w:r>
            <w:r w:rsidRPr="002A48E0">
              <w:t>Update</w:t>
            </w:r>
            <w:r w:rsidR="00D916A1">
              <w:t>, but using updated data</w:t>
            </w:r>
            <w:r w:rsidRPr="002A48E0">
              <w:t>, as required by the Commission’s terms of reference. It incorporates 201</w:t>
            </w:r>
            <w:r>
              <w:t>6</w:t>
            </w:r>
            <w:r w:rsidR="00602CF4">
              <w:noBreakHyphen/>
            </w:r>
            <w:r w:rsidRPr="002A48E0">
              <w:t>1</w:t>
            </w:r>
            <w:r>
              <w:t>7</w:t>
            </w:r>
            <w:r w:rsidRPr="002A48E0">
              <w:t xml:space="preserve"> data for the first time while</w:t>
            </w:r>
            <w:r w:rsidR="00D916A1">
              <w:t>, under the three-year averaging process,</w:t>
            </w:r>
            <w:r w:rsidRPr="002A48E0">
              <w:t xml:space="preserve"> 201</w:t>
            </w:r>
            <w:r>
              <w:t>3</w:t>
            </w:r>
            <w:r w:rsidR="00602CF4">
              <w:noBreakHyphen/>
            </w:r>
            <w:r w:rsidRPr="002A48E0">
              <w:t>1</w:t>
            </w:r>
            <w:r>
              <w:t>4</w:t>
            </w:r>
            <w:r w:rsidRPr="002A48E0">
              <w:t xml:space="preserve"> data drop out. </w:t>
            </w:r>
            <w:r w:rsidR="006C41F9">
              <w:t xml:space="preserve">Data associated with </w:t>
            </w:r>
            <w:r>
              <w:t>the 2016</w:t>
            </w:r>
            <w:r w:rsidR="001C67A6">
              <w:t> </w:t>
            </w:r>
            <w:r w:rsidR="008602B3">
              <w:t xml:space="preserve">Census </w:t>
            </w:r>
            <w:r>
              <w:t>are also incorporated for the first time</w:t>
            </w:r>
            <w:r w:rsidR="008602B3">
              <w:t>.</w:t>
            </w:r>
          </w:p>
          <w:p w:rsidR="005157ED" w:rsidRDefault="00D916A1" w:rsidP="00C21EF9">
            <w:r>
              <w:t xml:space="preserve">While Western Australia remains the fiscally strongest State, its fiscal advantages </w:t>
            </w:r>
            <w:r w:rsidR="00945C61">
              <w:t xml:space="preserve">have </w:t>
            </w:r>
            <w:r>
              <w:t>declined</w:t>
            </w:r>
            <w:r w:rsidR="005A206C">
              <w:t>,</w:t>
            </w:r>
            <w:r>
              <w:t xml:space="preserve"> leading to an increase in its GST share.</w:t>
            </w:r>
            <w:r w:rsidRPr="002A48E0" w:rsidDel="00D916A1">
              <w:t xml:space="preserve"> </w:t>
            </w:r>
            <w:r>
              <w:t>B</w:t>
            </w:r>
            <w:r w:rsidR="000B7B6F">
              <w:t>etween 2013</w:t>
            </w:r>
            <w:r w:rsidR="000B7B6F">
              <w:noBreakHyphen/>
              <w:t>14 and 2016</w:t>
            </w:r>
            <w:r w:rsidR="000B7B6F">
              <w:noBreakHyphen/>
              <w:t>17, t</w:t>
            </w:r>
            <w:r w:rsidR="005157ED" w:rsidRPr="005157ED">
              <w:t xml:space="preserve">he value of iron ore production fell, while the value of coal production increased. </w:t>
            </w:r>
            <w:r w:rsidR="005157ED">
              <w:t xml:space="preserve">This </w:t>
            </w:r>
            <w:r w:rsidR="000B7B6F">
              <w:t xml:space="preserve">reduced </w:t>
            </w:r>
            <w:r w:rsidR="005157ED">
              <w:t>the fiscal capacity of Western Australia</w:t>
            </w:r>
            <w:r w:rsidR="00D73CC6">
              <w:t>,</w:t>
            </w:r>
            <w:r w:rsidR="005157ED">
              <w:t xml:space="preserve"> </w:t>
            </w:r>
            <w:r w:rsidR="00D73CC6">
              <w:t>while increasing that of</w:t>
            </w:r>
            <w:r w:rsidR="005157ED">
              <w:t xml:space="preserve"> New South Wales and Queensland. Western Australia has </w:t>
            </w:r>
            <w:r w:rsidR="000B7B6F">
              <w:t xml:space="preserve">also </w:t>
            </w:r>
            <w:r w:rsidR="005157ED">
              <w:t xml:space="preserve">had </w:t>
            </w:r>
            <w:r w:rsidR="000B7B6F">
              <w:t xml:space="preserve">below average </w:t>
            </w:r>
            <w:r w:rsidR="005157ED">
              <w:t>growth in property sales and taxable payrolls. Th</w:t>
            </w:r>
            <w:r w:rsidR="000B7B6F">
              <w:t xml:space="preserve">ese </w:t>
            </w:r>
            <w:r w:rsidR="009A2B9C">
              <w:t xml:space="preserve">impacts on </w:t>
            </w:r>
            <w:r w:rsidR="00BE0F4C">
              <w:t xml:space="preserve">Western Australia’s </w:t>
            </w:r>
            <w:r w:rsidR="009A2B9C">
              <w:t>revenue capacity</w:t>
            </w:r>
            <w:r w:rsidR="005157ED">
              <w:t xml:space="preserve"> </w:t>
            </w:r>
            <w:r w:rsidR="000B7B6F">
              <w:t xml:space="preserve">were </w:t>
            </w:r>
            <w:r w:rsidR="005157ED">
              <w:t xml:space="preserve">partly offset by a decline in </w:t>
            </w:r>
            <w:r w:rsidR="006322A1">
              <w:t xml:space="preserve">its share of national </w:t>
            </w:r>
            <w:r w:rsidR="005157ED">
              <w:t>population growth</w:t>
            </w:r>
            <w:r w:rsidR="00E14CA2">
              <w:t>,</w:t>
            </w:r>
            <w:r w:rsidR="005157ED">
              <w:t xml:space="preserve"> </w:t>
            </w:r>
            <w:r w:rsidR="009A2B9C">
              <w:t xml:space="preserve">which </w:t>
            </w:r>
            <w:r w:rsidR="005157ED">
              <w:t>reduc</w:t>
            </w:r>
            <w:r w:rsidR="009A2B9C">
              <w:t>ed</w:t>
            </w:r>
            <w:r w:rsidR="005157ED">
              <w:t xml:space="preserve"> its need for investment spending.</w:t>
            </w:r>
          </w:p>
          <w:p w:rsidR="00BF06FB" w:rsidRDefault="00547666" w:rsidP="00291F23">
            <w:r w:rsidRPr="003E35C4">
              <w:t>The assessed fiscal capacities of</w:t>
            </w:r>
            <w:r w:rsidR="00AC1CA8" w:rsidRPr="003E35C4">
              <w:t xml:space="preserve"> New South Wales</w:t>
            </w:r>
            <w:r w:rsidR="00382353" w:rsidRPr="003E35C4">
              <w:t>, Queensland, Tasmania</w:t>
            </w:r>
            <w:r w:rsidR="00195286">
              <w:t>, the ACT</w:t>
            </w:r>
            <w:r w:rsidR="00AC1CA8" w:rsidRPr="003E35C4">
              <w:t xml:space="preserve"> and the Northern</w:t>
            </w:r>
            <w:r w:rsidR="00EC50C7">
              <w:t> </w:t>
            </w:r>
            <w:r w:rsidR="00AC1CA8" w:rsidRPr="003E35C4">
              <w:t>Territory have increased, reducing those States’ GST shares.</w:t>
            </w:r>
            <w:r w:rsidR="00B65B1C">
              <w:t xml:space="preserve"> </w:t>
            </w:r>
            <w:r w:rsidR="00D916A1">
              <w:t xml:space="preserve">Strong growth in property markets and taxable payrolls increased the fiscal capacity of New South Wales. </w:t>
            </w:r>
            <w:r w:rsidR="00D016B5">
              <w:t>In addition to</w:t>
            </w:r>
            <w:r w:rsidR="00D916A1">
              <w:t xml:space="preserve"> the effects of mining developments, Queensland’s GST share fell as its earlier natural disaster spending needs have largely passed. </w:t>
            </w:r>
            <w:r w:rsidR="00BF06FB">
              <w:t xml:space="preserve">The improvement in the fiscal capacity of Tasmania was driven by an increase in its revenue raising capacity and in its share of Commonwealth payments. </w:t>
            </w:r>
            <w:r w:rsidR="00195286">
              <w:t xml:space="preserve">The </w:t>
            </w:r>
            <w:proofErr w:type="spellStart"/>
            <w:r w:rsidR="00195286">
              <w:t>ACT’s</w:t>
            </w:r>
            <w:proofErr w:type="spellEnd"/>
            <w:r w:rsidR="00195286">
              <w:t xml:space="preserve"> stronger fiscal capacity resulted from</w:t>
            </w:r>
            <w:r w:rsidR="002350C3">
              <w:t xml:space="preserve"> above average growth in</w:t>
            </w:r>
            <w:r w:rsidR="00195286">
              <w:t xml:space="preserve"> property sales and </w:t>
            </w:r>
            <w:r w:rsidR="002350C3">
              <w:t>taxable payrolls</w:t>
            </w:r>
            <w:r w:rsidR="00195286">
              <w:t xml:space="preserve">. </w:t>
            </w:r>
            <w:r w:rsidR="00BF06FB">
              <w:t>The stronger fiscal capacity of the Northern Territory resulted from a fall in its relative service delivery costs and investment requirements, as well as an increase in its share of Commonwealth payments.</w:t>
            </w:r>
          </w:p>
          <w:p w:rsidR="00195286" w:rsidRDefault="00BF06FB" w:rsidP="00195286">
            <w:r>
              <w:t xml:space="preserve">The assessed fiscal capacities of the other </w:t>
            </w:r>
            <w:r w:rsidR="00A8064F">
              <w:t>two</w:t>
            </w:r>
            <w:r w:rsidR="00D73CC6">
              <w:t xml:space="preserve"> </w:t>
            </w:r>
            <w:r>
              <w:t>States have fallen, increasing those States’ GST shares. Victoria’s increased GST share is largely due to a fall in its share of Commo</w:t>
            </w:r>
            <w:r w:rsidR="00D5685B">
              <w:t>n</w:t>
            </w:r>
            <w:r>
              <w:t xml:space="preserve">wealth payments and an increase in its investment requirements stemming from a greater share of national population growth. </w:t>
            </w:r>
            <w:r w:rsidR="00AA1104">
              <w:t xml:space="preserve">These trends </w:t>
            </w:r>
            <w:r w:rsidR="00A8064F">
              <w:t xml:space="preserve">more than </w:t>
            </w:r>
            <w:r w:rsidR="00AA1104">
              <w:t xml:space="preserve">offset its stronger payroll and property tax bases. </w:t>
            </w:r>
            <w:r>
              <w:t xml:space="preserve">South Australia’s weaker </w:t>
            </w:r>
            <w:r w:rsidR="00184548">
              <w:t xml:space="preserve">relative </w:t>
            </w:r>
            <w:r>
              <w:t xml:space="preserve">fiscal capacity </w:t>
            </w:r>
            <w:r w:rsidR="009217B5">
              <w:t xml:space="preserve">reflects </w:t>
            </w:r>
            <w:r w:rsidR="003E35C4">
              <w:t xml:space="preserve">slow growth in its tax </w:t>
            </w:r>
            <w:r w:rsidR="00AA1104">
              <w:t>bases.</w:t>
            </w:r>
            <w:r w:rsidR="00972035">
              <w:t xml:space="preserve"> </w:t>
            </w:r>
          </w:p>
          <w:p w:rsidR="00F70F75" w:rsidRPr="00972035" w:rsidRDefault="00972035" w:rsidP="008D6639">
            <w:r w:rsidRPr="001211B5">
              <w:t xml:space="preserve">The </w:t>
            </w:r>
            <w:r w:rsidR="00FC1BA4">
              <w:t xml:space="preserve">size of the </w:t>
            </w:r>
            <w:r w:rsidR="00777C52">
              <w:t>redistribution</w:t>
            </w:r>
            <w:r w:rsidR="00777C52" w:rsidRPr="001211B5">
              <w:t xml:space="preserve"> </w:t>
            </w:r>
            <w:r w:rsidRPr="001211B5">
              <w:t xml:space="preserve">of GST revenue away from </w:t>
            </w:r>
            <w:r>
              <w:t>equal per capita (</w:t>
            </w:r>
            <w:r w:rsidRPr="001211B5">
              <w:t>EPC</w:t>
            </w:r>
            <w:r>
              <w:t>)</w:t>
            </w:r>
            <w:r w:rsidRPr="001211B5">
              <w:t xml:space="preserve"> to the States with below average fiscal capacities </w:t>
            </w:r>
            <w:r w:rsidR="00A8064F">
              <w:t xml:space="preserve">again </w:t>
            </w:r>
            <w:r w:rsidRPr="001211B5">
              <w:t xml:space="preserve">fell in this update from </w:t>
            </w:r>
            <w:r w:rsidR="00A8064F">
              <w:t>$</w:t>
            </w:r>
            <w:r w:rsidR="0086389B">
              <w:t>7.8</w:t>
            </w:r>
            <w:r w:rsidR="00A8064F">
              <w:t xml:space="preserve"> billion</w:t>
            </w:r>
            <w:r w:rsidRPr="001211B5">
              <w:t xml:space="preserve"> to </w:t>
            </w:r>
            <w:r w:rsidR="00A8064F">
              <w:t>$6.8 billion</w:t>
            </w:r>
            <w:r w:rsidR="00890186">
              <w:t>.</w:t>
            </w:r>
          </w:p>
        </w:tc>
      </w:tr>
    </w:tbl>
    <w:p w:rsidR="00422257" w:rsidRPr="002A48E0" w:rsidRDefault="00422257" w:rsidP="00422257">
      <w:pPr>
        <w:pStyle w:val="Heading3"/>
      </w:pPr>
      <w:bookmarkStart w:id="224" w:name="_Toc474923739"/>
      <w:bookmarkStart w:id="225" w:name="_Toc505872165"/>
      <w:r w:rsidRPr="002A48E0">
        <w:lastRenderedPageBreak/>
        <w:t>Recommended GST distribution</w:t>
      </w:r>
      <w:bookmarkEnd w:id="224"/>
      <w:bookmarkEnd w:id="225"/>
    </w:p>
    <w:p w:rsidR="00FB0DE3" w:rsidRPr="002A48E0" w:rsidRDefault="00FB0DE3" w:rsidP="00FB0DE3">
      <w:pPr>
        <w:pStyle w:val="CGCNumberedPara"/>
        <w:numPr>
          <w:ilvl w:val="1"/>
          <w:numId w:val="41"/>
        </w:numPr>
      </w:pPr>
      <w:r>
        <w:fldChar w:fldCharType="begin"/>
      </w:r>
      <w:r>
        <w:instrText xml:space="preserve"> REF _Ref503770422 \h </w:instrText>
      </w:r>
      <w:r>
        <w:fldChar w:fldCharType="separate"/>
      </w:r>
      <w:r w:rsidR="000A6746">
        <w:t xml:space="preserve">Table </w:t>
      </w:r>
      <w:r w:rsidR="000A6746">
        <w:rPr>
          <w:noProof/>
        </w:rPr>
        <w:t>1</w:t>
      </w:r>
      <w:r>
        <w:fldChar w:fldCharType="end"/>
      </w:r>
      <w:r>
        <w:t xml:space="preserve"> shows the per capita </w:t>
      </w:r>
      <w:r w:rsidRPr="002A48E0">
        <w:t>relativities the Commission recommends for use in distributing the GST revenue among the States in 201</w:t>
      </w:r>
      <w:r>
        <w:t>8</w:t>
      </w:r>
      <w:r w:rsidRPr="002A48E0">
        <w:noBreakHyphen/>
        <w:t>1</w:t>
      </w:r>
      <w:r>
        <w:t>9</w:t>
      </w:r>
      <w:r w:rsidRPr="002A48E0">
        <w:t>. It also shows State shares of the GST revenue implied by the Commission’s 201</w:t>
      </w:r>
      <w:r>
        <w:t>8</w:t>
      </w:r>
      <w:r w:rsidRPr="002A48E0">
        <w:noBreakHyphen/>
        <w:t>1</w:t>
      </w:r>
      <w:r>
        <w:t>9</w:t>
      </w:r>
      <w:r w:rsidRPr="002A48E0">
        <w:t xml:space="preserve"> recommendations and an illustrative GST revenue distribution. It compares these with the results for 201</w:t>
      </w:r>
      <w:r>
        <w:t>7</w:t>
      </w:r>
      <w:r w:rsidRPr="002A48E0">
        <w:noBreakHyphen/>
        <w:t>1</w:t>
      </w:r>
      <w:r>
        <w:t>8</w:t>
      </w:r>
      <w:r w:rsidRPr="002A48E0">
        <w:t>.</w:t>
      </w:r>
    </w:p>
    <w:p w:rsidR="00FB0DE3" w:rsidRDefault="00FB0DE3" w:rsidP="00CC4E30">
      <w:pPr>
        <w:pStyle w:val="Caption"/>
      </w:pPr>
      <w:bookmarkStart w:id="226" w:name="_Ref503770422"/>
      <w:r>
        <w:t xml:space="preserve">Table </w:t>
      </w:r>
      <w:r w:rsidR="00CD68E8">
        <w:fldChar w:fldCharType="begin"/>
      </w:r>
      <w:r w:rsidR="00CD68E8">
        <w:instrText xml:space="preserve"> SEQ Table \* ARABIC </w:instrText>
      </w:r>
      <w:r w:rsidR="00CD68E8">
        <w:fldChar w:fldCharType="separate"/>
      </w:r>
      <w:r w:rsidR="000A6746">
        <w:rPr>
          <w:noProof/>
        </w:rPr>
        <w:t>1</w:t>
      </w:r>
      <w:r w:rsidR="00CD68E8">
        <w:rPr>
          <w:noProof/>
        </w:rPr>
        <w:fldChar w:fldCharType="end"/>
      </w:r>
      <w:bookmarkEnd w:id="226"/>
      <w:r>
        <w:tab/>
        <w:t>Relativities, shares and illustrative GST distribution, 2017</w:t>
      </w:r>
      <w:r w:rsidR="00602CF4">
        <w:noBreakHyphen/>
      </w:r>
      <w:r>
        <w:t>18 and 2018</w:t>
      </w:r>
      <w:r w:rsidR="00602CF4">
        <w:noBreakHyphen/>
      </w:r>
      <w:r>
        <w:t>19</w:t>
      </w:r>
    </w:p>
    <w:tbl>
      <w:tblPr>
        <w:tblW w:w="9260" w:type="dxa"/>
        <w:tblInd w:w="93" w:type="dxa"/>
        <w:tblLook w:val="04A0" w:firstRow="1" w:lastRow="0" w:firstColumn="1" w:lastColumn="0" w:noHBand="0" w:noVBand="1"/>
      </w:tblPr>
      <w:tblGrid>
        <w:gridCol w:w="2540"/>
        <w:gridCol w:w="1120"/>
        <w:gridCol w:w="1120"/>
        <w:gridCol w:w="1120"/>
        <w:gridCol w:w="1120"/>
        <w:gridCol w:w="1120"/>
        <w:gridCol w:w="1120"/>
      </w:tblGrid>
      <w:tr w:rsidR="004E75FE" w:rsidRPr="004E75FE" w:rsidTr="004E75FE">
        <w:trPr>
          <w:trHeight w:val="375"/>
        </w:trPr>
        <w:tc>
          <w:tcPr>
            <w:tcW w:w="2540" w:type="dxa"/>
            <w:tcBorders>
              <w:top w:val="single" w:sz="4" w:space="0" w:color="auto"/>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w:t>
            </w:r>
          </w:p>
        </w:tc>
        <w:tc>
          <w:tcPr>
            <w:tcW w:w="2240" w:type="dxa"/>
            <w:gridSpan w:val="2"/>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center"/>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Relativities</w:t>
            </w:r>
          </w:p>
        </w:tc>
        <w:tc>
          <w:tcPr>
            <w:tcW w:w="2240" w:type="dxa"/>
            <w:gridSpan w:val="2"/>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center"/>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GST shares</w:t>
            </w:r>
          </w:p>
        </w:tc>
        <w:tc>
          <w:tcPr>
            <w:tcW w:w="2240" w:type="dxa"/>
            <w:gridSpan w:val="2"/>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center"/>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GST distribution</w:t>
            </w:r>
          </w:p>
        </w:tc>
      </w:tr>
      <w:tr w:rsidR="004E75FE" w:rsidRPr="004E75FE" w:rsidTr="004E75FE">
        <w:trPr>
          <w:trHeight w:val="375"/>
        </w:trPr>
        <w:tc>
          <w:tcPr>
            <w:tcW w:w="254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w:t>
            </w:r>
          </w:p>
        </w:tc>
        <w:tc>
          <w:tcPr>
            <w:tcW w:w="1120" w:type="dxa"/>
            <w:tcBorders>
              <w:top w:val="nil"/>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2017-18</w:t>
            </w:r>
          </w:p>
        </w:tc>
        <w:tc>
          <w:tcPr>
            <w:tcW w:w="1120" w:type="dxa"/>
            <w:tcBorders>
              <w:top w:val="nil"/>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2018-19</w:t>
            </w:r>
          </w:p>
        </w:tc>
        <w:tc>
          <w:tcPr>
            <w:tcW w:w="1120" w:type="dxa"/>
            <w:tcBorders>
              <w:top w:val="nil"/>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2017-18</w:t>
            </w:r>
          </w:p>
        </w:tc>
        <w:tc>
          <w:tcPr>
            <w:tcW w:w="1120" w:type="dxa"/>
            <w:tcBorders>
              <w:top w:val="nil"/>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2018-19</w:t>
            </w:r>
          </w:p>
        </w:tc>
        <w:tc>
          <w:tcPr>
            <w:tcW w:w="1120" w:type="dxa"/>
            <w:tcBorders>
              <w:top w:val="nil"/>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2017-18</w:t>
            </w:r>
          </w:p>
        </w:tc>
        <w:tc>
          <w:tcPr>
            <w:tcW w:w="1120" w:type="dxa"/>
            <w:tcBorders>
              <w:top w:val="nil"/>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2018-19</w:t>
            </w:r>
          </w:p>
        </w:tc>
      </w:tr>
      <w:tr w:rsidR="004E75FE" w:rsidRPr="004E75FE" w:rsidTr="004E75FE">
        <w:trPr>
          <w:trHeight w:val="258"/>
        </w:trPr>
        <w:tc>
          <w:tcPr>
            <w:tcW w:w="25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r>
      <w:tr w:rsidR="004E75FE" w:rsidRPr="004E75FE" w:rsidTr="004E75FE">
        <w:trPr>
          <w:trHeight w:val="315"/>
        </w:trPr>
        <w:tc>
          <w:tcPr>
            <w:tcW w:w="25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New South Wales</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0.87672</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0.85517</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28.1</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27.4</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17 511</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18 030</w:t>
            </w:r>
          </w:p>
        </w:tc>
      </w:tr>
      <w:tr w:rsidR="004E75FE" w:rsidRPr="004E75FE" w:rsidTr="004E75FE">
        <w:trPr>
          <w:trHeight w:val="315"/>
        </w:trPr>
        <w:tc>
          <w:tcPr>
            <w:tcW w:w="25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Victoria</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0.93239</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0.98670</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24.0</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25.6</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14 989</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16 830</w:t>
            </w:r>
          </w:p>
        </w:tc>
      </w:tr>
      <w:tr w:rsidR="004E75FE" w:rsidRPr="004E75FE" w:rsidTr="004E75FE">
        <w:trPr>
          <w:trHeight w:val="315"/>
        </w:trPr>
        <w:tc>
          <w:tcPr>
            <w:tcW w:w="25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Queensland</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1.18769</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1.09584</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23.8</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22.0</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14 848</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14 447</w:t>
            </w:r>
          </w:p>
        </w:tc>
      </w:tr>
      <w:tr w:rsidR="004E75FE" w:rsidRPr="004E75FE" w:rsidTr="004E75FE">
        <w:trPr>
          <w:trHeight w:val="315"/>
        </w:trPr>
        <w:tc>
          <w:tcPr>
            <w:tcW w:w="25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Western Australia</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0.34434</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0.47287</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3.6</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4.9</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2 255</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3 255</w:t>
            </w:r>
          </w:p>
        </w:tc>
      </w:tr>
      <w:tr w:rsidR="004E75FE" w:rsidRPr="004E75FE" w:rsidTr="004E75FE">
        <w:trPr>
          <w:trHeight w:val="315"/>
        </w:trPr>
        <w:tc>
          <w:tcPr>
            <w:tcW w:w="25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South Australia</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1.43997</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1.47727</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10.1</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10.3</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6 284</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6 751</w:t>
            </w:r>
          </w:p>
        </w:tc>
      </w:tr>
      <w:tr w:rsidR="004E75FE" w:rsidRPr="004E75FE" w:rsidTr="004E75FE">
        <w:trPr>
          <w:trHeight w:val="315"/>
        </w:trPr>
        <w:tc>
          <w:tcPr>
            <w:tcW w:w="25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Tasmania</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1.80477</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1.76706</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3.8</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3.7</w:t>
            </w:r>
          </w:p>
        </w:tc>
        <w:tc>
          <w:tcPr>
            <w:tcW w:w="11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2 378</w:t>
            </w:r>
          </w:p>
        </w:tc>
        <w:tc>
          <w:tcPr>
            <w:tcW w:w="1120" w:type="dxa"/>
            <w:tcBorders>
              <w:top w:val="nil"/>
              <w:left w:val="nil"/>
              <w:bottom w:val="nil"/>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2 434</w:t>
            </w:r>
          </w:p>
        </w:tc>
      </w:tr>
      <w:tr w:rsidR="004E75FE" w:rsidRPr="004E75FE" w:rsidTr="004E75FE">
        <w:trPr>
          <w:trHeight w:val="315"/>
        </w:trPr>
        <w:tc>
          <w:tcPr>
            <w:tcW w:w="25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Australian Capital Territory</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1.19496</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1.18070</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2.0</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1 244</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1 298</w:t>
            </w:r>
          </w:p>
        </w:tc>
      </w:tr>
      <w:tr w:rsidR="004E75FE" w:rsidRPr="004E75FE" w:rsidTr="004E75FE">
        <w:trPr>
          <w:trHeight w:val="315"/>
        </w:trPr>
        <w:tc>
          <w:tcPr>
            <w:tcW w:w="25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Northern Territory</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4.66024</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4.25816</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4.6</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4.2</w:t>
            </w:r>
          </w:p>
        </w:tc>
        <w:tc>
          <w:tcPr>
            <w:tcW w:w="11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2 891</w:t>
            </w:r>
          </w:p>
        </w:tc>
        <w:tc>
          <w:tcPr>
            <w:tcW w:w="1120" w:type="dxa"/>
            <w:tcBorders>
              <w:top w:val="nil"/>
              <w:left w:val="nil"/>
              <w:bottom w:val="nil"/>
              <w:right w:val="nil"/>
            </w:tcBorders>
            <w:shd w:val="clear" w:color="000000" w:fill="D9D9D9"/>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2 755</w:t>
            </w:r>
          </w:p>
        </w:tc>
      </w:tr>
      <w:tr w:rsidR="004E75FE" w:rsidRPr="004E75FE" w:rsidTr="004E75FE">
        <w:trPr>
          <w:trHeight w:val="315"/>
        </w:trPr>
        <w:tc>
          <w:tcPr>
            <w:tcW w:w="254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Total</w:t>
            </w:r>
          </w:p>
        </w:tc>
        <w:tc>
          <w:tcPr>
            <w:tcW w:w="11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1.00000</w:t>
            </w:r>
          </w:p>
        </w:tc>
        <w:tc>
          <w:tcPr>
            <w:tcW w:w="1120" w:type="dxa"/>
            <w:tcBorders>
              <w:top w:val="single" w:sz="4" w:space="0" w:color="auto"/>
              <w:left w:val="nil"/>
              <w:bottom w:val="single" w:sz="4" w:space="0" w:color="auto"/>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1.00000</w:t>
            </w:r>
          </w:p>
        </w:tc>
        <w:tc>
          <w:tcPr>
            <w:tcW w:w="11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100.0</w:t>
            </w:r>
          </w:p>
        </w:tc>
        <w:tc>
          <w:tcPr>
            <w:tcW w:w="1120" w:type="dxa"/>
            <w:tcBorders>
              <w:top w:val="single" w:sz="4" w:space="0" w:color="auto"/>
              <w:left w:val="nil"/>
              <w:bottom w:val="single" w:sz="4" w:space="0" w:color="auto"/>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100.0</w:t>
            </w:r>
          </w:p>
        </w:tc>
        <w:tc>
          <w:tcPr>
            <w:tcW w:w="11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62 400</w:t>
            </w:r>
          </w:p>
        </w:tc>
        <w:tc>
          <w:tcPr>
            <w:tcW w:w="1120" w:type="dxa"/>
            <w:tcBorders>
              <w:top w:val="single" w:sz="4" w:space="0" w:color="auto"/>
              <w:left w:val="nil"/>
              <w:bottom w:val="single" w:sz="4" w:space="0" w:color="auto"/>
              <w:right w:val="nil"/>
            </w:tcBorders>
            <w:shd w:val="clear" w:color="000000" w:fill="D9D9D9"/>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65 800</w:t>
            </w:r>
          </w:p>
        </w:tc>
      </w:tr>
    </w:tbl>
    <w:p w:rsidR="00FB0DE3" w:rsidRDefault="00FB0DE3" w:rsidP="001D7293">
      <w:pPr>
        <w:pStyle w:val="CGCTableFootnote"/>
        <w:ind w:left="0" w:firstLine="0"/>
      </w:pPr>
      <w:r>
        <w:t>Source:</w:t>
      </w:r>
      <w:r>
        <w:tab/>
        <w:t>Commission calculation.</w:t>
      </w:r>
    </w:p>
    <w:p w:rsidR="00A54125" w:rsidRDefault="00A54125" w:rsidP="00A54125">
      <w:pPr>
        <w:pStyle w:val="CGCNumberedPara"/>
      </w:pPr>
      <w:r w:rsidRPr="002A48E0">
        <w:t xml:space="preserve">The methods used </w:t>
      </w:r>
      <w:r>
        <w:t>to derive these results for 2018</w:t>
      </w:r>
      <w:r w:rsidRPr="002A48E0">
        <w:noBreakHyphen/>
        <w:t>1</w:t>
      </w:r>
      <w:r>
        <w:t>9</w:t>
      </w:r>
      <w:r w:rsidRPr="002A48E0">
        <w:t xml:space="preserve"> are set out in the </w:t>
      </w:r>
      <w:r w:rsidRPr="002A48E0">
        <w:rPr>
          <w:i/>
        </w:rPr>
        <w:t>Report on GST Revenue Sharing Relativities, 2015</w:t>
      </w:r>
      <w:r w:rsidR="00DE59C5">
        <w:rPr>
          <w:i/>
        </w:rPr>
        <w:t> </w:t>
      </w:r>
      <w:r w:rsidRPr="002A48E0">
        <w:rPr>
          <w:i/>
        </w:rPr>
        <w:t xml:space="preserve">Review </w:t>
      </w:r>
      <w:r w:rsidRPr="002A48E0">
        <w:t xml:space="preserve">and the </w:t>
      </w:r>
      <w:r w:rsidRPr="002A48E0">
        <w:rPr>
          <w:i/>
        </w:rPr>
        <w:t>Report on GST Revenue Sharing Relativities, 201</w:t>
      </w:r>
      <w:r>
        <w:rPr>
          <w:i/>
        </w:rPr>
        <w:t>7</w:t>
      </w:r>
      <w:r w:rsidR="00DE59C5">
        <w:rPr>
          <w:i/>
        </w:rPr>
        <w:t> </w:t>
      </w:r>
      <w:r w:rsidRPr="002A48E0">
        <w:rPr>
          <w:i/>
        </w:rPr>
        <w:t>Update</w:t>
      </w:r>
      <w:r w:rsidRPr="002A48E0">
        <w:t>. Using these methods</w:t>
      </w:r>
      <w:r w:rsidR="001B11CE">
        <w:t>,</w:t>
      </w:r>
      <w:r w:rsidRPr="002A48E0">
        <w:t xml:space="preserve"> and data for 201</w:t>
      </w:r>
      <w:r>
        <w:t>4</w:t>
      </w:r>
      <w:r w:rsidRPr="002A48E0">
        <w:noBreakHyphen/>
        <w:t>1</w:t>
      </w:r>
      <w:r>
        <w:t>5</w:t>
      </w:r>
      <w:r w:rsidRPr="002A48E0">
        <w:t>, 201</w:t>
      </w:r>
      <w:r>
        <w:t>5</w:t>
      </w:r>
      <w:r w:rsidRPr="002A48E0">
        <w:noBreakHyphen/>
        <w:t>1</w:t>
      </w:r>
      <w:r>
        <w:t>6</w:t>
      </w:r>
      <w:r w:rsidRPr="002A48E0">
        <w:t xml:space="preserve"> and 201</w:t>
      </w:r>
      <w:r>
        <w:t>6</w:t>
      </w:r>
      <w:r w:rsidRPr="002A48E0">
        <w:noBreakHyphen/>
        <w:t>1</w:t>
      </w:r>
      <w:r>
        <w:t>7</w:t>
      </w:r>
      <w:r w:rsidRPr="002A48E0">
        <w:t>, the Commission has measured how the economic, social, demograp</w:t>
      </w:r>
      <w:r w:rsidR="00BE2AD2">
        <w:t>hic and other characteristics of</w:t>
      </w:r>
      <w:r w:rsidRPr="002A48E0">
        <w:t xml:space="preserve"> the States affect the relative expenses States need to incur </w:t>
      </w:r>
      <w:r>
        <w:t>to provide</w:t>
      </w:r>
      <w:r w:rsidRPr="002A48E0">
        <w:t xml:space="preserve"> services (including infrastructure) and the relative capacity of States to raise their own revenue. The expense and revenue assessments are then combined with the additional Commonwealth support States receive and State populations, to calculate State shares of the GST.</w:t>
      </w:r>
      <w:r w:rsidRPr="002A48E0">
        <w:rPr>
          <w:rStyle w:val="FootnoteReference"/>
        </w:rPr>
        <w:footnoteReference w:id="1"/>
      </w:r>
      <w:r w:rsidRPr="002A48E0">
        <w:t xml:space="preserve"> These shares aim to </w:t>
      </w:r>
      <w:r>
        <w:t>give each State</w:t>
      </w:r>
      <w:r w:rsidR="00602CF4">
        <w:t xml:space="preserve"> in 201</w:t>
      </w:r>
      <w:r w:rsidR="00F70F75">
        <w:t>8</w:t>
      </w:r>
      <w:r w:rsidR="00602CF4">
        <w:noBreakHyphen/>
      </w:r>
      <w:r w:rsidRPr="002A48E0">
        <w:t>1</w:t>
      </w:r>
      <w:r w:rsidR="00F70F75">
        <w:t>9</w:t>
      </w:r>
      <w:r w:rsidRPr="002A48E0">
        <w:t xml:space="preserve"> the fiscal capacity to provide the average standard of services and associated infrastructure for its population, if it makes the average effort to raise revenue and operate</w:t>
      </w:r>
      <w:r>
        <w:t>s</w:t>
      </w:r>
      <w:r w:rsidRPr="002A48E0">
        <w:t xml:space="preserve"> at the average</w:t>
      </w:r>
      <w:r w:rsidR="006A6119">
        <w:t xml:space="preserve"> level of efficiency.</w:t>
      </w:r>
    </w:p>
    <w:p w:rsidR="00D73CC6" w:rsidRDefault="00B24547" w:rsidP="00A54125">
      <w:pPr>
        <w:pStyle w:val="CGCNumberedPara"/>
      </w:pPr>
      <w:r>
        <w:fldChar w:fldCharType="begin"/>
      </w:r>
      <w:r>
        <w:instrText xml:space="preserve"> REF _Ref507000885 \h </w:instrText>
      </w:r>
      <w:r>
        <w:fldChar w:fldCharType="separate"/>
      </w:r>
      <w:r w:rsidR="000A6746">
        <w:t xml:space="preserve">Figure </w:t>
      </w:r>
      <w:r w:rsidR="000A6746">
        <w:rPr>
          <w:noProof/>
        </w:rPr>
        <w:t>1</w:t>
      </w:r>
      <w:r>
        <w:fldChar w:fldCharType="end"/>
      </w:r>
      <w:r>
        <w:t xml:space="preserve"> </w:t>
      </w:r>
      <w:r w:rsidR="00CE0393">
        <w:t xml:space="preserve">illustrates the outcomes of this process. It shows that the per capita GST requirement for each State is the difference between the State’s total assessed expenditure (expenses and investment) and the sum of its own source revenue, net borrowing and </w:t>
      </w:r>
      <w:r w:rsidR="00EB6E9C">
        <w:t>Commonwealth payments.</w:t>
      </w:r>
    </w:p>
    <w:p w:rsidR="00D73CC6" w:rsidRDefault="00D73CC6" w:rsidP="00D73CC6">
      <w:pPr>
        <w:pStyle w:val="Caption"/>
      </w:pPr>
      <w:bookmarkStart w:id="227" w:name="_Ref507000885"/>
      <w:r>
        <w:lastRenderedPageBreak/>
        <w:t xml:space="preserve">Figure </w:t>
      </w:r>
      <w:r w:rsidR="00CD68E8">
        <w:fldChar w:fldCharType="begin"/>
      </w:r>
      <w:r w:rsidR="00CD68E8">
        <w:instrText xml:space="preserve"> SEQ Figure \* ARABIC </w:instrText>
      </w:r>
      <w:r w:rsidR="00CD68E8">
        <w:fldChar w:fldCharType="separate"/>
      </w:r>
      <w:r w:rsidR="000A6746">
        <w:rPr>
          <w:noProof/>
        </w:rPr>
        <w:t>1</w:t>
      </w:r>
      <w:r w:rsidR="00CD68E8">
        <w:rPr>
          <w:noProof/>
        </w:rPr>
        <w:fldChar w:fldCharType="end"/>
      </w:r>
      <w:bookmarkEnd w:id="227"/>
      <w:r>
        <w:tab/>
        <w:t>Illustrative assessed budgets per capita, 2018</w:t>
      </w:r>
      <w:r>
        <w:noBreakHyphen/>
        <w:t>19</w:t>
      </w:r>
    </w:p>
    <w:p w:rsidR="004E75FE" w:rsidRDefault="004E75FE" w:rsidP="004E75FE">
      <w:r w:rsidRPr="004E75FE">
        <w:rPr>
          <w:noProof/>
          <w:lang w:eastAsia="en-AU"/>
        </w:rPr>
        <w:drawing>
          <wp:inline distT="0" distB="0" distL="0" distR="0" wp14:anchorId="50DB6F0D" wp14:editId="0D4029FB">
            <wp:extent cx="5654040" cy="3558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4040" cy="3558540"/>
                    </a:xfrm>
                    <a:prstGeom prst="rect">
                      <a:avLst/>
                    </a:prstGeom>
                    <a:noFill/>
                    <a:ln>
                      <a:noFill/>
                    </a:ln>
                  </pic:spPr>
                </pic:pic>
              </a:graphicData>
            </a:graphic>
          </wp:inline>
        </w:drawing>
      </w:r>
    </w:p>
    <w:p w:rsidR="00D73CC6" w:rsidRDefault="00D73CC6" w:rsidP="00D73CC6">
      <w:pPr>
        <w:pStyle w:val="CGCTableFootnote"/>
        <w:keepNext/>
      </w:pPr>
      <w:r>
        <w:t>(a)</w:t>
      </w:r>
      <w:r>
        <w:tab/>
        <w:t>Includes expenses and investment.</w:t>
      </w:r>
    </w:p>
    <w:p w:rsidR="00D73CC6" w:rsidRPr="00D73CC6" w:rsidRDefault="00D73CC6" w:rsidP="00D73CC6">
      <w:pPr>
        <w:pStyle w:val="CGCTableFootnote"/>
      </w:pPr>
      <w:r>
        <w:t>Source:</w:t>
      </w:r>
      <w:r>
        <w:tab/>
        <w:t>Commission calculation.</w:t>
      </w:r>
    </w:p>
    <w:p w:rsidR="00CE5622" w:rsidRPr="002A48E0" w:rsidRDefault="004A6782" w:rsidP="00A54125">
      <w:pPr>
        <w:pStyle w:val="CGCNumberedPara"/>
      </w:pPr>
      <w:r>
        <w:t>Differences in State fiscal capacities have reduced in this update, resulting in a decline in t</w:t>
      </w:r>
      <w:r w:rsidRPr="00BF06FB">
        <w:t xml:space="preserve">he </w:t>
      </w:r>
      <w:r w:rsidR="00972035" w:rsidRPr="00BF06FB">
        <w:t xml:space="preserve">proportion of GST revenue redistributed </w:t>
      </w:r>
      <w:r w:rsidR="00972035">
        <w:t>away from EPC</w:t>
      </w:r>
      <w:r w:rsidR="00972035" w:rsidRPr="00BF06FB">
        <w:t xml:space="preserve"> to the States with below average fiscal capacities from 12.</w:t>
      </w:r>
      <w:r w:rsidR="00972035">
        <w:t>5</w:t>
      </w:r>
      <w:r w:rsidR="00972035" w:rsidRPr="00BF06FB">
        <w:t xml:space="preserve">% </w:t>
      </w:r>
      <w:r w:rsidR="00A8064F">
        <w:t>($</w:t>
      </w:r>
      <w:r w:rsidR="00F915C2">
        <w:t>7.8</w:t>
      </w:r>
      <w:r w:rsidR="00A8064F">
        <w:t xml:space="preserve"> billion) </w:t>
      </w:r>
      <w:r w:rsidR="00972035" w:rsidRPr="00BF06FB">
        <w:t>to 10.</w:t>
      </w:r>
      <w:r w:rsidR="00F915C2">
        <w:t>4</w:t>
      </w:r>
      <w:r w:rsidR="00972035" w:rsidRPr="00BF06FB">
        <w:t>%</w:t>
      </w:r>
      <w:r w:rsidR="00A8064F">
        <w:t xml:space="preserve"> ($6.8 billion</w:t>
      </w:r>
      <w:r w:rsidR="00972035">
        <w:t>)</w:t>
      </w:r>
      <w:r w:rsidR="00890186">
        <w:t>.</w:t>
      </w:r>
      <w:r w:rsidR="00972035">
        <w:t xml:space="preserve"> The magnitude of the improvements in the fiscal capacities of Queensland and the Northern Territory is such that, even taking into account growth in the GST pool, their recommended GST entitlements are lower in 2018</w:t>
      </w:r>
      <w:r w:rsidR="00972035">
        <w:noBreakHyphen/>
        <w:t>19 than in 2017</w:t>
      </w:r>
      <w:r w:rsidR="00972035">
        <w:noBreakHyphen/>
        <w:t>18.</w:t>
      </w:r>
    </w:p>
    <w:p w:rsidR="00422257" w:rsidRPr="002A48E0" w:rsidRDefault="00890186" w:rsidP="00422257">
      <w:pPr>
        <w:pStyle w:val="Heading3"/>
      </w:pPr>
      <w:bookmarkStart w:id="228" w:name="_Toc442883272"/>
      <w:bookmarkStart w:id="229" w:name="_Toc474923740"/>
      <w:bookmarkStart w:id="230" w:name="_Toc505872166"/>
      <w:r>
        <w:t>Movements in the</w:t>
      </w:r>
      <w:r w:rsidRPr="002A48E0">
        <w:t xml:space="preserve"> </w:t>
      </w:r>
      <w:r w:rsidR="00422257" w:rsidRPr="002A48E0">
        <w:t>GST distribution</w:t>
      </w:r>
      <w:bookmarkEnd w:id="228"/>
      <w:bookmarkEnd w:id="229"/>
      <w:bookmarkEnd w:id="230"/>
    </w:p>
    <w:p w:rsidR="00422257" w:rsidRDefault="00EC77DE" w:rsidP="00A54125">
      <w:pPr>
        <w:pStyle w:val="CGCNumberedPara"/>
      </w:pPr>
      <w:r>
        <w:fldChar w:fldCharType="begin"/>
      </w:r>
      <w:r>
        <w:instrText xml:space="preserve"> REF _Ref503770922 \h </w:instrText>
      </w:r>
      <w:r>
        <w:fldChar w:fldCharType="separate"/>
      </w:r>
      <w:r w:rsidR="000A6746">
        <w:t xml:space="preserve">Table </w:t>
      </w:r>
      <w:r w:rsidR="000A6746">
        <w:rPr>
          <w:noProof/>
        </w:rPr>
        <w:t>2</w:t>
      </w:r>
      <w:r>
        <w:fldChar w:fldCharType="end"/>
      </w:r>
      <w:r>
        <w:t xml:space="preserve"> shows </w:t>
      </w:r>
      <w:r w:rsidRPr="002A48E0">
        <w:t>the differences between the estimated GST distribution for 201</w:t>
      </w:r>
      <w:r>
        <w:t>7</w:t>
      </w:r>
      <w:r w:rsidR="00602CF4">
        <w:noBreakHyphen/>
      </w:r>
      <w:r w:rsidRPr="002A48E0">
        <w:t>1</w:t>
      </w:r>
      <w:r>
        <w:t>8</w:t>
      </w:r>
      <w:r w:rsidRPr="002A48E0">
        <w:t xml:space="preserve"> and the illustrative distribution for 201</w:t>
      </w:r>
      <w:r>
        <w:t>8</w:t>
      </w:r>
      <w:r w:rsidR="00602CF4">
        <w:noBreakHyphen/>
      </w:r>
      <w:r w:rsidRPr="002A48E0">
        <w:t>1</w:t>
      </w:r>
      <w:r>
        <w:t>9</w:t>
      </w:r>
      <w:r w:rsidRPr="002A48E0">
        <w:t>. Changes have occurred for a number of reasons:</w:t>
      </w:r>
    </w:p>
    <w:p w:rsidR="00EC77DE" w:rsidRPr="006455BD" w:rsidRDefault="00890186" w:rsidP="006455BD">
      <w:pPr>
        <w:pStyle w:val="CGCBulletlist"/>
      </w:pPr>
      <w:r>
        <w:t xml:space="preserve">estimated </w:t>
      </w:r>
      <w:r w:rsidR="00EC77DE" w:rsidRPr="006455BD">
        <w:t>State populations between 2017</w:t>
      </w:r>
      <w:r w:rsidR="00602CF4" w:rsidRPr="006455BD">
        <w:noBreakHyphen/>
      </w:r>
      <w:r w:rsidR="00EC77DE" w:rsidRPr="006455BD">
        <w:t>1</w:t>
      </w:r>
      <w:r w:rsidR="00602CF4" w:rsidRPr="006455BD">
        <w:t>8</w:t>
      </w:r>
      <w:r w:rsidR="00EC77DE" w:rsidRPr="006455BD">
        <w:t xml:space="preserve"> and 2018</w:t>
      </w:r>
      <w:r w:rsidR="00602CF4" w:rsidRPr="006455BD">
        <w:noBreakHyphen/>
      </w:r>
      <w:r w:rsidR="00EC77DE" w:rsidRPr="006455BD">
        <w:t>1</w:t>
      </w:r>
      <w:r w:rsidR="00602CF4" w:rsidRPr="006455BD">
        <w:t>9</w:t>
      </w:r>
      <w:r w:rsidR="00EC77DE" w:rsidRPr="006455BD">
        <w:t xml:space="preserve"> have changed</w:t>
      </w:r>
    </w:p>
    <w:p w:rsidR="00EC77DE" w:rsidRPr="006455BD" w:rsidRDefault="00EC77DE" w:rsidP="006455BD">
      <w:pPr>
        <w:pStyle w:val="CGCBulletlist"/>
      </w:pPr>
      <w:r w:rsidRPr="006455BD">
        <w:t>the amount of GST revenue available for distribution has increased</w:t>
      </w:r>
    </w:p>
    <w:p w:rsidR="00EC77DE" w:rsidRPr="006455BD" w:rsidRDefault="00EC77DE" w:rsidP="006455BD">
      <w:pPr>
        <w:pStyle w:val="CGCBulletlist"/>
      </w:pPr>
      <w:proofErr w:type="gramStart"/>
      <w:r w:rsidRPr="006455BD">
        <w:t>the</w:t>
      </w:r>
      <w:proofErr w:type="gramEnd"/>
      <w:r w:rsidRPr="006455BD">
        <w:t xml:space="preserve"> relative fiscal capacities of the States have changed mainly because of changes in State circumstances.</w:t>
      </w:r>
    </w:p>
    <w:p w:rsidR="00EC77DE" w:rsidRPr="002A48E0" w:rsidRDefault="00EC77DE" w:rsidP="00EC77DE">
      <w:pPr>
        <w:pStyle w:val="CGCNumberedPara"/>
      </w:pPr>
      <w:r w:rsidRPr="002A48E0">
        <w:t xml:space="preserve">The Commission’s work </w:t>
      </w:r>
      <w:r w:rsidR="00A96C00">
        <w:t>focuses</w:t>
      </w:r>
      <w:r w:rsidR="00320408">
        <w:t xml:space="preserve"> on the last factor </w:t>
      </w:r>
      <w:r w:rsidR="0015059E">
        <w:t>—</w:t>
      </w:r>
      <w:r w:rsidR="009217B5">
        <w:t xml:space="preserve"> </w:t>
      </w:r>
      <w:r w:rsidRPr="002A48E0">
        <w:t>assess</w:t>
      </w:r>
      <w:r w:rsidR="003816CF">
        <w:t xml:space="preserve">ment of the changes in </w:t>
      </w:r>
      <w:r w:rsidR="00320408">
        <w:t xml:space="preserve">States’ </w:t>
      </w:r>
      <w:r w:rsidR="003816CF">
        <w:t xml:space="preserve">fiscal </w:t>
      </w:r>
      <w:r w:rsidRPr="002A48E0">
        <w:t>capacities.</w:t>
      </w:r>
    </w:p>
    <w:p w:rsidR="001D7293" w:rsidRDefault="00EC77DE" w:rsidP="00A47689">
      <w:pPr>
        <w:pStyle w:val="Caption"/>
      </w:pPr>
      <w:bookmarkStart w:id="231" w:name="_Ref503770922"/>
      <w:r>
        <w:lastRenderedPageBreak/>
        <w:t xml:space="preserve">Table </w:t>
      </w:r>
      <w:r w:rsidR="00CD68E8">
        <w:fldChar w:fldCharType="begin"/>
      </w:r>
      <w:r w:rsidR="00CD68E8">
        <w:instrText xml:space="preserve"> SEQ Table \* ARABIC </w:instrText>
      </w:r>
      <w:r w:rsidR="00CD68E8">
        <w:fldChar w:fldCharType="separate"/>
      </w:r>
      <w:r w:rsidR="000A6746">
        <w:rPr>
          <w:noProof/>
        </w:rPr>
        <w:t>2</w:t>
      </w:r>
      <w:r w:rsidR="00CD68E8">
        <w:rPr>
          <w:noProof/>
        </w:rPr>
        <w:fldChar w:fldCharType="end"/>
      </w:r>
      <w:bookmarkEnd w:id="231"/>
      <w:r>
        <w:tab/>
        <w:t>Distribution of the 2017</w:t>
      </w:r>
      <w:r>
        <w:noBreakHyphen/>
        <w:t>18 GST and illustrative 2018</w:t>
      </w:r>
      <w:r>
        <w:noBreakHyphen/>
        <w:t>19 GST distribution</w:t>
      </w:r>
    </w:p>
    <w:tbl>
      <w:tblPr>
        <w:tblW w:w="9120" w:type="dxa"/>
        <w:tblInd w:w="93" w:type="dxa"/>
        <w:tblLook w:val="04A0" w:firstRow="1" w:lastRow="0" w:firstColumn="1" w:lastColumn="0" w:noHBand="0" w:noVBand="1"/>
      </w:tblPr>
      <w:tblGrid>
        <w:gridCol w:w="2240"/>
        <w:gridCol w:w="820"/>
        <w:gridCol w:w="820"/>
        <w:gridCol w:w="820"/>
        <w:gridCol w:w="720"/>
        <w:gridCol w:w="720"/>
        <w:gridCol w:w="720"/>
        <w:gridCol w:w="720"/>
        <w:gridCol w:w="720"/>
        <w:gridCol w:w="820"/>
      </w:tblGrid>
      <w:tr w:rsidR="004E75FE" w:rsidRPr="004E75FE" w:rsidTr="004E75FE">
        <w:trPr>
          <w:trHeight w:val="378"/>
        </w:trPr>
        <w:tc>
          <w:tcPr>
            <w:tcW w:w="224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bookmarkStart w:id="232" w:name="RANGE!A10:J20"/>
            <w:r w:rsidRPr="004E75FE">
              <w:rPr>
                <w:rFonts w:ascii="Calibri" w:eastAsia="Times New Roman" w:hAnsi="Calibri" w:cs="Times New Roman"/>
                <w:sz w:val="20"/>
                <w:szCs w:val="20"/>
                <w:lang w:eastAsia="en-AU"/>
              </w:rPr>
              <w:t> </w:t>
            </w:r>
            <w:bookmarkEnd w:id="232"/>
          </w:p>
        </w:tc>
        <w:tc>
          <w:tcPr>
            <w:tcW w:w="8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roofErr w:type="spellStart"/>
            <w:r w:rsidRPr="004E75FE">
              <w:rPr>
                <w:rFonts w:ascii="Calibri" w:eastAsia="Times New Roman" w:hAnsi="Calibri" w:cs="Times New Roman"/>
                <w:sz w:val="20"/>
                <w:szCs w:val="20"/>
                <w:lang w:eastAsia="en-AU"/>
              </w:rPr>
              <w:t>Tas</w:t>
            </w:r>
            <w:proofErr w:type="spellEnd"/>
          </w:p>
        </w:tc>
        <w:tc>
          <w:tcPr>
            <w:tcW w:w="7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Total</w:t>
            </w:r>
          </w:p>
        </w:tc>
      </w:tr>
      <w:tr w:rsidR="004E75FE" w:rsidRPr="004E75FE" w:rsidTr="004E75FE">
        <w:trPr>
          <w:trHeight w:val="258"/>
        </w:trPr>
        <w:tc>
          <w:tcPr>
            <w:tcW w:w="22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r>
      <w:tr w:rsidR="004E75FE" w:rsidRPr="004E75FE" w:rsidTr="004E75FE">
        <w:trPr>
          <w:trHeight w:val="315"/>
        </w:trPr>
        <w:tc>
          <w:tcPr>
            <w:tcW w:w="22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Estimated 2017-18</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17 511</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14 989</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14 848</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2 255</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6 284</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2 378</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1 244</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2 891</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62 400</w:t>
            </w:r>
          </w:p>
        </w:tc>
      </w:tr>
      <w:tr w:rsidR="004E75FE" w:rsidRPr="004E75FE" w:rsidTr="004E75FE">
        <w:trPr>
          <w:trHeight w:val="315"/>
        </w:trPr>
        <w:tc>
          <w:tcPr>
            <w:tcW w:w="22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Illustrative 2018-19 (a)</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18 030</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16 830</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14 447</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3 255</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6 751</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2 434</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1 298</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2 755</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65 800</w:t>
            </w:r>
          </w:p>
        </w:tc>
      </w:tr>
      <w:tr w:rsidR="004E75FE" w:rsidRPr="004E75FE" w:rsidTr="004E75FE">
        <w:trPr>
          <w:trHeight w:val="315"/>
        </w:trPr>
        <w:tc>
          <w:tcPr>
            <w:tcW w:w="22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Change</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520</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1 841</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-401</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xml:space="preserve"> 999</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467</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56</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53</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-136</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3 400</w:t>
            </w:r>
          </w:p>
        </w:tc>
      </w:tr>
      <w:tr w:rsidR="004E75FE" w:rsidRPr="004E75FE" w:rsidTr="004E75FE">
        <w:trPr>
          <w:trHeight w:val="315"/>
        </w:trPr>
        <w:tc>
          <w:tcPr>
            <w:tcW w:w="22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p>
        </w:tc>
      </w:tr>
      <w:tr w:rsidR="004E75FE" w:rsidRPr="004E75FE" w:rsidTr="004E75FE">
        <w:trPr>
          <w:trHeight w:val="315"/>
        </w:trPr>
        <w:tc>
          <w:tcPr>
            <w:tcW w:w="22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ind w:firstLineChars="100" w:firstLine="200"/>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Population (b)</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16</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90</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-21</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-33</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w:t>
            </w:r>
          </w:p>
        </w:tc>
      </w:tr>
      <w:tr w:rsidR="004E75FE" w:rsidRPr="004E75FE" w:rsidTr="004E75FE">
        <w:trPr>
          <w:trHeight w:val="315"/>
        </w:trPr>
        <w:tc>
          <w:tcPr>
            <w:tcW w:w="22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ind w:firstLineChars="100" w:firstLine="200"/>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Pool (c)</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955</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822</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809</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122</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340</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128</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68</w:t>
            </w:r>
          </w:p>
        </w:tc>
        <w:tc>
          <w:tcPr>
            <w:tcW w:w="7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156</w:t>
            </w:r>
          </w:p>
        </w:tc>
        <w:tc>
          <w:tcPr>
            <w:tcW w:w="82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3 400</w:t>
            </w:r>
          </w:p>
        </w:tc>
      </w:tr>
      <w:tr w:rsidR="004E75FE" w:rsidRPr="004E75FE" w:rsidTr="004E75FE">
        <w:trPr>
          <w:trHeight w:val="315"/>
        </w:trPr>
        <w:tc>
          <w:tcPr>
            <w:tcW w:w="224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ind w:firstLineChars="100" w:firstLine="200"/>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Fiscal capacities (d)</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-451</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929</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-1 208</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xml:space="preserve"> 885</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172</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-15</w:t>
            </w:r>
          </w:p>
        </w:tc>
        <w:tc>
          <w:tcPr>
            <w:tcW w:w="7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-260</w:t>
            </w:r>
          </w:p>
        </w:tc>
        <w:tc>
          <w:tcPr>
            <w:tcW w:w="820" w:type="dxa"/>
            <w:tcBorders>
              <w:top w:val="nil"/>
              <w:left w:val="nil"/>
              <w:bottom w:val="nil"/>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w:t>
            </w:r>
          </w:p>
        </w:tc>
      </w:tr>
      <w:tr w:rsidR="004E75FE" w:rsidRPr="004E75FE" w:rsidTr="004E75FE">
        <w:trPr>
          <w:trHeight w:val="315"/>
        </w:trPr>
        <w:tc>
          <w:tcPr>
            <w:tcW w:w="2240" w:type="dxa"/>
            <w:tcBorders>
              <w:top w:val="nil"/>
              <w:left w:val="nil"/>
              <w:bottom w:val="nil"/>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520</w:t>
            </w:r>
          </w:p>
        </w:tc>
        <w:tc>
          <w:tcPr>
            <w:tcW w:w="8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1 841</w:t>
            </w:r>
          </w:p>
        </w:tc>
        <w:tc>
          <w:tcPr>
            <w:tcW w:w="8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-401</w:t>
            </w:r>
          </w:p>
        </w:tc>
        <w:tc>
          <w:tcPr>
            <w:tcW w:w="7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xml:space="preserve"> 999</w:t>
            </w:r>
          </w:p>
        </w:tc>
        <w:tc>
          <w:tcPr>
            <w:tcW w:w="7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467</w:t>
            </w:r>
          </w:p>
        </w:tc>
        <w:tc>
          <w:tcPr>
            <w:tcW w:w="7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56</w:t>
            </w:r>
          </w:p>
        </w:tc>
        <w:tc>
          <w:tcPr>
            <w:tcW w:w="7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53</w:t>
            </w:r>
          </w:p>
        </w:tc>
        <w:tc>
          <w:tcPr>
            <w:tcW w:w="7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-136</w:t>
            </w:r>
          </w:p>
        </w:tc>
        <w:tc>
          <w:tcPr>
            <w:tcW w:w="820" w:type="dxa"/>
            <w:tcBorders>
              <w:top w:val="single" w:sz="4" w:space="0" w:color="auto"/>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3 400</w:t>
            </w:r>
          </w:p>
        </w:tc>
      </w:tr>
      <w:tr w:rsidR="004E75FE" w:rsidRPr="004E75FE" w:rsidTr="004E75FE">
        <w:trPr>
          <w:trHeight w:val="315"/>
        </w:trPr>
        <w:tc>
          <w:tcPr>
            <w:tcW w:w="224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65</w:t>
            </w:r>
          </w:p>
        </w:tc>
        <w:tc>
          <w:tcPr>
            <w:tcW w:w="8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283</w:t>
            </w:r>
          </w:p>
        </w:tc>
        <w:tc>
          <w:tcPr>
            <w:tcW w:w="8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-80</w:t>
            </w:r>
          </w:p>
        </w:tc>
        <w:tc>
          <w:tcPr>
            <w:tcW w:w="7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381</w:t>
            </w:r>
          </w:p>
        </w:tc>
        <w:tc>
          <w:tcPr>
            <w:tcW w:w="7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268</w:t>
            </w:r>
          </w:p>
        </w:tc>
        <w:tc>
          <w:tcPr>
            <w:tcW w:w="7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107</w:t>
            </w:r>
          </w:p>
        </w:tc>
        <w:tc>
          <w:tcPr>
            <w:tcW w:w="7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128</w:t>
            </w:r>
          </w:p>
        </w:tc>
        <w:tc>
          <w:tcPr>
            <w:tcW w:w="720" w:type="dxa"/>
            <w:tcBorders>
              <w:top w:val="nil"/>
              <w:left w:val="nil"/>
              <w:bottom w:val="single" w:sz="4" w:space="0" w:color="auto"/>
              <w:right w:val="nil"/>
            </w:tcBorders>
            <w:shd w:val="clear" w:color="auto" w:fill="auto"/>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-553</w:t>
            </w:r>
          </w:p>
        </w:tc>
        <w:tc>
          <w:tcPr>
            <w:tcW w:w="820" w:type="dxa"/>
            <w:tcBorders>
              <w:top w:val="nil"/>
              <w:left w:val="nil"/>
              <w:bottom w:val="single" w:sz="4" w:space="0" w:color="auto"/>
              <w:right w:val="nil"/>
            </w:tcBorders>
            <w:shd w:val="clear" w:color="auto" w:fill="auto"/>
            <w:noWrap/>
            <w:vAlign w:val="bottom"/>
            <w:hideMark/>
          </w:tcPr>
          <w:p w:rsidR="004E75FE" w:rsidRPr="004E75FE" w:rsidRDefault="004E75FE" w:rsidP="004E75FE">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135</w:t>
            </w:r>
          </w:p>
        </w:tc>
      </w:tr>
    </w:tbl>
    <w:p w:rsidR="00A47689" w:rsidRPr="002A48E0" w:rsidRDefault="00A47689" w:rsidP="00A47689">
      <w:pPr>
        <w:pStyle w:val="CGCTableFootnote"/>
        <w:keepNext/>
      </w:pPr>
      <w:r>
        <w:t>(a)</w:t>
      </w:r>
      <w:r>
        <w:tab/>
      </w:r>
      <w:r w:rsidRPr="002A48E0">
        <w:t>Obtained by applying the 201</w:t>
      </w:r>
      <w:r>
        <w:t>8 </w:t>
      </w:r>
      <w:r w:rsidRPr="002A48E0">
        <w:t xml:space="preserve">Update relativities to estimated State populations </w:t>
      </w:r>
      <w:r>
        <w:t>as at</w:t>
      </w:r>
      <w:r w:rsidRPr="002A48E0">
        <w:t xml:space="preserve"> December 201</w:t>
      </w:r>
      <w:r>
        <w:t>8</w:t>
      </w:r>
      <w:r w:rsidRPr="002A48E0">
        <w:t xml:space="preserve"> and estimated GST revenue for 201</w:t>
      </w:r>
      <w:r>
        <w:t>8</w:t>
      </w:r>
      <w:r>
        <w:noBreakHyphen/>
      </w:r>
      <w:r w:rsidRPr="002A48E0">
        <w:t>1</w:t>
      </w:r>
      <w:r>
        <w:t>9</w:t>
      </w:r>
      <w:r w:rsidRPr="002A48E0">
        <w:t>.</w:t>
      </w:r>
    </w:p>
    <w:p w:rsidR="00A47689" w:rsidRPr="002A48E0" w:rsidRDefault="00A47689" w:rsidP="00A47689">
      <w:pPr>
        <w:pStyle w:val="CGCTableFootnote"/>
        <w:keepNext/>
      </w:pPr>
      <w:r w:rsidRPr="002A48E0">
        <w:t>(b)</w:t>
      </w:r>
      <w:r w:rsidRPr="002A48E0">
        <w:tab/>
        <w:t>Effects on the distribution of 201</w:t>
      </w:r>
      <w:r>
        <w:t>7</w:t>
      </w:r>
      <w:r>
        <w:noBreakHyphen/>
      </w:r>
      <w:r w:rsidRPr="002A48E0">
        <w:t>1</w:t>
      </w:r>
      <w:r>
        <w:t>8</w:t>
      </w:r>
      <w:r w:rsidRPr="002A48E0">
        <w:t xml:space="preserve"> GST revenue of using projected State populations </w:t>
      </w:r>
      <w:r>
        <w:t>as at</w:t>
      </w:r>
      <w:r w:rsidRPr="002A48E0">
        <w:t xml:space="preserve"> December 201</w:t>
      </w:r>
      <w:r>
        <w:t>8</w:t>
      </w:r>
      <w:r w:rsidRPr="002A48E0">
        <w:t xml:space="preserve"> instead of December 201</w:t>
      </w:r>
      <w:r>
        <w:t>7</w:t>
      </w:r>
      <w:r w:rsidRPr="002A48E0">
        <w:t>, with 201</w:t>
      </w:r>
      <w:r>
        <w:t>7</w:t>
      </w:r>
      <w:r w:rsidRPr="002A48E0">
        <w:t> Update relativities.</w:t>
      </w:r>
    </w:p>
    <w:p w:rsidR="00A47689" w:rsidRPr="002A48E0" w:rsidRDefault="00A47689" w:rsidP="00A47689">
      <w:pPr>
        <w:pStyle w:val="CGCTableFootnote"/>
        <w:keepNext/>
      </w:pPr>
      <w:r w:rsidRPr="002A48E0">
        <w:t>(c)</w:t>
      </w:r>
      <w:r w:rsidRPr="002A48E0">
        <w:tab/>
        <w:t>Effect of applying the 201</w:t>
      </w:r>
      <w:r>
        <w:t>7</w:t>
      </w:r>
      <w:r w:rsidRPr="002A48E0">
        <w:t> Update relativities to the estimated growth in GST revenue for 201</w:t>
      </w:r>
      <w:r>
        <w:t>8</w:t>
      </w:r>
      <w:r w:rsidRPr="002A48E0">
        <w:t>-1</w:t>
      </w:r>
      <w:r>
        <w:t>9</w:t>
      </w:r>
      <w:r w:rsidRPr="002A48E0">
        <w:t xml:space="preserve">. </w:t>
      </w:r>
    </w:p>
    <w:p w:rsidR="00A47689" w:rsidRPr="002A48E0" w:rsidRDefault="00A47689" w:rsidP="00A47689">
      <w:pPr>
        <w:pStyle w:val="CGCTableFootnote"/>
        <w:keepNext/>
      </w:pPr>
      <w:r w:rsidRPr="002A48E0">
        <w:t>(d)</w:t>
      </w:r>
      <w:r w:rsidRPr="002A48E0">
        <w:tab/>
        <w:t>Effects on the distribution of the 201</w:t>
      </w:r>
      <w:r>
        <w:t>8</w:t>
      </w:r>
      <w:r w:rsidRPr="002A48E0">
        <w:t>-1</w:t>
      </w:r>
      <w:r>
        <w:t>9</w:t>
      </w:r>
      <w:r w:rsidRPr="002A48E0">
        <w:t xml:space="preserve"> GST revenue of using the 201</w:t>
      </w:r>
      <w:r>
        <w:t>8 </w:t>
      </w:r>
      <w:r w:rsidRPr="002A48E0">
        <w:t>Update fiscal capacities instead of 201</w:t>
      </w:r>
      <w:r>
        <w:t>7</w:t>
      </w:r>
      <w:r w:rsidRPr="002A48E0">
        <w:t> Update fiscal capacities.</w:t>
      </w:r>
    </w:p>
    <w:p w:rsidR="00A47689" w:rsidRDefault="00A47689" w:rsidP="00A47689">
      <w:pPr>
        <w:pStyle w:val="CGCTableFootnote"/>
      </w:pPr>
      <w:r>
        <w:t>Source:</w:t>
      </w:r>
      <w:r>
        <w:tab/>
        <w:t>2017</w:t>
      </w:r>
      <w:r>
        <w:noBreakHyphen/>
        <w:t>18 GST entitlement and 2018</w:t>
      </w:r>
      <w:r>
        <w:noBreakHyphen/>
        <w:t xml:space="preserve">19 GST revenue are taken from the </w:t>
      </w:r>
      <w:r>
        <w:rPr>
          <w:i/>
        </w:rPr>
        <w:t>Australian Government Budget, Mid</w:t>
      </w:r>
      <w:r w:rsidRPr="002A48E0">
        <w:rPr>
          <w:i/>
        </w:rPr>
        <w:noBreakHyphen/>
      </w:r>
      <w:r>
        <w:rPr>
          <w:i/>
        </w:rPr>
        <w:t>Year Economic and Fiscal Outlook 2017</w:t>
      </w:r>
      <w:r>
        <w:rPr>
          <w:i/>
        </w:rPr>
        <w:noBreakHyphen/>
        <w:t xml:space="preserve">18. </w:t>
      </w:r>
      <w:r>
        <w:t>December 2017 and 2018 population estimates were provided by the Commonwealth Treasury.</w:t>
      </w:r>
    </w:p>
    <w:p w:rsidR="00422257" w:rsidRPr="002A48E0" w:rsidRDefault="00422257" w:rsidP="00422257">
      <w:pPr>
        <w:pStyle w:val="Heading3"/>
      </w:pPr>
      <w:bookmarkStart w:id="233" w:name="_Toc428435387"/>
      <w:bookmarkStart w:id="234" w:name="_Toc433353474"/>
      <w:bookmarkStart w:id="235" w:name="_Toc441241580"/>
      <w:bookmarkStart w:id="236" w:name="_Toc441499250"/>
      <w:bookmarkStart w:id="237" w:name="_Toc441656024"/>
      <w:bookmarkStart w:id="238" w:name="_Toc442191906"/>
      <w:bookmarkStart w:id="239" w:name="_Toc442192158"/>
      <w:bookmarkStart w:id="240" w:name="_Toc442192223"/>
      <w:bookmarkStart w:id="241" w:name="_Toc442772809"/>
      <w:bookmarkStart w:id="242" w:name="_Toc442773036"/>
      <w:bookmarkStart w:id="243" w:name="_Toc442773208"/>
      <w:bookmarkStart w:id="244" w:name="_Toc442773560"/>
      <w:bookmarkStart w:id="245" w:name="_Toc442883273"/>
      <w:bookmarkStart w:id="246" w:name="_Toc474923741"/>
      <w:bookmarkStart w:id="247" w:name="_Toc505872167"/>
      <w:r w:rsidRPr="002A48E0">
        <w:t xml:space="preserve">Why </w:t>
      </w:r>
      <w:r w:rsidR="002A4D57">
        <w:t>S</w:t>
      </w:r>
      <w:r w:rsidRPr="002A48E0">
        <w:t>tate fiscal capacities have changed</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602CF4" w:rsidRPr="002A48E0" w:rsidRDefault="00CE0393" w:rsidP="00602CF4">
      <w:pPr>
        <w:pStyle w:val="CGCNumberedPara"/>
      </w:pPr>
      <w:r>
        <w:t xml:space="preserve">The Commission assesses fiscal capacities based on a rolling average of three years. </w:t>
      </w:r>
      <w:r w:rsidR="00602CF4" w:rsidRPr="002A48E0">
        <w:t xml:space="preserve">In this update, </w:t>
      </w:r>
      <w:r w:rsidR="00A8064F">
        <w:t xml:space="preserve">revisions were </w:t>
      </w:r>
      <w:r w:rsidR="0057441B">
        <w:t xml:space="preserve">first </w:t>
      </w:r>
      <w:r w:rsidR="00A8064F">
        <w:t>made to data used in the 2017 Update</w:t>
      </w:r>
      <w:r w:rsidR="0057441B">
        <w:t>, including incorporating revisions to Australian Bureau of Statistics (ABS) population estimates following the 2016</w:t>
      </w:r>
      <w:r w:rsidR="00C81960">
        <w:t> </w:t>
      </w:r>
      <w:r w:rsidR="0057441B">
        <w:t>Census</w:t>
      </w:r>
      <w:r w:rsidR="00A8064F">
        <w:t xml:space="preserve">. Then, consistent with the terms of reference, </w:t>
      </w:r>
      <w:r w:rsidR="00602CF4" w:rsidRPr="002A48E0">
        <w:t>the Commission added data for 201</w:t>
      </w:r>
      <w:r w:rsidR="00602CF4">
        <w:t>6</w:t>
      </w:r>
      <w:r w:rsidR="00602CF4" w:rsidRPr="002A48E0">
        <w:noBreakHyphen/>
        <w:t>1</w:t>
      </w:r>
      <w:r w:rsidR="00602CF4">
        <w:t>7</w:t>
      </w:r>
      <w:r w:rsidR="00602CF4" w:rsidRPr="002A48E0">
        <w:t xml:space="preserve"> to its calculations and removed data for 201</w:t>
      </w:r>
      <w:r w:rsidR="00602CF4">
        <w:t>3</w:t>
      </w:r>
      <w:r w:rsidR="00602CF4" w:rsidRPr="002A48E0">
        <w:noBreakHyphen/>
        <w:t>1</w:t>
      </w:r>
      <w:r w:rsidR="00602CF4">
        <w:t>4</w:t>
      </w:r>
      <w:r w:rsidR="00602CF4" w:rsidRPr="002A48E0">
        <w:t>. The differences between these years are the major influence on changes in measured State fiscal capacities</w:t>
      </w:r>
      <w:r>
        <w:t>.</w:t>
      </w:r>
      <w:r w:rsidR="00602CF4">
        <w:t xml:space="preserve"> </w:t>
      </w:r>
    </w:p>
    <w:p w:rsidR="00602CF4" w:rsidRPr="002A48E0" w:rsidRDefault="00602CF4" w:rsidP="00602CF4">
      <w:pPr>
        <w:pStyle w:val="CGCNumberedPara"/>
        <w:numPr>
          <w:ilvl w:val="1"/>
          <w:numId w:val="41"/>
        </w:numPr>
      </w:pPr>
      <w:r w:rsidRPr="002A48E0">
        <w:t xml:space="preserve">The Commission has recommended a changed distribution </w:t>
      </w:r>
      <w:r w:rsidR="009277A8">
        <w:t>for 2018</w:t>
      </w:r>
      <w:r w:rsidR="009277A8">
        <w:noBreakHyphen/>
        <w:t xml:space="preserve">19 </w:t>
      </w:r>
      <w:r w:rsidRPr="002A48E0">
        <w:t>because new data reveal changes in fiscal capacities in all areas of State budgets, as shown in</w:t>
      </w:r>
      <w:r>
        <w:t xml:space="preserve"> </w:t>
      </w:r>
      <w:r>
        <w:fldChar w:fldCharType="begin"/>
      </w:r>
      <w:r>
        <w:instrText xml:space="preserve"> REF _Ref503771375 \h </w:instrText>
      </w:r>
      <w:r>
        <w:fldChar w:fldCharType="separate"/>
      </w:r>
      <w:r w:rsidR="000A6746">
        <w:t>Table </w:t>
      </w:r>
      <w:r w:rsidR="000A6746">
        <w:rPr>
          <w:noProof/>
        </w:rPr>
        <w:t>3</w:t>
      </w:r>
      <w:r>
        <w:fldChar w:fldCharType="end"/>
      </w:r>
      <w:r>
        <w:t xml:space="preserve">. </w:t>
      </w:r>
      <w:r w:rsidRPr="00500904">
        <w:t>Changes in States’ estimated revenue raising capacit</w:t>
      </w:r>
      <w:r w:rsidR="00DF25F5">
        <w:t>ies</w:t>
      </w:r>
      <w:r w:rsidRPr="00500904">
        <w:t xml:space="preserve"> have been much more significant than changes in other aspects of State budgets.</w:t>
      </w:r>
    </w:p>
    <w:p w:rsidR="001D7293" w:rsidRDefault="00602CF4" w:rsidP="00DA1A52">
      <w:pPr>
        <w:pStyle w:val="Caption"/>
      </w:pPr>
      <w:bookmarkStart w:id="248" w:name="_Ref503771375"/>
      <w:r>
        <w:lastRenderedPageBreak/>
        <w:t>Table</w:t>
      </w:r>
      <w:r w:rsidR="0015059E">
        <w:t> </w:t>
      </w:r>
      <w:r w:rsidR="00CD68E8">
        <w:fldChar w:fldCharType="begin"/>
      </w:r>
      <w:r w:rsidR="00CD68E8">
        <w:instrText xml:space="preserve"> SEQ Table \* ARABIC </w:instrText>
      </w:r>
      <w:r w:rsidR="00CD68E8">
        <w:fldChar w:fldCharType="separate"/>
      </w:r>
      <w:r w:rsidR="000A6746">
        <w:rPr>
          <w:noProof/>
        </w:rPr>
        <w:t>3</w:t>
      </w:r>
      <w:r w:rsidR="00CD68E8">
        <w:rPr>
          <w:noProof/>
        </w:rPr>
        <w:fldChar w:fldCharType="end"/>
      </w:r>
      <w:bookmarkEnd w:id="248"/>
      <w:r>
        <w:tab/>
        <w:t xml:space="preserve">Change in </w:t>
      </w:r>
      <w:r w:rsidR="00067B18">
        <w:t>fiscal capacities</w:t>
      </w:r>
      <w:r>
        <w:t xml:space="preserve"> by source of change, 2018</w:t>
      </w:r>
      <w:r>
        <w:noBreakHyphen/>
        <w:t>19</w:t>
      </w:r>
    </w:p>
    <w:tbl>
      <w:tblPr>
        <w:tblW w:w="9240" w:type="dxa"/>
        <w:tblInd w:w="93" w:type="dxa"/>
        <w:tblLook w:val="04A0" w:firstRow="1" w:lastRow="0" w:firstColumn="1" w:lastColumn="0" w:noHBand="0" w:noVBand="1"/>
      </w:tblPr>
      <w:tblGrid>
        <w:gridCol w:w="2500"/>
        <w:gridCol w:w="860"/>
        <w:gridCol w:w="740"/>
        <w:gridCol w:w="740"/>
        <w:gridCol w:w="800"/>
        <w:gridCol w:w="580"/>
        <w:gridCol w:w="640"/>
        <w:gridCol w:w="580"/>
        <w:gridCol w:w="740"/>
        <w:gridCol w:w="1060"/>
      </w:tblGrid>
      <w:tr w:rsidR="00D02DFF" w:rsidRPr="00D02DFF" w:rsidTr="00D02DFF">
        <w:trPr>
          <w:trHeight w:val="378"/>
        </w:trPr>
        <w:tc>
          <w:tcPr>
            <w:tcW w:w="25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WA</w:t>
            </w:r>
          </w:p>
        </w:tc>
        <w:tc>
          <w:tcPr>
            <w:tcW w:w="58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D02DFF">
              <w:rPr>
                <w:rFonts w:ascii="Calibri" w:eastAsia="Times New Roman" w:hAnsi="Calibri" w:cs="Times New Roman"/>
                <w:sz w:val="20"/>
                <w:szCs w:val="20"/>
                <w:lang w:eastAsia="en-AU"/>
              </w:rPr>
              <w:t>Tas</w:t>
            </w:r>
            <w:proofErr w:type="spellEnd"/>
          </w:p>
        </w:tc>
        <w:tc>
          <w:tcPr>
            <w:tcW w:w="58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ACT</w:t>
            </w:r>
          </w:p>
        </w:tc>
        <w:tc>
          <w:tcPr>
            <w:tcW w:w="74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NT</w:t>
            </w:r>
          </w:p>
        </w:tc>
        <w:tc>
          <w:tcPr>
            <w:tcW w:w="106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D02DFF">
              <w:rPr>
                <w:rFonts w:ascii="Calibri" w:eastAsia="Times New Roman" w:hAnsi="Calibri" w:cs="Times New Roman"/>
                <w:sz w:val="20"/>
                <w:szCs w:val="20"/>
                <w:lang w:eastAsia="en-AU"/>
              </w:rPr>
              <w:t>Redist</w:t>
            </w:r>
            <w:proofErr w:type="spellEnd"/>
            <w:r w:rsidRPr="00D02DFF">
              <w:rPr>
                <w:rFonts w:ascii="Calibri" w:eastAsia="Times New Roman" w:hAnsi="Calibri" w:cs="Times New Roman"/>
                <w:sz w:val="20"/>
                <w:szCs w:val="20"/>
                <w:lang w:eastAsia="en-AU"/>
              </w:rPr>
              <w:t xml:space="preserve"> (a)</w:t>
            </w:r>
          </w:p>
        </w:tc>
      </w:tr>
      <w:tr w:rsidR="00D02DFF" w:rsidRPr="00D02DFF" w:rsidTr="00D02DFF">
        <w:trPr>
          <w:trHeight w:val="258"/>
        </w:trPr>
        <w:tc>
          <w:tcPr>
            <w:tcW w:w="250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p>
        </w:tc>
        <w:tc>
          <w:tcPr>
            <w:tcW w:w="86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58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106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r>
      <w:tr w:rsidR="00D02DFF" w:rsidRPr="00D02DFF" w:rsidTr="00D02DFF">
        <w:trPr>
          <w:trHeight w:val="315"/>
        </w:trPr>
        <w:tc>
          <w:tcPr>
            <w:tcW w:w="250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Expense requirement</w:t>
            </w:r>
          </w:p>
        </w:tc>
        <w:tc>
          <w:tcPr>
            <w:tcW w:w="86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189</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145</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-486</w:t>
            </w:r>
          </w:p>
        </w:tc>
        <w:tc>
          <w:tcPr>
            <w:tcW w:w="80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148</w:t>
            </w:r>
          </w:p>
        </w:tc>
        <w:tc>
          <w:tcPr>
            <w:tcW w:w="58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108</w:t>
            </w:r>
          </w:p>
        </w:tc>
        <w:tc>
          <w:tcPr>
            <w:tcW w:w="6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15</w:t>
            </w:r>
          </w:p>
        </w:tc>
        <w:tc>
          <w:tcPr>
            <w:tcW w:w="58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-124</w:t>
            </w:r>
          </w:p>
        </w:tc>
        <w:tc>
          <w:tcPr>
            <w:tcW w:w="106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610</w:t>
            </w:r>
          </w:p>
        </w:tc>
      </w:tr>
      <w:tr w:rsidR="00D02DFF" w:rsidRPr="00D02DFF" w:rsidTr="00D02DFF">
        <w:trPr>
          <w:trHeight w:val="315"/>
        </w:trPr>
        <w:tc>
          <w:tcPr>
            <w:tcW w:w="250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Investment requirement</w:t>
            </w:r>
          </w:p>
        </w:tc>
        <w:tc>
          <w:tcPr>
            <w:tcW w:w="86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291</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630</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-218</w:t>
            </w:r>
          </w:p>
        </w:tc>
        <w:tc>
          <w:tcPr>
            <w:tcW w:w="80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-621</w:t>
            </w:r>
          </w:p>
        </w:tc>
        <w:tc>
          <w:tcPr>
            <w:tcW w:w="58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-60</w:t>
            </w:r>
          </w:p>
        </w:tc>
        <w:tc>
          <w:tcPr>
            <w:tcW w:w="6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w:t>
            </w:r>
          </w:p>
        </w:tc>
        <w:tc>
          <w:tcPr>
            <w:tcW w:w="58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36</w:t>
            </w:r>
          </w:p>
        </w:tc>
        <w:tc>
          <w:tcPr>
            <w:tcW w:w="74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-67</w:t>
            </w:r>
          </w:p>
        </w:tc>
        <w:tc>
          <w:tcPr>
            <w:tcW w:w="1060" w:type="dxa"/>
            <w:tcBorders>
              <w:top w:val="nil"/>
              <w:left w:val="nil"/>
              <w:bottom w:val="nil"/>
              <w:right w:val="nil"/>
            </w:tcBorders>
            <w:shd w:val="clear" w:color="auto" w:fill="auto"/>
            <w:noWrap/>
            <w:vAlign w:val="bottom"/>
            <w:hideMark/>
          </w:tcPr>
          <w:p w:rsidR="00D02DFF" w:rsidRPr="00D02DFF" w:rsidRDefault="00D02DFF" w:rsidP="00DA1A52">
            <w:pPr>
              <w:keepNext/>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966</w:t>
            </w:r>
          </w:p>
        </w:tc>
      </w:tr>
      <w:tr w:rsidR="00D02DFF" w:rsidRPr="00D02DFF" w:rsidTr="00D02DFF">
        <w:trPr>
          <w:trHeight w:val="315"/>
        </w:trPr>
        <w:tc>
          <w:tcPr>
            <w:tcW w:w="25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-90</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16</w:t>
            </w:r>
          </w:p>
        </w:tc>
        <w:tc>
          <w:tcPr>
            <w:tcW w:w="8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82</w:t>
            </w:r>
          </w:p>
        </w:tc>
        <w:tc>
          <w:tcPr>
            <w:tcW w:w="58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w:t>
            </w:r>
          </w:p>
        </w:tc>
        <w:tc>
          <w:tcPr>
            <w:tcW w:w="6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0</w:t>
            </w:r>
          </w:p>
        </w:tc>
        <w:tc>
          <w:tcPr>
            <w:tcW w:w="58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w:t>
            </w:r>
          </w:p>
        </w:tc>
        <w:tc>
          <w:tcPr>
            <w:tcW w:w="106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104</w:t>
            </w:r>
          </w:p>
        </w:tc>
      </w:tr>
      <w:tr w:rsidR="00D02DFF" w:rsidRPr="00D02DFF" w:rsidTr="00D02DFF">
        <w:trPr>
          <w:trHeight w:val="315"/>
        </w:trPr>
        <w:tc>
          <w:tcPr>
            <w:tcW w:w="25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Revenue capacity</w:t>
            </w:r>
          </w:p>
        </w:tc>
        <w:tc>
          <w:tcPr>
            <w:tcW w:w="86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-841</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-283</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-272</w:t>
            </w:r>
          </w:p>
        </w:tc>
        <w:tc>
          <w:tcPr>
            <w:tcW w:w="8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1 287</w:t>
            </w:r>
          </w:p>
        </w:tc>
        <w:tc>
          <w:tcPr>
            <w:tcW w:w="58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202</w:t>
            </w:r>
          </w:p>
        </w:tc>
        <w:tc>
          <w:tcPr>
            <w:tcW w:w="6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-42</w:t>
            </w:r>
          </w:p>
        </w:tc>
        <w:tc>
          <w:tcPr>
            <w:tcW w:w="58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-69</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17</w:t>
            </w:r>
          </w:p>
        </w:tc>
        <w:tc>
          <w:tcPr>
            <w:tcW w:w="106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1 506</w:t>
            </w:r>
          </w:p>
        </w:tc>
      </w:tr>
      <w:tr w:rsidR="00D02DFF" w:rsidRPr="00D02DFF" w:rsidTr="00D02DFF">
        <w:trPr>
          <w:trHeight w:val="315"/>
        </w:trPr>
        <w:tc>
          <w:tcPr>
            <w:tcW w:w="25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Commonwealth payments</w:t>
            </w:r>
          </w:p>
        </w:tc>
        <w:tc>
          <w:tcPr>
            <w:tcW w:w="86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-82</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528</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-250</w:t>
            </w:r>
          </w:p>
        </w:tc>
        <w:tc>
          <w:tcPr>
            <w:tcW w:w="8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-11</w:t>
            </w:r>
          </w:p>
        </w:tc>
        <w:tc>
          <w:tcPr>
            <w:tcW w:w="58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-82</w:t>
            </w:r>
          </w:p>
        </w:tc>
        <w:tc>
          <w:tcPr>
            <w:tcW w:w="6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-33</w:t>
            </w:r>
          </w:p>
        </w:tc>
        <w:tc>
          <w:tcPr>
            <w:tcW w:w="58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18</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-88</w:t>
            </w:r>
          </w:p>
        </w:tc>
        <w:tc>
          <w:tcPr>
            <w:tcW w:w="106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546</w:t>
            </w:r>
          </w:p>
        </w:tc>
      </w:tr>
      <w:tr w:rsidR="00D02DFF" w:rsidRPr="00D02DFF" w:rsidTr="00D02DFF">
        <w:trPr>
          <w:trHeight w:val="315"/>
        </w:trPr>
        <w:tc>
          <w:tcPr>
            <w:tcW w:w="2500" w:type="dxa"/>
            <w:tcBorders>
              <w:top w:val="nil"/>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 xml:space="preserve">Total </w:t>
            </w:r>
          </w:p>
        </w:tc>
        <w:tc>
          <w:tcPr>
            <w:tcW w:w="86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-451</w:t>
            </w:r>
          </w:p>
        </w:tc>
        <w:tc>
          <w:tcPr>
            <w:tcW w:w="74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929</w:t>
            </w:r>
          </w:p>
        </w:tc>
        <w:tc>
          <w:tcPr>
            <w:tcW w:w="74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-1 208</w:t>
            </w:r>
          </w:p>
        </w:tc>
        <w:tc>
          <w:tcPr>
            <w:tcW w:w="80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 xml:space="preserve"> 885</w:t>
            </w:r>
          </w:p>
        </w:tc>
        <w:tc>
          <w:tcPr>
            <w:tcW w:w="58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172</w:t>
            </w:r>
          </w:p>
        </w:tc>
        <w:tc>
          <w:tcPr>
            <w:tcW w:w="64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-52</w:t>
            </w:r>
          </w:p>
        </w:tc>
        <w:tc>
          <w:tcPr>
            <w:tcW w:w="58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-15</w:t>
            </w:r>
          </w:p>
        </w:tc>
        <w:tc>
          <w:tcPr>
            <w:tcW w:w="74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-260</w:t>
            </w:r>
          </w:p>
        </w:tc>
        <w:tc>
          <w:tcPr>
            <w:tcW w:w="1060" w:type="dxa"/>
            <w:tcBorders>
              <w:top w:val="single" w:sz="4" w:space="0" w:color="auto"/>
              <w:left w:val="nil"/>
              <w:bottom w:val="single" w:sz="4" w:space="0" w:color="auto"/>
              <w:right w:val="nil"/>
            </w:tcBorders>
            <w:shd w:val="clear" w:color="auto" w:fill="auto"/>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1 986</w:t>
            </w:r>
          </w:p>
        </w:tc>
      </w:tr>
    </w:tbl>
    <w:p w:rsidR="005C0990" w:rsidRDefault="005C0990" w:rsidP="00FF6FBD">
      <w:pPr>
        <w:pStyle w:val="CGCTableFootnote"/>
      </w:pPr>
      <w:r>
        <w:t>Note:</w:t>
      </w:r>
      <w:r>
        <w:tab/>
        <w:t>The total change show</w:t>
      </w:r>
      <w:r w:rsidR="00320408">
        <w:t>n</w:t>
      </w:r>
      <w:r>
        <w:t xml:space="preserve"> here</w:t>
      </w:r>
      <w:r w:rsidR="005C5E78">
        <w:t>, from 201</w:t>
      </w:r>
      <w:r w:rsidR="0057441B">
        <w:t>7</w:t>
      </w:r>
      <w:r w:rsidR="005C5E78">
        <w:noBreakHyphen/>
        <w:t>18 to 2018</w:t>
      </w:r>
      <w:r w:rsidR="005C5E78">
        <w:noBreakHyphen/>
        <w:t>19,</w:t>
      </w:r>
      <w:r>
        <w:t xml:space="preserve"> is equivalent to the change caused b</w:t>
      </w:r>
      <w:r w:rsidR="00320408">
        <w:t>y</w:t>
      </w:r>
      <w:r>
        <w:t xml:space="preserve"> new fiscal capacities show</w:t>
      </w:r>
      <w:r w:rsidR="00320408">
        <w:t>n</w:t>
      </w:r>
      <w:r>
        <w:t xml:space="preserve"> in </w:t>
      </w:r>
      <w:r>
        <w:fldChar w:fldCharType="begin"/>
      </w:r>
      <w:r>
        <w:instrText xml:space="preserve"> REF _Ref503770922 \h </w:instrText>
      </w:r>
      <w:r>
        <w:fldChar w:fldCharType="separate"/>
      </w:r>
      <w:r w:rsidR="000A6746">
        <w:t xml:space="preserve">Table </w:t>
      </w:r>
      <w:r w:rsidR="000A6746">
        <w:rPr>
          <w:noProof/>
        </w:rPr>
        <w:t>2</w:t>
      </w:r>
      <w:r>
        <w:fldChar w:fldCharType="end"/>
      </w:r>
      <w:r>
        <w:t>.</w:t>
      </w:r>
    </w:p>
    <w:p w:rsidR="00FF6FBD" w:rsidRDefault="00FF6FBD" w:rsidP="00FF6FBD">
      <w:pPr>
        <w:pStyle w:val="CGCTableFootnote"/>
      </w:pPr>
      <w:r>
        <w:t>(a)</w:t>
      </w:r>
      <w:r>
        <w:tab/>
        <w:t>The redistribution is calculated as half the absolute sum of the items in the row.</w:t>
      </w:r>
    </w:p>
    <w:p w:rsidR="00FF6FBD" w:rsidRDefault="00FF6FBD" w:rsidP="00FF6FBD">
      <w:pPr>
        <w:pStyle w:val="CGCTableFootnote"/>
      </w:pPr>
      <w:r>
        <w:t>Source:</w:t>
      </w:r>
      <w:r>
        <w:tab/>
        <w:t>Commission calculation.</w:t>
      </w:r>
    </w:p>
    <w:p w:rsidR="00FF6FBD" w:rsidRPr="002A48E0" w:rsidRDefault="00FF6FBD" w:rsidP="00FF6FBD">
      <w:pPr>
        <w:pStyle w:val="CGCNumberedPara"/>
        <w:numPr>
          <w:ilvl w:val="1"/>
          <w:numId w:val="41"/>
        </w:numPr>
      </w:pPr>
      <w:r>
        <w:fldChar w:fldCharType="begin"/>
      </w:r>
      <w:r>
        <w:instrText xml:space="preserve"> REF _Ref503771880 \h </w:instrText>
      </w:r>
      <w:r>
        <w:fldChar w:fldCharType="separate"/>
      </w:r>
      <w:r w:rsidR="000A6746">
        <w:t xml:space="preserve">Table </w:t>
      </w:r>
      <w:r w:rsidR="000A6746">
        <w:rPr>
          <w:noProof/>
        </w:rPr>
        <w:t>4</w:t>
      </w:r>
      <w:r>
        <w:fldChar w:fldCharType="end"/>
      </w:r>
      <w:r>
        <w:t xml:space="preserve"> shows </w:t>
      </w:r>
      <w:r w:rsidRPr="002A48E0">
        <w:t>the main causes of the change in the GST distribution. They are</w:t>
      </w:r>
      <w:r w:rsidR="006C4A2D">
        <w:t xml:space="preserve"> listed in order of importance.</w:t>
      </w:r>
    </w:p>
    <w:p w:rsidR="001D7293" w:rsidRDefault="00FF6FBD" w:rsidP="00FF0933">
      <w:pPr>
        <w:pStyle w:val="Caption"/>
      </w:pPr>
      <w:bookmarkStart w:id="249" w:name="_Ref503771880"/>
      <w:r>
        <w:t xml:space="preserve">Table </w:t>
      </w:r>
      <w:r w:rsidR="00CD68E8">
        <w:fldChar w:fldCharType="begin"/>
      </w:r>
      <w:r w:rsidR="00CD68E8">
        <w:instrText xml:space="preserve"> SEQ Table \* ARABIC </w:instrText>
      </w:r>
      <w:r w:rsidR="00CD68E8">
        <w:fldChar w:fldCharType="separate"/>
      </w:r>
      <w:r w:rsidR="000A6746">
        <w:rPr>
          <w:noProof/>
        </w:rPr>
        <w:t>4</w:t>
      </w:r>
      <w:r w:rsidR="00CD68E8">
        <w:rPr>
          <w:noProof/>
        </w:rPr>
        <w:fldChar w:fldCharType="end"/>
      </w:r>
      <w:bookmarkEnd w:id="249"/>
      <w:r>
        <w:tab/>
        <w:t>Causes of change in the GST distribution, 2018</w:t>
      </w:r>
      <w:r>
        <w:noBreakHyphen/>
        <w:t>19</w:t>
      </w:r>
    </w:p>
    <w:tbl>
      <w:tblPr>
        <w:tblW w:w="9240" w:type="dxa"/>
        <w:tblInd w:w="93" w:type="dxa"/>
        <w:tblLook w:val="04A0" w:firstRow="1" w:lastRow="0" w:firstColumn="1" w:lastColumn="0" w:noHBand="0" w:noVBand="1"/>
      </w:tblPr>
      <w:tblGrid>
        <w:gridCol w:w="2900"/>
        <w:gridCol w:w="700"/>
        <w:gridCol w:w="700"/>
        <w:gridCol w:w="740"/>
        <w:gridCol w:w="700"/>
        <w:gridCol w:w="700"/>
        <w:gridCol w:w="700"/>
        <w:gridCol w:w="700"/>
        <w:gridCol w:w="700"/>
        <w:gridCol w:w="721"/>
      </w:tblGrid>
      <w:tr w:rsidR="00D02DFF" w:rsidRPr="00D02DFF" w:rsidTr="00D02DFF">
        <w:trPr>
          <w:trHeight w:val="378"/>
        </w:trPr>
        <w:tc>
          <w:tcPr>
            <w:tcW w:w="29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bookmarkStart w:id="250" w:name="RANGE!A4:J13"/>
            <w:r w:rsidRPr="00D02DFF">
              <w:rPr>
                <w:rFonts w:ascii="Calibri" w:eastAsia="Times New Roman" w:hAnsi="Calibri" w:cs="Times New Roman"/>
                <w:sz w:val="20"/>
                <w:szCs w:val="20"/>
                <w:lang w:eastAsia="en-AU"/>
              </w:rPr>
              <w:t> </w:t>
            </w:r>
            <w:bookmarkEnd w:id="250"/>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proofErr w:type="spellStart"/>
            <w:r w:rsidRPr="00D02DFF">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NT</w:t>
            </w:r>
          </w:p>
        </w:tc>
        <w:tc>
          <w:tcPr>
            <w:tcW w:w="700" w:type="dxa"/>
            <w:tcBorders>
              <w:top w:val="single" w:sz="4" w:space="0" w:color="auto"/>
              <w:left w:val="nil"/>
              <w:bottom w:val="single" w:sz="4" w:space="0" w:color="auto"/>
              <w:right w:val="nil"/>
            </w:tcBorders>
            <w:shd w:val="clear" w:color="auto" w:fill="auto"/>
            <w:noWrap/>
            <w:vAlign w:val="center"/>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proofErr w:type="spellStart"/>
            <w:r w:rsidRPr="00D02DFF">
              <w:rPr>
                <w:rFonts w:ascii="Calibri" w:eastAsia="Times New Roman" w:hAnsi="Calibri" w:cs="Times New Roman"/>
                <w:sz w:val="20"/>
                <w:szCs w:val="20"/>
                <w:lang w:eastAsia="en-AU"/>
              </w:rPr>
              <w:t>Redist</w:t>
            </w:r>
            <w:proofErr w:type="spellEnd"/>
          </w:p>
        </w:tc>
      </w:tr>
      <w:tr w:rsidR="00D02DFF" w:rsidRPr="00D02DFF" w:rsidTr="00D02DFF">
        <w:trPr>
          <w:trHeight w:val="258"/>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 </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Mining production</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-194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-86</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-417</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669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716</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Natural disaster relief</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362</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92</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-545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17</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569</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Population growth</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107</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427</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-102</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-410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560</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Commonwealth payments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-82</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528</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-250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-82</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18</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-88</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546</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Property sales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-250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-129</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401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466</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Socio-economic status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-298</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-15</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145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124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346</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Taxable payrolls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-113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-110</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74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149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88</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-53</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310</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Wage costs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145</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-126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-18</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250</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Taxable land values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-220</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-16</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121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75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29</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236</w:t>
            </w:r>
          </w:p>
        </w:tc>
      </w:tr>
      <w:tr w:rsidR="00D02DFF" w:rsidRPr="00D02DFF" w:rsidTr="00D02DFF">
        <w:trPr>
          <w:trHeight w:val="315"/>
        </w:trPr>
        <w:tc>
          <w:tcPr>
            <w:tcW w:w="29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All other changes</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331</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92</w:t>
            </w:r>
          </w:p>
        </w:tc>
        <w:tc>
          <w:tcPr>
            <w:tcW w:w="74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-256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-35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-7</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-14</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-105</w:t>
            </w:r>
          </w:p>
        </w:tc>
        <w:tc>
          <w:tcPr>
            <w:tcW w:w="700" w:type="dxa"/>
            <w:tcBorders>
              <w:top w:val="nil"/>
              <w:left w:val="nil"/>
              <w:bottom w:val="nil"/>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423</w:t>
            </w:r>
          </w:p>
        </w:tc>
      </w:tr>
      <w:tr w:rsidR="00D02DFF" w:rsidRPr="00D02DFF" w:rsidTr="00D02DFF">
        <w:trPr>
          <w:trHeight w:val="315"/>
        </w:trPr>
        <w:tc>
          <w:tcPr>
            <w:tcW w:w="2900" w:type="dxa"/>
            <w:tcBorders>
              <w:top w:val="nil"/>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Total</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-451</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929</w:t>
            </w:r>
          </w:p>
        </w:tc>
        <w:tc>
          <w:tcPr>
            <w:tcW w:w="74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-1 208</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 xml:space="preserve"> 885</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172</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-52</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-15</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-260</w:t>
            </w:r>
          </w:p>
        </w:tc>
        <w:tc>
          <w:tcPr>
            <w:tcW w:w="700" w:type="dxa"/>
            <w:tcBorders>
              <w:top w:val="single" w:sz="4" w:space="0" w:color="auto"/>
              <w:left w:val="nil"/>
              <w:bottom w:val="single" w:sz="4" w:space="0" w:color="auto"/>
              <w:right w:val="nil"/>
            </w:tcBorders>
            <w:shd w:val="clear" w:color="auto" w:fill="auto"/>
            <w:noWrap/>
            <w:vAlign w:val="bottom"/>
            <w:hideMark/>
          </w:tcPr>
          <w:p w:rsidR="00D02DFF" w:rsidRPr="00D02DFF" w:rsidRDefault="00D02DFF" w:rsidP="00D02DFF">
            <w:pPr>
              <w:tabs>
                <w:tab w:val="clear" w:pos="567"/>
              </w:tabs>
              <w:spacing w:after="0" w:line="240" w:lineRule="auto"/>
              <w:jc w:val="right"/>
              <w:rPr>
                <w:rFonts w:ascii="Calibri" w:eastAsia="Times New Roman" w:hAnsi="Calibri" w:cs="Times New Roman"/>
                <w:sz w:val="20"/>
                <w:szCs w:val="20"/>
                <w:lang w:eastAsia="en-AU"/>
              </w:rPr>
            </w:pPr>
            <w:r w:rsidRPr="00D02DFF">
              <w:rPr>
                <w:rFonts w:ascii="Calibri" w:eastAsia="Times New Roman" w:hAnsi="Calibri" w:cs="Times New Roman"/>
                <w:sz w:val="20"/>
                <w:szCs w:val="20"/>
                <w:lang w:eastAsia="en-AU"/>
              </w:rPr>
              <w:t>1 986</w:t>
            </w:r>
          </w:p>
        </w:tc>
      </w:tr>
    </w:tbl>
    <w:p w:rsidR="00FF6FBD" w:rsidRDefault="00FF6FBD" w:rsidP="00FF0933">
      <w:pPr>
        <w:pStyle w:val="CGCTableFootnote"/>
        <w:keepNext/>
        <w:keepLines/>
      </w:pPr>
      <w:r>
        <w:t>Source:</w:t>
      </w:r>
      <w:r>
        <w:tab/>
        <w:t>Commission calculation.</w:t>
      </w:r>
    </w:p>
    <w:p w:rsidR="00500904" w:rsidRDefault="00500904" w:rsidP="00500904">
      <w:pPr>
        <w:pStyle w:val="CGCNumberedPara"/>
      </w:pPr>
      <w:r w:rsidRPr="002A48E0">
        <w:t xml:space="preserve">The most important changes were </w:t>
      </w:r>
      <w:r w:rsidR="009217B5">
        <w:t>as follows</w:t>
      </w:r>
      <w:r w:rsidRPr="002A48E0">
        <w:t>.</w:t>
      </w:r>
    </w:p>
    <w:p w:rsidR="00D97867" w:rsidRPr="006455BD" w:rsidRDefault="00D97867" w:rsidP="006455BD">
      <w:pPr>
        <w:pStyle w:val="CGCBulletlist"/>
      </w:pPr>
      <w:r w:rsidRPr="00177CC8">
        <w:rPr>
          <w:rStyle w:val="Heading6Char"/>
        </w:rPr>
        <w:t xml:space="preserve">Mining production. </w:t>
      </w:r>
      <w:r w:rsidR="00686C4C" w:rsidRPr="006455BD">
        <w:t>Between 2013</w:t>
      </w:r>
      <w:r w:rsidR="0068319A" w:rsidRPr="006455BD">
        <w:noBreakHyphen/>
      </w:r>
      <w:r w:rsidR="00686C4C" w:rsidRPr="006455BD">
        <w:t>14 and 2016</w:t>
      </w:r>
      <w:r w:rsidR="0068319A" w:rsidRPr="006455BD">
        <w:noBreakHyphen/>
      </w:r>
      <w:r w:rsidR="00686C4C" w:rsidRPr="006455BD">
        <w:t>17, the value of iron ore production fell, while the value of coal production rose. These changes increased the fiscal capacit</w:t>
      </w:r>
      <w:r w:rsidR="00540C8B" w:rsidRPr="006455BD">
        <w:t>ies</w:t>
      </w:r>
      <w:r w:rsidR="00686C4C" w:rsidRPr="006455BD">
        <w:t xml:space="preserve"> of New South Wales and Queensland and reduced their GST shares. The changes reduced the fiscal capacity of Western</w:t>
      </w:r>
      <w:r w:rsidR="001B11CE">
        <w:t> </w:t>
      </w:r>
      <w:r w:rsidR="00686C4C" w:rsidRPr="006455BD">
        <w:t>Australia. Its fiscal capacity was further reduced by declining North</w:t>
      </w:r>
      <w:r w:rsidR="001B11CE">
        <w:t> </w:t>
      </w:r>
      <w:r w:rsidR="00686C4C" w:rsidRPr="006455BD">
        <w:t>West Shelf royalt</w:t>
      </w:r>
      <w:r w:rsidR="00DB6A81">
        <w:t>ies</w:t>
      </w:r>
      <w:r w:rsidR="00686C4C" w:rsidRPr="006455BD">
        <w:t xml:space="preserve">. As a result, </w:t>
      </w:r>
      <w:r w:rsidR="005C5E78">
        <w:t>Western Australia’s</w:t>
      </w:r>
      <w:r w:rsidR="005C5E78" w:rsidRPr="006455BD">
        <w:t xml:space="preserve"> </w:t>
      </w:r>
      <w:r w:rsidR="00686C4C" w:rsidRPr="006455BD">
        <w:t>GST share increased.</w:t>
      </w:r>
    </w:p>
    <w:p w:rsidR="00D97867" w:rsidRPr="006455BD" w:rsidRDefault="00D97867" w:rsidP="006455BD">
      <w:pPr>
        <w:pStyle w:val="CGCBulletlist"/>
      </w:pPr>
      <w:r w:rsidRPr="00177CC8">
        <w:rPr>
          <w:rStyle w:val="Heading6Char"/>
        </w:rPr>
        <w:t>Natural disaster relief.</w:t>
      </w:r>
      <w:r w:rsidRPr="006455BD">
        <w:t xml:space="preserve"> </w:t>
      </w:r>
      <w:r w:rsidR="00780D34" w:rsidRPr="006455BD">
        <w:t>The net expenses for Queensland and the Northern</w:t>
      </w:r>
      <w:r w:rsidR="001B11CE">
        <w:t> </w:t>
      </w:r>
      <w:r w:rsidR="00780D34" w:rsidRPr="006455BD">
        <w:t>Territory were significantly lower in 2016</w:t>
      </w:r>
      <w:r w:rsidR="00780D34" w:rsidRPr="006455BD">
        <w:noBreakHyphen/>
        <w:t>17 compared with 2013</w:t>
      </w:r>
      <w:r w:rsidR="00780D34" w:rsidRPr="006455BD">
        <w:noBreakHyphen/>
        <w:t>14</w:t>
      </w:r>
      <w:r w:rsidR="00540C8B" w:rsidRPr="006455BD">
        <w:t>,</w:t>
      </w:r>
      <w:r w:rsidR="00780D34" w:rsidRPr="006455BD">
        <w:t xml:space="preserve"> </w:t>
      </w:r>
      <w:r w:rsidR="00780D34" w:rsidRPr="006455BD">
        <w:lastRenderedPageBreak/>
        <w:t xml:space="preserve">resulting in a decline in their GST shares and increases </w:t>
      </w:r>
      <w:r w:rsidR="00540C8B" w:rsidRPr="006455BD">
        <w:t>in the GST shares of</w:t>
      </w:r>
      <w:r w:rsidR="00780D34" w:rsidRPr="006455BD">
        <w:t xml:space="preserve"> other States.</w:t>
      </w:r>
    </w:p>
    <w:p w:rsidR="00F915C2" w:rsidRPr="006455BD" w:rsidRDefault="00F915C2" w:rsidP="00F915C2">
      <w:pPr>
        <w:pStyle w:val="CGCBulletlist"/>
      </w:pPr>
      <w:r w:rsidRPr="00177CC8">
        <w:rPr>
          <w:rStyle w:val="Heading6Char"/>
        </w:rPr>
        <w:t>Population growth.</w:t>
      </w:r>
      <w:r w:rsidRPr="006455BD">
        <w:t xml:space="preserve"> </w:t>
      </w:r>
      <w:r>
        <w:t>The pattern of population growth has changed b</w:t>
      </w:r>
      <w:r w:rsidRPr="006455BD">
        <w:t>etween 2013-14 and 2016-17</w:t>
      </w:r>
      <w:r w:rsidR="00A96C00">
        <w:t>,</w:t>
      </w:r>
      <w:r>
        <w:t xml:space="preserve"> leading to a change in the pattern of investment requirements among the States.</w:t>
      </w:r>
      <w:r w:rsidRPr="006455BD">
        <w:t xml:space="preserve"> </w:t>
      </w:r>
      <w:r>
        <w:t xml:space="preserve">The rate of </w:t>
      </w:r>
      <w:r w:rsidRPr="006455BD">
        <w:t xml:space="preserve">population growth </w:t>
      </w:r>
      <w:r>
        <w:t xml:space="preserve">in some States has declined, particularly in Western Australia and the Northern Territory, while it has </w:t>
      </w:r>
      <w:r w:rsidRPr="006455BD">
        <w:t xml:space="preserve">increased </w:t>
      </w:r>
      <w:r>
        <w:t xml:space="preserve">in </w:t>
      </w:r>
      <w:r w:rsidRPr="006455BD">
        <w:t xml:space="preserve">New South Wales, Victoria, Tasmania and the ACT. This increased the investment requirements </w:t>
      </w:r>
      <w:r w:rsidR="00A96C00">
        <w:t>of</w:t>
      </w:r>
      <w:r w:rsidR="00A96C00" w:rsidRPr="006455BD">
        <w:t xml:space="preserve"> </w:t>
      </w:r>
      <w:r w:rsidRPr="006455BD">
        <w:t>the</w:t>
      </w:r>
      <w:r>
        <w:t xml:space="preserve"> latter</w:t>
      </w:r>
      <w:r w:rsidRPr="006455BD">
        <w:t xml:space="preserve"> States and </w:t>
      </w:r>
      <w:r w:rsidR="00A96C00">
        <w:t xml:space="preserve">hence </w:t>
      </w:r>
      <w:r w:rsidRPr="006455BD">
        <w:t>their GST shares.</w:t>
      </w:r>
    </w:p>
    <w:p w:rsidR="001A5321" w:rsidRPr="006455BD" w:rsidRDefault="001A5321" w:rsidP="006455BD">
      <w:pPr>
        <w:pStyle w:val="CGCBulletlist"/>
      </w:pPr>
      <w:r w:rsidRPr="00177CC8">
        <w:rPr>
          <w:rStyle w:val="Heading6Char"/>
        </w:rPr>
        <w:t>Commonwealth payments</w:t>
      </w:r>
      <w:r w:rsidR="008C4FFD" w:rsidRPr="00177CC8">
        <w:rPr>
          <w:rStyle w:val="Heading6Char"/>
        </w:rPr>
        <w:t>.</w:t>
      </w:r>
      <w:r w:rsidRPr="006455BD">
        <w:t xml:space="preserve"> </w:t>
      </w:r>
      <w:r w:rsidR="006726A6" w:rsidRPr="006455BD">
        <w:t xml:space="preserve">There were significant changes in the size </w:t>
      </w:r>
      <w:r w:rsidR="00081CF6" w:rsidRPr="006455BD">
        <w:t>and</w:t>
      </w:r>
      <w:r w:rsidR="006726A6" w:rsidRPr="006455BD">
        <w:t xml:space="preserve"> distribution of </w:t>
      </w:r>
      <w:r w:rsidR="00176BBC">
        <w:t xml:space="preserve">payments </w:t>
      </w:r>
      <w:r w:rsidR="006726A6" w:rsidRPr="006455BD">
        <w:t>among the States in 2016</w:t>
      </w:r>
      <w:r w:rsidR="00DB7EC8" w:rsidRPr="006455BD">
        <w:noBreakHyphen/>
      </w:r>
      <w:r w:rsidR="00081CF6" w:rsidRPr="006455BD">
        <w:t>17 compared with 2013</w:t>
      </w:r>
      <w:r w:rsidR="00081CF6" w:rsidRPr="006455BD">
        <w:noBreakHyphen/>
        <w:t xml:space="preserve">14. A reduction in </w:t>
      </w:r>
      <w:r w:rsidR="006726A6" w:rsidRPr="006455BD">
        <w:t xml:space="preserve">Victoria’s share of </w:t>
      </w:r>
      <w:r w:rsidR="00081CF6" w:rsidRPr="006455BD">
        <w:t xml:space="preserve">payments for road and rail </w:t>
      </w:r>
      <w:r w:rsidR="0029367C">
        <w:t xml:space="preserve">infrastructure </w:t>
      </w:r>
      <w:r w:rsidR="00081CF6" w:rsidRPr="006455BD">
        <w:t>increased</w:t>
      </w:r>
      <w:r w:rsidR="006726A6" w:rsidRPr="006455BD">
        <w:t xml:space="preserve"> its GST share. In contrast,</w:t>
      </w:r>
      <w:r w:rsidR="00081CF6" w:rsidRPr="006455BD">
        <w:t xml:space="preserve"> an increase in the share of these payments received by</w:t>
      </w:r>
      <w:r w:rsidR="006726A6" w:rsidRPr="006455BD">
        <w:t xml:space="preserve"> New South Wales, Queensland, South Australia and Tasmania reduc</w:t>
      </w:r>
      <w:r w:rsidR="00081CF6" w:rsidRPr="006455BD">
        <w:t>ed</w:t>
      </w:r>
      <w:r w:rsidR="006726A6" w:rsidRPr="006455BD">
        <w:t xml:space="preserve"> their GST shares. </w:t>
      </w:r>
      <w:r w:rsidR="00471C45" w:rsidRPr="006455BD">
        <w:t>Increases in th</w:t>
      </w:r>
      <w:r w:rsidR="006726A6" w:rsidRPr="006455BD">
        <w:t xml:space="preserve">e share of National Health Reform funding </w:t>
      </w:r>
      <w:r w:rsidR="00471C45" w:rsidRPr="006455BD">
        <w:t>received by</w:t>
      </w:r>
      <w:r w:rsidR="00320408">
        <w:t xml:space="preserve"> Queensland, Western Australia</w:t>
      </w:r>
      <w:r w:rsidR="00540C8B" w:rsidRPr="006455BD">
        <w:t xml:space="preserve"> and</w:t>
      </w:r>
      <w:r w:rsidR="006726A6" w:rsidRPr="006455BD">
        <w:t xml:space="preserve"> Tasmania reduced their GST shares. The Northern Territory’s share of Commonwealth payments increased over the period, particularly for health, government schools and remote Indigenous housing. This resulted in a reduction in its GST share. The use of new Census data and the cessation of </w:t>
      </w:r>
      <w:proofErr w:type="spellStart"/>
      <w:r w:rsidR="006726A6" w:rsidRPr="006455BD">
        <w:t>backcasting</w:t>
      </w:r>
      <w:proofErr w:type="spellEnd"/>
      <w:r w:rsidR="006726A6" w:rsidRPr="006455BD">
        <w:t xml:space="preserve"> for Students First funding also had an impact on States’ GST share</w:t>
      </w:r>
      <w:r w:rsidR="006A57AD" w:rsidRPr="006455BD">
        <w:t>s</w:t>
      </w:r>
      <w:r w:rsidR="006726A6" w:rsidRPr="006455BD">
        <w:t>.</w:t>
      </w:r>
    </w:p>
    <w:p w:rsidR="00D97867" w:rsidRPr="006455BD" w:rsidRDefault="00D97867" w:rsidP="006455BD">
      <w:pPr>
        <w:pStyle w:val="CGCBulletlist"/>
      </w:pPr>
      <w:r w:rsidRPr="00177CC8">
        <w:rPr>
          <w:rStyle w:val="Heading6Char"/>
        </w:rPr>
        <w:t>Property sales</w:t>
      </w:r>
      <w:r w:rsidR="008C4FFD" w:rsidRPr="00177CC8">
        <w:rPr>
          <w:rStyle w:val="Heading6Char"/>
        </w:rPr>
        <w:t>.</w:t>
      </w:r>
      <w:r w:rsidRPr="006455BD">
        <w:t xml:space="preserve"> </w:t>
      </w:r>
      <w:r w:rsidR="00686C4C" w:rsidRPr="006455BD">
        <w:t>Between 2013</w:t>
      </w:r>
      <w:r w:rsidR="0068319A" w:rsidRPr="006455BD">
        <w:noBreakHyphen/>
      </w:r>
      <w:r w:rsidR="00686C4C" w:rsidRPr="006455BD">
        <w:t>14 and 2016</w:t>
      </w:r>
      <w:r w:rsidR="0068319A" w:rsidRPr="006455BD">
        <w:noBreakHyphen/>
      </w:r>
      <w:r w:rsidR="005D3A19" w:rsidRPr="006455BD">
        <w:t xml:space="preserve">17, </w:t>
      </w:r>
      <w:r w:rsidR="00686C4C" w:rsidRPr="006455BD">
        <w:t>share</w:t>
      </w:r>
      <w:r w:rsidR="005D3A19" w:rsidRPr="006455BD">
        <w:t>s</w:t>
      </w:r>
      <w:r w:rsidR="00686C4C" w:rsidRPr="006455BD">
        <w:t xml:space="preserve"> of total property sales </w:t>
      </w:r>
      <w:r w:rsidR="00D016B5">
        <w:t xml:space="preserve">for each of Western Australia, South Australia and the Northern Territory </w:t>
      </w:r>
      <w:r w:rsidR="00686C4C" w:rsidRPr="006455BD">
        <w:t xml:space="preserve">fell. This reduced their </w:t>
      </w:r>
      <w:r w:rsidR="005D3A19" w:rsidRPr="006455BD">
        <w:t>revenue raising</w:t>
      </w:r>
      <w:r w:rsidR="00686C4C" w:rsidRPr="006455BD">
        <w:t xml:space="preserve"> capacities and increased their GST share. The GST shares of other States </w:t>
      </w:r>
      <w:r w:rsidR="009277A8">
        <w:t xml:space="preserve">correspondingly </w:t>
      </w:r>
      <w:r w:rsidR="00686C4C" w:rsidRPr="006455BD">
        <w:t>fell.</w:t>
      </w:r>
    </w:p>
    <w:p w:rsidR="00582387" w:rsidRPr="006455BD" w:rsidRDefault="00582387" w:rsidP="006455BD">
      <w:pPr>
        <w:pStyle w:val="CGCBulletlist"/>
      </w:pPr>
      <w:r w:rsidRPr="00177CC8">
        <w:rPr>
          <w:rStyle w:val="Heading6Char"/>
        </w:rPr>
        <w:t>Socio-economic status.</w:t>
      </w:r>
      <w:r w:rsidR="00A37A41" w:rsidRPr="006455BD">
        <w:t xml:space="preserve"> </w:t>
      </w:r>
      <w:r w:rsidR="001445B8" w:rsidRPr="006455BD">
        <w:t xml:space="preserve">Changes to the socio-economic status of State populations between the 2011 Census and the 2016 Census affected their relative costs of providing services. </w:t>
      </w:r>
      <w:r w:rsidR="00FA75E7" w:rsidRPr="006455BD">
        <w:t xml:space="preserve">Data from the </w:t>
      </w:r>
      <w:r w:rsidR="001445B8" w:rsidRPr="006455BD">
        <w:t xml:space="preserve">2016 Census </w:t>
      </w:r>
      <w:r w:rsidR="00FA75E7" w:rsidRPr="006455BD">
        <w:t xml:space="preserve">indicated that </w:t>
      </w:r>
      <w:r w:rsidR="00A37A41" w:rsidRPr="006455BD">
        <w:t xml:space="preserve">New South Wales and the Northern Territory had </w:t>
      </w:r>
      <w:r w:rsidR="00FA75E7" w:rsidRPr="006455BD">
        <w:t xml:space="preserve">a relatively higher proportion of their population in the </w:t>
      </w:r>
      <w:r w:rsidR="00A37A41" w:rsidRPr="006455BD">
        <w:t>least disadvantaged non-Indigenous areas</w:t>
      </w:r>
      <w:r w:rsidR="009277A8">
        <w:t xml:space="preserve"> compared with 2011</w:t>
      </w:r>
      <w:r w:rsidR="00E43683">
        <w:t>, reducing their expense requirement and their GST shares</w:t>
      </w:r>
      <w:r w:rsidR="00A37A41" w:rsidRPr="006455BD">
        <w:t xml:space="preserve">. </w:t>
      </w:r>
      <w:r w:rsidR="00FA75E7" w:rsidRPr="006455BD">
        <w:t xml:space="preserve">In contrast, </w:t>
      </w:r>
      <w:r w:rsidR="00A37A41" w:rsidRPr="006455BD">
        <w:t>Western Australia and</w:t>
      </w:r>
      <w:r w:rsidR="00E43683">
        <w:t>,</w:t>
      </w:r>
      <w:r w:rsidR="00A37A41" w:rsidRPr="006455BD">
        <w:t xml:space="preserve"> to a lesser extent, Queensland, South Australia and the ACT were found to be more disadvantaged than they had been in 2011</w:t>
      </w:r>
      <w:r w:rsidR="00E43683">
        <w:t>, increasing the GST share of these States</w:t>
      </w:r>
      <w:r w:rsidR="00A37A41" w:rsidRPr="006455BD">
        <w:t>.</w:t>
      </w:r>
    </w:p>
    <w:p w:rsidR="00D97867" w:rsidRPr="006455BD" w:rsidRDefault="00D97867" w:rsidP="006455BD">
      <w:pPr>
        <w:pStyle w:val="CGCBulletlist"/>
      </w:pPr>
      <w:r w:rsidRPr="00177CC8">
        <w:rPr>
          <w:rStyle w:val="Heading6Char"/>
        </w:rPr>
        <w:t>Taxable payrolls.</w:t>
      </w:r>
      <w:r w:rsidRPr="006455BD">
        <w:t xml:space="preserve"> </w:t>
      </w:r>
      <w:r w:rsidR="00FE10EE" w:rsidRPr="006455BD">
        <w:t>Differences between States in the rate of growth of taxable payrolls between 2013</w:t>
      </w:r>
      <w:r w:rsidR="0068319A" w:rsidRPr="006455BD">
        <w:noBreakHyphen/>
      </w:r>
      <w:r w:rsidR="00FE10EE" w:rsidRPr="006455BD">
        <w:t>14 and 2016</w:t>
      </w:r>
      <w:r w:rsidR="0068319A" w:rsidRPr="006455BD">
        <w:noBreakHyphen/>
      </w:r>
      <w:r w:rsidR="00FE10EE" w:rsidRPr="006455BD">
        <w:t xml:space="preserve">17 affected States’ revenue raising capacities. </w:t>
      </w:r>
      <w:r w:rsidR="008D41E7" w:rsidRPr="006455BD">
        <w:t>Above average growth in t</w:t>
      </w:r>
      <w:r w:rsidR="00FE10EE" w:rsidRPr="006455BD">
        <w:t xml:space="preserve">axable payrolls </w:t>
      </w:r>
      <w:r w:rsidR="008D41E7" w:rsidRPr="006455BD">
        <w:t>in</w:t>
      </w:r>
      <w:r w:rsidR="00FE10EE" w:rsidRPr="006455BD">
        <w:t xml:space="preserve"> New South Wales, Victoria, Tasmania</w:t>
      </w:r>
      <w:r w:rsidR="008D41E7" w:rsidRPr="006455BD">
        <w:t>,</w:t>
      </w:r>
      <w:r w:rsidR="00FE10EE" w:rsidRPr="006455BD">
        <w:t xml:space="preserve"> the ACT and the Northern Territory </w:t>
      </w:r>
      <w:r w:rsidR="008D41E7" w:rsidRPr="006455BD">
        <w:t>increased their revenue raising capacities</w:t>
      </w:r>
      <w:r w:rsidR="0025048D" w:rsidRPr="006455BD">
        <w:t xml:space="preserve"> </w:t>
      </w:r>
      <w:r w:rsidR="008D41E7" w:rsidRPr="006455BD">
        <w:t>and reduced</w:t>
      </w:r>
      <w:r w:rsidR="00FE10EE" w:rsidRPr="006455BD">
        <w:t xml:space="preserve"> their GST shares. Taxable payrolls in Queensland, Western Australia and South Australia grew by less than the average over the period, resulting in a decrease in their revenue raising capacities and an increase in their GST shares.</w:t>
      </w:r>
    </w:p>
    <w:p w:rsidR="00582387" w:rsidRPr="006455BD" w:rsidRDefault="00582387" w:rsidP="006455BD">
      <w:pPr>
        <w:pStyle w:val="CGCBulletlist"/>
      </w:pPr>
      <w:r w:rsidRPr="00177CC8">
        <w:rPr>
          <w:rStyle w:val="Heading6Char"/>
        </w:rPr>
        <w:lastRenderedPageBreak/>
        <w:t xml:space="preserve">Wage costs. </w:t>
      </w:r>
      <w:r w:rsidRPr="006455BD">
        <w:t>Relative wage costs outside t</w:t>
      </w:r>
      <w:r w:rsidR="005C49B6" w:rsidRPr="006455BD">
        <w:t xml:space="preserve">he control of State governments </w:t>
      </w:r>
      <w:r w:rsidRPr="006455BD">
        <w:t xml:space="preserve">increased faster than average in Victoria, Queensland and the ACT </w:t>
      </w:r>
      <w:r w:rsidR="005C49B6" w:rsidRPr="006455BD">
        <w:t xml:space="preserve">between </w:t>
      </w:r>
      <w:r w:rsidRPr="006455BD">
        <w:t>2013</w:t>
      </w:r>
      <w:r w:rsidRPr="006455BD">
        <w:noBreakHyphen/>
        <w:t xml:space="preserve">14 </w:t>
      </w:r>
      <w:r w:rsidR="005C49B6" w:rsidRPr="006455BD">
        <w:t>and</w:t>
      </w:r>
      <w:r w:rsidRPr="006455BD">
        <w:t xml:space="preserve"> 2016</w:t>
      </w:r>
      <w:r w:rsidRPr="006455BD">
        <w:noBreakHyphen/>
        <w:t>17</w:t>
      </w:r>
      <w:r w:rsidR="005C49B6" w:rsidRPr="006455BD">
        <w:t>.</w:t>
      </w:r>
      <w:r w:rsidRPr="006455BD">
        <w:t xml:space="preserve"> </w:t>
      </w:r>
      <w:r w:rsidR="005C49B6" w:rsidRPr="006455BD">
        <w:t>This increased their relative cost</w:t>
      </w:r>
      <w:r w:rsidR="00536B03" w:rsidRPr="006455BD">
        <w:t>s</w:t>
      </w:r>
      <w:r w:rsidR="005C49B6" w:rsidRPr="006455BD">
        <w:t xml:space="preserve"> of service provision and their </w:t>
      </w:r>
      <w:r w:rsidRPr="006455BD">
        <w:t xml:space="preserve">GST </w:t>
      </w:r>
      <w:r w:rsidR="005C49B6" w:rsidRPr="006455BD">
        <w:t>shares</w:t>
      </w:r>
      <w:r w:rsidRPr="006455BD">
        <w:t xml:space="preserve">. </w:t>
      </w:r>
      <w:r w:rsidR="005C49B6" w:rsidRPr="006455BD">
        <w:t>B</w:t>
      </w:r>
      <w:r w:rsidRPr="006455BD">
        <w:t>elow average wage growth in the other States reduced their relative cost</w:t>
      </w:r>
      <w:r w:rsidR="00536B03" w:rsidRPr="006455BD">
        <w:t>s</w:t>
      </w:r>
      <w:r w:rsidRPr="006455BD">
        <w:t xml:space="preserve"> of </w:t>
      </w:r>
      <w:r w:rsidR="005C49B6" w:rsidRPr="006455BD">
        <w:t>service provision and their GST shares.</w:t>
      </w:r>
    </w:p>
    <w:p w:rsidR="00D97867" w:rsidRPr="006455BD" w:rsidRDefault="00D97867" w:rsidP="006455BD">
      <w:pPr>
        <w:pStyle w:val="CGCBulletlist"/>
      </w:pPr>
      <w:r w:rsidRPr="00177CC8">
        <w:rPr>
          <w:rStyle w:val="Heading6Char"/>
        </w:rPr>
        <w:t>Taxable land values.</w:t>
      </w:r>
      <w:r w:rsidRPr="006455BD">
        <w:t xml:space="preserve"> </w:t>
      </w:r>
      <w:r w:rsidR="00686C4C" w:rsidRPr="006455BD">
        <w:t>Between 2013</w:t>
      </w:r>
      <w:r w:rsidR="000D42C4" w:rsidRPr="006455BD">
        <w:noBreakHyphen/>
      </w:r>
      <w:r w:rsidR="00686C4C" w:rsidRPr="006455BD">
        <w:t>14 and 2016</w:t>
      </w:r>
      <w:r w:rsidR="000D42C4" w:rsidRPr="006455BD">
        <w:noBreakHyphen/>
      </w:r>
      <w:r w:rsidR="00686C4C" w:rsidRPr="006455BD">
        <w:t>17, New South Wales’ share of tota</w:t>
      </w:r>
      <w:r w:rsidR="002F40ED">
        <w:t xml:space="preserve">l taxable land values </w:t>
      </w:r>
      <w:r w:rsidR="00A96C00">
        <w:t>grew</w:t>
      </w:r>
      <w:r w:rsidR="002F40ED">
        <w:t xml:space="preserve">, </w:t>
      </w:r>
      <w:r w:rsidR="00686C4C" w:rsidRPr="006455BD">
        <w:t>increas</w:t>
      </w:r>
      <w:r w:rsidR="002F40ED">
        <w:t>ing</w:t>
      </w:r>
      <w:r w:rsidR="00686C4C" w:rsidRPr="006455BD">
        <w:t xml:space="preserve"> its </w:t>
      </w:r>
      <w:r w:rsidR="005D3A19" w:rsidRPr="006455BD">
        <w:t>revenue raising</w:t>
      </w:r>
      <w:r w:rsidR="002F40ED">
        <w:t xml:space="preserve"> capacity and reducing</w:t>
      </w:r>
      <w:r w:rsidR="00686C4C" w:rsidRPr="006455BD">
        <w:t xml:space="preserve"> its GST share. In contrast, </w:t>
      </w:r>
      <w:r w:rsidR="00D2726C">
        <w:t>Queensland</w:t>
      </w:r>
      <w:r w:rsidR="00DF25F5">
        <w:t>’s</w:t>
      </w:r>
      <w:r w:rsidR="00D2726C">
        <w:t xml:space="preserve"> and </w:t>
      </w:r>
      <w:r w:rsidR="00686C4C" w:rsidRPr="006455BD">
        <w:t>Western Australia’s share of taxable land v</w:t>
      </w:r>
      <w:r w:rsidR="002F40ED">
        <w:t>alues dec</w:t>
      </w:r>
      <w:r w:rsidR="001B11CE">
        <w:t>lin</w:t>
      </w:r>
      <w:r w:rsidR="002F40ED">
        <w:t xml:space="preserve">ed, </w:t>
      </w:r>
      <w:r w:rsidR="00A96C00">
        <w:t>reducing</w:t>
      </w:r>
      <w:r w:rsidR="00A96C00" w:rsidRPr="006455BD">
        <w:t xml:space="preserve"> </w:t>
      </w:r>
      <w:r w:rsidR="00890186">
        <w:t>their</w:t>
      </w:r>
      <w:r w:rsidR="00890186" w:rsidRPr="006455BD">
        <w:t xml:space="preserve"> </w:t>
      </w:r>
      <w:r w:rsidR="005D3A19" w:rsidRPr="006455BD">
        <w:t>revenue raising</w:t>
      </w:r>
      <w:r w:rsidR="002F40ED">
        <w:t xml:space="preserve"> capacity and increasing</w:t>
      </w:r>
      <w:r w:rsidR="00686C4C" w:rsidRPr="006455BD">
        <w:t xml:space="preserve"> </w:t>
      </w:r>
      <w:r w:rsidR="00890186">
        <w:t>their</w:t>
      </w:r>
      <w:r w:rsidR="00890186" w:rsidRPr="006455BD">
        <w:t xml:space="preserve"> </w:t>
      </w:r>
      <w:r w:rsidR="00686C4C" w:rsidRPr="006455BD">
        <w:t>GST share</w:t>
      </w:r>
      <w:r w:rsidR="00890186">
        <w:t>s</w:t>
      </w:r>
      <w:r w:rsidR="00686C4C" w:rsidRPr="006455BD">
        <w:t>.</w:t>
      </w:r>
    </w:p>
    <w:p w:rsidR="00422257" w:rsidRDefault="00422257" w:rsidP="00422257">
      <w:pPr>
        <w:pStyle w:val="Heading3"/>
      </w:pPr>
      <w:bookmarkStart w:id="251" w:name="_Toc428435389"/>
      <w:bookmarkStart w:id="252" w:name="_Toc433353475"/>
      <w:bookmarkStart w:id="253" w:name="_Toc441241581"/>
      <w:bookmarkStart w:id="254" w:name="_Toc441499251"/>
      <w:bookmarkStart w:id="255" w:name="_Toc441656025"/>
      <w:bookmarkStart w:id="256" w:name="_Toc442191907"/>
      <w:bookmarkStart w:id="257" w:name="_Toc442192159"/>
      <w:bookmarkStart w:id="258" w:name="_Toc442192224"/>
      <w:bookmarkStart w:id="259" w:name="_Toc442772810"/>
      <w:bookmarkStart w:id="260" w:name="_Toc442773037"/>
      <w:bookmarkStart w:id="261" w:name="_Toc442773209"/>
      <w:bookmarkStart w:id="262" w:name="_Toc442773561"/>
      <w:bookmarkStart w:id="263" w:name="_Toc442883274"/>
      <w:bookmarkStart w:id="264" w:name="_Toc474923742"/>
      <w:bookmarkStart w:id="265" w:name="_Toc505872168"/>
      <w:r w:rsidRPr="002A48E0">
        <w:t xml:space="preserve">State by </w:t>
      </w:r>
      <w:r w:rsidR="002A4D57">
        <w:t>S</w:t>
      </w:r>
      <w:r w:rsidRPr="002A48E0">
        <w:t>tate changes since the 201</w:t>
      </w:r>
      <w:r w:rsidR="00566EE5">
        <w:t>7</w:t>
      </w:r>
      <w:r w:rsidR="00DE59C5">
        <w:t> </w:t>
      </w:r>
      <w:r w:rsidRPr="002A48E0">
        <w:t>Update</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ED53F6" w:rsidRDefault="002E6415" w:rsidP="00E46DC8">
      <w:pPr>
        <w:pStyle w:val="CGCNumberedPara"/>
      </w:pPr>
      <w:r w:rsidRPr="002A48E0">
        <w:t xml:space="preserve">Changes that have had important effects on the assessed fiscal capacity of each State are summarised in </w:t>
      </w:r>
      <w:r>
        <w:t>this</w:t>
      </w:r>
      <w:r w:rsidRPr="002A48E0">
        <w:t xml:space="preserve"> section. These changes can occur because more recent economic and demographic circumstances are being reflected in States’ GST shares (referred to as changes in circumstances)</w:t>
      </w:r>
      <w:r w:rsidR="005F4694">
        <w:t>,</w:t>
      </w:r>
      <w:r w:rsidRPr="002A48E0">
        <w:t xml:space="preserve"> or because historical data used in assessments have been revised (referred to as revisions). </w:t>
      </w:r>
      <w:r w:rsidRPr="00BD7D99">
        <w:t>Fo</w:t>
      </w:r>
      <w:r w:rsidRPr="002A48E0">
        <w:t xml:space="preserve">r </w:t>
      </w:r>
      <w:r w:rsidR="005C5E78">
        <w:t xml:space="preserve">most </w:t>
      </w:r>
      <w:r w:rsidRPr="002A48E0">
        <w:t>States</w:t>
      </w:r>
      <w:r>
        <w:t>,</w:t>
      </w:r>
      <w:r w:rsidRPr="002A48E0">
        <w:t xml:space="preserve"> the largest causes of change in GST shares in this update have been changes in circumstances.</w:t>
      </w:r>
    </w:p>
    <w:p w:rsidR="00422257" w:rsidRDefault="00ED53F6" w:rsidP="00E46DC8">
      <w:pPr>
        <w:pStyle w:val="CGCNumberedPara"/>
      </w:pPr>
      <w:r>
        <w:t>The effects of incorporating</w:t>
      </w:r>
      <w:r w:rsidR="00BD7D99">
        <w:t xml:space="preserve"> </w:t>
      </w:r>
      <w:r>
        <w:t xml:space="preserve">the </w:t>
      </w:r>
      <w:r w:rsidR="00BD7D99">
        <w:t>2016 Census</w:t>
      </w:r>
      <w:r>
        <w:t xml:space="preserve"> data</w:t>
      </w:r>
      <w:r w:rsidR="00BD7D99">
        <w:t xml:space="preserve"> </w:t>
      </w:r>
      <w:r>
        <w:t>(</w:t>
      </w:r>
      <w:r w:rsidR="00BD7D99">
        <w:t xml:space="preserve">and associated </w:t>
      </w:r>
      <w:r>
        <w:t xml:space="preserve">changes to </w:t>
      </w:r>
      <w:r w:rsidR="00BD7D99">
        <w:t>population</w:t>
      </w:r>
      <w:r>
        <w:t>s)</w:t>
      </w:r>
      <w:r w:rsidR="00BD7D99">
        <w:t xml:space="preserve"> are included with data </w:t>
      </w:r>
      <w:r>
        <w:t>revisions in this section</w:t>
      </w:r>
      <w:r w:rsidR="00BD7D99">
        <w:t>.</w:t>
      </w:r>
      <w:r w:rsidR="002E6415" w:rsidRPr="002A48E0">
        <w:t xml:space="preserve"> </w:t>
      </w:r>
      <w:r>
        <w:t xml:space="preserve">While the impact of new Census data is shown separately in the main changes table for each State, incorporating </w:t>
      </w:r>
      <w:r w:rsidR="008A2AAE">
        <w:t>new Census data has</w:t>
      </w:r>
      <w:r w:rsidR="003262B6">
        <w:t xml:space="preserve"> also affect</w:t>
      </w:r>
      <w:r w:rsidR="008A2AAE">
        <w:t>ed</w:t>
      </w:r>
      <w:r w:rsidR="003262B6">
        <w:t xml:space="preserve"> the size of the other changes shown in th</w:t>
      </w:r>
      <w:r>
        <w:t>os</w:t>
      </w:r>
      <w:r w:rsidR="003262B6">
        <w:t>e table</w:t>
      </w:r>
      <w:r w:rsidR="008A2AAE">
        <w:t>s</w:t>
      </w:r>
      <w:r w:rsidR="003262B6">
        <w:t xml:space="preserve">. </w:t>
      </w:r>
      <w:r w:rsidR="001770CD">
        <w:fldChar w:fldCharType="begin"/>
      </w:r>
      <w:r w:rsidR="001770CD">
        <w:instrText xml:space="preserve"> REF _Ref504568521 \h </w:instrText>
      </w:r>
      <w:r w:rsidR="001770CD">
        <w:fldChar w:fldCharType="separate"/>
      </w:r>
      <w:r w:rsidR="000A6746" w:rsidRPr="002A48E0">
        <w:t>Chapter 1</w:t>
      </w:r>
      <w:r w:rsidR="001770CD">
        <w:fldChar w:fldCharType="end"/>
      </w:r>
      <w:r w:rsidR="002E6415" w:rsidRPr="002A48E0">
        <w:t xml:space="preserve"> provides more detail</w:t>
      </w:r>
      <w:r w:rsidR="003262B6">
        <w:t xml:space="preserve"> on the changes in this update</w:t>
      </w:r>
      <w:r w:rsidR="008A2AAE">
        <w:t>, including the impact of data revisions excluding Census related effects</w:t>
      </w:r>
      <w:r w:rsidR="002E6415" w:rsidRPr="002A48E0">
        <w:t>.</w:t>
      </w:r>
    </w:p>
    <w:p w:rsidR="00565071" w:rsidRDefault="00565071" w:rsidP="00C21EF9">
      <w:pPr>
        <w:sectPr w:rsidR="00565071" w:rsidSect="005A0FC4">
          <w:footerReference w:type="default" r:id="rId33"/>
          <w:pgSz w:w="11899" w:h="16838" w:code="9"/>
          <w:pgMar w:top="1701" w:right="1474" w:bottom="1701" w:left="1474" w:header="709" w:footer="709" w:gutter="0"/>
          <w:pgNumType w:start="1"/>
          <w:cols w:space="708"/>
          <w:titlePg/>
          <w:docGrid w:linePitch="299"/>
        </w:sectPr>
      </w:pPr>
    </w:p>
    <w:p w:rsidR="002E6415" w:rsidRPr="002A48E0" w:rsidRDefault="002E6415" w:rsidP="002E6415">
      <w:pPr>
        <w:pStyle w:val="Heading4"/>
        <w:spacing w:before="0"/>
        <w:sectPr w:rsidR="002E6415" w:rsidRPr="002A48E0" w:rsidSect="005C67C8">
          <w:footerReference w:type="first" r:id="rId34"/>
          <w:pgSz w:w="11899" w:h="16838" w:code="9"/>
          <w:pgMar w:top="1440" w:right="1080" w:bottom="1440" w:left="1080" w:header="709" w:footer="709" w:gutter="0"/>
          <w:cols w:space="708"/>
          <w:titlePg/>
          <w:docGrid w:linePitch="326"/>
        </w:sectPr>
      </w:pPr>
      <w:bookmarkStart w:id="266" w:name="_Toc442191908"/>
      <w:bookmarkStart w:id="267" w:name="_Toc442192160"/>
      <w:bookmarkStart w:id="268" w:name="_Toc442192225"/>
      <w:bookmarkStart w:id="269" w:name="_Toc442772811"/>
      <w:bookmarkStart w:id="270" w:name="_Toc442773038"/>
      <w:bookmarkStart w:id="271" w:name="_Toc442773210"/>
      <w:bookmarkStart w:id="272" w:name="_Toc442883275"/>
      <w:bookmarkStart w:id="273" w:name="_Toc474923743"/>
      <w:bookmarkStart w:id="274" w:name="_Toc505872169"/>
      <w:bookmarkStart w:id="275" w:name="_Ref473625496"/>
      <w:bookmarkStart w:id="276" w:name="_Toc474923751"/>
      <w:bookmarkStart w:id="277" w:name="_Toc428435402"/>
      <w:bookmarkStart w:id="278" w:name="_Toc428435927"/>
      <w:bookmarkStart w:id="279" w:name="_Toc428803268"/>
      <w:bookmarkStart w:id="280" w:name="_Toc430166133"/>
      <w:bookmarkStart w:id="281" w:name="_Toc433353485"/>
      <w:bookmarkStart w:id="282" w:name="_Toc441656026"/>
      <w:bookmarkStart w:id="283" w:name="_Toc442192169"/>
      <w:bookmarkStart w:id="284" w:name="_Toc442192234"/>
      <w:bookmarkStart w:id="285" w:name="_Toc442773047"/>
      <w:bookmarkStart w:id="286" w:name="_Toc442773563"/>
      <w:bookmarkStart w:id="287" w:name="_Toc442781578"/>
      <w:bookmarkStart w:id="288" w:name="_Toc442785875"/>
      <w:bookmarkStart w:id="289" w:name="_Toc442883284"/>
      <w:bookmarkStart w:id="290" w:name="_Toc442948710"/>
      <w:bookmarkStart w:id="291" w:name="_Toc442949137"/>
      <w:r w:rsidRPr="002A48E0">
        <w:lastRenderedPageBreak/>
        <w:t>New South Wales</w:t>
      </w:r>
      <w:bookmarkEnd w:id="266"/>
      <w:bookmarkEnd w:id="267"/>
      <w:bookmarkEnd w:id="268"/>
      <w:bookmarkEnd w:id="269"/>
      <w:bookmarkEnd w:id="270"/>
      <w:bookmarkEnd w:id="271"/>
      <w:bookmarkEnd w:id="272"/>
      <w:bookmarkEnd w:id="273"/>
      <w:bookmarkEnd w:id="274"/>
    </w:p>
    <w:p w:rsidR="002E6415" w:rsidRDefault="002E6415" w:rsidP="002E6415">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rPr>
          <w:szCs w:val="24"/>
        </w:rPr>
        <w:t xml:space="preserve">New South Wales has the second highest fiscal capacity. </w:t>
      </w:r>
      <w:r w:rsidR="008C20FA">
        <w:rPr>
          <w:szCs w:val="24"/>
        </w:rPr>
        <w:t xml:space="preserve">Strong </w:t>
      </w:r>
      <w:r w:rsidRPr="002A48E0">
        <w:rPr>
          <w:szCs w:val="24"/>
        </w:rPr>
        <w:t>growth in property sales, land values</w:t>
      </w:r>
      <w:r w:rsidR="00F915C2">
        <w:rPr>
          <w:szCs w:val="24"/>
        </w:rPr>
        <w:t>,</w:t>
      </w:r>
      <w:r w:rsidRPr="002A48E0">
        <w:rPr>
          <w:szCs w:val="24"/>
        </w:rPr>
        <w:t xml:space="preserve"> </w:t>
      </w:r>
      <w:r w:rsidR="008C20FA">
        <w:rPr>
          <w:szCs w:val="24"/>
        </w:rPr>
        <w:t xml:space="preserve">mining production </w:t>
      </w:r>
      <w:r w:rsidR="00F915C2">
        <w:rPr>
          <w:szCs w:val="24"/>
        </w:rPr>
        <w:t xml:space="preserve">and taxable payrolls </w:t>
      </w:r>
      <w:r w:rsidR="0046314B">
        <w:rPr>
          <w:szCs w:val="24"/>
        </w:rPr>
        <w:t>improved</w:t>
      </w:r>
      <w:r w:rsidR="008C20FA">
        <w:rPr>
          <w:szCs w:val="24"/>
        </w:rPr>
        <w:t xml:space="preserve"> its</w:t>
      </w:r>
      <w:r w:rsidRPr="002A48E0">
        <w:rPr>
          <w:szCs w:val="24"/>
        </w:rPr>
        <w:t xml:space="preserve"> revenue raising capacity and reduced its GST share. These changes were partially offset by a</w:t>
      </w:r>
      <w:r w:rsidR="006322A1">
        <w:rPr>
          <w:szCs w:val="24"/>
        </w:rPr>
        <w:t>n</w:t>
      </w:r>
      <w:r w:rsidRPr="002A48E0">
        <w:rPr>
          <w:szCs w:val="24"/>
        </w:rPr>
        <w:t xml:space="preserve"> increase in </w:t>
      </w:r>
      <w:r w:rsidR="00A84636">
        <w:rPr>
          <w:szCs w:val="24"/>
        </w:rPr>
        <w:t>its</w:t>
      </w:r>
      <w:r w:rsidRPr="002A48E0">
        <w:rPr>
          <w:szCs w:val="24"/>
        </w:rPr>
        <w:t xml:space="preserve"> </w:t>
      </w:r>
      <w:r w:rsidR="00BD363F">
        <w:rPr>
          <w:szCs w:val="24"/>
        </w:rPr>
        <w:t>net natural disaster relief expenses</w:t>
      </w:r>
      <w:r w:rsidRPr="002A48E0">
        <w:rPr>
          <w:szCs w:val="24"/>
        </w:rPr>
        <w:t>. New</w:t>
      </w:r>
      <w:r w:rsidR="00EC50C7">
        <w:rPr>
          <w:szCs w:val="24"/>
        </w:rPr>
        <w:t> </w:t>
      </w:r>
      <w:r w:rsidRPr="002A48E0">
        <w:rPr>
          <w:szCs w:val="24"/>
        </w:rPr>
        <w:t>South Wales’ increased fiscal capacity will see its GST share fall from 2</w:t>
      </w:r>
      <w:r w:rsidR="008C20FA">
        <w:rPr>
          <w:szCs w:val="24"/>
        </w:rPr>
        <w:t>8</w:t>
      </w:r>
      <w:r w:rsidRPr="002A48E0">
        <w:rPr>
          <w:szCs w:val="24"/>
        </w:rPr>
        <w:t>.1% to 2</w:t>
      </w:r>
      <w:r w:rsidR="008C20FA">
        <w:rPr>
          <w:szCs w:val="24"/>
        </w:rPr>
        <w:t>7</w:t>
      </w:r>
      <w:r w:rsidRPr="002A48E0">
        <w:rPr>
          <w:szCs w:val="24"/>
        </w:rPr>
        <w:t>.</w:t>
      </w:r>
      <w:r w:rsidR="007C1D28">
        <w:rPr>
          <w:szCs w:val="24"/>
        </w:rPr>
        <w:t>4</w:t>
      </w:r>
      <w:r w:rsidRPr="002A48E0">
        <w:rPr>
          <w:szCs w:val="24"/>
        </w:rPr>
        <w:t>%</w:t>
      </w:r>
      <w:r w:rsidR="009D30F2">
        <w:rPr>
          <w:szCs w:val="24"/>
        </w:rPr>
        <w:t>.</w:t>
      </w:r>
      <w:r w:rsidRPr="002A48E0">
        <w:rPr>
          <w:szCs w:val="24"/>
        </w:rPr>
        <w:t xml:space="preserve"> </w:t>
      </w:r>
      <w:r w:rsidR="001B11CE">
        <w:rPr>
          <w:szCs w:val="24"/>
        </w:rPr>
        <w:t>Despite a net increase in its fiscal capacity, i</w:t>
      </w:r>
      <w:r w:rsidRPr="002A48E0">
        <w:rPr>
          <w:szCs w:val="24"/>
        </w:rPr>
        <w:t>ts GST entitlement in 201</w:t>
      </w:r>
      <w:r w:rsidR="00F84E5E">
        <w:rPr>
          <w:szCs w:val="24"/>
        </w:rPr>
        <w:t>8</w:t>
      </w:r>
      <w:r w:rsidR="00260A18">
        <w:rPr>
          <w:szCs w:val="24"/>
        </w:rPr>
        <w:noBreakHyphen/>
      </w:r>
      <w:r w:rsidR="008C20FA">
        <w:rPr>
          <w:szCs w:val="24"/>
        </w:rPr>
        <w:t>1</w:t>
      </w:r>
      <w:r w:rsidR="00F84E5E">
        <w:rPr>
          <w:szCs w:val="24"/>
        </w:rPr>
        <w:t>9</w:t>
      </w:r>
      <w:r w:rsidR="008C20FA">
        <w:rPr>
          <w:szCs w:val="24"/>
        </w:rPr>
        <w:t xml:space="preserve"> will rise by $</w:t>
      </w:r>
      <w:r w:rsidR="0078204F">
        <w:rPr>
          <w:szCs w:val="24"/>
        </w:rPr>
        <w:t>52</w:t>
      </w:r>
      <w:r w:rsidR="006B05C0">
        <w:rPr>
          <w:szCs w:val="24"/>
        </w:rPr>
        <w:t>0</w:t>
      </w:r>
      <w:r w:rsidR="0078204F">
        <w:rPr>
          <w:szCs w:val="24"/>
        </w:rPr>
        <w:t> </w:t>
      </w:r>
      <w:r w:rsidR="008C20FA">
        <w:rPr>
          <w:szCs w:val="24"/>
        </w:rPr>
        <w:t xml:space="preserve">million, or </w:t>
      </w:r>
      <w:r w:rsidR="006B05C0">
        <w:rPr>
          <w:szCs w:val="24"/>
        </w:rPr>
        <w:t>3</w:t>
      </w:r>
      <w:r w:rsidR="0078204F">
        <w:rPr>
          <w:szCs w:val="24"/>
        </w:rPr>
        <w:t>.</w:t>
      </w:r>
      <w:r w:rsidR="006B05C0">
        <w:rPr>
          <w:szCs w:val="24"/>
        </w:rPr>
        <w:t>0</w:t>
      </w:r>
      <w:r w:rsidRPr="002A48E0">
        <w:rPr>
          <w:szCs w:val="24"/>
        </w:rPr>
        <w:t xml:space="preserve">%, due to growth in the pool. </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0A6746">
        <w:rPr>
          <w:rStyle w:val="CGCTableHeadingChar"/>
          <w:noProof/>
        </w:rPr>
        <w:t>5</w:t>
      </w:r>
      <w:r w:rsidRPr="002A48E0">
        <w:rPr>
          <w:rStyle w:val="CGCTableHeadingChar"/>
        </w:rPr>
        <w:fldChar w:fldCharType="end"/>
      </w:r>
      <w:r w:rsidRPr="002A48E0">
        <w:rPr>
          <w:rStyle w:val="CGCTableHeadingChar"/>
        </w:rPr>
        <w:tab/>
        <w:t>Change in GST</w:t>
      </w:r>
    </w:p>
    <w:tbl>
      <w:tblPr>
        <w:tblW w:w="4380" w:type="dxa"/>
        <w:tblInd w:w="93" w:type="dxa"/>
        <w:tblLook w:val="04A0" w:firstRow="1" w:lastRow="0" w:firstColumn="1" w:lastColumn="0" w:noHBand="0" w:noVBand="1"/>
      </w:tblPr>
      <w:tblGrid>
        <w:gridCol w:w="2780"/>
        <w:gridCol w:w="860"/>
        <w:gridCol w:w="74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Change due to</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population</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16</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Growth in GST available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955</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119</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relativities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-451</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-56</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Data revisions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-16</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Change in circumstances</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-435</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-54</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Total change</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520</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65</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25307" w:rsidRDefault="002E6415" w:rsidP="00625307">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6</w:t>
      </w:r>
      <w:r w:rsidR="00CD68E8">
        <w:rPr>
          <w:noProof/>
        </w:rPr>
        <w:fldChar w:fldCharType="end"/>
      </w:r>
      <w:r w:rsidRPr="002A48E0">
        <w:rPr>
          <w:bCs/>
        </w:rPr>
        <w:tab/>
      </w:r>
      <w:r w:rsidRPr="002A48E0">
        <w:t>Main changes for New South Wales</w:t>
      </w:r>
    </w:p>
    <w:tbl>
      <w:tblPr>
        <w:tblW w:w="9861" w:type="dxa"/>
        <w:tblInd w:w="93" w:type="dxa"/>
        <w:tblLook w:val="04A0" w:firstRow="1" w:lastRow="0" w:firstColumn="1" w:lastColumn="0" w:noHBand="0" w:noVBand="1"/>
      </w:tblPr>
      <w:tblGrid>
        <w:gridCol w:w="719"/>
        <w:gridCol w:w="281"/>
        <w:gridCol w:w="8861"/>
      </w:tblGrid>
      <w:tr w:rsidR="00625307" w:rsidRPr="00625307" w:rsidTr="00625307">
        <w:trPr>
          <w:trHeight w:val="304"/>
        </w:trPr>
        <w:tc>
          <w:tcPr>
            <w:tcW w:w="1000" w:type="dxa"/>
            <w:gridSpan w:val="2"/>
            <w:tcBorders>
              <w:top w:val="single" w:sz="4" w:space="0" w:color="auto"/>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center"/>
              <w:rPr>
                <w:rFonts w:ascii="Calibri" w:eastAsia="Times New Roman" w:hAnsi="Calibri" w:cs="Arial"/>
                <w:sz w:val="20"/>
                <w:szCs w:val="20"/>
                <w:lang w:eastAsia="en-AU"/>
              </w:rPr>
            </w:pPr>
            <w:r w:rsidRPr="00625307">
              <w:rPr>
                <w:rFonts w:ascii="Calibri" w:eastAsia="Times New Roman" w:hAnsi="Calibri" w:cs="Arial"/>
                <w:sz w:val="20"/>
                <w:szCs w:val="20"/>
                <w:lang w:eastAsia="en-AU"/>
              </w:rPr>
              <w:t>$m</w:t>
            </w:r>
          </w:p>
        </w:tc>
        <w:tc>
          <w:tcPr>
            <w:tcW w:w="8861" w:type="dxa"/>
            <w:tcBorders>
              <w:top w:val="single" w:sz="4" w:space="0" w:color="auto"/>
              <w:left w:val="nil"/>
              <w:bottom w:val="single" w:sz="4" w:space="0" w:color="auto"/>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sz w:val="20"/>
                <w:szCs w:val="20"/>
                <w:lang w:eastAsia="en-AU"/>
              </w:rPr>
              <w:t>Reason for change</w:t>
            </w:r>
          </w:p>
        </w:tc>
      </w:tr>
      <w:tr w:rsidR="00625307" w:rsidRPr="00625307" w:rsidTr="00625307">
        <w:trPr>
          <w:trHeight w:val="516"/>
        </w:trPr>
        <w:tc>
          <w:tcPr>
            <w:tcW w:w="719"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362</w:t>
            </w:r>
          </w:p>
        </w:tc>
        <w:tc>
          <w:tcPr>
            <w:tcW w:w="281"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sz w:val="20"/>
                <w:szCs w:val="20"/>
                <w:lang w:eastAsia="en-AU"/>
              </w:rPr>
              <w:t> </w:t>
            </w:r>
          </w:p>
        </w:tc>
        <w:tc>
          <w:tcPr>
            <w:tcW w:w="8861" w:type="dxa"/>
            <w:tcBorders>
              <w:top w:val="nil"/>
              <w:left w:val="nil"/>
              <w:bottom w:val="nil"/>
              <w:right w:val="nil"/>
            </w:tcBorders>
            <w:shd w:val="clear" w:color="auto" w:fill="auto"/>
            <w:hideMark/>
          </w:tcPr>
          <w:p w:rsidR="00625307" w:rsidRPr="00625307" w:rsidRDefault="00625307" w:rsidP="008C2F3D">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Natural disaster relief.</w:t>
            </w:r>
            <w:r w:rsidRPr="00625307">
              <w:rPr>
                <w:rFonts w:ascii="Calibri" w:eastAsia="Times New Roman" w:hAnsi="Calibri" w:cs="Arial"/>
                <w:sz w:val="20"/>
                <w:szCs w:val="20"/>
                <w:lang w:eastAsia="en-AU"/>
              </w:rPr>
              <w:t xml:space="preserve"> New South Wales' share of net natural disaster relief expenses was higher in 2016</w:t>
            </w:r>
            <w:r w:rsidR="008C2F3D">
              <w:rPr>
                <w:rFonts w:ascii="Calibri" w:eastAsia="Times New Roman" w:hAnsi="Calibri" w:cs="Arial"/>
                <w:sz w:val="20"/>
                <w:szCs w:val="20"/>
                <w:lang w:eastAsia="en-AU"/>
              </w:rPr>
              <w:noBreakHyphen/>
            </w:r>
            <w:r w:rsidRPr="00625307">
              <w:rPr>
                <w:rFonts w:ascii="Calibri" w:eastAsia="Times New Roman" w:hAnsi="Calibri" w:cs="Arial"/>
                <w:sz w:val="20"/>
                <w:szCs w:val="20"/>
                <w:lang w:eastAsia="en-AU"/>
              </w:rPr>
              <w:t>17 compared to 2013-14</w:t>
            </w:r>
            <w:r w:rsidR="00AF704E">
              <w:rPr>
                <w:rFonts w:ascii="Calibri" w:eastAsia="Times New Roman" w:hAnsi="Calibri" w:cs="Arial"/>
                <w:sz w:val="20"/>
                <w:szCs w:val="20"/>
                <w:lang w:eastAsia="en-AU"/>
              </w:rPr>
              <w:t>,</w:t>
            </w:r>
            <w:r w:rsidRPr="00625307">
              <w:rPr>
                <w:rFonts w:ascii="Calibri" w:eastAsia="Times New Roman" w:hAnsi="Calibri" w:cs="Arial"/>
                <w:sz w:val="20"/>
                <w:szCs w:val="20"/>
                <w:lang w:eastAsia="en-AU"/>
              </w:rPr>
              <w:t xml:space="preserve"> resulting in an increase in its GST share.</w:t>
            </w:r>
          </w:p>
        </w:tc>
      </w:tr>
      <w:tr w:rsidR="00625307" w:rsidRPr="00625307" w:rsidTr="00625307">
        <w:trPr>
          <w:trHeight w:val="516"/>
        </w:trPr>
        <w:tc>
          <w:tcPr>
            <w:tcW w:w="719"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-250</w:t>
            </w:r>
          </w:p>
        </w:tc>
        <w:tc>
          <w:tcPr>
            <w:tcW w:w="281"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861" w:type="dxa"/>
            <w:tcBorders>
              <w:top w:val="nil"/>
              <w:left w:val="nil"/>
              <w:bottom w:val="nil"/>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Property sales.</w:t>
            </w:r>
            <w:r w:rsidRPr="00625307">
              <w:rPr>
                <w:rFonts w:ascii="Calibri" w:eastAsia="Times New Roman" w:hAnsi="Calibri" w:cs="Arial"/>
                <w:sz w:val="20"/>
                <w:szCs w:val="20"/>
                <w:lang w:eastAsia="en-AU"/>
              </w:rPr>
              <w:t xml:space="preserve"> Above average growth in property sales increased New South Wales' capacity to raise revenue from conveyance duty and reduced its GST share.</w:t>
            </w:r>
          </w:p>
        </w:tc>
      </w:tr>
      <w:tr w:rsidR="00625307" w:rsidRPr="00625307" w:rsidTr="00625307">
        <w:trPr>
          <w:trHeight w:val="562"/>
        </w:trPr>
        <w:tc>
          <w:tcPr>
            <w:tcW w:w="719"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-220</w:t>
            </w:r>
          </w:p>
        </w:tc>
        <w:tc>
          <w:tcPr>
            <w:tcW w:w="281"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861" w:type="dxa"/>
            <w:tcBorders>
              <w:top w:val="nil"/>
              <w:left w:val="nil"/>
              <w:bottom w:val="nil"/>
              <w:right w:val="nil"/>
            </w:tcBorders>
            <w:shd w:val="clear" w:color="auto" w:fill="auto"/>
            <w:hideMark/>
          </w:tcPr>
          <w:p w:rsidR="00625307" w:rsidRPr="00625307" w:rsidRDefault="00625307" w:rsidP="001B11CE">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 xml:space="preserve">Taxable land values. </w:t>
            </w:r>
            <w:r w:rsidRPr="00625307">
              <w:rPr>
                <w:rFonts w:ascii="Calibri" w:eastAsia="Times New Roman" w:hAnsi="Calibri" w:cs="Arial"/>
                <w:sz w:val="20"/>
                <w:szCs w:val="20"/>
                <w:lang w:eastAsia="en-AU"/>
              </w:rPr>
              <w:t>Above average growth in land values increased the State’s share of taxable land values and reduced its GST share.</w:t>
            </w:r>
          </w:p>
        </w:tc>
      </w:tr>
      <w:tr w:rsidR="00625307" w:rsidRPr="00625307" w:rsidTr="00625307">
        <w:trPr>
          <w:trHeight w:val="774"/>
        </w:trPr>
        <w:tc>
          <w:tcPr>
            <w:tcW w:w="719"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-194</w:t>
            </w:r>
          </w:p>
        </w:tc>
        <w:tc>
          <w:tcPr>
            <w:tcW w:w="281"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861" w:type="dxa"/>
            <w:tcBorders>
              <w:top w:val="nil"/>
              <w:left w:val="nil"/>
              <w:bottom w:val="nil"/>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Mining production.</w:t>
            </w:r>
            <w:r w:rsidRPr="00625307">
              <w:rPr>
                <w:rFonts w:ascii="Calibri" w:eastAsia="Times New Roman" w:hAnsi="Calibri" w:cs="Arial"/>
                <w:sz w:val="20"/>
                <w:szCs w:val="20"/>
                <w:lang w:eastAsia="en-AU"/>
              </w:rPr>
              <w:t xml:space="preserve"> An increase in the total value of coal production, combined with a fall in the total value of iron ore production, increased the State's relative revenue raising capacity and reduced its GST share.</w:t>
            </w:r>
          </w:p>
        </w:tc>
      </w:tr>
      <w:tr w:rsidR="00625307" w:rsidRPr="00625307" w:rsidTr="00625307">
        <w:trPr>
          <w:trHeight w:val="446"/>
        </w:trPr>
        <w:tc>
          <w:tcPr>
            <w:tcW w:w="719" w:type="dxa"/>
            <w:tcBorders>
              <w:top w:val="nil"/>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-113</w:t>
            </w:r>
          </w:p>
        </w:tc>
        <w:tc>
          <w:tcPr>
            <w:tcW w:w="281" w:type="dxa"/>
            <w:tcBorders>
              <w:top w:val="nil"/>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861" w:type="dxa"/>
            <w:tcBorders>
              <w:top w:val="nil"/>
              <w:left w:val="nil"/>
              <w:bottom w:val="single" w:sz="4" w:space="0" w:color="auto"/>
              <w:right w:val="nil"/>
            </w:tcBorders>
            <w:shd w:val="clear" w:color="auto" w:fill="auto"/>
            <w:hideMark/>
          </w:tcPr>
          <w:p w:rsidR="00625307" w:rsidRPr="00625307" w:rsidRDefault="00625307" w:rsidP="00551666">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Taxable payrolls.</w:t>
            </w:r>
            <w:r w:rsidRPr="00625307">
              <w:rPr>
                <w:rFonts w:ascii="Calibri" w:eastAsia="Times New Roman" w:hAnsi="Calibri" w:cs="Arial"/>
                <w:sz w:val="20"/>
                <w:szCs w:val="20"/>
                <w:lang w:eastAsia="en-AU"/>
              </w:rPr>
              <w:t xml:space="preserve"> Above average growth in taxable payrolls increased New South Wales' capacity to raise revenue and reduced its share of GST.</w:t>
            </w:r>
          </w:p>
        </w:tc>
      </w:tr>
      <w:tr w:rsidR="00625307" w:rsidRPr="00625307" w:rsidTr="00625307">
        <w:trPr>
          <w:trHeight w:val="562"/>
        </w:trPr>
        <w:tc>
          <w:tcPr>
            <w:tcW w:w="719" w:type="dxa"/>
            <w:tcBorders>
              <w:top w:val="single" w:sz="4" w:space="0" w:color="auto"/>
              <w:left w:val="nil"/>
              <w:bottom w:val="single" w:sz="4" w:space="0" w:color="auto"/>
              <w:right w:val="nil"/>
            </w:tcBorders>
            <w:shd w:val="clear" w:color="auto" w:fill="auto"/>
            <w:noWrap/>
            <w:hideMark/>
          </w:tcPr>
          <w:p w:rsidR="00625307" w:rsidRPr="00625307" w:rsidRDefault="00625307" w:rsidP="00421402">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-3</w:t>
            </w:r>
            <w:r w:rsidR="00421402">
              <w:rPr>
                <w:rFonts w:ascii="Calibri" w:eastAsia="Times New Roman" w:hAnsi="Calibri" w:cs="Arial"/>
                <w:sz w:val="20"/>
                <w:szCs w:val="20"/>
                <w:lang w:eastAsia="en-AU"/>
              </w:rPr>
              <w:t>73</w:t>
            </w:r>
          </w:p>
        </w:tc>
        <w:tc>
          <w:tcPr>
            <w:tcW w:w="281" w:type="dxa"/>
            <w:tcBorders>
              <w:top w:val="single" w:sz="4" w:space="0" w:color="auto"/>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 </w:t>
            </w:r>
          </w:p>
        </w:tc>
        <w:tc>
          <w:tcPr>
            <w:tcW w:w="8861" w:type="dxa"/>
            <w:tcBorders>
              <w:top w:val="single" w:sz="4" w:space="0" w:color="auto"/>
              <w:left w:val="nil"/>
              <w:bottom w:val="single" w:sz="4" w:space="0" w:color="auto"/>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 xml:space="preserve">New Census data. </w:t>
            </w:r>
            <w:r w:rsidRPr="00625307">
              <w:rPr>
                <w:rFonts w:ascii="Calibri" w:eastAsia="Times New Roman" w:hAnsi="Calibri" w:cs="Arial"/>
                <w:sz w:val="20"/>
                <w:szCs w:val="20"/>
                <w:lang w:eastAsia="en-AU"/>
              </w:rPr>
              <w:t xml:space="preserve">The 2016 Census found New South Wales' non-Indigenous population to be less disadvantaged than it had been in 2011, reducing its </w:t>
            </w:r>
            <w:r w:rsidR="001B11CE">
              <w:rPr>
                <w:rFonts w:ascii="Calibri" w:eastAsia="Times New Roman" w:hAnsi="Calibri" w:cs="Arial"/>
                <w:sz w:val="20"/>
                <w:szCs w:val="20"/>
                <w:lang w:eastAsia="en-AU"/>
              </w:rPr>
              <w:t xml:space="preserve">assessed </w:t>
            </w:r>
            <w:r w:rsidRPr="00625307">
              <w:rPr>
                <w:rFonts w:ascii="Calibri" w:eastAsia="Times New Roman" w:hAnsi="Calibri" w:cs="Arial"/>
                <w:sz w:val="20"/>
                <w:szCs w:val="20"/>
                <w:lang w:eastAsia="en-AU"/>
              </w:rPr>
              <w:t>service delivery costs and its GST share.</w:t>
            </w:r>
          </w:p>
        </w:tc>
      </w:tr>
    </w:tbl>
    <w:p w:rsidR="00BF0D7D" w:rsidRPr="002A48E0" w:rsidRDefault="00BF0D7D" w:rsidP="00BF0D7D">
      <w:pPr>
        <w:pStyle w:val="CGCDataCaption"/>
        <w:ind w:left="0" w:firstLine="0"/>
        <w:sectPr w:rsidR="00BF0D7D"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rPr>
          <w:szCs w:val="24"/>
        </w:rPr>
      </w:pPr>
      <w:proofErr w:type="gramStart"/>
      <w:r w:rsidRPr="002A48E0">
        <w:rPr>
          <w:rStyle w:val="Heading6Char"/>
        </w:rPr>
        <w:lastRenderedPageBreak/>
        <w:t>Fiscal capacity.</w:t>
      </w:r>
      <w:proofErr w:type="gramEnd"/>
      <w:r w:rsidRPr="002A48E0">
        <w:t xml:space="preserve"> </w:t>
      </w:r>
      <w:r w:rsidRPr="002A48E0">
        <w:rPr>
          <w:szCs w:val="24"/>
        </w:rPr>
        <w:t xml:space="preserve">New South Wales’ strong fiscal </w:t>
      </w:r>
      <w:r>
        <w:rPr>
          <w:szCs w:val="24"/>
        </w:rPr>
        <w:t>capacity</w:t>
      </w:r>
      <w:r w:rsidRPr="002A48E0">
        <w:rPr>
          <w:szCs w:val="24"/>
        </w:rPr>
        <w:t xml:space="preserve"> is due to its below average assessed costs of providing services, reflecting </w:t>
      </w:r>
      <w:r w:rsidR="00864982">
        <w:rPr>
          <w:szCs w:val="24"/>
        </w:rPr>
        <w:t>the State’s below average share</w:t>
      </w:r>
      <w:r w:rsidRPr="002A48E0">
        <w:rPr>
          <w:szCs w:val="24"/>
        </w:rPr>
        <w:t xml:space="preserve"> of people living in remote areas, above average non-State provision of health services, and economies of scale in administration. It also has an abo</w:t>
      </w:r>
      <w:r w:rsidR="008C20FA">
        <w:rPr>
          <w:szCs w:val="24"/>
        </w:rPr>
        <w:t>ve</w:t>
      </w:r>
      <w:r w:rsidRPr="002A48E0">
        <w:rPr>
          <w:szCs w:val="24"/>
        </w:rPr>
        <w:t xml:space="preserve"> average capacity to raise revenue, with a high </w:t>
      </w:r>
      <w:r w:rsidR="00864982">
        <w:rPr>
          <w:szCs w:val="24"/>
        </w:rPr>
        <w:t xml:space="preserve">value </w:t>
      </w:r>
      <w:r w:rsidRPr="002A48E0">
        <w:rPr>
          <w:szCs w:val="24"/>
        </w:rPr>
        <w:t>of property sales</w:t>
      </w:r>
      <w:r w:rsidR="008C20FA">
        <w:rPr>
          <w:szCs w:val="24"/>
        </w:rPr>
        <w:t>, high land values and above average taxable payrolls</w:t>
      </w:r>
      <w:r w:rsidRPr="002A48E0">
        <w:rPr>
          <w:szCs w:val="24"/>
        </w:rPr>
        <w:t>.</w:t>
      </w:r>
    </w:p>
    <w:p w:rsidR="002E6415" w:rsidRPr="002A48E0" w:rsidRDefault="002E6415" w:rsidP="002E6415">
      <w:pPr>
        <w:rPr>
          <w:szCs w:val="24"/>
        </w:rPr>
      </w:pPr>
      <w:r w:rsidRPr="002A48E0">
        <w:rPr>
          <w:szCs w:val="24"/>
        </w:rPr>
        <w:t xml:space="preserve">Those effects on its fiscal capacity are partly offset by the State’s above average requirement for investment and </w:t>
      </w:r>
      <w:r w:rsidRPr="0025713B">
        <w:rPr>
          <w:szCs w:val="24"/>
        </w:rPr>
        <w:t xml:space="preserve">a below </w:t>
      </w:r>
      <w:r w:rsidR="009D30F2" w:rsidRPr="0025713B">
        <w:rPr>
          <w:szCs w:val="24"/>
        </w:rPr>
        <w:t xml:space="preserve">average </w:t>
      </w:r>
      <w:r w:rsidR="00A017AB" w:rsidRPr="0025713B">
        <w:rPr>
          <w:szCs w:val="24"/>
        </w:rPr>
        <w:t>share of Commonwealth payments.</w:t>
      </w:r>
    </w:p>
    <w:p w:rsidR="002E6415" w:rsidRDefault="002E6415" w:rsidP="002E6415">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7</w:t>
      </w:r>
      <w:r w:rsidR="00CD68E8">
        <w:rPr>
          <w:noProof/>
        </w:rPr>
        <w:fldChar w:fldCharType="end"/>
      </w:r>
      <w:r w:rsidRPr="002A48E0">
        <w:tab/>
        <w:t>Assessed GST, 201</w:t>
      </w:r>
      <w:r w:rsidR="00582387">
        <w:t>8</w:t>
      </w:r>
      <w:r w:rsidR="00260A18">
        <w:noBreakHyphen/>
      </w:r>
      <w:r w:rsidRPr="002A48E0">
        <w:t>1</w:t>
      </w:r>
      <w:r w:rsidR="00582387">
        <w:t>9</w:t>
      </w:r>
    </w:p>
    <w:tbl>
      <w:tblPr>
        <w:tblW w:w="4380" w:type="dxa"/>
        <w:tblInd w:w="93" w:type="dxa"/>
        <w:tblLook w:val="04A0" w:firstRow="1" w:lastRow="0" w:firstColumn="1" w:lastColumn="0" w:noHBand="0" w:noVBand="1"/>
      </w:tblPr>
      <w:tblGrid>
        <w:gridCol w:w="2780"/>
        <w:gridCol w:w="860"/>
        <w:gridCol w:w="74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Equal per capita share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21 052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2 622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Effect of assessed:</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Expenses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-2 428</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-302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Investment</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333</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41</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Revenue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-956</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-119</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Commonwealth payments</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22</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Assessed GST</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18 030</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2 246</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pStyle w:val="Heading4"/>
        <w:spacing w:before="0"/>
        <w:sectPr w:rsidR="002E6415" w:rsidRPr="002A48E0" w:rsidSect="005C67C8">
          <w:footerReference w:type="default" r:id="rId35"/>
          <w:pgSz w:w="11899" w:h="16838" w:code="9"/>
          <w:pgMar w:top="1440" w:right="1080" w:bottom="1440" w:left="1080" w:header="709" w:footer="709" w:gutter="0"/>
          <w:cols w:space="708"/>
          <w:docGrid w:linePitch="326"/>
        </w:sectPr>
      </w:pPr>
      <w:bookmarkStart w:id="292" w:name="_Toc442191909"/>
      <w:bookmarkStart w:id="293" w:name="_Toc442192161"/>
      <w:bookmarkStart w:id="294" w:name="_Toc442192226"/>
      <w:bookmarkStart w:id="295" w:name="_Toc442772812"/>
      <w:bookmarkStart w:id="296" w:name="_Toc442773039"/>
      <w:bookmarkStart w:id="297" w:name="_Toc442773211"/>
      <w:bookmarkStart w:id="298" w:name="_Toc442883276"/>
      <w:bookmarkStart w:id="299" w:name="_Toc474923744"/>
      <w:bookmarkStart w:id="300" w:name="_Toc505872170"/>
      <w:r w:rsidRPr="002A48E0">
        <w:lastRenderedPageBreak/>
        <w:t>Victoria</w:t>
      </w:r>
      <w:bookmarkEnd w:id="292"/>
      <w:bookmarkEnd w:id="293"/>
      <w:bookmarkEnd w:id="294"/>
      <w:bookmarkEnd w:id="295"/>
      <w:bookmarkEnd w:id="296"/>
      <w:bookmarkEnd w:id="297"/>
      <w:bookmarkEnd w:id="298"/>
      <w:bookmarkEnd w:id="299"/>
      <w:bookmarkEnd w:id="300"/>
    </w:p>
    <w:p w:rsidR="002E6415" w:rsidRDefault="002E6415" w:rsidP="002E6415">
      <w:pPr>
        <w:spacing w:before="120"/>
        <w:rPr>
          <w:b/>
          <w:bCs/>
          <w:szCs w:val="20"/>
        </w:rPr>
      </w:pPr>
      <w:proofErr w:type="gramStart"/>
      <w:r w:rsidRPr="002A48E0">
        <w:rPr>
          <w:rStyle w:val="Heading6Char"/>
        </w:rPr>
        <w:lastRenderedPageBreak/>
        <w:t>Changes in this update.</w:t>
      </w:r>
      <w:proofErr w:type="gramEnd"/>
      <w:r w:rsidRPr="002A48E0">
        <w:rPr>
          <w:rStyle w:val="Heading6Char"/>
        </w:rPr>
        <w:t xml:space="preserve"> </w:t>
      </w:r>
      <w:r w:rsidRPr="002A48E0">
        <w:t xml:space="preserve">Victoria’s assessed fiscal capacity has fallen but remains the third highest. Its expenditure requirement is higher due to an increase in its investment requirement, driven by </w:t>
      </w:r>
      <w:r w:rsidR="00F84E5E">
        <w:t xml:space="preserve">strong </w:t>
      </w:r>
      <w:r w:rsidRPr="002A48E0">
        <w:t xml:space="preserve">population growth, </w:t>
      </w:r>
      <w:r w:rsidR="00F84E5E">
        <w:t xml:space="preserve">as well as </w:t>
      </w:r>
      <w:r>
        <w:t>a</w:t>
      </w:r>
      <w:r w:rsidR="00A84636">
        <w:t>n</w:t>
      </w:r>
      <w:r w:rsidR="00F84E5E">
        <w:t xml:space="preserve"> increase in </w:t>
      </w:r>
      <w:r w:rsidR="00A84636">
        <w:t xml:space="preserve">its relative </w:t>
      </w:r>
      <w:r w:rsidR="00F84E5E">
        <w:t xml:space="preserve">wage </w:t>
      </w:r>
      <w:r w:rsidR="00A84636">
        <w:t>costs</w:t>
      </w:r>
      <w:r w:rsidRPr="002A48E0">
        <w:t xml:space="preserve">. A smaller share of Commonwealth payments also increased its GST </w:t>
      </w:r>
      <w:r w:rsidR="00E0259C">
        <w:t>share</w:t>
      </w:r>
      <w:r w:rsidRPr="002A48E0">
        <w:t xml:space="preserve">. </w:t>
      </w:r>
      <w:r w:rsidR="00F84E5E">
        <w:t xml:space="preserve">These </w:t>
      </w:r>
      <w:r w:rsidR="00E0259C">
        <w:t>changes</w:t>
      </w:r>
      <w:r w:rsidR="00F84E5E">
        <w:t xml:space="preserve"> were partly offset by a relative fall in </w:t>
      </w:r>
      <w:r w:rsidR="00E0259C">
        <w:t>Victoria's</w:t>
      </w:r>
      <w:r w:rsidR="00F84E5E">
        <w:t xml:space="preserve"> cost of providing school education and </w:t>
      </w:r>
      <w:r w:rsidRPr="002A48E0">
        <w:t>strong property sales</w:t>
      </w:r>
      <w:r w:rsidR="00F84E5E">
        <w:t>. Compared with 2017</w:t>
      </w:r>
      <w:r w:rsidR="00DB7EC8">
        <w:noBreakHyphen/>
      </w:r>
      <w:r w:rsidRPr="002A48E0">
        <w:t>1</w:t>
      </w:r>
      <w:r w:rsidR="00F84E5E">
        <w:t>8</w:t>
      </w:r>
      <w:r w:rsidRPr="002A48E0">
        <w:t>, the State’s sh</w:t>
      </w:r>
      <w:r w:rsidR="00F84E5E">
        <w:t>are of the GST will rise from 24</w:t>
      </w:r>
      <w:r w:rsidRPr="002A48E0">
        <w:t>.0% to 2</w:t>
      </w:r>
      <w:r w:rsidR="00F84E5E">
        <w:t>5</w:t>
      </w:r>
      <w:r w:rsidRPr="002A48E0">
        <w:t>.</w:t>
      </w:r>
      <w:r w:rsidR="00F915C2">
        <w:t>6</w:t>
      </w:r>
      <w:r w:rsidRPr="002A48E0">
        <w:t xml:space="preserve">%. </w:t>
      </w:r>
      <w:r w:rsidR="008227FA">
        <w:t xml:space="preserve">Its </w:t>
      </w:r>
      <w:r w:rsidR="006A206B">
        <w:t>lower</w:t>
      </w:r>
      <w:r w:rsidR="008227FA">
        <w:t xml:space="preserve"> relative fiscal capacity, together with growth in the pool, </w:t>
      </w:r>
      <w:r w:rsidRPr="002A48E0">
        <w:t xml:space="preserve">will </w:t>
      </w:r>
      <w:r w:rsidR="008227FA">
        <w:t xml:space="preserve">see its GST entitlement </w:t>
      </w:r>
      <w:r w:rsidRPr="002A48E0">
        <w:t>rise by $</w:t>
      </w:r>
      <w:r w:rsidR="0078204F">
        <w:t>1 84</w:t>
      </w:r>
      <w:r w:rsidR="006B05C0">
        <w:t>1</w:t>
      </w:r>
      <w:r w:rsidRPr="002A48E0">
        <w:t> million</w:t>
      </w:r>
      <w:r w:rsidR="004C5CB6">
        <w:t>,</w:t>
      </w:r>
      <w:r w:rsidRPr="002A48E0">
        <w:t xml:space="preserve"> or </w:t>
      </w:r>
      <w:r w:rsidR="0078204F">
        <w:t>12.3</w:t>
      </w:r>
      <w:r w:rsidRPr="002A48E0">
        <w:t xml:space="preserve">%. </w:t>
      </w:r>
      <w:r w:rsidRPr="002A48E0">
        <w:br w:type="column"/>
      </w:r>
      <w:r w:rsidRPr="002A48E0">
        <w:rPr>
          <w:b/>
          <w:bCs/>
          <w:szCs w:val="20"/>
        </w:rPr>
        <w:lastRenderedPageBreak/>
        <w:t xml:space="preserve">Table </w:t>
      </w:r>
      <w:r w:rsidRPr="002A48E0">
        <w:rPr>
          <w:b/>
          <w:bCs/>
          <w:szCs w:val="20"/>
        </w:rPr>
        <w:fldChar w:fldCharType="begin"/>
      </w:r>
      <w:r w:rsidRPr="002A48E0">
        <w:rPr>
          <w:b/>
          <w:bCs/>
          <w:szCs w:val="20"/>
        </w:rPr>
        <w:instrText xml:space="preserve"> SEQ Table \* ARABIC </w:instrText>
      </w:r>
      <w:r w:rsidRPr="002A48E0">
        <w:rPr>
          <w:b/>
          <w:bCs/>
          <w:szCs w:val="20"/>
        </w:rPr>
        <w:fldChar w:fldCharType="separate"/>
      </w:r>
      <w:r w:rsidR="000A6746">
        <w:rPr>
          <w:b/>
          <w:bCs/>
          <w:noProof/>
          <w:szCs w:val="20"/>
        </w:rPr>
        <w:t>8</w:t>
      </w:r>
      <w:r w:rsidRPr="002A48E0">
        <w:rPr>
          <w:b/>
          <w:bCs/>
          <w:szCs w:val="20"/>
        </w:rPr>
        <w:fldChar w:fldCharType="end"/>
      </w:r>
      <w:r w:rsidRPr="002A48E0">
        <w:rPr>
          <w:b/>
          <w:bCs/>
          <w:szCs w:val="20"/>
        </w:rPr>
        <w:tab/>
        <w:t>Change in GST</w:t>
      </w:r>
    </w:p>
    <w:tbl>
      <w:tblPr>
        <w:tblW w:w="4380" w:type="dxa"/>
        <w:tblInd w:w="93" w:type="dxa"/>
        <w:tblLook w:val="04A0" w:firstRow="1" w:lastRow="0" w:firstColumn="1" w:lastColumn="0" w:noHBand="0" w:noVBand="1"/>
      </w:tblPr>
      <w:tblGrid>
        <w:gridCol w:w="2780"/>
        <w:gridCol w:w="860"/>
        <w:gridCol w:w="74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Change due to</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population</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90</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14</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Growth in GST available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822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126</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relativities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929</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143</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Data revisions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412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63</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Change in circumstances</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518</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80</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Total change</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1 841</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283</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625307" w:rsidRDefault="002E6415" w:rsidP="00F06B9C">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9</w:t>
      </w:r>
      <w:r w:rsidR="00CD68E8">
        <w:rPr>
          <w:noProof/>
        </w:rPr>
        <w:fldChar w:fldCharType="end"/>
      </w:r>
      <w:r w:rsidRPr="002A48E0">
        <w:tab/>
        <w:t>Main changes for Victoria</w:t>
      </w:r>
    </w:p>
    <w:tbl>
      <w:tblPr>
        <w:tblW w:w="9951" w:type="dxa"/>
        <w:tblInd w:w="93" w:type="dxa"/>
        <w:tblLook w:val="04A0" w:firstRow="1" w:lastRow="0" w:firstColumn="1" w:lastColumn="0" w:noHBand="0" w:noVBand="1"/>
      </w:tblPr>
      <w:tblGrid>
        <w:gridCol w:w="726"/>
        <w:gridCol w:w="283"/>
        <w:gridCol w:w="8942"/>
      </w:tblGrid>
      <w:tr w:rsidR="00625307" w:rsidRPr="00625307" w:rsidTr="00F06B9C">
        <w:trPr>
          <w:trHeight w:val="258"/>
        </w:trPr>
        <w:tc>
          <w:tcPr>
            <w:tcW w:w="1009" w:type="dxa"/>
            <w:gridSpan w:val="2"/>
            <w:tcBorders>
              <w:top w:val="single" w:sz="4" w:space="0" w:color="auto"/>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center"/>
              <w:rPr>
                <w:rFonts w:ascii="Calibri" w:eastAsia="Times New Roman" w:hAnsi="Calibri" w:cs="Arial"/>
                <w:sz w:val="20"/>
                <w:szCs w:val="20"/>
                <w:lang w:eastAsia="en-AU"/>
              </w:rPr>
            </w:pPr>
            <w:r w:rsidRPr="00625307">
              <w:rPr>
                <w:rFonts w:ascii="Calibri" w:eastAsia="Times New Roman" w:hAnsi="Calibri" w:cs="Arial"/>
                <w:sz w:val="20"/>
                <w:szCs w:val="20"/>
                <w:lang w:eastAsia="en-AU"/>
              </w:rPr>
              <w:t>$m</w:t>
            </w:r>
          </w:p>
        </w:tc>
        <w:tc>
          <w:tcPr>
            <w:tcW w:w="8942" w:type="dxa"/>
            <w:tcBorders>
              <w:top w:val="single" w:sz="4" w:space="0" w:color="auto"/>
              <w:left w:val="nil"/>
              <w:bottom w:val="single" w:sz="4" w:space="0" w:color="auto"/>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sz w:val="20"/>
                <w:szCs w:val="20"/>
                <w:lang w:eastAsia="en-AU"/>
              </w:rPr>
              <w:t>Reason for change</w:t>
            </w:r>
          </w:p>
        </w:tc>
      </w:tr>
      <w:tr w:rsidR="00625307" w:rsidRPr="00625307" w:rsidTr="00F06B9C">
        <w:trPr>
          <w:trHeight w:val="439"/>
        </w:trPr>
        <w:tc>
          <w:tcPr>
            <w:tcW w:w="726"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528</w:t>
            </w:r>
          </w:p>
        </w:tc>
        <w:tc>
          <w:tcPr>
            <w:tcW w:w="283"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 </w:t>
            </w:r>
          </w:p>
        </w:tc>
        <w:tc>
          <w:tcPr>
            <w:tcW w:w="8942" w:type="dxa"/>
            <w:tcBorders>
              <w:top w:val="nil"/>
              <w:left w:val="nil"/>
              <w:bottom w:val="nil"/>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Commonwealth payments.</w:t>
            </w:r>
            <w:r w:rsidRPr="00625307">
              <w:rPr>
                <w:rFonts w:ascii="Calibri" w:eastAsia="Times New Roman" w:hAnsi="Calibri" w:cs="Arial"/>
                <w:sz w:val="20"/>
                <w:szCs w:val="20"/>
                <w:lang w:eastAsia="en-AU"/>
              </w:rPr>
              <w:t xml:space="preserve"> Victoria’s share of payments was lower in 2016-17 than in 2013-14, mainly due to road and rail infrastructure payments. This increased its GST share.</w:t>
            </w:r>
          </w:p>
        </w:tc>
      </w:tr>
      <w:tr w:rsidR="00625307" w:rsidRPr="00625307" w:rsidTr="00F06B9C">
        <w:trPr>
          <w:trHeight w:val="439"/>
        </w:trPr>
        <w:tc>
          <w:tcPr>
            <w:tcW w:w="726"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427</w:t>
            </w:r>
          </w:p>
        </w:tc>
        <w:tc>
          <w:tcPr>
            <w:tcW w:w="283"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942" w:type="dxa"/>
            <w:tcBorders>
              <w:top w:val="nil"/>
              <w:left w:val="nil"/>
              <w:bottom w:val="nil"/>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Population growth.</w:t>
            </w:r>
            <w:r w:rsidRPr="00625307">
              <w:rPr>
                <w:rFonts w:ascii="Calibri" w:eastAsia="Times New Roman" w:hAnsi="Calibri" w:cs="Arial"/>
                <w:sz w:val="20"/>
                <w:szCs w:val="20"/>
                <w:lang w:eastAsia="en-AU"/>
              </w:rPr>
              <w:t xml:space="preserve"> Increases in Victoria's share of national population growth increased its investment requirements and its GST share.</w:t>
            </w:r>
          </w:p>
        </w:tc>
      </w:tr>
      <w:tr w:rsidR="00625307" w:rsidRPr="00625307" w:rsidTr="003515D6">
        <w:trPr>
          <w:trHeight w:val="452"/>
        </w:trPr>
        <w:tc>
          <w:tcPr>
            <w:tcW w:w="726"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-149</w:t>
            </w:r>
          </w:p>
        </w:tc>
        <w:tc>
          <w:tcPr>
            <w:tcW w:w="283"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942" w:type="dxa"/>
            <w:tcBorders>
              <w:top w:val="nil"/>
              <w:left w:val="nil"/>
              <w:bottom w:val="nil"/>
              <w:right w:val="nil"/>
            </w:tcBorders>
            <w:shd w:val="clear" w:color="auto" w:fill="auto"/>
            <w:hideMark/>
          </w:tcPr>
          <w:p w:rsidR="00625307" w:rsidRPr="00625307" w:rsidRDefault="00625307" w:rsidP="00402884">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School education.</w:t>
            </w:r>
            <w:r w:rsidRPr="00625307">
              <w:rPr>
                <w:rFonts w:ascii="Calibri" w:eastAsia="Times New Roman" w:hAnsi="Calibri" w:cs="Arial"/>
                <w:sz w:val="20"/>
                <w:szCs w:val="20"/>
                <w:lang w:eastAsia="en-AU"/>
              </w:rPr>
              <w:t xml:space="preserve"> </w:t>
            </w:r>
            <w:r w:rsidRPr="004A1146">
              <w:rPr>
                <w:rFonts w:ascii="Calibri" w:eastAsia="Times New Roman" w:hAnsi="Calibri" w:cs="Arial"/>
                <w:sz w:val="20"/>
                <w:szCs w:val="20"/>
                <w:lang w:eastAsia="en-AU"/>
              </w:rPr>
              <w:t>Census based upward revisions to its total population mean that</w:t>
            </w:r>
            <w:r w:rsidR="00AF704E" w:rsidRPr="004A1146">
              <w:rPr>
                <w:rFonts w:ascii="Calibri" w:eastAsia="Times New Roman" w:hAnsi="Calibri" w:cs="Arial"/>
                <w:sz w:val="20"/>
                <w:szCs w:val="20"/>
                <w:lang w:eastAsia="en-AU"/>
              </w:rPr>
              <w:t>,</w:t>
            </w:r>
            <w:r w:rsidRPr="004A1146">
              <w:rPr>
                <w:rFonts w:ascii="Calibri" w:eastAsia="Times New Roman" w:hAnsi="Calibri" w:cs="Arial"/>
                <w:sz w:val="20"/>
                <w:szCs w:val="20"/>
                <w:lang w:eastAsia="en-AU"/>
              </w:rPr>
              <w:t xml:space="preserve"> with no revisions to student numbers, Victoria's students per capita have been revised downward, </w:t>
            </w:r>
            <w:r w:rsidR="00402884" w:rsidRPr="004A1146">
              <w:rPr>
                <w:rFonts w:ascii="Calibri" w:eastAsia="Times New Roman" w:hAnsi="Calibri" w:cs="Arial"/>
                <w:sz w:val="20"/>
                <w:szCs w:val="20"/>
                <w:lang w:eastAsia="en-AU"/>
              </w:rPr>
              <w:t>reducing its GST share.</w:t>
            </w:r>
          </w:p>
        </w:tc>
      </w:tr>
      <w:tr w:rsidR="00625307" w:rsidRPr="00625307" w:rsidTr="00F06B9C">
        <w:trPr>
          <w:trHeight w:val="439"/>
        </w:trPr>
        <w:tc>
          <w:tcPr>
            <w:tcW w:w="726"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145</w:t>
            </w:r>
          </w:p>
        </w:tc>
        <w:tc>
          <w:tcPr>
            <w:tcW w:w="283" w:type="dxa"/>
            <w:tcBorders>
              <w:top w:val="nil"/>
              <w:left w:val="nil"/>
              <w:bottom w:val="nil"/>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942" w:type="dxa"/>
            <w:tcBorders>
              <w:top w:val="nil"/>
              <w:left w:val="nil"/>
              <w:bottom w:val="nil"/>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Wage costs.</w:t>
            </w:r>
            <w:r w:rsidRPr="00625307">
              <w:rPr>
                <w:rFonts w:ascii="Calibri" w:eastAsia="Times New Roman" w:hAnsi="Calibri" w:cs="Arial"/>
                <w:sz w:val="20"/>
                <w:szCs w:val="20"/>
                <w:lang w:eastAsia="en-AU"/>
              </w:rPr>
              <w:t xml:space="preserve"> Above average growth in Victorian wage levels increased its service delivery costs and its GST share.</w:t>
            </w:r>
          </w:p>
        </w:tc>
      </w:tr>
      <w:tr w:rsidR="00625307" w:rsidRPr="00625307" w:rsidTr="00F06B9C">
        <w:trPr>
          <w:trHeight w:val="349"/>
        </w:trPr>
        <w:tc>
          <w:tcPr>
            <w:tcW w:w="726" w:type="dxa"/>
            <w:tcBorders>
              <w:top w:val="nil"/>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-129</w:t>
            </w:r>
          </w:p>
        </w:tc>
        <w:tc>
          <w:tcPr>
            <w:tcW w:w="283" w:type="dxa"/>
            <w:tcBorders>
              <w:top w:val="nil"/>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p>
        </w:tc>
        <w:tc>
          <w:tcPr>
            <w:tcW w:w="8942" w:type="dxa"/>
            <w:tcBorders>
              <w:top w:val="nil"/>
              <w:left w:val="nil"/>
              <w:bottom w:val="single" w:sz="4" w:space="0" w:color="auto"/>
              <w:right w:val="nil"/>
            </w:tcBorders>
            <w:shd w:val="clear" w:color="auto" w:fill="auto"/>
            <w:hideMark/>
          </w:tcPr>
          <w:p w:rsidR="00625307" w:rsidRPr="00625307" w:rsidRDefault="00625307" w:rsidP="0062530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Property sales.</w:t>
            </w:r>
            <w:r w:rsidRPr="00625307">
              <w:rPr>
                <w:rFonts w:ascii="Calibri" w:eastAsia="Times New Roman" w:hAnsi="Calibri" w:cs="Arial"/>
                <w:sz w:val="20"/>
                <w:szCs w:val="20"/>
                <w:lang w:eastAsia="en-AU"/>
              </w:rPr>
              <w:t xml:space="preserve"> Above average growth in property sales increased the State's capacity to raise revenue from conveyance duty and reduced its GST share.</w:t>
            </w:r>
          </w:p>
        </w:tc>
      </w:tr>
      <w:tr w:rsidR="00625307" w:rsidRPr="00625307" w:rsidTr="00F06B9C">
        <w:trPr>
          <w:trHeight w:val="478"/>
        </w:trPr>
        <w:tc>
          <w:tcPr>
            <w:tcW w:w="726" w:type="dxa"/>
            <w:tcBorders>
              <w:top w:val="single" w:sz="4" w:space="0" w:color="auto"/>
              <w:left w:val="nil"/>
              <w:bottom w:val="single" w:sz="4" w:space="0" w:color="auto"/>
              <w:right w:val="nil"/>
            </w:tcBorders>
            <w:shd w:val="clear" w:color="auto" w:fill="auto"/>
            <w:noWrap/>
            <w:hideMark/>
          </w:tcPr>
          <w:p w:rsidR="00625307" w:rsidRPr="00625307" w:rsidRDefault="00625307" w:rsidP="00421402">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5</w:t>
            </w:r>
            <w:r w:rsidR="00421402">
              <w:rPr>
                <w:rFonts w:ascii="Calibri" w:eastAsia="Times New Roman" w:hAnsi="Calibri" w:cs="Arial"/>
                <w:sz w:val="20"/>
                <w:szCs w:val="20"/>
                <w:lang w:eastAsia="en-AU"/>
              </w:rPr>
              <w:t>7</w:t>
            </w:r>
            <w:r w:rsidRPr="00625307">
              <w:rPr>
                <w:rFonts w:ascii="Calibri" w:eastAsia="Times New Roman" w:hAnsi="Calibri" w:cs="Arial"/>
                <w:sz w:val="20"/>
                <w:szCs w:val="20"/>
                <w:lang w:eastAsia="en-AU"/>
              </w:rPr>
              <w:t>8</w:t>
            </w:r>
          </w:p>
        </w:tc>
        <w:tc>
          <w:tcPr>
            <w:tcW w:w="283" w:type="dxa"/>
            <w:tcBorders>
              <w:top w:val="single" w:sz="4" w:space="0" w:color="auto"/>
              <w:left w:val="nil"/>
              <w:bottom w:val="single" w:sz="4" w:space="0" w:color="auto"/>
              <w:right w:val="nil"/>
            </w:tcBorders>
            <w:shd w:val="clear" w:color="auto" w:fill="auto"/>
            <w:noWrap/>
            <w:hideMark/>
          </w:tcPr>
          <w:p w:rsidR="00625307" w:rsidRPr="00625307" w:rsidRDefault="00625307" w:rsidP="00625307">
            <w:pPr>
              <w:tabs>
                <w:tab w:val="clear" w:pos="567"/>
              </w:tabs>
              <w:spacing w:after="0" w:line="240" w:lineRule="auto"/>
              <w:jc w:val="right"/>
              <w:rPr>
                <w:rFonts w:ascii="Calibri" w:eastAsia="Times New Roman" w:hAnsi="Calibri" w:cs="Arial"/>
                <w:sz w:val="20"/>
                <w:szCs w:val="20"/>
                <w:lang w:eastAsia="en-AU"/>
              </w:rPr>
            </w:pPr>
            <w:r w:rsidRPr="00625307">
              <w:rPr>
                <w:rFonts w:ascii="Calibri" w:eastAsia="Times New Roman" w:hAnsi="Calibri" w:cs="Arial"/>
                <w:sz w:val="20"/>
                <w:szCs w:val="20"/>
                <w:lang w:eastAsia="en-AU"/>
              </w:rPr>
              <w:t> </w:t>
            </w:r>
          </w:p>
        </w:tc>
        <w:tc>
          <w:tcPr>
            <w:tcW w:w="8942" w:type="dxa"/>
            <w:tcBorders>
              <w:top w:val="single" w:sz="4" w:space="0" w:color="auto"/>
              <w:left w:val="nil"/>
              <w:bottom w:val="single" w:sz="4" w:space="0" w:color="auto"/>
              <w:right w:val="nil"/>
            </w:tcBorders>
            <w:shd w:val="clear" w:color="auto" w:fill="auto"/>
            <w:hideMark/>
          </w:tcPr>
          <w:p w:rsidR="00625307" w:rsidRPr="00625307" w:rsidRDefault="00625307" w:rsidP="007A69E7">
            <w:pPr>
              <w:tabs>
                <w:tab w:val="clear" w:pos="567"/>
              </w:tabs>
              <w:spacing w:after="0" w:line="240" w:lineRule="auto"/>
              <w:rPr>
                <w:rFonts w:ascii="Calibri" w:eastAsia="Times New Roman" w:hAnsi="Calibri" w:cs="Arial"/>
                <w:sz w:val="20"/>
                <w:szCs w:val="20"/>
                <w:lang w:eastAsia="en-AU"/>
              </w:rPr>
            </w:pPr>
            <w:r w:rsidRPr="00625307">
              <w:rPr>
                <w:rFonts w:ascii="Calibri" w:eastAsia="Times New Roman" w:hAnsi="Calibri" w:cs="Arial"/>
                <w:b/>
                <w:sz w:val="20"/>
                <w:szCs w:val="20"/>
                <w:lang w:eastAsia="en-AU"/>
              </w:rPr>
              <w:t>New Census data.</w:t>
            </w:r>
            <w:r w:rsidRPr="00625307">
              <w:rPr>
                <w:rFonts w:ascii="Calibri" w:eastAsia="Times New Roman" w:hAnsi="Calibri" w:cs="Arial"/>
                <w:sz w:val="20"/>
                <w:szCs w:val="20"/>
                <w:lang w:eastAsia="en-AU"/>
              </w:rPr>
              <w:t xml:space="preserve"> Upward revisions to Victoria's total population associated with the 2016 Census decreased its relative revenue raising capacity and increased </w:t>
            </w:r>
            <w:r w:rsidR="007A69E7">
              <w:rPr>
                <w:rFonts w:ascii="Calibri" w:eastAsia="Times New Roman" w:hAnsi="Calibri" w:cs="Arial"/>
                <w:sz w:val="20"/>
                <w:szCs w:val="20"/>
                <w:lang w:eastAsia="en-AU"/>
              </w:rPr>
              <w:t xml:space="preserve">its </w:t>
            </w:r>
            <w:r w:rsidRPr="00625307">
              <w:rPr>
                <w:rFonts w:ascii="Calibri" w:eastAsia="Times New Roman" w:hAnsi="Calibri" w:cs="Arial"/>
                <w:sz w:val="20"/>
                <w:szCs w:val="20"/>
                <w:lang w:eastAsia="en-AU"/>
              </w:rPr>
              <w:t xml:space="preserve">GST </w:t>
            </w:r>
            <w:r w:rsidR="00402884">
              <w:rPr>
                <w:rFonts w:ascii="Calibri" w:eastAsia="Times New Roman" w:hAnsi="Calibri" w:cs="Arial"/>
                <w:sz w:val="20"/>
                <w:szCs w:val="20"/>
                <w:lang w:eastAsia="en-AU"/>
              </w:rPr>
              <w:t>share</w:t>
            </w:r>
            <w:r w:rsidRPr="00625307">
              <w:rPr>
                <w:rFonts w:ascii="Calibri" w:eastAsia="Times New Roman" w:hAnsi="Calibri" w:cs="Arial"/>
                <w:sz w:val="20"/>
                <w:szCs w:val="20"/>
                <w:lang w:eastAsia="en-AU"/>
              </w:rPr>
              <w:t>.</w:t>
            </w:r>
          </w:p>
        </w:tc>
      </w:tr>
    </w:tbl>
    <w:p w:rsidR="00BF0D7D" w:rsidRPr="00BF0D7D" w:rsidRDefault="00BF0D7D" w:rsidP="00BF0D7D">
      <w:pPr>
        <w:pStyle w:val="NoSpacing"/>
        <w:sectPr w:rsidR="00BF0D7D" w:rsidRPr="00BF0D7D"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rPr>
          <w:szCs w:val="24"/>
        </w:rPr>
      </w:pPr>
      <w:proofErr w:type="gramStart"/>
      <w:r w:rsidRPr="002A48E0">
        <w:rPr>
          <w:rStyle w:val="Heading6Char"/>
        </w:rPr>
        <w:lastRenderedPageBreak/>
        <w:t>Fiscal capacity.</w:t>
      </w:r>
      <w:proofErr w:type="gramEnd"/>
      <w:r w:rsidRPr="002A48E0">
        <w:t xml:space="preserve"> </w:t>
      </w:r>
      <w:r w:rsidRPr="002A48E0">
        <w:rPr>
          <w:szCs w:val="24"/>
        </w:rPr>
        <w:t xml:space="preserve">Victoria’s strong fiscal </w:t>
      </w:r>
      <w:r>
        <w:rPr>
          <w:szCs w:val="24"/>
        </w:rPr>
        <w:t>capacity</w:t>
      </w:r>
      <w:r w:rsidRPr="002A48E0">
        <w:rPr>
          <w:szCs w:val="24"/>
        </w:rPr>
        <w:t xml:space="preserve"> is due to its well below average assessed </w:t>
      </w:r>
      <w:r w:rsidR="00023A1A">
        <w:rPr>
          <w:szCs w:val="24"/>
        </w:rPr>
        <w:t xml:space="preserve">costs of </w:t>
      </w:r>
      <w:r w:rsidRPr="002A48E0">
        <w:rPr>
          <w:szCs w:val="24"/>
        </w:rPr>
        <w:t xml:space="preserve">providing services, reflecting </w:t>
      </w:r>
      <w:proofErr w:type="gramStart"/>
      <w:r w:rsidRPr="002A48E0">
        <w:rPr>
          <w:szCs w:val="24"/>
        </w:rPr>
        <w:t>its</w:t>
      </w:r>
      <w:proofErr w:type="gramEnd"/>
      <w:r w:rsidRPr="002A48E0">
        <w:rPr>
          <w:szCs w:val="24"/>
        </w:rPr>
        <w:t xml:space="preserve"> below average shares of government school enrolments, Indigenous people and people living in remote areas. This is reduced further by economies of scale in administration and below average wage </w:t>
      </w:r>
      <w:r w:rsidR="00023A1A">
        <w:rPr>
          <w:szCs w:val="24"/>
        </w:rPr>
        <w:t>costs</w:t>
      </w:r>
      <w:r w:rsidRPr="002A48E0">
        <w:rPr>
          <w:szCs w:val="24"/>
        </w:rPr>
        <w:t>.</w:t>
      </w:r>
    </w:p>
    <w:p w:rsidR="002E6415" w:rsidRPr="002A48E0" w:rsidRDefault="002E6415" w:rsidP="002E6415">
      <w:pPr>
        <w:rPr>
          <w:szCs w:val="24"/>
        </w:rPr>
      </w:pPr>
      <w:r w:rsidRPr="002A48E0">
        <w:rPr>
          <w:szCs w:val="24"/>
        </w:rPr>
        <w:t xml:space="preserve">Those effects on its fiscal capacity are partly offset by its below average revenue raising capacity, which is mainly due to its below average mining production and taxable payrolls, and by its above average investment requirements due to above average </w:t>
      </w:r>
      <w:r w:rsidR="00C923C9">
        <w:rPr>
          <w:szCs w:val="24"/>
        </w:rPr>
        <w:t xml:space="preserve">share of national </w:t>
      </w:r>
      <w:r w:rsidRPr="002A48E0">
        <w:rPr>
          <w:szCs w:val="24"/>
        </w:rPr>
        <w:t>population growth.</w:t>
      </w:r>
    </w:p>
    <w:p w:rsidR="002E6415" w:rsidRDefault="002E6415" w:rsidP="002E6415">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10</w:t>
      </w:r>
      <w:r w:rsidR="00CD68E8">
        <w:rPr>
          <w:noProof/>
        </w:rPr>
        <w:fldChar w:fldCharType="end"/>
      </w:r>
      <w:r w:rsidR="00331299">
        <w:tab/>
        <w:t>Assessed GST, 2018</w:t>
      </w:r>
      <w:r w:rsidR="00260A18">
        <w:noBreakHyphen/>
      </w:r>
      <w:r w:rsidRPr="002A48E0">
        <w:t>1</w:t>
      </w:r>
      <w:r w:rsidR="00331299">
        <w:t>9</w:t>
      </w:r>
    </w:p>
    <w:tbl>
      <w:tblPr>
        <w:tblW w:w="4380" w:type="dxa"/>
        <w:tblInd w:w="93" w:type="dxa"/>
        <w:tblLook w:val="04A0" w:firstRow="1" w:lastRow="0" w:firstColumn="1" w:lastColumn="0" w:noHBand="0" w:noVBand="1"/>
      </w:tblPr>
      <w:tblGrid>
        <w:gridCol w:w="2780"/>
        <w:gridCol w:w="860"/>
        <w:gridCol w:w="74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Equal per capita share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17 031</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2 622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Effect of assessed:</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Expenses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-4 972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-765</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Investment</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1 254</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193</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-182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-28</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Revenue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2 882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444</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Commonwealth payments</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817</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126</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Assessed GST</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16 830</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2 591</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pStyle w:val="Heading4"/>
        <w:spacing w:before="0"/>
        <w:sectPr w:rsidR="002E6415" w:rsidRPr="002A48E0" w:rsidSect="005C67C8">
          <w:footerReference w:type="default" r:id="rId36"/>
          <w:pgSz w:w="11899" w:h="16838" w:code="9"/>
          <w:pgMar w:top="1440" w:right="1080" w:bottom="1440" w:left="1080" w:header="709" w:footer="709" w:gutter="0"/>
          <w:cols w:space="708"/>
          <w:titlePg/>
          <w:docGrid w:linePitch="326"/>
        </w:sectPr>
      </w:pPr>
      <w:bookmarkStart w:id="301" w:name="_Toc442191910"/>
      <w:bookmarkStart w:id="302" w:name="_Toc442192162"/>
      <w:bookmarkStart w:id="303" w:name="_Toc442192227"/>
      <w:bookmarkStart w:id="304" w:name="_Toc442772813"/>
      <w:bookmarkStart w:id="305" w:name="_Toc442773040"/>
      <w:bookmarkStart w:id="306" w:name="_Toc442773212"/>
      <w:bookmarkStart w:id="307" w:name="_Toc442883277"/>
      <w:bookmarkStart w:id="308" w:name="_Toc474923745"/>
      <w:bookmarkStart w:id="309" w:name="_Toc505872171"/>
      <w:r w:rsidRPr="002A48E0">
        <w:lastRenderedPageBreak/>
        <w:t>Queensland</w:t>
      </w:r>
      <w:bookmarkEnd w:id="301"/>
      <w:bookmarkEnd w:id="302"/>
      <w:bookmarkEnd w:id="303"/>
      <w:bookmarkEnd w:id="304"/>
      <w:bookmarkEnd w:id="305"/>
      <w:bookmarkEnd w:id="306"/>
      <w:bookmarkEnd w:id="307"/>
      <w:bookmarkEnd w:id="308"/>
      <w:bookmarkEnd w:id="309"/>
    </w:p>
    <w:p w:rsidR="002E6415" w:rsidRDefault="002E6415" w:rsidP="002E6415">
      <w:pPr>
        <w:spacing w:before="120"/>
        <w:rPr>
          <w:b/>
          <w:bCs/>
          <w:szCs w:val="20"/>
        </w:rPr>
      </w:pPr>
      <w:proofErr w:type="gramStart"/>
      <w:r w:rsidRPr="002A48E0">
        <w:rPr>
          <w:rStyle w:val="Heading6Char"/>
        </w:rPr>
        <w:lastRenderedPageBreak/>
        <w:t>Changes in this update.</w:t>
      </w:r>
      <w:proofErr w:type="gramEnd"/>
      <w:r w:rsidRPr="002A48E0">
        <w:t xml:space="preserve"> Queensland has the fourth highest fiscal capacity. </w:t>
      </w:r>
      <w:r w:rsidR="00CD70A6">
        <w:t>I</w:t>
      </w:r>
      <w:r w:rsidRPr="002A48E0">
        <w:t xml:space="preserve">ts assessed fiscal capacity </w:t>
      </w:r>
      <w:r w:rsidR="00CD70A6">
        <w:t xml:space="preserve">has strengthened due to a decrease in its </w:t>
      </w:r>
      <w:r w:rsidR="005942CB">
        <w:t xml:space="preserve">net </w:t>
      </w:r>
      <w:r w:rsidR="00CD70A6">
        <w:t>natural disaster relief expenses</w:t>
      </w:r>
      <w:r w:rsidR="00551666">
        <w:t>,</w:t>
      </w:r>
      <w:r w:rsidR="00817727">
        <w:t xml:space="preserve"> an</w:t>
      </w:r>
      <w:r w:rsidR="002C46B8">
        <w:t>d</w:t>
      </w:r>
      <w:r w:rsidR="00817727">
        <w:t xml:space="preserve"> increase</w:t>
      </w:r>
      <w:r w:rsidR="002C46B8">
        <w:t>s</w:t>
      </w:r>
      <w:r w:rsidR="00817727">
        <w:t xml:space="preserve"> </w:t>
      </w:r>
      <w:r w:rsidRPr="002A48E0">
        <w:t>in</w:t>
      </w:r>
      <w:r w:rsidR="00DF25F5">
        <w:t xml:space="preserve"> its</w:t>
      </w:r>
      <w:r w:rsidRPr="002A48E0">
        <w:t xml:space="preserve"> </w:t>
      </w:r>
      <w:r w:rsidR="002C46B8" w:rsidRPr="002A48E0">
        <w:t>share of Commonwealth payments</w:t>
      </w:r>
      <w:r w:rsidR="002C46B8">
        <w:t xml:space="preserve"> and its </w:t>
      </w:r>
      <w:r w:rsidR="00B1736A">
        <w:t>relative</w:t>
      </w:r>
      <w:r w:rsidRPr="002A48E0">
        <w:t xml:space="preserve"> capacity</w:t>
      </w:r>
      <w:r w:rsidR="00B1736A">
        <w:t xml:space="preserve"> to raise mining royalties</w:t>
      </w:r>
      <w:r w:rsidR="00D07F97">
        <w:t xml:space="preserve"> from </w:t>
      </w:r>
      <w:r w:rsidR="00817727">
        <w:t>coal production</w:t>
      </w:r>
      <w:r w:rsidR="00551666">
        <w:t xml:space="preserve">. </w:t>
      </w:r>
      <w:r w:rsidR="002C46B8">
        <w:t xml:space="preserve">In addition, </w:t>
      </w:r>
      <w:r w:rsidR="00551666">
        <w:t>a decrease in i</w:t>
      </w:r>
      <w:r w:rsidRPr="002A48E0">
        <w:t xml:space="preserve">ts </w:t>
      </w:r>
      <w:r w:rsidR="003515D6">
        <w:t xml:space="preserve">share of national population growth </w:t>
      </w:r>
      <w:r w:rsidR="002C46B8">
        <w:t>reduced</w:t>
      </w:r>
      <w:r w:rsidR="003515D6">
        <w:t xml:space="preserve"> its investment </w:t>
      </w:r>
      <w:r w:rsidR="008A2A06">
        <w:t>needs</w:t>
      </w:r>
      <w:r w:rsidRPr="002A48E0">
        <w:t xml:space="preserve">. </w:t>
      </w:r>
      <w:r w:rsidR="005942CB">
        <w:t>Compared with 2017</w:t>
      </w:r>
      <w:r w:rsidR="005942CB">
        <w:noBreakHyphen/>
        <w:t>18, the State’s</w:t>
      </w:r>
      <w:r w:rsidRPr="002A48E0">
        <w:t xml:space="preserve"> GST share </w:t>
      </w:r>
      <w:r w:rsidR="005942CB">
        <w:t xml:space="preserve">will </w:t>
      </w:r>
      <w:r w:rsidR="00817727">
        <w:t>fall</w:t>
      </w:r>
      <w:r w:rsidRPr="002A48E0">
        <w:t xml:space="preserve"> from 23.</w:t>
      </w:r>
      <w:r w:rsidR="00513E01">
        <w:t>8</w:t>
      </w:r>
      <w:r w:rsidRPr="002A48E0">
        <w:t>% to 2</w:t>
      </w:r>
      <w:r w:rsidR="00513E01">
        <w:t>2</w:t>
      </w:r>
      <w:r w:rsidRPr="002A48E0">
        <w:t>.</w:t>
      </w:r>
      <w:r w:rsidR="00513E01">
        <w:t>0</w:t>
      </w:r>
      <w:r w:rsidRPr="002A48E0">
        <w:t xml:space="preserve">%. </w:t>
      </w:r>
      <w:r w:rsidR="002C46B8">
        <w:t>G</w:t>
      </w:r>
      <w:r w:rsidR="00347068">
        <w:t>rowth in the pool does not offset the impact of Queensland’s improved fiscal capacity</w:t>
      </w:r>
      <w:r w:rsidR="00D07F97">
        <w:t>,</w:t>
      </w:r>
      <w:r w:rsidR="002C46B8">
        <w:t xml:space="preserve"> and </w:t>
      </w:r>
      <w:r w:rsidR="00347068">
        <w:t xml:space="preserve">its </w:t>
      </w:r>
      <w:r w:rsidR="00817727">
        <w:t xml:space="preserve">GST entitlement </w:t>
      </w:r>
      <w:r w:rsidR="00513E01">
        <w:t xml:space="preserve">will fall </w:t>
      </w:r>
      <w:r w:rsidR="00817727">
        <w:t>by $</w:t>
      </w:r>
      <w:r w:rsidR="003515D6">
        <w:t>40</w:t>
      </w:r>
      <w:r w:rsidR="006B05C0">
        <w:t>1</w:t>
      </w:r>
      <w:r w:rsidR="003515D6" w:rsidRPr="002A48E0">
        <w:t> </w:t>
      </w:r>
      <w:r w:rsidRPr="002A48E0">
        <w:t>million</w:t>
      </w:r>
      <w:r w:rsidR="00817727">
        <w:t>,</w:t>
      </w:r>
      <w:r w:rsidRPr="002A48E0">
        <w:t xml:space="preserve"> or </w:t>
      </w:r>
      <w:r w:rsidR="00513E01">
        <w:t>2</w:t>
      </w:r>
      <w:r w:rsidRPr="002A48E0">
        <w:t>.</w:t>
      </w:r>
      <w:r w:rsidR="003515D6">
        <w:t>7</w:t>
      </w:r>
      <w:r w:rsidRPr="002A48E0">
        <w:t>%.</w:t>
      </w:r>
      <w:r w:rsidRPr="002A48E0">
        <w:br w:type="column"/>
      </w:r>
      <w:r w:rsidRPr="002A48E0">
        <w:rPr>
          <w:b/>
          <w:bCs/>
          <w:szCs w:val="20"/>
        </w:rPr>
        <w:lastRenderedPageBreak/>
        <w:t xml:space="preserve">Table </w:t>
      </w:r>
      <w:r w:rsidRPr="002A48E0">
        <w:rPr>
          <w:b/>
          <w:bCs/>
          <w:szCs w:val="20"/>
        </w:rPr>
        <w:fldChar w:fldCharType="begin"/>
      </w:r>
      <w:r w:rsidRPr="002A48E0">
        <w:rPr>
          <w:b/>
          <w:bCs/>
          <w:szCs w:val="20"/>
        </w:rPr>
        <w:instrText xml:space="preserve"> SEQ Table \* ARABIC </w:instrText>
      </w:r>
      <w:r w:rsidRPr="002A48E0">
        <w:rPr>
          <w:b/>
          <w:bCs/>
          <w:szCs w:val="20"/>
        </w:rPr>
        <w:fldChar w:fldCharType="separate"/>
      </w:r>
      <w:r w:rsidR="000A6746">
        <w:rPr>
          <w:b/>
          <w:bCs/>
          <w:noProof/>
          <w:szCs w:val="20"/>
        </w:rPr>
        <w:t>11</w:t>
      </w:r>
      <w:r w:rsidRPr="002A48E0">
        <w:rPr>
          <w:b/>
          <w:bCs/>
          <w:szCs w:val="20"/>
        </w:rPr>
        <w:fldChar w:fldCharType="end"/>
      </w:r>
      <w:r w:rsidRPr="002A48E0">
        <w:rPr>
          <w:b/>
          <w:bCs/>
          <w:szCs w:val="20"/>
        </w:rPr>
        <w:tab/>
        <w:t>Change in GST</w:t>
      </w:r>
    </w:p>
    <w:tbl>
      <w:tblPr>
        <w:tblW w:w="4380" w:type="dxa"/>
        <w:tblInd w:w="93" w:type="dxa"/>
        <w:tblLook w:val="04A0" w:firstRow="1" w:lastRow="0" w:firstColumn="1" w:lastColumn="0" w:noHBand="0" w:noVBand="1"/>
      </w:tblPr>
      <w:tblGrid>
        <w:gridCol w:w="2780"/>
        <w:gridCol w:w="860"/>
        <w:gridCol w:w="74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Change due to</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population</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0</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Growth in GST available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809</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161</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relativities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-1 208</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-241</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Data revisions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-21</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-4</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Change in circumstances</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-1 187</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-236</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Total change</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-401</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-80</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F06B9C" w:rsidRDefault="002E6415" w:rsidP="00F06B9C">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12</w:t>
      </w:r>
      <w:r w:rsidR="00CD68E8">
        <w:rPr>
          <w:noProof/>
        </w:rPr>
        <w:fldChar w:fldCharType="end"/>
      </w:r>
      <w:r w:rsidRPr="002A48E0">
        <w:tab/>
        <w:t>Main changes for Queensland</w:t>
      </w:r>
    </w:p>
    <w:tbl>
      <w:tblPr>
        <w:tblW w:w="10071" w:type="dxa"/>
        <w:tblInd w:w="93" w:type="dxa"/>
        <w:tblLook w:val="04A0" w:firstRow="1" w:lastRow="0" w:firstColumn="1" w:lastColumn="0" w:noHBand="0" w:noVBand="1"/>
      </w:tblPr>
      <w:tblGrid>
        <w:gridCol w:w="734"/>
        <w:gridCol w:w="287"/>
        <w:gridCol w:w="9050"/>
      </w:tblGrid>
      <w:tr w:rsidR="00F06B9C" w:rsidRPr="00F06B9C" w:rsidTr="00F06B9C">
        <w:trPr>
          <w:trHeight w:val="325"/>
        </w:trPr>
        <w:tc>
          <w:tcPr>
            <w:tcW w:w="1021" w:type="dxa"/>
            <w:gridSpan w:val="2"/>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center"/>
              <w:rPr>
                <w:rFonts w:ascii="Calibri" w:eastAsia="Times New Roman" w:hAnsi="Calibri" w:cs="Arial"/>
                <w:sz w:val="20"/>
                <w:szCs w:val="20"/>
                <w:lang w:eastAsia="en-AU"/>
              </w:rPr>
            </w:pPr>
            <w:r w:rsidRPr="00F06B9C">
              <w:rPr>
                <w:rFonts w:ascii="Calibri" w:eastAsia="Times New Roman" w:hAnsi="Calibri" w:cs="Arial"/>
                <w:sz w:val="20"/>
                <w:szCs w:val="20"/>
                <w:lang w:eastAsia="en-AU"/>
              </w:rPr>
              <w:t>$m</w:t>
            </w:r>
          </w:p>
        </w:tc>
        <w:tc>
          <w:tcPr>
            <w:tcW w:w="9050"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sz w:val="20"/>
                <w:szCs w:val="20"/>
                <w:lang w:eastAsia="en-AU"/>
              </w:rPr>
              <w:t>Reason for change</w:t>
            </w:r>
          </w:p>
        </w:tc>
      </w:tr>
      <w:tr w:rsidR="00F06B9C" w:rsidRPr="00F06B9C" w:rsidTr="00F06B9C">
        <w:trPr>
          <w:trHeight w:val="600"/>
        </w:trPr>
        <w:tc>
          <w:tcPr>
            <w:tcW w:w="73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-545</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50" w:type="dxa"/>
            <w:tcBorders>
              <w:top w:val="nil"/>
              <w:left w:val="nil"/>
              <w:bottom w:val="nil"/>
              <w:right w:val="nil"/>
            </w:tcBorders>
            <w:shd w:val="clear" w:color="auto" w:fill="auto"/>
            <w:hideMark/>
          </w:tcPr>
          <w:p w:rsidR="00F06B9C" w:rsidRPr="00F06B9C" w:rsidRDefault="00F06B9C" w:rsidP="00421402">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Natural disaster relief.</w:t>
            </w:r>
            <w:r w:rsidRPr="00F06B9C">
              <w:rPr>
                <w:rFonts w:ascii="Calibri" w:eastAsia="Times New Roman" w:hAnsi="Calibri" w:cs="Arial"/>
                <w:sz w:val="20"/>
                <w:szCs w:val="20"/>
                <w:lang w:eastAsia="en-AU"/>
              </w:rPr>
              <w:t xml:space="preserve"> Queensland’s net natural disaster expenses were almost $1.5 billion lower in 2016</w:t>
            </w:r>
            <w:r w:rsidR="00421402">
              <w:rPr>
                <w:rFonts w:ascii="Calibri" w:eastAsia="Times New Roman" w:hAnsi="Calibri" w:cs="Arial"/>
                <w:sz w:val="20"/>
                <w:szCs w:val="20"/>
                <w:lang w:eastAsia="en-AU"/>
              </w:rPr>
              <w:noBreakHyphen/>
            </w:r>
            <w:r w:rsidRPr="00F06B9C">
              <w:rPr>
                <w:rFonts w:ascii="Calibri" w:eastAsia="Times New Roman" w:hAnsi="Calibri" w:cs="Arial"/>
                <w:sz w:val="20"/>
                <w:szCs w:val="20"/>
                <w:lang w:eastAsia="en-AU"/>
              </w:rPr>
              <w:t>17 compared to 2013-14</w:t>
            </w:r>
            <w:r w:rsidR="00AF704E">
              <w:rPr>
                <w:rFonts w:ascii="Calibri" w:eastAsia="Times New Roman" w:hAnsi="Calibri" w:cs="Arial"/>
                <w:sz w:val="20"/>
                <w:szCs w:val="20"/>
                <w:lang w:eastAsia="en-AU"/>
              </w:rPr>
              <w:t>,</w:t>
            </w:r>
            <w:r w:rsidRPr="00F06B9C">
              <w:rPr>
                <w:rFonts w:ascii="Calibri" w:eastAsia="Times New Roman" w:hAnsi="Calibri" w:cs="Arial"/>
                <w:sz w:val="20"/>
                <w:szCs w:val="20"/>
                <w:lang w:eastAsia="en-AU"/>
              </w:rPr>
              <w:t xml:space="preserve"> resulting in a decline in its GST share. The high net expenses in 2013-14 were the result of a number of major flood and cyclone events between 2011 and 2014.</w:t>
            </w:r>
          </w:p>
        </w:tc>
      </w:tr>
      <w:tr w:rsidR="00F06B9C" w:rsidRPr="00F06B9C" w:rsidTr="00F06B9C">
        <w:trPr>
          <w:trHeight w:val="494"/>
        </w:trPr>
        <w:tc>
          <w:tcPr>
            <w:tcW w:w="73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-417</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50"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Mining production.</w:t>
            </w:r>
            <w:r w:rsidRPr="00F06B9C">
              <w:rPr>
                <w:rFonts w:ascii="Calibri" w:eastAsia="Times New Roman" w:hAnsi="Calibri" w:cs="Arial"/>
                <w:sz w:val="20"/>
                <w:szCs w:val="20"/>
                <w:lang w:eastAsia="en-AU"/>
              </w:rPr>
              <w:t xml:space="preserve"> An increase in the total value of coal production, combined with a fall in the total value of iron ore production, increased Queensland's relative revenue raising capacity and reduced its GST share.</w:t>
            </w:r>
          </w:p>
        </w:tc>
      </w:tr>
      <w:tr w:rsidR="00F06B9C" w:rsidRPr="00F06B9C" w:rsidTr="00CD431C">
        <w:trPr>
          <w:trHeight w:val="467"/>
        </w:trPr>
        <w:tc>
          <w:tcPr>
            <w:tcW w:w="73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-250</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50"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Commonwealth payments.</w:t>
            </w:r>
            <w:r w:rsidRPr="00F06B9C">
              <w:rPr>
                <w:rFonts w:ascii="Calibri" w:eastAsia="Times New Roman" w:hAnsi="Calibri" w:cs="Arial"/>
                <w:sz w:val="20"/>
                <w:szCs w:val="20"/>
                <w:lang w:eastAsia="en-AU"/>
              </w:rPr>
              <w:t xml:space="preserve"> Queensland’s share of payments was greater in 2016-17 than in 2013</w:t>
            </w:r>
            <w:r>
              <w:rPr>
                <w:rFonts w:ascii="Calibri" w:eastAsia="Times New Roman" w:hAnsi="Calibri" w:cs="Arial"/>
                <w:sz w:val="20"/>
                <w:szCs w:val="20"/>
                <w:lang w:eastAsia="en-AU"/>
              </w:rPr>
              <w:noBreakHyphen/>
            </w:r>
            <w:r w:rsidRPr="00F06B9C">
              <w:rPr>
                <w:rFonts w:ascii="Calibri" w:eastAsia="Times New Roman" w:hAnsi="Calibri" w:cs="Arial"/>
                <w:sz w:val="20"/>
                <w:szCs w:val="20"/>
                <w:lang w:eastAsia="en-AU"/>
              </w:rPr>
              <w:t>14, mainly due to road and rail infrastructure payments. This reduced its GST share.</w:t>
            </w:r>
          </w:p>
        </w:tc>
      </w:tr>
      <w:tr w:rsidR="00F06B9C" w:rsidRPr="00F06B9C" w:rsidTr="00F06B9C">
        <w:trPr>
          <w:trHeight w:val="421"/>
        </w:trPr>
        <w:tc>
          <w:tcPr>
            <w:tcW w:w="73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121</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50" w:type="dxa"/>
            <w:tcBorders>
              <w:top w:val="nil"/>
              <w:left w:val="nil"/>
              <w:bottom w:val="nil"/>
              <w:right w:val="nil"/>
            </w:tcBorders>
            <w:shd w:val="clear" w:color="auto" w:fill="auto"/>
            <w:hideMark/>
          </w:tcPr>
          <w:p w:rsidR="00F06B9C" w:rsidRPr="00F06B9C" w:rsidRDefault="00F06B9C" w:rsidP="001B11CE">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Taxable land values.</w:t>
            </w:r>
            <w:r w:rsidRPr="00F06B9C">
              <w:rPr>
                <w:rFonts w:ascii="Calibri" w:eastAsia="Times New Roman" w:hAnsi="Calibri" w:cs="Arial"/>
                <w:sz w:val="20"/>
                <w:szCs w:val="20"/>
                <w:lang w:eastAsia="en-AU"/>
              </w:rPr>
              <w:t xml:space="preserve"> Below average growth in land values reduced the State’s share of taxable land values and increased its GST share.</w:t>
            </w:r>
          </w:p>
        </w:tc>
      </w:tr>
      <w:tr w:rsidR="00F06B9C" w:rsidRPr="00F06B9C" w:rsidTr="00F06B9C">
        <w:trPr>
          <w:trHeight w:val="600"/>
        </w:trPr>
        <w:tc>
          <w:tcPr>
            <w:tcW w:w="734"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-102</w:t>
            </w:r>
          </w:p>
        </w:tc>
        <w:tc>
          <w:tcPr>
            <w:tcW w:w="287"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50" w:type="dxa"/>
            <w:tcBorders>
              <w:top w:val="nil"/>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Population growth.</w:t>
            </w:r>
            <w:r w:rsidRPr="00F06B9C">
              <w:rPr>
                <w:rFonts w:ascii="Calibri" w:eastAsia="Times New Roman" w:hAnsi="Calibri" w:cs="Arial"/>
                <w:sz w:val="20"/>
                <w:szCs w:val="20"/>
                <w:lang w:eastAsia="en-AU"/>
              </w:rPr>
              <w:t xml:space="preserve"> Queensland's population growth has slowed. This, in conjunction with revisions to its share of population growth, has led to a reduction in Queensland's assessed need for investment.</w:t>
            </w:r>
          </w:p>
        </w:tc>
      </w:tr>
      <w:tr w:rsidR="00F06B9C" w:rsidRPr="00F06B9C" w:rsidTr="00F06B9C">
        <w:trPr>
          <w:trHeight w:val="600"/>
        </w:trPr>
        <w:tc>
          <w:tcPr>
            <w:tcW w:w="734"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5</w:t>
            </w:r>
            <w:r w:rsidR="00421402">
              <w:rPr>
                <w:rFonts w:ascii="Calibri" w:eastAsia="Times New Roman" w:hAnsi="Calibri" w:cs="Arial"/>
                <w:sz w:val="20"/>
                <w:szCs w:val="20"/>
                <w:lang w:eastAsia="en-AU"/>
              </w:rPr>
              <w:t>6</w:t>
            </w:r>
          </w:p>
        </w:tc>
        <w:tc>
          <w:tcPr>
            <w:tcW w:w="287"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50"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New Census data.</w:t>
            </w:r>
            <w:r w:rsidRPr="00F06B9C">
              <w:rPr>
                <w:rFonts w:ascii="Calibri" w:eastAsia="Times New Roman" w:hAnsi="Calibri" w:cs="Arial"/>
                <w:sz w:val="20"/>
                <w:szCs w:val="20"/>
                <w:lang w:eastAsia="en-AU"/>
              </w:rPr>
              <w:t xml:space="preserve"> The 2016 Census found Queensland's non-Indigenous population to be more disadvantaged than it had been in 2011, increasing its service delivery costs and its GST share.</w:t>
            </w:r>
          </w:p>
        </w:tc>
      </w:tr>
    </w:tbl>
    <w:p w:rsidR="00BF0D7D" w:rsidRPr="002A48E0" w:rsidRDefault="00BF0D7D" w:rsidP="002E6415">
      <w:pPr>
        <w:sectPr w:rsidR="00BF0D7D"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rPr>
          <w:noProof/>
          <w:lang w:eastAsia="en-AU"/>
        </w:rPr>
      </w:pPr>
      <w:proofErr w:type="gramStart"/>
      <w:r w:rsidRPr="002A48E0">
        <w:rPr>
          <w:rStyle w:val="Heading6Char"/>
        </w:rPr>
        <w:lastRenderedPageBreak/>
        <w:t>Fiscal capacity.</w:t>
      </w:r>
      <w:proofErr w:type="gramEnd"/>
      <w:r w:rsidRPr="002A48E0">
        <w:t xml:space="preserve"> Queensland’s below average fiscal capacity is due to above average assessed expenses and below average revenue </w:t>
      </w:r>
      <w:proofErr w:type="gramStart"/>
      <w:r w:rsidRPr="002A48E0">
        <w:t>raising</w:t>
      </w:r>
      <w:proofErr w:type="gramEnd"/>
      <w:r w:rsidRPr="002A48E0">
        <w:t xml:space="preserve"> capacity </w:t>
      </w:r>
      <w:r w:rsidR="00D07F97">
        <w:t>reflecting</w:t>
      </w:r>
      <w:r w:rsidRPr="002A48E0">
        <w:t xml:space="preserve"> </w:t>
      </w:r>
      <w:r w:rsidR="00D07F97">
        <w:t xml:space="preserve">its </w:t>
      </w:r>
      <w:r w:rsidRPr="002A48E0">
        <w:t>below average taxable payrolls, property sales and taxable land values.</w:t>
      </w:r>
      <w:r w:rsidRPr="002A48E0">
        <w:rPr>
          <w:noProof/>
          <w:lang w:eastAsia="en-AU"/>
        </w:rPr>
        <w:t xml:space="preserve"> T</w:t>
      </w:r>
      <w:r w:rsidRPr="002A48E0">
        <w:t xml:space="preserve">his is partly offset by its above average mining production </w:t>
      </w:r>
      <w:r w:rsidRPr="002A48E0">
        <w:rPr>
          <w:noProof/>
          <w:lang w:eastAsia="en-AU"/>
        </w:rPr>
        <w:t xml:space="preserve">and </w:t>
      </w:r>
      <w:r w:rsidR="002142D6">
        <w:rPr>
          <w:noProof/>
          <w:lang w:eastAsia="en-AU"/>
        </w:rPr>
        <w:t xml:space="preserve">an above average share of </w:t>
      </w:r>
      <w:r w:rsidRPr="002A48E0">
        <w:rPr>
          <w:noProof/>
          <w:lang w:eastAsia="en-AU"/>
        </w:rPr>
        <w:t>Commonwealth payments.</w:t>
      </w:r>
    </w:p>
    <w:p w:rsidR="002E6415" w:rsidRPr="002A48E0" w:rsidRDefault="002E6415" w:rsidP="002E6415">
      <w:pPr>
        <w:rPr>
          <w:szCs w:val="24"/>
        </w:rPr>
      </w:pPr>
      <w:r w:rsidRPr="002A48E0">
        <w:t xml:space="preserve">Its high expense requirements are due to above average shares of government school enrolments, Indigenous people and people living in remote areas. In addition, Queensland’s share of </w:t>
      </w:r>
      <w:r w:rsidR="005942CB">
        <w:t xml:space="preserve">net </w:t>
      </w:r>
      <w:r w:rsidRPr="002A48E0">
        <w:t>natural disaster relief expenses is well above average. Those effects are partly offset by its below average wage expenses and costs of providing urban transport.</w:t>
      </w:r>
    </w:p>
    <w:p w:rsidR="002E6415" w:rsidRDefault="002E6415" w:rsidP="002E6415">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13</w:t>
      </w:r>
      <w:r w:rsidR="00CD68E8">
        <w:rPr>
          <w:noProof/>
        </w:rPr>
        <w:fldChar w:fldCharType="end"/>
      </w:r>
      <w:r w:rsidRPr="002A48E0">
        <w:tab/>
        <w:t>Assessed GST, 201</w:t>
      </w:r>
      <w:r w:rsidR="00331299">
        <w:t>8</w:t>
      </w:r>
      <w:r w:rsidR="00260A18">
        <w:noBreakHyphen/>
      </w:r>
      <w:r w:rsidRPr="002A48E0">
        <w:t>1</w:t>
      </w:r>
      <w:r w:rsidR="00331299">
        <w:t>9</w:t>
      </w:r>
    </w:p>
    <w:tbl>
      <w:tblPr>
        <w:tblW w:w="4380" w:type="dxa"/>
        <w:tblInd w:w="93" w:type="dxa"/>
        <w:tblLook w:val="04A0" w:firstRow="1" w:lastRow="0" w:firstColumn="1" w:lastColumn="0" w:noHBand="0" w:noVBand="1"/>
      </w:tblPr>
      <w:tblGrid>
        <w:gridCol w:w="2780"/>
        <w:gridCol w:w="860"/>
        <w:gridCol w:w="74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Equal per capita share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13 164</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2 622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Effect of assessed:</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Expenses</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1 605</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320</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Investment</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-426</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-85</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27</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Revenue</w:t>
            </w:r>
          </w:p>
        </w:tc>
        <w:tc>
          <w:tcPr>
            <w:tcW w:w="8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583</w:t>
            </w:r>
          </w:p>
        </w:tc>
        <w:tc>
          <w:tcPr>
            <w:tcW w:w="74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116</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Commonwealth payments</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-505</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-101</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Assessed GST</w:t>
            </w:r>
          </w:p>
        </w:tc>
        <w:tc>
          <w:tcPr>
            <w:tcW w:w="8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14 447</w:t>
            </w:r>
          </w:p>
        </w:tc>
        <w:tc>
          <w:tcPr>
            <w:tcW w:w="74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2 878</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pStyle w:val="Heading4"/>
        <w:spacing w:before="0"/>
        <w:sectPr w:rsidR="002E6415" w:rsidRPr="002A48E0" w:rsidSect="005C67C8">
          <w:footerReference w:type="default" r:id="rId37"/>
          <w:pgSz w:w="11899" w:h="16838" w:code="9"/>
          <w:pgMar w:top="1440" w:right="1080" w:bottom="1440" w:left="1080" w:header="709" w:footer="709" w:gutter="0"/>
          <w:cols w:space="708"/>
          <w:titlePg/>
          <w:docGrid w:linePitch="326"/>
        </w:sectPr>
      </w:pPr>
      <w:bookmarkStart w:id="310" w:name="_Toc442191911"/>
      <w:bookmarkStart w:id="311" w:name="_Toc442192163"/>
      <w:bookmarkStart w:id="312" w:name="_Toc442192228"/>
      <w:bookmarkStart w:id="313" w:name="_Toc442772814"/>
      <w:bookmarkStart w:id="314" w:name="_Toc442773041"/>
      <w:bookmarkStart w:id="315" w:name="_Toc442773213"/>
      <w:bookmarkStart w:id="316" w:name="_Toc442883278"/>
      <w:bookmarkStart w:id="317" w:name="_Toc474923746"/>
      <w:bookmarkStart w:id="318" w:name="_Toc505872172"/>
      <w:r w:rsidRPr="002A48E0">
        <w:lastRenderedPageBreak/>
        <w:t>Western Australia</w:t>
      </w:r>
      <w:bookmarkEnd w:id="310"/>
      <w:bookmarkEnd w:id="311"/>
      <w:bookmarkEnd w:id="312"/>
      <w:bookmarkEnd w:id="313"/>
      <w:bookmarkEnd w:id="314"/>
      <w:bookmarkEnd w:id="315"/>
      <w:bookmarkEnd w:id="316"/>
      <w:bookmarkEnd w:id="317"/>
      <w:bookmarkEnd w:id="318"/>
    </w:p>
    <w:p w:rsidR="002E6415" w:rsidRDefault="002E6415" w:rsidP="002E6415">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t>Western Australia remains the State with the strongest fiscal capacity. However, its assessed fiscal capacity is declining, resulting in its share of GST revenue in 201</w:t>
      </w:r>
      <w:r w:rsidR="00BF262E">
        <w:t>8</w:t>
      </w:r>
      <w:r w:rsidR="00260A18">
        <w:noBreakHyphen/>
      </w:r>
      <w:r w:rsidRPr="002A48E0">
        <w:t>1</w:t>
      </w:r>
      <w:r w:rsidR="00BF262E">
        <w:t>9 increasing from 3.6</w:t>
      </w:r>
      <w:r w:rsidRPr="002A48E0">
        <w:t xml:space="preserve">% to </w:t>
      </w:r>
      <w:r w:rsidR="00F573EA">
        <w:t>4.9</w:t>
      </w:r>
      <w:r w:rsidRPr="002A48E0">
        <w:t xml:space="preserve">%. This </w:t>
      </w:r>
      <w:r w:rsidR="009D30F2">
        <w:t>is</w:t>
      </w:r>
      <w:r w:rsidR="009D30F2" w:rsidRPr="002A48E0">
        <w:t xml:space="preserve"> </w:t>
      </w:r>
      <w:r w:rsidR="00BF262E">
        <w:t xml:space="preserve">primarily the result of a </w:t>
      </w:r>
      <w:r w:rsidRPr="002A48E0">
        <w:t>decline in its revenue raising capacity</w:t>
      </w:r>
      <w:r w:rsidR="00122BC2">
        <w:t>,</w:t>
      </w:r>
      <w:r w:rsidRPr="002A48E0">
        <w:t xml:space="preserve"> due to a fall in the value of iron ore production and below average growth in property sales and taxable payrolls. This </w:t>
      </w:r>
      <w:r w:rsidR="008A2A06">
        <w:t>i</w:t>
      </w:r>
      <w:r w:rsidR="008A2A06" w:rsidRPr="002A48E0">
        <w:t xml:space="preserve">s </w:t>
      </w:r>
      <w:r w:rsidRPr="002A48E0">
        <w:t>partly offset by a decline in its share of national population growth</w:t>
      </w:r>
      <w:r w:rsidR="00D07F97">
        <w:t>,</w:t>
      </w:r>
      <w:r w:rsidRPr="002A48E0">
        <w:t xml:space="preserve"> that reduced its investment requirement</w:t>
      </w:r>
      <w:r w:rsidR="00D07F97">
        <w:t>,</w:t>
      </w:r>
      <w:r w:rsidRPr="002A48E0">
        <w:t xml:space="preserve"> and by </w:t>
      </w:r>
      <w:r w:rsidR="00122BC2">
        <w:t>below average growth in wage levels</w:t>
      </w:r>
      <w:r w:rsidRPr="002A48E0">
        <w:t>. Compared with 201</w:t>
      </w:r>
      <w:r w:rsidR="00BF262E">
        <w:t>7</w:t>
      </w:r>
      <w:r w:rsidRPr="002A48E0">
        <w:noBreakHyphen/>
        <w:t>1</w:t>
      </w:r>
      <w:r w:rsidR="00BF262E">
        <w:t>8</w:t>
      </w:r>
      <w:r w:rsidRPr="002A48E0">
        <w:t>, the State’s GST will rise by $</w:t>
      </w:r>
      <w:r w:rsidR="006B05C0">
        <w:t>999</w:t>
      </w:r>
      <w:r w:rsidRPr="002A48E0">
        <w:t> million</w:t>
      </w:r>
      <w:r w:rsidR="00122BC2">
        <w:t>,</w:t>
      </w:r>
      <w:r w:rsidRPr="002A48E0">
        <w:t xml:space="preserve"> or </w:t>
      </w:r>
      <w:r w:rsidR="00F573EA">
        <w:t>44.</w:t>
      </w:r>
      <w:r w:rsidR="006B05C0">
        <w:t>3</w:t>
      </w:r>
      <w:r w:rsidRPr="002A48E0">
        <w:t>%.</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0A6746">
        <w:rPr>
          <w:rStyle w:val="CGCTableHeadingChar"/>
          <w:noProof/>
        </w:rPr>
        <w:t>14</w:t>
      </w:r>
      <w:r w:rsidRPr="002A48E0">
        <w:rPr>
          <w:rStyle w:val="CGCTableHeadingChar"/>
        </w:rPr>
        <w:fldChar w:fldCharType="end"/>
      </w:r>
      <w:r w:rsidRPr="002A48E0">
        <w:rPr>
          <w:rStyle w:val="CGCTableHeadingChar"/>
        </w:rPr>
        <w:tab/>
        <w:t>Change in GST</w:t>
      </w:r>
    </w:p>
    <w:tbl>
      <w:tblPr>
        <w:tblW w:w="4360" w:type="dxa"/>
        <w:tblInd w:w="93" w:type="dxa"/>
        <w:tblLook w:val="04A0" w:firstRow="1" w:lastRow="0" w:firstColumn="1" w:lastColumn="0" w:noHBand="0" w:noVBand="1"/>
      </w:tblPr>
      <w:tblGrid>
        <w:gridCol w:w="2780"/>
        <w:gridCol w:w="820"/>
        <w:gridCol w:w="76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Change due to</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population</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122</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47</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885</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338</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-367</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-140</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200" w:firstLine="400"/>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1 252</w:t>
            </w:r>
          </w:p>
        </w:tc>
        <w:tc>
          <w:tcPr>
            <w:tcW w:w="7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i/>
                <w:iCs/>
                <w:sz w:val="20"/>
                <w:szCs w:val="20"/>
                <w:lang w:eastAsia="en-AU"/>
              </w:rPr>
            </w:pPr>
            <w:r w:rsidRPr="00434724">
              <w:rPr>
                <w:rFonts w:ascii="Calibri" w:eastAsia="Times New Roman" w:hAnsi="Calibri" w:cs="Times New Roman"/>
                <w:i/>
                <w:iCs/>
                <w:sz w:val="20"/>
                <w:szCs w:val="20"/>
                <w:lang w:eastAsia="en-AU"/>
              </w:rPr>
              <w:t>478</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999</w:t>
            </w:r>
          </w:p>
        </w:tc>
        <w:tc>
          <w:tcPr>
            <w:tcW w:w="7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381</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F06B9C" w:rsidRDefault="002E6415" w:rsidP="00F06B9C">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15</w:t>
      </w:r>
      <w:r w:rsidR="00CD68E8">
        <w:rPr>
          <w:noProof/>
        </w:rPr>
        <w:fldChar w:fldCharType="end"/>
      </w:r>
      <w:r w:rsidRPr="002A48E0">
        <w:tab/>
        <w:t>Main changes for Western Australia</w:t>
      </w:r>
    </w:p>
    <w:tbl>
      <w:tblPr>
        <w:tblW w:w="10133" w:type="dxa"/>
        <w:tblInd w:w="93" w:type="dxa"/>
        <w:tblLook w:val="04A0" w:firstRow="1" w:lastRow="0" w:firstColumn="1" w:lastColumn="0" w:noHBand="0" w:noVBand="1"/>
      </w:tblPr>
      <w:tblGrid>
        <w:gridCol w:w="738"/>
        <w:gridCol w:w="290"/>
        <w:gridCol w:w="9105"/>
      </w:tblGrid>
      <w:tr w:rsidR="00F06B9C" w:rsidRPr="00F06B9C" w:rsidTr="00F06B9C">
        <w:trPr>
          <w:trHeight w:val="297"/>
        </w:trPr>
        <w:tc>
          <w:tcPr>
            <w:tcW w:w="1028" w:type="dxa"/>
            <w:gridSpan w:val="2"/>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center"/>
              <w:rPr>
                <w:rFonts w:ascii="Calibri" w:eastAsia="Times New Roman" w:hAnsi="Calibri" w:cs="Arial"/>
                <w:sz w:val="20"/>
                <w:szCs w:val="20"/>
                <w:lang w:eastAsia="en-AU"/>
              </w:rPr>
            </w:pPr>
            <w:r w:rsidRPr="00F06B9C">
              <w:rPr>
                <w:rFonts w:ascii="Calibri" w:eastAsia="Times New Roman" w:hAnsi="Calibri" w:cs="Arial"/>
                <w:sz w:val="20"/>
                <w:szCs w:val="20"/>
                <w:lang w:eastAsia="en-AU"/>
              </w:rPr>
              <w:t>$m</w:t>
            </w:r>
          </w:p>
        </w:tc>
        <w:tc>
          <w:tcPr>
            <w:tcW w:w="9105"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sz w:val="20"/>
                <w:szCs w:val="20"/>
                <w:lang w:eastAsia="en-AU"/>
              </w:rPr>
              <w:t>Reason for change</w:t>
            </w:r>
          </w:p>
        </w:tc>
      </w:tr>
      <w:tr w:rsidR="00F06B9C" w:rsidRPr="00F06B9C" w:rsidTr="00F06B9C">
        <w:trPr>
          <w:trHeight w:val="548"/>
        </w:trPr>
        <w:tc>
          <w:tcPr>
            <w:tcW w:w="738"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669</w:t>
            </w:r>
          </w:p>
        </w:tc>
        <w:tc>
          <w:tcPr>
            <w:tcW w:w="290"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105"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Mining production.</w:t>
            </w:r>
            <w:r w:rsidRPr="00F06B9C">
              <w:rPr>
                <w:rFonts w:ascii="Calibri" w:eastAsia="Times New Roman" w:hAnsi="Calibri" w:cs="Arial"/>
                <w:sz w:val="20"/>
                <w:szCs w:val="20"/>
                <w:lang w:eastAsia="en-AU"/>
              </w:rPr>
              <w:t xml:space="preserve"> A fall in the value of iron ore production, and a decline in North West Shelf royalties, reduced Western Australia’s relative revenue raising capacity and increased its share of GST.</w:t>
            </w:r>
          </w:p>
        </w:tc>
      </w:tr>
      <w:tr w:rsidR="00F06B9C" w:rsidRPr="00F06B9C" w:rsidTr="00F06B9C">
        <w:trPr>
          <w:trHeight w:val="505"/>
        </w:trPr>
        <w:tc>
          <w:tcPr>
            <w:tcW w:w="738"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-410</w:t>
            </w:r>
          </w:p>
        </w:tc>
        <w:tc>
          <w:tcPr>
            <w:tcW w:w="290"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105"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Population growth.</w:t>
            </w:r>
            <w:r w:rsidRPr="00F06B9C">
              <w:rPr>
                <w:rFonts w:ascii="Calibri" w:eastAsia="Times New Roman" w:hAnsi="Calibri" w:cs="Arial"/>
                <w:sz w:val="20"/>
                <w:szCs w:val="20"/>
                <w:lang w:eastAsia="en-AU"/>
              </w:rPr>
              <w:t xml:space="preserve"> Decreases in its share of national population growth have reduced Western Australia's requirements for investment and its GST share.</w:t>
            </w:r>
          </w:p>
        </w:tc>
      </w:tr>
      <w:tr w:rsidR="00F06B9C" w:rsidRPr="00F06B9C" w:rsidTr="00F06B9C">
        <w:trPr>
          <w:trHeight w:val="548"/>
        </w:trPr>
        <w:tc>
          <w:tcPr>
            <w:tcW w:w="738"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401</w:t>
            </w:r>
          </w:p>
        </w:tc>
        <w:tc>
          <w:tcPr>
            <w:tcW w:w="290"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105"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Property sales.</w:t>
            </w:r>
            <w:r w:rsidRPr="00F06B9C">
              <w:rPr>
                <w:rFonts w:ascii="Calibri" w:eastAsia="Times New Roman" w:hAnsi="Calibri" w:cs="Arial"/>
                <w:sz w:val="20"/>
                <w:szCs w:val="20"/>
                <w:lang w:eastAsia="en-AU"/>
              </w:rPr>
              <w:t xml:space="preserve"> Below average increase in property sales reduced the State's capacity to raise revenue from conveyance duty and increased its share of GST.</w:t>
            </w:r>
          </w:p>
        </w:tc>
      </w:tr>
      <w:tr w:rsidR="00F06B9C" w:rsidRPr="00F06B9C" w:rsidTr="00F06B9C">
        <w:trPr>
          <w:trHeight w:val="505"/>
        </w:trPr>
        <w:tc>
          <w:tcPr>
            <w:tcW w:w="738"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149</w:t>
            </w:r>
          </w:p>
        </w:tc>
        <w:tc>
          <w:tcPr>
            <w:tcW w:w="290"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105"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Taxable payrolls.</w:t>
            </w:r>
            <w:r w:rsidRPr="00F06B9C">
              <w:rPr>
                <w:rFonts w:ascii="Calibri" w:eastAsia="Times New Roman" w:hAnsi="Calibri" w:cs="Arial"/>
                <w:sz w:val="20"/>
                <w:szCs w:val="20"/>
                <w:lang w:eastAsia="en-AU"/>
              </w:rPr>
              <w:t xml:space="preserve"> Below average growth in taxable payrolls between 2013-14 and 2016-17 reduced Western Australia's revenue raising capacity and increased its GST share.</w:t>
            </w:r>
          </w:p>
        </w:tc>
      </w:tr>
      <w:tr w:rsidR="00F06B9C" w:rsidRPr="00F06B9C" w:rsidTr="00F06B9C">
        <w:trPr>
          <w:trHeight w:val="548"/>
        </w:trPr>
        <w:tc>
          <w:tcPr>
            <w:tcW w:w="738"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-126</w:t>
            </w:r>
          </w:p>
        </w:tc>
        <w:tc>
          <w:tcPr>
            <w:tcW w:w="290"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105" w:type="dxa"/>
            <w:tcBorders>
              <w:top w:val="nil"/>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Wage costs.</w:t>
            </w:r>
            <w:r w:rsidRPr="00F06B9C">
              <w:rPr>
                <w:rFonts w:ascii="Calibri" w:eastAsia="Times New Roman" w:hAnsi="Calibri" w:cs="Arial"/>
                <w:sz w:val="20"/>
                <w:szCs w:val="20"/>
                <w:lang w:eastAsia="en-AU"/>
              </w:rPr>
              <w:t xml:space="preserve"> Below average growth in wage levels reduced Western Australia's </w:t>
            </w:r>
            <w:r w:rsidR="001B11CE">
              <w:rPr>
                <w:rFonts w:ascii="Calibri" w:eastAsia="Times New Roman" w:hAnsi="Calibri" w:cs="Arial"/>
                <w:sz w:val="20"/>
                <w:szCs w:val="20"/>
                <w:lang w:eastAsia="en-AU"/>
              </w:rPr>
              <w:t xml:space="preserve">assessed </w:t>
            </w:r>
            <w:r w:rsidRPr="00F06B9C">
              <w:rPr>
                <w:rFonts w:ascii="Calibri" w:eastAsia="Times New Roman" w:hAnsi="Calibri" w:cs="Arial"/>
                <w:sz w:val="20"/>
                <w:szCs w:val="20"/>
                <w:lang w:eastAsia="en-AU"/>
              </w:rPr>
              <w:t>service delivery costs and its GST share.</w:t>
            </w:r>
          </w:p>
        </w:tc>
      </w:tr>
      <w:tr w:rsidR="00F06B9C" w:rsidRPr="00F06B9C" w:rsidTr="00F06B9C">
        <w:trPr>
          <w:trHeight w:val="548"/>
        </w:trPr>
        <w:tc>
          <w:tcPr>
            <w:tcW w:w="738" w:type="dxa"/>
            <w:tcBorders>
              <w:top w:val="single" w:sz="4" w:space="0" w:color="auto"/>
              <w:left w:val="nil"/>
              <w:bottom w:val="single" w:sz="4" w:space="0" w:color="auto"/>
              <w:right w:val="nil"/>
            </w:tcBorders>
            <w:shd w:val="clear" w:color="auto" w:fill="auto"/>
            <w:noWrap/>
            <w:hideMark/>
          </w:tcPr>
          <w:p w:rsidR="00F06B9C" w:rsidRPr="00F06B9C" w:rsidRDefault="00F06B9C" w:rsidP="00421402">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-3</w:t>
            </w:r>
            <w:r w:rsidR="00421402">
              <w:rPr>
                <w:rFonts w:ascii="Calibri" w:eastAsia="Times New Roman" w:hAnsi="Calibri" w:cs="Arial"/>
                <w:sz w:val="20"/>
                <w:szCs w:val="20"/>
                <w:lang w:eastAsia="en-AU"/>
              </w:rPr>
              <w:t>11</w:t>
            </w:r>
          </w:p>
        </w:tc>
        <w:tc>
          <w:tcPr>
            <w:tcW w:w="290"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105" w:type="dxa"/>
            <w:tcBorders>
              <w:top w:val="single" w:sz="4" w:space="0" w:color="auto"/>
              <w:left w:val="nil"/>
              <w:bottom w:val="single" w:sz="4" w:space="0" w:color="auto"/>
              <w:right w:val="nil"/>
            </w:tcBorders>
            <w:shd w:val="clear" w:color="auto" w:fill="auto"/>
            <w:hideMark/>
          </w:tcPr>
          <w:p w:rsidR="00F06B9C" w:rsidRPr="00F06B9C" w:rsidRDefault="00F06B9C" w:rsidP="00421402">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New Census data.</w:t>
            </w:r>
            <w:r w:rsidRPr="00F06B9C">
              <w:rPr>
                <w:rFonts w:ascii="Calibri" w:eastAsia="Times New Roman" w:hAnsi="Calibri" w:cs="Arial"/>
                <w:sz w:val="20"/>
                <w:szCs w:val="20"/>
                <w:lang w:eastAsia="en-AU"/>
              </w:rPr>
              <w:t xml:space="preserve"> Downward revisions to Western Australia's total population associated with the 2016</w:t>
            </w:r>
            <w:r w:rsidR="00421402">
              <w:rPr>
                <w:rFonts w:ascii="Calibri" w:eastAsia="Times New Roman" w:hAnsi="Calibri" w:cs="Arial"/>
                <w:sz w:val="20"/>
                <w:szCs w:val="20"/>
                <w:lang w:eastAsia="en-AU"/>
              </w:rPr>
              <w:t> </w:t>
            </w:r>
            <w:r w:rsidRPr="00F06B9C">
              <w:rPr>
                <w:rFonts w:ascii="Calibri" w:eastAsia="Times New Roman" w:hAnsi="Calibri" w:cs="Arial"/>
                <w:sz w:val="20"/>
                <w:szCs w:val="20"/>
                <w:lang w:eastAsia="en-AU"/>
              </w:rPr>
              <w:t>Census increased its relative</w:t>
            </w:r>
            <w:r w:rsidR="007A69E7">
              <w:rPr>
                <w:rFonts w:ascii="Calibri" w:eastAsia="Times New Roman" w:hAnsi="Calibri" w:cs="Arial"/>
                <w:sz w:val="20"/>
                <w:szCs w:val="20"/>
                <w:lang w:eastAsia="en-AU"/>
              </w:rPr>
              <w:t xml:space="preserve"> </w:t>
            </w:r>
            <w:r w:rsidRPr="00F06B9C">
              <w:rPr>
                <w:rFonts w:ascii="Calibri" w:eastAsia="Times New Roman" w:hAnsi="Calibri" w:cs="Arial"/>
                <w:sz w:val="20"/>
                <w:szCs w:val="20"/>
                <w:lang w:eastAsia="en-AU"/>
              </w:rPr>
              <w:t xml:space="preserve">revenue raising capacity and decreased its GST </w:t>
            </w:r>
            <w:r w:rsidR="0067668B">
              <w:rPr>
                <w:rFonts w:ascii="Calibri" w:eastAsia="Times New Roman" w:hAnsi="Calibri" w:cs="Arial"/>
                <w:sz w:val="20"/>
                <w:szCs w:val="20"/>
                <w:lang w:eastAsia="en-AU"/>
              </w:rPr>
              <w:t>share</w:t>
            </w:r>
            <w:r w:rsidRPr="00F06B9C">
              <w:rPr>
                <w:rFonts w:ascii="Calibri" w:eastAsia="Times New Roman" w:hAnsi="Calibri" w:cs="Arial"/>
                <w:sz w:val="20"/>
                <w:szCs w:val="20"/>
                <w:lang w:eastAsia="en-AU"/>
              </w:rPr>
              <w:t>.</w:t>
            </w:r>
          </w:p>
        </w:tc>
      </w:tr>
    </w:tbl>
    <w:p w:rsidR="00BF0D7D" w:rsidRPr="002A48E0" w:rsidRDefault="00BF0D7D" w:rsidP="002E6415">
      <w:pPr>
        <w:sectPr w:rsidR="00BF0D7D"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pPr>
      <w:proofErr w:type="gramStart"/>
      <w:r w:rsidRPr="002A48E0">
        <w:rPr>
          <w:rStyle w:val="Heading6Char"/>
        </w:rPr>
        <w:lastRenderedPageBreak/>
        <w:t>Fiscal capacity.</w:t>
      </w:r>
      <w:proofErr w:type="gramEnd"/>
      <w:r w:rsidRPr="002A48E0">
        <w:t xml:space="preserve"> Western Australia’s high fiscal capacity is due to above average capacity in all revenue streams except </w:t>
      </w:r>
      <w:r w:rsidR="004C5CB6">
        <w:t>stamp duty and insurance tax</w:t>
      </w:r>
      <w:r w:rsidR="004615AF">
        <w:t>.</w:t>
      </w:r>
      <w:r w:rsidRPr="002A48E0">
        <w:t xml:space="preserve"> </w:t>
      </w:r>
      <w:r w:rsidR="004615AF">
        <w:t>It has</w:t>
      </w:r>
      <w:r w:rsidRPr="002A48E0">
        <w:t xml:space="preserve"> especially high capacity in mining </w:t>
      </w:r>
      <w:r w:rsidR="008F0402">
        <w:t>revenue</w:t>
      </w:r>
      <w:r w:rsidRPr="002A48E0">
        <w:t xml:space="preserve"> and</w:t>
      </w:r>
      <w:r w:rsidR="008F0402">
        <w:t>,</w:t>
      </w:r>
      <w:r w:rsidRPr="002A48E0">
        <w:t xml:space="preserve"> to a lesser extent, taxable payrolls. The effects on its fiscal capacity are partly offset by its having the third highest assessed expenses </w:t>
      </w:r>
      <w:r w:rsidR="004C5CB6">
        <w:t>per capita.</w:t>
      </w:r>
    </w:p>
    <w:p w:rsidR="002E6415" w:rsidRPr="002A48E0" w:rsidRDefault="002E6415" w:rsidP="002E6415">
      <w:pPr>
        <w:rPr>
          <w:szCs w:val="24"/>
        </w:rPr>
      </w:pPr>
      <w:r w:rsidRPr="002A48E0">
        <w:t xml:space="preserve">Its high </w:t>
      </w:r>
      <w:r w:rsidR="004C5CB6">
        <w:t xml:space="preserve">expense </w:t>
      </w:r>
      <w:r w:rsidRPr="002A48E0">
        <w:t>requirements are due to above average shares of</w:t>
      </w:r>
      <w:r w:rsidR="004C5CB6">
        <w:t xml:space="preserve"> </w:t>
      </w:r>
      <w:r w:rsidRPr="002A48E0">
        <w:t>Indigenous people and people in remote areas. Above average wage levels and below average non</w:t>
      </w:r>
      <w:r w:rsidRPr="002A48E0">
        <w:noBreakHyphen/>
        <w:t>State provision of health services also contribute to its relatively high assessed expense needs.</w:t>
      </w:r>
    </w:p>
    <w:p w:rsidR="002E6415" w:rsidRDefault="002E6415" w:rsidP="002E6415">
      <w:pPr>
        <w:pStyle w:val="CGCTableHeading"/>
        <w:spacing w:after="80" w:line="320" w:lineRule="atLeast"/>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16</w:t>
      </w:r>
      <w:r w:rsidR="00CD68E8">
        <w:rPr>
          <w:noProof/>
        </w:rPr>
        <w:fldChar w:fldCharType="end"/>
      </w:r>
      <w:r w:rsidRPr="002A48E0">
        <w:tab/>
        <w:t>Assessed GST, 201</w:t>
      </w:r>
      <w:r w:rsidR="00331299">
        <w:t>8</w:t>
      </w:r>
      <w:r w:rsidR="00260A18">
        <w:noBreakHyphen/>
      </w:r>
      <w:r w:rsidR="00331299">
        <w:t>19</w:t>
      </w:r>
    </w:p>
    <w:tbl>
      <w:tblPr>
        <w:tblW w:w="4360" w:type="dxa"/>
        <w:tblInd w:w="93" w:type="dxa"/>
        <w:tblLook w:val="04A0" w:firstRow="1" w:lastRow="0" w:firstColumn="1" w:lastColumn="0" w:noHBand="0" w:noVBand="1"/>
      </w:tblPr>
      <w:tblGrid>
        <w:gridCol w:w="2780"/>
        <w:gridCol w:w="820"/>
        <w:gridCol w:w="760"/>
      </w:tblGrid>
      <w:tr w:rsidR="00434724" w:rsidRPr="00434724" w:rsidTr="00434724">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$m</w:t>
            </w:r>
          </w:p>
        </w:tc>
        <w:tc>
          <w:tcPr>
            <w:tcW w:w="760" w:type="dxa"/>
            <w:tcBorders>
              <w:top w:val="single" w:sz="4" w:space="0" w:color="auto"/>
              <w:left w:val="nil"/>
              <w:bottom w:val="single" w:sz="4" w:space="0" w:color="auto"/>
              <w:right w:val="nil"/>
            </w:tcBorders>
            <w:shd w:val="clear" w:color="auto" w:fill="auto"/>
            <w:noWrap/>
            <w:vAlign w:val="center"/>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$pc</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6 873</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2 622</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 xml:space="preserve"> </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Expenses</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2 324</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886</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Investment</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-485</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-185</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Net borrowing</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70</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27</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Revenue</w:t>
            </w:r>
          </w:p>
        </w:tc>
        <w:tc>
          <w:tcPr>
            <w:tcW w:w="82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-5 531</w:t>
            </w:r>
          </w:p>
        </w:tc>
        <w:tc>
          <w:tcPr>
            <w:tcW w:w="76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-2 110</w:t>
            </w:r>
          </w:p>
        </w:tc>
      </w:tr>
      <w:tr w:rsidR="00434724" w:rsidRPr="00434724" w:rsidTr="00434724">
        <w:trPr>
          <w:trHeight w:val="315"/>
        </w:trPr>
        <w:tc>
          <w:tcPr>
            <w:tcW w:w="2780" w:type="dxa"/>
            <w:tcBorders>
              <w:top w:val="nil"/>
              <w:left w:val="nil"/>
              <w:bottom w:val="nil"/>
              <w:right w:val="nil"/>
            </w:tcBorders>
            <w:shd w:val="clear" w:color="auto" w:fill="auto"/>
            <w:noWrap/>
            <w:vAlign w:val="bottom"/>
            <w:hideMark/>
          </w:tcPr>
          <w:p w:rsidR="00434724" w:rsidRPr="00434724" w:rsidRDefault="00434724" w:rsidP="00434724">
            <w:pPr>
              <w:tabs>
                <w:tab w:val="clear" w:pos="567"/>
              </w:tabs>
              <w:spacing w:after="0" w:line="240" w:lineRule="auto"/>
              <w:ind w:firstLineChars="100" w:firstLine="200"/>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5</w:t>
            </w:r>
          </w:p>
        </w:tc>
        <w:tc>
          <w:tcPr>
            <w:tcW w:w="7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2</w:t>
            </w:r>
          </w:p>
        </w:tc>
      </w:tr>
      <w:tr w:rsidR="00434724" w:rsidRPr="00434724" w:rsidTr="00434724">
        <w:trPr>
          <w:trHeight w:val="315"/>
        </w:trPr>
        <w:tc>
          <w:tcPr>
            <w:tcW w:w="278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Assessed GST</w:t>
            </w:r>
          </w:p>
        </w:tc>
        <w:tc>
          <w:tcPr>
            <w:tcW w:w="82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3 255</w:t>
            </w:r>
          </w:p>
        </w:tc>
        <w:tc>
          <w:tcPr>
            <w:tcW w:w="760" w:type="dxa"/>
            <w:tcBorders>
              <w:top w:val="nil"/>
              <w:left w:val="nil"/>
              <w:bottom w:val="single" w:sz="4" w:space="0" w:color="auto"/>
              <w:right w:val="nil"/>
            </w:tcBorders>
            <w:shd w:val="clear" w:color="auto" w:fill="auto"/>
            <w:noWrap/>
            <w:vAlign w:val="bottom"/>
            <w:hideMark/>
          </w:tcPr>
          <w:p w:rsidR="00434724" w:rsidRPr="00434724" w:rsidRDefault="00434724" w:rsidP="00434724">
            <w:pPr>
              <w:tabs>
                <w:tab w:val="clear" w:pos="567"/>
              </w:tabs>
              <w:spacing w:after="0" w:line="240" w:lineRule="auto"/>
              <w:jc w:val="right"/>
              <w:rPr>
                <w:rFonts w:ascii="Calibri" w:eastAsia="Times New Roman" w:hAnsi="Calibri" w:cs="Times New Roman"/>
                <w:sz w:val="20"/>
                <w:szCs w:val="20"/>
                <w:lang w:eastAsia="en-AU"/>
              </w:rPr>
            </w:pPr>
            <w:r w:rsidRPr="00434724">
              <w:rPr>
                <w:rFonts w:ascii="Calibri" w:eastAsia="Times New Roman" w:hAnsi="Calibri" w:cs="Times New Roman"/>
                <w:sz w:val="20"/>
                <w:szCs w:val="20"/>
                <w:lang w:eastAsia="en-AU"/>
              </w:rPr>
              <w:t>1 242</w:t>
            </w:r>
          </w:p>
        </w:tc>
      </w:tr>
    </w:tbl>
    <w:p w:rsidR="002E6415" w:rsidRPr="002A48E0" w:rsidRDefault="002E6415" w:rsidP="002E6415">
      <w:pPr>
        <w:pStyle w:val="CGCTableFootnote"/>
        <w:sectPr w:rsidR="002E6415" w:rsidRPr="002A48E0" w:rsidSect="005C67C8">
          <w:type w:val="continuous"/>
          <w:pgSz w:w="11899" w:h="16838" w:code="9"/>
          <w:pgMar w:top="1440" w:right="1077" w:bottom="1440" w:left="1077" w:header="709" w:footer="709" w:gutter="0"/>
          <w:cols w:num="2" w:space="157" w:equalWidth="0">
            <w:col w:w="5503" w:space="157"/>
            <w:col w:w="4085"/>
          </w:cols>
          <w:titlePg/>
          <w:docGrid w:linePitch="326"/>
        </w:sectPr>
      </w:pPr>
      <w:r w:rsidRPr="002A48E0">
        <w:t>Note: Table may not add due to rounding.</w:t>
      </w:r>
    </w:p>
    <w:p w:rsidR="002E6415" w:rsidRPr="002A48E0" w:rsidRDefault="002E6415" w:rsidP="002E6415">
      <w:pPr>
        <w:pStyle w:val="Heading4"/>
        <w:spacing w:before="0"/>
        <w:sectPr w:rsidR="002E6415" w:rsidRPr="002A48E0" w:rsidSect="005C67C8">
          <w:footerReference w:type="default" r:id="rId38"/>
          <w:pgSz w:w="11899" w:h="16838" w:code="9"/>
          <w:pgMar w:top="1440" w:right="1080" w:bottom="1440" w:left="1080" w:header="709" w:footer="709" w:gutter="0"/>
          <w:cols w:space="708"/>
          <w:titlePg/>
          <w:docGrid w:linePitch="326"/>
        </w:sectPr>
      </w:pPr>
      <w:bookmarkStart w:id="319" w:name="_Toc442191912"/>
      <w:bookmarkStart w:id="320" w:name="_Toc442192164"/>
      <w:bookmarkStart w:id="321" w:name="_Toc442192229"/>
      <w:bookmarkStart w:id="322" w:name="_Toc442772815"/>
      <w:bookmarkStart w:id="323" w:name="_Toc442773042"/>
      <w:bookmarkStart w:id="324" w:name="_Toc442773214"/>
      <w:bookmarkStart w:id="325" w:name="_Toc442883279"/>
      <w:bookmarkStart w:id="326" w:name="_Toc474923747"/>
      <w:bookmarkStart w:id="327" w:name="_Toc505872173"/>
      <w:r w:rsidRPr="002A48E0">
        <w:lastRenderedPageBreak/>
        <w:t>South Australia</w:t>
      </w:r>
      <w:bookmarkEnd w:id="319"/>
      <w:bookmarkEnd w:id="320"/>
      <w:bookmarkEnd w:id="321"/>
      <w:bookmarkEnd w:id="322"/>
      <w:bookmarkEnd w:id="323"/>
      <w:bookmarkEnd w:id="324"/>
      <w:bookmarkEnd w:id="325"/>
      <w:bookmarkEnd w:id="326"/>
      <w:bookmarkEnd w:id="327"/>
    </w:p>
    <w:p w:rsidR="002E6415" w:rsidRPr="002A48E0" w:rsidRDefault="002E6415" w:rsidP="002E6415">
      <w:pPr>
        <w:spacing w:before="120"/>
      </w:pPr>
      <w:proofErr w:type="gramStart"/>
      <w:r w:rsidRPr="002A48E0">
        <w:rPr>
          <w:rStyle w:val="Heading6Char"/>
        </w:rPr>
        <w:lastRenderedPageBreak/>
        <w:t>Changes in this update.</w:t>
      </w:r>
      <w:proofErr w:type="gramEnd"/>
      <w:r w:rsidRPr="002A48E0">
        <w:rPr>
          <w:rStyle w:val="Heading6Char"/>
        </w:rPr>
        <w:t xml:space="preserve"> </w:t>
      </w:r>
      <w:r w:rsidRPr="002A48E0">
        <w:t>South Australia’s fiscal capacity, which remains the third lowest, has deteriorated</w:t>
      </w:r>
      <w:r>
        <w:t xml:space="preserve"> slightly</w:t>
      </w:r>
      <w:r w:rsidRPr="002A48E0">
        <w:t xml:space="preserve">, mainly due to slow growth in </w:t>
      </w:r>
      <w:r w:rsidR="00911B63">
        <w:t xml:space="preserve">taxable payrolls and </w:t>
      </w:r>
      <w:r w:rsidRPr="002A48E0">
        <w:t>property sales</w:t>
      </w:r>
      <w:r w:rsidR="00E675B7">
        <w:t>,</w:t>
      </w:r>
      <w:r w:rsidR="00911B63">
        <w:t xml:space="preserve"> and a decline in its share of mining production</w:t>
      </w:r>
      <w:r w:rsidRPr="002A48E0">
        <w:t xml:space="preserve">. In addition, </w:t>
      </w:r>
      <w:r w:rsidR="00911B63">
        <w:t>a</w:t>
      </w:r>
      <w:r w:rsidR="009D30F2">
        <w:t>n</w:t>
      </w:r>
      <w:r w:rsidR="00BD363F">
        <w:t xml:space="preserve"> </w:t>
      </w:r>
      <w:r w:rsidR="00E675B7">
        <w:t>increase</w:t>
      </w:r>
      <w:r w:rsidRPr="002A48E0">
        <w:t xml:space="preserve"> in </w:t>
      </w:r>
      <w:r w:rsidR="00911B63">
        <w:t xml:space="preserve">its </w:t>
      </w:r>
      <w:r w:rsidR="009D30F2">
        <w:t xml:space="preserve">share of net </w:t>
      </w:r>
      <w:r w:rsidRPr="002A48E0">
        <w:t>natural disaster relief expenses ha</w:t>
      </w:r>
      <w:r w:rsidR="00911B63">
        <w:t>s</w:t>
      </w:r>
      <w:r w:rsidRPr="002A48E0">
        <w:t xml:space="preserve"> increased its GST requirement. </w:t>
      </w:r>
      <w:r>
        <w:t>This was partly offset by</w:t>
      </w:r>
      <w:r w:rsidRPr="002A48E0">
        <w:t xml:space="preserve"> </w:t>
      </w:r>
      <w:r w:rsidR="0004722F">
        <w:t>an increase in its share of Commonwealth payments</w:t>
      </w:r>
      <w:r>
        <w:t>, which</w:t>
      </w:r>
      <w:r w:rsidRPr="002A48E0">
        <w:t xml:space="preserve"> </w:t>
      </w:r>
      <w:r>
        <w:t>reduced South Australia’s GST</w:t>
      </w:r>
      <w:r w:rsidR="00911B63">
        <w:t>. Compared with 2017</w:t>
      </w:r>
      <w:r w:rsidR="00911B63">
        <w:noBreakHyphen/>
        <w:t>18</w:t>
      </w:r>
      <w:r w:rsidRPr="002A48E0">
        <w:t>, the State’s share of GST will rise from 10.</w:t>
      </w:r>
      <w:r w:rsidR="00911B63">
        <w:t>1</w:t>
      </w:r>
      <w:r w:rsidRPr="002A48E0">
        <w:t>% to 10.</w:t>
      </w:r>
      <w:r w:rsidR="00911B63">
        <w:t>3</w:t>
      </w:r>
      <w:r w:rsidRPr="002A48E0">
        <w:t>% and, combined with pool growth, its G</w:t>
      </w:r>
      <w:r w:rsidR="00911B63">
        <w:t>ST entitlement will rise by $4</w:t>
      </w:r>
      <w:r w:rsidR="009E17D2">
        <w:t>67</w:t>
      </w:r>
      <w:r w:rsidRPr="002A48E0">
        <w:t> million</w:t>
      </w:r>
      <w:r w:rsidR="00911B63">
        <w:t>,</w:t>
      </w:r>
      <w:r w:rsidRPr="002A48E0">
        <w:t xml:space="preserve"> or </w:t>
      </w:r>
      <w:r w:rsidR="00911B63">
        <w:t>7</w:t>
      </w:r>
      <w:r w:rsidRPr="002A48E0">
        <w:t>.</w:t>
      </w:r>
      <w:r w:rsidR="009E17D2">
        <w:t>4</w:t>
      </w:r>
      <w:r w:rsidRPr="002A48E0">
        <w:t>%.</w:t>
      </w:r>
    </w:p>
    <w:p w:rsidR="002E6415" w:rsidRDefault="002E6415" w:rsidP="002E6415">
      <w:pPr>
        <w:spacing w:before="120"/>
        <w:rPr>
          <w:rStyle w:val="CGCTableHeadingChar"/>
        </w:rPr>
      </w:pP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0A6746">
        <w:rPr>
          <w:rStyle w:val="CGCTableHeadingChar"/>
          <w:noProof/>
        </w:rPr>
        <w:t>17</w:t>
      </w:r>
      <w:r w:rsidRPr="002A48E0">
        <w:rPr>
          <w:rStyle w:val="CGCTableHeadingChar"/>
        </w:rPr>
        <w:fldChar w:fldCharType="end"/>
      </w:r>
      <w:r w:rsidRPr="002A48E0">
        <w:rPr>
          <w:rStyle w:val="CGCTableHeadingChar"/>
        </w:rPr>
        <w:tab/>
        <w:t>Change in GST</w:t>
      </w:r>
    </w:p>
    <w:tbl>
      <w:tblPr>
        <w:tblW w:w="4380" w:type="dxa"/>
        <w:tblInd w:w="93" w:type="dxa"/>
        <w:tblLook w:val="04A0" w:firstRow="1" w:lastRow="0" w:firstColumn="1" w:lastColumn="0" w:noHBand="0" w:noVBand="1"/>
      </w:tblPr>
      <w:tblGrid>
        <w:gridCol w:w="2780"/>
        <w:gridCol w:w="860"/>
        <w:gridCol w:w="74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Change due to</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population</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-44</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-26</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Growth in GST available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340</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195</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relativities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172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99</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Data revisions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84</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48</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Change in circumstances</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87</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50</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Total change</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467</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268</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F06B9C" w:rsidRDefault="002E6415" w:rsidP="00F06B9C">
      <w:pPr>
        <w:pStyle w:val="CGCTableHeading"/>
        <w:spacing w:after="80"/>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18</w:t>
      </w:r>
      <w:r w:rsidR="00CD68E8">
        <w:rPr>
          <w:noProof/>
        </w:rPr>
        <w:fldChar w:fldCharType="end"/>
      </w:r>
      <w:r w:rsidRPr="002A48E0">
        <w:tab/>
        <w:t>Main changes for South Australia</w:t>
      </w:r>
    </w:p>
    <w:tbl>
      <w:tblPr>
        <w:tblW w:w="10043" w:type="dxa"/>
        <w:tblInd w:w="93" w:type="dxa"/>
        <w:tblLook w:val="04A0" w:firstRow="1" w:lastRow="0" w:firstColumn="1" w:lastColumn="0" w:noHBand="0" w:noVBand="1"/>
      </w:tblPr>
      <w:tblGrid>
        <w:gridCol w:w="694"/>
        <w:gridCol w:w="287"/>
        <w:gridCol w:w="9062"/>
      </w:tblGrid>
      <w:tr w:rsidR="00F06B9C" w:rsidRPr="00F06B9C" w:rsidTr="00F06B9C">
        <w:trPr>
          <w:trHeight w:val="303"/>
        </w:trPr>
        <w:tc>
          <w:tcPr>
            <w:tcW w:w="981" w:type="dxa"/>
            <w:gridSpan w:val="2"/>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center"/>
              <w:rPr>
                <w:rFonts w:ascii="Calibri" w:eastAsia="Times New Roman" w:hAnsi="Calibri" w:cs="Arial"/>
                <w:sz w:val="20"/>
                <w:szCs w:val="20"/>
                <w:lang w:eastAsia="en-AU"/>
              </w:rPr>
            </w:pPr>
            <w:r w:rsidRPr="00F06B9C">
              <w:rPr>
                <w:rFonts w:ascii="Calibri" w:eastAsia="Times New Roman" w:hAnsi="Calibri" w:cs="Arial"/>
                <w:sz w:val="20"/>
                <w:szCs w:val="20"/>
                <w:lang w:eastAsia="en-AU"/>
              </w:rPr>
              <w:t>$m</w:t>
            </w:r>
          </w:p>
        </w:tc>
        <w:tc>
          <w:tcPr>
            <w:tcW w:w="9062"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sz w:val="20"/>
                <w:szCs w:val="20"/>
                <w:lang w:eastAsia="en-AU"/>
              </w:rPr>
              <w:t>Reason for change</w:t>
            </w:r>
          </w:p>
        </w:tc>
      </w:tr>
      <w:tr w:rsidR="00F06B9C" w:rsidRPr="00F06B9C" w:rsidTr="00F06B9C">
        <w:trPr>
          <w:trHeight w:val="514"/>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88</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Taxable payrolls.</w:t>
            </w:r>
            <w:r w:rsidRPr="00F06B9C">
              <w:rPr>
                <w:rFonts w:ascii="Calibri" w:eastAsia="Times New Roman" w:hAnsi="Calibri" w:cs="Arial"/>
                <w:sz w:val="20"/>
                <w:szCs w:val="20"/>
                <w:lang w:eastAsia="en-AU"/>
              </w:rPr>
              <w:t xml:space="preserve"> Below average growth in taxable payrolls reduced South Australia's capacity to raise revenue and increased its share of GST.</w:t>
            </w:r>
          </w:p>
        </w:tc>
      </w:tr>
      <w:tr w:rsidR="00F06B9C" w:rsidRPr="00F06B9C" w:rsidTr="00F06B9C">
        <w:trPr>
          <w:trHeight w:val="514"/>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-82</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Commonwealth payments</w:t>
            </w:r>
            <w:r w:rsidRPr="00F06B9C">
              <w:rPr>
                <w:rFonts w:ascii="Calibri" w:eastAsia="Times New Roman" w:hAnsi="Calibri" w:cs="Arial"/>
                <w:sz w:val="20"/>
                <w:szCs w:val="20"/>
                <w:lang w:eastAsia="en-AU"/>
              </w:rPr>
              <w:t>. South Australia’s share of payments was greater in 2016-17 than in 2013-14, mainly due to road infrastructure payments. This reduced its GST share.</w:t>
            </w:r>
          </w:p>
        </w:tc>
      </w:tr>
      <w:tr w:rsidR="00F06B9C" w:rsidRPr="00F06B9C" w:rsidTr="00F06B9C">
        <w:trPr>
          <w:trHeight w:val="771"/>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44</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Mining production.</w:t>
            </w:r>
            <w:r w:rsidRPr="00F06B9C">
              <w:rPr>
                <w:rFonts w:ascii="Calibri" w:eastAsia="Times New Roman" w:hAnsi="Calibri" w:cs="Arial"/>
                <w:sz w:val="20"/>
                <w:szCs w:val="20"/>
                <w:lang w:eastAsia="en-AU"/>
              </w:rPr>
              <w:t xml:space="preserve"> An increase in the total value of production of coal, combined with a fall in the total value of production of other minerals, reduced South Australia's relative revenue raising capacity and increased its GST share.</w:t>
            </w:r>
          </w:p>
        </w:tc>
      </w:tr>
      <w:tr w:rsidR="00F06B9C" w:rsidRPr="00F06B9C" w:rsidTr="00F06B9C">
        <w:trPr>
          <w:trHeight w:val="514"/>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41</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Natural disaster relief.</w:t>
            </w:r>
            <w:r w:rsidRPr="00F06B9C">
              <w:rPr>
                <w:rFonts w:ascii="Calibri" w:eastAsia="Times New Roman" w:hAnsi="Calibri" w:cs="Arial"/>
                <w:sz w:val="20"/>
                <w:szCs w:val="20"/>
                <w:lang w:eastAsia="en-AU"/>
              </w:rPr>
              <w:t xml:space="preserve"> South Australia’s share of net natural disaster expenses was higher in 2016</w:t>
            </w:r>
            <w:r w:rsidRPr="00F06B9C">
              <w:rPr>
                <w:rFonts w:ascii="Calibri" w:eastAsia="Times New Roman" w:hAnsi="Calibri" w:cs="Arial"/>
                <w:sz w:val="20"/>
                <w:szCs w:val="20"/>
                <w:lang w:eastAsia="en-AU"/>
              </w:rPr>
              <w:noBreakHyphen/>
              <w:t>17 than in 2013</w:t>
            </w:r>
            <w:r w:rsidRPr="00F06B9C">
              <w:rPr>
                <w:rFonts w:ascii="Calibri" w:eastAsia="Times New Roman" w:hAnsi="Calibri" w:cs="Arial"/>
                <w:sz w:val="20"/>
                <w:szCs w:val="20"/>
                <w:lang w:eastAsia="en-AU"/>
              </w:rPr>
              <w:noBreakHyphen/>
              <w:t>14</w:t>
            </w:r>
            <w:r w:rsidR="00C52037">
              <w:rPr>
                <w:rFonts w:ascii="Calibri" w:eastAsia="Times New Roman" w:hAnsi="Calibri" w:cs="Arial"/>
                <w:sz w:val="20"/>
                <w:szCs w:val="20"/>
                <w:lang w:eastAsia="en-AU"/>
              </w:rPr>
              <w:t>,</w:t>
            </w:r>
            <w:r w:rsidRPr="00F06B9C">
              <w:rPr>
                <w:rFonts w:ascii="Calibri" w:eastAsia="Times New Roman" w:hAnsi="Calibri" w:cs="Arial"/>
                <w:sz w:val="20"/>
                <w:szCs w:val="20"/>
                <w:lang w:eastAsia="en-AU"/>
              </w:rPr>
              <w:t xml:space="preserve"> resulting in an increase in its GST share.</w:t>
            </w:r>
          </w:p>
        </w:tc>
      </w:tr>
      <w:tr w:rsidR="00F06B9C" w:rsidRPr="00F06B9C" w:rsidTr="006B479C">
        <w:trPr>
          <w:trHeight w:val="560"/>
        </w:trPr>
        <w:tc>
          <w:tcPr>
            <w:tcW w:w="694"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36</w:t>
            </w:r>
          </w:p>
        </w:tc>
        <w:tc>
          <w:tcPr>
            <w:tcW w:w="286"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single" w:sz="4" w:space="0" w:color="auto"/>
              <w:right w:val="nil"/>
            </w:tcBorders>
            <w:shd w:val="clear" w:color="auto" w:fill="auto"/>
            <w:hideMark/>
          </w:tcPr>
          <w:p w:rsidR="00F06B9C" w:rsidRPr="00F06B9C" w:rsidRDefault="00F06B9C" w:rsidP="0014143B">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Property sales.</w:t>
            </w:r>
            <w:r w:rsidRPr="00F06B9C">
              <w:rPr>
                <w:rFonts w:ascii="Calibri" w:eastAsia="Times New Roman" w:hAnsi="Calibri" w:cs="Arial"/>
                <w:sz w:val="20"/>
                <w:szCs w:val="20"/>
                <w:lang w:eastAsia="en-AU"/>
              </w:rPr>
              <w:t xml:space="preserve"> Below average </w:t>
            </w:r>
            <w:r w:rsidR="0014143B">
              <w:rPr>
                <w:rFonts w:ascii="Calibri" w:eastAsia="Times New Roman" w:hAnsi="Calibri" w:cs="Arial"/>
                <w:sz w:val="20"/>
                <w:szCs w:val="20"/>
                <w:lang w:eastAsia="en-AU"/>
              </w:rPr>
              <w:t>growth</w:t>
            </w:r>
            <w:r w:rsidRPr="00F06B9C">
              <w:rPr>
                <w:rFonts w:ascii="Calibri" w:eastAsia="Times New Roman" w:hAnsi="Calibri" w:cs="Arial"/>
                <w:sz w:val="20"/>
                <w:szCs w:val="20"/>
                <w:lang w:eastAsia="en-AU"/>
              </w:rPr>
              <w:t xml:space="preserve"> in property sales reduced South Australia's capacity to raise revenue from conveyance duty and increased its share of GST.</w:t>
            </w:r>
          </w:p>
        </w:tc>
      </w:tr>
      <w:tr w:rsidR="00F06B9C" w:rsidRPr="00F06B9C" w:rsidTr="006B479C">
        <w:trPr>
          <w:trHeight w:val="560"/>
        </w:trPr>
        <w:tc>
          <w:tcPr>
            <w:tcW w:w="694" w:type="dxa"/>
            <w:tcBorders>
              <w:top w:val="single" w:sz="4" w:space="0" w:color="auto"/>
              <w:left w:val="nil"/>
              <w:bottom w:val="single" w:sz="4" w:space="0" w:color="auto"/>
              <w:right w:val="nil"/>
            </w:tcBorders>
            <w:shd w:val="clear" w:color="auto" w:fill="auto"/>
            <w:noWrap/>
            <w:hideMark/>
          </w:tcPr>
          <w:p w:rsidR="00F06B9C" w:rsidRPr="00F06B9C" w:rsidRDefault="008F0BE5" w:rsidP="00F06B9C">
            <w:pPr>
              <w:tabs>
                <w:tab w:val="clear" w:pos="567"/>
              </w:tabs>
              <w:spacing w:after="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w:t>
            </w:r>
          </w:p>
        </w:tc>
        <w:tc>
          <w:tcPr>
            <w:tcW w:w="286"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62"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New Census data.</w:t>
            </w:r>
            <w:r w:rsidRPr="00F06B9C">
              <w:rPr>
                <w:rFonts w:ascii="Calibri" w:eastAsia="Times New Roman" w:hAnsi="Calibri" w:cs="Arial"/>
                <w:sz w:val="20"/>
                <w:szCs w:val="20"/>
                <w:lang w:eastAsia="en-AU"/>
              </w:rPr>
              <w:t xml:space="preserve"> The 2016 Census found South Australia's non-Indigenous population to be more disadvantaged than it had been in </w:t>
            </w:r>
            <w:proofErr w:type="gramStart"/>
            <w:r w:rsidRPr="00F06B9C">
              <w:rPr>
                <w:rFonts w:ascii="Calibri" w:eastAsia="Times New Roman" w:hAnsi="Calibri" w:cs="Arial"/>
                <w:sz w:val="20"/>
                <w:szCs w:val="20"/>
                <w:lang w:eastAsia="en-AU"/>
              </w:rPr>
              <w:t>2011,</w:t>
            </w:r>
            <w:proofErr w:type="gramEnd"/>
            <w:r w:rsidRPr="00F06B9C">
              <w:rPr>
                <w:rFonts w:ascii="Calibri" w:eastAsia="Times New Roman" w:hAnsi="Calibri" w:cs="Arial"/>
                <w:sz w:val="20"/>
                <w:szCs w:val="20"/>
                <w:lang w:eastAsia="en-AU"/>
              </w:rPr>
              <w:t xml:space="preserve"> marginally increasing its </w:t>
            </w:r>
            <w:r w:rsidR="001B11CE">
              <w:rPr>
                <w:rFonts w:ascii="Calibri" w:eastAsia="Times New Roman" w:hAnsi="Calibri" w:cs="Arial"/>
                <w:sz w:val="20"/>
                <w:szCs w:val="20"/>
                <w:lang w:eastAsia="en-AU"/>
              </w:rPr>
              <w:t xml:space="preserve">assessed </w:t>
            </w:r>
            <w:r w:rsidRPr="00F06B9C">
              <w:rPr>
                <w:rFonts w:ascii="Calibri" w:eastAsia="Times New Roman" w:hAnsi="Calibri" w:cs="Arial"/>
                <w:sz w:val="20"/>
                <w:szCs w:val="20"/>
                <w:lang w:eastAsia="en-AU"/>
              </w:rPr>
              <w:t>service delivery costs and its GST share.</w:t>
            </w:r>
          </w:p>
        </w:tc>
      </w:tr>
    </w:tbl>
    <w:p w:rsidR="00BF0D7D" w:rsidRPr="002A48E0" w:rsidRDefault="00BF0D7D" w:rsidP="002E6415">
      <w:pPr>
        <w:sectPr w:rsidR="00BF0D7D"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rPr>
          <w:noProof/>
          <w:lang w:eastAsia="en-AU"/>
        </w:rPr>
      </w:pPr>
      <w:proofErr w:type="gramStart"/>
      <w:r w:rsidRPr="002A48E0">
        <w:rPr>
          <w:rStyle w:val="Heading6Char"/>
        </w:rPr>
        <w:lastRenderedPageBreak/>
        <w:t>Fiscal capacity.</w:t>
      </w:r>
      <w:proofErr w:type="gramEnd"/>
      <w:r w:rsidRPr="002A48E0">
        <w:t xml:space="preserve"> South Australia’s below average </w:t>
      </w:r>
      <w:r>
        <w:t>fiscal</w:t>
      </w:r>
      <w:r w:rsidRPr="002A48E0">
        <w:t xml:space="preserve"> capacity is mainly due to its below average revenue raising capacity </w:t>
      </w:r>
      <w:r>
        <w:t>from</w:t>
      </w:r>
      <w:r w:rsidRPr="002A48E0">
        <w:t xml:space="preserve"> </w:t>
      </w:r>
      <w:r w:rsidR="00907DE0" w:rsidRPr="002A48E0">
        <w:t>property sales</w:t>
      </w:r>
      <w:r w:rsidR="00907DE0">
        <w:t>,</w:t>
      </w:r>
      <w:r w:rsidR="00907DE0" w:rsidRPr="002A48E0">
        <w:t xml:space="preserve"> </w:t>
      </w:r>
      <w:r w:rsidRPr="002A48E0">
        <w:t>min</w:t>
      </w:r>
      <w:r w:rsidR="00907DE0">
        <w:t>ing royalties, taxable payrolls,</w:t>
      </w:r>
      <w:r w:rsidRPr="002A48E0">
        <w:t xml:space="preserve"> and land tax. </w:t>
      </w:r>
      <w:r w:rsidRPr="002A48E0">
        <w:rPr>
          <w:noProof/>
          <w:lang w:eastAsia="en-AU"/>
        </w:rPr>
        <w:t xml:space="preserve">It also receives below average revenue from Commonwealth payments. </w:t>
      </w:r>
    </w:p>
    <w:p w:rsidR="002E6415" w:rsidRPr="002A48E0" w:rsidRDefault="002E6415" w:rsidP="002E6415">
      <w:r w:rsidRPr="002A48E0">
        <w:t>Those effects are reinforced by its above average expense requirement, which reflects its above average shares of older</w:t>
      </w:r>
      <w:r w:rsidR="00CE0FEF">
        <w:t xml:space="preserve"> people and people of low socio-</w:t>
      </w:r>
      <w:r w:rsidRPr="002A48E0">
        <w:t>economic status, offset partially by below average wage expenses and assessed transport costs.</w:t>
      </w:r>
    </w:p>
    <w:p w:rsidR="002E6415" w:rsidRPr="002A48E0" w:rsidRDefault="002E6415" w:rsidP="002E6415">
      <w:pPr>
        <w:rPr>
          <w:szCs w:val="24"/>
        </w:rPr>
      </w:pPr>
      <w:r w:rsidRPr="002A48E0">
        <w:t xml:space="preserve">Its above average requirement for GST is partially offset by its below average </w:t>
      </w:r>
      <w:r w:rsidR="00C923C9">
        <w:t xml:space="preserve">share of national </w:t>
      </w:r>
      <w:r w:rsidRPr="002A48E0">
        <w:t>population growth, leading to below average assessed investment.</w:t>
      </w:r>
    </w:p>
    <w:p w:rsidR="002E6415" w:rsidRDefault="002E6415" w:rsidP="002E6415">
      <w:pPr>
        <w:pStyle w:val="CGCTableHeading"/>
        <w:spacing w:after="80" w:line="320" w:lineRule="atLeast"/>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19</w:t>
      </w:r>
      <w:r w:rsidR="00CD68E8">
        <w:rPr>
          <w:noProof/>
        </w:rPr>
        <w:fldChar w:fldCharType="end"/>
      </w:r>
      <w:r w:rsidRPr="002A48E0">
        <w:tab/>
        <w:t>Assessed GST, 201</w:t>
      </w:r>
      <w:r w:rsidR="00EC2577">
        <w:t>8</w:t>
      </w:r>
      <w:r w:rsidR="00260A18">
        <w:noBreakHyphen/>
      </w:r>
      <w:r w:rsidR="00EC2577">
        <w:t>19</w:t>
      </w:r>
    </w:p>
    <w:tbl>
      <w:tblPr>
        <w:tblW w:w="4380" w:type="dxa"/>
        <w:tblInd w:w="93" w:type="dxa"/>
        <w:tblLook w:val="04A0" w:firstRow="1" w:lastRow="0" w:firstColumn="1" w:lastColumn="0" w:noHBand="0" w:noVBand="1"/>
      </w:tblPr>
      <w:tblGrid>
        <w:gridCol w:w="2780"/>
        <w:gridCol w:w="860"/>
        <w:gridCol w:w="74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Equal per capita share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4 563</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2 622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Effect of assessed:</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Expenses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472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271</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Investment</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-332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-191</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47</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27</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Revenue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1 932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1 110</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Commonwealth payments</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69</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39</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Assessed GST</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6 751</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3 879</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pStyle w:val="Heading4"/>
        <w:spacing w:before="0"/>
        <w:sectPr w:rsidR="002E6415" w:rsidRPr="002A48E0" w:rsidSect="005C67C8">
          <w:footerReference w:type="default" r:id="rId39"/>
          <w:pgSz w:w="11899" w:h="16838" w:code="9"/>
          <w:pgMar w:top="1440" w:right="1080" w:bottom="1440" w:left="1080" w:header="709" w:footer="709" w:gutter="0"/>
          <w:cols w:space="708"/>
          <w:titlePg/>
          <w:docGrid w:linePitch="326"/>
        </w:sectPr>
      </w:pPr>
      <w:bookmarkStart w:id="328" w:name="_Toc442191913"/>
      <w:bookmarkStart w:id="329" w:name="_Toc442192165"/>
      <w:bookmarkStart w:id="330" w:name="_Toc442192230"/>
      <w:bookmarkStart w:id="331" w:name="_Toc442772816"/>
      <w:bookmarkStart w:id="332" w:name="_Toc442773043"/>
      <w:bookmarkStart w:id="333" w:name="_Toc442773215"/>
      <w:bookmarkStart w:id="334" w:name="_Toc442883280"/>
      <w:bookmarkStart w:id="335" w:name="_Toc474923748"/>
      <w:bookmarkStart w:id="336" w:name="_Toc505872174"/>
      <w:r w:rsidRPr="002A48E0">
        <w:lastRenderedPageBreak/>
        <w:t>Tasmania</w:t>
      </w:r>
      <w:bookmarkEnd w:id="328"/>
      <w:bookmarkEnd w:id="329"/>
      <w:bookmarkEnd w:id="330"/>
      <w:bookmarkEnd w:id="331"/>
      <w:bookmarkEnd w:id="332"/>
      <w:bookmarkEnd w:id="333"/>
      <w:bookmarkEnd w:id="334"/>
      <w:bookmarkEnd w:id="335"/>
      <w:bookmarkEnd w:id="336"/>
    </w:p>
    <w:p w:rsidR="00D11B5C" w:rsidRPr="002A48E0" w:rsidRDefault="002E6415" w:rsidP="00D11B5C">
      <w:pPr>
        <w:spacing w:before="120"/>
      </w:pPr>
      <w:proofErr w:type="gramStart"/>
      <w:r w:rsidRPr="002A48E0">
        <w:rPr>
          <w:rStyle w:val="Heading6Char"/>
        </w:rPr>
        <w:lastRenderedPageBreak/>
        <w:t>Changes in this update.</w:t>
      </w:r>
      <w:proofErr w:type="gramEnd"/>
      <w:r w:rsidRPr="002A48E0">
        <w:rPr>
          <w:rStyle w:val="Heading6Char"/>
        </w:rPr>
        <w:t xml:space="preserve"> </w:t>
      </w:r>
      <w:r w:rsidRPr="002A48E0">
        <w:rPr>
          <w:iCs/>
        </w:rPr>
        <w:t xml:space="preserve">Tasmania </w:t>
      </w:r>
      <w:r w:rsidRPr="002A48E0">
        <w:t xml:space="preserve">remains the State with the second lowest fiscal capacity. Its GST requirement </w:t>
      </w:r>
      <w:r w:rsidR="00E81C8D">
        <w:t xml:space="preserve">fell </w:t>
      </w:r>
      <w:r w:rsidR="0096183E">
        <w:t>due to an increase in its share of Commonwealth payments and a relative increase in its taxable payrolls</w:t>
      </w:r>
      <w:r w:rsidR="009210D1">
        <w:t xml:space="preserve"> and </w:t>
      </w:r>
      <w:r w:rsidR="004B7A6C">
        <w:t xml:space="preserve">an increase </w:t>
      </w:r>
      <w:r w:rsidR="009210D1">
        <w:t>in its share of mining production</w:t>
      </w:r>
      <w:r w:rsidR="0096183E">
        <w:t xml:space="preserve">. </w:t>
      </w:r>
      <w:r w:rsidR="00E81C8D">
        <w:t xml:space="preserve">This was reinforced by </w:t>
      </w:r>
      <w:r w:rsidR="0096183E" w:rsidRPr="002A48E0">
        <w:t>a decline in Tasmania’s relative wage costs</w:t>
      </w:r>
      <w:r w:rsidR="0096183E" w:rsidRPr="002A48E0">
        <w:rPr>
          <w:rFonts w:cs="Arial"/>
        </w:rPr>
        <w:t xml:space="preserve">. </w:t>
      </w:r>
      <w:r w:rsidR="0096183E">
        <w:t>These changes were partly offset</w:t>
      </w:r>
      <w:r w:rsidRPr="002A48E0">
        <w:t xml:space="preserve"> </w:t>
      </w:r>
      <w:r w:rsidR="0096183E">
        <w:t>by a relative increase in its net natural disaster relief expenses.</w:t>
      </w:r>
      <w:r w:rsidRPr="002A48E0">
        <w:t xml:space="preserve"> </w:t>
      </w:r>
      <w:r w:rsidR="00D11B5C" w:rsidRPr="002A48E0">
        <w:rPr>
          <w:szCs w:val="24"/>
        </w:rPr>
        <w:t xml:space="preserve">While </w:t>
      </w:r>
      <w:r w:rsidR="00D11B5C">
        <w:rPr>
          <w:szCs w:val="24"/>
        </w:rPr>
        <w:t>Tasmania</w:t>
      </w:r>
      <w:r w:rsidR="00D11B5C" w:rsidRPr="002A48E0">
        <w:rPr>
          <w:szCs w:val="24"/>
        </w:rPr>
        <w:t>’</w:t>
      </w:r>
      <w:r w:rsidR="00D11B5C">
        <w:rPr>
          <w:szCs w:val="24"/>
        </w:rPr>
        <w:t>s</w:t>
      </w:r>
      <w:r w:rsidR="00D11B5C" w:rsidRPr="002A48E0">
        <w:rPr>
          <w:szCs w:val="24"/>
        </w:rPr>
        <w:t xml:space="preserve"> increased fiscal capacity will see its GST share fall from </w:t>
      </w:r>
      <w:r w:rsidR="00D11B5C" w:rsidRPr="002A48E0">
        <w:t>3.8%</w:t>
      </w:r>
      <w:r w:rsidR="00D11B5C">
        <w:t xml:space="preserve"> to 3.7%</w:t>
      </w:r>
      <w:r w:rsidR="00D11B5C" w:rsidRPr="002A48E0">
        <w:rPr>
          <w:szCs w:val="24"/>
        </w:rPr>
        <w:t>, its GST entitlement in 201</w:t>
      </w:r>
      <w:r w:rsidR="00D11B5C">
        <w:rPr>
          <w:szCs w:val="24"/>
        </w:rPr>
        <w:t>8</w:t>
      </w:r>
      <w:r w:rsidR="00D11B5C">
        <w:rPr>
          <w:szCs w:val="24"/>
        </w:rPr>
        <w:noBreakHyphen/>
        <w:t xml:space="preserve">19 will rise by </w:t>
      </w:r>
      <w:r w:rsidR="00D11B5C" w:rsidRPr="002A48E0">
        <w:t>$</w:t>
      </w:r>
      <w:r w:rsidR="009210D1">
        <w:t>5</w:t>
      </w:r>
      <w:r w:rsidR="006B05C0">
        <w:t>6</w:t>
      </w:r>
      <w:r w:rsidR="009210D1">
        <w:t> </w:t>
      </w:r>
      <w:r w:rsidR="00D11B5C" w:rsidRPr="002A48E0">
        <w:t>million</w:t>
      </w:r>
      <w:r w:rsidR="00D11B5C">
        <w:t>,</w:t>
      </w:r>
      <w:r w:rsidR="00D11B5C" w:rsidRPr="002A48E0">
        <w:t xml:space="preserve"> or </w:t>
      </w:r>
      <w:r w:rsidR="00D11B5C">
        <w:t>2</w:t>
      </w:r>
      <w:r w:rsidR="00D11B5C" w:rsidRPr="002A48E0">
        <w:t>.</w:t>
      </w:r>
      <w:r w:rsidR="009210D1">
        <w:t>4</w:t>
      </w:r>
      <w:r w:rsidR="00D11B5C" w:rsidRPr="002A48E0">
        <w:t>%</w:t>
      </w:r>
      <w:r w:rsidR="00D11B5C">
        <w:t>, due to growth in the pool</w:t>
      </w:r>
      <w:r w:rsidR="00D11B5C" w:rsidRPr="002A48E0">
        <w:t>.</w:t>
      </w:r>
    </w:p>
    <w:p w:rsidR="002E6415" w:rsidRDefault="002E6415" w:rsidP="002E6415">
      <w:pPr>
        <w:spacing w:before="120"/>
        <w:rPr>
          <w:rStyle w:val="CGCTableHeadingChar"/>
        </w:rPr>
      </w:pP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0A6746">
        <w:rPr>
          <w:rStyle w:val="CGCTableHeadingChar"/>
          <w:noProof/>
        </w:rPr>
        <w:t>20</w:t>
      </w:r>
      <w:r w:rsidRPr="002A48E0">
        <w:rPr>
          <w:rStyle w:val="CGCTableHeadingChar"/>
        </w:rPr>
        <w:fldChar w:fldCharType="end"/>
      </w:r>
      <w:r w:rsidRPr="002A48E0">
        <w:rPr>
          <w:rStyle w:val="CGCTableHeadingChar"/>
        </w:rPr>
        <w:tab/>
        <w:t>Change in GST</w:t>
      </w:r>
    </w:p>
    <w:tbl>
      <w:tblPr>
        <w:tblW w:w="4380" w:type="dxa"/>
        <w:tblInd w:w="93" w:type="dxa"/>
        <w:tblLook w:val="04A0" w:firstRow="1" w:lastRow="0" w:firstColumn="1" w:lastColumn="0" w:noHBand="0" w:noVBand="1"/>
      </w:tblPr>
      <w:tblGrid>
        <w:gridCol w:w="2780"/>
        <w:gridCol w:w="860"/>
        <w:gridCol w:w="74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Change due to</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population</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-21</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-39</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Growth in GST available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128</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245</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relativities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-52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-98</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Data revisions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-6</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-12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Change in circumstances</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-45</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-86</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Total change</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56</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107</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2E6415" w:rsidRDefault="002E6415" w:rsidP="002E6415">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21</w:t>
      </w:r>
      <w:r w:rsidR="00CD68E8">
        <w:rPr>
          <w:noProof/>
        </w:rPr>
        <w:fldChar w:fldCharType="end"/>
      </w:r>
      <w:r w:rsidRPr="002A48E0">
        <w:tab/>
        <w:t>Main changes for Tasmania</w:t>
      </w:r>
    </w:p>
    <w:tbl>
      <w:tblPr>
        <w:tblW w:w="10072" w:type="dxa"/>
        <w:tblInd w:w="93" w:type="dxa"/>
        <w:tblLook w:val="04A0" w:firstRow="1" w:lastRow="0" w:firstColumn="1" w:lastColumn="0" w:noHBand="0" w:noVBand="1"/>
      </w:tblPr>
      <w:tblGrid>
        <w:gridCol w:w="696"/>
        <w:gridCol w:w="287"/>
        <w:gridCol w:w="9089"/>
      </w:tblGrid>
      <w:tr w:rsidR="00F06B9C" w:rsidRPr="00F06B9C" w:rsidTr="00F06B9C">
        <w:trPr>
          <w:trHeight w:val="300"/>
        </w:trPr>
        <w:tc>
          <w:tcPr>
            <w:tcW w:w="983" w:type="dxa"/>
            <w:gridSpan w:val="2"/>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center"/>
              <w:rPr>
                <w:rFonts w:ascii="Calibri" w:eastAsia="Times New Roman" w:hAnsi="Calibri" w:cs="Arial"/>
                <w:sz w:val="20"/>
                <w:szCs w:val="20"/>
                <w:lang w:eastAsia="en-AU"/>
              </w:rPr>
            </w:pPr>
            <w:r w:rsidRPr="00F06B9C">
              <w:rPr>
                <w:rFonts w:ascii="Calibri" w:eastAsia="Times New Roman" w:hAnsi="Calibri" w:cs="Arial"/>
                <w:sz w:val="20"/>
                <w:szCs w:val="20"/>
                <w:lang w:eastAsia="en-AU"/>
              </w:rPr>
              <w:t>$m</w:t>
            </w:r>
          </w:p>
        </w:tc>
        <w:tc>
          <w:tcPr>
            <w:tcW w:w="9089"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sz w:val="20"/>
                <w:szCs w:val="20"/>
                <w:lang w:eastAsia="en-AU"/>
              </w:rPr>
              <w:t>Reason for change</w:t>
            </w:r>
          </w:p>
        </w:tc>
      </w:tr>
      <w:tr w:rsidR="00F06B9C" w:rsidRPr="00F06B9C" w:rsidTr="00F06B9C">
        <w:trPr>
          <w:trHeight w:val="765"/>
        </w:trPr>
        <w:tc>
          <w:tcPr>
            <w:tcW w:w="69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-33</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89"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Commonwealth payments.</w:t>
            </w:r>
            <w:r w:rsidRPr="00F06B9C">
              <w:rPr>
                <w:rFonts w:ascii="Calibri" w:eastAsia="Times New Roman" w:hAnsi="Calibri" w:cs="Arial"/>
                <w:sz w:val="20"/>
                <w:szCs w:val="20"/>
                <w:lang w:eastAsia="en-AU"/>
              </w:rPr>
              <w:t xml:space="preserve"> Tasmania’s share of payments was greater in 2016-17 than in 2013-14, mainly due to road infrastructure payments. This reduced its GST share. The cessation of </w:t>
            </w:r>
            <w:proofErr w:type="spellStart"/>
            <w:r w:rsidRPr="00F06B9C">
              <w:rPr>
                <w:rFonts w:ascii="Calibri" w:eastAsia="Times New Roman" w:hAnsi="Calibri" w:cs="Arial"/>
                <w:sz w:val="20"/>
                <w:szCs w:val="20"/>
                <w:lang w:eastAsia="en-AU"/>
              </w:rPr>
              <w:t>backcasting</w:t>
            </w:r>
            <w:proofErr w:type="spellEnd"/>
            <w:r w:rsidRPr="00F06B9C">
              <w:rPr>
                <w:rFonts w:ascii="Calibri" w:eastAsia="Times New Roman" w:hAnsi="Calibri" w:cs="Arial"/>
                <w:sz w:val="20"/>
                <w:szCs w:val="20"/>
                <w:lang w:eastAsia="en-AU"/>
              </w:rPr>
              <w:t xml:space="preserve"> Students First funding also contributed to its reduced GST share. </w:t>
            </w:r>
          </w:p>
        </w:tc>
      </w:tr>
      <w:tr w:rsidR="00F06B9C" w:rsidRPr="00F06B9C" w:rsidTr="00F06B9C">
        <w:trPr>
          <w:trHeight w:val="555"/>
        </w:trPr>
        <w:tc>
          <w:tcPr>
            <w:tcW w:w="69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-23</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89"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Taxable payrolls.</w:t>
            </w:r>
            <w:r w:rsidRPr="00F06B9C">
              <w:rPr>
                <w:rFonts w:ascii="Calibri" w:eastAsia="Times New Roman" w:hAnsi="Calibri" w:cs="Arial"/>
                <w:sz w:val="20"/>
                <w:szCs w:val="20"/>
                <w:lang w:eastAsia="en-AU"/>
              </w:rPr>
              <w:t xml:space="preserve"> Above average growth in taxable payrolls between 2013-14 and 2016-17 increased Tasmania's revenue raising capacity and decreased its GST share.</w:t>
            </w:r>
          </w:p>
        </w:tc>
      </w:tr>
      <w:tr w:rsidR="00F06B9C" w:rsidRPr="00F06B9C" w:rsidTr="00F06B9C">
        <w:trPr>
          <w:trHeight w:val="315"/>
        </w:trPr>
        <w:tc>
          <w:tcPr>
            <w:tcW w:w="69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-18</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89"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Wage costs.</w:t>
            </w:r>
            <w:r w:rsidRPr="00F06B9C">
              <w:rPr>
                <w:rFonts w:ascii="Calibri" w:eastAsia="Times New Roman" w:hAnsi="Calibri" w:cs="Arial"/>
                <w:sz w:val="20"/>
                <w:szCs w:val="20"/>
                <w:lang w:eastAsia="en-AU"/>
              </w:rPr>
              <w:t xml:space="preserve"> Below average growth in wage levels reduced its </w:t>
            </w:r>
            <w:r w:rsidR="001B11CE">
              <w:rPr>
                <w:rFonts w:ascii="Calibri" w:eastAsia="Times New Roman" w:hAnsi="Calibri" w:cs="Arial"/>
                <w:sz w:val="20"/>
                <w:szCs w:val="20"/>
                <w:lang w:eastAsia="en-AU"/>
              </w:rPr>
              <w:t xml:space="preserve">assessed </w:t>
            </w:r>
            <w:r w:rsidRPr="00F06B9C">
              <w:rPr>
                <w:rFonts w:ascii="Calibri" w:eastAsia="Times New Roman" w:hAnsi="Calibri" w:cs="Arial"/>
                <w:sz w:val="20"/>
                <w:szCs w:val="20"/>
                <w:lang w:eastAsia="en-AU"/>
              </w:rPr>
              <w:t>service delivery costs and its GST share.</w:t>
            </w:r>
          </w:p>
        </w:tc>
      </w:tr>
      <w:tr w:rsidR="00F06B9C" w:rsidRPr="00F06B9C" w:rsidTr="00F06B9C">
        <w:trPr>
          <w:trHeight w:val="510"/>
        </w:trPr>
        <w:tc>
          <w:tcPr>
            <w:tcW w:w="69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17</w:t>
            </w:r>
          </w:p>
        </w:tc>
        <w:tc>
          <w:tcPr>
            <w:tcW w:w="2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89"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Natural disaster relief.</w:t>
            </w:r>
            <w:r w:rsidRPr="00F06B9C">
              <w:rPr>
                <w:rFonts w:ascii="Calibri" w:eastAsia="Times New Roman" w:hAnsi="Calibri" w:cs="Arial"/>
                <w:sz w:val="20"/>
                <w:szCs w:val="20"/>
                <w:lang w:eastAsia="en-AU"/>
              </w:rPr>
              <w:t xml:space="preserve"> Tasmania’s natural disaster relief net expenses were higher in 2016-17 compared with 2013-14 due to flood and bushfire events in 2016, increasing its GST share.</w:t>
            </w:r>
          </w:p>
        </w:tc>
      </w:tr>
      <w:tr w:rsidR="00F06B9C" w:rsidRPr="00F06B9C" w:rsidTr="006B479C">
        <w:trPr>
          <w:trHeight w:val="555"/>
        </w:trPr>
        <w:tc>
          <w:tcPr>
            <w:tcW w:w="696"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-13</w:t>
            </w:r>
          </w:p>
        </w:tc>
        <w:tc>
          <w:tcPr>
            <w:tcW w:w="287"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89" w:type="dxa"/>
            <w:tcBorders>
              <w:top w:val="nil"/>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Mining production.</w:t>
            </w:r>
            <w:r w:rsidRPr="00F06B9C">
              <w:rPr>
                <w:rFonts w:ascii="Calibri" w:eastAsia="Times New Roman" w:hAnsi="Calibri" w:cs="Arial"/>
                <w:sz w:val="20"/>
                <w:szCs w:val="20"/>
                <w:lang w:eastAsia="en-AU"/>
              </w:rPr>
              <w:t xml:space="preserve"> Above average growth in the value of production of other minerals between 2013-14 and 2016-17 increased Tasmania's revenue raising capacity and decreased its GST share.</w:t>
            </w:r>
          </w:p>
        </w:tc>
      </w:tr>
      <w:tr w:rsidR="00F06B9C" w:rsidRPr="00F06B9C" w:rsidTr="006B479C">
        <w:trPr>
          <w:trHeight w:val="510"/>
        </w:trPr>
        <w:tc>
          <w:tcPr>
            <w:tcW w:w="696" w:type="dxa"/>
            <w:tcBorders>
              <w:top w:val="single" w:sz="4" w:space="0" w:color="auto"/>
              <w:left w:val="nil"/>
              <w:bottom w:val="single" w:sz="4" w:space="0" w:color="auto"/>
              <w:right w:val="nil"/>
            </w:tcBorders>
            <w:shd w:val="clear" w:color="auto" w:fill="auto"/>
            <w:noWrap/>
            <w:hideMark/>
          </w:tcPr>
          <w:p w:rsidR="00F06B9C" w:rsidRPr="00F06B9C" w:rsidRDefault="008F0BE5" w:rsidP="00F06B9C">
            <w:pPr>
              <w:tabs>
                <w:tab w:val="clear" w:pos="567"/>
              </w:tabs>
              <w:spacing w:after="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5</w:t>
            </w:r>
          </w:p>
        </w:tc>
        <w:tc>
          <w:tcPr>
            <w:tcW w:w="287"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89"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New Census data.</w:t>
            </w:r>
            <w:r w:rsidRPr="00F06B9C">
              <w:rPr>
                <w:rFonts w:ascii="Calibri" w:eastAsia="Times New Roman" w:hAnsi="Calibri" w:cs="Arial"/>
                <w:sz w:val="20"/>
                <w:szCs w:val="20"/>
                <w:lang w:eastAsia="en-AU"/>
              </w:rPr>
              <w:t xml:space="preserve"> Tasmania's Indigenous population is relatively more disadvantaged than in 2011, increasing its </w:t>
            </w:r>
            <w:r w:rsidR="001B11CE">
              <w:rPr>
                <w:rFonts w:ascii="Calibri" w:eastAsia="Times New Roman" w:hAnsi="Calibri" w:cs="Arial"/>
                <w:sz w:val="20"/>
                <w:szCs w:val="20"/>
                <w:lang w:eastAsia="en-AU"/>
              </w:rPr>
              <w:t xml:space="preserve">assessed </w:t>
            </w:r>
            <w:r w:rsidRPr="00F06B9C">
              <w:rPr>
                <w:rFonts w:ascii="Calibri" w:eastAsia="Times New Roman" w:hAnsi="Calibri" w:cs="Arial"/>
                <w:sz w:val="20"/>
                <w:szCs w:val="20"/>
                <w:lang w:eastAsia="en-AU"/>
              </w:rPr>
              <w:t>service delivery costs and its GST share.</w:t>
            </w:r>
          </w:p>
        </w:tc>
      </w:tr>
    </w:tbl>
    <w:p w:rsidR="00BF0D7D" w:rsidRPr="002A48E0" w:rsidRDefault="00BF0D7D" w:rsidP="002E6415">
      <w:pPr>
        <w:sectPr w:rsidR="00BF0D7D"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pPr>
      <w:proofErr w:type="gramStart"/>
      <w:r w:rsidRPr="002A48E0">
        <w:rPr>
          <w:rStyle w:val="Heading6Char"/>
        </w:rPr>
        <w:lastRenderedPageBreak/>
        <w:t>Fiscal capacity.</w:t>
      </w:r>
      <w:proofErr w:type="gramEnd"/>
      <w:r w:rsidRPr="002A48E0">
        <w:t xml:space="preserve"> Tasmania has the weakest revenue capacity in most tax bases, with well below average taxable payrolls and property sales. In addition, it has the second highest per capita assessed expenses for health and welfare. </w:t>
      </w:r>
    </w:p>
    <w:p w:rsidR="002E6415" w:rsidRPr="002A48E0" w:rsidRDefault="002E6415" w:rsidP="002E6415">
      <w:r w:rsidRPr="002A48E0">
        <w:t>These high service delivery costs reflect the State’s above average shares of people in regional areas and people of low socio-economic status, older people and government school students</w:t>
      </w:r>
      <w:r w:rsidR="0006655E">
        <w:t>. These higher assessed costs are</w:t>
      </w:r>
      <w:r w:rsidRPr="002A48E0">
        <w:t xml:space="preserve"> compounded by diseconomies of scale in administration.</w:t>
      </w:r>
    </w:p>
    <w:p w:rsidR="002E6415" w:rsidRDefault="002E6415" w:rsidP="002E6415">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CD68E8">
        <w:fldChar w:fldCharType="begin"/>
      </w:r>
      <w:r w:rsidR="00CD68E8">
        <w:instrText xml:space="preserve"> SEQ Table </w:instrText>
      </w:r>
      <w:r w:rsidR="00CD68E8">
        <w:instrText xml:space="preserve">\* ARABIC </w:instrText>
      </w:r>
      <w:r w:rsidR="00CD68E8">
        <w:fldChar w:fldCharType="separate"/>
      </w:r>
      <w:r w:rsidR="000A6746">
        <w:rPr>
          <w:noProof/>
        </w:rPr>
        <w:t>22</w:t>
      </w:r>
      <w:r w:rsidR="00CD68E8">
        <w:rPr>
          <w:noProof/>
        </w:rPr>
        <w:fldChar w:fldCharType="end"/>
      </w:r>
      <w:r w:rsidRPr="002A48E0">
        <w:tab/>
        <w:t>Assessed GST, 201</w:t>
      </w:r>
      <w:r w:rsidR="004557B4">
        <w:t>8</w:t>
      </w:r>
      <w:r w:rsidR="00260A18">
        <w:noBreakHyphen/>
      </w:r>
      <w:r w:rsidR="00EC2577">
        <w:t>19</w:t>
      </w:r>
    </w:p>
    <w:tbl>
      <w:tblPr>
        <w:tblW w:w="4380" w:type="dxa"/>
        <w:tblInd w:w="93" w:type="dxa"/>
        <w:tblLook w:val="04A0" w:firstRow="1" w:lastRow="0" w:firstColumn="1" w:lastColumn="0" w:noHBand="0" w:noVBand="1"/>
      </w:tblPr>
      <w:tblGrid>
        <w:gridCol w:w="2780"/>
        <w:gridCol w:w="860"/>
        <w:gridCol w:w="74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Equal per capita share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1 375</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2 622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Effect of assessed:</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Expenses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537</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1 023</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Investment</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-159</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-303</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43</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Revenue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717</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1 367</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Commonwealth payments</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-58</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-111</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Assessed GST</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2 434</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4 640</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pStyle w:val="Heading4"/>
        <w:spacing w:before="0"/>
      </w:pPr>
      <w:bookmarkStart w:id="337" w:name="_Toc428803225"/>
      <w:bookmarkStart w:id="338" w:name="_Toc433353482"/>
      <w:bookmarkStart w:id="339" w:name="_Toc441241588"/>
      <w:bookmarkStart w:id="340" w:name="_Toc441499258"/>
      <w:bookmarkStart w:id="341" w:name="_Toc442191914"/>
      <w:bookmarkStart w:id="342" w:name="_Toc442192166"/>
      <w:bookmarkStart w:id="343" w:name="_Toc442192231"/>
      <w:bookmarkStart w:id="344" w:name="_Toc442772817"/>
      <w:bookmarkStart w:id="345" w:name="_Toc442773044"/>
      <w:bookmarkStart w:id="346" w:name="_Toc442773216"/>
      <w:bookmarkStart w:id="347" w:name="_Toc442883281"/>
      <w:bookmarkStart w:id="348" w:name="_Toc474923749"/>
      <w:bookmarkStart w:id="349" w:name="_Toc505872175"/>
      <w:r w:rsidRPr="002A48E0">
        <w:lastRenderedPageBreak/>
        <w:t>Australian Capital Territory</w:t>
      </w:r>
      <w:bookmarkEnd w:id="337"/>
      <w:bookmarkEnd w:id="338"/>
      <w:bookmarkEnd w:id="339"/>
      <w:bookmarkEnd w:id="340"/>
      <w:bookmarkEnd w:id="341"/>
      <w:bookmarkEnd w:id="342"/>
      <w:bookmarkEnd w:id="343"/>
      <w:bookmarkEnd w:id="344"/>
      <w:bookmarkEnd w:id="345"/>
      <w:bookmarkEnd w:id="346"/>
      <w:bookmarkEnd w:id="347"/>
      <w:bookmarkEnd w:id="348"/>
      <w:bookmarkEnd w:id="349"/>
    </w:p>
    <w:p w:rsidR="002E6415" w:rsidRPr="002A48E0" w:rsidRDefault="002E6415" w:rsidP="002E6415">
      <w:pPr>
        <w:pStyle w:val="Heading4"/>
        <w:spacing w:before="0"/>
        <w:sectPr w:rsidR="002E6415" w:rsidRPr="002A48E0" w:rsidSect="005C67C8">
          <w:footerReference w:type="default" r:id="rId40"/>
          <w:pgSz w:w="11899" w:h="16838" w:code="9"/>
          <w:pgMar w:top="1440" w:right="1080" w:bottom="1440" w:left="1080" w:header="709" w:footer="709" w:gutter="0"/>
          <w:cols w:space="708"/>
          <w:titlePg/>
          <w:docGrid w:linePitch="326"/>
        </w:sectPr>
      </w:pPr>
    </w:p>
    <w:p w:rsidR="002E6415" w:rsidRDefault="002E6415" w:rsidP="002E6415">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t xml:space="preserve">The </w:t>
      </w:r>
      <w:proofErr w:type="spellStart"/>
      <w:r w:rsidRPr="002A48E0">
        <w:t>ACT’s</w:t>
      </w:r>
      <w:proofErr w:type="spellEnd"/>
      <w:r w:rsidRPr="002A48E0">
        <w:t xml:space="preserve"> </w:t>
      </w:r>
      <w:r w:rsidR="00273419">
        <w:t xml:space="preserve">fiscal capacity, which remains the </w:t>
      </w:r>
      <w:r w:rsidR="0015059E">
        <w:t>fourth lowest</w:t>
      </w:r>
      <w:r w:rsidR="00273419">
        <w:t>, has imp</w:t>
      </w:r>
      <w:r w:rsidR="00E37F8B">
        <w:t>roved</w:t>
      </w:r>
      <w:r w:rsidR="00273419">
        <w:t xml:space="preserve"> due to an increase in its</w:t>
      </w:r>
      <w:r w:rsidR="00E030EF">
        <w:t xml:space="preserve"> </w:t>
      </w:r>
      <w:r w:rsidR="00273419">
        <w:t xml:space="preserve">relative revenue raising </w:t>
      </w:r>
      <w:r w:rsidR="00E030EF" w:rsidRPr="002A48E0">
        <w:t>capacity</w:t>
      </w:r>
      <w:r w:rsidRPr="002A48E0">
        <w:t xml:space="preserve">. </w:t>
      </w:r>
      <w:r w:rsidR="00C15EC7">
        <w:t>Above average growth in property sales</w:t>
      </w:r>
      <w:r w:rsidR="000E2F86">
        <w:t xml:space="preserve"> and an upward revision to its payroll tax base</w:t>
      </w:r>
      <w:r w:rsidR="00C15EC7">
        <w:t xml:space="preserve"> reduced its GST requirement. </w:t>
      </w:r>
      <w:r w:rsidR="00273419">
        <w:rPr>
          <w:rFonts w:cs="Arial"/>
        </w:rPr>
        <w:t>The</w:t>
      </w:r>
      <w:r w:rsidRPr="002A48E0">
        <w:rPr>
          <w:rFonts w:cs="Arial"/>
        </w:rPr>
        <w:t>s</w:t>
      </w:r>
      <w:r w:rsidR="00273419">
        <w:rPr>
          <w:rFonts w:cs="Arial"/>
        </w:rPr>
        <w:t>e</w:t>
      </w:r>
      <w:r w:rsidRPr="002A48E0">
        <w:rPr>
          <w:rFonts w:cs="Arial"/>
        </w:rPr>
        <w:t xml:space="preserve"> </w:t>
      </w:r>
      <w:r w:rsidR="00273419">
        <w:rPr>
          <w:rFonts w:cs="Arial"/>
        </w:rPr>
        <w:t xml:space="preserve">changes were </w:t>
      </w:r>
      <w:r w:rsidR="00E37F8B">
        <w:rPr>
          <w:rFonts w:cs="Arial"/>
        </w:rPr>
        <w:t xml:space="preserve">partly </w:t>
      </w:r>
      <w:r w:rsidRPr="002A48E0">
        <w:rPr>
          <w:rFonts w:cs="Arial"/>
        </w:rPr>
        <w:t xml:space="preserve">offset by </w:t>
      </w:r>
      <w:r w:rsidR="00DA0CC9">
        <w:rPr>
          <w:rFonts w:cs="Arial"/>
        </w:rPr>
        <w:t xml:space="preserve">a </w:t>
      </w:r>
      <w:r w:rsidR="009D30F2">
        <w:rPr>
          <w:rFonts w:cs="Arial"/>
        </w:rPr>
        <w:t xml:space="preserve">decrease </w:t>
      </w:r>
      <w:r w:rsidR="00DA0CC9">
        <w:rPr>
          <w:rFonts w:cs="Arial"/>
        </w:rPr>
        <w:t xml:space="preserve">in its share of </w:t>
      </w:r>
      <w:r w:rsidR="00273419">
        <w:rPr>
          <w:rFonts w:cs="Arial"/>
        </w:rPr>
        <w:t xml:space="preserve">Commonwealth payments </w:t>
      </w:r>
      <w:r w:rsidR="000E2F86">
        <w:rPr>
          <w:rFonts w:cs="Arial"/>
        </w:rPr>
        <w:t xml:space="preserve">and an increase </w:t>
      </w:r>
      <w:r w:rsidR="008A2A06">
        <w:rPr>
          <w:rFonts w:cs="Arial"/>
        </w:rPr>
        <w:t xml:space="preserve">in </w:t>
      </w:r>
      <w:r w:rsidR="000E2F86">
        <w:rPr>
          <w:rFonts w:cs="Arial"/>
        </w:rPr>
        <w:t>its share of national population growth, which increased its investment requirement</w:t>
      </w:r>
      <w:r w:rsidR="0006655E">
        <w:rPr>
          <w:rFonts w:cs="Arial"/>
        </w:rPr>
        <w:t>.</w:t>
      </w:r>
      <w:r w:rsidR="000E2F86">
        <w:rPr>
          <w:rFonts w:cs="Arial"/>
        </w:rPr>
        <w:t xml:space="preserve"> </w:t>
      </w:r>
      <w:r w:rsidR="0006655E">
        <w:rPr>
          <w:rFonts w:cs="Arial"/>
        </w:rPr>
        <w:t xml:space="preserve">It also had </w:t>
      </w:r>
      <w:r w:rsidR="00273419">
        <w:rPr>
          <w:rFonts w:cs="Arial"/>
        </w:rPr>
        <w:t>above average growth in wage costs</w:t>
      </w:r>
      <w:r w:rsidRPr="002A48E0">
        <w:rPr>
          <w:rFonts w:cs="Arial"/>
        </w:rPr>
        <w:t xml:space="preserve">. </w:t>
      </w:r>
      <w:r w:rsidR="008A2E15">
        <w:t xml:space="preserve">As in </w:t>
      </w:r>
      <w:r w:rsidRPr="002A48E0">
        <w:t>201</w:t>
      </w:r>
      <w:r w:rsidR="00273419">
        <w:t>7</w:t>
      </w:r>
      <w:r>
        <w:noBreakHyphen/>
      </w:r>
      <w:r w:rsidRPr="002A48E0">
        <w:t>1</w:t>
      </w:r>
      <w:r w:rsidR="00273419">
        <w:t>8</w:t>
      </w:r>
      <w:r w:rsidRPr="002A48E0">
        <w:t xml:space="preserve">, the </w:t>
      </w:r>
      <w:proofErr w:type="spellStart"/>
      <w:r w:rsidRPr="002A48E0">
        <w:t>ACT’s</w:t>
      </w:r>
      <w:proofErr w:type="spellEnd"/>
      <w:r w:rsidRPr="002A48E0">
        <w:t xml:space="preserve"> share of GST </w:t>
      </w:r>
      <w:r w:rsidR="00273419">
        <w:t>remains at 2.0%. I</w:t>
      </w:r>
      <w:r w:rsidRPr="002A48E0">
        <w:t>ts GST entitlement will rise by $</w:t>
      </w:r>
      <w:r w:rsidR="009210D1">
        <w:t>5</w:t>
      </w:r>
      <w:r w:rsidR="006B05C0">
        <w:t>3</w:t>
      </w:r>
      <w:r w:rsidR="009210D1" w:rsidRPr="002A48E0">
        <w:t> </w:t>
      </w:r>
      <w:r w:rsidRPr="002A48E0">
        <w:t>million</w:t>
      </w:r>
      <w:r w:rsidR="00273419">
        <w:t xml:space="preserve">, or </w:t>
      </w:r>
      <w:r w:rsidR="009210D1">
        <w:t>4.3</w:t>
      </w:r>
      <w:r w:rsidRPr="002A48E0">
        <w:t>%</w:t>
      </w:r>
      <w:r w:rsidR="00273419">
        <w:t>, due to growth in the pool</w:t>
      </w:r>
      <w:r w:rsidRPr="002A48E0">
        <w:t xml:space="preserve">. </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0A6746">
        <w:rPr>
          <w:rStyle w:val="CGCTableHeadingChar"/>
          <w:noProof/>
        </w:rPr>
        <w:t>23</w:t>
      </w:r>
      <w:r w:rsidRPr="002A48E0">
        <w:rPr>
          <w:rStyle w:val="CGCTableHeadingChar"/>
        </w:rPr>
        <w:fldChar w:fldCharType="end"/>
      </w:r>
      <w:r w:rsidRPr="002A48E0">
        <w:rPr>
          <w:rStyle w:val="CGCTableHeadingChar"/>
        </w:rPr>
        <w:tab/>
        <w:t>Change in GST</w:t>
      </w:r>
    </w:p>
    <w:tbl>
      <w:tblPr>
        <w:tblW w:w="4380" w:type="dxa"/>
        <w:tblInd w:w="93" w:type="dxa"/>
        <w:tblLook w:val="04A0" w:firstRow="1" w:lastRow="0" w:firstColumn="1" w:lastColumn="0" w:noHBand="0" w:noVBand="1"/>
      </w:tblPr>
      <w:tblGrid>
        <w:gridCol w:w="2780"/>
        <w:gridCol w:w="860"/>
        <w:gridCol w:w="74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Change due to</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population</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Growth in GST available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68</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162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relativities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-15</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-37</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Data revisions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-25</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-59</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Change in circumstances</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9</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22</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Total change</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53</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128</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F06B9C" w:rsidRDefault="002E6415" w:rsidP="00F06B9C">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24</w:t>
      </w:r>
      <w:r w:rsidR="00CD68E8">
        <w:rPr>
          <w:noProof/>
        </w:rPr>
        <w:fldChar w:fldCharType="end"/>
      </w:r>
      <w:r w:rsidRPr="002A48E0">
        <w:rPr>
          <w:bCs/>
        </w:rPr>
        <w:tab/>
      </w:r>
      <w:r w:rsidRPr="002A48E0">
        <w:t>Main changes for the ACT</w:t>
      </w:r>
    </w:p>
    <w:tbl>
      <w:tblPr>
        <w:tblW w:w="10042" w:type="dxa"/>
        <w:tblInd w:w="93" w:type="dxa"/>
        <w:tblLook w:val="04A0" w:firstRow="1" w:lastRow="0" w:firstColumn="1" w:lastColumn="0" w:noHBand="0" w:noVBand="1"/>
      </w:tblPr>
      <w:tblGrid>
        <w:gridCol w:w="694"/>
        <w:gridCol w:w="286"/>
        <w:gridCol w:w="9062"/>
      </w:tblGrid>
      <w:tr w:rsidR="00F06B9C" w:rsidRPr="00F06B9C" w:rsidTr="00F06B9C">
        <w:trPr>
          <w:trHeight w:val="300"/>
        </w:trPr>
        <w:tc>
          <w:tcPr>
            <w:tcW w:w="980" w:type="dxa"/>
            <w:gridSpan w:val="2"/>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center"/>
              <w:rPr>
                <w:rFonts w:ascii="Calibri" w:eastAsia="Times New Roman" w:hAnsi="Calibri" w:cs="Arial"/>
                <w:sz w:val="20"/>
                <w:szCs w:val="20"/>
                <w:lang w:eastAsia="en-AU"/>
              </w:rPr>
            </w:pPr>
            <w:r w:rsidRPr="00F06B9C">
              <w:rPr>
                <w:rFonts w:ascii="Calibri" w:eastAsia="Times New Roman" w:hAnsi="Calibri" w:cs="Arial"/>
                <w:sz w:val="20"/>
                <w:szCs w:val="20"/>
                <w:lang w:eastAsia="en-AU"/>
              </w:rPr>
              <w:t>$m</w:t>
            </w:r>
          </w:p>
        </w:tc>
        <w:tc>
          <w:tcPr>
            <w:tcW w:w="9062"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sz w:val="20"/>
                <w:szCs w:val="20"/>
                <w:lang w:eastAsia="en-AU"/>
              </w:rPr>
              <w:t>Reason for change</w:t>
            </w:r>
          </w:p>
        </w:tc>
      </w:tr>
      <w:tr w:rsidR="00F06B9C" w:rsidRPr="00F06B9C" w:rsidTr="00F06B9C">
        <w:trPr>
          <w:trHeight w:val="765"/>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-53</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Taxable payrolls.</w:t>
            </w:r>
            <w:r w:rsidRPr="00F06B9C">
              <w:rPr>
                <w:rFonts w:ascii="Calibri" w:eastAsia="Times New Roman" w:hAnsi="Calibri" w:cs="Arial"/>
                <w:sz w:val="20"/>
                <w:szCs w:val="20"/>
                <w:lang w:eastAsia="en-AU"/>
              </w:rPr>
              <w:t xml:space="preserve"> Upward revisions to ABS data on compensation of employees, combined with above average growth </w:t>
            </w:r>
            <w:proofErr w:type="gramStart"/>
            <w:r w:rsidRPr="00F06B9C">
              <w:rPr>
                <w:rFonts w:ascii="Calibri" w:eastAsia="Times New Roman" w:hAnsi="Calibri" w:cs="Arial"/>
                <w:sz w:val="20"/>
                <w:szCs w:val="20"/>
                <w:lang w:eastAsia="en-AU"/>
              </w:rPr>
              <w:t>between 2013-14</w:t>
            </w:r>
            <w:proofErr w:type="gramEnd"/>
            <w:r w:rsidRPr="00F06B9C">
              <w:rPr>
                <w:rFonts w:ascii="Calibri" w:eastAsia="Times New Roman" w:hAnsi="Calibri" w:cs="Arial"/>
                <w:sz w:val="20"/>
                <w:szCs w:val="20"/>
                <w:lang w:eastAsia="en-AU"/>
              </w:rPr>
              <w:t xml:space="preserve"> and 2016-17, increased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revenue raising capacity and reduced its GST share.</w:t>
            </w:r>
          </w:p>
        </w:tc>
      </w:tr>
      <w:tr w:rsidR="00F06B9C" w:rsidRPr="00F06B9C" w:rsidTr="00F06B9C">
        <w:trPr>
          <w:trHeight w:val="555"/>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18</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Commonwealth payments.</w:t>
            </w:r>
            <w:r w:rsidRPr="00F06B9C">
              <w:rPr>
                <w:rFonts w:ascii="Calibri" w:eastAsia="Times New Roman" w:hAnsi="Calibri" w:cs="Arial"/>
                <w:sz w:val="20"/>
                <w:szCs w:val="20"/>
                <w:lang w:eastAsia="en-AU"/>
              </w:rPr>
              <w:t xml:space="preserve">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share of payments was lower in 2016-17 than in 2013-14, increasing its GST share.</w:t>
            </w:r>
          </w:p>
        </w:tc>
      </w:tr>
      <w:tr w:rsidR="00F06B9C" w:rsidRPr="00F06B9C" w:rsidTr="00F06B9C">
        <w:trPr>
          <w:trHeight w:val="555"/>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16</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Population growth.</w:t>
            </w:r>
            <w:r w:rsidRPr="00F06B9C">
              <w:rPr>
                <w:rFonts w:ascii="Calibri" w:eastAsia="Times New Roman" w:hAnsi="Calibri" w:cs="Arial"/>
                <w:sz w:val="20"/>
                <w:szCs w:val="20"/>
                <w:lang w:eastAsia="en-AU"/>
              </w:rPr>
              <w:t xml:space="preserve"> Data from the 2016 Census population have led to upward revisions to estimates of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population growth, and therefore to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GST share.</w:t>
            </w:r>
          </w:p>
        </w:tc>
      </w:tr>
      <w:tr w:rsidR="00F06B9C" w:rsidRPr="00F06B9C" w:rsidTr="00F06B9C">
        <w:trPr>
          <w:trHeight w:val="510"/>
        </w:trPr>
        <w:tc>
          <w:tcPr>
            <w:tcW w:w="694"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15</w:t>
            </w:r>
          </w:p>
        </w:tc>
        <w:tc>
          <w:tcPr>
            <w:tcW w:w="286"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Wage costs.</w:t>
            </w:r>
            <w:r w:rsidRPr="00F06B9C">
              <w:rPr>
                <w:rFonts w:ascii="Calibri" w:eastAsia="Times New Roman" w:hAnsi="Calibri" w:cs="Arial"/>
                <w:sz w:val="20"/>
                <w:szCs w:val="20"/>
                <w:lang w:eastAsia="en-AU"/>
              </w:rPr>
              <w:t xml:space="preserve"> Above average growth in wage levels increased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w:t>
            </w:r>
            <w:r w:rsidR="001B11CE">
              <w:rPr>
                <w:rFonts w:ascii="Calibri" w:eastAsia="Times New Roman" w:hAnsi="Calibri" w:cs="Arial"/>
                <w:sz w:val="20"/>
                <w:szCs w:val="20"/>
                <w:lang w:eastAsia="en-AU"/>
              </w:rPr>
              <w:t xml:space="preserve">assessed </w:t>
            </w:r>
            <w:r w:rsidRPr="00F06B9C">
              <w:rPr>
                <w:rFonts w:ascii="Calibri" w:eastAsia="Times New Roman" w:hAnsi="Calibri" w:cs="Arial"/>
                <w:sz w:val="20"/>
                <w:szCs w:val="20"/>
                <w:lang w:eastAsia="en-AU"/>
              </w:rPr>
              <w:t>service delivery costs and its GST share.</w:t>
            </w:r>
          </w:p>
        </w:tc>
      </w:tr>
      <w:tr w:rsidR="00F06B9C" w:rsidRPr="00F06B9C" w:rsidTr="006B479C">
        <w:trPr>
          <w:trHeight w:val="510"/>
        </w:trPr>
        <w:tc>
          <w:tcPr>
            <w:tcW w:w="694"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-13</w:t>
            </w:r>
          </w:p>
        </w:tc>
        <w:tc>
          <w:tcPr>
            <w:tcW w:w="286"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9062" w:type="dxa"/>
            <w:tcBorders>
              <w:top w:val="nil"/>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Property sales.</w:t>
            </w:r>
            <w:r w:rsidRPr="00F06B9C">
              <w:rPr>
                <w:rFonts w:ascii="Calibri" w:eastAsia="Times New Roman" w:hAnsi="Calibri" w:cs="Arial"/>
                <w:sz w:val="20"/>
                <w:szCs w:val="20"/>
                <w:lang w:eastAsia="en-AU"/>
              </w:rPr>
              <w:t xml:space="preserve"> Above average growth in property sales increased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capacity to raise revenue from conveyance duty and reduced its GST share.</w:t>
            </w:r>
          </w:p>
        </w:tc>
      </w:tr>
      <w:tr w:rsidR="00F06B9C" w:rsidRPr="00F06B9C" w:rsidTr="006B479C">
        <w:trPr>
          <w:trHeight w:val="510"/>
        </w:trPr>
        <w:tc>
          <w:tcPr>
            <w:tcW w:w="694"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4</w:t>
            </w:r>
            <w:r w:rsidR="008F0BE5">
              <w:rPr>
                <w:rFonts w:ascii="Calibri" w:eastAsia="Times New Roman" w:hAnsi="Calibri" w:cs="Arial"/>
                <w:sz w:val="20"/>
                <w:szCs w:val="20"/>
                <w:lang w:eastAsia="en-AU"/>
              </w:rPr>
              <w:t>3</w:t>
            </w:r>
          </w:p>
        </w:tc>
        <w:tc>
          <w:tcPr>
            <w:tcW w:w="286"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9062" w:type="dxa"/>
            <w:tcBorders>
              <w:top w:val="single" w:sz="4" w:space="0" w:color="auto"/>
              <w:left w:val="nil"/>
              <w:bottom w:val="single" w:sz="4" w:space="0" w:color="auto"/>
              <w:right w:val="nil"/>
            </w:tcBorders>
            <w:shd w:val="clear" w:color="auto" w:fill="auto"/>
            <w:hideMark/>
          </w:tcPr>
          <w:p w:rsidR="00F06B9C" w:rsidRPr="00F06B9C" w:rsidRDefault="00F06B9C" w:rsidP="0067668B">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New Census data.</w:t>
            </w:r>
            <w:r w:rsidRPr="00F06B9C">
              <w:rPr>
                <w:rFonts w:ascii="Calibri" w:eastAsia="Times New Roman" w:hAnsi="Calibri" w:cs="Arial"/>
                <w:sz w:val="20"/>
                <w:szCs w:val="20"/>
                <w:lang w:eastAsia="en-AU"/>
              </w:rPr>
              <w:t xml:space="preserve"> Upward revisions to the </w:t>
            </w:r>
            <w:proofErr w:type="spellStart"/>
            <w:r w:rsidRPr="00F06B9C">
              <w:rPr>
                <w:rFonts w:ascii="Calibri" w:eastAsia="Times New Roman" w:hAnsi="Calibri" w:cs="Arial"/>
                <w:sz w:val="20"/>
                <w:szCs w:val="20"/>
                <w:lang w:eastAsia="en-AU"/>
              </w:rPr>
              <w:t>ACT's</w:t>
            </w:r>
            <w:proofErr w:type="spellEnd"/>
            <w:r w:rsidRPr="00F06B9C">
              <w:rPr>
                <w:rFonts w:ascii="Calibri" w:eastAsia="Times New Roman" w:hAnsi="Calibri" w:cs="Arial"/>
                <w:sz w:val="20"/>
                <w:szCs w:val="20"/>
                <w:lang w:eastAsia="en-AU"/>
              </w:rPr>
              <w:t xml:space="preserve"> total population associated with the 2016 Census reduced its revenue raising capacity and increased its GST </w:t>
            </w:r>
            <w:r w:rsidR="0067668B">
              <w:rPr>
                <w:rFonts w:ascii="Calibri" w:eastAsia="Times New Roman" w:hAnsi="Calibri" w:cs="Arial"/>
                <w:sz w:val="20"/>
                <w:szCs w:val="20"/>
                <w:lang w:eastAsia="en-AU"/>
              </w:rPr>
              <w:t>share</w:t>
            </w:r>
            <w:r w:rsidRPr="00F06B9C">
              <w:rPr>
                <w:rFonts w:ascii="Calibri" w:eastAsia="Times New Roman" w:hAnsi="Calibri" w:cs="Arial"/>
                <w:sz w:val="20"/>
                <w:szCs w:val="20"/>
                <w:lang w:eastAsia="en-AU"/>
              </w:rPr>
              <w:t>.</w:t>
            </w:r>
          </w:p>
        </w:tc>
      </w:tr>
    </w:tbl>
    <w:p w:rsidR="00A4269B" w:rsidRPr="002A48E0" w:rsidRDefault="00A4269B" w:rsidP="002E6415">
      <w:pPr>
        <w:sectPr w:rsidR="00A4269B"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pPr>
      <w:proofErr w:type="gramStart"/>
      <w:r w:rsidRPr="002A48E0">
        <w:rPr>
          <w:rStyle w:val="Heading6Char"/>
        </w:rPr>
        <w:lastRenderedPageBreak/>
        <w:t>Fiscal capacity.</w:t>
      </w:r>
      <w:proofErr w:type="gramEnd"/>
      <w:r w:rsidRPr="002A48E0">
        <w:t xml:space="preserve"> The </w:t>
      </w:r>
      <w:proofErr w:type="spellStart"/>
      <w:r w:rsidRPr="002A48E0">
        <w:t>ACT’s</w:t>
      </w:r>
      <w:proofErr w:type="spellEnd"/>
      <w:r w:rsidRPr="002A48E0">
        <w:t xml:space="preserve"> below average fiscal capacity is due to its below average capacity to raise revenue across all revenue </w:t>
      </w:r>
      <w:r>
        <w:t>bases</w:t>
      </w:r>
      <w:r w:rsidRPr="002A48E0">
        <w:t xml:space="preserve">. It has no mining industry and low revenue raising capacity from land values, stamp duty and taxable payrolls. It also receives </w:t>
      </w:r>
      <w:r w:rsidR="00B36077">
        <w:t xml:space="preserve">a </w:t>
      </w:r>
      <w:r w:rsidRPr="002A48E0">
        <w:t xml:space="preserve">below average </w:t>
      </w:r>
      <w:r w:rsidR="00B36077">
        <w:t xml:space="preserve">share of </w:t>
      </w:r>
      <w:r w:rsidRPr="002A48E0">
        <w:t xml:space="preserve">Commonwealth payments. </w:t>
      </w:r>
    </w:p>
    <w:p w:rsidR="002E6415" w:rsidRPr="002A48E0" w:rsidRDefault="002E6415" w:rsidP="002E6415">
      <w:pPr>
        <w:rPr>
          <w:szCs w:val="24"/>
        </w:rPr>
      </w:pPr>
      <w:r w:rsidRPr="002A48E0">
        <w:t xml:space="preserve">The </w:t>
      </w:r>
      <w:proofErr w:type="spellStart"/>
      <w:r w:rsidRPr="002A48E0">
        <w:t>ACT’s</w:t>
      </w:r>
      <w:proofErr w:type="spellEnd"/>
      <w:r w:rsidRPr="002A48E0">
        <w:t xml:space="preserve"> assessed cost of providing services is also below average, </w:t>
      </w:r>
      <w:r>
        <w:t xml:space="preserve">partially </w:t>
      </w:r>
      <w:r w:rsidRPr="002A48E0">
        <w:t>offsetting its low revenue raising capacity. The low cost of its relatively young, urbanised, higher socio-economic status population more than offsets the impact of diseconomies of scale in administration and above average wage costs.</w:t>
      </w:r>
    </w:p>
    <w:p w:rsidR="002E6415" w:rsidRDefault="002E6415" w:rsidP="002E6415">
      <w:pPr>
        <w:pStyle w:val="CGCTableHeading"/>
        <w:keepNext w:val="0"/>
        <w:keepLines w:val="0"/>
        <w:spacing w:after="80" w:line="320" w:lineRule="atLeast"/>
        <w:ind w:left="0" w:firstLine="0"/>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25</w:t>
      </w:r>
      <w:r w:rsidR="00CD68E8">
        <w:rPr>
          <w:noProof/>
        </w:rPr>
        <w:fldChar w:fldCharType="end"/>
      </w:r>
      <w:r w:rsidR="00EC2577">
        <w:tab/>
        <w:t>Assessed GST, 2018</w:t>
      </w:r>
      <w:r w:rsidR="00260A18">
        <w:noBreakHyphen/>
      </w:r>
      <w:r w:rsidR="00EC2577">
        <w:t>19</w:t>
      </w:r>
    </w:p>
    <w:tbl>
      <w:tblPr>
        <w:tblW w:w="4380" w:type="dxa"/>
        <w:tblInd w:w="93" w:type="dxa"/>
        <w:tblLook w:val="04A0" w:firstRow="1" w:lastRow="0" w:firstColumn="1" w:lastColumn="0" w:noHBand="0" w:noVBand="1"/>
      </w:tblPr>
      <w:tblGrid>
        <w:gridCol w:w="2780"/>
        <w:gridCol w:w="860"/>
        <w:gridCol w:w="74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8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74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Equal per capita share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1 098</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2 622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Effect of assessed:</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Expenses</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-194</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-463</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Investment</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-20</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-47</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Net borrowing</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-7</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Revenue</w:t>
            </w:r>
          </w:p>
        </w:tc>
        <w:tc>
          <w:tcPr>
            <w:tcW w:w="8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332</w:t>
            </w:r>
          </w:p>
        </w:tc>
        <w:tc>
          <w:tcPr>
            <w:tcW w:w="74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794</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Commonwealth payments</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85</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202</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Assessed GST</w:t>
            </w:r>
          </w:p>
        </w:tc>
        <w:tc>
          <w:tcPr>
            <w:tcW w:w="8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1 298</w:t>
            </w:r>
          </w:p>
        </w:tc>
        <w:tc>
          <w:tcPr>
            <w:tcW w:w="74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3 100</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pStyle w:val="Heading4"/>
        <w:spacing w:before="0"/>
        <w:sectPr w:rsidR="002E6415" w:rsidRPr="002A48E0" w:rsidSect="005C67C8">
          <w:footerReference w:type="default" r:id="rId41"/>
          <w:pgSz w:w="11899" w:h="16838" w:code="9"/>
          <w:pgMar w:top="1440" w:right="1080" w:bottom="1440" w:left="1080" w:header="709" w:footer="709" w:gutter="0"/>
          <w:cols w:space="708"/>
          <w:titlePg/>
          <w:docGrid w:linePitch="326"/>
        </w:sectPr>
      </w:pPr>
      <w:bookmarkStart w:id="350" w:name="_Toc442191915"/>
      <w:bookmarkStart w:id="351" w:name="_Toc442192167"/>
      <w:bookmarkStart w:id="352" w:name="_Toc442192232"/>
      <w:bookmarkStart w:id="353" w:name="_Toc442772818"/>
      <w:bookmarkStart w:id="354" w:name="_Toc442773045"/>
      <w:bookmarkStart w:id="355" w:name="_Toc442773217"/>
      <w:bookmarkStart w:id="356" w:name="_Toc442883282"/>
      <w:bookmarkStart w:id="357" w:name="_Toc474923750"/>
      <w:bookmarkStart w:id="358" w:name="_Toc505872176"/>
      <w:r w:rsidRPr="002A48E0">
        <w:lastRenderedPageBreak/>
        <w:t>Northern Territory</w:t>
      </w:r>
      <w:bookmarkEnd w:id="350"/>
      <w:bookmarkEnd w:id="351"/>
      <w:bookmarkEnd w:id="352"/>
      <w:bookmarkEnd w:id="353"/>
      <w:bookmarkEnd w:id="354"/>
      <w:bookmarkEnd w:id="355"/>
      <w:bookmarkEnd w:id="356"/>
      <w:bookmarkEnd w:id="357"/>
      <w:bookmarkEnd w:id="358"/>
    </w:p>
    <w:p w:rsidR="002E6415" w:rsidRDefault="002E6415" w:rsidP="002E6415">
      <w:pPr>
        <w:spacing w:before="120"/>
        <w:rPr>
          <w:rStyle w:val="CGCTableHeadingChar"/>
        </w:rPr>
      </w:pPr>
      <w:proofErr w:type="gramStart"/>
      <w:r w:rsidRPr="002A48E0">
        <w:rPr>
          <w:rStyle w:val="Heading6Char"/>
        </w:rPr>
        <w:lastRenderedPageBreak/>
        <w:t>Changes in this update.</w:t>
      </w:r>
      <w:proofErr w:type="gramEnd"/>
      <w:r w:rsidRPr="002A48E0">
        <w:rPr>
          <w:rStyle w:val="Heading6Char"/>
        </w:rPr>
        <w:t xml:space="preserve"> </w:t>
      </w:r>
      <w:r w:rsidRPr="002A48E0">
        <w:t>The Northern Territory‘s fiscal capacity has strengthened markedly</w:t>
      </w:r>
      <w:r w:rsidR="00E922EC">
        <w:t>,</w:t>
      </w:r>
      <w:r w:rsidRPr="002A48E0">
        <w:t xml:space="preserve"> but it remains the fiscally weakest State. </w:t>
      </w:r>
      <w:r w:rsidR="00E922EC">
        <w:t xml:space="preserve">An increased share of Commonwealth payments reduced its GST requirement, as did a lower investment requirement resulting from </w:t>
      </w:r>
      <w:r w:rsidR="000E2F86">
        <w:t>changes in total investment in urban transport and rural roads</w:t>
      </w:r>
      <w:r w:rsidRPr="002A48E0">
        <w:t xml:space="preserve">. </w:t>
      </w:r>
      <w:r w:rsidR="00E922EC">
        <w:t>These changes were reinforced by d</w:t>
      </w:r>
      <w:r w:rsidRPr="002A48E0">
        <w:t xml:space="preserve">eclining </w:t>
      </w:r>
      <w:r w:rsidR="00E922EC">
        <w:t>spending on utility subsidies across all States</w:t>
      </w:r>
      <w:r w:rsidRPr="002A48E0">
        <w:t xml:space="preserve">, </w:t>
      </w:r>
      <w:r w:rsidR="00E922EC">
        <w:t>and an increase in urban transport investment</w:t>
      </w:r>
      <w:r w:rsidRPr="002A48E0">
        <w:t xml:space="preserve">. </w:t>
      </w:r>
      <w:r w:rsidRPr="002A48E0">
        <w:rPr>
          <w:szCs w:val="24"/>
        </w:rPr>
        <w:t xml:space="preserve">The Northern Territory’s increased fiscal capacity will see its GST </w:t>
      </w:r>
      <w:r>
        <w:rPr>
          <w:szCs w:val="24"/>
        </w:rPr>
        <w:t>share</w:t>
      </w:r>
      <w:r w:rsidRPr="002A48E0">
        <w:rPr>
          <w:szCs w:val="24"/>
        </w:rPr>
        <w:t xml:space="preserve"> in 201</w:t>
      </w:r>
      <w:r w:rsidR="00E922EC">
        <w:rPr>
          <w:szCs w:val="24"/>
        </w:rPr>
        <w:t>8</w:t>
      </w:r>
      <w:r w:rsidR="00260A18">
        <w:rPr>
          <w:szCs w:val="24"/>
        </w:rPr>
        <w:noBreakHyphen/>
      </w:r>
      <w:r w:rsidRPr="002A48E0">
        <w:rPr>
          <w:szCs w:val="24"/>
        </w:rPr>
        <w:t>1</w:t>
      </w:r>
      <w:r w:rsidR="00E922EC">
        <w:rPr>
          <w:szCs w:val="24"/>
        </w:rPr>
        <w:t>9</w:t>
      </w:r>
      <w:r w:rsidRPr="002A48E0">
        <w:rPr>
          <w:szCs w:val="24"/>
        </w:rPr>
        <w:t xml:space="preserve"> fall </w:t>
      </w:r>
      <w:r>
        <w:rPr>
          <w:szCs w:val="24"/>
        </w:rPr>
        <w:t xml:space="preserve">from </w:t>
      </w:r>
      <w:r w:rsidR="00E922EC">
        <w:rPr>
          <w:szCs w:val="24"/>
        </w:rPr>
        <w:t>4</w:t>
      </w:r>
      <w:r>
        <w:rPr>
          <w:szCs w:val="24"/>
        </w:rPr>
        <w:t>.</w:t>
      </w:r>
      <w:r w:rsidR="00E922EC">
        <w:rPr>
          <w:szCs w:val="24"/>
        </w:rPr>
        <w:t>6</w:t>
      </w:r>
      <w:r>
        <w:rPr>
          <w:szCs w:val="24"/>
        </w:rPr>
        <w:t>% to 4.</w:t>
      </w:r>
      <w:r w:rsidR="00E922EC">
        <w:rPr>
          <w:szCs w:val="24"/>
        </w:rPr>
        <w:t>2</w:t>
      </w:r>
      <w:r>
        <w:rPr>
          <w:szCs w:val="24"/>
        </w:rPr>
        <w:t xml:space="preserve">%. </w:t>
      </w:r>
      <w:r w:rsidR="002C46B8">
        <w:t>G</w:t>
      </w:r>
      <w:r w:rsidR="00A47B73">
        <w:t>rowth in the pool does not offset the impact of the Northern</w:t>
      </w:r>
      <w:r w:rsidR="00EC50C7">
        <w:t> </w:t>
      </w:r>
      <w:r w:rsidR="00A47B73">
        <w:t>Territory’s improved fiscal capacity</w:t>
      </w:r>
      <w:r w:rsidR="002C46B8">
        <w:t xml:space="preserve"> and</w:t>
      </w:r>
      <w:r w:rsidR="00CD50C3">
        <w:t>, therefore,</w:t>
      </w:r>
      <w:r w:rsidR="002C46B8">
        <w:t xml:space="preserve"> </w:t>
      </w:r>
      <w:r w:rsidR="00A47B73">
        <w:rPr>
          <w:szCs w:val="24"/>
        </w:rPr>
        <w:t xml:space="preserve">its </w:t>
      </w:r>
      <w:r>
        <w:rPr>
          <w:szCs w:val="24"/>
        </w:rPr>
        <w:t xml:space="preserve">GST entitlement will fall </w:t>
      </w:r>
      <w:r w:rsidRPr="002A48E0">
        <w:rPr>
          <w:szCs w:val="24"/>
        </w:rPr>
        <w:t>by $</w:t>
      </w:r>
      <w:r w:rsidR="006B05C0">
        <w:rPr>
          <w:szCs w:val="24"/>
        </w:rPr>
        <w:t>136</w:t>
      </w:r>
      <w:r w:rsidR="009210D1" w:rsidRPr="002A48E0">
        <w:rPr>
          <w:szCs w:val="24"/>
        </w:rPr>
        <w:t> </w:t>
      </w:r>
      <w:r w:rsidRPr="002A48E0">
        <w:rPr>
          <w:szCs w:val="24"/>
        </w:rPr>
        <w:t>million</w:t>
      </w:r>
      <w:r w:rsidR="00E922EC">
        <w:rPr>
          <w:szCs w:val="24"/>
        </w:rPr>
        <w:t>,</w:t>
      </w:r>
      <w:r w:rsidRPr="002A48E0">
        <w:rPr>
          <w:szCs w:val="24"/>
        </w:rPr>
        <w:t xml:space="preserve"> or </w:t>
      </w:r>
      <w:r w:rsidR="00E922EC">
        <w:rPr>
          <w:szCs w:val="24"/>
        </w:rPr>
        <w:t>4</w:t>
      </w:r>
      <w:r w:rsidRPr="002A48E0">
        <w:rPr>
          <w:szCs w:val="24"/>
        </w:rPr>
        <w:t>.</w:t>
      </w:r>
      <w:r w:rsidR="006B05C0">
        <w:rPr>
          <w:szCs w:val="24"/>
        </w:rPr>
        <w:t>7</w:t>
      </w:r>
      <w:r w:rsidRPr="002A48E0">
        <w:rPr>
          <w:szCs w:val="24"/>
        </w:rPr>
        <w:t>%.</w:t>
      </w:r>
      <w:r w:rsidRPr="002A48E0">
        <w:br w:type="column"/>
      </w:r>
      <w:r w:rsidRPr="002A48E0">
        <w:rPr>
          <w:rStyle w:val="CGCTableHeadingChar"/>
        </w:rPr>
        <w:lastRenderedPageBreak/>
        <w:t xml:space="preserve">Table </w:t>
      </w:r>
      <w:r w:rsidRPr="002A48E0">
        <w:rPr>
          <w:rStyle w:val="CGCTableHeadingChar"/>
        </w:rPr>
        <w:fldChar w:fldCharType="begin"/>
      </w:r>
      <w:r w:rsidRPr="002A48E0">
        <w:rPr>
          <w:rStyle w:val="CGCTableHeadingChar"/>
        </w:rPr>
        <w:instrText xml:space="preserve"> SEQ Table \* ARABIC </w:instrText>
      </w:r>
      <w:r w:rsidRPr="002A48E0">
        <w:rPr>
          <w:rStyle w:val="CGCTableHeadingChar"/>
        </w:rPr>
        <w:fldChar w:fldCharType="separate"/>
      </w:r>
      <w:r w:rsidR="000A6746">
        <w:rPr>
          <w:rStyle w:val="CGCTableHeadingChar"/>
          <w:noProof/>
        </w:rPr>
        <w:t>26</w:t>
      </w:r>
      <w:r w:rsidRPr="002A48E0">
        <w:rPr>
          <w:rStyle w:val="CGCTableHeadingChar"/>
        </w:rPr>
        <w:fldChar w:fldCharType="end"/>
      </w:r>
      <w:r w:rsidRPr="002A48E0">
        <w:rPr>
          <w:rStyle w:val="CGCTableHeadingChar"/>
        </w:rPr>
        <w:tab/>
        <w:t>Change in GST</w:t>
      </w:r>
    </w:p>
    <w:tbl>
      <w:tblPr>
        <w:tblW w:w="4360" w:type="dxa"/>
        <w:tblInd w:w="93" w:type="dxa"/>
        <w:tblLook w:val="04A0" w:firstRow="1" w:lastRow="0" w:firstColumn="1" w:lastColumn="0" w:noHBand="0" w:noVBand="1"/>
      </w:tblPr>
      <w:tblGrid>
        <w:gridCol w:w="2780"/>
        <w:gridCol w:w="760"/>
        <w:gridCol w:w="82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82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Change due to</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population</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-33</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-132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Growth in GST available</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156</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632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New relativities</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-260</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-1 054</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Data revisions</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-61</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-247</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200" w:firstLine="400"/>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Change in circumstances</w:t>
            </w:r>
          </w:p>
        </w:tc>
        <w:tc>
          <w:tcPr>
            <w:tcW w:w="7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-199</w:t>
            </w:r>
          </w:p>
        </w:tc>
        <w:tc>
          <w:tcPr>
            <w:tcW w:w="82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i/>
                <w:iCs/>
                <w:sz w:val="20"/>
                <w:szCs w:val="20"/>
                <w:lang w:eastAsia="en-AU"/>
              </w:rPr>
            </w:pPr>
            <w:r w:rsidRPr="006B05C0">
              <w:rPr>
                <w:rFonts w:ascii="Calibri" w:eastAsia="Times New Roman" w:hAnsi="Calibri" w:cs="Times New Roman"/>
                <w:i/>
                <w:iCs/>
                <w:sz w:val="20"/>
                <w:szCs w:val="20"/>
                <w:lang w:eastAsia="en-AU"/>
              </w:rPr>
              <w:t>-807</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Total change</w:t>
            </w:r>
          </w:p>
        </w:tc>
        <w:tc>
          <w:tcPr>
            <w:tcW w:w="7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-136</w:t>
            </w:r>
          </w:p>
        </w:tc>
        <w:tc>
          <w:tcPr>
            <w:tcW w:w="82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-553</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45" w:equalWidth="0">
            <w:col w:w="5500" w:space="145"/>
            <w:col w:w="4094"/>
          </w:cols>
          <w:titlePg/>
          <w:docGrid w:linePitch="326"/>
        </w:sectPr>
      </w:pPr>
      <w:r w:rsidRPr="002A48E0">
        <w:t>Note: Table may not add due to rounding.</w:t>
      </w:r>
    </w:p>
    <w:p w:rsidR="00F06B9C" w:rsidRDefault="002E6415" w:rsidP="00F06B9C">
      <w:pPr>
        <w:pStyle w:val="CGCTableHeading"/>
        <w:spacing w:after="80" w:line="320" w:lineRule="atLeast"/>
      </w:pP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27</w:t>
      </w:r>
      <w:r w:rsidR="00CD68E8">
        <w:rPr>
          <w:noProof/>
        </w:rPr>
        <w:fldChar w:fldCharType="end"/>
      </w:r>
      <w:r w:rsidRPr="002A48E0">
        <w:rPr>
          <w:bCs/>
        </w:rPr>
        <w:tab/>
      </w:r>
      <w:r w:rsidRPr="002A48E0">
        <w:t>Main changes for the Northern Territory</w:t>
      </w:r>
    </w:p>
    <w:tbl>
      <w:tblPr>
        <w:tblW w:w="9937" w:type="dxa"/>
        <w:tblInd w:w="93" w:type="dxa"/>
        <w:tblLook w:val="04A0" w:firstRow="1" w:lastRow="0" w:firstColumn="1" w:lastColumn="0" w:noHBand="0" w:noVBand="1"/>
      </w:tblPr>
      <w:tblGrid>
        <w:gridCol w:w="687"/>
        <w:gridCol w:w="283"/>
        <w:gridCol w:w="8967"/>
      </w:tblGrid>
      <w:tr w:rsidR="00F06B9C" w:rsidRPr="00F06B9C" w:rsidTr="00F06B9C">
        <w:trPr>
          <w:trHeight w:val="264"/>
        </w:trPr>
        <w:tc>
          <w:tcPr>
            <w:tcW w:w="970" w:type="dxa"/>
            <w:gridSpan w:val="2"/>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center"/>
              <w:rPr>
                <w:rFonts w:ascii="Calibri" w:eastAsia="Times New Roman" w:hAnsi="Calibri" w:cs="Arial"/>
                <w:sz w:val="20"/>
                <w:szCs w:val="20"/>
                <w:lang w:eastAsia="en-AU"/>
              </w:rPr>
            </w:pPr>
            <w:r w:rsidRPr="00F06B9C">
              <w:rPr>
                <w:rFonts w:ascii="Calibri" w:eastAsia="Times New Roman" w:hAnsi="Calibri" w:cs="Arial"/>
                <w:sz w:val="20"/>
                <w:szCs w:val="20"/>
                <w:lang w:eastAsia="en-AU"/>
              </w:rPr>
              <w:t>$m</w:t>
            </w:r>
          </w:p>
        </w:tc>
        <w:tc>
          <w:tcPr>
            <w:tcW w:w="8967"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sz w:val="20"/>
                <w:szCs w:val="20"/>
                <w:lang w:eastAsia="en-AU"/>
              </w:rPr>
              <w:t>Reason for change</w:t>
            </w:r>
          </w:p>
        </w:tc>
      </w:tr>
      <w:tr w:rsidR="00F06B9C" w:rsidRPr="00F06B9C" w:rsidTr="00F06B9C">
        <w:trPr>
          <w:trHeight w:val="488"/>
        </w:trPr>
        <w:tc>
          <w:tcPr>
            <w:tcW w:w="6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-88</w:t>
            </w:r>
          </w:p>
        </w:tc>
        <w:tc>
          <w:tcPr>
            <w:tcW w:w="283"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8967"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Commonwealth payments.</w:t>
            </w:r>
            <w:r w:rsidRPr="00F06B9C">
              <w:rPr>
                <w:rFonts w:ascii="Calibri" w:eastAsia="Times New Roman" w:hAnsi="Calibri" w:cs="Arial"/>
                <w:sz w:val="20"/>
                <w:szCs w:val="20"/>
                <w:lang w:eastAsia="en-AU"/>
              </w:rPr>
              <w:t xml:space="preserve"> The Northern Territory’s share of payments was greater in 2016-17 than in 2013-14, mainly due to health, government schools and remote Indigenous housing payments. This reduced its GST share.</w:t>
            </w:r>
          </w:p>
        </w:tc>
      </w:tr>
      <w:tr w:rsidR="00F06B9C" w:rsidRPr="00F06B9C" w:rsidTr="00F06B9C">
        <w:trPr>
          <w:trHeight w:val="672"/>
        </w:trPr>
        <w:tc>
          <w:tcPr>
            <w:tcW w:w="6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-33</w:t>
            </w:r>
          </w:p>
        </w:tc>
        <w:tc>
          <w:tcPr>
            <w:tcW w:w="283"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8967" w:type="dxa"/>
            <w:tcBorders>
              <w:top w:val="nil"/>
              <w:left w:val="nil"/>
              <w:bottom w:val="nil"/>
              <w:right w:val="nil"/>
            </w:tcBorders>
            <w:shd w:val="clear" w:color="auto" w:fill="auto"/>
            <w:hideMark/>
          </w:tcPr>
          <w:p w:rsidR="00F06B9C" w:rsidRPr="00F06B9C" w:rsidRDefault="00F06B9C" w:rsidP="000D61F4">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Investment growth.</w:t>
            </w:r>
            <w:r w:rsidRPr="00F06B9C">
              <w:rPr>
                <w:rFonts w:ascii="Calibri" w:eastAsia="Times New Roman" w:hAnsi="Calibri" w:cs="Arial"/>
                <w:sz w:val="20"/>
                <w:szCs w:val="20"/>
                <w:lang w:eastAsia="en-AU"/>
              </w:rPr>
              <w:t xml:space="preserve"> </w:t>
            </w:r>
            <w:r w:rsidR="000D61F4">
              <w:rPr>
                <w:rFonts w:ascii="Calibri" w:eastAsia="Times New Roman" w:hAnsi="Calibri" w:cs="Arial"/>
                <w:sz w:val="20"/>
                <w:szCs w:val="20"/>
                <w:lang w:eastAsia="en-AU"/>
              </w:rPr>
              <w:t>Nationally, a</w:t>
            </w:r>
            <w:r w:rsidRPr="00F06B9C">
              <w:rPr>
                <w:rFonts w:ascii="Calibri" w:eastAsia="Times New Roman" w:hAnsi="Calibri" w:cs="Arial"/>
                <w:sz w:val="20"/>
                <w:szCs w:val="20"/>
                <w:lang w:eastAsia="en-AU"/>
              </w:rPr>
              <w:t xml:space="preserve"> large increase in investment in urban transport, for which the Northern Territory has below average needs, combined with a large decrease in investment in rural roads, where the Northern Territory has above average needs, decreased its GST share.</w:t>
            </w:r>
          </w:p>
        </w:tc>
      </w:tr>
      <w:tr w:rsidR="00F06B9C" w:rsidRPr="00F06B9C" w:rsidTr="00F06B9C">
        <w:trPr>
          <w:trHeight w:val="488"/>
        </w:trPr>
        <w:tc>
          <w:tcPr>
            <w:tcW w:w="6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29</w:t>
            </w:r>
          </w:p>
        </w:tc>
        <w:tc>
          <w:tcPr>
            <w:tcW w:w="283"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8967" w:type="dxa"/>
            <w:tcBorders>
              <w:top w:val="nil"/>
              <w:left w:val="nil"/>
              <w:bottom w:val="nil"/>
              <w:right w:val="nil"/>
            </w:tcBorders>
            <w:shd w:val="clear" w:color="auto" w:fill="auto"/>
            <w:hideMark/>
          </w:tcPr>
          <w:p w:rsidR="00F06B9C" w:rsidRPr="00F06B9C" w:rsidRDefault="00F06B9C" w:rsidP="0014143B">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Property sales.</w:t>
            </w:r>
            <w:r w:rsidRPr="00F06B9C">
              <w:rPr>
                <w:rFonts w:ascii="Calibri" w:eastAsia="Times New Roman" w:hAnsi="Calibri" w:cs="Arial"/>
                <w:sz w:val="20"/>
                <w:szCs w:val="20"/>
                <w:lang w:eastAsia="en-AU"/>
              </w:rPr>
              <w:t xml:space="preserve"> Below average </w:t>
            </w:r>
            <w:r w:rsidR="0014143B">
              <w:rPr>
                <w:rFonts w:ascii="Calibri" w:eastAsia="Times New Roman" w:hAnsi="Calibri" w:cs="Arial"/>
                <w:sz w:val="20"/>
                <w:szCs w:val="20"/>
                <w:lang w:eastAsia="en-AU"/>
              </w:rPr>
              <w:t>growth</w:t>
            </w:r>
            <w:r w:rsidRPr="00F06B9C">
              <w:rPr>
                <w:rFonts w:ascii="Calibri" w:eastAsia="Times New Roman" w:hAnsi="Calibri" w:cs="Arial"/>
                <w:sz w:val="20"/>
                <w:szCs w:val="20"/>
                <w:lang w:eastAsia="en-AU"/>
              </w:rPr>
              <w:t xml:space="preserve"> in property sales reduced its capacity to raise revenue from conveyance duty and increased its share of GST.</w:t>
            </w:r>
          </w:p>
        </w:tc>
      </w:tr>
      <w:tr w:rsidR="00F06B9C" w:rsidRPr="00F06B9C" w:rsidTr="00F06B9C">
        <w:trPr>
          <w:trHeight w:val="699"/>
        </w:trPr>
        <w:tc>
          <w:tcPr>
            <w:tcW w:w="687"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-25</w:t>
            </w:r>
          </w:p>
        </w:tc>
        <w:tc>
          <w:tcPr>
            <w:tcW w:w="283" w:type="dxa"/>
            <w:tcBorders>
              <w:top w:val="nil"/>
              <w:left w:val="nil"/>
              <w:bottom w:val="nil"/>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8967" w:type="dxa"/>
            <w:tcBorders>
              <w:top w:val="nil"/>
              <w:left w:val="nil"/>
              <w:bottom w:val="nil"/>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Small communities.</w:t>
            </w:r>
            <w:r w:rsidRPr="00F06B9C">
              <w:rPr>
                <w:rFonts w:ascii="Calibri" w:eastAsia="Times New Roman" w:hAnsi="Calibri" w:cs="Arial"/>
                <w:sz w:val="20"/>
                <w:szCs w:val="20"/>
                <w:lang w:eastAsia="en-AU"/>
              </w:rPr>
              <w:t xml:space="preserve"> Total State spending on utility subsidies declined between 2013-14 and 2016-17. As a </w:t>
            </w:r>
            <w:r w:rsidR="00235CBA" w:rsidRPr="00F06B9C">
              <w:rPr>
                <w:rFonts w:ascii="Calibri" w:eastAsia="Times New Roman" w:hAnsi="Calibri" w:cs="Arial"/>
                <w:sz w:val="20"/>
                <w:szCs w:val="20"/>
                <w:lang w:eastAsia="en-AU"/>
              </w:rPr>
              <w:t>result</w:t>
            </w:r>
            <w:r w:rsidR="0014143B">
              <w:rPr>
                <w:rFonts w:ascii="Calibri" w:eastAsia="Times New Roman" w:hAnsi="Calibri" w:cs="Arial"/>
                <w:sz w:val="20"/>
                <w:szCs w:val="20"/>
                <w:lang w:eastAsia="en-AU"/>
              </w:rPr>
              <w:t>,</w:t>
            </w:r>
            <w:r w:rsidR="00235CBA" w:rsidRPr="00F06B9C">
              <w:rPr>
                <w:rFonts w:ascii="Calibri" w:eastAsia="Times New Roman" w:hAnsi="Calibri" w:cs="Arial"/>
                <w:sz w:val="20"/>
                <w:szCs w:val="20"/>
                <w:lang w:eastAsia="en-AU"/>
              </w:rPr>
              <w:t xml:space="preserve"> States</w:t>
            </w:r>
            <w:r w:rsidRPr="00F06B9C">
              <w:rPr>
                <w:rFonts w:ascii="Calibri" w:eastAsia="Times New Roman" w:hAnsi="Calibri" w:cs="Arial"/>
                <w:sz w:val="20"/>
                <w:szCs w:val="20"/>
                <w:lang w:eastAsia="en-AU"/>
              </w:rPr>
              <w:t xml:space="preserve"> with a relatively high proportion of their population living in small remote communities, including the Northern Territory, were assessed as needing to spend less on utility subsidies. </w:t>
            </w:r>
          </w:p>
        </w:tc>
      </w:tr>
      <w:tr w:rsidR="00F06B9C" w:rsidRPr="00F06B9C" w:rsidTr="006B479C">
        <w:trPr>
          <w:trHeight w:val="488"/>
        </w:trPr>
        <w:tc>
          <w:tcPr>
            <w:tcW w:w="687"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-24</w:t>
            </w:r>
          </w:p>
        </w:tc>
        <w:tc>
          <w:tcPr>
            <w:tcW w:w="283" w:type="dxa"/>
            <w:tcBorders>
              <w:top w:val="nil"/>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p>
        </w:tc>
        <w:tc>
          <w:tcPr>
            <w:tcW w:w="8967" w:type="dxa"/>
            <w:tcBorders>
              <w:top w:val="nil"/>
              <w:left w:val="nil"/>
              <w:bottom w:val="single" w:sz="4" w:space="0" w:color="auto"/>
              <w:right w:val="nil"/>
            </w:tcBorders>
            <w:shd w:val="clear" w:color="auto" w:fill="auto"/>
            <w:hideMark/>
          </w:tcPr>
          <w:p w:rsidR="00F06B9C" w:rsidRPr="00F06B9C" w:rsidRDefault="00F06B9C" w:rsidP="001B11CE">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Natural disaster relief.</w:t>
            </w:r>
            <w:r w:rsidRPr="00F06B9C">
              <w:rPr>
                <w:rFonts w:ascii="Calibri" w:eastAsia="Times New Roman" w:hAnsi="Calibri" w:cs="Arial"/>
                <w:sz w:val="20"/>
                <w:szCs w:val="20"/>
                <w:lang w:eastAsia="en-AU"/>
              </w:rPr>
              <w:t xml:space="preserve"> The Northern Territory revised up</w:t>
            </w:r>
            <w:r w:rsidR="00715A84">
              <w:rPr>
                <w:rFonts w:ascii="Calibri" w:eastAsia="Times New Roman" w:hAnsi="Calibri" w:cs="Arial"/>
                <w:sz w:val="20"/>
                <w:szCs w:val="20"/>
                <w:lang w:eastAsia="en-AU"/>
              </w:rPr>
              <w:t>wards</w:t>
            </w:r>
            <w:r w:rsidRPr="00F06B9C">
              <w:rPr>
                <w:rFonts w:ascii="Calibri" w:eastAsia="Times New Roman" w:hAnsi="Calibri" w:cs="Arial"/>
                <w:sz w:val="20"/>
                <w:szCs w:val="20"/>
                <w:lang w:eastAsia="en-AU"/>
              </w:rPr>
              <w:t xml:space="preserve"> 2014-15 and 2015-16 </w:t>
            </w:r>
            <w:proofErr w:type="spellStart"/>
            <w:r w:rsidRPr="00F06B9C">
              <w:rPr>
                <w:rFonts w:ascii="Calibri" w:eastAsia="Times New Roman" w:hAnsi="Calibri" w:cs="Arial"/>
                <w:sz w:val="20"/>
                <w:szCs w:val="20"/>
                <w:lang w:eastAsia="en-AU"/>
              </w:rPr>
              <w:t>NDRRA</w:t>
            </w:r>
            <w:proofErr w:type="spellEnd"/>
            <w:r w:rsidRPr="00F06B9C">
              <w:rPr>
                <w:rFonts w:ascii="Calibri" w:eastAsia="Times New Roman" w:hAnsi="Calibri" w:cs="Arial"/>
                <w:sz w:val="20"/>
                <w:szCs w:val="20"/>
                <w:lang w:eastAsia="en-AU"/>
              </w:rPr>
              <w:t xml:space="preserve"> revenue from the Commonwealth resulting in a decline in its net expenses. This </w:t>
            </w:r>
            <w:r w:rsidR="001B11CE">
              <w:rPr>
                <w:rFonts w:ascii="Calibri" w:eastAsia="Times New Roman" w:hAnsi="Calibri" w:cs="Arial"/>
                <w:sz w:val="20"/>
                <w:szCs w:val="20"/>
                <w:lang w:eastAsia="en-AU"/>
              </w:rPr>
              <w:t xml:space="preserve">reduced </w:t>
            </w:r>
            <w:r w:rsidRPr="00F06B9C">
              <w:rPr>
                <w:rFonts w:ascii="Calibri" w:eastAsia="Times New Roman" w:hAnsi="Calibri" w:cs="Arial"/>
                <w:sz w:val="20"/>
                <w:szCs w:val="20"/>
                <w:lang w:eastAsia="en-AU"/>
              </w:rPr>
              <w:t>its GST share.</w:t>
            </w:r>
          </w:p>
        </w:tc>
      </w:tr>
      <w:tr w:rsidR="00F06B9C" w:rsidRPr="00F06B9C" w:rsidTr="006B479C">
        <w:trPr>
          <w:trHeight w:val="488"/>
        </w:trPr>
        <w:tc>
          <w:tcPr>
            <w:tcW w:w="687" w:type="dxa"/>
            <w:tcBorders>
              <w:top w:val="single" w:sz="4" w:space="0" w:color="auto"/>
              <w:left w:val="nil"/>
              <w:bottom w:val="single" w:sz="4" w:space="0" w:color="auto"/>
              <w:right w:val="nil"/>
            </w:tcBorders>
            <w:shd w:val="clear" w:color="auto" w:fill="auto"/>
            <w:noWrap/>
            <w:hideMark/>
          </w:tcPr>
          <w:p w:rsidR="00F06B9C" w:rsidRPr="00F06B9C" w:rsidRDefault="008F0BE5" w:rsidP="00F06B9C">
            <w:pPr>
              <w:tabs>
                <w:tab w:val="clear" w:pos="567"/>
              </w:tabs>
              <w:spacing w:after="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0</w:t>
            </w:r>
          </w:p>
        </w:tc>
        <w:tc>
          <w:tcPr>
            <w:tcW w:w="283" w:type="dxa"/>
            <w:tcBorders>
              <w:top w:val="single" w:sz="4" w:space="0" w:color="auto"/>
              <w:left w:val="nil"/>
              <w:bottom w:val="single" w:sz="4" w:space="0" w:color="auto"/>
              <w:right w:val="nil"/>
            </w:tcBorders>
            <w:shd w:val="clear" w:color="auto" w:fill="auto"/>
            <w:noWrap/>
            <w:hideMark/>
          </w:tcPr>
          <w:p w:rsidR="00F06B9C" w:rsidRPr="00F06B9C" w:rsidRDefault="00F06B9C" w:rsidP="00F06B9C">
            <w:pPr>
              <w:tabs>
                <w:tab w:val="clear" w:pos="567"/>
              </w:tabs>
              <w:spacing w:after="0" w:line="240" w:lineRule="auto"/>
              <w:jc w:val="right"/>
              <w:rPr>
                <w:rFonts w:ascii="Calibri" w:eastAsia="Times New Roman" w:hAnsi="Calibri" w:cs="Arial"/>
                <w:sz w:val="20"/>
                <w:szCs w:val="20"/>
                <w:lang w:eastAsia="en-AU"/>
              </w:rPr>
            </w:pPr>
            <w:r w:rsidRPr="00F06B9C">
              <w:rPr>
                <w:rFonts w:ascii="Calibri" w:eastAsia="Times New Roman" w:hAnsi="Calibri" w:cs="Arial"/>
                <w:sz w:val="20"/>
                <w:szCs w:val="20"/>
                <w:lang w:eastAsia="en-AU"/>
              </w:rPr>
              <w:t> </w:t>
            </w:r>
          </w:p>
        </w:tc>
        <w:tc>
          <w:tcPr>
            <w:tcW w:w="8967" w:type="dxa"/>
            <w:tcBorders>
              <w:top w:val="single" w:sz="4" w:space="0" w:color="auto"/>
              <w:left w:val="nil"/>
              <w:bottom w:val="single" w:sz="4" w:space="0" w:color="auto"/>
              <w:right w:val="nil"/>
            </w:tcBorders>
            <w:shd w:val="clear" w:color="auto" w:fill="auto"/>
            <w:hideMark/>
          </w:tcPr>
          <w:p w:rsidR="00F06B9C" w:rsidRPr="00F06B9C" w:rsidRDefault="00F06B9C" w:rsidP="00F06B9C">
            <w:pPr>
              <w:tabs>
                <w:tab w:val="clear" w:pos="567"/>
              </w:tabs>
              <w:spacing w:after="0" w:line="240" w:lineRule="auto"/>
              <w:rPr>
                <w:rFonts w:ascii="Calibri" w:eastAsia="Times New Roman" w:hAnsi="Calibri" w:cs="Arial"/>
                <w:sz w:val="20"/>
                <w:szCs w:val="20"/>
                <w:lang w:eastAsia="en-AU"/>
              </w:rPr>
            </w:pPr>
            <w:r w:rsidRPr="00F06B9C">
              <w:rPr>
                <w:rFonts w:ascii="Calibri" w:eastAsia="Times New Roman" w:hAnsi="Calibri" w:cs="Arial"/>
                <w:b/>
                <w:sz w:val="20"/>
                <w:szCs w:val="20"/>
                <w:lang w:eastAsia="en-AU"/>
              </w:rPr>
              <w:t>New Census data</w:t>
            </w:r>
            <w:r w:rsidRPr="00E153D5">
              <w:rPr>
                <w:rFonts w:ascii="Calibri" w:eastAsia="Times New Roman" w:hAnsi="Calibri" w:cs="Arial"/>
                <w:b/>
                <w:sz w:val="20"/>
                <w:szCs w:val="20"/>
                <w:lang w:eastAsia="en-AU"/>
              </w:rPr>
              <w:t>.</w:t>
            </w:r>
            <w:r w:rsidRPr="00E153D5">
              <w:rPr>
                <w:rFonts w:ascii="Calibri" w:eastAsia="Times New Roman" w:hAnsi="Calibri" w:cs="Arial"/>
                <w:sz w:val="20"/>
                <w:szCs w:val="20"/>
                <w:lang w:eastAsia="en-AU"/>
              </w:rPr>
              <w:t xml:space="preserve"> </w:t>
            </w:r>
            <w:r w:rsidR="00EE7808" w:rsidRPr="00E153D5">
              <w:rPr>
                <w:rFonts w:ascii="Calibri" w:eastAsia="Times New Roman" w:hAnsi="Calibri" w:cs="Arial"/>
                <w:sz w:val="20"/>
                <w:szCs w:val="20"/>
                <w:lang w:eastAsia="en-AU"/>
              </w:rPr>
              <w:t>The 2016 Census found the Northern Territory's non-Indigenous population to be less disadvantaged than it had been in 2011. This was offset by an increase in the public housing use rate by Indigenous people in remote areas.</w:t>
            </w:r>
          </w:p>
        </w:tc>
      </w:tr>
    </w:tbl>
    <w:p w:rsidR="00A4269B" w:rsidRPr="002A48E0" w:rsidRDefault="00A4269B" w:rsidP="002E6415">
      <w:pPr>
        <w:sectPr w:rsidR="00A4269B" w:rsidRPr="002A48E0" w:rsidSect="005C67C8">
          <w:type w:val="continuous"/>
          <w:pgSz w:w="11899" w:h="16838" w:code="9"/>
          <w:pgMar w:top="1440" w:right="1080" w:bottom="1440" w:left="1080" w:header="709" w:footer="709" w:gutter="0"/>
          <w:cols w:space="1"/>
          <w:titlePg/>
          <w:docGrid w:linePitch="326"/>
        </w:sectPr>
      </w:pPr>
    </w:p>
    <w:p w:rsidR="002E6415" w:rsidRPr="002A48E0" w:rsidRDefault="002E6415" w:rsidP="002E6415">
      <w:pPr>
        <w:spacing w:before="240"/>
      </w:pPr>
      <w:proofErr w:type="gramStart"/>
      <w:r w:rsidRPr="002A48E0">
        <w:rPr>
          <w:rStyle w:val="Heading6Char"/>
        </w:rPr>
        <w:lastRenderedPageBreak/>
        <w:t>Fiscal capacity.</w:t>
      </w:r>
      <w:proofErr w:type="gramEnd"/>
      <w:r w:rsidRPr="002A48E0">
        <w:t xml:space="preserve"> The Northern Territory’s below average fiscal capacity is primarily due to its above average assessed expenses</w:t>
      </w:r>
      <w:r w:rsidR="002F4A00">
        <w:t>.</w:t>
      </w:r>
      <w:r w:rsidRPr="002A48E0">
        <w:t xml:space="preserve"> </w:t>
      </w:r>
      <w:r w:rsidR="002F4A00">
        <w:t>I</w:t>
      </w:r>
      <w:r w:rsidRPr="002A48E0">
        <w:t>t</w:t>
      </w:r>
      <w:r w:rsidR="002F4A00">
        <w:t xml:space="preserve"> ha</w:t>
      </w:r>
      <w:r w:rsidRPr="002A48E0">
        <w:t xml:space="preserve">s above average shares of a range of high cost population groups, including exceptionally high proportions of Indigenous people and people in remote areas. </w:t>
      </w:r>
    </w:p>
    <w:p w:rsidR="002E6415" w:rsidRPr="002A48E0" w:rsidRDefault="002E6415" w:rsidP="002E6415">
      <w:pPr>
        <w:rPr>
          <w:szCs w:val="24"/>
        </w:rPr>
      </w:pPr>
      <w:r w:rsidRPr="002A48E0">
        <w:t xml:space="preserve">The Northern Territory has below average revenue raising capacity for </w:t>
      </w:r>
      <w:r w:rsidR="002F4A00">
        <w:t xml:space="preserve">most </w:t>
      </w:r>
      <w:r w:rsidRPr="002A48E0">
        <w:t xml:space="preserve">revenue streams. Its above average need for assistance is partially met through </w:t>
      </w:r>
      <w:r w:rsidR="00B36077">
        <w:t xml:space="preserve">an </w:t>
      </w:r>
      <w:r w:rsidRPr="002A48E0">
        <w:t xml:space="preserve">above average </w:t>
      </w:r>
      <w:r w:rsidR="00B36077">
        <w:t xml:space="preserve">share of </w:t>
      </w:r>
      <w:r w:rsidRPr="002A48E0">
        <w:t>Commonwealth payments.</w:t>
      </w:r>
    </w:p>
    <w:p w:rsidR="002E6415" w:rsidRDefault="002E6415" w:rsidP="002E6415">
      <w:pPr>
        <w:pStyle w:val="CGCTableHeading"/>
        <w:spacing w:after="80" w:line="320" w:lineRule="atLeast"/>
      </w:pPr>
      <w:r w:rsidRPr="002A48E0">
        <w:rPr>
          <w:szCs w:val="24"/>
        </w:rPr>
        <w:br w:type="column"/>
      </w:r>
      <w:r w:rsidRPr="002A48E0">
        <w:lastRenderedPageBreak/>
        <w:t xml:space="preserve">Table </w:t>
      </w:r>
      <w:r w:rsidR="00CD68E8">
        <w:fldChar w:fldCharType="begin"/>
      </w:r>
      <w:r w:rsidR="00CD68E8">
        <w:instrText xml:space="preserve"> SEQ Table \* ARABIC </w:instrText>
      </w:r>
      <w:r w:rsidR="00CD68E8">
        <w:fldChar w:fldCharType="separate"/>
      </w:r>
      <w:r w:rsidR="000A6746">
        <w:rPr>
          <w:noProof/>
        </w:rPr>
        <w:t>28</w:t>
      </w:r>
      <w:r w:rsidR="00CD68E8">
        <w:rPr>
          <w:noProof/>
        </w:rPr>
        <w:fldChar w:fldCharType="end"/>
      </w:r>
      <w:r w:rsidRPr="002A48E0">
        <w:tab/>
        <w:t>Assessed GST, 201</w:t>
      </w:r>
      <w:r w:rsidR="00EC2577">
        <w:t>8</w:t>
      </w:r>
      <w:r w:rsidR="00260A18">
        <w:noBreakHyphen/>
      </w:r>
      <w:r w:rsidRPr="002A48E0">
        <w:t>1</w:t>
      </w:r>
      <w:r w:rsidR="00EC2577">
        <w:t>9</w:t>
      </w:r>
    </w:p>
    <w:tbl>
      <w:tblPr>
        <w:tblW w:w="4360" w:type="dxa"/>
        <w:tblInd w:w="93" w:type="dxa"/>
        <w:tblLook w:val="04A0" w:firstRow="1" w:lastRow="0" w:firstColumn="1" w:lastColumn="0" w:noHBand="0" w:noVBand="1"/>
      </w:tblPr>
      <w:tblGrid>
        <w:gridCol w:w="2780"/>
        <w:gridCol w:w="760"/>
        <w:gridCol w:w="820"/>
      </w:tblGrid>
      <w:tr w:rsidR="006B05C0" w:rsidRPr="006B05C0" w:rsidTr="006B05C0">
        <w:trPr>
          <w:trHeight w:val="258"/>
        </w:trPr>
        <w:tc>
          <w:tcPr>
            <w:tcW w:w="278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$m</w:t>
            </w:r>
          </w:p>
        </w:tc>
        <w:tc>
          <w:tcPr>
            <w:tcW w:w="820" w:type="dxa"/>
            <w:tcBorders>
              <w:top w:val="single" w:sz="4" w:space="0" w:color="auto"/>
              <w:left w:val="nil"/>
              <w:bottom w:val="single" w:sz="4" w:space="0" w:color="auto"/>
              <w:right w:val="nil"/>
            </w:tcBorders>
            <w:shd w:val="clear" w:color="auto" w:fill="auto"/>
            <w:noWrap/>
            <w:vAlign w:val="center"/>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$pc</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Equal per capita share</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646</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2 622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Effect of assessed:</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 xml:space="preserve"> </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Expenses</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2 657</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10 784</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Investment</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-165</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-671</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Net borrowing</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11</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45</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Revenue</w:t>
            </w:r>
          </w:p>
        </w:tc>
        <w:tc>
          <w:tcPr>
            <w:tcW w:w="76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40</w:t>
            </w:r>
          </w:p>
        </w:tc>
        <w:tc>
          <w:tcPr>
            <w:tcW w:w="82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162</w:t>
            </w:r>
          </w:p>
        </w:tc>
      </w:tr>
      <w:tr w:rsidR="006B05C0" w:rsidRPr="006B05C0" w:rsidTr="006B05C0">
        <w:trPr>
          <w:trHeight w:val="315"/>
        </w:trPr>
        <w:tc>
          <w:tcPr>
            <w:tcW w:w="2780" w:type="dxa"/>
            <w:tcBorders>
              <w:top w:val="nil"/>
              <w:left w:val="nil"/>
              <w:bottom w:val="nil"/>
              <w:right w:val="nil"/>
            </w:tcBorders>
            <w:shd w:val="clear" w:color="auto" w:fill="auto"/>
            <w:noWrap/>
            <w:vAlign w:val="bottom"/>
            <w:hideMark/>
          </w:tcPr>
          <w:p w:rsidR="006B05C0" w:rsidRPr="006B05C0" w:rsidRDefault="006B05C0" w:rsidP="006B05C0">
            <w:pPr>
              <w:tabs>
                <w:tab w:val="clear" w:pos="567"/>
              </w:tabs>
              <w:spacing w:after="0" w:line="240" w:lineRule="auto"/>
              <w:ind w:firstLineChars="100" w:firstLine="200"/>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Commonwealth payments</w:t>
            </w:r>
          </w:p>
        </w:tc>
        <w:tc>
          <w:tcPr>
            <w:tcW w:w="7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-434</w:t>
            </w:r>
          </w:p>
        </w:tc>
        <w:tc>
          <w:tcPr>
            <w:tcW w:w="82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-1 761</w:t>
            </w:r>
          </w:p>
        </w:tc>
      </w:tr>
      <w:tr w:rsidR="006B05C0" w:rsidRPr="006B05C0" w:rsidTr="006B05C0">
        <w:trPr>
          <w:trHeight w:val="315"/>
        </w:trPr>
        <w:tc>
          <w:tcPr>
            <w:tcW w:w="278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Assessed GST</w:t>
            </w:r>
          </w:p>
        </w:tc>
        <w:tc>
          <w:tcPr>
            <w:tcW w:w="76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2 755</w:t>
            </w:r>
          </w:p>
        </w:tc>
        <w:tc>
          <w:tcPr>
            <w:tcW w:w="820" w:type="dxa"/>
            <w:tcBorders>
              <w:top w:val="nil"/>
              <w:left w:val="nil"/>
              <w:bottom w:val="single" w:sz="4" w:space="0" w:color="auto"/>
              <w:right w:val="nil"/>
            </w:tcBorders>
            <w:shd w:val="clear" w:color="auto" w:fill="auto"/>
            <w:noWrap/>
            <w:vAlign w:val="bottom"/>
            <w:hideMark/>
          </w:tcPr>
          <w:p w:rsidR="006B05C0" w:rsidRPr="006B05C0" w:rsidRDefault="006B05C0" w:rsidP="006B05C0">
            <w:pPr>
              <w:tabs>
                <w:tab w:val="clear" w:pos="567"/>
              </w:tabs>
              <w:spacing w:after="0" w:line="240" w:lineRule="auto"/>
              <w:jc w:val="right"/>
              <w:rPr>
                <w:rFonts w:ascii="Calibri" w:eastAsia="Times New Roman" w:hAnsi="Calibri" w:cs="Times New Roman"/>
                <w:sz w:val="20"/>
                <w:szCs w:val="20"/>
                <w:lang w:eastAsia="en-AU"/>
              </w:rPr>
            </w:pPr>
            <w:r w:rsidRPr="006B05C0">
              <w:rPr>
                <w:rFonts w:ascii="Calibri" w:eastAsia="Times New Roman" w:hAnsi="Calibri" w:cs="Times New Roman"/>
                <w:sz w:val="20"/>
                <w:szCs w:val="20"/>
                <w:lang w:eastAsia="en-AU"/>
              </w:rPr>
              <w:t>11 181</w:t>
            </w:r>
          </w:p>
        </w:tc>
      </w:tr>
    </w:tbl>
    <w:p w:rsidR="002E6415" w:rsidRPr="002A48E0" w:rsidRDefault="002E6415" w:rsidP="002E6415">
      <w:pPr>
        <w:pStyle w:val="CGCTableFootnote"/>
        <w:sectPr w:rsidR="002E6415" w:rsidRPr="002A48E0" w:rsidSect="005C67C8">
          <w:type w:val="continuous"/>
          <w:pgSz w:w="11899" w:h="16838" w:code="9"/>
          <w:pgMar w:top="1440" w:right="1080" w:bottom="1440" w:left="1080" w:header="709" w:footer="709" w:gutter="0"/>
          <w:cols w:num="2" w:space="157" w:equalWidth="0">
            <w:col w:w="5500" w:space="157"/>
            <w:col w:w="4082"/>
          </w:cols>
          <w:titlePg/>
          <w:docGrid w:linePitch="326"/>
        </w:sectPr>
      </w:pPr>
      <w:r w:rsidRPr="002A48E0">
        <w:t>Note: Table may not add due to rounding.</w:t>
      </w:r>
    </w:p>
    <w:p w:rsidR="002E6415" w:rsidRPr="002A48E0" w:rsidRDefault="002E6415" w:rsidP="002E6415">
      <w:pPr>
        <w:tabs>
          <w:tab w:val="clear" w:pos="567"/>
        </w:tabs>
        <w:spacing w:after="40" w:line="240" w:lineRule="auto"/>
        <w:rPr>
          <w:rFonts w:cs="Arial"/>
          <w:b/>
          <w:color w:val="0000FF"/>
        </w:rPr>
        <w:sectPr w:rsidR="002E6415" w:rsidRPr="002A48E0" w:rsidSect="005C67C8">
          <w:footerReference w:type="default" r:id="rId42"/>
          <w:type w:val="continuous"/>
          <w:pgSz w:w="11899" w:h="16838" w:code="9"/>
          <w:pgMar w:top="1701" w:right="1474" w:bottom="1701" w:left="1474" w:header="709" w:footer="709" w:gutter="0"/>
          <w:cols w:space="708"/>
          <w:docGrid w:linePitch="299"/>
        </w:sectPr>
      </w:pPr>
    </w:p>
    <w:p w:rsidR="00565071" w:rsidRPr="002A48E0" w:rsidRDefault="00565071" w:rsidP="00565071">
      <w:pPr>
        <w:pStyle w:val="Heading1"/>
      </w:pPr>
      <w:bookmarkStart w:id="359" w:name="_Ref504568521"/>
      <w:r w:rsidRPr="002A48E0">
        <w:lastRenderedPageBreak/>
        <w:t>Chapter 1</w:t>
      </w:r>
      <w:bookmarkEnd w:id="275"/>
      <w:bookmarkEnd w:id="276"/>
      <w:bookmarkEnd w:id="359"/>
    </w:p>
    <w:p w:rsidR="00565071" w:rsidRPr="002A48E0" w:rsidRDefault="00565071" w:rsidP="00565071">
      <w:pPr>
        <w:pStyle w:val="Heading2"/>
      </w:pPr>
      <w:bookmarkStart w:id="360" w:name="_Ref473625499"/>
      <w:bookmarkStart w:id="361" w:name="_Toc474923752"/>
      <w:bookmarkStart w:id="362" w:name="_Toc505872177"/>
      <w:r w:rsidRPr="002A48E0">
        <w:t>Changes in the GST distribution</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360"/>
      <w:bookmarkEnd w:id="361"/>
      <w:bookmarkEnd w:id="362"/>
    </w:p>
    <w:p w:rsidR="007F7654" w:rsidRPr="002A48E0" w:rsidRDefault="00565071" w:rsidP="007F7654">
      <w:pPr>
        <w:pStyle w:val="11para"/>
      </w:pPr>
      <w:r w:rsidRPr="002A48E0">
        <w:t>This chapter explains why the GST distribution in t</w:t>
      </w:r>
      <w:r>
        <w:t>his update differs from the 2017</w:t>
      </w:r>
      <w:r w:rsidRPr="002A48E0">
        <w:t> Update distribution.</w:t>
      </w:r>
    </w:p>
    <w:p w:rsidR="00565071" w:rsidRPr="002A48E0" w:rsidRDefault="003624F4" w:rsidP="00565071">
      <w:pPr>
        <w:pStyle w:val="Heading3"/>
      </w:pPr>
      <w:bookmarkStart w:id="363" w:name="_Toc430166134"/>
      <w:bookmarkStart w:id="364" w:name="_Toc433353486"/>
      <w:bookmarkStart w:id="365" w:name="_Toc441241590"/>
      <w:bookmarkStart w:id="366" w:name="_Toc441499260"/>
      <w:bookmarkStart w:id="367" w:name="_Toc441656027"/>
      <w:bookmarkStart w:id="368" w:name="_Toc442191916"/>
      <w:bookmarkStart w:id="369" w:name="_Toc442192170"/>
      <w:bookmarkStart w:id="370" w:name="_Toc442192235"/>
      <w:bookmarkStart w:id="371" w:name="_Toc442772819"/>
      <w:bookmarkStart w:id="372" w:name="_Toc442773048"/>
      <w:bookmarkStart w:id="373" w:name="_Toc442773218"/>
      <w:bookmarkStart w:id="374" w:name="_Toc442773564"/>
      <w:bookmarkStart w:id="375" w:name="_Toc442883285"/>
      <w:bookmarkStart w:id="376" w:name="_Toc474923753"/>
      <w:bookmarkStart w:id="377" w:name="_Toc505872178"/>
      <w:r>
        <w:t>Movements in</w:t>
      </w:r>
      <w:r w:rsidR="00565071" w:rsidRPr="002A48E0">
        <w:t xml:space="preserve"> the </w:t>
      </w:r>
      <w:r w:rsidR="002A4D57">
        <w:t>GST</w:t>
      </w:r>
      <w:r w:rsidR="00565071" w:rsidRPr="002A48E0">
        <w:t xml:space="preserve"> distribution</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bookmarkStart w:id="378" w:name="_Toc433353487"/>
    <w:bookmarkStart w:id="379" w:name="_Toc441241591"/>
    <w:bookmarkStart w:id="380" w:name="_Toc441499261"/>
    <w:bookmarkStart w:id="381" w:name="_Toc442191917"/>
    <w:bookmarkStart w:id="382" w:name="_Toc442192171"/>
    <w:bookmarkStart w:id="383" w:name="_Toc442192236"/>
    <w:bookmarkStart w:id="384" w:name="_Toc442772820"/>
    <w:bookmarkStart w:id="385" w:name="_Toc442773049"/>
    <w:bookmarkStart w:id="386" w:name="_Toc442773219"/>
    <w:bookmarkStart w:id="387" w:name="_Toc442883286"/>
    <w:bookmarkStart w:id="388" w:name="_Toc474923754"/>
    <w:p w:rsidR="00A15A88" w:rsidRPr="002A48E0" w:rsidRDefault="008D14AB" w:rsidP="007F7654">
      <w:pPr>
        <w:pStyle w:val="11para"/>
      </w:pPr>
      <w:r>
        <w:fldChar w:fldCharType="begin"/>
      </w:r>
      <w:r>
        <w:instrText xml:space="preserve"> REF _Ref503880166 \h </w:instrText>
      </w:r>
      <w:r w:rsidR="007F7654">
        <w:instrText xml:space="preserve"> \* MERGEFORMAT </w:instrText>
      </w:r>
      <w:r>
        <w:fldChar w:fldCharType="separate"/>
      </w:r>
      <w:r w:rsidR="000A6746">
        <w:t>Table 1</w:t>
      </w:r>
      <w:r w:rsidR="000A6746">
        <w:noBreakHyphen/>
        <w:t>1</w:t>
      </w:r>
      <w:r>
        <w:fldChar w:fldCharType="end"/>
      </w:r>
      <w:r>
        <w:t xml:space="preserve"> </w:t>
      </w:r>
      <w:r w:rsidR="00A15A88" w:rsidRPr="002A48E0">
        <w:t>shows the differences between the estimated GST distribution for 201</w:t>
      </w:r>
      <w:r w:rsidR="00A15A88">
        <w:t>7</w:t>
      </w:r>
      <w:r w:rsidR="00A15A88">
        <w:noBreakHyphen/>
      </w:r>
      <w:r w:rsidR="00A15A88" w:rsidRPr="002A48E0">
        <w:t>1</w:t>
      </w:r>
      <w:r w:rsidR="00A15A88">
        <w:t>8</w:t>
      </w:r>
      <w:r w:rsidR="00A15A88" w:rsidRPr="002A48E0">
        <w:t xml:space="preserve"> and the ill</w:t>
      </w:r>
      <w:r w:rsidR="00A15A88">
        <w:t>ustrative distribution for 2018</w:t>
      </w:r>
      <w:r w:rsidR="00A15A88">
        <w:noBreakHyphen/>
      </w:r>
      <w:r w:rsidR="00A15A88" w:rsidRPr="002A48E0">
        <w:t>1</w:t>
      </w:r>
      <w:r w:rsidR="00A15A88">
        <w:t>9</w:t>
      </w:r>
      <w:r w:rsidR="00A15A88" w:rsidRPr="002A48E0">
        <w:t>.</w:t>
      </w:r>
    </w:p>
    <w:p w:rsidR="00EE206E" w:rsidRDefault="00A15A88" w:rsidP="00EE206E">
      <w:pPr>
        <w:pStyle w:val="Caption"/>
      </w:pPr>
      <w:bookmarkStart w:id="389" w:name="_Ref503880166"/>
      <w:r>
        <w:t>Table 1</w:t>
      </w:r>
      <w:r w:rsidR="00642E50">
        <w:noBreakHyphen/>
      </w:r>
      <w:r w:rsidR="00CD68E8">
        <w:fldChar w:fldCharType="begin"/>
      </w:r>
      <w:r w:rsidR="00CD68E8">
        <w:instrText xml:space="preserve"> SEQ Table \* ARABIC \s 1 </w:instrText>
      </w:r>
      <w:r w:rsidR="00CD68E8">
        <w:fldChar w:fldCharType="separate"/>
      </w:r>
      <w:r w:rsidR="000A6746">
        <w:rPr>
          <w:noProof/>
        </w:rPr>
        <w:t>1</w:t>
      </w:r>
      <w:r w:rsidR="00CD68E8">
        <w:rPr>
          <w:noProof/>
        </w:rPr>
        <w:fldChar w:fldCharType="end"/>
      </w:r>
      <w:bookmarkEnd w:id="389"/>
      <w:r>
        <w:tab/>
        <w:t>Distribution of the 2017</w:t>
      </w:r>
      <w:r>
        <w:noBreakHyphen/>
        <w:t>18 GST and the illustrative 2018</w:t>
      </w:r>
      <w:r>
        <w:noBreakHyphen/>
        <w:t>19 GST distribution</w:t>
      </w:r>
    </w:p>
    <w:tbl>
      <w:tblPr>
        <w:tblW w:w="9120" w:type="dxa"/>
        <w:tblInd w:w="93" w:type="dxa"/>
        <w:tblLook w:val="04A0" w:firstRow="1" w:lastRow="0" w:firstColumn="1" w:lastColumn="0" w:noHBand="0" w:noVBand="1"/>
      </w:tblPr>
      <w:tblGrid>
        <w:gridCol w:w="2240"/>
        <w:gridCol w:w="820"/>
        <w:gridCol w:w="820"/>
        <w:gridCol w:w="820"/>
        <w:gridCol w:w="720"/>
        <w:gridCol w:w="720"/>
        <w:gridCol w:w="720"/>
        <w:gridCol w:w="720"/>
        <w:gridCol w:w="720"/>
        <w:gridCol w:w="820"/>
      </w:tblGrid>
      <w:tr w:rsidR="00C77201" w:rsidRPr="004E75FE" w:rsidTr="00CD6EC6">
        <w:trPr>
          <w:trHeight w:val="378"/>
        </w:trPr>
        <w:tc>
          <w:tcPr>
            <w:tcW w:w="224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roofErr w:type="spellStart"/>
            <w:r w:rsidRPr="004E75FE">
              <w:rPr>
                <w:rFonts w:ascii="Calibri" w:eastAsia="Times New Roman" w:hAnsi="Calibri" w:cs="Times New Roman"/>
                <w:sz w:val="20"/>
                <w:szCs w:val="20"/>
                <w:lang w:eastAsia="en-AU"/>
              </w:rPr>
              <w:t>Tas</w:t>
            </w:r>
            <w:proofErr w:type="spellEnd"/>
          </w:p>
        </w:tc>
        <w:tc>
          <w:tcPr>
            <w:tcW w:w="7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ACT</w:t>
            </w:r>
          </w:p>
        </w:tc>
        <w:tc>
          <w:tcPr>
            <w:tcW w:w="7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Total</w:t>
            </w:r>
          </w:p>
        </w:tc>
      </w:tr>
      <w:tr w:rsidR="00C77201" w:rsidRPr="004E75FE" w:rsidTr="00CD6EC6">
        <w:trPr>
          <w:trHeight w:val="258"/>
        </w:trPr>
        <w:tc>
          <w:tcPr>
            <w:tcW w:w="224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$m</w:t>
            </w:r>
          </w:p>
        </w:tc>
      </w:tr>
      <w:tr w:rsidR="00C77201" w:rsidRPr="004E75FE" w:rsidTr="00CD6EC6">
        <w:trPr>
          <w:trHeight w:val="315"/>
        </w:trPr>
        <w:tc>
          <w:tcPr>
            <w:tcW w:w="224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Estimated 2017-18</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17 511</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14 989</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14 848</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2 255</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6 284</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2 378</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1 244</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2 891</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62 400</w:t>
            </w:r>
          </w:p>
        </w:tc>
      </w:tr>
      <w:tr w:rsidR="00C77201" w:rsidRPr="004E75FE" w:rsidTr="00CD6EC6">
        <w:trPr>
          <w:trHeight w:val="315"/>
        </w:trPr>
        <w:tc>
          <w:tcPr>
            <w:tcW w:w="224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Illustrative 2018-19 (a)</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18 030</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16 830</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14 447</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3 255</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6 751</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2 434</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1 298</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2 755</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65 800</w:t>
            </w:r>
          </w:p>
        </w:tc>
      </w:tr>
      <w:tr w:rsidR="00C77201" w:rsidRPr="004E75FE" w:rsidTr="00CD6EC6">
        <w:trPr>
          <w:trHeight w:val="315"/>
        </w:trPr>
        <w:tc>
          <w:tcPr>
            <w:tcW w:w="224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Change</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520</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1 841</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-401</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xml:space="preserve"> 999</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467</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56</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53</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-136</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3 400</w:t>
            </w:r>
          </w:p>
        </w:tc>
      </w:tr>
      <w:tr w:rsidR="00C77201" w:rsidRPr="004E75FE" w:rsidTr="00CD6EC6">
        <w:trPr>
          <w:trHeight w:val="315"/>
        </w:trPr>
        <w:tc>
          <w:tcPr>
            <w:tcW w:w="224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p>
        </w:tc>
      </w:tr>
      <w:tr w:rsidR="00C77201" w:rsidRPr="004E75FE" w:rsidTr="00CD6EC6">
        <w:trPr>
          <w:trHeight w:val="315"/>
        </w:trPr>
        <w:tc>
          <w:tcPr>
            <w:tcW w:w="224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ind w:firstLineChars="100" w:firstLine="200"/>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Population (b)</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16</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90</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-44</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-21</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-33</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w:t>
            </w:r>
          </w:p>
        </w:tc>
      </w:tr>
      <w:tr w:rsidR="00C77201" w:rsidRPr="004E75FE" w:rsidTr="00CD6EC6">
        <w:trPr>
          <w:trHeight w:val="315"/>
        </w:trPr>
        <w:tc>
          <w:tcPr>
            <w:tcW w:w="224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ind w:firstLineChars="100" w:firstLine="200"/>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Pool (c)</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955</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822</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809</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122</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340</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128</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68</w:t>
            </w:r>
          </w:p>
        </w:tc>
        <w:tc>
          <w:tcPr>
            <w:tcW w:w="7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156</w:t>
            </w:r>
          </w:p>
        </w:tc>
        <w:tc>
          <w:tcPr>
            <w:tcW w:w="82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3 400</w:t>
            </w:r>
          </w:p>
        </w:tc>
      </w:tr>
      <w:tr w:rsidR="00C77201" w:rsidRPr="004E75FE" w:rsidTr="00CD6EC6">
        <w:trPr>
          <w:trHeight w:val="315"/>
        </w:trPr>
        <w:tc>
          <w:tcPr>
            <w:tcW w:w="224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ind w:firstLineChars="100" w:firstLine="200"/>
              <w:rPr>
                <w:rFonts w:ascii="Calibri" w:eastAsia="Times New Roman" w:hAnsi="Calibri" w:cs="Times New Roman"/>
                <w:i/>
                <w:iCs/>
                <w:sz w:val="20"/>
                <w:szCs w:val="20"/>
                <w:lang w:eastAsia="en-AU"/>
              </w:rPr>
            </w:pPr>
            <w:r w:rsidRPr="004E75FE">
              <w:rPr>
                <w:rFonts w:ascii="Calibri" w:eastAsia="Times New Roman" w:hAnsi="Calibri" w:cs="Times New Roman"/>
                <w:i/>
                <w:iCs/>
                <w:sz w:val="20"/>
                <w:szCs w:val="20"/>
                <w:lang w:eastAsia="en-AU"/>
              </w:rPr>
              <w:t>Fiscal capacities (d)</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-451</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929</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-1 208</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xml:space="preserve"> 885</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172</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-52</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-15</w:t>
            </w:r>
          </w:p>
        </w:tc>
        <w:tc>
          <w:tcPr>
            <w:tcW w:w="7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-260</w:t>
            </w:r>
          </w:p>
        </w:tc>
        <w:tc>
          <w:tcPr>
            <w:tcW w:w="820" w:type="dxa"/>
            <w:tcBorders>
              <w:top w:val="nil"/>
              <w:left w:val="nil"/>
              <w:bottom w:val="nil"/>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0</w:t>
            </w:r>
          </w:p>
        </w:tc>
      </w:tr>
      <w:tr w:rsidR="00C77201" w:rsidRPr="004E75FE" w:rsidTr="00CD6EC6">
        <w:trPr>
          <w:trHeight w:val="315"/>
        </w:trPr>
        <w:tc>
          <w:tcPr>
            <w:tcW w:w="2240" w:type="dxa"/>
            <w:tcBorders>
              <w:top w:val="nil"/>
              <w:left w:val="nil"/>
              <w:bottom w:val="nil"/>
              <w:right w:val="nil"/>
            </w:tcBorders>
            <w:shd w:val="clear" w:color="auto" w:fill="auto"/>
            <w:noWrap/>
            <w:vAlign w:val="bottom"/>
            <w:hideMark/>
          </w:tcPr>
          <w:p w:rsidR="00C77201" w:rsidRPr="004E75FE" w:rsidRDefault="00C77201" w:rsidP="00CD6EC6">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520</w:t>
            </w:r>
          </w:p>
        </w:tc>
        <w:tc>
          <w:tcPr>
            <w:tcW w:w="8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1 841</w:t>
            </w:r>
          </w:p>
        </w:tc>
        <w:tc>
          <w:tcPr>
            <w:tcW w:w="8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-401</w:t>
            </w:r>
          </w:p>
        </w:tc>
        <w:tc>
          <w:tcPr>
            <w:tcW w:w="7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 xml:space="preserve"> 999</w:t>
            </w:r>
          </w:p>
        </w:tc>
        <w:tc>
          <w:tcPr>
            <w:tcW w:w="7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467</w:t>
            </w:r>
          </w:p>
        </w:tc>
        <w:tc>
          <w:tcPr>
            <w:tcW w:w="7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56</w:t>
            </w:r>
          </w:p>
        </w:tc>
        <w:tc>
          <w:tcPr>
            <w:tcW w:w="7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53</w:t>
            </w:r>
          </w:p>
        </w:tc>
        <w:tc>
          <w:tcPr>
            <w:tcW w:w="7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-136</w:t>
            </w:r>
          </w:p>
        </w:tc>
        <w:tc>
          <w:tcPr>
            <w:tcW w:w="820" w:type="dxa"/>
            <w:tcBorders>
              <w:top w:val="single" w:sz="4" w:space="0" w:color="auto"/>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3 400</w:t>
            </w:r>
          </w:p>
        </w:tc>
      </w:tr>
      <w:tr w:rsidR="00C77201" w:rsidRPr="004E75FE" w:rsidTr="00CD6EC6">
        <w:trPr>
          <w:trHeight w:val="315"/>
        </w:trPr>
        <w:tc>
          <w:tcPr>
            <w:tcW w:w="224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65</w:t>
            </w:r>
          </w:p>
        </w:tc>
        <w:tc>
          <w:tcPr>
            <w:tcW w:w="8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283</w:t>
            </w:r>
          </w:p>
        </w:tc>
        <w:tc>
          <w:tcPr>
            <w:tcW w:w="8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-80</w:t>
            </w:r>
          </w:p>
        </w:tc>
        <w:tc>
          <w:tcPr>
            <w:tcW w:w="7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381</w:t>
            </w:r>
          </w:p>
        </w:tc>
        <w:tc>
          <w:tcPr>
            <w:tcW w:w="7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268</w:t>
            </w:r>
          </w:p>
        </w:tc>
        <w:tc>
          <w:tcPr>
            <w:tcW w:w="7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107</w:t>
            </w:r>
          </w:p>
        </w:tc>
        <w:tc>
          <w:tcPr>
            <w:tcW w:w="7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128</w:t>
            </w:r>
          </w:p>
        </w:tc>
        <w:tc>
          <w:tcPr>
            <w:tcW w:w="720" w:type="dxa"/>
            <w:tcBorders>
              <w:top w:val="nil"/>
              <w:left w:val="nil"/>
              <w:bottom w:val="single" w:sz="4" w:space="0" w:color="auto"/>
              <w:right w:val="nil"/>
            </w:tcBorders>
            <w:shd w:val="clear" w:color="auto" w:fill="auto"/>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-553</w:t>
            </w:r>
          </w:p>
        </w:tc>
        <w:tc>
          <w:tcPr>
            <w:tcW w:w="820" w:type="dxa"/>
            <w:tcBorders>
              <w:top w:val="nil"/>
              <w:left w:val="nil"/>
              <w:bottom w:val="single" w:sz="4" w:space="0" w:color="auto"/>
              <w:right w:val="nil"/>
            </w:tcBorders>
            <w:shd w:val="clear" w:color="auto" w:fill="auto"/>
            <w:noWrap/>
            <w:vAlign w:val="bottom"/>
            <w:hideMark/>
          </w:tcPr>
          <w:p w:rsidR="00C77201" w:rsidRPr="004E75FE" w:rsidRDefault="00C77201" w:rsidP="00CD6EC6">
            <w:pPr>
              <w:tabs>
                <w:tab w:val="clear" w:pos="567"/>
              </w:tabs>
              <w:spacing w:after="0" w:line="240" w:lineRule="auto"/>
              <w:jc w:val="right"/>
              <w:rPr>
                <w:rFonts w:ascii="Calibri" w:eastAsia="Times New Roman" w:hAnsi="Calibri" w:cs="Times New Roman"/>
                <w:sz w:val="20"/>
                <w:szCs w:val="20"/>
                <w:lang w:eastAsia="en-AU"/>
              </w:rPr>
            </w:pPr>
            <w:r w:rsidRPr="004E75FE">
              <w:rPr>
                <w:rFonts w:ascii="Calibri" w:eastAsia="Times New Roman" w:hAnsi="Calibri" w:cs="Times New Roman"/>
                <w:sz w:val="20"/>
                <w:szCs w:val="20"/>
                <w:lang w:eastAsia="en-AU"/>
              </w:rPr>
              <w:t>135</w:t>
            </w:r>
          </w:p>
        </w:tc>
      </w:tr>
    </w:tbl>
    <w:p w:rsidR="000547A3" w:rsidRPr="002A48E0" w:rsidRDefault="000547A3" w:rsidP="000547A3">
      <w:pPr>
        <w:pStyle w:val="CGCTableFootnote"/>
        <w:keepNext/>
      </w:pPr>
      <w:r>
        <w:t>(a)</w:t>
      </w:r>
      <w:r>
        <w:tab/>
      </w:r>
      <w:r w:rsidRPr="002A48E0">
        <w:t>Obtained by applying the 201</w:t>
      </w:r>
      <w:r>
        <w:t>8</w:t>
      </w:r>
      <w:r w:rsidR="00DE59C5">
        <w:t> </w:t>
      </w:r>
      <w:r w:rsidRPr="002A48E0">
        <w:t xml:space="preserve">Update relativities to estimated State populations </w:t>
      </w:r>
      <w:r w:rsidR="00567BA0">
        <w:t>as at</w:t>
      </w:r>
      <w:r w:rsidR="00567BA0" w:rsidRPr="002A48E0">
        <w:t xml:space="preserve"> </w:t>
      </w:r>
      <w:r w:rsidRPr="002A48E0">
        <w:t>December 201</w:t>
      </w:r>
      <w:r>
        <w:t>8</w:t>
      </w:r>
      <w:r w:rsidRPr="002A48E0">
        <w:t xml:space="preserve"> and estimated GST revenue for 201</w:t>
      </w:r>
      <w:r w:rsidR="00285222">
        <w:t>8</w:t>
      </w:r>
      <w:r>
        <w:noBreakHyphen/>
      </w:r>
      <w:r w:rsidRPr="002A48E0">
        <w:t>1</w:t>
      </w:r>
      <w:r>
        <w:t>9</w:t>
      </w:r>
      <w:r w:rsidRPr="002A48E0">
        <w:t>.</w:t>
      </w:r>
    </w:p>
    <w:p w:rsidR="000547A3" w:rsidRPr="002A48E0" w:rsidRDefault="000547A3" w:rsidP="000547A3">
      <w:pPr>
        <w:pStyle w:val="CGCTableFootnote"/>
        <w:keepNext/>
      </w:pPr>
      <w:r w:rsidRPr="002A48E0">
        <w:t>(b)</w:t>
      </w:r>
      <w:r w:rsidRPr="002A48E0">
        <w:tab/>
        <w:t>Effects on the distribution of 201</w:t>
      </w:r>
      <w:r>
        <w:t>7</w:t>
      </w:r>
      <w:r w:rsidR="00260A18">
        <w:noBreakHyphen/>
      </w:r>
      <w:r w:rsidRPr="002A48E0">
        <w:t>1</w:t>
      </w:r>
      <w:r>
        <w:t>8</w:t>
      </w:r>
      <w:r w:rsidRPr="002A48E0">
        <w:t xml:space="preserve"> GST revenue of using projected State populations </w:t>
      </w:r>
      <w:r w:rsidR="00567BA0">
        <w:t>as at</w:t>
      </w:r>
      <w:r w:rsidR="00567BA0" w:rsidRPr="002A48E0">
        <w:t xml:space="preserve"> </w:t>
      </w:r>
      <w:r w:rsidRPr="002A48E0">
        <w:t>December 201</w:t>
      </w:r>
      <w:r>
        <w:t>8</w:t>
      </w:r>
      <w:r w:rsidRPr="002A48E0">
        <w:t xml:space="preserve"> instead of December 201</w:t>
      </w:r>
      <w:r>
        <w:t>7</w:t>
      </w:r>
      <w:r w:rsidRPr="002A48E0">
        <w:t>, with 201</w:t>
      </w:r>
      <w:r>
        <w:t>7</w:t>
      </w:r>
      <w:r w:rsidRPr="002A48E0">
        <w:t> Update relativities.</w:t>
      </w:r>
    </w:p>
    <w:p w:rsidR="000547A3" w:rsidRPr="002A48E0" w:rsidRDefault="000547A3" w:rsidP="000547A3">
      <w:pPr>
        <w:pStyle w:val="CGCTableFootnote"/>
        <w:keepNext/>
      </w:pPr>
      <w:r w:rsidRPr="002A48E0">
        <w:t>(c)</w:t>
      </w:r>
      <w:r w:rsidRPr="002A48E0">
        <w:tab/>
        <w:t>Effect of applying the 201</w:t>
      </w:r>
      <w:r>
        <w:t>7</w:t>
      </w:r>
      <w:r w:rsidRPr="002A48E0">
        <w:t> Update relativities to the estimated growth in GST revenue for 201</w:t>
      </w:r>
      <w:r>
        <w:t>8</w:t>
      </w:r>
      <w:r w:rsidRPr="002A48E0">
        <w:t>-1</w:t>
      </w:r>
      <w:r>
        <w:t>9</w:t>
      </w:r>
      <w:r w:rsidRPr="002A48E0">
        <w:t xml:space="preserve">. </w:t>
      </w:r>
    </w:p>
    <w:p w:rsidR="000547A3" w:rsidRPr="002A48E0" w:rsidRDefault="000547A3" w:rsidP="000547A3">
      <w:pPr>
        <w:pStyle w:val="CGCTableFootnote"/>
        <w:keepNext/>
      </w:pPr>
      <w:r w:rsidRPr="002A48E0">
        <w:t>(d)</w:t>
      </w:r>
      <w:r w:rsidRPr="002A48E0">
        <w:tab/>
        <w:t>Effects on the distribution of the 201</w:t>
      </w:r>
      <w:r>
        <w:t>8</w:t>
      </w:r>
      <w:r w:rsidRPr="002A48E0">
        <w:t>-1</w:t>
      </w:r>
      <w:r>
        <w:t>9</w:t>
      </w:r>
      <w:r w:rsidRPr="002A48E0">
        <w:t xml:space="preserve"> GST revenue of using the 201</w:t>
      </w:r>
      <w:r>
        <w:t>8</w:t>
      </w:r>
      <w:r w:rsidR="00E85C3A">
        <w:t> </w:t>
      </w:r>
      <w:r w:rsidRPr="002A48E0">
        <w:t>Update fiscal capacities instead of 201</w:t>
      </w:r>
      <w:r>
        <w:t>7</w:t>
      </w:r>
      <w:r w:rsidRPr="002A48E0">
        <w:t> Update fiscal capacities.</w:t>
      </w:r>
    </w:p>
    <w:p w:rsidR="00A15A88" w:rsidRDefault="00A15A88" w:rsidP="00A15A88">
      <w:pPr>
        <w:pStyle w:val="CGCTableFootnote"/>
      </w:pPr>
      <w:r>
        <w:t>Source:</w:t>
      </w:r>
      <w:r>
        <w:tab/>
        <w:t>2017</w:t>
      </w:r>
      <w:r>
        <w:noBreakHyphen/>
        <w:t>18 GST entitlement and 2018</w:t>
      </w:r>
      <w:r>
        <w:noBreakHyphen/>
        <w:t xml:space="preserve">19 GST revenue are taken from the </w:t>
      </w:r>
      <w:r>
        <w:rPr>
          <w:i/>
        </w:rPr>
        <w:t>Australian Government Budget, Mid</w:t>
      </w:r>
      <w:r w:rsidR="00E047F5" w:rsidRPr="002A48E0">
        <w:rPr>
          <w:i/>
        </w:rPr>
        <w:noBreakHyphen/>
      </w:r>
      <w:r>
        <w:rPr>
          <w:i/>
        </w:rPr>
        <w:t>Year</w:t>
      </w:r>
      <w:r w:rsidR="00E047F5">
        <w:rPr>
          <w:i/>
        </w:rPr>
        <w:t xml:space="preserve"> </w:t>
      </w:r>
      <w:r>
        <w:rPr>
          <w:i/>
        </w:rPr>
        <w:t>Economic and Fiscal Outlook 2017</w:t>
      </w:r>
      <w:r>
        <w:rPr>
          <w:i/>
        </w:rPr>
        <w:noBreakHyphen/>
        <w:t xml:space="preserve">18. </w:t>
      </w:r>
      <w:r>
        <w:t>December</w:t>
      </w:r>
      <w:r w:rsidR="00DE59C5">
        <w:t> </w:t>
      </w:r>
      <w:r>
        <w:t>2017 and 2018 population estimates were provided by the Commonwealth Treasury.</w:t>
      </w:r>
    </w:p>
    <w:p w:rsidR="00902B28" w:rsidRPr="002A48E0" w:rsidRDefault="00902B28" w:rsidP="007F7654">
      <w:pPr>
        <w:pStyle w:val="11para"/>
      </w:pPr>
      <w:r w:rsidRPr="002A48E0">
        <w:t>The two distributions differ for the following reasons.</w:t>
      </w:r>
    </w:p>
    <w:p w:rsidR="00902B28" w:rsidRPr="002A48E0" w:rsidRDefault="00902B28" w:rsidP="00902B28">
      <w:pPr>
        <w:numPr>
          <w:ilvl w:val="0"/>
          <w:numId w:val="1"/>
        </w:numPr>
        <w:tabs>
          <w:tab w:val="clear" w:pos="567"/>
          <w:tab w:val="clear" w:pos="927"/>
          <w:tab w:val="left" w:pos="1134"/>
          <w:tab w:val="num" w:pos="4188"/>
        </w:tabs>
        <w:spacing w:before="80" w:line="300" w:lineRule="atLeast"/>
        <w:ind w:left="1134" w:hanging="567"/>
      </w:pPr>
      <w:r w:rsidRPr="002A48E0">
        <w:t>State populations have changed — the illustrative 201</w:t>
      </w:r>
      <w:r>
        <w:t>8</w:t>
      </w:r>
      <w:r>
        <w:noBreakHyphen/>
      </w:r>
      <w:r w:rsidRPr="002A48E0">
        <w:t>1</w:t>
      </w:r>
      <w:r>
        <w:t>9</w:t>
      </w:r>
      <w:r w:rsidRPr="002A48E0">
        <w:t xml:space="preserve"> distribution is based on projected State populations as at December</w:t>
      </w:r>
      <w:r w:rsidR="00DE59C5">
        <w:t> </w:t>
      </w:r>
      <w:r w:rsidRPr="002A48E0">
        <w:t>201</w:t>
      </w:r>
      <w:r>
        <w:t>8</w:t>
      </w:r>
      <w:r w:rsidRPr="002A48E0">
        <w:t xml:space="preserve"> whereas the 201</w:t>
      </w:r>
      <w:r>
        <w:t>7</w:t>
      </w:r>
      <w:r>
        <w:noBreakHyphen/>
      </w:r>
      <w:r w:rsidRPr="002A48E0">
        <w:t>1</w:t>
      </w:r>
      <w:r>
        <w:t>8</w:t>
      </w:r>
      <w:r w:rsidRPr="002A48E0">
        <w:t xml:space="preserve"> distribution is based on populations for a year earlier. State shares of the total population differ slightly between these two dates and affect the total GST allocation for each State.</w:t>
      </w:r>
    </w:p>
    <w:p w:rsidR="00902B28" w:rsidRPr="002A48E0" w:rsidRDefault="00902B28" w:rsidP="00902B28">
      <w:pPr>
        <w:numPr>
          <w:ilvl w:val="0"/>
          <w:numId w:val="1"/>
        </w:numPr>
        <w:tabs>
          <w:tab w:val="clear" w:pos="567"/>
          <w:tab w:val="clear" w:pos="927"/>
          <w:tab w:val="left" w:pos="1134"/>
          <w:tab w:val="num" w:pos="4188"/>
        </w:tabs>
        <w:spacing w:before="80" w:line="300" w:lineRule="atLeast"/>
        <w:ind w:left="1134" w:hanging="567"/>
      </w:pPr>
      <w:r w:rsidRPr="002A48E0">
        <w:lastRenderedPageBreak/>
        <w:t>The size of the GST pool available for distribution has changed. Any growth in the pool is distributed among States using their relativity weighted population shares.</w:t>
      </w:r>
    </w:p>
    <w:p w:rsidR="00902B28" w:rsidRPr="002A48E0" w:rsidRDefault="00902B28" w:rsidP="00902B28">
      <w:pPr>
        <w:numPr>
          <w:ilvl w:val="0"/>
          <w:numId w:val="1"/>
        </w:numPr>
        <w:tabs>
          <w:tab w:val="clear" w:pos="567"/>
          <w:tab w:val="clear" w:pos="927"/>
          <w:tab w:val="left" w:pos="1134"/>
          <w:tab w:val="num" w:pos="4188"/>
        </w:tabs>
        <w:spacing w:before="80" w:line="300" w:lineRule="atLeast"/>
        <w:ind w:left="1134" w:hanging="567"/>
      </w:pPr>
      <w:r w:rsidRPr="002A48E0">
        <w:t>The relativities used to distribute the GST have changed, reflecting changes in the assessed fiscal capacities of States</w:t>
      </w:r>
      <w:r w:rsidR="00AE2885">
        <w:t>.</w:t>
      </w:r>
      <w:r w:rsidRPr="002A48E0">
        <w:t xml:space="preserve"> </w:t>
      </w:r>
      <w:r w:rsidR="00AE2885">
        <w:t>T</w:t>
      </w:r>
      <w:r w:rsidRPr="002A48E0">
        <w:t>he illustrative 201</w:t>
      </w:r>
      <w:r>
        <w:t>8</w:t>
      </w:r>
      <w:r>
        <w:noBreakHyphen/>
      </w:r>
      <w:r w:rsidRPr="002A48E0">
        <w:t>1</w:t>
      </w:r>
      <w:r>
        <w:t>9</w:t>
      </w:r>
      <w:r w:rsidRPr="002A48E0">
        <w:t xml:space="preserve"> distribution is based on the relativities recommended in this report whereas the 201</w:t>
      </w:r>
      <w:r>
        <w:t>7</w:t>
      </w:r>
      <w:r>
        <w:noBreakHyphen/>
      </w:r>
      <w:r w:rsidRPr="002A48E0">
        <w:t>1</w:t>
      </w:r>
      <w:r>
        <w:t>8</w:t>
      </w:r>
      <w:r w:rsidRPr="002A48E0">
        <w:t xml:space="preserve"> distribution is based on relativities derived in the 201</w:t>
      </w:r>
      <w:r>
        <w:t>7</w:t>
      </w:r>
      <w:r w:rsidRPr="002A48E0">
        <w:t xml:space="preserve"> Update and subsequently adopted by the Treasurer on </w:t>
      </w:r>
      <w:r w:rsidR="004C48C0" w:rsidRPr="004C48C0">
        <w:t>27</w:t>
      </w:r>
      <w:r w:rsidRPr="004C48C0">
        <w:t> April 201</w:t>
      </w:r>
      <w:r w:rsidR="004C48C0">
        <w:t>7</w:t>
      </w:r>
      <w:r w:rsidRPr="002A48E0">
        <w:t>.</w:t>
      </w:r>
      <w:r w:rsidRPr="002A48E0">
        <w:rPr>
          <w:rStyle w:val="FootnoteReference"/>
        </w:rPr>
        <w:footnoteReference w:id="2"/>
      </w:r>
    </w:p>
    <w:p w:rsidR="00902B28" w:rsidRPr="002A48E0" w:rsidRDefault="00902B28" w:rsidP="007F7654">
      <w:pPr>
        <w:pStyle w:val="11para"/>
      </w:pPr>
      <w:r w:rsidRPr="002A48E0">
        <w:t>The Commission’s work affects only the changes in the relativities which the Commission derives from its assessment of State fiscal capacities.</w:t>
      </w:r>
    </w:p>
    <w:p w:rsidR="00565071" w:rsidRPr="002A48E0" w:rsidRDefault="00565071" w:rsidP="00565071">
      <w:pPr>
        <w:pStyle w:val="Heading4"/>
      </w:pPr>
      <w:bookmarkStart w:id="390" w:name="_Toc505872179"/>
      <w:r w:rsidRPr="002A48E0">
        <w:t>Why State fiscal capacities change between updates</w:t>
      </w:r>
      <w:bookmarkEnd w:id="378"/>
      <w:bookmarkEnd w:id="379"/>
      <w:bookmarkEnd w:id="380"/>
      <w:bookmarkEnd w:id="381"/>
      <w:bookmarkEnd w:id="382"/>
      <w:bookmarkEnd w:id="383"/>
      <w:bookmarkEnd w:id="384"/>
      <w:bookmarkEnd w:id="385"/>
      <w:bookmarkEnd w:id="386"/>
      <w:bookmarkEnd w:id="387"/>
      <w:bookmarkEnd w:id="388"/>
      <w:bookmarkEnd w:id="390"/>
    </w:p>
    <w:p w:rsidR="00902B28" w:rsidRPr="002A48E0" w:rsidRDefault="00902B28" w:rsidP="007F7654">
      <w:pPr>
        <w:pStyle w:val="11para"/>
      </w:pPr>
      <w:r w:rsidRPr="002A48E0">
        <w:t xml:space="preserve">The total change in State fiscal capacities can be attributed to changes in Commonwealth payments for specific purposes, </w:t>
      </w:r>
      <w:r w:rsidR="0049445E">
        <w:t>as well as changes in the Commi</w:t>
      </w:r>
      <w:r w:rsidR="00612B2F">
        <w:t>s</w:t>
      </w:r>
      <w:r w:rsidR="0049445E">
        <w:t xml:space="preserve">sion’s assessments of revenue raising capacity and requirement to provide </w:t>
      </w:r>
      <w:r w:rsidRPr="002A48E0">
        <w:t>services and infrastructure. These changes occur for the following reasons.</w:t>
      </w:r>
    </w:p>
    <w:p w:rsidR="00902B28" w:rsidRPr="006455BD" w:rsidRDefault="00902B28" w:rsidP="006455BD">
      <w:pPr>
        <w:pStyle w:val="CGCBulletlist"/>
      </w:pPr>
      <w:r w:rsidRPr="006455BD">
        <w:t>They reflect more recent economic and demographic circumstances of the States. The 2018 Update relativities are based on an average of data for 2014</w:t>
      </w:r>
      <w:r w:rsidRPr="006455BD">
        <w:noBreakHyphen/>
        <w:t>15 to 2016</w:t>
      </w:r>
      <w:r w:rsidRPr="006455BD">
        <w:noBreakHyphen/>
        <w:t>17, whereas the 2017 Update relativities were based on data for 2013</w:t>
      </w:r>
      <w:r w:rsidRPr="006455BD">
        <w:noBreakHyphen/>
        <w:t>14 to 2015</w:t>
      </w:r>
      <w:r w:rsidRPr="006455BD">
        <w:noBreakHyphen/>
        <w:t>16. Differences between the year brought into the three year average (2016</w:t>
      </w:r>
      <w:r w:rsidRPr="006455BD">
        <w:noBreakHyphen/>
        <w:t>17 for this update) and the year deleted (2013</w:t>
      </w:r>
      <w:r w:rsidRPr="006455BD">
        <w:noBreakHyphen/>
        <w:t xml:space="preserve">14) change the relativities. However, the three year averaging process means changes in circumstances have a gradual effect. </w:t>
      </w:r>
    </w:p>
    <w:p w:rsidR="00902B28" w:rsidRPr="006455BD" w:rsidRDefault="00902B28" w:rsidP="006455BD">
      <w:pPr>
        <w:pStyle w:val="CGCBulletlist"/>
      </w:pPr>
      <w:r w:rsidRPr="006455BD">
        <w:t>Data used in the assessments in the 2017 Update may be revised. Revisions occur because new data become available. Revisions can also occur because data providers identify errors in their data or because of errors made by the Commission in previous inquiries.</w:t>
      </w:r>
    </w:p>
    <w:p w:rsidR="00642E50" w:rsidRPr="002A48E0" w:rsidRDefault="003C42C8" w:rsidP="007F7654">
      <w:pPr>
        <w:pStyle w:val="11para"/>
      </w:pPr>
      <w:r>
        <w:fldChar w:fldCharType="begin"/>
      </w:r>
      <w:r>
        <w:instrText xml:space="preserve"> REF _Ref503883927 \h </w:instrText>
      </w:r>
      <w:r>
        <w:fldChar w:fldCharType="separate"/>
      </w:r>
      <w:r w:rsidR="000A6746">
        <w:t>Table 1</w:t>
      </w:r>
      <w:r w:rsidR="000A6746">
        <w:noBreakHyphen/>
      </w:r>
      <w:r w:rsidR="000A6746">
        <w:rPr>
          <w:noProof/>
        </w:rPr>
        <w:t>2</w:t>
      </w:r>
      <w:r>
        <w:fldChar w:fldCharType="end"/>
      </w:r>
      <w:r>
        <w:t xml:space="preserve"> </w:t>
      </w:r>
      <w:r w:rsidR="00642E50" w:rsidRPr="002A48E0">
        <w:t xml:space="preserve">shows that changes in State </w:t>
      </w:r>
      <w:r w:rsidR="00642E50" w:rsidRPr="00642E50">
        <w:t>circumstances</w:t>
      </w:r>
      <w:r w:rsidR="00642E50" w:rsidRPr="002A48E0">
        <w:t xml:space="preserve"> have been the major cause of the change in the redistribution for </w:t>
      </w:r>
      <w:r w:rsidR="005C5E78">
        <w:t>most</w:t>
      </w:r>
      <w:r w:rsidR="005C5E78" w:rsidRPr="002A48E0">
        <w:t xml:space="preserve"> </w:t>
      </w:r>
      <w:r w:rsidR="00642E50" w:rsidRPr="002A48E0">
        <w:t>States. The main data revisions and changes in circumstances are discussed below</w:t>
      </w:r>
      <w:r w:rsidR="00642E50">
        <w:t>.</w:t>
      </w:r>
    </w:p>
    <w:p w:rsidR="00642E50" w:rsidRPr="002A48E0" w:rsidRDefault="00642E50" w:rsidP="007F7654">
      <w:pPr>
        <w:pStyle w:val="11para"/>
      </w:pPr>
      <w:r w:rsidRPr="002A48E0">
        <w:t xml:space="preserve">In addition to revisions and changes in circumstances, </w:t>
      </w:r>
      <w:r w:rsidRPr="002A48E0">
        <w:rPr>
          <w:i/>
        </w:rPr>
        <w:t>s</w:t>
      </w:r>
      <w:r w:rsidRPr="002A48E0">
        <w:t xml:space="preserve">ubject to consultation with Commonwealth and State governments, the assessment methods may be varied if considered necessary to better reflect the current financial arrangements between the Commonwealth and State governments, or to overcome problems in the data used previously. </w:t>
      </w:r>
      <w:r w:rsidRPr="008971F5">
        <w:t xml:space="preserve">In this update, </w:t>
      </w:r>
      <w:r w:rsidR="00285222">
        <w:t xml:space="preserve">cessation of </w:t>
      </w:r>
      <w:proofErr w:type="spellStart"/>
      <w:r w:rsidR="00285222">
        <w:t>backcasting</w:t>
      </w:r>
      <w:proofErr w:type="spellEnd"/>
      <w:r w:rsidR="00285222">
        <w:t xml:space="preserve"> associated with the Schools assessment was a method change</w:t>
      </w:r>
      <w:r w:rsidR="00833011">
        <w:t xml:space="preserve"> (refer to </w:t>
      </w:r>
      <w:r w:rsidR="00833011">
        <w:fldChar w:fldCharType="begin"/>
      </w:r>
      <w:r w:rsidR="00833011">
        <w:instrText xml:space="preserve"> REF _Ref473104310 \h </w:instrText>
      </w:r>
      <w:r w:rsidR="00833011">
        <w:fldChar w:fldCharType="separate"/>
      </w:r>
      <w:r w:rsidR="000A6746" w:rsidRPr="002A48E0">
        <w:t>Chapter 2</w:t>
      </w:r>
      <w:r w:rsidR="00833011">
        <w:fldChar w:fldCharType="end"/>
      </w:r>
      <w:r w:rsidR="00833011">
        <w:t xml:space="preserve"> for further details of this change)</w:t>
      </w:r>
      <w:r w:rsidR="00285222">
        <w:t>.</w:t>
      </w:r>
    </w:p>
    <w:p w:rsidR="00EE206E" w:rsidRDefault="00642E50" w:rsidP="00EE206E">
      <w:pPr>
        <w:pStyle w:val="Caption"/>
      </w:pPr>
      <w:bookmarkStart w:id="391" w:name="_Ref503883927"/>
      <w:r>
        <w:lastRenderedPageBreak/>
        <w:t>Table 1</w:t>
      </w:r>
      <w:r>
        <w:noBreakHyphen/>
      </w:r>
      <w:r w:rsidR="00CD68E8">
        <w:fldChar w:fldCharType="begin"/>
      </w:r>
      <w:r w:rsidR="00CD68E8">
        <w:instrText xml:space="preserve"> SEQ Table \* ARABIC\s 1 </w:instrText>
      </w:r>
      <w:r w:rsidR="00CD68E8">
        <w:fldChar w:fldCharType="separate"/>
      </w:r>
      <w:r w:rsidR="000A6746">
        <w:rPr>
          <w:noProof/>
        </w:rPr>
        <w:t>2</w:t>
      </w:r>
      <w:r w:rsidR="00CD68E8">
        <w:rPr>
          <w:noProof/>
        </w:rPr>
        <w:fldChar w:fldCharType="end"/>
      </w:r>
      <w:bookmarkEnd w:id="391"/>
      <w:r w:rsidR="00092AED">
        <w:tab/>
        <w:t>Change in GST distribution by source of change, 2018</w:t>
      </w:r>
      <w:r w:rsidR="00092AED">
        <w:noBreakHyphen/>
        <w:t>19</w:t>
      </w:r>
    </w:p>
    <w:tbl>
      <w:tblPr>
        <w:tblW w:w="9220" w:type="dxa"/>
        <w:tblLayout w:type="fixed"/>
        <w:tblCellMar>
          <w:left w:w="0" w:type="dxa"/>
          <w:right w:w="0" w:type="dxa"/>
        </w:tblCellMar>
        <w:tblLook w:val="04A0" w:firstRow="1" w:lastRow="0" w:firstColumn="1" w:lastColumn="0" w:noHBand="0" w:noVBand="1"/>
      </w:tblPr>
      <w:tblGrid>
        <w:gridCol w:w="2620"/>
        <w:gridCol w:w="640"/>
        <w:gridCol w:w="740"/>
        <w:gridCol w:w="740"/>
        <w:gridCol w:w="800"/>
        <w:gridCol w:w="740"/>
        <w:gridCol w:w="640"/>
        <w:gridCol w:w="640"/>
        <w:gridCol w:w="800"/>
        <w:gridCol w:w="860"/>
      </w:tblGrid>
      <w:tr w:rsidR="00362D2F" w:rsidRPr="00C77201" w:rsidTr="00D568B0">
        <w:trPr>
          <w:trHeight w:val="375"/>
        </w:trPr>
        <w:tc>
          <w:tcPr>
            <w:tcW w:w="262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392" w:name="RANGE!A19:J23"/>
            <w:r w:rsidRPr="00C77201">
              <w:rPr>
                <w:rFonts w:ascii="Calibri" w:eastAsia="Times New Roman" w:hAnsi="Calibri" w:cs="Times New Roman"/>
                <w:sz w:val="20"/>
                <w:szCs w:val="20"/>
                <w:lang w:eastAsia="en-AU"/>
              </w:rPr>
              <w:t> </w:t>
            </w:r>
            <w:bookmarkEnd w:id="392"/>
          </w:p>
        </w:tc>
        <w:tc>
          <w:tcPr>
            <w:tcW w:w="64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WA</w:t>
            </w:r>
          </w:p>
        </w:tc>
        <w:tc>
          <w:tcPr>
            <w:tcW w:w="74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C77201">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NT</w:t>
            </w:r>
          </w:p>
        </w:tc>
        <w:tc>
          <w:tcPr>
            <w:tcW w:w="860" w:type="dxa"/>
            <w:tcBorders>
              <w:top w:val="single" w:sz="4" w:space="0" w:color="auto"/>
              <w:left w:val="nil"/>
              <w:bottom w:val="single" w:sz="4" w:space="0" w:color="auto"/>
              <w:right w:val="nil"/>
            </w:tcBorders>
            <w:shd w:val="clear" w:color="auto" w:fill="auto"/>
            <w:noWrap/>
            <w:vAlign w:val="center"/>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C77201">
              <w:rPr>
                <w:rFonts w:ascii="Calibri" w:eastAsia="Times New Roman" w:hAnsi="Calibri" w:cs="Times New Roman"/>
                <w:sz w:val="20"/>
                <w:szCs w:val="20"/>
                <w:lang w:eastAsia="en-AU"/>
              </w:rPr>
              <w:t>Redist</w:t>
            </w:r>
            <w:proofErr w:type="spellEnd"/>
            <w:r w:rsidRPr="00C77201">
              <w:rPr>
                <w:rFonts w:ascii="Calibri" w:eastAsia="Times New Roman" w:hAnsi="Calibri" w:cs="Times New Roman"/>
                <w:sz w:val="20"/>
                <w:szCs w:val="20"/>
                <w:lang w:eastAsia="en-AU"/>
              </w:rPr>
              <w:t xml:space="preserve"> (a)</w:t>
            </w:r>
          </w:p>
        </w:tc>
      </w:tr>
      <w:tr w:rsidR="00C77201" w:rsidRPr="00C77201" w:rsidTr="00D568B0">
        <w:trPr>
          <w:trHeight w:val="315"/>
        </w:trPr>
        <w:tc>
          <w:tcPr>
            <w:tcW w:w="262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$m</w:t>
            </w:r>
          </w:p>
        </w:tc>
      </w:tr>
      <w:tr w:rsidR="00C77201" w:rsidRPr="00C77201" w:rsidTr="00D568B0">
        <w:trPr>
          <w:trHeight w:val="315"/>
        </w:trPr>
        <w:tc>
          <w:tcPr>
            <w:tcW w:w="262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Data revisions</w:t>
            </w:r>
          </w:p>
        </w:tc>
        <w:tc>
          <w:tcPr>
            <w:tcW w:w="6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-16</w:t>
            </w:r>
          </w:p>
        </w:tc>
        <w:tc>
          <w:tcPr>
            <w:tcW w:w="7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412</w:t>
            </w:r>
          </w:p>
        </w:tc>
        <w:tc>
          <w:tcPr>
            <w:tcW w:w="7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-21</w:t>
            </w:r>
          </w:p>
        </w:tc>
        <w:tc>
          <w:tcPr>
            <w:tcW w:w="80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-367</w:t>
            </w:r>
          </w:p>
        </w:tc>
        <w:tc>
          <w:tcPr>
            <w:tcW w:w="7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84</w:t>
            </w:r>
          </w:p>
        </w:tc>
        <w:tc>
          <w:tcPr>
            <w:tcW w:w="6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-6</w:t>
            </w:r>
          </w:p>
        </w:tc>
        <w:tc>
          <w:tcPr>
            <w:tcW w:w="64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-25</w:t>
            </w:r>
          </w:p>
        </w:tc>
        <w:tc>
          <w:tcPr>
            <w:tcW w:w="80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-61</w:t>
            </w:r>
          </w:p>
        </w:tc>
        <w:tc>
          <w:tcPr>
            <w:tcW w:w="860" w:type="dxa"/>
            <w:tcBorders>
              <w:top w:val="nil"/>
              <w:left w:val="nil"/>
              <w:bottom w:val="nil"/>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496</w:t>
            </w:r>
          </w:p>
        </w:tc>
      </w:tr>
      <w:tr w:rsidR="00362D2F" w:rsidRPr="00C77201" w:rsidTr="00D568B0">
        <w:trPr>
          <w:trHeight w:val="315"/>
        </w:trPr>
        <w:tc>
          <w:tcPr>
            <w:tcW w:w="262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Change in circumstances</w:t>
            </w:r>
          </w:p>
        </w:tc>
        <w:tc>
          <w:tcPr>
            <w:tcW w:w="64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-435</w:t>
            </w:r>
          </w:p>
        </w:tc>
        <w:tc>
          <w:tcPr>
            <w:tcW w:w="74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518</w:t>
            </w:r>
          </w:p>
        </w:tc>
        <w:tc>
          <w:tcPr>
            <w:tcW w:w="74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-1 187</w:t>
            </w:r>
          </w:p>
        </w:tc>
        <w:tc>
          <w:tcPr>
            <w:tcW w:w="80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1 252</w:t>
            </w:r>
          </w:p>
        </w:tc>
        <w:tc>
          <w:tcPr>
            <w:tcW w:w="74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87</w:t>
            </w:r>
          </w:p>
        </w:tc>
        <w:tc>
          <w:tcPr>
            <w:tcW w:w="64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-45</w:t>
            </w:r>
          </w:p>
        </w:tc>
        <w:tc>
          <w:tcPr>
            <w:tcW w:w="64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9</w:t>
            </w:r>
          </w:p>
        </w:tc>
        <w:tc>
          <w:tcPr>
            <w:tcW w:w="80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-199</w:t>
            </w:r>
          </w:p>
        </w:tc>
        <w:tc>
          <w:tcPr>
            <w:tcW w:w="860" w:type="dxa"/>
            <w:tcBorders>
              <w:top w:val="nil"/>
              <w:left w:val="nil"/>
              <w:bottom w:val="nil"/>
              <w:right w:val="nil"/>
            </w:tcBorders>
            <w:shd w:val="clear" w:color="auto" w:fill="auto"/>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1 866</w:t>
            </w:r>
          </w:p>
        </w:tc>
      </w:tr>
      <w:tr w:rsidR="00C77201" w:rsidRPr="00C77201" w:rsidTr="00D568B0">
        <w:trPr>
          <w:trHeight w:val="315"/>
        </w:trPr>
        <w:tc>
          <w:tcPr>
            <w:tcW w:w="2620" w:type="dxa"/>
            <w:tcBorders>
              <w:top w:val="nil"/>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-451</w:t>
            </w:r>
          </w:p>
        </w:tc>
        <w:tc>
          <w:tcPr>
            <w:tcW w:w="74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929</w:t>
            </w:r>
          </w:p>
        </w:tc>
        <w:tc>
          <w:tcPr>
            <w:tcW w:w="74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-1 208</w:t>
            </w:r>
          </w:p>
        </w:tc>
        <w:tc>
          <w:tcPr>
            <w:tcW w:w="80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 xml:space="preserve"> 885</w:t>
            </w:r>
          </w:p>
        </w:tc>
        <w:tc>
          <w:tcPr>
            <w:tcW w:w="74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172</w:t>
            </w:r>
          </w:p>
        </w:tc>
        <w:tc>
          <w:tcPr>
            <w:tcW w:w="64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-52</w:t>
            </w:r>
          </w:p>
        </w:tc>
        <w:tc>
          <w:tcPr>
            <w:tcW w:w="64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-15</w:t>
            </w:r>
          </w:p>
        </w:tc>
        <w:tc>
          <w:tcPr>
            <w:tcW w:w="80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-260</w:t>
            </w:r>
          </w:p>
        </w:tc>
        <w:tc>
          <w:tcPr>
            <w:tcW w:w="860" w:type="dxa"/>
            <w:tcBorders>
              <w:top w:val="single" w:sz="4" w:space="0" w:color="auto"/>
              <w:left w:val="nil"/>
              <w:bottom w:val="single" w:sz="4" w:space="0" w:color="auto"/>
              <w:right w:val="nil"/>
            </w:tcBorders>
            <w:shd w:val="clear" w:color="auto" w:fill="auto"/>
            <w:noWrap/>
            <w:vAlign w:val="bottom"/>
            <w:hideMark/>
          </w:tcPr>
          <w:p w:rsidR="00C77201" w:rsidRPr="00C77201" w:rsidRDefault="00C77201" w:rsidP="00D568B0">
            <w:pPr>
              <w:keepNext/>
              <w:keepLines/>
              <w:tabs>
                <w:tab w:val="clear" w:pos="567"/>
              </w:tabs>
              <w:spacing w:after="0" w:line="240" w:lineRule="auto"/>
              <w:jc w:val="right"/>
              <w:rPr>
                <w:rFonts w:ascii="Calibri" w:eastAsia="Times New Roman" w:hAnsi="Calibri" w:cs="Times New Roman"/>
                <w:sz w:val="20"/>
                <w:szCs w:val="20"/>
                <w:lang w:eastAsia="en-AU"/>
              </w:rPr>
            </w:pPr>
            <w:r w:rsidRPr="00C77201">
              <w:rPr>
                <w:rFonts w:ascii="Calibri" w:eastAsia="Times New Roman" w:hAnsi="Calibri" w:cs="Times New Roman"/>
                <w:sz w:val="20"/>
                <w:szCs w:val="20"/>
                <w:lang w:eastAsia="en-AU"/>
              </w:rPr>
              <w:t>1 986</w:t>
            </w:r>
          </w:p>
        </w:tc>
      </w:tr>
    </w:tbl>
    <w:p w:rsidR="00092AED" w:rsidRDefault="00EE206E" w:rsidP="00092AED">
      <w:pPr>
        <w:pStyle w:val="CGCTableFootnote"/>
      </w:pPr>
      <w:r>
        <w:t xml:space="preserve"> </w:t>
      </w:r>
      <w:r w:rsidR="00092AED">
        <w:t>(a)</w:t>
      </w:r>
      <w:r w:rsidR="00092AED">
        <w:tab/>
      </w:r>
      <w:r w:rsidR="00092AED" w:rsidRPr="002A48E0">
        <w:t>The redistribution is calculated as half the absolute sum of the items in the row.</w:t>
      </w:r>
    </w:p>
    <w:p w:rsidR="00092AED" w:rsidRDefault="00092AED" w:rsidP="00092AED">
      <w:pPr>
        <w:pStyle w:val="CGCTableFootnote"/>
      </w:pPr>
      <w:r>
        <w:t>Source:</w:t>
      </w:r>
      <w:r>
        <w:tab/>
        <w:t>Commission calculation.</w:t>
      </w:r>
    </w:p>
    <w:p w:rsidR="0095358F" w:rsidRPr="002A48E0" w:rsidRDefault="0095358F" w:rsidP="008554F9">
      <w:pPr>
        <w:pStyle w:val="11para"/>
      </w:pPr>
      <w:r w:rsidRPr="002A48E0">
        <w:t xml:space="preserve">Detailed tables on the changes </w:t>
      </w:r>
      <w:r>
        <w:t>resulting from</w:t>
      </w:r>
      <w:r w:rsidRPr="002A48E0">
        <w:t xml:space="preserve"> each of the Commission’s assessments can be found in the supporting information for this update which is available on the </w:t>
      </w:r>
      <w:hyperlink r:id="rId43" w:history="1">
        <w:r w:rsidRPr="002A48E0">
          <w:rPr>
            <w:rStyle w:val="Hyperlink"/>
          </w:rPr>
          <w:t>Commission’s website</w:t>
        </w:r>
      </w:hyperlink>
      <w:r w:rsidRPr="002A48E0">
        <w:t xml:space="preserve"> (</w:t>
      </w:r>
      <w:r w:rsidR="00441C6C" w:rsidRPr="00103485">
        <w:t>https://cgc.gov.au/</w:t>
      </w:r>
      <w:r w:rsidRPr="002A48E0">
        <w:t>).</w:t>
      </w:r>
    </w:p>
    <w:p w:rsidR="00565071" w:rsidRPr="002A48E0" w:rsidRDefault="00565071" w:rsidP="00565071">
      <w:pPr>
        <w:pStyle w:val="Heading3"/>
      </w:pPr>
      <w:bookmarkStart w:id="393" w:name="_Toc441241592"/>
      <w:bookmarkStart w:id="394" w:name="_Toc441499262"/>
      <w:bookmarkStart w:id="395" w:name="_Toc441656028"/>
      <w:bookmarkStart w:id="396" w:name="_Toc442191918"/>
      <w:bookmarkStart w:id="397" w:name="_Toc442192172"/>
      <w:bookmarkStart w:id="398" w:name="_Toc442192237"/>
      <w:bookmarkStart w:id="399" w:name="_Toc442772821"/>
      <w:bookmarkStart w:id="400" w:name="_Toc442773050"/>
      <w:bookmarkStart w:id="401" w:name="_Toc442773220"/>
      <w:bookmarkStart w:id="402" w:name="_Toc442773565"/>
      <w:bookmarkStart w:id="403" w:name="_Toc442883287"/>
      <w:bookmarkStart w:id="404" w:name="_Toc474923755"/>
      <w:bookmarkStart w:id="405" w:name="_Toc505872180"/>
      <w:r w:rsidRPr="002A48E0">
        <w:t>Data revisions</w:t>
      </w:r>
      <w:bookmarkEnd w:id="393"/>
      <w:bookmarkEnd w:id="394"/>
      <w:bookmarkEnd w:id="395"/>
      <w:bookmarkEnd w:id="396"/>
      <w:bookmarkEnd w:id="397"/>
      <w:bookmarkEnd w:id="398"/>
      <w:bookmarkEnd w:id="399"/>
      <w:bookmarkEnd w:id="400"/>
      <w:bookmarkEnd w:id="401"/>
      <w:bookmarkEnd w:id="402"/>
      <w:bookmarkEnd w:id="403"/>
      <w:bookmarkEnd w:id="404"/>
      <w:bookmarkEnd w:id="405"/>
    </w:p>
    <w:p w:rsidR="00BD648E" w:rsidRPr="002A48E0" w:rsidRDefault="00BD648E" w:rsidP="007F7654">
      <w:pPr>
        <w:pStyle w:val="11para"/>
      </w:pPr>
      <w:r w:rsidRPr="002A48E0">
        <w:t xml:space="preserve">Data revisions for </w:t>
      </w:r>
      <w:r>
        <w:t>the three years of the 2017 Update</w:t>
      </w:r>
      <w:r w:rsidRPr="002A48E0">
        <w:t xml:space="preserve"> </w:t>
      </w:r>
      <w:r w:rsidR="00AE2885">
        <w:t>changed the redistribution</w:t>
      </w:r>
      <w:r w:rsidRPr="002A48E0">
        <w:t xml:space="preserve"> </w:t>
      </w:r>
      <w:r w:rsidR="00AE2885">
        <w:t xml:space="preserve">by </w:t>
      </w:r>
      <w:r w:rsidRPr="002A48E0">
        <w:t>$</w:t>
      </w:r>
      <w:r w:rsidR="00D568B0">
        <w:t>496 </w:t>
      </w:r>
      <w:r w:rsidRPr="002A48E0">
        <w:t>million in this update. The largest sources of revision are shown in</w:t>
      </w:r>
      <w:r>
        <w:t xml:space="preserve"> </w:t>
      </w:r>
      <w:r w:rsidR="001F5EDD">
        <w:fldChar w:fldCharType="begin"/>
      </w:r>
      <w:r w:rsidR="001F5EDD">
        <w:instrText xml:space="preserve"> REF _Ref504644002 \h </w:instrText>
      </w:r>
      <w:r w:rsidR="001F5EDD">
        <w:fldChar w:fldCharType="separate"/>
      </w:r>
      <w:r w:rsidR="000A6746">
        <w:t>Table 1</w:t>
      </w:r>
      <w:r w:rsidR="000A6746">
        <w:noBreakHyphen/>
      </w:r>
      <w:r w:rsidR="000A6746">
        <w:rPr>
          <w:noProof/>
        </w:rPr>
        <w:t>3</w:t>
      </w:r>
      <w:r w:rsidR="001F5EDD">
        <w:fldChar w:fldCharType="end"/>
      </w:r>
      <w:r w:rsidRPr="002A48E0">
        <w:t>. They relate to the following.</w:t>
      </w:r>
    </w:p>
    <w:p w:rsidR="004960CD" w:rsidRDefault="004960CD" w:rsidP="006455BD">
      <w:pPr>
        <w:pStyle w:val="CGCBulletlist"/>
      </w:pPr>
      <w:r w:rsidRPr="004960CD">
        <w:rPr>
          <w:rStyle w:val="Heading6Char"/>
        </w:rPr>
        <w:t>New Census data.</w:t>
      </w:r>
      <w:r>
        <w:t xml:space="preserve"> The effects of incorporating data from the 2016 Census, and associated changes to population </w:t>
      </w:r>
      <w:proofErr w:type="gramStart"/>
      <w:r>
        <w:t>data,</w:t>
      </w:r>
      <w:proofErr w:type="gramEnd"/>
      <w:r>
        <w:t xml:space="preserve"> are classified as data revisions. These effects are described in Box 1-1.</w:t>
      </w:r>
    </w:p>
    <w:p w:rsidR="00565071" w:rsidRDefault="00ED4262" w:rsidP="006455BD">
      <w:pPr>
        <w:pStyle w:val="CGCBulletlist"/>
      </w:pPr>
      <w:r w:rsidRPr="004960CD">
        <w:rPr>
          <w:rStyle w:val="Heading6Char"/>
        </w:rPr>
        <w:t>Taxable payrolls</w:t>
      </w:r>
      <w:r w:rsidR="004960CD" w:rsidRPr="004960CD">
        <w:rPr>
          <w:rStyle w:val="Heading6Char"/>
        </w:rPr>
        <w:t>.</w:t>
      </w:r>
      <w:r w:rsidRPr="006455BD">
        <w:t xml:space="preserve"> </w:t>
      </w:r>
      <w:r w:rsidR="00BD66ED" w:rsidRPr="006455BD">
        <w:t xml:space="preserve">Revisions to the </w:t>
      </w:r>
      <w:r w:rsidR="00517E12" w:rsidRPr="006455BD">
        <w:t>ABS C</w:t>
      </w:r>
      <w:r w:rsidR="00BD66ED" w:rsidRPr="006455BD">
        <w:t xml:space="preserve">ompensation of </w:t>
      </w:r>
      <w:r w:rsidR="00517E12" w:rsidRPr="006455BD">
        <w:t>E</w:t>
      </w:r>
      <w:r w:rsidR="00BD66ED" w:rsidRPr="006455BD">
        <w:t xml:space="preserve">mployees </w:t>
      </w:r>
      <w:r w:rsidR="00CD4921" w:rsidRPr="006455BD">
        <w:t>(</w:t>
      </w:r>
      <w:proofErr w:type="spellStart"/>
      <w:r w:rsidR="00CD4921" w:rsidRPr="006455BD">
        <w:t>CoE</w:t>
      </w:r>
      <w:proofErr w:type="spellEnd"/>
      <w:r w:rsidR="00CD4921" w:rsidRPr="006455BD">
        <w:t xml:space="preserve">) </w:t>
      </w:r>
      <w:r w:rsidR="00BD66ED" w:rsidRPr="006455BD">
        <w:t>data redistributed $</w:t>
      </w:r>
      <w:r w:rsidR="00F4578C">
        <w:t>183</w:t>
      </w:r>
      <w:r w:rsidR="00F4578C" w:rsidRPr="006455BD">
        <w:t xml:space="preserve"> </w:t>
      </w:r>
      <w:r w:rsidR="00BD66ED" w:rsidRPr="006455BD">
        <w:t xml:space="preserve">million, increasing the GST shares of New South Wales, </w:t>
      </w:r>
      <w:r w:rsidR="00362C13">
        <w:t xml:space="preserve">Western Australia and </w:t>
      </w:r>
      <w:r w:rsidR="00BD66ED" w:rsidRPr="006455BD">
        <w:t xml:space="preserve">South Australia. </w:t>
      </w:r>
      <w:r w:rsidR="00DC36B6">
        <w:t>U</w:t>
      </w:r>
      <w:r w:rsidR="00517E12" w:rsidRPr="006455BD">
        <w:t>pward revision</w:t>
      </w:r>
      <w:r w:rsidR="00DC36B6">
        <w:t>s</w:t>
      </w:r>
      <w:r w:rsidR="00517E12" w:rsidRPr="006455BD">
        <w:t xml:space="preserve"> to the data for the ACT</w:t>
      </w:r>
      <w:r w:rsidR="00DC36B6">
        <w:t>, particularly for 2014</w:t>
      </w:r>
      <w:r w:rsidR="00DC36B6">
        <w:noBreakHyphen/>
        <w:t>15 and 2015</w:t>
      </w:r>
      <w:r w:rsidR="00DC36B6">
        <w:noBreakHyphen/>
        <w:t>16,</w:t>
      </w:r>
      <w:r w:rsidR="00517E12" w:rsidRPr="006455BD">
        <w:t xml:space="preserve"> redistributed $</w:t>
      </w:r>
      <w:r w:rsidR="00F4578C" w:rsidRPr="006455BD">
        <w:t>4</w:t>
      </w:r>
      <w:r w:rsidR="00F4578C">
        <w:t>4</w:t>
      </w:r>
      <w:r w:rsidR="00F4578C" w:rsidRPr="006455BD">
        <w:t xml:space="preserve"> </w:t>
      </w:r>
      <w:r w:rsidR="00517E12" w:rsidRPr="006455BD">
        <w:t xml:space="preserve">million away from it. </w:t>
      </w:r>
      <w:r w:rsidR="001D496C" w:rsidRPr="001D496C">
        <w:t xml:space="preserve">The Commission </w:t>
      </w:r>
      <w:r w:rsidR="00A56B18">
        <w:t>considers</w:t>
      </w:r>
      <w:r w:rsidR="00A56B18" w:rsidRPr="001D496C">
        <w:t xml:space="preserve"> </w:t>
      </w:r>
      <w:r w:rsidR="001D496C" w:rsidRPr="001D496C">
        <w:t xml:space="preserve">that, while these revisions may result from statistical processes used by the ABS in compiling the </w:t>
      </w:r>
      <w:proofErr w:type="spellStart"/>
      <w:r w:rsidR="001D496C" w:rsidRPr="001D496C">
        <w:t>CoE</w:t>
      </w:r>
      <w:proofErr w:type="spellEnd"/>
      <w:r w:rsidR="001D496C" w:rsidRPr="001D496C">
        <w:t xml:space="preserve"> data, the use</w:t>
      </w:r>
      <w:r w:rsidR="00F41FF4">
        <w:t xml:space="preserve"> </w:t>
      </w:r>
      <w:r w:rsidR="001D496C" w:rsidRPr="001D496C">
        <w:t>of th</w:t>
      </w:r>
      <w:r w:rsidR="00F41FF4">
        <w:t>e</w:t>
      </w:r>
      <w:r w:rsidR="001D496C" w:rsidRPr="001D496C">
        <w:t>s</w:t>
      </w:r>
      <w:r w:rsidR="00F41FF4">
        <w:t>e</w:t>
      </w:r>
      <w:r w:rsidR="001D496C" w:rsidRPr="001D496C">
        <w:t xml:space="preserve"> data is consistent with the 2015 Review methodology </w:t>
      </w:r>
      <w:r w:rsidR="00833011">
        <w:t>and with the terms of reference</w:t>
      </w:r>
      <w:r w:rsidR="001D496C" w:rsidRPr="001D496C">
        <w:t xml:space="preserve"> requirement to use the latest available data.</w:t>
      </w:r>
    </w:p>
    <w:p w:rsidR="00C84DBF" w:rsidRPr="006455BD" w:rsidRDefault="00C84DBF" w:rsidP="00C84DBF">
      <w:pPr>
        <w:pStyle w:val="CGCBulletlist"/>
      </w:pPr>
      <w:r w:rsidRPr="004960CD">
        <w:rPr>
          <w:rStyle w:val="Heading6Char"/>
        </w:rPr>
        <w:t>Property sales.</w:t>
      </w:r>
      <w:r w:rsidRPr="006455BD">
        <w:t xml:space="preserve"> Replacing </w:t>
      </w:r>
      <w:r w:rsidR="00FE5AAE">
        <w:t>States’</w:t>
      </w:r>
      <w:r w:rsidR="00FE5AAE" w:rsidRPr="006455BD">
        <w:t xml:space="preserve"> </w:t>
      </w:r>
      <w:r>
        <w:t>uniform presentation framework (</w:t>
      </w:r>
      <w:proofErr w:type="spellStart"/>
      <w:r w:rsidRPr="006455BD">
        <w:t>UPF</w:t>
      </w:r>
      <w:proofErr w:type="spellEnd"/>
      <w:r>
        <w:t>)</w:t>
      </w:r>
      <w:r w:rsidRPr="006455BD">
        <w:t xml:space="preserve"> data for 2015</w:t>
      </w:r>
      <w:r w:rsidRPr="006455BD">
        <w:noBreakHyphen/>
        <w:t xml:space="preserve">16 with </w:t>
      </w:r>
      <w:r>
        <w:t>ABS Government Finance Statistics (</w:t>
      </w:r>
      <w:r w:rsidRPr="006455BD">
        <w:t>GFS</w:t>
      </w:r>
      <w:r>
        <w:t>)</w:t>
      </w:r>
      <w:r w:rsidRPr="006455BD">
        <w:t xml:space="preserve"> data resulted in downward</w:t>
      </w:r>
      <w:r w:rsidR="00362C13">
        <w:t xml:space="preserve"> revisions </w:t>
      </w:r>
      <w:r w:rsidR="00AE2885">
        <w:t xml:space="preserve">to conveyance duty </w:t>
      </w:r>
      <w:r w:rsidR="00362C13">
        <w:t xml:space="preserve">for New South Wales </w:t>
      </w:r>
      <w:r w:rsidRPr="006455BD">
        <w:t>and the Northern Territory. This reduced their fiscal capacity and increased their GST shares.</w:t>
      </w:r>
    </w:p>
    <w:p w:rsidR="00C84DBF" w:rsidRPr="006455BD" w:rsidRDefault="00C84DBF" w:rsidP="00786EA7">
      <w:pPr>
        <w:pStyle w:val="CGCBulletlist"/>
      </w:pPr>
      <w:r w:rsidRPr="00C84DBF">
        <w:rPr>
          <w:rStyle w:val="Heading6Char"/>
        </w:rPr>
        <w:t>Commonwealth payments.</w:t>
      </w:r>
      <w:r>
        <w:t xml:space="preserve"> </w:t>
      </w:r>
      <w:r w:rsidR="00786EA7" w:rsidRPr="00786EA7">
        <w:t xml:space="preserve">The cessation of </w:t>
      </w:r>
      <w:proofErr w:type="spellStart"/>
      <w:r w:rsidR="00786EA7" w:rsidRPr="00786EA7">
        <w:t>backcasting</w:t>
      </w:r>
      <w:proofErr w:type="spellEnd"/>
      <w:r w:rsidR="000D61F4">
        <w:t xml:space="preserve"> of</w:t>
      </w:r>
      <w:r w:rsidR="00786EA7" w:rsidRPr="00786EA7">
        <w:t xml:space="preserve"> the Student</w:t>
      </w:r>
      <w:r w:rsidR="002275C9">
        <w:t>s</w:t>
      </w:r>
      <w:r w:rsidR="00786EA7" w:rsidRPr="00786EA7">
        <w:t xml:space="preserve"> First payment </w:t>
      </w:r>
      <w:r w:rsidR="00A87EE6">
        <w:t>increased</w:t>
      </w:r>
      <w:r w:rsidR="00A87EE6" w:rsidRPr="00786EA7">
        <w:t xml:space="preserve"> </w:t>
      </w:r>
      <w:r w:rsidR="00786EA7" w:rsidRPr="00786EA7">
        <w:t>the GST shares of New South Wales, Queensland and Western Australia, and decreas</w:t>
      </w:r>
      <w:r w:rsidR="00A87EE6">
        <w:t>ed</w:t>
      </w:r>
      <w:r w:rsidR="00786EA7" w:rsidRPr="00786EA7">
        <w:t xml:space="preserve"> the GST shares for other States. The correction of an error for rail infrastructure payment</w:t>
      </w:r>
      <w:r w:rsidR="00AE2885">
        <w:t>s had</w:t>
      </w:r>
      <w:r w:rsidR="00786EA7" w:rsidRPr="00786EA7">
        <w:t xml:space="preserve"> a small impact on GST redistribution, decreasing the GST shares of New South Wales and Tasmania and </w:t>
      </w:r>
      <w:r w:rsidR="00EC50C7">
        <w:t>in</w:t>
      </w:r>
      <w:r w:rsidR="00786EA7" w:rsidRPr="00786EA7">
        <w:t>creasing the GST shares of other States.</w:t>
      </w:r>
    </w:p>
    <w:p w:rsidR="00EE206E" w:rsidRDefault="00903936" w:rsidP="00D568B0">
      <w:pPr>
        <w:pStyle w:val="CGCTableHeading"/>
      </w:pPr>
      <w:bookmarkStart w:id="406" w:name="_Ref504644002"/>
      <w:r>
        <w:lastRenderedPageBreak/>
        <w:t>Table 1</w:t>
      </w:r>
      <w:r>
        <w:noBreakHyphen/>
      </w:r>
      <w:r w:rsidR="00CD68E8">
        <w:fldChar w:fldCharType="begin"/>
      </w:r>
      <w:r w:rsidR="00CD68E8">
        <w:instrText xml:space="preserve"> SEQ Table \* ARABIC \s 1 </w:instrText>
      </w:r>
      <w:r w:rsidR="00CD68E8">
        <w:fldChar w:fldCharType="separate"/>
      </w:r>
      <w:r w:rsidR="000A6746">
        <w:rPr>
          <w:noProof/>
        </w:rPr>
        <w:t>3</w:t>
      </w:r>
      <w:r w:rsidR="00CD68E8">
        <w:rPr>
          <w:noProof/>
        </w:rPr>
        <w:fldChar w:fldCharType="end"/>
      </w:r>
      <w:bookmarkEnd w:id="406"/>
      <w:r>
        <w:tab/>
        <w:t>Main effects of data revisions, 2018 </w:t>
      </w:r>
      <w:proofErr w:type="gramStart"/>
      <w:r>
        <w:t>Update</w:t>
      </w:r>
      <w:proofErr w:type="gramEnd"/>
      <w:r>
        <w:t xml:space="preserve"> </w:t>
      </w:r>
    </w:p>
    <w:tbl>
      <w:tblPr>
        <w:tblW w:w="9220" w:type="dxa"/>
        <w:tblInd w:w="93" w:type="dxa"/>
        <w:tblLook w:val="04A0" w:firstRow="1" w:lastRow="0" w:firstColumn="1" w:lastColumn="0" w:noHBand="0" w:noVBand="1"/>
      </w:tblPr>
      <w:tblGrid>
        <w:gridCol w:w="2620"/>
        <w:gridCol w:w="640"/>
        <w:gridCol w:w="740"/>
        <w:gridCol w:w="740"/>
        <w:gridCol w:w="800"/>
        <w:gridCol w:w="740"/>
        <w:gridCol w:w="640"/>
        <w:gridCol w:w="640"/>
        <w:gridCol w:w="800"/>
        <w:gridCol w:w="860"/>
      </w:tblGrid>
      <w:tr w:rsidR="00D568B0" w:rsidRPr="00D568B0" w:rsidTr="00D568B0">
        <w:trPr>
          <w:trHeight w:val="375"/>
        </w:trPr>
        <w:tc>
          <w:tcPr>
            <w:tcW w:w="2620" w:type="dxa"/>
            <w:tcBorders>
              <w:top w:val="single" w:sz="4" w:space="0" w:color="auto"/>
              <w:left w:val="nil"/>
              <w:bottom w:val="nil"/>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 </w:t>
            </w:r>
          </w:p>
        </w:tc>
        <w:tc>
          <w:tcPr>
            <w:tcW w:w="64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WA</w:t>
            </w:r>
          </w:p>
        </w:tc>
        <w:tc>
          <w:tcPr>
            <w:tcW w:w="74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D568B0">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NT</w:t>
            </w:r>
          </w:p>
        </w:tc>
        <w:tc>
          <w:tcPr>
            <w:tcW w:w="860" w:type="dxa"/>
            <w:tcBorders>
              <w:top w:val="single" w:sz="4" w:space="0" w:color="auto"/>
              <w:left w:val="nil"/>
              <w:bottom w:val="single" w:sz="4" w:space="0" w:color="auto"/>
              <w:right w:val="nil"/>
            </w:tcBorders>
            <w:shd w:val="clear" w:color="auto" w:fill="auto"/>
            <w:noWrap/>
            <w:vAlign w:val="center"/>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D568B0">
              <w:rPr>
                <w:rFonts w:ascii="Calibri" w:eastAsia="Times New Roman" w:hAnsi="Calibri" w:cs="Times New Roman"/>
                <w:sz w:val="20"/>
                <w:szCs w:val="20"/>
                <w:lang w:eastAsia="en-AU"/>
              </w:rPr>
              <w:t>Redist</w:t>
            </w:r>
            <w:proofErr w:type="spellEnd"/>
          </w:p>
        </w:tc>
      </w:tr>
      <w:tr w:rsidR="00D568B0" w:rsidRPr="00D568B0" w:rsidTr="00D568B0">
        <w:trPr>
          <w:trHeight w:val="258"/>
        </w:trPr>
        <w:tc>
          <w:tcPr>
            <w:tcW w:w="2620" w:type="dxa"/>
            <w:tcBorders>
              <w:top w:val="single" w:sz="4" w:space="0" w:color="auto"/>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 </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D568B0" w:rsidRPr="00D568B0" w:rsidRDefault="00D568B0" w:rsidP="00D568B0">
            <w:pPr>
              <w:keepNext/>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$m</w:t>
            </w:r>
          </w:p>
        </w:tc>
      </w:tr>
      <w:tr w:rsidR="00D568B0" w:rsidRPr="00D568B0" w:rsidTr="00D568B0">
        <w:trPr>
          <w:trHeight w:val="315"/>
        </w:trPr>
        <w:tc>
          <w:tcPr>
            <w:tcW w:w="262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New Census data</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-373</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578</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56</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-311</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43</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0</w:t>
            </w:r>
          </w:p>
        </w:tc>
        <w:tc>
          <w:tcPr>
            <w:tcW w:w="86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684</w:t>
            </w:r>
          </w:p>
        </w:tc>
      </w:tr>
      <w:tr w:rsidR="00D568B0" w:rsidRPr="00D568B0" w:rsidTr="00D568B0">
        <w:trPr>
          <w:trHeight w:val="315"/>
        </w:trPr>
        <w:tc>
          <w:tcPr>
            <w:tcW w:w="262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Taxable payrolls</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74</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-104</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-24</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41</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68</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-10</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-44</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0</w:t>
            </w:r>
          </w:p>
        </w:tc>
        <w:tc>
          <w:tcPr>
            <w:tcW w:w="86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183</w:t>
            </w:r>
          </w:p>
        </w:tc>
      </w:tr>
      <w:tr w:rsidR="00D568B0" w:rsidRPr="00D568B0" w:rsidTr="00D568B0">
        <w:trPr>
          <w:trHeight w:val="315"/>
        </w:trPr>
        <w:tc>
          <w:tcPr>
            <w:tcW w:w="262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Property sales</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117</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-47</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-37</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-19</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-12</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w:t>
            </w:r>
          </w:p>
        </w:tc>
        <w:tc>
          <w:tcPr>
            <w:tcW w:w="86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122</w:t>
            </w:r>
          </w:p>
        </w:tc>
      </w:tr>
      <w:tr w:rsidR="00D568B0" w:rsidRPr="00D568B0" w:rsidTr="00D568B0">
        <w:trPr>
          <w:trHeight w:val="315"/>
        </w:trPr>
        <w:tc>
          <w:tcPr>
            <w:tcW w:w="262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Commonwealth payments</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-34</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49</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46</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-28</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-19</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-12</w:t>
            </w:r>
          </w:p>
        </w:tc>
        <w:tc>
          <w:tcPr>
            <w:tcW w:w="86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98</w:t>
            </w:r>
          </w:p>
        </w:tc>
      </w:tr>
      <w:tr w:rsidR="00D568B0" w:rsidRPr="00D568B0" w:rsidTr="00D568B0">
        <w:trPr>
          <w:trHeight w:val="315"/>
        </w:trPr>
        <w:tc>
          <w:tcPr>
            <w:tcW w:w="262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Other revisions</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163</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19</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-66</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-123</w:t>
            </w:r>
          </w:p>
        </w:tc>
        <w:tc>
          <w:tcPr>
            <w:tcW w:w="7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54</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22</w:t>
            </w:r>
          </w:p>
        </w:tc>
        <w:tc>
          <w:tcPr>
            <w:tcW w:w="64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-15</w:t>
            </w:r>
          </w:p>
        </w:tc>
        <w:tc>
          <w:tcPr>
            <w:tcW w:w="80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-55</w:t>
            </w:r>
          </w:p>
        </w:tc>
        <w:tc>
          <w:tcPr>
            <w:tcW w:w="860" w:type="dxa"/>
            <w:tcBorders>
              <w:top w:val="nil"/>
              <w:left w:val="nil"/>
              <w:bottom w:val="nil"/>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259</w:t>
            </w:r>
          </w:p>
        </w:tc>
      </w:tr>
      <w:tr w:rsidR="00D568B0" w:rsidRPr="00D568B0" w:rsidTr="00D568B0">
        <w:trPr>
          <w:trHeight w:val="315"/>
        </w:trPr>
        <w:tc>
          <w:tcPr>
            <w:tcW w:w="2620" w:type="dxa"/>
            <w:tcBorders>
              <w:top w:val="nil"/>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-16</w:t>
            </w:r>
          </w:p>
        </w:tc>
        <w:tc>
          <w:tcPr>
            <w:tcW w:w="74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412</w:t>
            </w:r>
          </w:p>
        </w:tc>
        <w:tc>
          <w:tcPr>
            <w:tcW w:w="74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-21</w:t>
            </w:r>
          </w:p>
        </w:tc>
        <w:tc>
          <w:tcPr>
            <w:tcW w:w="80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-367</w:t>
            </w:r>
          </w:p>
        </w:tc>
        <w:tc>
          <w:tcPr>
            <w:tcW w:w="74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84</w:t>
            </w:r>
          </w:p>
        </w:tc>
        <w:tc>
          <w:tcPr>
            <w:tcW w:w="64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-6</w:t>
            </w:r>
          </w:p>
        </w:tc>
        <w:tc>
          <w:tcPr>
            <w:tcW w:w="64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-25</w:t>
            </w:r>
          </w:p>
        </w:tc>
        <w:tc>
          <w:tcPr>
            <w:tcW w:w="80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-61</w:t>
            </w:r>
          </w:p>
        </w:tc>
        <w:tc>
          <w:tcPr>
            <w:tcW w:w="860" w:type="dxa"/>
            <w:tcBorders>
              <w:top w:val="single" w:sz="4" w:space="0" w:color="auto"/>
              <w:left w:val="nil"/>
              <w:bottom w:val="single" w:sz="4" w:space="0" w:color="auto"/>
              <w:right w:val="nil"/>
            </w:tcBorders>
            <w:shd w:val="clear" w:color="auto" w:fill="auto"/>
            <w:noWrap/>
            <w:vAlign w:val="bottom"/>
            <w:hideMark/>
          </w:tcPr>
          <w:p w:rsidR="00D568B0" w:rsidRPr="00D568B0" w:rsidRDefault="00D568B0" w:rsidP="00D568B0">
            <w:pPr>
              <w:tabs>
                <w:tab w:val="clear" w:pos="567"/>
              </w:tabs>
              <w:spacing w:after="0" w:line="240" w:lineRule="auto"/>
              <w:jc w:val="right"/>
              <w:rPr>
                <w:rFonts w:ascii="Calibri" w:eastAsia="Times New Roman" w:hAnsi="Calibri" w:cs="Times New Roman"/>
                <w:sz w:val="20"/>
                <w:szCs w:val="20"/>
                <w:lang w:eastAsia="en-AU"/>
              </w:rPr>
            </w:pPr>
            <w:r w:rsidRPr="00D568B0">
              <w:rPr>
                <w:rFonts w:ascii="Calibri" w:eastAsia="Times New Roman" w:hAnsi="Calibri" w:cs="Times New Roman"/>
                <w:sz w:val="20"/>
                <w:szCs w:val="20"/>
                <w:lang w:eastAsia="en-AU"/>
              </w:rPr>
              <w:t>496</w:t>
            </w:r>
          </w:p>
        </w:tc>
      </w:tr>
    </w:tbl>
    <w:p w:rsidR="00F026E3" w:rsidRDefault="00F026E3" w:rsidP="00E71351">
      <w:pPr>
        <w:pStyle w:val="CGCTableFootnote"/>
        <w:keepNext/>
        <w:keepLines/>
      </w:pPr>
      <w:r>
        <w:t>Note:</w:t>
      </w:r>
      <w:r>
        <w:tab/>
        <w:t>Census related revisions are shown separately in this table. The other revisions shown in this table exclude any effects of Census related revisions.</w:t>
      </w:r>
    </w:p>
    <w:p w:rsidR="00903936" w:rsidRDefault="00903936" w:rsidP="00E71351">
      <w:pPr>
        <w:pStyle w:val="CGCTableFootnote"/>
        <w:keepNext/>
        <w:keepLines/>
      </w:pPr>
      <w:r>
        <w:t>Source:</w:t>
      </w:r>
      <w:r>
        <w:tab/>
        <w:t>Commission calculation.</w:t>
      </w:r>
    </w:p>
    <w:p w:rsidR="00E71351" w:rsidRPr="00E71351" w:rsidRDefault="00E71351" w:rsidP="00E71351">
      <w:pPr>
        <w:pStyle w:val="NoSpacing"/>
      </w:pPr>
    </w:p>
    <w:tbl>
      <w:tblPr>
        <w:tblStyle w:val="TableGrid"/>
        <w:tblW w:w="0" w:type="auto"/>
        <w:tblLook w:val="04A0" w:firstRow="1" w:lastRow="0" w:firstColumn="1" w:lastColumn="0" w:noHBand="0" w:noVBand="1"/>
      </w:tblPr>
      <w:tblGrid>
        <w:gridCol w:w="9167"/>
      </w:tblGrid>
      <w:tr w:rsidR="004960CD" w:rsidTr="004960CD">
        <w:tc>
          <w:tcPr>
            <w:tcW w:w="9167" w:type="dxa"/>
            <w:tcBorders>
              <w:top w:val="nil"/>
              <w:left w:val="nil"/>
              <w:bottom w:val="nil"/>
              <w:right w:val="nil"/>
            </w:tcBorders>
            <w:shd w:val="clear" w:color="auto" w:fill="D9F3E6"/>
          </w:tcPr>
          <w:p w:rsidR="004960CD" w:rsidRPr="00973F8B" w:rsidRDefault="004960CD" w:rsidP="004960CD">
            <w:pPr>
              <w:pStyle w:val="Caption"/>
            </w:pPr>
            <w:r w:rsidRPr="00973F8B">
              <w:lastRenderedPageBreak/>
              <w:t xml:space="preserve">Box </w:t>
            </w:r>
            <w:r>
              <w:t>1</w:t>
            </w:r>
            <w:r w:rsidRPr="00973F8B">
              <w:noBreakHyphen/>
            </w:r>
            <w:r w:rsidR="00CD68E8">
              <w:fldChar w:fldCharType="begin"/>
            </w:r>
            <w:r w:rsidR="00CD68E8">
              <w:instrText xml:space="preserve"> SEQ Box \* ARABIC \s 1 </w:instrText>
            </w:r>
            <w:r w:rsidR="00CD68E8">
              <w:fldChar w:fldCharType="separate"/>
            </w:r>
            <w:r w:rsidR="000A6746">
              <w:rPr>
                <w:noProof/>
              </w:rPr>
              <w:t>1</w:t>
            </w:r>
            <w:r w:rsidR="00CD68E8">
              <w:rPr>
                <w:noProof/>
              </w:rPr>
              <w:fldChar w:fldCharType="end"/>
            </w:r>
            <w:r w:rsidRPr="00973F8B">
              <w:tab/>
            </w:r>
            <w:r>
              <w:t>Effect of incorporating 2016 Census data</w:t>
            </w:r>
          </w:p>
          <w:p w:rsidR="004960CD" w:rsidRPr="004960CD" w:rsidRDefault="004960CD" w:rsidP="004960CD">
            <w:pPr>
              <w:rPr>
                <w:sz w:val="22"/>
              </w:rPr>
            </w:pPr>
            <w:r w:rsidRPr="00A56B18">
              <w:rPr>
                <w:b/>
                <w:i/>
                <w:sz w:val="22"/>
              </w:rPr>
              <w:t>Total population.</w:t>
            </w:r>
            <w:r w:rsidRPr="003B74D6">
              <w:rPr>
                <w:b/>
                <w:sz w:val="22"/>
              </w:rPr>
              <w:t xml:space="preserve"> </w:t>
            </w:r>
            <w:r w:rsidRPr="004960CD">
              <w:rPr>
                <w:sz w:val="22"/>
              </w:rPr>
              <w:t>One of the most significant implications of the 2016 Census is that the estimates of Victoria’s population have been revised upward by 11</w:t>
            </w:r>
            <w:r w:rsidR="00DB1757">
              <w:rPr>
                <w:sz w:val="22"/>
              </w:rPr>
              <w:t>1</w:t>
            </w:r>
            <w:r w:rsidRPr="004960CD">
              <w:rPr>
                <w:sz w:val="22"/>
              </w:rPr>
              <w:t> 000, while Western Australia’s population estimates have been revised downward by about 5</w:t>
            </w:r>
            <w:r w:rsidR="00DB1757">
              <w:rPr>
                <w:sz w:val="22"/>
              </w:rPr>
              <w:t>8</w:t>
            </w:r>
            <w:r w:rsidRPr="004960CD">
              <w:rPr>
                <w:sz w:val="22"/>
              </w:rPr>
              <w:t xml:space="preserve"> 000. </w:t>
            </w:r>
            <w:r w:rsidR="00681443">
              <w:rPr>
                <w:sz w:val="22"/>
              </w:rPr>
              <w:t>The table below shows that t</w:t>
            </w:r>
            <w:r w:rsidRPr="004960CD">
              <w:rPr>
                <w:sz w:val="22"/>
              </w:rPr>
              <w:t>hese changes redistributed $</w:t>
            </w:r>
            <w:r w:rsidR="0077147F">
              <w:rPr>
                <w:sz w:val="22"/>
              </w:rPr>
              <w:t>595</w:t>
            </w:r>
            <w:r w:rsidR="005A584C" w:rsidRPr="004960CD">
              <w:rPr>
                <w:sz w:val="22"/>
              </w:rPr>
              <w:t> </w:t>
            </w:r>
            <w:r w:rsidRPr="004960CD">
              <w:rPr>
                <w:sz w:val="22"/>
              </w:rPr>
              <w:t xml:space="preserve">million, increasing Victoria’s GST </w:t>
            </w:r>
            <w:r w:rsidR="00235CBA">
              <w:rPr>
                <w:sz w:val="22"/>
              </w:rPr>
              <w:t>share</w:t>
            </w:r>
            <w:r w:rsidR="00235CBA" w:rsidRPr="004960CD">
              <w:rPr>
                <w:sz w:val="22"/>
              </w:rPr>
              <w:t xml:space="preserve"> </w:t>
            </w:r>
            <w:r w:rsidRPr="004960CD">
              <w:rPr>
                <w:sz w:val="22"/>
              </w:rPr>
              <w:t xml:space="preserve">and reducing Western Australia’s GST </w:t>
            </w:r>
            <w:r w:rsidR="00235CBA">
              <w:rPr>
                <w:sz w:val="22"/>
              </w:rPr>
              <w:t>share</w:t>
            </w:r>
            <w:r w:rsidR="002052A4">
              <w:rPr>
                <w:sz w:val="22"/>
              </w:rPr>
              <w:t>, largely reflecting a relative decline and in</w:t>
            </w:r>
            <w:r w:rsidR="00665521">
              <w:rPr>
                <w:sz w:val="22"/>
              </w:rPr>
              <w:t>crease in</w:t>
            </w:r>
            <w:r w:rsidR="002052A4">
              <w:rPr>
                <w:sz w:val="22"/>
              </w:rPr>
              <w:t xml:space="preserve"> these States</w:t>
            </w:r>
            <w:r w:rsidR="00665521">
              <w:rPr>
                <w:sz w:val="22"/>
              </w:rPr>
              <w:t>’</w:t>
            </w:r>
            <w:r w:rsidR="002052A4">
              <w:rPr>
                <w:sz w:val="22"/>
              </w:rPr>
              <w:t xml:space="preserve"> respective </w:t>
            </w:r>
            <w:r w:rsidR="002275C9">
              <w:rPr>
                <w:sz w:val="22"/>
              </w:rPr>
              <w:t xml:space="preserve">per capita </w:t>
            </w:r>
            <w:r w:rsidR="002052A4">
              <w:rPr>
                <w:sz w:val="22"/>
              </w:rPr>
              <w:t>revenue raising capa</w:t>
            </w:r>
            <w:r w:rsidR="00665521">
              <w:rPr>
                <w:sz w:val="22"/>
              </w:rPr>
              <w:t>cities</w:t>
            </w:r>
            <w:r w:rsidR="002052A4">
              <w:rPr>
                <w:sz w:val="22"/>
              </w:rPr>
              <w:t>.</w:t>
            </w:r>
          </w:p>
          <w:p w:rsidR="004960CD" w:rsidRDefault="004960CD" w:rsidP="004960CD">
            <w:pPr>
              <w:rPr>
                <w:sz w:val="22"/>
              </w:rPr>
            </w:pPr>
            <w:r w:rsidRPr="003B74D6">
              <w:rPr>
                <w:b/>
                <w:i/>
                <w:sz w:val="22"/>
              </w:rPr>
              <w:t>Indigenous population.</w:t>
            </w:r>
            <w:r w:rsidRPr="004960CD">
              <w:rPr>
                <w:sz w:val="22"/>
              </w:rPr>
              <w:t xml:space="preserve"> In addition to revisions to total population levels, the 2016 Census provided more recent information on the attributes of the population. Between the 2011 and 2016 Censuses, State shares of the Indigenous population changed. New South Wales’ Indigenous population estimate for 2016 was revised upward by 15%, mainly in the less disadvantaged non-remote areas. New South Wales’ share of that population increased, while Queensland’s share decreased. Western Australia’s share of </w:t>
            </w:r>
            <w:r w:rsidR="00DC71E2">
              <w:rPr>
                <w:sz w:val="22"/>
              </w:rPr>
              <w:t xml:space="preserve">the </w:t>
            </w:r>
            <w:r w:rsidRPr="004960CD">
              <w:rPr>
                <w:sz w:val="22"/>
              </w:rPr>
              <w:t xml:space="preserve">total Indigenous population fell slightly, but its share of </w:t>
            </w:r>
            <w:r w:rsidR="006F13E4">
              <w:rPr>
                <w:sz w:val="22"/>
              </w:rPr>
              <w:t xml:space="preserve">the </w:t>
            </w:r>
            <w:r w:rsidRPr="004960CD">
              <w:rPr>
                <w:sz w:val="22"/>
              </w:rPr>
              <w:t xml:space="preserve">remote Indigenous population increased. </w:t>
            </w:r>
            <w:r w:rsidR="00833011" w:rsidRPr="003B74D6">
              <w:rPr>
                <w:sz w:val="22"/>
              </w:rPr>
              <w:t>Similarly to Western Australia, while the Northern Territory’s share of the total Indigenous population has fallen, its share of the remote Indigenous population has increased slightly</w:t>
            </w:r>
            <w:r w:rsidR="00833011">
              <w:rPr>
                <w:sz w:val="22"/>
              </w:rPr>
              <w:t xml:space="preserve">. </w:t>
            </w:r>
            <w:r w:rsidR="005A32A6">
              <w:rPr>
                <w:sz w:val="22"/>
              </w:rPr>
              <w:t>(</w:t>
            </w:r>
            <w:r w:rsidR="00833011" w:rsidRPr="004960CD">
              <w:rPr>
                <w:sz w:val="22"/>
              </w:rPr>
              <w:t>Box 1</w:t>
            </w:r>
            <w:r w:rsidR="00833011">
              <w:rPr>
                <w:sz w:val="22"/>
              </w:rPr>
              <w:noBreakHyphen/>
              <w:t>2</w:t>
            </w:r>
            <w:r w:rsidR="00833011" w:rsidRPr="004960CD">
              <w:rPr>
                <w:sz w:val="22"/>
              </w:rPr>
              <w:t xml:space="preserve"> describes the Commission’s methods </w:t>
            </w:r>
            <w:r w:rsidR="00833011">
              <w:rPr>
                <w:sz w:val="22"/>
              </w:rPr>
              <w:t xml:space="preserve">for assessing Indigenous needs, in particular how they </w:t>
            </w:r>
            <w:r w:rsidR="00833011" w:rsidRPr="004960CD">
              <w:rPr>
                <w:sz w:val="22"/>
              </w:rPr>
              <w:t>deal with the heterogeneity of the Indigenous populati</w:t>
            </w:r>
            <w:r w:rsidR="00833011">
              <w:rPr>
                <w:sz w:val="22"/>
              </w:rPr>
              <w:t>on and its changing attributes.</w:t>
            </w:r>
            <w:r w:rsidR="005A32A6">
              <w:rPr>
                <w:sz w:val="22"/>
              </w:rPr>
              <w:t>)</w:t>
            </w:r>
            <w:r w:rsidR="00833011">
              <w:rPr>
                <w:sz w:val="22"/>
              </w:rPr>
              <w:t xml:space="preserve"> </w:t>
            </w:r>
            <w:r w:rsidRPr="004960CD">
              <w:rPr>
                <w:sz w:val="22"/>
              </w:rPr>
              <w:t xml:space="preserve">The effect of revised Indigenous populations and attributes associated with the 2016 Census has reduced Queensland </w:t>
            </w:r>
            <w:r w:rsidR="00302ADC">
              <w:rPr>
                <w:sz w:val="22"/>
              </w:rPr>
              <w:t xml:space="preserve">and the Northern Territory’s </w:t>
            </w:r>
            <w:r w:rsidRPr="004960CD">
              <w:rPr>
                <w:sz w:val="22"/>
              </w:rPr>
              <w:t xml:space="preserve">GST </w:t>
            </w:r>
            <w:r w:rsidR="00DB6A81">
              <w:rPr>
                <w:sz w:val="22"/>
              </w:rPr>
              <w:t>shares</w:t>
            </w:r>
            <w:r w:rsidR="00DB6A81" w:rsidRPr="004960CD">
              <w:rPr>
                <w:sz w:val="22"/>
              </w:rPr>
              <w:t xml:space="preserve"> </w:t>
            </w:r>
            <w:r w:rsidRPr="004960CD">
              <w:rPr>
                <w:sz w:val="22"/>
              </w:rPr>
              <w:t>by about $</w:t>
            </w:r>
            <w:r w:rsidR="00302ADC">
              <w:rPr>
                <w:sz w:val="22"/>
              </w:rPr>
              <w:t>90 </w:t>
            </w:r>
            <w:r w:rsidRPr="004960CD">
              <w:rPr>
                <w:sz w:val="22"/>
              </w:rPr>
              <w:t xml:space="preserve">million </w:t>
            </w:r>
            <w:r w:rsidR="00302ADC">
              <w:rPr>
                <w:sz w:val="22"/>
              </w:rPr>
              <w:t xml:space="preserve">and $12 million respectively </w:t>
            </w:r>
            <w:r w:rsidRPr="004960CD">
              <w:rPr>
                <w:sz w:val="22"/>
              </w:rPr>
              <w:t xml:space="preserve">and increased </w:t>
            </w:r>
            <w:r w:rsidR="00302ADC">
              <w:rPr>
                <w:sz w:val="22"/>
              </w:rPr>
              <w:t xml:space="preserve">that of </w:t>
            </w:r>
            <w:r w:rsidRPr="004960CD">
              <w:rPr>
                <w:sz w:val="22"/>
              </w:rPr>
              <w:t xml:space="preserve">New South Wales </w:t>
            </w:r>
            <w:r w:rsidR="00302ADC">
              <w:rPr>
                <w:sz w:val="22"/>
              </w:rPr>
              <w:t>($35 million), Victoria ($39</w:t>
            </w:r>
            <w:r w:rsidR="005A32A6">
              <w:rPr>
                <w:sz w:val="22"/>
              </w:rPr>
              <w:t> </w:t>
            </w:r>
            <w:r w:rsidR="00302ADC">
              <w:rPr>
                <w:sz w:val="22"/>
              </w:rPr>
              <w:t>million), Western Australia ($22 mill</w:t>
            </w:r>
            <w:r w:rsidR="00B10F9C">
              <w:rPr>
                <w:sz w:val="22"/>
              </w:rPr>
              <w:t>ion) and Tasmania ($20</w:t>
            </w:r>
            <w:r w:rsidR="00624A90">
              <w:rPr>
                <w:sz w:val="22"/>
              </w:rPr>
              <w:t> </w:t>
            </w:r>
            <w:r w:rsidR="00B10F9C">
              <w:rPr>
                <w:sz w:val="22"/>
              </w:rPr>
              <w:t>million)</w:t>
            </w:r>
            <w:r w:rsidR="00833011">
              <w:rPr>
                <w:sz w:val="22"/>
              </w:rPr>
              <w:t>.</w:t>
            </w:r>
          </w:p>
          <w:p w:rsidR="004960CD" w:rsidRDefault="004960CD" w:rsidP="004960CD">
            <w:pPr>
              <w:rPr>
                <w:sz w:val="22"/>
              </w:rPr>
            </w:pPr>
            <w:r w:rsidRPr="003B74D6">
              <w:rPr>
                <w:b/>
                <w:i/>
                <w:sz w:val="22"/>
              </w:rPr>
              <w:t>Socio-economic status of the non-Indigenous population.</w:t>
            </w:r>
            <w:r w:rsidRPr="004960CD">
              <w:rPr>
                <w:sz w:val="22"/>
              </w:rPr>
              <w:t xml:space="preserve"> Between 2011 and 2016, the socio-economic profile of Australia changed. New South Wales and the Northern Territory </w:t>
            </w:r>
            <w:r w:rsidR="00C61224">
              <w:rPr>
                <w:sz w:val="22"/>
              </w:rPr>
              <w:t xml:space="preserve">had a greater proportion of their population in </w:t>
            </w:r>
            <w:r w:rsidR="004318FC">
              <w:rPr>
                <w:sz w:val="22"/>
              </w:rPr>
              <w:t xml:space="preserve">the </w:t>
            </w:r>
            <w:r w:rsidRPr="004960CD">
              <w:rPr>
                <w:sz w:val="22"/>
              </w:rPr>
              <w:t>least disadvantaged non-Indigenous areas</w:t>
            </w:r>
            <w:r w:rsidR="00C61224">
              <w:rPr>
                <w:sz w:val="22"/>
              </w:rPr>
              <w:t xml:space="preserve"> in 2016 than in 2011</w:t>
            </w:r>
            <w:r w:rsidR="00A51FDE">
              <w:rPr>
                <w:sz w:val="22"/>
              </w:rPr>
              <w:t>. Western Australia</w:t>
            </w:r>
            <w:r w:rsidRPr="004960CD">
              <w:rPr>
                <w:sz w:val="22"/>
              </w:rPr>
              <w:t xml:space="preserve"> and</w:t>
            </w:r>
            <w:r w:rsidR="00A51FDE">
              <w:rPr>
                <w:sz w:val="22"/>
              </w:rPr>
              <w:t>,</w:t>
            </w:r>
            <w:r w:rsidRPr="004960CD">
              <w:rPr>
                <w:sz w:val="22"/>
              </w:rPr>
              <w:t xml:space="preserve"> to a lesser extent</w:t>
            </w:r>
            <w:r w:rsidR="00A51FDE">
              <w:rPr>
                <w:sz w:val="22"/>
              </w:rPr>
              <w:t>,</w:t>
            </w:r>
            <w:r w:rsidRPr="004960CD">
              <w:rPr>
                <w:sz w:val="22"/>
              </w:rPr>
              <w:t xml:space="preserve"> Queensland, South Australia and the ACT were found to be more disadvantaged than they had been in the 2011 Census. This decreased New</w:t>
            </w:r>
            <w:r w:rsidR="00D444BE">
              <w:rPr>
                <w:sz w:val="22"/>
              </w:rPr>
              <w:t> </w:t>
            </w:r>
            <w:r w:rsidRPr="004960CD">
              <w:rPr>
                <w:sz w:val="22"/>
              </w:rPr>
              <w:t>South</w:t>
            </w:r>
            <w:r w:rsidR="00D444BE">
              <w:rPr>
                <w:sz w:val="22"/>
              </w:rPr>
              <w:t> </w:t>
            </w:r>
            <w:r w:rsidRPr="004960CD">
              <w:rPr>
                <w:sz w:val="22"/>
              </w:rPr>
              <w:t xml:space="preserve">Wales’ GST </w:t>
            </w:r>
            <w:r w:rsidR="00DB6A81">
              <w:rPr>
                <w:sz w:val="22"/>
              </w:rPr>
              <w:t>share</w:t>
            </w:r>
            <w:r w:rsidR="00DB6A81" w:rsidRPr="004960CD">
              <w:rPr>
                <w:sz w:val="22"/>
              </w:rPr>
              <w:t xml:space="preserve"> </w:t>
            </w:r>
            <w:r w:rsidRPr="004960CD">
              <w:rPr>
                <w:sz w:val="22"/>
              </w:rPr>
              <w:t>by about $300 million, and increased the GST shares of Queensland and Western Australia. The 2016 Census also resulted in revisions to the age structure and geographic distribution of the population in each State. In total, changes related to the 2016 Census redistributed $</w:t>
            </w:r>
            <w:r w:rsidR="0019260F">
              <w:rPr>
                <w:sz w:val="22"/>
              </w:rPr>
              <w:t>684 </w:t>
            </w:r>
            <w:r w:rsidRPr="004960CD">
              <w:rPr>
                <w:sz w:val="22"/>
              </w:rPr>
              <w:t>million, mainly to Victoria, and away from New South Wales and Western</w:t>
            </w:r>
            <w:r w:rsidR="00D444BE">
              <w:rPr>
                <w:sz w:val="22"/>
              </w:rPr>
              <w:t> </w:t>
            </w:r>
            <w:r w:rsidRPr="004960CD">
              <w:rPr>
                <w:sz w:val="22"/>
              </w:rPr>
              <w:t>Australia</w:t>
            </w:r>
            <w:r w:rsidR="0075189D">
              <w:rPr>
                <w:sz w:val="22"/>
              </w:rPr>
              <w:t>, as shown in the table below</w:t>
            </w:r>
            <w:r w:rsidRPr="004960CD">
              <w:rPr>
                <w:sz w:val="22"/>
              </w:rPr>
              <w:t>.</w:t>
            </w:r>
          </w:p>
          <w:p w:rsidR="00E42693" w:rsidRDefault="00E42693" w:rsidP="006322A1">
            <w:pPr>
              <w:pStyle w:val="CGCTableHeading"/>
            </w:pPr>
            <w:r>
              <w:t>Effects of revisions associated with the 2016 Census</w:t>
            </w:r>
          </w:p>
          <w:tbl>
            <w:tblPr>
              <w:tblW w:w="9200" w:type="dxa"/>
              <w:tblLook w:val="04A0" w:firstRow="1" w:lastRow="0" w:firstColumn="1" w:lastColumn="0" w:noHBand="0" w:noVBand="1"/>
            </w:tblPr>
            <w:tblGrid>
              <w:gridCol w:w="2360"/>
              <w:gridCol w:w="799"/>
              <w:gridCol w:w="741"/>
              <w:gridCol w:w="741"/>
              <w:gridCol w:w="799"/>
              <w:gridCol w:w="683"/>
              <w:gridCol w:w="625"/>
              <w:gridCol w:w="644"/>
              <w:gridCol w:w="683"/>
              <w:gridCol w:w="876"/>
            </w:tblGrid>
            <w:tr w:rsidR="0077147F" w:rsidRPr="0077147F" w:rsidTr="0077147F">
              <w:trPr>
                <w:trHeight w:val="378"/>
              </w:trPr>
              <w:tc>
                <w:tcPr>
                  <w:tcW w:w="244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bookmarkStart w:id="407" w:name="RANGE!A20:J24"/>
                  <w:r w:rsidRPr="0077147F">
                    <w:rPr>
                      <w:rFonts w:ascii="Calibri" w:eastAsia="Times New Roman" w:hAnsi="Calibri" w:cs="Times New Roman"/>
                      <w:sz w:val="20"/>
                      <w:szCs w:val="20"/>
                      <w:lang w:eastAsia="en-AU"/>
                    </w:rPr>
                    <w:t> </w:t>
                  </w:r>
                  <w:bookmarkEnd w:id="407"/>
                </w:p>
              </w:tc>
              <w:tc>
                <w:tcPr>
                  <w:tcW w:w="82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NSW</w:t>
                  </w:r>
                </w:p>
              </w:tc>
              <w:tc>
                <w:tcPr>
                  <w:tcW w:w="76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Vic</w:t>
                  </w:r>
                </w:p>
              </w:tc>
              <w:tc>
                <w:tcPr>
                  <w:tcW w:w="76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Qld</w:t>
                  </w:r>
                </w:p>
              </w:tc>
              <w:tc>
                <w:tcPr>
                  <w:tcW w:w="82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proofErr w:type="spellStart"/>
                  <w:r w:rsidRPr="0077147F">
                    <w:rPr>
                      <w:rFonts w:ascii="Calibri" w:eastAsia="Times New Roman" w:hAnsi="Calibri" w:cs="Times New Roman"/>
                      <w:sz w:val="20"/>
                      <w:szCs w:val="20"/>
                      <w:lang w:eastAsia="en-AU"/>
                    </w:rPr>
                    <w:t>Tas</w:t>
                  </w:r>
                  <w:proofErr w:type="spellEnd"/>
                </w:p>
              </w:tc>
              <w:tc>
                <w:tcPr>
                  <w:tcW w:w="66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NT</w:t>
                  </w:r>
                </w:p>
              </w:tc>
              <w:tc>
                <w:tcPr>
                  <w:tcW w:w="900" w:type="dxa"/>
                  <w:tcBorders>
                    <w:top w:val="single" w:sz="4" w:space="0" w:color="auto"/>
                    <w:left w:val="nil"/>
                    <w:bottom w:val="single" w:sz="4" w:space="0" w:color="auto"/>
                    <w:right w:val="nil"/>
                  </w:tcBorders>
                  <w:shd w:val="clear" w:color="auto" w:fill="auto"/>
                  <w:noWrap/>
                  <w:vAlign w:val="center"/>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proofErr w:type="spellStart"/>
                  <w:r w:rsidRPr="0077147F">
                    <w:rPr>
                      <w:rFonts w:ascii="Calibri" w:eastAsia="Times New Roman" w:hAnsi="Calibri" w:cs="Times New Roman"/>
                      <w:sz w:val="20"/>
                      <w:szCs w:val="20"/>
                      <w:lang w:eastAsia="en-AU"/>
                    </w:rPr>
                    <w:t>Redist</w:t>
                  </w:r>
                  <w:proofErr w:type="spellEnd"/>
                </w:p>
              </w:tc>
            </w:tr>
            <w:tr w:rsidR="0077147F" w:rsidRPr="0077147F" w:rsidTr="0077147F">
              <w:trPr>
                <w:trHeight w:val="258"/>
              </w:trPr>
              <w:tc>
                <w:tcPr>
                  <w:tcW w:w="244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82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c>
                <w:tcPr>
                  <w:tcW w:w="90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$m</w:t>
                  </w:r>
                </w:p>
              </w:tc>
            </w:tr>
            <w:tr w:rsidR="0077147F" w:rsidRPr="0077147F" w:rsidTr="005A32A6">
              <w:trPr>
                <w:trHeight w:val="315"/>
              </w:trPr>
              <w:tc>
                <w:tcPr>
                  <w:tcW w:w="244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Population levels</w:t>
                  </w:r>
                </w:p>
              </w:tc>
              <w:tc>
                <w:tcPr>
                  <w:tcW w:w="82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-9</w:t>
                  </w:r>
                </w:p>
              </w:tc>
              <w:tc>
                <w:tcPr>
                  <w:tcW w:w="76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532</w:t>
                  </w:r>
                </w:p>
              </w:tc>
              <w:tc>
                <w:tcPr>
                  <w:tcW w:w="76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-65</w:t>
                  </w:r>
                </w:p>
              </w:tc>
              <w:tc>
                <w:tcPr>
                  <w:tcW w:w="82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-510</w:t>
                  </w:r>
                </w:p>
              </w:tc>
              <w:tc>
                <w:tcPr>
                  <w:tcW w:w="70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18</w:t>
                  </w:r>
                </w:p>
              </w:tc>
              <w:tc>
                <w:tcPr>
                  <w:tcW w:w="64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12</w:t>
                  </w:r>
                </w:p>
              </w:tc>
              <w:tc>
                <w:tcPr>
                  <w:tcW w:w="66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32</w:t>
                  </w:r>
                </w:p>
              </w:tc>
              <w:tc>
                <w:tcPr>
                  <w:tcW w:w="70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-12</w:t>
                  </w:r>
                </w:p>
              </w:tc>
              <w:tc>
                <w:tcPr>
                  <w:tcW w:w="900" w:type="dxa"/>
                  <w:tcBorders>
                    <w:top w:val="nil"/>
                    <w:left w:val="nil"/>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595</w:t>
                  </w:r>
                </w:p>
              </w:tc>
            </w:tr>
            <w:tr w:rsidR="0077147F" w:rsidRPr="0077147F" w:rsidTr="005A32A6">
              <w:trPr>
                <w:trHeight w:val="315"/>
              </w:trPr>
              <w:tc>
                <w:tcPr>
                  <w:tcW w:w="2440" w:type="dxa"/>
                  <w:tcBorders>
                    <w:top w:val="nil"/>
                    <w:left w:val="nil"/>
                    <w:bottom w:val="nil"/>
                    <w:right w:val="nil"/>
                  </w:tcBorders>
                  <w:shd w:val="clear" w:color="auto" w:fill="auto"/>
                  <w:noWrap/>
                  <w:vAlign w:val="bottom"/>
                  <w:hideMark/>
                </w:tcPr>
                <w:p w:rsidR="0077147F" w:rsidRPr="0077147F" w:rsidRDefault="0077147F" w:rsidP="0077147F">
                  <w:pPr>
                    <w:tabs>
                      <w:tab w:val="clear" w:pos="567"/>
                    </w:tabs>
                    <w:spacing w:after="0" w:line="240" w:lineRule="auto"/>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Population composition</w:t>
                  </w:r>
                </w:p>
              </w:tc>
              <w:tc>
                <w:tcPr>
                  <w:tcW w:w="82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-364</w:t>
                  </w:r>
                </w:p>
              </w:tc>
              <w:tc>
                <w:tcPr>
                  <w:tcW w:w="76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46</w:t>
                  </w:r>
                </w:p>
              </w:tc>
              <w:tc>
                <w:tcPr>
                  <w:tcW w:w="76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121</w:t>
                  </w:r>
                </w:p>
              </w:tc>
              <w:tc>
                <w:tcPr>
                  <w:tcW w:w="82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199</w:t>
                  </w:r>
                </w:p>
              </w:tc>
              <w:tc>
                <w:tcPr>
                  <w:tcW w:w="70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-15</w:t>
                  </w:r>
                </w:p>
              </w:tc>
              <w:tc>
                <w:tcPr>
                  <w:tcW w:w="64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-8</w:t>
                  </w:r>
                </w:p>
              </w:tc>
              <w:tc>
                <w:tcPr>
                  <w:tcW w:w="66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10</w:t>
                  </w:r>
                </w:p>
              </w:tc>
              <w:tc>
                <w:tcPr>
                  <w:tcW w:w="70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12</w:t>
                  </w:r>
                </w:p>
              </w:tc>
              <w:tc>
                <w:tcPr>
                  <w:tcW w:w="90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387</w:t>
                  </w:r>
                </w:p>
              </w:tc>
            </w:tr>
            <w:tr w:rsidR="0077147F" w:rsidRPr="0077147F" w:rsidTr="005A32A6">
              <w:trPr>
                <w:trHeight w:val="315"/>
              </w:trPr>
              <w:tc>
                <w:tcPr>
                  <w:tcW w:w="2440" w:type="dxa"/>
                  <w:tcBorders>
                    <w:top w:val="nil"/>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Total change</w:t>
                  </w:r>
                </w:p>
              </w:tc>
              <w:tc>
                <w:tcPr>
                  <w:tcW w:w="82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-373</w:t>
                  </w:r>
                </w:p>
              </w:tc>
              <w:tc>
                <w:tcPr>
                  <w:tcW w:w="76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578</w:t>
                  </w:r>
                </w:p>
              </w:tc>
              <w:tc>
                <w:tcPr>
                  <w:tcW w:w="76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56</w:t>
                  </w:r>
                </w:p>
              </w:tc>
              <w:tc>
                <w:tcPr>
                  <w:tcW w:w="82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-311</w:t>
                  </w:r>
                </w:p>
              </w:tc>
              <w:tc>
                <w:tcPr>
                  <w:tcW w:w="70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2</w:t>
                  </w:r>
                </w:p>
              </w:tc>
              <w:tc>
                <w:tcPr>
                  <w:tcW w:w="64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5</w:t>
                  </w:r>
                </w:p>
              </w:tc>
              <w:tc>
                <w:tcPr>
                  <w:tcW w:w="66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43</w:t>
                  </w:r>
                </w:p>
              </w:tc>
              <w:tc>
                <w:tcPr>
                  <w:tcW w:w="70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0</w:t>
                  </w:r>
                </w:p>
              </w:tc>
              <w:tc>
                <w:tcPr>
                  <w:tcW w:w="900" w:type="dxa"/>
                  <w:tcBorders>
                    <w:top w:val="single" w:sz="4" w:space="0" w:color="auto"/>
                    <w:left w:val="nil"/>
                    <w:bottom w:val="single" w:sz="4" w:space="0" w:color="auto"/>
                    <w:right w:val="nil"/>
                  </w:tcBorders>
                  <w:shd w:val="clear" w:color="auto" w:fill="auto"/>
                  <w:noWrap/>
                  <w:vAlign w:val="bottom"/>
                  <w:hideMark/>
                </w:tcPr>
                <w:p w:rsidR="0077147F" w:rsidRPr="0077147F" w:rsidRDefault="0077147F" w:rsidP="0077147F">
                  <w:pPr>
                    <w:tabs>
                      <w:tab w:val="clear" w:pos="567"/>
                    </w:tabs>
                    <w:spacing w:after="0" w:line="240" w:lineRule="auto"/>
                    <w:jc w:val="right"/>
                    <w:rPr>
                      <w:rFonts w:ascii="Calibri" w:eastAsia="Times New Roman" w:hAnsi="Calibri" w:cs="Times New Roman"/>
                      <w:sz w:val="20"/>
                      <w:szCs w:val="20"/>
                      <w:lang w:eastAsia="en-AU"/>
                    </w:rPr>
                  </w:pPr>
                  <w:r w:rsidRPr="0077147F">
                    <w:rPr>
                      <w:rFonts w:ascii="Calibri" w:eastAsia="Times New Roman" w:hAnsi="Calibri" w:cs="Times New Roman"/>
                      <w:sz w:val="20"/>
                      <w:szCs w:val="20"/>
                      <w:lang w:eastAsia="en-AU"/>
                    </w:rPr>
                    <w:t>684</w:t>
                  </w:r>
                </w:p>
              </w:tc>
            </w:tr>
          </w:tbl>
          <w:p w:rsidR="00B92F66" w:rsidRPr="00B92F66" w:rsidRDefault="00E42693" w:rsidP="00E42693">
            <w:pPr>
              <w:pStyle w:val="CGCTableFootnote"/>
            </w:pPr>
            <w:r>
              <w:t>Source:</w:t>
            </w:r>
            <w:r>
              <w:tab/>
              <w:t>Commission calculation.</w:t>
            </w:r>
          </w:p>
        </w:tc>
      </w:tr>
    </w:tbl>
    <w:p w:rsidR="006A5A96" w:rsidRDefault="006A5A96" w:rsidP="00A74714">
      <w:bookmarkStart w:id="408" w:name="_Toc428435404"/>
      <w:bookmarkStart w:id="409" w:name="_Toc433353488"/>
      <w:bookmarkStart w:id="410" w:name="_Toc441241593"/>
      <w:bookmarkStart w:id="411" w:name="_Toc441499263"/>
      <w:bookmarkStart w:id="412" w:name="_Toc441656029"/>
      <w:bookmarkStart w:id="413" w:name="_Toc442191919"/>
      <w:bookmarkStart w:id="414" w:name="_Toc442192173"/>
      <w:bookmarkStart w:id="415" w:name="_Toc442192238"/>
      <w:bookmarkStart w:id="416" w:name="_Toc442772822"/>
      <w:bookmarkStart w:id="417" w:name="_Toc442773051"/>
      <w:bookmarkStart w:id="418" w:name="_Toc442773221"/>
      <w:bookmarkStart w:id="419" w:name="_Toc442773566"/>
      <w:bookmarkStart w:id="420" w:name="_Toc442883288"/>
      <w:bookmarkStart w:id="421" w:name="_Toc474923756"/>
      <w:bookmarkStart w:id="422" w:name="_Toc505872181"/>
    </w:p>
    <w:tbl>
      <w:tblPr>
        <w:tblStyle w:val="TableGrid"/>
        <w:tblW w:w="0" w:type="auto"/>
        <w:tblLook w:val="04A0" w:firstRow="1" w:lastRow="0" w:firstColumn="1" w:lastColumn="0" w:noHBand="0" w:noVBand="1"/>
      </w:tblPr>
      <w:tblGrid>
        <w:gridCol w:w="9167"/>
      </w:tblGrid>
      <w:tr w:rsidR="00A74714" w:rsidTr="00A74714">
        <w:tc>
          <w:tcPr>
            <w:tcW w:w="9167" w:type="dxa"/>
            <w:tcBorders>
              <w:top w:val="nil"/>
              <w:left w:val="nil"/>
              <w:bottom w:val="nil"/>
              <w:right w:val="nil"/>
            </w:tcBorders>
            <w:shd w:val="clear" w:color="auto" w:fill="D9F3E6"/>
          </w:tcPr>
          <w:p w:rsidR="00A74714" w:rsidRDefault="00A74714" w:rsidP="00A74714">
            <w:pPr>
              <w:pStyle w:val="Caption"/>
              <w:rPr>
                <w:sz w:val="22"/>
              </w:rPr>
            </w:pPr>
            <w:r w:rsidRPr="00973F8B">
              <w:lastRenderedPageBreak/>
              <w:t xml:space="preserve">Box </w:t>
            </w:r>
            <w:r>
              <w:t>1</w:t>
            </w:r>
            <w:r w:rsidRPr="00973F8B">
              <w:noBreakHyphen/>
            </w:r>
            <w:r w:rsidR="00CD68E8">
              <w:fldChar w:fldCharType="begin"/>
            </w:r>
            <w:r w:rsidR="00CD68E8">
              <w:instrText xml:space="preserve"> SEQ Box \* ARABIC \s 1 </w:instrText>
            </w:r>
            <w:r w:rsidR="00CD68E8">
              <w:fldChar w:fldCharType="separate"/>
            </w:r>
            <w:r w:rsidR="000A6746">
              <w:rPr>
                <w:noProof/>
              </w:rPr>
              <w:t>2</w:t>
            </w:r>
            <w:r w:rsidR="00CD68E8">
              <w:rPr>
                <w:noProof/>
              </w:rPr>
              <w:fldChar w:fldCharType="end"/>
            </w:r>
            <w:r w:rsidRPr="00973F8B">
              <w:tab/>
            </w:r>
            <w:r>
              <w:t>Indigenous disadvantage and the GST</w:t>
            </w:r>
          </w:p>
          <w:p w:rsidR="00A74714" w:rsidRPr="00786876" w:rsidRDefault="00A74714" w:rsidP="00A74714">
            <w:pPr>
              <w:rPr>
                <w:sz w:val="22"/>
              </w:rPr>
            </w:pPr>
            <w:r>
              <w:rPr>
                <w:sz w:val="22"/>
              </w:rPr>
              <w:t>F</w:t>
            </w:r>
            <w:r w:rsidRPr="00AC0789">
              <w:rPr>
                <w:sz w:val="22"/>
              </w:rPr>
              <w:t xml:space="preserve">or those services where Indigenous status is a major influence on State spending, </w:t>
            </w:r>
            <w:r>
              <w:rPr>
                <w:sz w:val="22"/>
              </w:rPr>
              <w:t>the Commission has</w:t>
            </w:r>
            <w:r w:rsidRPr="00AC0789">
              <w:rPr>
                <w:sz w:val="22"/>
              </w:rPr>
              <w:t xml:space="preserve"> estimated that States </w:t>
            </w:r>
            <w:r w:rsidRPr="00786876">
              <w:rPr>
                <w:sz w:val="22"/>
              </w:rPr>
              <w:t>spend $19 000 per Indigenous person, and $6 200 per non</w:t>
            </w:r>
            <w:r w:rsidRPr="00786876">
              <w:rPr>
                <w:sz w:val="22"/>
              </w:rPr>
              <w:noBreakHyphen/>
              <w:t>Indigenous person. This is largely because Indigenous people use a range of State services more frequently, or more intensively, than non-Indigenous people. It is also because Indigenous people are more likely to live in remote areas, where costs are higher.</w:t>
            </w:r>
          </w:p>
          <w:p w:rsidR="00A74714" w:rsidRPr="00786876" w:rsidRDefault="00A74714" w:rsidP="00A74714">
            <w:pPr>
              <w:rPr>
                <w:sz w:val="22"/>
              </w:rPr>
            </w:pPr>
            <w:r w:rsidRPr="00786876">
              <w:rPr>
                <w:sz w:val="22"/>
              </w:rPr>
              <w:t>The Commission takes account of this difference, to ensure that States with a large Indigenous population have the fiscal capacity to provide the same standard of service to their population as States with small Indigenous populations. However, just as it acknowledges that Indigenous and non-Indigenous people use services at different levels, it also acknowledges that different groups of Indigenous people use services at different levels.</w:t>
            </w:r>
          </w:p>
          <w:p w:rsidR="00A74714" w:rsidRPr="00786876" w:rsidRDefault="003E5CEE" w:rsidP="00A74714">
            <w:pPr>
              <w:rPr>
                <w:sz w:val="22"/>
              </w:rPr>
            </w:pPr>
            <w:r>
              <w:rPr>
                <w:sz w:val="22"/>
              </w:rPr>
              <w:t xml:space="preserve">According to the 2016 Census, </w:t>
            </w:r>
            <w:r w:rsidR="00A74714" w:rsidRPr="00786876">
              <w:rPr>
                <w:sz w:val="22"/>
              </w:rPr>
              <w:t xml:space="preserve">20% of Australia’s Indigenous population live in the most disadvantaged Indigenous areas, where 48% of Indigenous households have insufficient bedrooms, and </w:t>
            </w:r>
            <w:r w:rsidR="005A32A6">
              <w:rPr>
                <w:sz w:val="22"/>
              </w:rPr>
              <w:t xml:space="preserve">only </w:t>
            </w:r>
            <w:r w:rsidR="00A74714" w:rsidRPr="00786876">
              <w:rPr>
                <w:sz w:val="22"/>
              </w:rPr>
              <w:t>27% of Indigenous adults are employed. These areas are predominantly remote (7</w:t>
            </w:r>
            <w:r w:rsidR="00007EA6">
              <w:rPr>
                <w:sz w:val="22"/>
              </w:rPr>
              <w:t>1</w:t>
            </w:r>
            <w:r w:rsidR="00A74714" w:rsidRPr="00786876">
              <w:rPr>
                <w:sz w:val="22"/>
              </w:rPr>
              <w:t>% live in remote areas). Because of the high levels of disadvantage and the costs of providing services in remote areas, States spend $2</w:t>
            </w:r>
            <w:r w:rsidR="00E1590D">
              <w:rPr>
                <w:sz w:val="22"/>
              </w:rPr>
              <w:t>6</w:t>
            </w:r>
            <w:r w:rsidR="00A74714" w:rsidRPr="00786876">
              <w:rPr>
                <w:sz w:val="22"/>
              </w:rPr>
              <w:t> 000 per Indigenous person in this group.</w:t>
            </w:r>
          </w:p>
          <w:p w:rsidR="00A74714" w:rsidRPr="00AC0789" w:rsidRDefault="00A74714" w:rsidP="00A74714">
            <w:pPr>
              <w:rPr>
                <w:sz w:val="22"/>
              </w:rPr>
            </w:pPr>
            <w:r w:rsidRPr="00786876">
              <w:rPr>
                <w:sz w:val="22"/>
              </w:rPr>
              <w:t>20% of Australia’s Indigenous population live in the least disadvantaged Indigenous areas, where 11% of Indigenous households have insufficient bedrooms, and 55% of Indigenous adults are employed. These areas are predominantly urban (81% live in major cities). While many individuals within this group may not be disadvantaged, this group is on average still among the most disadvantaged in the broader Australian population, and States spend $1</w:t>
            </w:r>
            <w:r w:rsidR="005A32A6">
              <w:rPr>
                <w:sz w:val="22"/>
              </w:rPr>
              <w:t xml:space="preserve">3 800 per Indigenous person </w:t>
            </w:r>
            <w:r w:rsidRPr="00786876">
              <w:rPr>
                <w:sz w:val="22"/>
              </w:rPr>
              <w:t>in this group.</w:t>
            </w:r>
          </w:p>
          <w:p w:rsidR="00A74714" w:rsidRPr="00AC0789" w:rsidRDefault="00A74714" w:rsidP="00A74714">
            <w:pPr>
              <w:rPr>
                <w:sz w:val="22"/>
              </w:rPr>
            </w:pPr>
            <w:r w:rsidRPr="00AC0789">
              <w:rPr>
                <w:sz w:val="22"/>
              </w:rPr>
              <w:t xml:space="preserve">Estimates of Australia’s Indigenous population change as people change whether they identify as Indigenous </w:t>
            </w:r>
            <w:r>
              <w:rPr>
                <w:sz w:val="22"/>
              </w:rPr>
              <w:t>in the Census</w:t>
            </w:r>
            <w:r w:rsidRPr="00AC0789">
              <w:rPr>
                <w:sz w:val="22"/>
              </w:rPr>
              <w:t xml:space="preserve">. Between 2011 and 2016, the Indigenous population grew by about 7% more than can be explained by births, deaths and </w:t>
            </w:r>
            <w:r>
              <w:rPr>
                <w:sz w:val="22"/>
              </w:rPr>
              <w:t xml:space="preserve">interstate </w:t>
            </w:r>
            <w:r w:rsidRPr="00AC0789">
              <w:rPr>
                <w:sz w:val="22"/>
              </w:rPr>
              <w:t>migration. This growth reflects an increased propensity of people to identify as Indigenous. This growth in identification was primarily in the less disa</w:t>
            </w:r>
            <w:r>
              <w:rPr>
                <w:sz w:val="22"/>
              </w:rPr>
              <w:t>dvantaged areas of the country.</w:t>
            </w:r>
          </w:p>
          <w:p w:rsidR="00A74714" w:rsidRDefault="00A74714" w:rsidP="006F13E4">
            <w:r>
              <w:rPr>
                <w:sz w:val="22"/>
              </w:rPr>
              <w:t xml:space="preserve">Some commentators </w:t>
            </w:r>
            <w:r w:rsidR="005A32A6">
              <w:rPr>
                <w:sz w:val="22"/>
              </w:rPr>
              <w:t>have expressed concern</w:t>
            </w:r>
            <w:r>
              <w:rPr>
                <w:sz w:val="22"/>
              </w:rPr>
              <w:t xml:space="preserve"> that increased Indigenous identification in the south</w:t>
            </w:r>
            <w:r w:rsidR="00466266">
              <w:rPr>
                <w:sz w:val="22"/>
              </w:rPr>
              <w:t>-</w:t>
            </w:r>
            <w:r>
              <w:rPr>
                <w:sz w:val="22"/>
              </w:rPr>
              <w:t>eastern States leads to a redistribution of GST from States with a high proportion of Indigenous people in remote communities towards States with a high proportion of Indigenous people in major cities. However, t</w:t>
            </w:r>
            <w:r w:rsidRPr="00AC0789">
              <w:rPr>
                <w:sz w:val="22"/>
              </w:rPr>
              <w:t xml:space="preserve">he Commission identifies total State spending on the most disadvantaged Indigenous people and allocates it between the States in proportion </w:t>
            </w:r>
            <w:r>
              <w:rPr>
                <w:sz w:val="22"/>
              </w:rPr>
              <w:t>to</w:t>
            </w:r>
            <w:r w:rsidRPr="00AC0789">
              <w:rPr>
                <w:sz w:val="22"/>
              </w:rPr>
              <w:t xml:space="preserve"> their shares of the most disadvantaged Indigenous </w:t>
            </w:r>
            <w:r w:rsidR="006F13E4">
              <w:rPr>
                <w:sz w:val="22"/>
              </w:rPr>
              <w:t>population</w:t>
            </w:r>
            <w:r w:rsidRPr="00AC0789">
              <w:rPr>
                <w:sz w:val="22"/>
              </w:rPr>
              <w:t>. Therefore, the increase in Indigenous identification in the less disadvantaged areas has no effect on the allocation of spending on the most disadvantaged Indigenous population.</w:t>
            </w:r>
          </w:p>
        </w:tc>
      </w:tr>
    </w:tbl>
    <w:p w:rsidR="00A47689" w:rsidRDefault="00A47689">
      <w:pPr>
        <w:tabs>
          <w:tab w:val="clear" w:pos="567"/>
        </w:tabs>
        <w:spacing w:after="200" w:line="276" w:lineRule="auto"/>
        <w:rPr>
          <w:rFonts w:eastAsiaTheme="majorEastAsia" w:cstheme="majorBidi"/>
          <w:b/>
          <w:bCs/>
          <w:caps/>
          <w:color w:val="2C8558"/>
          <w:sz w:val="32"/>
        </w:rPr>
      </w:pPr>
      <w:r>
        <w:br w:type="page"/>
      </w:r>
    </w:p>
    <w:p w:rsidR="005D52DC" w:rsidRPr="002A48E0" w:rsidRDefault="005D52DC" w:rsidP="005D52DC">
      <w:pPr>
        <w:pStyle w:val="Heading3"/>
      </w:pPr>
      <w:r w:rsidRPr="002A48E0">
        <w:lastRenderedPageBreak/>
        <w:t xml:space="preserve">Changes </w:t>
      </w:r>
      <w:bookmarkEnd w:id="408"/>
      <w:bookmarkEnd w:id="409"/>
      <w:r w:rsidRPr="002A48E0">
        <w:t xml:space="preserve">in </w:t>
      </w:r>
      <w:r w:rsidR="002A4D57">
        <w:t>S</w:t>
      </w:r>
      <w:r w:rsidRPr="002A48E0">
        <w:t xml:space="preserve">tate circumstances since the </w:t>
      </w:r>
      <w:bookmarkEnd w:id="410"/>
      <w:bookmarkEnd w:id="411"/>
      <w:bookmarkEnd w:id="412"/>
      <w:bookmarkEnd w:id="413"/>
      <w:bookmarkEnd w:id="414"/>
      <w:bookmarkEnd w:id="415"/>
      <w:bookmarkEnd w:id="416"/>
      <w:bookmarkEnd w:id="417"/>
      <w:bookmarkEnd w:id="418"/>
      <w:bookmarkEnd w:id="419"/>
      <w:bookmarkEnd w:id="420"/>
      <w:r w:rsidRPr="002A48E0">
        <w:t>201</w:t>
      </w:r>
      <w:r w:rsidR="00BD648E">
        <w:t>7 </w:t>
      </w:r>
      <w:r w:rsidRPr="002A48E0">
        <w:t>Update</w:t>
      </w:r>
      <w:bookmarkEnd w:id="421"/>
      <w:bookmarkEnd w:id="422"/>
    </w:p>
    <w:p w:rsidR="004F57C3" w:rsidRPr="002A48E0" w:rsidRDefault="00D002BB" w:rsidP="007F7654">
      <w:pPr>
        <w:pStyle w:val="11para"/>
      </w:pPr>
      <w:bookmarkStart w:id="423" w:name="_Toc433353489"/>
      <w:bookmarkStart w:id="424" w:name="_Toc441241595"/>
      <w:bookmarkStart w:id="425" w:name="_Toc441499264"/>
      <w:bookmarkStart w:id="426" w:name="_Toc442191920"/>
      <w:bookmarkStart w:id="427" w:name="_Toc442192174"/>
      <w:bookmarkStart w:id="428" w:name="_Toc442192239"/>
      <w:bookmarkStart w:id="429" w:name="_Toc442772823"/>
      <w:bookmarkStart w:id="430" w:name="_Toc442773052"/>
      <w:bookmarkStart w:id="431" w:name="_Toc442773222"/>
      <w:bookmarkStart w:id="432" w:name="_Toc442883289"/>
      <w:bookmarkStart w:id="433" w:name="_Toc474923757"/>
      <w:r w:rsidRPr="002A48E0">
        <w:t>This section describes the main changes</w:t>
      </w:r>
      <w:r>
        <w:t xml:space="preserve"> in circumstances since the 2017</w:t>
      </w:r>
      <w:r w:rsidRPr="002A48E0">
        <w:t> Update</w:t>
      </w:r>
      <w:r w:rsidR="00DB6A81">
        <w:t xml:space="preserve"> —t</w:t>
      </w:r>
      <w:r w:rsidRPr="002A48E0">
        <w:t>hat is, the change</w:t>
      </w:r>
      <w:r>
        <w:t>s which occur</w:t>
      </w:r>
      <w:r w:rsidRPr="002A48E0">
        <w:t xml:space="preserve"> when revised 201</w:t>
      </w:r>
      <w:r>
        <w:t>3</w:t>
      </w:r>
      <w:r>
        <w:noBreakHyphen/>
      </w:r>
      <w:r w:rsidRPr="002A48E0">
        <w:t>1</w:t>
      </w:r>
      <w:r>
        <w:t>4</w:t>
      </w:r>
      <w:r w:rsidRPr="002A48E0">
        <w:t xml:space="preserve"> data are removed and replaced with 201</w:t>
      </w:r>
      <w:r>
        <w:t>6</w:t>
      </w:r>
      <w:r>
        <w:noBreakHyphen/>
      </w:r>
      <w:r w:rsidRPr="002A48E0">
        <w:t>1</w:t>
      </w:r>
      <w:r>
        <w:t>7</w:t>
      </w:r>
      <w:r w:rsidRPr="002A48E0">
        <w:t xml:space="preserve"> data.</w:t>
      </w:r>
      <w:r w:rsidR="004F57C3">
        <w:t xml:space="preserve"> </w:t>
      </w:r>
      <w:r w:rsidR="004F57C3">
        <w:fldChar w:fldCharType="begin"/>
      </w:r>
      <w:r w:rsidR="004F57C3">
        <w:instrText xml:space="preserve"> REF _Ref503953001 \h </w:instrText>
      </w:r>
      <w:r w:rsidR="004F57C3">
        <w:fldChar w:fldCharType="separate"/>
      </w:r>
      <w:r w:rsidR="000A6746">
        <w:t>Table 1</w:t>
      </w:r>
      <w:r w:rsidR="000A6746">
        <w:noBreakHyphen/>
      </w:r>
      <w:r w:rsidR="000A6746">
        <w:rPr>
          <w:noProof/>
        </w:rPr>
        <w:t>4</w:t>
      </w:r>
      <w:r w:rsidR="004F57C3">
        <w:fldChar w:fldCharType="end"/>
      </w:r>
      <w:r w:rsidR="004F57C3">
        <w:t xml:space="preserve"> </w:t>
      </w:r>
      <w:r w:rsidR="004F57C3" w:rsidRPr="002A48E0">
        <w:t xml:space="preserve">shows the effect of these changes across the different </w:t>
      </w:r>
      <w:r w:rsidR="00593387">
        <w:t>assessment</w:t>
      </w:r>
      <w:r w:rsidR="001F59C3">
        <w:t xml:space="preserve"> areas</w:t>
      </w:r>
      <w:r w:rsidR="004F57C3" w:rsidRPr="002A48E0">
        <w:t>.</w:t>
      </w:r>
    </w:p>
    <w:p w:rsidR="00893444" w:rsidRDefault="00893444" w:rsidP="00893444">
      <w:pPr>
        <w:pStyle w:val="Caption"/>
      </w:pPr>
      <w:bookmarkStart w:id="434" w:name="_Ref503953001"/>
      <w:r>
        <w:t>Table 1</w:t>
      </w:r>
      <w:r>
        <w:noBreakHyphen/>
      </w:r>
      <w:r w:rsidR="00CD68E8">
        <w:fldChar w:fldCharType="begin"/>
      </w:r>
      <w:r w:rsidR="00CD68E8">
        <w:instrText xml:space="preserve"> SEQ Table \* ARABIC \s 1 </w:instrText>
      </w:r>
      <w:r w:rsidR="00CD68E8">
        <w:fldChar w:fldCharType="separate"/>
      </w:r>
      <w:r w:rsidR="000A6746">
        <w:rPr>
          <w:noProof/>
        </w:rPr>
        <w:t>4</w:t>
      </w:r>
      <w:r w:rsidR="00CD68E8">
        <w:rPr>
          <w:noProof/>
        </w:rPr>
        <w:fldChar w:fldCharType="end"/>
      </w:r>
      <w:bookmarkEnd w:id="434"/>
      <w:r>
        <w:tab/>
        <w:t>Composition of changes in State circumstances since the 2017 Update</w:t>
      </w:r>
    </w:p>
    <w:tbl>
      <w:tblPr>
        <w:tblW w:w="9220" w:type="dxa"/>
        <w:tblLayout w:type="fixed"/>
        <w:tblCellMar>
          <w:left w:w="0" w:type="dxa"/>
          <w:right w:w="0" w:type="dxa"/>
        </w:tblCellMar>
        <w:tblLook w:val="04A0" w:firstRow="1" w:lastRow="0" w:firstColumn="1" w:lastColumn="0" w:noHBand="0" w:noVBand="1"/>
      </w:tblPr>
      <w:tblGrid>
        <w:gridCol w:w="2620"/>
        <w:gridCol w:w="640"/>
        <w:gridCol w:w="740"/>
        <w:gridCol w:w="740"/>
        <w:gridCol w:w="800"/>
        <w:gridCol w:w="740"/>
        <w:gridCol w:w="640"/>
        <w:gridCol w:w="640"/>
        <w:gridCol w:w="800"/>
        <w:gridCol w:w="860"/>
      </w:tblGrid>
      <w:tr w:rsidR="0019260F" w:rsidRPr="0019260F" w:rsidTr="00312E75">
        <w:trPr>
          <w:trHeight w:val="375"/>
        </w:trPr>
        <w:tc>
          <w:tcPr>
            <w:tcW w:w="2620" w:type="dxa"/>
            <w:tcBorders>
              <w:top w:val="single" w:sz="4" w:space="0" w:color="auto"/>
              <w:left w:val="nil"/>
              <w:bottom w:val="nil"/>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 </w:t>
            </w:r>
          </w:p>
        </w:tc>
        <w:tc>
          <w:tcPr>
            <w:tcW w:w="64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WA</w:t>
            </w:r>
          </w:p>
        </w:tc>
        <w:tc>
          <w:tcPr>
            <w:tcW w:w="74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19260F">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NT</w:t>
            </w:r>
          </w:p>
        </w:tc>
        <w:tc>
          <w:tcPr>
            <w:tcW w:w="860" w:type="dxa"/>
            <w:tcBorders>
              <w:top w:val="single" w:sz="4" w:space="0" w:color="auto"/>
              <w:left w:val="nil"/>
              <w:bottom w:val="single" w:sz="4" w:space="0" w:color="auto"/>
              <w:right w:val="nil"/>
            </w:tcBorders>
            <w:shd w:val="clear" w:color="auto" w:fill="auto"/>
            <w:noWrap/>
            <w:vAlign w:val="center"/>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19260F">
              <w:rPr>
                <w:rFonts w:ascii="Calibri" w:eastAsia="Times New Roman" w:hAnsi="Calibri" w:cs="Times New Roman"/>
                <w:sz w:val="20"/>
                <w:szCs w:val="20"/>
                <w:lang w:eastAsia="en-AU"/>
              </w:rPr>
              <w:t>Redist</w:t>
            </w:r>
            <w:proofErr w:type="spellEnd"/>
          </w:p>
        </w:tc>
      </w:tr>
      <w:tr w:rsidR="0019260F" w:rsidRPr="0019260F" w:rsidTr="00312E75">
        <w:trPr>
          <w:trHeight w:val="258"/>
        </w:trPr>
        <w:tc>
          <w:tcPr>
            <w:tcW w:w="2620" w:type="dxa"/>
            <w:tcBorders>
              <w:top w:val="single" w:sz="4" w:space="0" w:color="auto"/>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 </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$m</w:t>
            </w:r>
          </w:p>
        </w:tc>
      </w:tr>
      <w:tr w:rsidR="0019260F" w:rsidRPr="0019260F" w:rsidTr="00312E75">
        <w:trPr>
          <w:trHeight w:val="315"/>
        </w:trPr>
        <w:tc>
          <w:tcPr>
            <w:tcW w:w="262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Expense requirement</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404</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205</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-494</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-97</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50</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15</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-65</w:t>
            </w:r>
          </w:p>
        </w:tc>
        <w:tc>
          <w:tcPr>
            <w:tcW w:w="86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673</w:t>
            </w:r>
          </w:p>
        </w:tc>
      </w:tr>
      <w:tr w:rsidR="0019260F" w:rsidRPr="0019260F" w:rsidTr="00312E75">
        <w:trPr>
          <w:trHeight w:val="315"/>
        </w:trPr>
        <w:tc>
          <w:tcPr>
            <w:tcW w:w="262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Investment requirement</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261</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213</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-147</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-233</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-51</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13</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11</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-66</w:t>
            </w:r>
          </w:p>
        </w:tc>
        <w:tc>
          <w:tcPr>
            <w:tcW w:w="86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497</w:t>
            </w:r>
          </w:p>
        </w:tc>
      </w:tr>
      <w:tr w:rsidR="0019260F" w:rsidRPr="0019260F" w:rsidTr="00312E75">
        <w:trPr>
          <w:trHeight w:val="315"/>
        </w:trPr>
        <w:tc>
          <w:tcPr>
            <w:tcW w:w="262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Net borrowing</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-19</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-15</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5</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28</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-3</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0</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3</w:t>
            </w:r>
          </w:p>
        </w:tc>
        <w:tc>
          <w:tcPr>
            <w:tcW w:w="86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37</w:t>
            </w:r>
          </w:p>
        </w:tc>
      </w:tr>
      <w:tr w:rsidR="0019260F" w:rsidRPr="0019260F" w:rsidTr="00312E75">
        <w:trPr>
          <w:trHeight w:val="315"/>
        </w:trPr>
        <w:tc>
          <w:tcPr>
            <w:tcW w:w="262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Revenue capacity</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-1 014</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-351</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-262</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1 543</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139</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-28</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-33</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6</w:t>
            </w:r>
          </w:p>
        </w:tc>
        <w:tc>
          <w:tcPr>
            <w:tcW w:w="86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1 688</w:t>
            </w:r>
          </w:p>
        </w:tc>
      </w:tr>
      <w:tr w:rsidR="0019260F" w:rsidRPr="0019260F" w:rsidTr="00312E75">
        <w:trPr>
          <w:trHeight w:val="315"/>
        </w:trPr>
        <w:tc>
          <w:tcPr>
            <w:tcW w:w="262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Commonwealth payments</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-67</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467</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-289</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12</w:t>
            </w:r>
          </w:p>
        </w:tc>
        <w:tc>
          <w:tcPr>
            <w:tcW w:w="7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-52</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-11</w:t>
            </w:r>
          </w:p>
        </w:tc>
        <w:tc>
          <w:tcPr>
            <w:tcW w:w="64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17</w:t>
            </w:r>
          </w:p>
        </w:tc>
        <w:tc>
          <w:tcPr>
            <w:tcW w:w="80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-76</w:t>
            </w:r>
          </w:p>
        </w:tc>
        <w:tc>
          <w:tcPr>
            <w:tcW w:w="860" w:type="dxa"/>
            <w:tcBorders>
              <w:top w:val="nil"/>
              <w:left w:val="nil"/>
              <w:bottom w:val="nil"/>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496</w:t>
            </w:r>
          </w:p>
        </w:tc>
      </w:tr>
      <w:tr w:rsidR="0019260F" w:rsidRPr="0019260F" w:rsidTr="00312E75">
        <w:trPr>
          <w:trHeight w:val="315"/>
        </w:trPr>
        <w:tc>
          <w:tcPr>
            <w:tcW w:w="2620" w:type="dxa"/>
            <w:tcBorders>
              <w:top w:val="nil"/>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-435</w:t>
            </w:r>
          </w:p>
        </w:tc>
        <w:tc>
          <w:tcPr>
            <w:tcW w:w="74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518</w:t>
            </w:r>
          </w:p>
        </w:tc>
        <w:tc>
          <w:tcPr>
            <w:tcW w:w="74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-1 187</w:t>
            </w:r>
          </w:p>
        </w:tc>
        <w:tc>
          <w:tcPr>
            <w:tcW w:w="80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1 252</w:t>
            </w:r>
          </w:p>
        </w:tc>
        <w:tc>
          <w:tcPr>
            <w:tcW w:w="74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87</w:t>
            </w:r>
          </w:p>
        </w:tc>
        <w:tc>
          <w:tcPr>
            <w:tcW w:w="64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-45</w:t>
            </w:r>
          </w:p>
        </w:tc>
        <w:tc>
          <w:tcPr>
            <w:tcW w:w="64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9</w:t>
            </w:r>
          </w:p>
        </w:tc>
        <w:tc>
          <w:tcPr>
            <w:tcW w:w="80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-199</w:t>
            </w:r>
          </w:p>
        </w:tc>
        <w:tc>
          <w:tcPr>
            <w:tcW w:w="860" w:type="dxa"/>
            <w:tcBorders>
              <w:top w:val="single" w:sz="4" w:space="0" w:color="auto"/>
              <w:left w:val="nil"/>
              <w:bottom w:val="single" w:sz="4" w:space="0" w:color="auto"/>
              <w:right w:val="nil"/>
            </w:tcBorders>
            <w:shd w:val="clear" w:color="auto" w:fill="auto"/>
            <w:noWrap/>
            <w:vAlign w:val="bottom"/>
            <w:hideMark/>
          </w:tcPr>
          <w:p w:rsidR="0019260F" w:rsidRPr="0019260F" w:rsidRDefault="0019260F" w:rsidP="00312E75">
            <w:pPr>
              <w:keepNext/>
              <w:keepLines/>
              <w:tabs>
                <w:tab w:val="clear" w:pos="567"/>
              </w:tabs>
              <w:spacing w:after="0" w:line="240" w:lineRule="auto"/>
              <w:jc w:val="right"/>
              <w:rPr>
                <w:rFonts w:ascii="Calibri" w:eastAsia="Times New Roman" w:hAnsi="Calibri" w:cs="Times New Roman"/>
                <w:sz w:val="20"/>
                <w:szCs w:val="20"/>
                <w:lang w:eastAsia="en-AU"/>
              </w:rPr>
            </w:pPr>
            <w:r w:rsidRPr="0019260F">
              <w:rPr>
                <w:rFonts w:ascii="Calibri" w:eastAsia="Times New Roman" w:hAnsi="Calibri" w:cs="Times New Roman"/>
                <w:sz w:val="20"/>
                <w:szCs w:val="20"/>
                <w:lang w:eastAsia="en-AU"/>
              </w:rPr>
              <w:t>1 866</w:t>
            </w:r>
          </w:p>
        </w:tc>
      </w:tr>
    </w:tbl>
    <w:p w:rsidR="00893444" w:rsidRDefault="00893444" w:rsidP="00893444">
      <w:pPr>
        <w:pStyle w:val="CGCTableFootnote"/>
      </w:pPr>
      <w:r>
        <w:t>Note:</w:t>
      </w:r>
      <w:r>
        <w:tab/>
        <w:t>The amounts shown in this table are the changes in the GST distribution f</w:t>
      </w:r>
      <w:r w:rsidR="000D66E8">
        <w:t>rom</w:t>
      </w:r>
      <w:r>
        <w:t xml:space="preserve"> replacing </w:t>
      </w:r>
      <w:r w:rsidR="00B82388">
        <w:t xml:space="preserve">revised </w:t>
      </w:r>
      <w:r>
        <w:t>2013</w:t>
      </w:r>
      <w:r>
        <w:noBreakHyphen/>
        <w:t>14 data with 2016</w:t>
      </w:r>
      <w:r>
        <w:noBreakHyphen/>
        <w:t>17 data. They differ from the amounts shown in</w:t>
      </w:r>
      <w:r w:rsidR="004F57C3">
        <w:t xml:space="preserve"> </w:t>
      </w:r>
      <w:r w:rsidR="004F57C3">
        <w:fldChar w:fldCharType="begin"/>
      </w:r>
      <w:r w:rsidR="004F57C3">
        <w:instrText xml:space="preserve"> REF _Ref503771375 \h </w:instrText>
      </w:r>
      <w:r w:rsidR="004F57C3">
        <w:fldChar w:fldCharType="separate"/>
      </w:r>
      <w:r w:rsidR="000A6746">
        <w:t>Table </w:t>
      </w:r>
      <w:r w:rsidR="000A6746">
        <w:rPr>
          <w:noProof/>
        </w:rPr>
        <w:t>3</w:t>
      </w:r>
      <w:r w:rsidR="004F57C3">
        <w:fldChar w:fldCharType="end"/>
      </w:r>
      <w:r>
        <w:t xml:space="preserve"> in the Overview, which also include the effects of revising data. Total</w:t>
      </w:r>
      <w:r w:rsidR="003353BB">
        <w:t>s</w:t>
      </w:r>
      <w:r>
        <w:t xml:space="preserve"> may not add due to rounding.</w:t>
      </w:r>
    </w:p>
    <w:p w:rsidR="00893444" w:rsidRPr="00893444" w:rsidRDefault="00893444" w:rsidP="00893444">
      <w:pPr>
        <w:pStyle w:val="CGCTableFootnote"/>
      </w:pPr>
      <w:r>
        <w:t>Source:</w:t>
      </w:r>
      <w:r>
        <w:tab/>
        <w:t>Commission calculation.</w:t>
      </w:r>
    </w:p>
    <w:p w:rsidR="004F57C3" w:rsidRDefault="004F57C3" w:rsidP="007F7654">
      <w:pPr>
        <w:pStyle w:val="11para"/>
      </w:pPr>
      <w:r w:rsidRPr="002A48E0">
        <w:t>The changes shown in</w:t>
      </w:r>
      <w:r>
        <w:t xml:space="preserve"> </w:t>
      </w:r>
      <w:r>
        <w:fldChar w:fldCharType="begin"/>
      </w:r>
      <w:r>
        <w:instrText xml:space="preserve"> REF _Ref503953001 \h </w:instrText>
      </w:r>
      <w:r>
        <w:fldChar w:fldCharType="separate"/>
      </w:r>
      <w:r w:rsidR="000A6746">
        <w:t>Table 1</w:t>
      </w:r>
      <w:r w:rsidR="000A6746">
        <w:noBreakHyphen/>
      </w:r>
      <w:r w:rsidR="000A6746">
        <w:rPr>
          <w:noProof/>
        </w:rPr>
        <w:t>4</w:t>
      </w:r>
      <w:r>
        <w:fldChar w:fldCharType="end"/>
      </w:r>
      <w:r>
        <w:t xml:space="preserve"> </w:t>
      </w:r>
      <w:r w:rsidRPr="002A48E0">
        <w:t xml:space="preserve">can be further </w:t>
      </w:r>
      <w:r>
        <w:t>disaggregated</w:t>
      </w:r>
      <w:r w:rsidRPr="002A48E0">
        <w:t>.</w:t>
      </w:r>
      <w:r>
        <w:t xml:space="preserve"> </w:t>
      </w:r>
      <w:r>
        <w:fldChar w:fldCharType="begin"/>
      </w:r>
      <w:r>
        <w:instrText xml:space="preserve"> REF _Ref503953113 \h </w:instrText>
      </w:r>
      <w:r>
        <w:fldChar w:fldCharType="separate"/>
      </w:r>
      <w:r w:rsidR="000A6746">
        <w:t>Table 1</w:t>
      </w:r>
      <w:r w:rsidR="000A6746">
        <w:noBreakHyphen/>
      </w:r>
      <w:r w:rsidR="000A6746">
        <w:rPr>
          <w:noProof/>
        </w:rPr>
        <w:t>5</w:t>
      </w:r>
      <w:r>
        <w:fldChar w:fldCharType="end"/>
      </w:r>
      <w:r>
        <w:t xml:space="preserve"> </w:t>
      </w:r>
      <w:r w:rsidRPr="002A48E0">
        <w:t>shows the changes in individual drivers that made the largest contribution to the change</w:t>
      </w:r>
      <w:r>
        <w:t>s</w:t>
      </w:r>
      <w:r w:rsidRPr="002A48E0">
        <w:t xml:space="preserve"> in State circumstances between the 201</w:t>
      </w:r>
      <w:r>
        <w:t>7</w:t>
      </w:r>
      <w:r w:rsidRPr="002A48E0">
        <w:t xml:space="preserve"> and 201</w:t>
      </w:r>
      <w:r>
        <w:t>8 </w:t>
      </w:r>
      <w:r w:rsidRPr="002A48E0">
        <w:t>Updates.</w:t>
      </w:r>
    </w:p>
    <w:p w:rsidR="004F57C3" w:rsidRDefault="004F57C3" w:rsidP="009904B1">
      <w:pPr>
        <w:pStyle w:val="Caption"/>
      </w:pPr>
      <w:bookmarkStart w:id="435" w:name="_Ref503953113"/>
      <w:r>
        <w:t>Table 1</w:t>
      </w:r>
      <w:r>
        <w:noBreakHyphen/>
      </w:r>
      <w:r w:rsidR="00CD68E8">
        <w:fldChar w:fldCharType="begin"/>
      </w:r>
      <w:r w:rsidR="00CD68E8">
        <w:instrText xml:space="preserve"> SEQ Table \* ARABIC \s 1 </w:instrText>
      </w:r>
      <w:r w:rsidR="00CD68E8">
        <w:fldChar w:fldCharType="separate"/>
      </w:r>
      <w:r w:rsidR="000A6746">
        <w:rPr>
          <w:noProof/>
        </w:rPr>
        <w:t>5</w:t>
      </w:r>
      <w:r w:rsidR="00CD68E8">
        <w:rPr>
          <w:noProof/>
        </w:rPr>
        <w:fldChar w:fldCharType="end"/>
      </w:r>
      <w:bookmarkEnd w:id="435"/>
      <w:r>
        <w:tab/>
        <w:t>Contribution to changes in State circumstances, 2018</w:t>
      </w:r>
      <w:r>
        <w:noBreakHyphen/>
        <w:t>19</w:t>
      </w:r>
      <w:r w:rsidR="005D5D12">
        <w:t xml:space="preserve"> </w:t>
      </w:r>
    </w:p>
    <w:tbl>
      <w:tblPr>
        <w:tblW w:w="9220" w:type="dxa"/>
        <w:tblInd w:w="93" w:type="dxa"/>
        <w:tblLook w:val="04A0" w:firstRow="1" w:lastRow="0" w:firstColumn="1" w:lastColumn="0" w:noHBand="0" w:noVBand="1"/>
      </w:tblPr>
      <w:tblGrid>
        <w:gridCol w:w="2620"/>
        <w:gridCol w:w="640"/>
        <w:gridCol w:w="740"/>
        <w:gridCol w:w="740"/>
        <w:gridCol w:w="800"/>
        <w:gridCol w:w="740"/>
        <w:gridCol w:w="640"/>
        <w:gridCol w:w="640"/>
        <w:gridCol w:w="800"/>
        <w:gridCol w:w="860"/>
      </w:tblGrid>
      <w:tr w:rsidR="004D0713" w:rsidRPr="004D0713" w:rsidTr="004D0713">
        <w:trPr>
          <w:trHeight w:val="375"/>
        </w:trPr>
        <w:tc>
          <w:tcPr>
            <w:tcW w:w="2620" w:type="dxa"/>
            <w:tcBorders>
              <w:top w:val="single" w:sz="4" w:space="0" w:color="auto"/>
              <w:left w:val="nil"/>
              <w:bottom w:val="nil"/>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 </w:t>
            </w:r>
          </w:p>
        </w:tc>
        <w:tc>
          <w:tcPr>
            <w:tcW w:w="64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Qld</w:t>
            </w:r>
          </w:p>
        </w:tc>
        <w:tc>
          <w:tcPr>
            <w:tcW w:w="80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WA</w:t>
            </w:r>
          </w:p>
        </w:tc>
        <w:tc>
          <w:tcPr>
            <w:tcW w:w="74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proofErr w:type="spellStart"/>
            <w:r w:rsidRPr="004D0713">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NT</w:t>
            </w:r>
          </w:p>
        </w:tc>
        <w:tc>
          <w:tcPr>
            <w:tcW w:w="860" w:type="dxa"/>
            <w:tcBorders>
              <w:top w:val="single" w:sz="4" w:space="0" w:color="auto"/>
              <w:left w:val="nil"/>
              <w:bottom w:val="single" w:sz="4" w:space="0" w:color="auto"/>
              <w:right w:val="nil"/>
            </w:tcBorders>
            <w:shd w:val="clear" w:color="auto" w:fill="auto"/>
            <w:noWrap/>
            <w:vAlign w:val="center"/>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proofErr w:type="spellStart"/>
            <w:r w:rsidRPr="004D0713">
              <w:rPr>
                <w:rFonts w:ascii="Calibri" w:eastAsia="Times New Roman" w:hAnsi="Calibri" w:cs="Times New Roman"/>
                <w:sz w:val="20"/>
                <w:szCs w:val="20"/>
                <w:lang w:eastAsia="en-AU"/>
              </w:rPr>
              <w:t>Redist</w:t>
            </w:r>
            <w:proofErr w:type="spellEnd"/>
          </w:p>
        </w:tc>
      </w:tr>
      <w:tr w:rsidR="004D0713" w:rsidRPr="004D0713" w:rsidTr="004D0713">
        <w:trPr>
          <w:trHeight w:val="258"/>
        </w:trPr>
        <w:tc>
          <w:tcPr>
            <w:tcW w:w="2620" w:type="dxa"/>
            <w:tcBorders>
              <w:top w:val="single" w:sz="4" w:space="0" w:color="auto"/>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 </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Mining production</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-218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-123</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-434</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772</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32</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-8</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-3</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804</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Natural disaster relief</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354</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90</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-555</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58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40</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8</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-11</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566</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Property sales</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-348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-142</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-25</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456</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49</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0</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-13</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23</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529</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Commonwealth payments</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-67</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467</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-289</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12</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-52</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-11</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17</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-76</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496</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Taxable payrolls</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-180</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-78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100</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176</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19</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-12</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-13</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-12</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295</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Taxable land values</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-212</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-16</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75</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108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33</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7</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6</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229</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Population growth</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118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85</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-46</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-123</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-29</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19</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0</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-24</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222</w:t>
            </w:r>
          </w:p>
        </w:tc>
      </w:tr>
      <w:tr w:rsidR="004D0713" w:rsidRPr="004D0713" w:rsidTr="004D0713">
        <w:trPr>
          <w:trHeight w:val="315"/>
        </w:trPr>
        <w:tc>
          <w:tcPr>
            <w:tcW w:w="262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Other causes of change</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 xml:space="preserve"> 119</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 xml:space="preserve"> 235</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-12</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-208</w:t>
            </w:r>
          </w:p>
        </w:tc>
        <w:tc>
          <w:tcPr>
            <w:tcW w:w="7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-47</w:t>
            </w:r>
          </w:p>
        </w:tc>
        <w:tc>
          <w:tcPr>
            <w:tcW w:w="64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13</w:t>
            </w:r>
          </w:p>
        </w:tc>
        <w:tc>
          <w:tcPr>
            <w:tcW w:w="80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-97</w:t>
            </w:r>
          </w:p>
        </w:tc>
        <w:tc>
          <w:tcPr>
            <w:tcW w:w="860" w:type="dxa"/>
            <w:tcBorders>
              <w:top w:val="nil"/>
              <w:left w:val="nil"/>
              <w:bottom w:val="nil"/>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 xml:space="preserve"> 368</w:t>
            </w:r>
          </w:p>
        </w:tc>
      </w:tr>
      <w:tr w:rsidR="004D0713" w:rsidRPr="004D0713" w:rsidTr="004D0713">
        <w:trPr>
          <w:trHeight w:val="315"/>
        </w:trPr>
        <w:tc>
          <w:tcPr>
            <w:tcW w:w="2620" w:type="dxa"/>
            <w:tcBorders>
              <w:top w:val="nil"/>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-435</w:t>
            </w:r>
          </w:p>
        </w:tc>
        <w:tc>
          <w:tcPr>
            <w:tcW w:w="74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518</w:t>
            </w:r>
          </w:p>
        </w:tc>
        <w:tc>
          <w:tcPr>
            <w:tcW w:w="74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-1 187</w:t>
            </w:r>
          </w:p>
        </w:tc>
        <w:tc>
          <w:tcPr>
            <w:tcW w:w="80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1 252</w:t>
            </w:r>
          </w:p>
        </w:tc>
        <w:tc>
          <w:tcPr>
            <w:tcW w:w="74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87</w:t>
            </w:r>
          </w:p>
        </w:tc>
        <w:tc>
          <w:tcPr>
            <w:tcW w:w="64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-45</w:t>
            </w:r>
          </w:p>
        </w:tc>
        <w:tc>
          <w:tcPr>
            <w:tcW w:w="64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9</w:t>
            </w:r>
          </w:p>
        </w:tc>
        <w:tc>
          <w:tcPr>
            <w:tcW w:w="80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-199</w:t>
            </w:r>
          </w:p>
        </w:tc>
        <w:tc>
          <w:tcPr>
            <w:tcW w:w="860" w:type="dxa"/>
            <w:tcBorders>
              <w:top w:val="single" w:sz="4" w:space="0" w:color="auto"/>
              <w:left w:val="nil"/>
              <w:bottom w:val="single" w:sz="4" w:space="0" w:color="auto"/>
              <w:right w:val="nil"/>
            </w:tcBorders>
            <w:shd w:val="clear" w:color="auto" w:fill="auto"/>
            <w:noWrap/>
            <w:vAlign w:val="bottom"/>
            <w:hideMark/>
          </w:tcPr>
          <w:p w:rsidR="004D0713" w:rsidRPr="004D0713" w:rsidRDefault="004D0713" w:rsidP="004D0713">
            <w:pPr>
              <w:tabs>
                <w:tab w:val="clear" w:pos="567"/>
              </w:tabs>
              <w:spacing w:after="0" w:line="240" w:lineRule="auto"/>
              <w:jc w:val="right"/>
              <w:rPr>
                <w:rFonts w:ascii="Calibri" w:eastAsia="Times New Roman" w:hAnsi="Calibri" w:cs="Times New Roman"/>
                <w:sz w:val="20"/>
                <w:szCs w:val="20"/>
                <w:lang w:eastAsia="en-AU"/>
              </w:rPr>
            </w:pPr>
            <w:r w:rsidRPr="004D0713">
              <w:rPr>
                <w:rFonts w:ascii="Calibri" w:eastAsia="Times New Roman" w:hAnsi="Calibri" w:cs="Times New Roman"/>
                <w:sz w:val="20"/>
                <w:szCs w:val="20"/>
                <w:lang w:eastAsia="en-AU"/>
              </w:rPr>
              <w:t>1 866</w:t>
            </w:r>
          </w:p>
        </w:tc>
      </w:tr>
    </w:tbl>
    <w:p w:rsidR="004F57C3" w:rsidRDefault="004F57C3" w:rsidP="004F57C3">
      <w:pPr>
        <w:pStyle w:val="CGCTableFootnote"/>
      </w:pPr>
      <w:r>
        <w:t>Note:</w:t>
      </w:r>
      <w:r>
        <w:tab/>
      </w:r>
      <w:r w:rsidRPr="002A48E0">
        <w:t xml:space="preserve">The amounts shown in this table are the changes in the GST distribution </w:t>
      </w:r>
      <w:r>
        <w:t xml:space="preserve">resulting </w:t>
      </w:r>
      <w:r w:rsidRPr="002A48E0">
        <w:t xml:space="preserve">from replacing </w:t>
      </w:r>
      <w:r w:rsidR="00B82388">
        <w:t xml:space="preserve">revised </w:t>
      </w:r>
      <w:r w:rsidRPr="002A48E0">
        <w:t>201</w:t>
      </w:r>
      <w:r>
        <w:t>3</w:t>
      </w:r>
      <w:r w:rsidRPr="002A48E0">
        <w:noBreakHyphen/>
        <w:t>1</w:t>
      </w:r>
      <w:r>
        <w:t>4</w:t>
      </w:r>
      <w:r w:rsidRPr="002A48E0">
        <w:t xml:space="preserve"> data with 201</w:t>
      </w:r>
      <w:r>
        <w:t>6</w:t>
      </w:r>
      <w:r w:rsidR="00DB7EC8">
        <w:noBreakHyphen/>
      </w:r>
      <w:r w:rsidRPr="002A48E0">
        <w:t>1</w:t>
      </w:r>
      <w:r>
        <w:t>7</w:t>
      </w:r>
      <w:r w:rsidRPr="002A48E0">
        <w:t xml:space="preserve"> data. They differ from the amounts shown in</w:t>
      </w:r>
      <w:r>
        <w:t xml:space="preserve"> </w:t>
      </w:r>
      <w:r>
        <w:fldChar w:fldCharType="begin"/>
      </w:r>
      <w:r>
        <w:instrText xml:space="preserve"> REF _Ref503771880 \h </w:instrText>
      </w:r>
      <w:r>
        <w:fldChar w:fldCharType="separate"/>
      </w:r>
      <w:r w:rsidR="000A6746">
        <w:t xml:space="preserve">Table </w:t>
      </w:r>
      <w:r w:rsidR="000A6746">
        <w:rPr>
          <w:noProof/>
        </w:rPr>
        <w:t>4</w:t>
      </w:r>
      <w:r>
        <w:fldChar w:fldCharType="end"/>
      </w:r>
      <w:r>
        <w:t xml:space="preserve"> </w:t>
      </w:r>
      <w:r w:rsidRPr="002A48E0">
        <w:t>in the Overview, which include the effect of revising data. Totals may not add due to rounding.</w:t>
      </w:r>
      <w:r w:rsidRPr="002A48E0">
        <w:tab/>
      </w:r>
    </w:p>
    <w:p w:rsidR="00D824B9" w:rsidRPr="00D824B9" w:rsidRDefault="00D824B9" w:rsidP="00D824B9">
      <w:pPr>
        <w:pStyle w:val="CGCTableFootnote"/>
      </w:pPr>
      <w:r>
        <w:t>Source:</w:t>
      </w:r>
      <w:r>
        <w:tab/>
        <w:t>Commission calculation.</w:t>
      </w:r>
    </w:p>
    <w:p w:rsidR="00D824B9" w:rsidRPr="002A48E0" w:rsidRDefault="00D824B9" w:rsidP="007F7654">
      <w:pPr>
        <w:pStyle w:val="11para"/>
      </w:pPr>
      <w:r w:rsidRPr="002A48E0">
        <w:t>The following sections explain the main causes of change in State circumstances.</w:t>
      </w:r>
    </w:p>
    <w:p w:rsidR="005D52DC" w:rsidRPr="002A48E0" w:rsidRDefault="005D52DC" w:rsidP="005D52DC">
      <w:pPr>
        <w:pStyle w:val="Heading4"/>
      </w:pPr>
      <w:bookmarkStart w:id="436" w:name="_Toc505872182"/>
      <w:r w:rsidRPr="002A48E0">
        <w:lastRenderedPageBreak/>
        <w:t>Revenue</w:t>
      </w:r>
      <w:bookmarkEnd w:id="423"/>
      <w:bookmarkEnd w:id="424"/>
      <w:bookmarkEnd w:id="425"/>
      <w:bookmarkEnd w:id="426"/>
      <w:bookmarkEnd w:id="427"/>
      <w:bookmarkEnd w:id="428"/>
      <w:bookmarkEnd w:id="429"/>
      <w:bookmarkEnd w:id="430"/>
      <w:bookmarkEnd w:id="431"/>
      <w:bookmarkEnd w:id="432"/>
      <w:bookmarkEnd w:id="433"/>
      <w:bookmarkEnd w:id="436"/>
    </w:p>
    <w:p w:rsidR="005D52DC" w:rsidRDefault="000D6EE8" w:rsidP="000D6EE8">
      <w:pPr>
        <w:pStyle w:val="Heading5"/>
      </w:pPr>
      <w:r>
        <w:t>Mining production</w:t>
      </w:r>
    </w:p>
    <w:p w:rsidR="008E3457" w:rsidRDefault="008E3457" w:rsidP="007F7654">
      <w:pPr>
        <w:pStyle w:val="11para"/>
      </w:pPr>
      <w:r w:rsidRPr="002A48E0">
        <w:t xml:space="preserve">Due to the uneven distribution of </w:t>
      </w:r>
      <w:r w:rsidR="008C7408">
        <w:t xml:space="preserve">resource endowments and hence </w:t>
      </w:r>
      <w:r w:rsidRPr="002A48E0">
        <w:t xml:space="preserve">mining activity between States and the large movements in the value of mining production that can occur from year to year, the mining revenue assessment typically produces </w:t>
      </w:r>
      <w:r>
        <w:t>significant</w:t>
      </w:r>
      <w:r w:rsidRPr="002A48E0">
        <w:t xml:space="preserve"> redistributions in GST revenue. Compared </w:t>
      </w:r>
      <w:r>
        <w:t>with</w:t>
      </w:r>
      <w:r w:rsidRPr="002A48E0">
        <w:t xml:space="preserve"> the 201</w:t>
      </w:r>
      <w:r>
        <w:t>7</w:t>
      </w:r>
      <w:r w:rsidR="00E85C3A">
        <w:t> </w:t>
      </w:r>
      <w:r w:rsidRPr="002A48E0">
        <w:t xml:space="preserve">Update, </w:t>
      </w:r>
      <w:r w:rsidR="00353CE2">
        <w:t>$</w:t>
      </w:r>
      <w:r w:rsidR="00543596">
        <w:t>77</w:t>
      </w:r>
      <w:r w:rsidR="00466266">
        <w:t>2</w:t>
      </w:r>
      <w:r w:rsidR="00353CE2">
        <w:t xml:space="preserve"> million has been redistributed to </w:t>
      </w:r>
      <w:r w:rsidR="00543596">
        <w:t>Western Australia</w:t>
      </w:r>
      <w:r w:rsidR="001F59C3">
        <w:t xml:space="preserve"> as a result of changes in circumstances</w:t>
      </w:r>
      <w:r>
        <w:t>.</w:t>
      </w:r>
    </w:p>
    <w:p w:rsidR="008E3457" w:rsidRDefault="008E3457" w:rsidP="007F7654">
      <w:pPr>
        <w:pStyle w:val="11para"/>
      </w:pPr>
      <w:r>
        <w:fldChar w:fldCharType="begin"/>
      </w:r>
      <w:r>
        <w:instrText xml:space="preserve"> REF _Ref504638141 \h </w:instrText>
      </w:r>
      <w:r>
        <w:fldChar w:fldCharType="separate"/>
      </w:r>
      <w:r w:rsidR="000A6746">
        <w:t>Figure 1</w:t>
      </w:r>
      <w:r w:rsidR="000A6746">
        <w:noBreakHyphen/>
      </w:r>
      <w:r w:rsidR="000A6746">
        <w:rPr>
          <w:noProof/>
        </w:rPr>
        <w:t>1</w:t>
      </w:r>
      <w:r>
        <w:fldChar w:fldCharType="end"/>
      </w:r>
      <w:r>
        <w:t xml:space="preserve"> </w:t>
      </w:r>
      <w:r w:rsidRPr="002A48E0">
        <w:t xml:space="preserve">shows the value of iron ore production decreased between </w:t>
      </w:r>
      <w:r w:rsidRPr="006512D3">
        <w:t>201</w:t>
      </w:r>
      <w:r>
        <w:t>3</w:t>
      </w:r>
      <w:r w:rsidR="000D42C4">
        <w:noBreakHyphen/>
      </w:r>
      <w:r>
        <w:t>14</w:t>
      </w:r>
      <w:r w:rsidRPr="006512D3">
        <w:t xml:space="preserve"> and 201</w:t>
      </w:r>
      <w:r>
        <w:t>6</w:t>
      </w:r>
      <w:r w:rsidR="00DB7EC8">
        <w:noBreakHyphen/>
      </w:r>
      <w:r>
        <w:t>17</w:t>
      </w:r>
      <w:r w:rsidRPr="002A48E0">
        <w:t xml:space="preserve">. While there were increases in </w:t>
      </w:r>
      <w:r>
        <w:t xml:space="preserve">iron ore </w:t>
      </w:r>
      <w:r w:rsidRPr="002A48E0">
        <w:t>production volumes</w:t>
      </w:r>
      <w:r>
        <w:t>,</w:t>
      </w:r>
      <w:r w:rsidRPr="002A48E0">
        <w:t xml:space="preserve"> th</w:t>
      </w:r>
      <w:r>
        <w:t>o</w:t>
      </w:r>
      <w:r w:rsidRPr="002A48E0">
        <w:t xml:space="preserve">se increases </w:t>
      </w:r>
      <w:r>
        <w:t>were</w:t>
      </w:r>
      <w:r w:rsidRPr="002A48E0">
        <w:t xml:space="preserve"> more than offset by lower commodity prices. Western Australia’s share of North</w:t>
      </w:r>
      <w:r w:rsidR="00B82388">
        <w:t> </w:t>
      </w:r>
      <w:r w:rsidRPr="002A48E0">
        <w:t xml:space="preserve">West Shelf royalties also decreased between </w:t>
      </w:r>
      <w:r w:rsidRPr="006512D3">
        <w:t>201</w:t>
      </w:r>
      <w:r>
        <w:t>3</w:t>
      </w:r>
      <w:r w:rsidR="000D42C4">
        <w:noBreakHyphen/>
      </w:r>
      <w:r>
        <w:t>14</w:t>
      </w:r>
      <w:r w:rsidRPr="006512D3">
        <w:t xml:space="preserve"> and 201</w:t>
      </w:r>
      <w:r>
        <w:t>6</w:t>
      </w:r>
      <w:r w:rsidR="000D42C4">
        <w:noBreakHyphen/>
      </w:r>
      <w:r>
        <w:t>17</w:t>
      </w:r>
      <w:r w:rsidRPr="002A48E0">
        <w:t xml:space="preserve">. Together, these changes reduced </w:t>
      </w:r>
      <w:r>
        <w:t>Western Australia’s fiscal</w:t>
      </w:r>
      <w:r w:rsidRPr="002A48E0">
        <w:t xml:space="preserve"> capacity and increased its GST shar</w:t>
      </w:r>
      <w:r>
        <w:t>e.</w:t>
      </w:r>
    </w:p>
    <w:p w:rsidR="008E3457" w:rsidRDefault="008E3457" w:rsidP="008E3457">
      <w:pPr>
        <w:pStyle w:val="Caption"/>
      </w:pPr>
      <w:bookmarkStart w:id="437" w:name="_Ref504638141"/>
      <w:r>
        <w:t>Figure 1</w:t>
      </w:r>
      <w:r>
        <w:noBreakHyphen/>
      </w:r>
      <w:r w:rsidR="00CD68E8">
        <w:fldChar w:fldCharType="begin"/>
      </w:r>
      <w:r w:rsidR="00CD68E8">
        <w:instrText xml:space="preserve"> SEQ Figure \* ARABIC \s 1 </w:instrText>
      </w:r>
      <w:r w:rsidR="00CD68E8">
        <w:fldChar w:fldCharType="separate"/>
      </w:r>
      <w:r w:rsidR="000A6746">
        <w:rPr>
          <w:noProof/>
        </w:rPr>
        <w:t>1</w:t>
      </w:r>
      <w:r w:rsidR="00CD68E8">
        <w:rPr>
          <w:noProof/>
        </w:rPr>
        <w:fldChar w:fldCharType="end"/>
      </w:r>
      <w:bookmarkEnd w:id="437"/>
      <w:r>
        <w:tab/>
      </w:r>
      <w:r w:rsidRPr="002A48E0">
        <w:t>Mining value of production, selected minerals, 201</w:t>
      </w:r>
      <w:r>
        <w:t>3</w:t>
      </w:r>
      <w:r w:rsidR="000D42C4">
        <w:noBreakHyphen/>
      </w:r>
      <w:r>
        <w:t>14</w:t>
      </w:r>
      <w:r w:rsidRPr="002A48E0">
        <w:t xml:space="preserve"> and 201</w:t>
      </w:r>
      <w:r>
        <w:t>6</w:t>
      </w:r>
      <w:r w:rsidR="000D42C4">
        <w:noBreakHyphen/>
      </w:r>
      <w:r>
        <w:t>17</w:t>
      </w:r>
    </w:p>
    <w:p w:rsidR="00025824" w:rsidRPr="00025824" w:rsidRDefault="00025824" w:rsidP="00025824">
      <w:r w:rsidRPr="00025824">
        <w:rPr>
          <w:noProof/>
          <w:lang w:eastAsia="en-AU"/>
        </w:rPr>
        <w:drawing>
          <wp:inline distT="0" distB="0" distL="0" distR="0" wp14:anchorId="71973701" wp14:editId="512623BD">
            <wp:extent cx="5657850" cy="3562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8E3457" w:rsidRDefault="008E3457" w:rsidP="008E3457">
      <w:pPr>
        <w:pStyle w:val="CGCTableFootnote"/>
      </w:pPr>
      <w:r>
        <w:t>Source:</w:t>
      </w:r>
      <w:r>
        <w:tab/>
        <w:t>State data returns.</w:t>
      </w:r>
    </w:p>
    <w:p w:rsidR="00AE1BDA" w:rsidRDefault="00AE1BDA" w:rsidP="00AE1BDA">
      <w:pPr>
        <w:pStyle w:val="11para"/>
      </w:pPr>
      <w:r w:rsidRPr="006122FF">
        <w:rPr>
          <w:rStyle w:val="Heading6Char"/>
        </w:rPr>
        <w:t>Iron ore.</w:t>
      </w:r>
      <w:r>
        <w:t xml:space="preserve"> </w:t>
      </w:r>
      <w:r w:rsidRPr="002A48E0">
        <w:t xml:space="preserve">Between </w:t>
      </w:r>
      <w:r w:rsidRPr="006512D3">
        <w:t>201</w:t>
      </w:r>
      <w:r>
        <w:t>3</w:t>
      </w:r>
      <w:r>
        <w:noBreakHyphen/>
        <w:t>14</w:t>
      </w:r>
      <w:r w:rsidRPr="006512D3">
        <w:t xml:space="preserve"> and 201</w:t>
      </w:r>
      <w:r>
        <w:t>6</w:t>
      </w:r>
      <w:r>
        <w:noBreakHyphen/>
        <w:t>17</w:t>
      </w:r>
      <w:r w:rsidRPr="002A48E0">
        <w:t xml:space="preserve"> the value of iron ore production in Australia decreased by 1</w:t>
      </w:r>
      <w:r>
        <w:t>7</w:t>
      </w:r>
      <w:r w:rsidRPr="002A48E0">
        <w:t>% to $</w:t>
      </w:r>
      <w:r>
        <w:t>65</w:t>
      </w:r>
      <w:r w:rsidRPr="002A48E0">
        <w:t xml:space="preserve"> billion. </w:t>
      </w:r>
      <w:r>
        <w:t xml:space="preserve">Department </w:t>
      </w:r>
      <w:r w:rsidR="00B82388">
        <w:t xml:space="preserve">of Industry, Innovation and Science (Industry Department) </w:t>
      </w:r>
      <w:r>
        <w:t xml:space="preserve">data </w:t>
      </w:r>
      <w:r w:rsidR="001B3EE4">
        <w:t>indicate</w:t>
      </w:r>
      <w:r w:rsidRPr="002A48E0">
        <w:t xml:space="preserve"> production increased by </w:t>
      </w:r>
      <w:r>
        <w:t>26</w:t>
      </w:r>
      <w:r w:rsidRPr="002A48E0">
        <w:t xml:space="preserve">% over </w:t>
      </w:r>
      <w:r>
        <w:t>this</w:t>
      </w:r>
      <w:r w:rsidRPr="002A48E0">
        <w:t xml:space="preserve"> period but was more than offset by reductions in the Australian dollar price of iron ore. As Western Australia accounts for around 9</w:t>
      </w:r>
      <w:r w:rsidR="00AC77A2">
        <w:t>8</w:t>
      </w:r>
      <w:r w:rsidRPr="002A48E0">
        <w:t>% of the value of Australia’s iron ore production, th</w:t>
      </w:r>
      <w:r>
        <w:t>e</w:t>
      </w:r>
      <w:r w:rsidRPr="002A48E0">
        <w:t xml:space="preserve"> fall in </w:t>
      </w:r>
      <w:r w:rsidR="003353BB">
        <w:t xml:space="preserve">the </w:t>
      </w:r>
      <w:r w:rsidRPr="002A48E0">
        <w:t xml:space="preserve">value </w:t>
      </w:r>
      <w:r w:rsidR="003353BB">
        <w:t xml:space="preserve">of </w:t>
      </w:r>
      <w:r w:rsidRPr="002A48E0">
        <w:t>production affected its fiscal capacity most</w:t>
      </w:r>
      <w:r>
        <w:t>.</w:t>
      </w:r>
    </w:p>
    <w:p w:rsidR="008E3457" w:rsidRDefault="008E3457" w:rsidP="007F7654">
      <w:pPr>
        <w:pStyle w:val="11para"/>
      </w:pPr>
      <w:r>
        <w:rPr>
          <w:rStyle w:val="Heading6Char"/>
        </w:rPr>
        <w:lastRenderedPageBreak/>
        <w:t xml:space="preserve">Metallurgical </w:t>
      </w:r>
      <w:r w:rsidR="000D6066">
        <w:rPr>
          <w:rStyle w:val="Heading6Char"/>
        </w:rPr>
        <w:t>c</w:t>
      </w:r>
      <w:r w:rsidRPr="006122FF">
        <w:rPr>
          <w:rStyle w:val="Heading6Char"/>
        </w:rPr>
        <w:t>oal.</w:t>
      </w:r>
      <w:r>
        <w:t xml:space="preserve"> </w:t>
      </w:r>
      <w:r w:rsidRPr="002A48E0">
        <w:t xml:space="preserve">Between </w:t>
      </w:r>
      <w:r w:rsidRPr="006512D3">
        <w:t>201</w:t>
      </w:r>
      <w:r>
        <w:t>3</w:t>
      </w:r>
      <w:r w:rsidR="000D42C4">
        <w:noBreakHyphen/>
      </w:r>
      <w:r>
        <w:t>14</w:t>
      </w:r>
      <w:r w:rsidRPr="006512D3">
        <w:t xml:space="preserve"> and 201</w:t>
      </w:r>
      <w:r>
        <w:t>6</w:t>
      </w:r>
      <w:r w:rsidR="000D42C4">
        <w:noBreakHyphen/>
      </w:r>
      <w:r>
        <w:t>17</w:t>
      </w:r>
      <w:r w:rsidRPr="002A48E0">
        <w:t xml:space="preserve"> the value of </w:t>
      </w:r>
      <w:r>
        <w:t>coal</w:t>
      </w:r>
      <w:r w:rsidRPr="002A48E0">
        <w:t xml:space="preserve"> production in Australia </w:t>
      </w:r>
      <w:r w:rsidR="003C17D5">
        <w:t>increased</w:t>
      </w:r>
      <w:r w:rsidR="003C17D5" w:rsidRPr="002A48E0">
        <w:t xml:space="preserve"> </w:t>
      </w:r>
      <w:r w:rsidRPr="002A48E0">
        <w:t xml:space="preserve">by </w:t>
      </w:r>
      <w:r>
        <w:t>45</w:t>
      </w:r>
      <w:r w:rsidRPr="002A48E0">
        <w:t>% to $</w:t>
      </w:r>
      <w:r>
        <w:t>58</w:t>
      </w:r>
      <w:r w:rsidRPr="002A48E0">
        <w:t xml:space="preserve"> billion. </w:t>
      </w:r>
      <w:r w:rsidR="00B82388">
        <w:t>Industry Department</w:t>
      </w:r>
      <w:r>
        <w:t xml:space="preserve"> data </w:t>
      </w:r>
      <w:r w:rsidR="001B3EE4">
        <w:t>indicate</w:t>
      </w:r>
      <w:r w:rsidRPr="002A48E0">
        <w:t xml:space="preserve"> production </w:t>
      </w:r>
      <w:r>
        <w:t>grew slowly (4</w:t>
      </w:r>
      <w:r w:rsidRPr="002A48E0">
        <w:t>%</w:t>
      </w:r>
      <w:r>
        <w:t>)</w:t>
      </w:r>
      <w:r w:rsidRPr="002A48E0">
        <w:t xml:space="preserve"> over </w:t>
      </w:r>
      <w:r>
        <w:t>this</w:t>
      </w:r>
      <w:r w:rsidRPr="002A48E0">
        <w:t xml:space="preserve"> period</w:t>
      </w:r>
      <w:r>
        <w:t xml:space="preserve"> and</w:t>
      </w:r>
      <w:r w:rsidRPr="002A48E0">
        <w:t xml:space="preserve"> the Australian dollar price of </w:t>
      </w:r>
      <w:r>
        <w:t>coal increased</w:t>
      </w:r>
      <w:r w:rsidRPr="002A48E0">
        <w:t xml:space="preserve">. As </w:t>
      </w:r>
      <w:r>
        <w:t>Queensland</w:t>
      </w:r>
      <w:r w:rsidRPr="002A48E0">
        <w:t xml:space="preserve"> accounts for </w:t>
      </w:r>
      <w:r>
        <w:t>more than 60</w:t>
      </w:r>
      <w:r w:rsidRPr="002A48E0">
        <w:t xml:space="preserve">% of the value of Australia’s </w:t>
      </w:r>
      <w:r>
        <w:t>coal</w:t>
      </w:r>
      <w:r w:rsidRPr="002A48E0">
        <w:t xml:space="preserve"> production, th</w:t>
      </w:r>
      <w:r>
        <w:t>e increase</w:t>
      </w:r>
      <w:r w:rsidRPr="002A48E0">
        <w:t xml:space="preserve"> in the value of production affected its fiscal capacity most</w:t>
      </w:r>
      <w:r>
        <w:t>.</w:t>
      </w:r>
    </w:p>
    <w:p w:rsidR="000D6EE8" w:rsidRDefault="000D6EE8" w:rsidP="000D6EE8">
      <w:pPr>
        <w:pStyle w:val="Heading5"/>
      </w:pPr>
      <w:r>
        <w:t>Property sales</w:t>
      </w:r>
    </w:p>
    <w:p w:rsidR="008C4F13" w:rsidRDefault="008C4F13" w:rsidP="007F7654">
      <w:pPr>
        <w:pStyle w:val="11para"/>
      </w:pPr>
      <w:r w:rsidRPr="002A48E0">
        <w:t xml:space="preserve">Stamp duties </w:t>
      </w:r>
      <w:r>
        <w:t>raised from</w:t>
      </w:r>
      <w:r w:rsidRPr="002A48E0">
        <w:t xml:space="preserve"> the transfer of property are volatile. Cycles in property markets can lead to substantial changes </w:t>
      </w:r>
      <w:r>
        <w:t>across years and States</w:t>
      </w:r>
      <w:r w:rsidRPr="002A48E0">
        <w:t xml:space="preserve">, which can have marked </w:t>
      </w:r>
      <w:r w:rsidR="00DB6A81">
        <w:t>effects</w:t>
      </w:r>
      <w:r w:rsidR="00DB6A81" w:rsidRPr="002A48E0">
        <w:t xml:space="preserve"> </w:t>
      </w:r>
      <w:r w:rsidRPr="002A48E0">
        <w:t>on State revenue capacities. The current update has been no exception</w:t>
      </w:r>
      <w:r>
        <w:t>.</w:t>
      </w:r>
    </w:p>
    <w:p w:rsidR="008C4F13" w:rsidRDefault="008C4F13" w:rsidP="007F7654">
      <w:pPr>
        <w:pStyle w:val="11para"/>
      </w:pPr>
      <w:r w:rsidRPr="002A48E0">
        <w:t>Between 201</w:t>
      </w:r>
      <w:r>
        <w:t>3</w:t>
      </w:r>
      <w:r w:rsidR="000D42C4">
        <w:noBreakHyphen/>
      </w:r>
      <w:r>
        <w:t>14</w:t>
      </w:r>
      <w:r w:rsidRPr="002A48E0">
        <w:t xml:space="preserve"> and 201</w:t>
      </w:r>
      <w:r>
        <w:t>6</w:t>
      </w:r>
      <w:r w:rsidR="000D42C4">
        <w:noBreakHyphen/>
      </w:r>
      <w:r>
        <w:t>17</w:t>
      </w:r>
      <w:r w:rsidRPr="002A48E0">
        <w:t xml:space="preserve">, </w:t>
      </w:r>
      <w:r>
        <w:t xml:space="preserve">most </w:t>
      </w:r>
      <w:r w:rsidRPr="002A48E0">
        <w:t xml:space="preserve">States experienced </w:t>
      </w:r>
      <w:r w:rsidR="006C3C8E">
        <w:t xml:space="preserve">more than 20% </w:t>
      </w:r>
      <w:r w:rsidRPr="002A48E0">
        <w:t>growth in the value of property transferred</w:t>
      </w:r>
      <w:r>
        <w:t>. Three States experienced growth that was less than the average — Western Australia (-38%), South Australia (19%) and the Northern</w:t>
      </w:r>
      <w:r w:rsidR="001B3EE4">
        <w:t> </w:t>
      </w:r>
      <w:r>
        <w:t>Territory (-23%). A</w:t>
      </w:r>
      <w:r w:rsidRPr="002A48E0">
        <w:t>s a result, $</w:t>
      </w:r>
      <w:r w:rsidR="00F4578C">
        <w:t>529</w:t>
      </w:r>
      <w:r w:rsidR="00F4578C" w:rsidRPr="002A48E0">
        <w:t xml:space="preserve"> </w:t>
      </w:r>
      <w:r w:rsidRPr="002A48E0">
        <w:t xml:space="preserve">million </w:t>
      </w:r>
      <w:r w:rsidR="00E51166">
        <w:t>has been redistributed to these three States, primarily from New South Wales</w:t>
      </w:r>
      <w:r w:rsidR="00B51AC5">
        <w:t xml:space="preserve"> and Victoria</w:t>
      </w:r>
      <w:r w:rsidR="00E51166">
        <w:t xml:space="preserve">. </w:t>
      </w:r>
      <w:r>
        <w:fldChar w:fldCharType="begin"/>
      </w:r>
      <w:r>
        <w:instrText xml:space="preserve"> REF _Ref504638320 \h </w:instrText>
      </w:r>
      <w:r>
        <w:fldChar w:fldCharType="separate"/>
      </w:r>
      <w:r w:rsidR="000A6746">
        <w:t>Figure 1</w:t>
      </w:r>
      <w:r w:rsidR="000A6746">
        <w:noBreakHyphen/>
      </w:r>
      <w:r w:rsidR="000A6746">
        <w:rPr>
          <w:noProof/>
        </w:rPr>
        <w:t>2</w:t>
      </w:r>
      <w:r>
        <w:fldChar w:fldCharType="end"/>
      </w:r>
      <w:r>
        <w:t xml:space="preserve"> shows the change in States’ per capita value of property transferred between 2013</w:t>
      </w:r>
      <w:r w:rsidR="000D42C4">
        <w:noBreakHyphen/>
      </w:r>
      <w:r>
        <w:t>14 and 2016</w:t>
      </w:r>
      <w:r w:rsidR="000D42C4">
        <w:noBreakHyphen/>
      </w:r>
      <w:r>
        <w:t>17.</w:t>
      </w:r>
    </w:p>
    <w:p w:rsidR="008C4F13" w:rsidRDefault="008C4F13" w:rsidP="008C4F13">
      <w:pPr>
        <w:pStyle w:val="Caption"/>
      </w:pPr>
      <w:bookmarkStart w:id="438" w:name="_Ref504638320"/>
      <w:r>
        <w:t>Figure 1</w:t>
      </w:r>
      <w:r>
        <w:noBreakHyphen/>
      </w:r>
      <w:r w:rsidR="00CD68E8">
        <w:fldChar w:fldCharType="begin"/>
      </w:r>
      <w:r w:rsidR="00CD68E8">
        <w:instrText xml:space="preserve"> SEQ Figure \* ARABIC \s 1 </w:instrText>
      </w:r>
      <w:r w:rsidR="00CD68E8">
        <w:fldChar w:fldCharType="separate"/>
      </w:r>
      <w:r w:rsidR="000A6746">
        <w:rPr>
          <w:noProof/>
        </w:rPr>
        <w:t>2</w:t>
      </w:r>
      <w:r w:rsidR="00CD68E8">
        <w:rPr>
          <w:noProof/>
        </w:rPr>
        <w:fldChar w:fldCharType="end"/>
      </w:r>
      <w:bookmarkEnd w:id="438"/>
      <w:r>
        <w:tab/>
      </w:r>
      <w:r w:rsidRPr="002A48E0">
        <w:t>Conveyance transactions</w:t>
      </w:r>
      <w:r>
        <w:t xml:space="preserve"> by State,</w:t>
      </w:r>
      <w:r w:rsidRPr="002A48E0">
        <w:t xml:space="preserve"> 201</w:t>
      </w:r>
      <w:r w:rsidR="000D42C4">
        <w:t>3</w:t>
      </w:r>
      <w:r w:rsidR="000D42C4">
        <w:noBreakHyphen/>
        <w:t>1</w:t>
      </w:r>
      <w:r>
        <w:t>4</w:t>
      </w:r>
      <w:r w:rsidRPr="002A48E0">
        <w:t xml:space="preserve"> </w:t>
      </w:r>
      <w:r>
        <w:t>and</w:t>
      </w:r>
      <w:r w:rsidRPr="002A48E0">
        <w:t xml:space="preserve"> 201</w:t>
      </w:r>
      <w:r>
        <w:t>6</w:t>
      </w:r>
      <w:r w:rsidR="000D42C4">
        <w:noBreakHyphen/>
      </w:r>
      <w:r>
        <w:t>17</w:t>
      </w:r>
    </w:p>
    <w:p w:rsidR="00025824" w:rsidRPr="00025824" w:rsidRDefault="00025824" w:rsidP="00025824">
      <w:r w:rsidRPr="00025824">
        <w:rPr>
          <w:noProof/>
          <w:lang w:eastAsia="en-AU"/>
        </w:rPr>
        <w:drawing>
          <wp:inline distT="0" distB="0" distL="0" distR="0" wp14:anchorId="3F35E599" wp14:editId="11B5F38E">
            <wp:extent cx="5657850" cy="35623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8C4F13" w:rsidRDefault="008C4F13" w:rsidP="008C4F13">
      <w:pPr>
        <w:pStyle w:val="CGCTableFootnote"/>
      </w:pPr>
      <w:r>
        <w:t>Note:</w:t>
      </w:r>
      <w:r>
        <w:tab/>
      </w:r>
      <w:r w:rsidRPr="002A48E0">
        <w:t>Data are adjusted to account for differences between States in the scope of conveyances.</w:t>
      </w:r>
    </w:p>
    <w:p w:rsidR="008C4F13" w:rsidRPr="008C4F13" w:rsidRDefault="008C4F13" w:rsidP="008C4F13">
      <w:pPr>
        <w:pStyle w:val="CGCTableFootnote"/>
      </w:pPr>
      <w:r>
        <w:t>Source:</w:t>
      </w:r>
      <w:r>
        <w:tab/>
        <w:t>State data returns</w:t>
      </w:r>
      <w:r w:rsidRPr="002A48E0">
        <w:t>.</w:t>
      </w:r>
    </w:p>
    <w:p w:rsidR="000D6EE8" w:rsidRDefault="000D6EE8" w:rsidP="000D6EE8">
      <w:pPr>
        <w:pStyle w:val="Heading5"/>
      </w:pPr>
      <w:r>
        <w:lastRenderedPageBreak/>
        <w:t>Taxable payrolls</w:t>
      </w:r>
    </w:p>
    <w:p w:rsidR="00896187" w:rsidRDefault="00896187" w:rsidP="007F7654">
      <w:pPr>
        <w:pStyle w:val="11para"/>
      </w:pPr>
      <w:r w:rsidRPr="00EF7148">
        <w:t>Changes in State capacities to raise payroll tax redistributed $</w:t>
      </w:r>
      <w:r w:rsidR="00F4578C">
        <w:t>295</w:t>
      </w:r>
      <w:r w:rsidR="00F4578C" w:rsidRPr="00EF7148">
        <w:t xml:space="preserve"> </w:t>
      </w:r>
      <w:r w:rsidRPr="00EF7148">
        <w:t xml:space="preserve">million in GST revenue. The redistribution was driven by differences across States in the rate of growth of taxable payrolls between </w:t>
      </w:r>
      <w:r>
        <w:t>2013</w:t>
      </w:r>
      <w:r>
        <w:noBreakHyphen/>
        <w:t>14</w:t>
      </w:r>
      <w:r w:rsidRPr="00EF7148">
        <w:t xml:space="preserve"> and </w:t>
      </w:r>
      <w:r>
        <w:t>2016</w:t>
      </w:r>
      <w:r>
        <w:noBreakHyphen/>
        <w:t>17</w:t>
      </w:r>
      <w:r w:rsidRPr="00EF7148">
        <w:t>. These differences are shown in</w:t>
      </w:r>
      <w:r>
        <w:t xml:space="preserve"> </w:t>
      </w:r>
      <w:r w:rsidR="008C4F13">
        <w:fldChar w:fldCharType="begin"/>
      </w:r>
      <w:r w:rsidR="008C4F13">
        <w:instrText xml:space="preserve"> REF _Ref504638342 \h </w:instrText>
      </w:r>
      <w:r w:rsidR="008C4F13">
        <w:fldChar w:fldCharType="separate"/>
      </w:r>
      <w:r w:rsidR="000A6746">
        <w:t>Figure 1</w:t>
      </w:r>
      <w:r w:rsidR="000A6746">
        <w:noBreakHyphen/>
      </w:r>
      <w:r w:rsidR="000A6746">
        <w:rPr>
          <w:noProof/>
        </w:rPr>
        <w:t>3</w:t>
      </w:r>
      <w:r w:rsidR="008C4F13">
        <w:fldChar w:fldCharType="end"/>
      </w:r>
      <w:r w:rsidRPr="00EF7148">
        <w:t>.</w:t>
      </w:r>
    </w:p>
    <w:p w:rsidR="00D6166C" w:rsidRDefault="00896187" w:rsidP="007F7654">
      <w:pPr>
        <w:pStyle w:val="11para"/>
      </w:pPr>
      <w:r>
        <w:t>T</w:t>
      </w:r>
      <w:r w:rsidR="00D6166C">
        <w:t xml:space="preserve">he Commission uses </w:t>
      </w:r>
      <w:proofErr w:type="spellStart"/>
      <w:r w:rsidR="00D6166C">
        <w:t>CoE</w:t>
      </w:r>
      <w:proofErr w:type="spellEnd"/>
      <w:r w:rsidR="00D6166C">
        <w:t xml:space="preserve"> data to measure States’ payroll tax bases. National average growth in taxable </w:t>
      </w:r>
      <w:proofErr w:type="spellStart"/>
      <w:r w:rsidR="00D6166C">
        <w:t>CoE</w:t>
      </w:r>
      <w:proofErr w:type="spellEnd"/>
      <w:r w:rsidR="00D6166C">
        <w:t xml:space="preserve"> between 2013</w:t>
      </w:r>
      <w:r w:rsidR="00D6166C">
        <w:noBreakHyphen/>
        <w:t>14 and 2016</w:t>
      </w:r>
      <w:r w:rsidR="00D6166C">
        <w:noBreakHyphen/>
        <w:t>17</w:t>
      </w:r>
      <w:r w:rsidR="00466266">
        <w:t xml:space="preserve"> </w:t>
      </w:r>
      <w:r w:rsidR="00D6166C">
        <w:t>was 0.4%.</w:t>
      </w:r>
      <w:r w:rsidR="00F45986">
        <w:t xml:space="preserve"> </w:t>
      </w:r>
      <w:r>
        <w:t>New South Wales, Victoria, Tasmania</w:t>
      </w:r>
      <w:r w:rsidR="005A78D8">
        <w:t>,</w:t>
      </w:r>
      <w:r>
        <w:t xml:space="preserve"> the ACT </w:t>
      </w:r>
      <w:r w:rsidR="005A78D8">
        <w:t xml:space="preserve">and the Northern Territory </w:t>
      </w:r>
      <w:r>
        <w:t>had above average growth</w:t>
      </w:r>
      <w:r w:rsidR="005A78D8">
        <w:t xml:space="preserve"> </w:t>
      </w:r>
      <w:r w:rsidR="0023358F">
        <w:t xml:space="preserve">in taxable </w:t>
      </w:r>
      <w:proofErr w:type="spellStart"/>
      <w:r w:rsidR="0023358F">
        <w:t>CoE</w:t>
      </w:r>
      <w:proofErr w:type="spellEnd"/>
      <w:r w:rsidR="0023358F">
        <w:t xml:space="preserve"> over the</w:t>
      </w:r>
      <w:r w:rsidR="005A78D8">
        <w:t xml:space="preserve"> period</w:t>
      </w:r>
      <w:r w:rsidR="0023358F">
        <w:t>, increasing</w:t>
      </w:r>
      <w:r w:rsidR="005A78D8">
        <w:t xml:space="preserve"> their capacities </w:t>
      </w:r>
      <w:r w:rsidR="0023358F">
        <w:t>to raise payroll tax and reducing</w:t>
      </w:r>
      <w:r w:rsidR="005A78D8">
        <w:t xml:space="preserve"> their GST shares</w:t>
      </w:r>
      <w:r>
        <w:t>.</w:t>
      </w:r>
    </w:p>
    <w:p w:rsidR="00896187" w:rsidRDefault="005A78D8" w:rsidP="007F7654">
      <w:pPr>
        <w:pStyle w:val="11para"/>
      </w:pPr>
      <w:r>
        <w:t>T</w:t>
      </w:r>
      <w:r w:rsidR="00896187">
        <w:t xml:space="preserve">axable </w:t>
      </w:r>
      <w:proofErr w:type="spellStart"/>
      <w:r w:rsidR="00A87EE6">
        <w:t>CoE</w:t>
      </w:r>
      <w:proofErr w:type="spellEnd"/>
      <w:r w:rsidR="00896187">
        <w:t xml:space="preserve"> fell in Queensland, Western Australia and South Australia between 2013</w:t>
      </w:r>
      <w:r w:rsidR="00896187">
        <w:noBreakHyphen/>
        <w:t>14 and 2016</w:t>
      </w:r>
      <w:r w:rsidR="00896187">
        <w:noBreakHyphen/>
        <w:t xml:space="preserve">17, </w:t>
      </w:r>
      <w:r w:rsidR="001B3EE4">
        <w:t xml:space="preserve">resulting </w:t>
      </w:r>
      <w:r w:rsidR="00896187">
        <w:t>in a significant reduction in their ability to raise payroll tax</w:t>
      </w:r>
      <w:r w:rsidR="00D6166C">
        <w:t xml:space="preserve"> and an increase in their</w:t>
      </w:r>
      <w:r w:rsidR="00896187">
        <w:t xml:space="preserve"> GST </w:t>
      </w:r>
      <w:r w:rsidR="00D6166C">
        <w:t>shares</w:t>
      </w:r>
      <w:r w:rsidR="00896187">
        <w:t xml:space="preserve">. </w:t>
      </w:r>
      <w:r w:rsidR="00D6166C">
        <w:t xml:space="preserve">While </w:t>
      </w:r>
      <w:proofErr w:type="spellStart"/>
      <w:r w:rsidR="0023358F">
        <w:t>CoE</w:t>
      </w:r>
      <w:proofErr w:type="spellEnd"/>
      <w:r w:rsidR="0023358F">
        <w:t xml:space="preserve"> in </w:t>
      </w:r>
      <w:r w:rsidR="00896187" w:rsidRPr="003D3A84">
        <w:t>Queensland and South</w:t>
      </w:r>
      <w:r w:rsidR="001B3EE4">
        <w:t> </w:t>
      </w:r>
      <w:r w:rsidR="00896187" w:rsidRPr="003D3A84">
        <w:t xml:space="preserve">Australia </w:t>
      </w:r>
      <w:r w:rsidR="00D6166C" w:rsidRPr="003D3A84">
        <w:t>ha</w:t>
      </w:r>
      <w:r w:rsidR="00D6166C">
        <w:t>s</w:t>
      </w:r>
      <w:r w:rsidR="00D6166C" w:rsidRPr="003D3A84">
        <w:t xml:space="preserve"> </w:t>
      </w:r>
      <w:r w:rsidR="00896187" w:rsidRPr="003D3A84">
        <w:t>increased slightly since 2013</w:t>
      </w:r>
      <w:r w:rsidR="00896187">
        <w:noBreakHyphen/>
      </w:r>
      <w:r w:rsidR="00896187" w:rsidRPr="003D3A84">
        <w:t>14, the proportion that is taxable has fallen in both States</w:t>
      </w:r>
      <w:r w:rsidR="001B3EE4">
        <w:t>,</w:t>
      </w:r>
      <w:r w:rsidR="00896187" w:rsidRPr="003D3A84">
        <w:t xml:space="preserve"> </w:t>
      </w:r>
      <w:r w:rsidR="00D6166C">
        <w:t>so that</w:t>
      </w:r>
      <w:r w:rsidR="00D6166C" w:rsidRPr="003D3A84">
        <w:t xml:space="preserve"> </w:t>
      </w:r>
      <w:r w:rsidR="00896187" w:rsidRPr="003D3A84">
        <w:t>they are assessed as being able to raise lower levels of payroll tax. Western Australia</w:t>
      </w:r>
      <w:r w:rsidR="001B3EE4">
        <w:t>’s</w:t>
      </w:r>
      <w:r w:rsidR="00896187" w:rsidRPr="003D3A84">
        <w:t xml:space="preserve"> </w:t>
      </w:r>
      <w:proofErr w:type="spellStart"/>
      <w:r w:rsidR="00896187" w:rsidRPr="003D3A84">
        <w:t>C</w:t>
      </w:r>
      <w:r w:rsidR="00A87EE6">
        <w:t>o</w:t>
      </w:r>
      <w:r w:rsidR="00896187" w:rsidRPr="003D3A84">
        <w:t>E</w:t>
      </w:r>
      <w:proofErr w:type="spellEnd"/>
      <w:r w:rsidR="00896187" w:rsidRPr="003D3A84">
        <w:t xml:space="preserve"> has fallen every year </w:t>
      </w:r>
      <w:r w:rsidR="00896187" w:rsidRPr="00EC72C0">
        <w:t>since 2014</w:t>
      </w:r>
      <w:r w:rsidR="00896187">
        <w:noBreakHyphen/>
      </w:r>
      <w:r w:rsidR="00896187" w:rsidRPr="00EC72C0">
        <w:t xml:space="preserve">15, with the decline </w:t>
      </w:r>
      <w:r w:rsidR="00735CFD">
        <w:t>resulting in</w:t>
      </w:r>
      <w:r w:rsidR="00896187" w:rsidRPr="00EC72C0">
        <w:t xml:space="preserve"> its 2016</w:t>
      </w:r>
      <w:r w:rsidR="00896187">
        <w:noBreakHyphen/>
      </w:r>
      <w:r w:rsidR="00896187" w:rsidRPr="00EC72C0">
        <w:t xml:space="preserve">17 </w:t>
      </w:r>
      <w:proofErr w:type="spellStart"/>
      <w:r w:rsidR="00896187" w:rsidRPr="00EC72C0">
        <w:t>CoE</w:t>
      </w:r>
      <w:proofErr w:type="spellEnd"/>
      <w:r w:rsidR="00896187" w:rsidRPr="00EC72C0">
        <w:t xml:space="preserve"> </w:t>
      </w:r>
      <w:r w:rsidR="00735CFD">
        <w:t xml:space="preserve">being </w:t>
      </w:r>
      <w:r w:rsidR="00896187" w:rsidRPr="00EC72C0">
        <w:t>4.8% lower than the level in 2013</w:t>
      </w:r>
      <w:r w:rsidR="00896187">
        <w:noBreakHyphen/>
      </w:r>
      <w:r w:rsidR="00896187" w:rsidRPr="00EC72C0">
        <w:t>14.</w:t>
      </w:r>
    </w:p>
    <w:p w:rsidR="00896187" w:rsidRDefault="00896187" w:rsidP="00896187">
      <w:pPr>
        <w:pStyle w:val="Caption"/>
      </w:pPr>
      <w:bookmarkStart w:id="439" w:name="_Ref504638342"/>
      <w:r>
        <w:t xml:space="preserve">Figure </w:t>
      </w:r>
      <w:r w:rsidR="00ED20FF">
        <w:t>1</w:t>
      </w:r>
      <w:r w:rsidR="00ED20FF">
        <w:noBreakHyphen/>
      </w:r>
      <w:r w:rsidR="00CD68E8">
        <w:fldChar w:fldCharType="begin"/>
      </w:r>
      <w:r w:rsidR="00CD68E8">
        <w:instrText xml:space="preserve"> SEQ Figure \* ARABIC \s 1 </w:instrText>
      </w:r>
      <w:r w:rsidR="00CD68E8">
        <w:fldChar w:fldCharType="separate"/>
      </w:r>
      <w:r w:rsidR="000A6746">
        <w:rPr>
          <w:noProof/>
        </w:rPr>
        <w:t>3</w:t>
      </w:r>
      <w:r w:rsidR="00CD68E8">
        <w:rPr>
          <w:noProof/>
        </w:rPr>
        <w:fldChar w:fldCharType="end"/>
      </w:r>
      <w:bookmarkEnd w:id="439"/>
      <w:r>
        <w:tab/>
        <w:t xml:space="preserve">Growth in per capita taxable </w:t>
      </w:r>
      <w:proofErr w:type="spellStart"/>
      <w:r w:rsidR="00A87EE6">
        <w:t>CoE</w:t>
      </w:r>
      <w:proofErr w:type="spellEnd"/>
      <w:r>
        <w:t>, 2013</w:t>
      </w:r>
      <w:r>
        <w:noBreakHyphen/>
        <w:t>14 to 2016</w:t>
      </w:r>
      <w:r>
        <w:noBreakHyphen/>
        <w:t>17</w:t>
      </w:r>
    </w:p>
    <w:p w:rsidR="00025824" w:rsidRPr="00025824" w:rsidRDefault="00025824" w:rsidP="00025824">
      <w:r w:rsidRPr="00025824">
        <w:rPr>
          <w:noProof/>
          <w:lang w:eastAsia="en-AU"/>
        </w:rPr>
        <w:drawing>
          <wp:inline distT="0" distB="0" distL="0" distR="0" wp14:anchorId="0C4D4151" wp14:editId="0ACF72C8">
            <wp:extent cx="5657850"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896187" w:rsidRPr="00896187" w:rsidRDefault="00896187" w:rsidP="00896187">
      <w:pPr>
        <w:pStyle w:val="CGCTableFootnote"/>
      </w:pPr>
      <w:r>
        <w:t>Source:</w:t>
      </w:r>
      <w:r>
        <w:tab/>
        <w:t>Commission calculation.</w:t>
      </w:r>
    </w:p>
    <w:p w:rsidR="00160729" w:rsidRPr="004C4B69" w:rsidRDefault="00160729" w:rsidP="00160729">
      <w:pPr>
        <w:pStyle w:val="Heading5"/>
      </w:pPr>
      <w:bookmarkStart w:id="440" w:name="_Toc474923762"/>
      <w:bookmarkStart w:id="441" w:name="_Toc505872183"/>
      <w:r w:rsidRPr="004C4B69">
        <w:t>Taxable land values</w:t>
      </w:r>
    </w:p>
    <w:p w:rsidR="001F0354" w:rsidRPr="004C4B69" w:rsidRDefault="001F0354" w:rsidP="001F0354">
      <w:pPr>
        <w:pStyle w:val="11para"/>
      </w:pPr>
      <w:r w:rsidRPr="004C4B69">
        <w:t xml:space="preserve">Property market cycles can lead to year </w:t>
      </w:r>
      <w:r w:rsidR="009217B5" w:rsidRPr="004C4B69">
        <w:t xml:space="preserve">on </w:t>
      </w:r>
      <w:r w:rsidRPr="004C4B69">
        <w:t>year changes in State land values. These cycles have changed State land tax capacities in this update.</w:t>
      </w:r>
    </w:p>
    <w:p w:rsidR="00160729" w:rsidRPr="004C4B69" w:rsidRDefault="00443111" w:rsidP="001F0354">
      <w:pPr>
        <w:pStyle w:val="11para"/>
      </w:pPr>
      <w:bookmarkStart w:id="442" w:name="OLE_LINK2"/>
      <w:r w:rsidRPr="004C4B69">
        <w:lastRenderedPageBreak/>
        <w:t>B</w:t>
      </w:r>
      <w:bookmarkStart w:id="443" w:name="OLE_LINK3"/>
      <w:r w:rsidRPr="004C4B69">
        <w:t>etween 2013-14 and 2016-17, all States experienced growth in the value of their taxable land. Only New South Wales (</w:t>
      </w:r>
      <w:r w:rsidR="00F3015D">
        <w:t>66</w:t>
      </w:r>
      <w:r w:rsidRPr="004C4B69">
        <w:t xml:space="preserve">%) experienced growth in excess of the average (34%). </w:t>
      </w:r>
      <w:bookmarkStart w:id="444" w:name="OLE_LINK1"/>
      <w:bookmarkEnd w:id="442"/>
      <w:bookmarkEnd w:id="443"/>
      <w:r w:rsidRPr="004C4B69">
        <w:t>As a result, the fiscal capacity of New South Wales has risen relative to other States and its GST share has reduced</w:t>
      </w:r>
      <w:r w:rsidR="009217B5" w:rsidRPr="004C4B69">
        <w:t xml:space="preserve"> by</w:t>
      </w:r>
      <w:r w:rsidRPr="004C4B69">
        <w:t xml:space="preserve"> $212 million.</w:t>
      </w:r>
      <w:bookmarkEnd w:id="444"/>
      <w:r w:rsidRPr="004C4B69">
        <w:t xml:space="preserve"> </w:t>
      </w:r>
      <w:r w:rsidR="001F0354" w:rsidRPr="004C4B69">
        <w:t>The growth in taxable land values mirrors growth in total land values. National accounts data show that, between June 2013 and June 2016, State land values increased 34%, with only New</w:t>
      </w:r>
      <w:r w:rsidR="001B3EE4">
        <w:t> </w:t>
      </w:r>
      <w:r w:rsidR="001F0354" w:rsidRPr="004C4B69">
        <w:t>South Wales (49%) and Victoria (43%) experiencing above average growth.</w:t>
      </w:r>
      <w:r w:rsidR="001F0354" w:rsidRPr="004C4B69">
        <w:rPr>
          <w:rStyle w:val="FootnoteReference"/>
        </w:rPr>
        <w:footnoteReference w:id="3"/>
      </w:r>
    </w:p>
    <w:p w:rsidR="001F0354" w:rsidRPr="004C4B69" w:rsidRDefault="001F0354" w:rsidP="001F0354">
      <w:pPr>
        <w:pStyle w:val="11para"/>
      </w:pPr>
      <w:r w:rsidRPr="004C4B69">
        <w:fldChar w:fldCharType="begin"/>
      </w:r>
      <w:r w:rsidRPr="004C4B69">
        <w:instrText xml:space="preserve"> REF _Ref507425990 \h  \* MERGEFORMAT </w:instrText>
      </w:r>
      <w:r w:rsidRPr="004C4B69">
        <w:fldChar w:fldCharType="separate"/>
      </w:r>
      <w:r w:rsidR="000A6746" w:rsidRPr="004C4B69">
        <w:t>Figure 1</w:t>
      </w:r>
      <w:r w:rsidR="000A6746" w:rsidRPr="004C4B69">
        <w:noBreakHyphen/>
      </w:r>
      <w:r w:rsidR="000A6746">
        <w:t>4</w:t>
      </w:r>
      <w:r w:rsidRPr="004C4B69">
        <w:fldChar w:fldCharType="end"/>
      </w:r>
      <w:r w:rsidRPr="004C4B69">
        <w:t xml:space="preserve"> shows the change in States’ per capita </w:t>
      </w:r>
      <w:r w:rsidR="00735CFD">
        <w:t xml:space="preserve">taxable </w:t>
      </w:r>
      <w:r w:rsidRPr="004C4B69">
        <w:t>land values between 2013</w:t>
      </w:r>
      <w:r w:rsidR="001761FE" w:rsidRPr="004C4B69">
        <w:noBreakHyphen/>
      </w:r>
      <w:r w:rsidRPr="004C4B69">
        <w:t>14 and 2016</w:t>
      </w:r>
      <w:r w:rsidRPr="004C4B69">
        <w:noBreakHyphen/>
        <w:t>17.</w:t>
      </w:r>
    </w:p>
    <w:p w:rsidR="001F0354" w:rsidRDefault="001F0354" w:rsidP="001F0354">
      <w:pPr>
        <w:pStyle w:val="Caption"/>
      </w:pPr>
      <w:bookmarkStart w:id="445" w:name="_Ref507425990"/>
      <w:r w:rsidRPr="004C4B69">
        <w:t>Figure 1</w:t>
      </w:r>
      <w:r w:rsidRPr="004C4B69">
        <w:noBreakHyphen/>
      </w:r>
      <w:r w:rsidR="00CD68E8">
        <w:fldChar w:fldCharType="begin"/>
      </w:r>
      <w:r w:rsidR="00CD68E8">
        <w:instrText xml:space="preserve"> SEQ Figure \* ARABIC \s 1 </w:instrText>
      </w:r>
      <w:r w:rsidR="00CD68E8">
        <w:fldChar w:fldCharType="separate"/>
      </w:r>
      <w:r w:rsidR="000A6746">
        <w:rPr>
          <w:noProof/>
        </w:rPr>
        <w:t>4</w:t>
      </w:r>
      <w:r w:rsidR="00CD68E8">
        <w:rPr>
          <w:noProof/>
        </w:rPr>
        <w:fldChar w:fldCharType="end"/>
      </w:r>
      <w:bookmarkEnd w:id="445"/>
      <w:r w:rsidRPr="004C4B69">
        <w:tab/>
        <w:t>Total taxable land values by State, 2013</w:t>
      </w:r>
      <w:r w:rsidRPr="004C4B69">
        <w:noBreakHyphen/>
        <w:t>14 and 2016</w:t>
      </w:r>
      <w:r w:rsidRPr="004C4B69">
        <w:noBreakHyphen/>
        <w:t>17</w:t>
      </w:r>
    </w:p>
    <w:p w:rsidR="001F0354" w:rsidRDefault="001F0354" w:rsidP="001F0354">
      <w:r w:rsidRPr="0006762F">
        <w:rPr>
          <w:noProof/>
          <w:lang w:eastAsia="en-AU"/>
        </w:rPr>
        <w:drawing>
          <wp:inline distT="0" distB="0" distL="0" distR="0" wp14:anchorId="53731887" wp14:editId="0180E3E4">
            <wp:extent cx="565785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57850" cy="3562350"/>
                    </a:xfrm>
                    <a:prstGeom prst="rect">
                      <a:avLst/>
                    </a:prstGeom>
                    <a:noFill/>
                    <a:ln>
                      <a:noFill/>
                    </a:ln>
                  </pic:spPr>
                </pic:pic>
              </a:graphicData>
            </a:graphic>
          </wp:inline>
        </w:drawing>
      </w:r>
    </w:p>
    <w:p w:rsidR="001F0354" w:rsidRPr="001F0354" w:rsidRDefault="001F0354" w:rsidP="001F0354">
      <w:pPr>
        <w:pStyle w:val="CGCTableFootnote"/>
      </w:pPr>
      <w:r>
        <w:t>Source:</w:t>
      </w:r>
      <w:r>
        <w:tab/>
        <w:t>State data returns.</w:t>
      </w:r>
    </w:p>
    <w:p w:rsidR="005D52DC" w:rsidRPr="002A48E0" w:rsidRDefault="005D52DC" w:rsidP="005D52DC">
      <w:pPr>
        <w:pStyle w:val="Heading4"/>
      </w:pPr>
      <w:r w:rsidRPr="002A48E0">
        <w:t>Commonwealth payments</w:t>
      </w:r>
      <w:bookmarkEnd w:id="440"/>
      <w:bookmarkEnd w:id="441"/>
    </w:p>
    <w:p w:rsidR="00751414" w:rsidRPr="002A48E0" w:rsidRDefault="00751414" w:rsidP="007F7654">
      <w:pPr>
        <w:pStyle w:val="11para"/>
      </w:pPr>
      <w:r w:rsidRPr="002A48E0">
        <w:t>As well as the GST, the Commonwealth makes other payments to the States for specific purposes (PSPs). Equalising the fiscal capacity of the States to provide services requires the Commission to take account of the total expenditure each State would incur to provide the average level of services and the revenue they have available to finance it. This includes the revenue they</w:t>
      </w:r>
      <w:r w:rsidR="00C54A6A">
        <w:t xml:space="preserve"> can</w:t>
      </w:r>
      <w:r w:rsidRPr="002A48E0">
        <w:t xml:space="preserve"> collect from their own tax bases under average policies and, consistent with the terms of reference, the revenue </w:t>
      </w:r>
      <w:r w:rsidRPr="002A48E0">
        <w:lastRenderedPageBreak/>
        <w:t>they receive through PSPs.</w:t>
      </w:r>
      <w:r w:rsidRPr="002A48E0">
        <w:rPr>
          <w:rStyle w:val="FootnoteReference"/>
        </w:rPr>
        <w:footnoteReference w:id="4"/>
      </w:r>
      <w:r w:rsidRPr="002A48E0">
        <w:t xml:space="preserve"> To the extent that a State receives above average per capita amounts of PSPs, less GST is required to equalise its fiscal capacity. Conversely, if </w:t>
      </w:r>
      <w:r>
        <w:t>a State</w:t>
      </w:r>
      <w:r w:rsidRPr="002A48E0">
        <w:t xml:space="preserve"> receives below average amounts of PSPs, it requires more GST.</w:t>
      </w:r>
    </w:p>
    <w:p w:rsidR="006726A6" w:rsidRPr="006726A6" w:rsidRDefault="006726A6" w:rsidP="007F7654">
      <w:pPr>
        <w:pStyle w:val="11para"/>
      </w:pPr>
      <w:r w:rsidRPr="006726A6">
        <w:t>Between 2013</w:t>
      </w:r>
      <w:r w:rsidR="000D42C4">
        <w:noBreakHyphen/>
      </w:r>
      <w:r w:rsidRPr="006726A6">
        <w:t>14 and 2016</w:t>
      </w:r>
      <w:r w:rsidR="000D42C4">
        <w:noBreakHyphen/>
      </w:r>
      <w:r w:rsidRPr="006726A6">
        <w:t>17, there were changes in the amounts paid and the interstate distribution of some PSPs, particularly payments for road and rail infrastructure, National Health Reform and Students First government education</w:t>
      </w:r>
      <w:r w:rsidR="00C54A6A">
        <w:t xml:space="preserve"> funding</w:t>
      </w:r>
      <w:r w:rsidRPr="006726A6">
        <w:t>, which had repercussions for the GST distribution.</w:t>
      </w:r>
    </w:p>
    <w:p w:rsidR="006726A6" w:rsidRPr="006726A6" w:rsidRDefault="006726A6" w:rsidP="007F7654">
      <w:pPr>
        <w:pStyle w:val="11para"/>
      </w:pPr>
      <w:r w:rsidRPr="006726A6">
        <w:t>Victoria’s share of payments was lower in 2016</w:t>
      </w:r>
      <w:r w:rsidR="00DB7EC8">
        <w:noBreakHyphen/>
      </w:r>
      <w:r w:rsidRPr="006726A6">
        <w:t>17</w:t>
      </w:r>
      <w:r w:rsidR="001B3EE4">
        <w:t>, increasing</w:t>
      </w:r>
      <w:r w:rsidRPr="006726A6">
        <w:t xml:space="preserve"> its GST share. This was mainly due to a reduction in its share of infrastructure payments for road and rail. In particular, its 2016</w:t>
      </w:r>
      <w:r w:rsidR="00DB7EC8">
        <w:noBreakHyphen/>
      </w:r>
      <w:r w:rsidRPr="006726A6">
        <w:t xml:space="preserve">17 payment for road infrastructure included a negative adjustment </w:t>
      </w:r>
      <w:r w:rsidR="00C54A6A">
        <w:t>to recoup</w:t>
      </w:r>
      <w:r w:rsidR="00C54A6A" w:rsidRPr="006726A6">
        <w:t xml:space="preserve"> </w:t>
      </w:r>
      <w:r w:rsidRPr="006726A6">
        <w:t>prepayment of over $300</w:t>
      </w:r>
      <w:r w:rsidR="00312E75">
        <w:t> </w:t>
      </w:r>
      <w:r w:rsidRPr="006726A6">
        <w:t xml:space="preserve">million for the East West Link project which did not go ahead. </w:t>
      </w:r>
      <w:proofErr w:type="gramStart"/>
      <w:r w:rsidRPr="006726A6">
        <w:t>Its</w:t>
      </w:r>
      <w:proofErr w:type="gramEnd"/>
      <w:r w:rsidRPr="006726A6">
        <w:t xml:space="preserve"> reduced share of the National Health Reform funding and the use of </w:t>
      </w:r>
      <w:r w:rsidR="00FC2A00">
        <w:t>2016</w:t>
      </w:r>
      <w:r w:rsidR="00312E75">
        <w:t> </w:t>
      </w:r>
      <w:r w:rsidR="00FC2A00">
        <w:t>Census based</w:t>
      </w:r>
      <w:r w:rsidRPr="006726A6">
        <w:t xml:space="preserve"> data in this update also contributed to its higher GST share.</w:t>
      </w:r>
    </w:p>
    <w:p w:rsidR="006726A6" w:rsidRPr="006726A6" w:rsidRDefault="006726A6" w:rsidP="007F7654">
      <w:pPr>
        <w:pStyle w:val="11para"/>
      </w:pPr>
      <w:r w:rsidRPr="006726A6">
        <w:t>Queensland’s share of payments was higher in 2016</w:t>
      </w:r>
      <w:r w:rsidR="00DB7EC8">
        <w:noBreakHyphen/>
      </w:r>
      <w:r w:rsidRPr="006726A6">
        <w:t>17</w:t>
      </w:r>
      <w:r w:rsidR="001B3EE4">
        <w:t>, reducing</w:t>
      </w:r>
      <w:r w:rsidRPr="006726A6">
        <w:t xml:space="preserve"> its GST share. This was mainly due to large payments for road and rail infrastructure, such as for works on the Toowoomba Second Range Crossing and Gateway Upgrade North, and the construction of the Moreton Bay Rail Link. Its higher share of the National Health Reform funding also contributed to its reduced GST share.</w:t>
      </w:r>
    </w:p>
    <w:p w:rsidR="006726A6" w:rsidRPr="006726A6" w:rsidRDefault="006726A6" w:rsidP="007F7654">
      <w:pPr>
        <w:pStyle w:val="11para"/>
      </w:pPr>
      <w:r w:rsidRPr="006726A6">
        <w:t>Western Australia’s share of payments was slight</w:t>
      </w:r>
      <w:r w:rsidR="00C54A6A">
        <w:t>ly</w:t>
      </w:r>
      <w:r w:rsidRPr="006726A6">
        <w:t xml:space="preserve"> higher in 2016</w:t>
      </w:r>
      <w:r w:rsidR="00DB7EC8">
        <w:noBreakHyphen/>
      </w:r>
      <w:r w:rsidRPr="006726A6">
        <w:t>17</w:t>
      </w:r>
      <w:r w:rsidR="001B3EE4">
        <w:t>,</w:t>
      </w:r>
      <w:r w:rsidRPr="006726A6">
        <w:t xml:space="preserve"> </w:t>
      </w:r>
      <w:r w:rsidR="001B3EE4">
        <w:t>reducing</w:t>
      </w:r>
      <w:r w:rsidRPr="006726A6">
        <w:t xml:space="preserve"> its GST share. Its higher share of National Health Ref</w:t>
      </w:r>
      <w:r w:rsidR="00FC2A00">
        <w:t>orm funding and the use of 2016 </w:t>
      </w:r>
      <w:r w:rsidRPr="006726A6">
        <w:t>Census</w:t>
      </w:r>
      <w:r w:rsidR="00FC2A00">
        <w:t xml:space="preserve"> based</w:t>
      </w:r>
      <w:r w:rsidRPr="006726A6">
        <w:t xml:space="preserve"> data </w:t>
      </w:r>
      <w:r w:rsidR="001B3EE4">
        <w:t>contributed to the change</w:t>
      </w:r>
      <w:r w:rsidRPr="006726A6">
        <w:t>. This was nearly offset by its reduced share</w:t>
      </w:r>
      <w:r w:rsidR="00A52781">
        <w:t>,</w:t>
      </w:r>
      <w:r w:rsidRPr="006726A6">
        <w:t xml:space="preserve"> and the cessation of </w:t>
      </w:r>
      <w:proofErr w:type="spellStart"/>
      <w:r w:rsidRPr="006726A6">
        <w:t>backcasting</w:t>
      </w:r>
      <w:proofErr w:type="spellEnd"/>
      <w:r w:rsidR="00A52781">
        <w:t>,</w:t>
      </w:r>
      <w:r w:rsidRPr="006726A6">
        <w:t xml:space="preserve"> of the Students First funding</w:t>
      </w:r>
      <w:r w:rsidR="001B3EE4">
        <w:t>,</w:t>
      </w:r>
      <w:r w:rsidRPr="006726A6">
        <w:t xml:space="preserve"> and its reduced share of payments</w:t>
      </w:r>
      <w:r w:rsidR="00FD385F">
        <w:t xml:space="preserve"> for </w:t>
      </w:r>
      <w:r w:rsidR="001B3EE4">
        <w:t>R</w:t>
      </w:r>
      <w:r w:rsidR="00FD385F">
        <w:t xml:space="preserve">emote Indigenous </w:t>
      </w:r>
      <w:r w:rsidR="001B3EE4">
        <w:t>H</w:t>
      </w:r>
      <w:r w:rsidR="00FD385F">
        <w:t>ousing.</w:t>
      </w:r>
    </w:p>
    <w:p w:rsidR="006726A6" w:rsidRPr="006726A6" w:rsidRDefault="006726A6" w:rsidP="007F7654">
      <w:pPr>
        <w:pStyle w:val="11para"/>
      </w:pPr>
      <w:r w:rsidRPr="006726A6">
        <w:t>South Australia’s share of payments was higher in 2016</w:t>
      </w:r>
      <w:r w:rsidR="00DB7EC8">
        <w:noBreakHyphen/>
      </w:r>
      <w:r w:rsidRPr="006726A6">
        <w:t>17, mainly due to large payments for the construction of the No</w:t>
      </w:r>
      <w:r w:rsidR="00D40FE4">
        <w:t>rthern Connector and North-S</w:t>
      </w:r>
      <w:r w:rsidRPr="006726A6">
        <w:t>outh Corridor.</w:t>
      </w:r>
      <w:r w:rsidR="0025048D">
        <w:t xml:space="preserve"> </w:t>
      </w:r>
    </w:p>
    <w:p w:rsidR="006726A6" w:rsidRPr="006726A6" w:rsidRDefault="006726A6" w:rsidP="007F7654">
      <w:pPr>
        <w:pStyle w:val="11para"/>
      </w:pPr>
      <w:r w:rsidRPr="006726A6">
        <w:t>Tasmania’s share of payments was higher in 2016</w:t>
      </w:r>
      <w:r w:rsidR="00DB7EC8">
        <w:noBreakHyphen/>
      </w:r>
      <w:r w:rsidRPr="006726A6">
        <w:t xml:space="preserve">17, mainly due to the cessation of </w:t>
      </w:r>
      <w:proofErr w:type="spellStart"/>
      <w:r w:rsidRPr="006726A6">
        <w:t>backcasting</w:t>
      </w:r>
      <w:proofErr w:type="spellEnd"/>
      <w:r w:rsidRPr="006726A6">
        <w:t xml:space="preserve"> of the Students First funding and large payments for construction works on the Midland Highway in 2016</w:t>
      </w:r>
      <w:r w:rsidR="00DB7EC8">
        <w:noBreakHyphen/>
      </w:r>
      <w:r w:rsidRPr="006726A6">
        <w:t>17.</w:t>
      </w:r>
    </w:p>
    <w:p w:rsidR="005D52DC" w:rsidRDefault="006726A6" w:rsidP="007F7654">
      <w:pPr>
        <w:pStyle w:val="11para"/>
      </w:pPr>
      <w:r w:rsidRPr="006726A6">
        <w:t>The Northern Territory’s share of payments was higher in 2016</w:t>
      </w:r>
      <w:r w:rsidR="00DB7EC8">
        <w:noBreakHyphen/>
      </w:r>
      <w:r w:rsidRPr="006726A6">
        <w:t>17 due to its increased share of funding for National Health Reform and Students First</w:t>
      </w:r>
      <w:r w:rsidR="001B3EE4">
        <w:t>, and</w:t>
      </w:r>
      <w:r w:rsidRPr="006726A6">
        <w:t xml:space="preserve"> payments under the Health and Hospital Fund and Remote Indigenous Housing.</w:t>
      </w:r>
    </w:p>
    <w:p w:rsidR="00910A7B" w:rsidRPr="006726A6" w:rsidRDefault="00910A7B" w:rsidP="007F7654">
      <w:pPr>
        <w:pStyle w:val="11para"/>
      </w:pPr>
      <w:r>
        <w:t>New South Wales</w:t>
      </w:r>
      <w:r w:rsidR="004557B4">
        <w:t>’</w:t>
      </w:r>
      <w:r>
        <w:t xml:space="preserve"> share increased slightly across a range of payments, decreasing its GST share, whil</w:t>
      </w:r>
      <w:r w:rsidR="008C7408">
        <w:t>e</w:t>
      </w:r>
      <w:r>
        <w:t xml:space="preserve"> the </w:t>
      </w:r>
      <w:proofErr w:type="spellStart"/>
      <w:r>
        <w:t>ACT’s</w:t>
      </w:r>
      <w:proofErr w:type="spellEnd"/>
      <w:r>
        <w:t xml:space="preserve"> share fell slightly across a range of payments, increasing its GST share.</w:t>
      </w:r>
    </w:p>
    <w:p w:rsidR="007A597C" w:rsidRDefault="007A597C" w:rsidP="007F7654">
      <w:pPr>
        <w:pStyle w:val="11para"/>
      </w:pPr>
      <w:r w:rsidRPr="002A48E0">
        <w:lastRenderedPageBreak/>
        <w:t>The main payments causing changes in the GST distribution in this update are shown in</w:t>
      </w:r>
      <w:r>
        <w:t xml:space="preserve"> </w:t>
      </w:r>
      <w:r w:rsidR="006726A6">
        <w:fldChar w:fldCharType="begin"/>
      </w:r>
      <w:r w:rsidR="006726A6">
        <w:instrText xml:space="preserve"> REF _Ref504645345 \h </w:instrText>
      </w:r>
      <w:r w:rsidR="006726A6">
        <w:fldChar w:fldCharType="separate"/>
      </w:r>
      <w:r w:rsidR="000A6746">
        <w:t>Table 1</w:t>
      </w:r>
      <w:r w:rsidR="000A6746">
        <w:noBreakHyphen/>
      </w:r>
      <w:r w:rsidR="000A6746">
        <w:rPr>
          <w:noProof/>
        </w:rPr>
        <w:t>6</w:t>
      </w:r>
      <w:r w:rsidR="006726A6">
        <w:fldChar w:fldCharType="end"/>
      </w:r>
      <w:r w:rsidR="006726A6">
        <w:t>.</w:t>
      </w:r>
    </w:p>
    <w:p w:rsidR="00EE206E" w:rsidRDefault="007A597C" w:rsidP="004318FC">
      <w:pPr>
        <w:pStyle w:val="Caption"/>
      </w:pPr>
      <w:bookmarkStart w:id="446" w:name="_Ref504645345"/>
      <w:r>
        <w:t>Table 1</w:t>
      </w:r>
      <w:r>
        <w:noBreakHyphen/>
      </w:r>
      <w:r w:rsidR="00CD68E8">
        <w:fldChar w:fldCharType="begin"/>
      </w:r>
      <w:r w:rsidR="00CD68E8">
        <w:instrText xml:space="preserve"> SEQ Table \* ARABIC \s 1 </w:instrText>
      </w:r>
      <w:r w:rsidR="00CD68E8">
        <w:fldChar w:fldCharType="separate"/>
      </w:r>
      <w:r w:rsidR="000A6746">
        <w:rPr>
          <w:noProof/>
        </w:rPr>
        <w:t>6</w:t>
      </w:r>
      <w:r w:rsidR="00CD68E8">
        <w:rPr>
          <w:noProof/>
        </w:rPr>
        <w:fldChar w:fldCharType="end"/>
      </w:r>
      <w:bookmarkEnd w:id="446"/>
      <w:r>
        <w:tab/>
        <w:t>Changes in GST distribution due to changes in Commonwealth payments, 2018 Update</w:t>
      </w:r>
    </w:p>
    <w:tbl>
      <w:tblPr>
        <w:tblW w:w="9220" w:type="dxa"/>
        <w:tblInd w:w="93" w:type="dxa"/>
        <w:tblLook w:val="04A0" w:firstRow="1" w:lastRow="0" w:firstColumn="1" w:lastColumn="0" w:noHBand="0" w:noVBand="1"/>
      </w:tblPr>
      <w:tblGrid>
        <w:gridCol w:w="2860"/>
        <w:gridCol w:w="700"/>
        <w:gridCol w:w="700"/>
        <w:gridCol w:w="700"/>
        <w:gridCol w:w="700"/>
        <w:gridCol w:w="700"/>
        <w:gridCol w:w="700"/>
        <w:gridCol w:w="700"/>
        <w:gridCol w:w="700"/>
        <w:gridCol w:w="760"/>
      </w:tblGrid>
      <w:tr w:rsidR="00D519B7" w:rsidRPr="00D519B7" w:rsidTr="00D519B7">
        <w:trPr>
          <w:trHeight w:val="375"/>
        </w:trPr>
        <w:tc>
          <w:tcPr>
            <w:tcW w:w="286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 </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D519B7">
              <w:rPr>
                <w:rFonts w:ascii="Calibri" w:eastAsia="Times New Roman" w:hAnsi="Calibri" w:cs="Times New Roman"/>
                <w:sz w:val="20"/>
                <w:szCs w:val="20"/>
                <w:lang w:eastAsia="en-AU"/>
              </w:rPr>
              <w:t>Tas</w:t>
            </w:r>
            <w:proofErr w:type="spellEnd"/>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NT</w:t>
            </w:r>
          </w:p>
        </w:tc>
        <w:tc>
          <w:tcPr>
            <w:tcW w:w="760" w:type="dxa"/>
            <w:tcBorders>
              <w:top w:val="single" w:sz="4" w:space="0" w:color="auto"/>
              <w:left w:val="nil"/>
              <w:bottom w:val="single" w:sz="4" w:space="0" w:color="auto"/>
              <w:right w:val="nil"/>
            </w:tcBorders>
            <w:shd w:val="clear" w:color="auto" w:fill="auto"/>
            <w:noWrap/>
            <w:vAlign w:val="center"/>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proofErr w:type="spellStart"/>
            <w:r w:rsidRPr="00D519B7">
              <w:rPr>
                <w:rFonts w:ascii="Calibri" w:eastAsia="Times New Roman" w:hAnsi="Calibri" w:cs="Times New Roman"/>
                <w:sz w:val="20"/>
                <w:szCs w:val="20"/>
                <w:lang w:eastAsia="en-AU"/>
              </w:rPr>
              <w:t>Redist</w:t>
            </w:r>
            <w:proofErr w:type="spellEnd"/>
          </w:p>
        </w:tc>
      </w:tr>
      <w:tr w:rsidR="00D519B7" w:rsidRPr="00D519B7" w:rsidTr="00D519B7">
        <w:trPr>
          <w:trHeight w:val="276"/>
        </w:trPr>
        <w:tc>
          <w:tcPr>
            <w:tcW w:w="286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rPr>
                <w:rFonts w:ascii="Calibri" w:eastAsia="Times New Roman" w:hAnsi="Calibri"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0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c>
          <w:tcPr>
            <w:tcW w:w="760" w:type="dxa"/>
            <w:tcBorders>
              <w:top w:val="nil"/>
              <w:left w:val="nil"/>
              <w:bottom w:val="nil"/>
              <w:right w:val="nil"/>
            </w:tcBorders>
            <w:shd w:val="clear" w:color="auto" w:fill="auto"/>
            <w:noWrap/>
            <w:vAlign w:val="bottom"/>
            <w:hideMark/>
          </w:tcPr>
          <w:p w:rsidR="00D519B7" w:rsidRPr="00D519B7" w:rsidRDefault="00D519B7" w:rsidP="004318FC">
            <w:pPr>
              <w:keepNext/>
              <w:tabs>
                <w:tab w:val="clear" w:pos="567"/>
              </w:tabs>
              <w:spacing w:after="0" w:line="240" w:lineRule="auto"/>
              <w:jc w:val="right"/>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$m</w:t>
            </w:r>
          </w:p>
        </w:tc>
      </w:tr>
      <w:tr w:rsidR="00FF0933" w:rsidRPr="00D519B7" w:rsidTr="00D519B7">
        <w:trPr>
          <w:trHeight w:val="315"/>
        </w:trPr>
        <w:tc>
          <w:tcPr>
            <w:tcW w:w="2860" w:type="dxa"/>
            <w:tcBorders>
              <w:top w:val="nil"/>
              <w:left w:val="nil"/>
              <w:bottom w:val="nil"/>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Road infrastructure</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-82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307</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-122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-19</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-79</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-18</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9</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w:t>
            </w:r>
          </w:p>
        </w:tc>
        <w:tc>
          <w:tcPr>
            <w:tcW w:w="76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319</w:t>
            </w:r>
          </w:p>
        </w:tc>
      </w:tr>
      <w:tr w:rsidR="00FF0933" w:rsidRPr="00D519B7" w:rsidTr="00D519B7">
        <w:trPr>
          <w:trHeight w:val="315"/>
        </w:trPr>
        <w:tc>
          <w:tcPr>
            <w:tcW w:w="2860" w:type="dxa"/>
            <w:tcBorders>
              <w:top w:val="nil"/>
              <w:left w:val="nil"/>
              <w:bottom w:val="nil"/>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Rail infrastructure</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129</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-78</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-19</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-17</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w:t>
            </w:r>
          </w:p>
        </w:tc>
        <w:tc>
          <w:tcPr>
            <w:tcW w:w="76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129</w:t>
            </w:r>
          </w:p>
        </w:tc>
      </w:tr>
      <w:tr w:rsidR="00FF0933" w:rsidRPr="00D519B7" w:rsidTr="00D519B7">
        <w:trPr>
          <w:trHeight w:val="315"/>
        </w:trPr>
        <w:tc>
          <w:tcPr>
            <w:tcW w:w="2860" w:type="dxa"/>
            <w:tcBorders>
              <w:top w:val="nil"/>
              <w:left w:val="nil"/>
              <w:bottom w:val="nil"/>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National health reform</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40</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23</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-36</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18</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-24</w:t>
            </w:r>
          </w:p>
        </w:tc>
        <w:tc>
          <w:tcPr>
            <w:tcW w:w="76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93</w:t>
            </w:r>
          </w:p>
        </w:tc>
      </w:tr>
      <w:tr w:rsidR="00FF0933" w:rsidRPr="00D519B7" w:rsidTr="00D519B7">
        <w:trPr>
          <w:trHeight w:val="315"/>
        </w:trPr>
        <w:tc>
          <w:tcPr>
            <w:tcW w:w="2860" w:type="dxa"/>
            <w:tcBorders>
              <w:top w:val="nil"/>
              <w:left w:val="nil"/>
              <w:bottom w:val="nil"/>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Students First funding (a)</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18</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-24</w:t>
            </w:r>
          </w:p>
        </w:tc>
        <w:tc>
          <w:tcPr>
            <w:tcW w:w="76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69</w:t>
            </w:r>
          </w:p>
        </w:tc>
      </w:tr>
      <w:tr w:rsidR="00FF0933" w:rsidRPr="00D519B7" w:rsidTr="00D519B7">
        <w:trPr>
          <w:trHeight w:val="315"/>
        </w:trPr>
        <w:tc>
          <w:tcPr>
            <w:tcW w:w="2860" w:type="dxa"/>
            <w:tcBorders>
              <w:top w:val="nil"/>
              <w:left w:val="nil"/>
              <w:bottom w:val="nil"/>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Remote Indigenous housing</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-18</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-26</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21</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40</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-14</w:t>
            </w:r>
          </w:p>
        </w:tc>
        <w:tc>
          <w:tcPr>
            <w:tcW w:w="76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62</w:t>
            </w:r>
          </w:p>
        </w:tc>
      </w:tr>
      <w:tr w:rsidR="00FF0933" w:rsidRPr="00D519B7" w:rsidTr="00D519B7">
        <w:trPr>
          <w:trHeight w:val="315"/>
        </w:trPr>
        <w:tc>
          <w:tcPr>
            <w:tcW w:w="2860" w:type="dxa"/>
            <w:tcBorders>
              <w:top w:val="nil"/>
              <w:left w:val="nil"/>
              <w:bottom w:val="nil"/>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Other</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-13</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20</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-36</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24</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6</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17</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w:t>
            </w:r>
          </w:p>
        </w:tc>
        <w:tc>
          <w:tcPr>
            <w:tcW w:w="70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-16</w:t>
            </w:r>
          </w:p>
        </w:tc>
        <w:tc>
          <w:tcPr>
            <w:tcW w:w="760" w:type="dxa"/>
            <w:tcBorders>
              <w:top w:val="nil"/>
              <w:left w:val="nil"/>
              <w:bottom w:val="nil"/>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67</w:t>
            </w:r>
          </w:p>
        </w:tc>
      </w:tr>
      <w:tr w:rsidR="00FF0933" w:rsidRPr="00D519B7" w:rsidTr="00D519B7">
        <w:trPr>
          <w:trHeight w:val="315"/>
        </w:trPr>
        <w:tc>
          <w:tcPr>
            <w:tcW w:w="2860" w:type="dxa"/>
            <w:tcBorders>
              <w:top w:val="nil"/>
              <w:left w:val="nil"/>
              <w:bottom w:val="single" w:sz="4" w:space="0" w:color="auto"/>
              <w:right w:val="nil"/>
            </w:tcBorders>
            <w:shd w:val="clear" w:color="auto" w:fill="auto"/>
            <w:noWrap/>
            <w:vAlign w:val="bottom"/>
            <w:hideMark/>
          </w:tcPr>
          <w:p w:rsidR="00FF0933" w:rsidRPr="00D519B7" w:rsidRDefault="00FF0933" w:rsidP="004318FC">
            <w:pPr>
              <w:keepNext/>
              <w:tabs>
                <w:tab w:val="clear" w:pos="567"/>
              </w:tabs>
              <w:spacing w:after="0" w:line="240" w:lineRule="auto"/>
              <w:rPr>
                <w:rFonts w:ascii="Calibri" w:eastAsia="Times New Roman" w:hAnsi="Calibri" w:cs="Times New Roman"/>
                <w:sz w:val="20"/>
                <w:szCs w:val="20"/>
                <w:lang w:eastAsia="en-AU"/>
              </w:rPr>
            </w:pPr>
            <w:r w:rsidRPr="00D519B7">
              <w:rPr>
                <w:rFonts w:ascii="Calibri" w:eastAsia="Times New Roman" w:hAnsi="Calibri" w:cs="Times New Roman"/>
                <w:sz w:val="20"/>
                <w:szCs w:val="20"/>
                <w:lang w:eastAsia="en-AU"/>
              </w:rPr>
              <w:t>Total</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-67</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467</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-289</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12</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-52</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-11</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17</w:t>
            </w:r>
          </w:p>
        </w:tc>
        <w:tc>
          <w:tcPr>
            <w:tcW w:w="70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-76</w:t>
            </w:r>
          </w:p>
        </w:tc>
        <w:tc>
          <w:tcPr>
            <w:tcW w:w="760" w:type="dxa"/>
            <w:tcBorders>
              <w:top w:val="single" w:sz="4" w:space="0" w:color="auto"/>
              <w:left w:val="nil"/>
              <w:bottom w:val="single" w:sz="4" w:space="0" w:color="auto"/>
              <w:right w:val="nil"/>
            </w:tcBorders>
            <w:shd w:val="clear" w:color="auto" w:fill="auto"/>
            <w:noWrap/>
            <w:vAlign w:val="bottom"/>
            <w:hideMark/>
          </w:tcPr>
          <w:p w:rsidR="00FF0933" w:rsidRPr="00FF0933" w:rsidRDefault="00FF0933" w:rsidP="004318FC">
            <w:pPr>
              <w:keepNext/>
              <w:tabs>
                <w:tab w:val="clear" w:pos="567"/>
              </w:tabs>
              <w:spacing w:after="0" w:line="240" w:lineRule="auto"/>
              <w:jc w:val="right"/>
              <w:rPr>
                <w:rFonts w:ascii="Calibri" w:eastAsia="Times New Roman" w:hAnsi="Calibri" w:cs="Times New Roman"/>
                <w:sz w:val="20"/>
                <w:szCs w:val="20"/>
                <w:lang w:eastAsia="en-AU"/>
              </w:rPr>
            </w:pPr>
            <w:r w:rsidRPr="00FF0933">
              <w:rPr>
                <w:rFonts w:ascii="Calibri" w:eastAsia="Times New Roman" w:hAnsi="Calibri" w:cs="Times New Roman"/>
                <w:sz w:val="20"/>
                <w:szCs w:val="20"/>
                <w:lang w:eastAsia="en-AU"/>
              </w:rPr>
              <w:t>496</w:t>
            </w:r>
          </w:p>
        </w:tc>
      </w:tr>
    </w:tbl>
    <w:p w:rsidR="007A597C" w:rsidRDefault="007A597C" w:rsidP="007A597C">
      <w:pPr>
        <w:pStyle w:val="CGCTableFootnote"/>
      </w:pPr>
      <w:r>
        <w:t>(a)</w:t>
      </w:r>
      <w:r>
        <w:tab/>
        <w:t>Government schools component.</w:t>
      </w:r>
    </w:p>
    <w:p w:rsidR="007A597C" w:rsidRDefault="007A597C" w:rsidP="007A597C">
      <w:pPr>
        <w:pStyle w:val="CGCTableFootnote"/>
      </w:pPr>
      <w:r>
        <w:t>Source:</w:t>
      </w:r>
      <w:r>
        <w:tab/>
        <w:t>Commission calculation.</w:t>
      </w:r>
    </w:p>
    <w:p w:rsidR="007A597C" w:rsidRPr="002A48E0" w:rsidRDefault="007A597C" w:rsidP="007F7654">
      <w:pPr>
        <w:pStyle w:val="11para"/>
      </w:pPr>
      <w:r w:rsidRPr="002A48E0">
        <w:t xml:space="preserve">More information on the changes arising from the assessment of individual Commonwealth payments is in the </w:t>
      </w:r>
      <w:r>
        <w:t>s</w:t>
      </w:r>
      <w:r w:rsidRPr="002A48E0">
        <w:t xml:space="preserve">upporting </w:t>
      </w:r>
      <w:r w:rsidR="00886180">
        <w:t>i</w:t>
      </w:r>
      <w:r w:rsidRPr="002A48E0">
        <w:t xml:space="preserve">nformation for this update available on the </w:t>
      </w:r>
      <w:hyperlink r:id="rId48" w:history="1">
        <w:r w:rsidRPr="002A48E0">
          <w:rPr>
            <w:rStyle w:val="Hyperlink"/>
          </w:rPr>
          <w:t>Commission’s website</w:t>
        </w:r>
      </w:hyperlink>
      <w:r w:rsidRPr="002A48E0">
        <w:t xml:space="preserve"> (</w:t>
      </w:r>
      <w:r w:rsidR="00441C6C" w:rsidRPr="00103485">
        <w:t>https://cgc.gov.au/</w:t>
      </w:r>
      <w:r w:rsidRPr="002A48E0">
        <w:t>).</w:t>
      </w:r>
    </w:p>
    <w:p w:rsidR="005D52DC" w:rsidRPr="002A48E0" w:rsidRDefault="005D52DC" w:rsidP="005D52DC">
      <w:pPr>
        <w:pStyle w:val="Heading4"/>
      </w:pPr>
      <w:bookmarkStart w:id="447" w:name="_Toc441499266"/>
      <w:bookmarkStart w:id="448" w:name="_Toc442191922"/>
      <w:bookmarkStart w:id="449" w:name="_Toc442192176"/>
      <w:bookmarkStart w:id="450" w:name="_Toc442192241"/>
      <w:bookmarkStart w:id="451" w:name="_Toc442772825"/>
      <w:bookmarkStart w:id="452" w:name="_Toc442773054"/>
      <w:bookmarkStart w:id="453" w:name="_Toc442773224"/>
      <w:bookmarkStart w:id="454" w:name="_Toc442883291"/>
      <w:bookmarkStart w:id="455" w:name="_Toc474923763"/>
      <w:bookmarkStart w:id="456" w:name="_Toc505872184"/>
      <w:r w:rsidRPr="002A48E0">
        <w:t>Expen</w:t>
      </w:r>
      <w:bookmarkEnd w:id="447"/>
      <w:bookmarkEnd w:id="448"/>
      <w:bookmarkEnd w:id="449"/>
      <w:bookmarkEnd w:id="450"/>
      <w:bookmarkEnd w:id="451"/>
      <w:bookmarkEnd w:id="452"/>
      <w:bookmarkEnd w:id="453"/>
      <w:bookmarkEnd w:id="454"/>
      <w:r w:rsidRPr="002A48E0">
        <w:t>diture</w:t>
      </w:r>
      <w:bookmarkEnd w:id="455"/>
      <w:bookmarkEnd w:id="456"/>
    </w:p>
    <w:p w:rsidR="005D52DC" w:rsidRDefault="00EA75CA" w:rsidP="00EA75CA">
      <w:pPr>
        <w:pStyle w:val="Heading5"/>
      </w:pPr>
      <w:r>
        <w:t>Natural disaster relief</w:t>
      </w:r>
    </w:p>
    <w:p w:rsidR="00780D34" w:rsidRPr="00780D34" w:rsidRDefault="00780D34" w:rsidP="007F7654">
      <w:pPr>
        <w:pStyle w:val="11para"/>
      </w:pPr>
      <w:r>
        <w:rPr>
          <w:rStyle w:val="Heading6Char"/>
          <w:rFonts w:eastAsiaTheme="minorHAnsi" w:cstheme="minorBidi"/>
          <w:b w:val="0"/>
          <w:i w:val="0"/>
          <w:iCs w:val="0"/>
          <w:color w:val="auto"/>
          <w:sz w:val="24"/>
        </w:rPr>
        <w:t>Queensland’s natural disaster relief expenses (net of Commonwealth assistance) we</w:t>
      </w:r>
      <w:r w:rsidR="00515CCC">
        <w:rPr>
          <w:rStyle w:val="Heading6Char"/>
          <w:rFonts w:eastAsiaTheme="minorHAnsi" w:cstheme="minorBidi"/>
          <w:b w:val="0"/>
          <w:i w:val="0"/>
          <w:iCs w:val="0"/>
          <w:color w:val="auto"/>
          <w:sz w:val="24"/>
        </w:rPr>
        <w:t>re</w:t>
      </w:r>
      <w:r>
        <w:rPr>
          <w:rStyle w:val="Heading6Char"/>
          <w:rFonts w:eastAsiaTheme="minorHAnsi" w:cstheme="minorBidi"/>
          <w:b w:val="0"/>
          <w:i w:val="0"/>
          <w:iCs w:val="0"/>
          <w:color w:val="auto"/>
          <w:sz w:val="24"/>
        </w:rPr>
        <w:t xml:space="preserve"> lower in 2016</w:t>
      </w:r>
      <w:r w:rsidR="00515CCC">
        <w:rPr>
          <w:rStyle w:val="Heading6Char"/>
          <w:rFonts w:eastAsiaTheme="minorHAnsi" w:cstheme="minorBidi"/>
          <w:b w:val="0"/>
          <w:i w:val="0"/>
          <w:iCs w:val="0"/>
          <w:color w:val="auto"/>
          <w:sz w:val="24"/>
        </w:rPr>
        <w:noBreakHyphen/>
      </w:r>
      <w:r>
        <w:rPr>
          <w:rStyle w:val="Heading6Char"/>
          <w:rFonts w:eastAsiaTheme="minorHAnsi" w:cstheme="minorBidi"/>
          <w:b w:val="0"/>
          <w:i w:val="0"/>
          <w:iCs w:val="0"/>
          <w:color w:val="auto"/>
          <w:sz w:val="24"/>
        </w:rPr>
        <w:t>17 compared to 2013</w:t>
      </w:r>
      <w:r w:rsidR="00515CCC">
        <w:rPr>
          <w:rStyle w:val="Heading6Char"/>
          <w:rFonts w:eastAsiaTheme="minorHAnsi" w:cstheme="minorBidi"/>
          <w:b w:val="0"/>
          <w:i w:val="0"/>
          <w:iCs w:val="0"/>
          <w:color w:val="auto"/>
          <w:sz w:val="24"/>
        </w:rPr>
        <w:noBreakHyphen/>
      </w:r>
      <w:r>
        <w:rPr>
          <w:rStyle w:val="Heading6Char"/>
          <w:rFonts w:eastAsiaTheme="minorHAnsi" w:cstheme="minorBidi"/>
          <w:b w:val="0"/>
          <w:i w:val="0"/>
          <w:iCs w:val="0"/>
          <w:color w:val="auto"/>
          <w:sz w:val="24"/>
        </w:rPr>
        <w:t>14</w:t>
      </w:r>
      <w:r w:rsidR="00515CCC">
        <w:rPr>
          <w:rStyle w:val="Heading6Char"/>
          <w:rFonts w:eastAsiaTheme="minorHAnsi" w:cstheme="minorBidi"/>
          <w:b w:val="0"/>
          <w:i w:val="0"/>
          <w:iCs w:val="0"/>
          <w:color w:val="auto"/>
          <w:sz w:val="24"/>
        </w:rPr>
        <w:t>,</w:t>
      </w:r>
      <w:r>
        <w:rPr>
          <w:rStyle w:val="Heading6Char"/>
          <w:rFonts w:eastAsiaTheme="minorHAnsi" w:cstheme="minorBidi"/>
          <w:b w:val="0"/>
          <w:i w:val="0"/>
          <w:iCs w:val="0"/>
          <w:color w:val="auto"/>
          <w:sz w:val="24"/>
        </w:rPr>
        <w:t xml:space="preserve"> reflecting fewer major disaster</w:t>
      </w:r>
      <w:r w:rsidR="00886058">
        <w:rPr>
          <w:rStyle w:val="Heading6Char"/>
          <w:rFonts w:eastAsiaTheme="minorHAnsi" w:cstheme="minorBidi"/>
          <w:b w:val="0"/>
          <w:i w:val="0"/>
          <w:iCs w:val="0"/>
          <w:color w:val="auto"/>
          <w:sz w:val="24"/>
        </w:rPr>
        <w:t>s</w:t>
      </w:r>
      <w:r>
        <w:rPr>
          <w:rStyle w:val="Heading6Char"/>
          <w:rFonts w:eastAsiaTheme="minorHAnsi" w:cstheme="minorBidi"/>
          <w:b w:val="0"/>
          <w:i w:val="0"/>
          <w:iCs w:val="0"/>
          <w:color w:val="auto"/>
          <w:sz w:val="24"/>
        </w:rPr>
        <w:t xml:space="preserve"> in the la</w:t>
      </w:r>
      <w:r w:rsidR="00886058">
        <w:rPr>
          <w:rStyle w:val="Heading6Char"/>
          <w:rFonts w:eastAsiaTheme="minorHAnsi" w:cstheme="minorBidi"/>
          <w:b w:val="0"/>
          <w:i w:val="0"/>
          <w:iCs w:val="0"/>
          <w:color w:val="auto"/>
          <w:sz w:val="24"/>
        </w:rPr>
        <w:t>t</w:t>
      </w:r>
      <w:r>
        <w:rPr>
          <w:rStyle w:val="Heading6Char"/>
          <w:rFonts w:eastAsiaTheme="minorHAnsi" w:cstheme="minorBidi"/>
          <w:b w:val="0"/>
          <w:i w:val="0"/>
          <w:iCs w:val="0"/>
          <w:color w:val="auto"/>
          <w:sz w:val="24"/>
        </w:rPr>
        <w:t xml:space="preserve">ter period. This </w:t>
      </w:r>
      <w:r w:rsidR="00225F16">
        <w:rPr>
          <w:rStyle w:val="Heading6Char"/>
          <w:rFonts w:eastAsiaTheme="minorHAnsi" w:cstheme="minorBidi"/>
          <w:b w:val="0"/>
          <w:i w:val="0"/>
          <w:iCs w:val="0"/>
          <w:color w:val="auto"/>
          <w:sz w:val="24"/>
        </w:rPr>
        <w:t xml:space="preserve">reduced Queensland’s GST share, thereby increasing </w:t>
      </w:r>
      <w:r>
        <w:rPr>
          <w:rStyle w:val="Heading6Char"/>
          <w:rFonts w:eastAsiaTheme="minorHAnsi" w:cstheme="minorBidi"/>
          <w:b w:val="0"/>
          <w:i w:val="0"/>
          <w:iCs w:val="0"/>
          <w:color w:val="auto"/>
          <w:sz w:val="24"/>
        </w:rPr>
        <w:t>the GST shares of the other States. The increase in GST for the Northern Territory was more than offset by upward revisions to</w:t>
      </w:r>
      <w:r w:rsidRPr="00FC6243">
        <w:rPr>
          <w:rStyle w:val="Heading6Char"/>
          <w:rFonts w:eastAsiaTheme="minorHAnsi" w:cstheme="minorBidi"/>
          <w:b w:val="0"/>
          <w:i w:val="0"/>
          <w:iCs w:val="0"/>
          <w:color w:val="auto"/>
          <w:sz w:val="24"/>
        </w:rPr>
        <w:t xml:space="preserve"> its </w:t>
      </w:r>
      <w:r w:rsidR="008648C3">
        <w:rPr>
          <w:rStyle w:val="Heading6Char"/>
          <w:rFonts w:eastAsiaTheme="minorHAnsi" w:cstheme="minorBidi"/>
          <w:b w:val="0"/>
          <w:i w:val="0"/>
          <w:iCs w:val="0"/>
          <w:color w:val="auto"/>
          <w:sz w:val="24"/>
        </w:rPr>
        <w:t>Natural Disaster Relief and Recovery Arrangements (</w:t>
      </w:r>
      <w:proofErr w:type="spellStart"/>
      <w:r w:rsidRPr="00FC6243">
        <w:rPr>
          <w:rStyle w:val="Heading6Char"/>
          <w:rFonts w:eastAsiaTheme="minorHAnsi" w:cstheme="minorBidi"/>
          <w:b w:val="0"/>
          <w:i w:val="0"/>
          <w:iCs w:val="0"/>
          <w:color w:val="auto"/>
          <w:sz w:val="24"/>
        </w:rPr>
        <w:t>NDRRA</w:t>
      </w:r>
      <w:proofErr w:type="spellEnd"/>
      <w:r w:rsidR="008648C3">
        <w:rPr>
          <w:rStyle w:val="Heading6Char"/>
          <w:rFonts w:eastAsiaTheme="minorHAnsi" w:cstheme="minorBidi"/>
          <w:b w:val="0"/>
          <w:i w:val="0"/>
          <w:iCs w:val="0"/>
          <w:color w:val="auto"/>
          <w:sz w:val="24"/>
        </w:rPr>
        <w:t>)</w:t>
      </w:r>
      <w:r w:rsidRPr="00FC6243">
        <w:rPr>
          <w:rStyle w:val="Heading6Char"/>
          <w:rFonts w:eastAsiaTheme="minorHAnsi" w:cstheme="minorBidi"/>
          <w:b w:val="0"/>
          <w:i w:val="0"/>
          <w:iCs w:val="0"/>
          <w:color w:val="auto"/>
          <w:sz w:val="24"/>
        </w:rPr>
        <w:t xml:space="preserve"> revenue from the Commo</w:t>
      </w:r>
      <w:r>
        <w:rPr>
          <w:rStyle w:val="Heading6Char"/>
          <w:rFonts w:eastAsiaTheme="minorHAnsi" w:cstheme="minorBidi"/>
          <w:b w:val="0"/>
          <w:i w:val="0"/>
          <w:iCs w:val="0"/>
          <w:color w:val="auto"/>
          <w:sz w:val="24"/>
        </w:rPr>
        <w:t>nwealth for 2014</w:t>
      </w:r>
      <w:r w:rsidR="00515CCC">
        <w:rPr>
          <w:rStyle w:val="Heading6Char"/>
          <w:rFonts w:eastAsiaTheme="minorHAnsi" w:cstheme="minorBidi"/>
          <w:b w:val="0"/>
          <w:i w:val="0"/>
          <w:iCs w:val="0"/>
          <w:color w:val="auto"/>
          <w:sz w:val="24"/>
        </w:rPr>
        <w:noBreakHyphen/>
      </w:r>
      <w:r>
        <w:rPr>
          <w:rStyle w:val="Heading6Char"/>
          <w:rFonts w:eastAsiaTheme="minorHAnsi" w:cstheme="minorBidi"/>
          <w:b w:val="0"/>
          <w:i w:val="0"/>
          <w:iCs w:val="0"/>
          <w:color w:val="auto"/>
          <w:sz w:val="24"/>
        </w:rPr>
        <w:t>15 and 2015</w:t>
      </w:r>
      <w:r w:rsidR="00515CCC">
        <w:rPr>
          <w:rStyle w:val="Heading6Char"/>
          <w:rFonts w:eastAsiaTheme="minorHAnsi" w:cstheme="minorBidi"/>
          <w:b w:val="0"/>
          <w:i w:val="0"/>
          <w:iCs w:val="0"/>
          <w:color w:val="auto"/>
          <w:sz w:val="24"/>
        </w:rPr>
        <w:noBreakHyphen/>
      </w:r>
      <w:r>
        <w:rPr>
          <w:rStyle w:val="Heading6Char"/>
          <w:rFonts w:eastAsiaTheme="minorHAnsi" w:cstheme="minorBidi"/>
          <w:b w:val="0"/>
          <w:i w:val="0"/>
          <w:iCs w:val="0"/>
          <w:color w:val="auto"/>
          <w:sz w:val="24"/>
        </w:rPr>
        <w:t>16.</w:t>
      </w:r>
    </w:p>
    <w:p w:rsidR="00EA75CA" w:rsidRDefault="00EA75CA" w:rsidP="00EA75CA">
      <w:pPr>
        <w:pStyle w:val="Heading5"/>
      </w:pPr>
      <w:r>
        <w:t>Population growth</w:t>
      </w:r>
    </w:p>
    <w:p w:rsidR="00151E58" w:rsidRPr="0043508B" w:rsidRDefault="00F4578C" w:rsidP="00E24885">
      <w:pPr>
        <w:pStyle w:val="11para"/>
      </w:pPr>
      <w:r>
        <w:t>Over the past four</w:t>
      </w:r>
      <w:r w:rsidR="00E24885" w:rsidRPr="0043508B">
        <w:t xml:space="preserve"> years, Australia’s population growth has remained around 1.5% per year</w:t>
      </w:r>
      <w:r w:rsidR="00BF36B3">
        <w:t>.</w:t>
      </w:r>
      <w:r w:rsidR="00352B84">
        <w:rPr>
          <w:rStyle w:val="FootnoteReference"/>
        </w:rPr>
        <w:footnoteReference w:id="5"/>
      </w:r>
      <w:r w:rsidR="00E24885" w:rsidRPr="0043508B">
        <w:t xml:space="preserve"> However, State population growth rates have varied considerably.</w:t>
      </w:r>
      <w:r>
        <w:t xml:space="preserve"> </w:t>
      </w:r>
      <w:r>
        <w:fldChar w:fldCharType="begin"/>
      </w:r>
      <w:r>
        <w:instrText xml:space="preserve"> REF _Ref505860166 \h </w:instrText>
      </w:r>
      <w:r>
        <w:fldChar w:fldCharType="separate"/>
      </w:r>
      <w:r w:rsidR="000A6746">
        <w:t>Figure 1</w:t>
      </w:r>
      <w:r w:rsidR="000A6746">
        <w:noBreakHyphen/>
      </w:r>
      <w:r w:rsidR="000A6746">
        <w:rPr>
          <w:noProof/>
        </w:rPr>
        <w:t>5</w:t>
      </w:r>
      <w:r>
        <w:fldChar w:fldCharType="end"/>
      </w:r>
      <w:r w:rsidR="00E24885" w:rsidRPr="0043508B">
        <w:t xml:space="preserve"> shows that growth increased in New South Wales, Victoria </w:t>
      </w:r>
      <w:r w:rsidR="00FD385F">
        <w:t xml:space="preserve">and </w:t>
      </w:r>
      <w:r w:rsidR="00E24885" w:rsidRPr="0043508B">
        <w:t>Tasmania between 2013-14 and 2016-17, leading to a significant increase in their assessed needs for capital investment.</w:t>
      </w:r>
    </w:p>
    <w:p w:rsidR="002C6284" w:rsidRDefault="00BF36B3" w:rsidP="0043508B">
      <w:pPr>
        <w:pStyle w:val="Caption"/>
      </w:pPr>
      <w:bookmarkStart w:id="457" w:name="_Ref505860166"/>
      <w:r>
        <w:lastRenderedPageBreak/>
        <w:t>Figure </w:t>
      </w:r>
      <w:r w:rsidR="0043508B">
        <w:t>1</w:t>
      </w:r>
      <w:r w:rsidR="0043508B">
        <w:noBreakHyphen/>
      </w:r>
      <w:r w:rsidR="00CD68E8">
        <w:fldChar w:fldCharType="begin"/>
      </w:r>
      <w:r w:rsidR="00CD68E8">
        <w:instrText xml:space="preserve"> SEQ Figure \* ARABIC\s 1 </w:instrText>
      </w:r>
      <w:r w:rsidR="00CD68E8">
        <w:fldChar w:fldCharType="separate"/>
      </w:r>
      <w:r w:rsidR="000A6746">
        <w:rPr>
          <w:noProof/>
        </w:rPr>
        <w:t>5</w:t>
      </w:r>
      <w:r w:rsidR="00CD68E8">
        <w:rPr>
          <w:noProof/>
        </w:rPr>
        <w:fldChar w:fldCharType="end"/>
      </w:r>
      <w:bookmarkEnd w:id="457"/>
      <w:r w:rsidR="002C6284">
        <w:tab/>
        <w:t>Population growth</w:t>
      </w:r>
      <w:r w:rsidR="006F6932">
        <w:t>, 2013</w:t>
      </w:r>
      <w:r w:rsidR="006F6932">
        <w:noBreakHyphen/>
        <w:t>14 to 2016</w:t>
      </w:r>
      <w:r w:rsidR="006F6932">
        <w:noBreakHyphen/>
        <w:t>17</w:t>
      </w:r>
    </w:p>
    <w:p w:rsidR="006D20E1" w:rsidRDefault="006D20E1" w:rsidP="006D20E1">
      <w:r w:rsidRPr="006D20E1">
        <w:rPr>
          <w:noProof/>
          <w:lang w:eastAsia="en-AU"/>
        </w:rPr>
        <w:drawing>
          <wp:inline distT="0" distB="0" distL="0" distR="0" wp14:anchorId="48B34412" wp14:editId="204740C2">
            <wp:extent cx="5654040" cy="35585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4040" cy="3558540"/>
                    </a:xfrm>
                    <a:prstGeom prst="rect">
                      <a:avLst/>
                    </a:prstGeom>
                    <a:noFill/>
                    <a:ln>
                      <a:noFill/>
                    </a:ln>
                  </pic:spPr>
                </pic:pic>
              </a:graphicData>
            </a:graphic>
          </wp:inline>
        </w:drawing>
      </w:r>
    </w:p>
    <w:p w:rsidR="002C6284" w:rsidRPr="0043508B" w:rsidRDefault="002C6284" w:rsidP="0043508B">
      <w:pPr>
        <w:pStyle w:val="CGCTableFootnote"/>
      </w:pPr>
      <w:r w:rsidRPr="0043508B">
        <w:t>Source:</w:t>
      </w:r>
      <w:r w:rsidRPr="0043508B">
        <w:tab/>
      </w:r>
      <w:r w:rsidR="00A501E0" w:rsidRPr="00BD3F28">
        <w:rPr>
          <w:rStyle w:val="Heading5Char"/>
          <w:rFonts w:eastAsiaTheme="minorHAnsi" w:cstheme="minorBidi"/>
          <w:b w:val="0"/>
          <w:i w:val="0"/>
          <w:color w:val="auto"/>
          <w:sz w:val="20"/>
        </w:rPr>
        <w:t>ABS</w:t>
      </w:r>
      <w:r w:rsidR="00A501E0" w:rsidRPr="00980CBA">
        <w:rPr>
          <w:rStyle w:val="Heading5Char"/>
          <w:rFonts w:eastAsiaTheme="minorHAnsi" w:cstheme="minorBidi"/>
          <w:b w:val="0"/>
          <w:i w:val="0"/>
          <w:color w:val="auto"/>
          <w:sz w:val="20"/>
        </w:rPr>
        <w:t xml:space="preserve">, </w:t>
      </w:r>
      <w:r w:rsidR="00A501E0" w:rsidRPr="00980CBA">
        <w:rPr>
          <w:rStyle w:val="Heading5Char"/>
          <w:rFonts w:eastAsiaTheme="minorHAnsi" w:cstheme="minorBidi"/>
          <w:b w:val="0"/>
          <w:color w:val="auto"/>
          <w:sz w:val="20"/>
        </w:rPr>
        <w:t>Australian Demographic Statistics</w:t>
      </w:r>
      <w:r w:rsidR="00A501E0" w:rsidRPr="00980CBA">
        <w:rPr>
          <w:rStyle w:val="Heading5Char"/>
          <w:rFonts w:eastAsiaTheme="minorHAnsi" w:cstheme="minorBidi"/>
          <w:b w:val="0"/>
          <w:i w:val="0"/>
          <w:color w:val="auto"/>
          <w:sz w:val="20"/>
        </w:rPr>
        <w:t xml:space="preserve">, Cat. </w:t>
      </w:r>
      <w:proofErr w:type="gramStart"/>
      <w:r w:rsidR="00A501E0" w:rsidRPr="00980CBA">
        <w:rPr>
          <w:rStyle w:val="Heading5Char"/>
          <w:rFonts w:eastAsiaTheme="minorHAnsi" w:cstheme="minorBidi"/>
          <w:b w:val="0"/>
          <w:i w:val="0"/>
          <w:color w:val="auto"/>
          <w:sz w:val="20"/>
        </w:rPr>
        <w:t>No. 3101.0</w:t>
      </w:r>
      <w:r w:rsidR="00A501E0">
        <w:rPr>
          <w:rStyle w:val="Heading5Char"/>
          <w:rFonts w:eastAsiaTheme="minorHAnsi" w:cstheme="minorBidi"/>
          <w:b w:val="0"/>
          <w:i w:val="0"/>
          <w:color w:val="auto"/>
          <w:sz w:val="20"/>
        </w:rPr>
        <w:t>.</w:t>
      </w:r>
      <w:proofErr w:type="gramEnd"/>
    </w:p>
    <w:p w:rsidR="00E24885" w:rsidRDefault="00E24885" w:rsidP="00E24885">
      <w:pPr>
        <w:pStyle w:val="11para"/>
      </w:pPr>
      <w:r>
        <w:t>Vict</w:t>
      </w:r>
      <w:r w:rsidR="00D370C7">
        <w:t xml:space="preserve">oria's population growth of </w:t>
      </w:r>
      <w:r w:rsidR="00D370C7" w:rsidRPr="00D370C7">
        <w:t>1</w:t>
      </w:r>
      <w:r w:rsidR="00AC5BD4">
        <w:t>47</w:t>
      </w:r>
      <w:r w:rsidR="00D370C7">
        <w:t> </w:t>
      </w:r>
      <w:r w:rsidRPr="00D370C7">
        <w:t>000</w:t>
      </w:r>
      <w:r>
        <w:t xml:space="preserve"> people in </w:t>
      </w:r>
      <w:r w:rsidR="0008020E">
        <w:t>2016</w:t>
      </w:r>
      <w:r w:rsidR="0008020E">
        <w:noBreakHyphen/>
      </w:r>
      <w:r>
        <w:t xml:space="preserve">17 was the greatest increase in population of any State on record. </w:t>
      </w:r>
      <w:r w:rsidR="00D70D0F">
        <w:t>Due to its above average share of national population growth, i</w:t>
      </w:r>
      <w:r w:rsidR="0025713B">
        <w:t>t</w:t>
      </w:r>
      <w:r>
        <w:t xml:space="preserve"> now receives </w:t>
      </w:r>
      <w:r w:rsidR="00D70D0F">
        <w:t xml:space="preserve">an additional </w:t>
      </w:r>
      <w:r>
        <w:t>$</w:t>
      </w:r>
      <w:r w:rsidR="00D70D0F">
        <w:t>85</w:t>
      </w:r>
      <w:r w:rsidR="0008020E">
        <w:t> </w:t>
      </w:r>
      <w:r>
        <w:t xml:space="preserve">million more than an EPC share of GST </w:t>
      </w:r>
      <w:r w:rsidR="00D70D0F">
        <w:t>for its infrastructure needs</w:t>
      </w:r>
      <w:r>
        <w:t>.</w:t>
      </w:r>
    </w:p>
    <w:p w:rsidR="00E24885" w:rsidRDefault="00E24885" w:rsidP="00E24885">
      <w:pPr>
        <w:pStyle w:val="11para"/>
      </w:pPr>
      <w:r>
        <w:t>Queensland, Western Australia, South Australia and the Northern Territory had slowing population growth between 2013</w:t>
      </w:r>
      <w:r w:rsidR="00B818EA">
        <w:noBreakHyphen/>
      </w:r>
      <w:r>
        <w:t>14 and 2016</w:t>
      </w:r>
      <w:r w:rsidR="00B818EA">
        <w:noBreakHyphen/>
      </w:r>
      <w:r>
        <w:t>17, reducing their need for GST.</w:t>
      </w:r>
    </w:p>
    <w:p w:rsidR="00E24885" w:rsidRDefault="00E24885" w:rsidP="00E24885">
      <w:pPr>
        <w:pStyle w:val="11para"/>
      </w:pPr>
      <w:r>
        <w:t xml:space="preserve">Western Australia's </w:t>
      </w:r>
      <w:r w:rsidR="00225F16">
        <w:t xml:space="preserve">population </w:t>
      </w:r>
      <w:r>
        <w:t>growth has fallen from well above average to well below. Western Australia's population growth in 2016</w:t>
      </w:r>
      <w:r w:rsidR="00B818EA">
        <w:noBreakHyphen/>
      </w:r>
      <w:r>
        <w:t xml:space="preserve">17 was </w:t>
      </w:r>
      <w:r w:rsidR="00AC5BD4">
        <w:t>37</w:t>
      </w:r>
      <w:r>
        <w:t>% of the level it ha</w:t>
      </w:r>
      <w:r w:rsidR="00C35B13">
        <w:t>d been four years earlier, and one quarter</w:t>
      </w:r>
      <w:r>
        <w:t xml:space="preserve"> of its peak population growth in 2012</w:t>
      </w:r>
      <w:r w:rsidR="00B818EA">
        <w:noBreakHyphen/>
      </w:r>
      <w:r>
        <w:t>13. For the first time since population growth became a driver of the GST distribution in 2010</w:t>
      </w:r>
      <w:r w:rsidR="00B818EA">
        <w:noBreakHyphen/>
      </w:r>
      <w:r>
        <w:t>11, population growth will lead to a redistribution of GST away from Western Australia.</w:t>
      </w:r>
    </w:p>
    <w:p w:rsidR="00E24885" w:rsidRPr="00E24885" w:rsidRDefault="00E24885" w:rsidP="00E24885">
      <w:pPr>
        <w:pStyle w:val="11para"/>
      </w:pPr>
      <w:r w:rsidRPr="00E24885">
        <w:t>The Northern Territory's population growth was around average in 2013</w:t>
      </w:r>
      <w:r w:rsidR="00B818EA">
        <w:noBreakHyphen/>
      </w:r>
      <w:r w:rsidRPr="00E24885">
        <w:t>14</w:t>
      </w:r>
      <w:r w:rsidR="0008020E">
        <w:t>.</w:t>
      </w:r>
      <w:r w:rsidR="0008020E" w:rsidRPr="00E24885">
        <w:t xml:space="preserve"> </w:t>
      </w:r>
      <w:r w:rsidR="0008020E">
        <w:t>S</w:t>
      </w:r>
      <w:r w:rsidR="0008020E" w:rsidRPr="00E24885">
        <w:t xml:space="preserve">ince </w:t>
      </w:r>
      <w:r w:rsidRPr="00E24885">
        <w:t>then it has, on average, been the slowest in the nation. This has led to a significant reduction in the Northern Territory's need for investment. However, given the high level of infrastructure assessed for each Territorian, even with its slow population growth, the Northern Territory still receives above an EPC share of GST</w:t>
      </w:r>
      <w:r w:rsidR="0008020E">
        <w:t>.</w:t>
      </w:r>
    </w:p>
    <w:p w:rsidR="005D52DC" w:rsidRPr="002A48E0" w:rsidRDefault="005D52DC" w:rsidP="005D52DC">
      <w:pPr>
        <w:pStyle w:val="Heading3"/>
      </w:pPr>
      <w:bookmarkStart w:id="458" w:name="_Toc474923767"/>
      <w:bookmarkStart w:id="459" w:name="_Toc505872185"/>
      <w:r w:rsidRPr="002A48E0">
        <w:lastRenderedPageBreak/>
        <w:t xml:space="preserve">Why </w:t>
      </w:r>
      <w:r w:rsidR="002A4D57">
        <w:t>S</w:t>
      </w:r>
      <w:r w:rsidRPr="002A48E0">
        <w:t>tate fiscal capacities differ</w:t>
      </w:r>
      <w:bookmarkEnd w:id="458"/>
      <w:bookmarkEnd w:id="459"/>
    </w:p>
    <w:p w:rsidR="005D52DC" w:rsidRDefault="003604A8" w:rsidP="007F7654">
      <w:pPr>
        <w:pStyle w:val="11para"/>
      </w:pPr>
      <w:r w:rsidRPr="002A48E0">
        <w:t>Differences among the States in economic, social and demographic characteristics affect their expenditures and revenues</w:t>
      </w:r>
      <w:r w:rsidR="00D370BE">
        <w:t>,</w:t>
      </w:r>
      <w:r w:rsidRPr="002A48E0">
        <w:t xml:space="preserve"> and contribute to differences in GST distributions.</w:t>
      </w:r>
      <w:r>
        <w:t xml:space="preserve"> </w:t>
      </w:r>
      <w:r w:rsidR="00D06A01">
        <w:fldChar w:fldCharType="begin"/>
      </w:r>
      <w:r w:rsidR="00D06A01">
        <w:instrText xml:space="preserve"> REF _Ref503960835 \h </w:instrText>
      </w:r>
      <w:r w:rsidR="00D06A01">
        <w:fldChar w:fldCharType="separate"/>
      </w:r>
      <w:r w:rsidR="000A6746">
        <w:t>Table 1</w:t>
      </w:r>
      <w:r w:rsidR="000A6746">
        <w:noBreakHyphen/>
      </w:r>
      <w:r w:rsidR="000A6746">
        <w:rPr>
          <w:noProof/>
        </w:rPr>
        <w:t>7</w:t>
      </w:r>
      <w:r w:rsidR="00D06A01">
        <w:fldChar w:fldCharType="end"/>
      </w:r>
      <w:r w:rsidR="00D06A01">
        <w:t xml:space="preserve"> </w:t>
      </w:r>
      <w:r w:rsidR="00D06A01" w:rsidRPr="002A48E0">
        <w:t>shows how these differences contribute to differences in the recommended GST distribution.</w:t>
      </w:r>
    </w:p>
    <w:p w:rsidR="003604A8" w:rsidRDefault="003604A8" w:rsidP="003604A8">
      <w:pPr>
        <w:pStyle w:val="Caption"/>
      </w:pPr>
      <w:bookmarkStart w:id="460" w:name="_Ref503960835"/>
      <w:r>
        <w:t>Table 1</w:t>
      </w:r>
      <w:r>
        <w:noBreakHyphen/>
      </w:r>
      <w:r w:rsidR="00CD68E8">
        <w:fldChar w:fldCharType="begin"/>
      </w:r>
      <w:r w:rsidR="00CD68E8">
        <w:instrText xml:space="preserve"> SEQ Table \* ARABIC \s 1 </w:instrText>
      </w:r>
      <w:r w:rsidR="00CD68E8">
        <w:fldChar w:fldCharType="separate"/>
      </w:r>
      <w:r w:rsidR="000A6746">
        <w:rPr>
          <w:noProof/>
        </w:rPr>
        <w:t>7</w:t>
      </w:r>
      <w:r w:rsidR="00CD68E8">
        <w:rPr>
          <w:noProof/>
        </w:rPr>
        <w:fldChar w:fldCharType="end"/>
      </w:r>
      <w:bookmarkEnd w:id="460"/>
      <w:r>
        <w:tab/>
        <w:t>Difference from an equal per capita distribution of GST, 2018</w:t>
      </w:r>
      <w:r>
        <w:noBreakHyphen/>
        <w:t>19</w:t>
      </w:r>
    </w:p>
    <w:tbl>
      <w:tblPr>
        <w:tblW w:w="8936" w:type="dxa"/>
        <w:tblLayout w:type="fixed"/>
        <w:tblCellMar>
          <w:left w:w="0" w:type="dxa"/>
          <w:right w:w="0" w:type="dxa"/>
        </w:tblCellMar>
        <w:tblLook w:val="04A0" w:firstRow="1" w:lastRow="0" w:firstColumn="1" w:lastColumn="0" w:noHBand="0" w:noVBand="1"/>
      </w:tblPr>
      <w:tblGrid>
        <w:gridCol w:w="2463"/>
        <w:gridCol w:w="1185"/>
        <w:gridCol w:w="656"/>
        <w:gridCol w:w="656"/>
        <w:gridCol w:w="656"/>
        <w:gridCol w:w="656"/>
        <w:gridCol w:w="656"/>
        <w:gridCol w:w="656"/>
        <w:gridCol w:w="656"/>
        <w:gridCol w:w="696"/>
      </w:tblGrid>
      <w:tr w:rsidR="008F587A" w:rsidRPr="00334326" w:rsidTr="008F587A">
        <w:trPr>
          <w:trHeight w:val="373"/>
        </w:trPr>
        <w:tc>
          <w:tcPr>
            <w:tcW w:w="2463"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461" w:name="RANGE!A32:J39"/>
            <w:r w:rsidRPr="00334326">
              <w:rPr>
                <w:rFonts w:ascii="Calibri" w:eastAsia="Times New Roman" w:hAnsi="Calibri" w:cs="Times New Roman"/>
                <w:sz w:val="20"/>
                <w:szCs w:val="20"/>
                <w:lang w:eastAsia="en-AU"/>
              </w:rPr>
              <w:t> </w:t>
            </w:r>
            <w:bookmarkEnd w:id="461"/>
          </w:p>
        </w:tc>
        <w:tc>
          <w:tcPr>
            <w:tcW w:w="1185"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NSW</w:t>
            </w:r>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Vic</w:t>
            </w:r>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Qld</w:t>
            </w:r>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WA</w:t>
            </w:r>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SA</w:t>
            </w:r>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334326">
              <w:rPr>
                <w:rFonts w:ascii="Calibri" w:eastAsia="Times New Roman" w:hAnsi="Calibri" w:cs="Times New Roman"/>
                <w:sz w:val="20"/>
                <w:szCs w:val="20"/>
                <w:lang w:eastAsia="en-AU"/>
              </w:rPr>
              <w:t>Tas</w:t>
            </w:r>
            <w:proofErr w:type="spellEnd"/>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ACT</w:t>
            </w:r>
          </w:p>
        </w:tc>
        <w:tc>
          <w:tcPr>
            <w:tcW w:w="65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NT</w:t>
            </w:r>
          </w:p>
        </w:tc>
        <w:tc>
          <w:tcPr>
            <w:tcW w:w="696" w:type="dxa"/>
            <w:tcBorders>
              <w:top w:val="single" w:sz="4" w:space="0" w:color="auto"/>
              <w:left w:val="nil"/>
              <w:bottom w:val="single" w:sz="4" w:space="0" w:color="auto"/>
              <w:right w:val="nil"/>
            </w:tcBorders>
            <w:shd w:val="clear" w:color="auto" w:fill="auto"/>
            <w:noWrap/>
            <w:vAlign w:val="center"/>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334326">
              <w:rPr>
                <w:rFonts w:ascii="Calibri" w:eastAsia="Times New Roman" w:hAnsi="Calibri" w:cs="Times New Roman"/>
                <w:sz w:val="20"/>
                <w:szCs w:val="20"/>
                <w:lang w:eastAsia="en-AU"/>
              </w:rPr>
              <w:t>Redist</w:t>
            </w:r>
            <w:proofErr w:type="spellEnd"/>
          </w:p>
        </w:tc>
      </w:tr>
      <w:tr w:rsidR="008F587A" w:rsidRPr="00334326" w:rsidTr="008F587A">
        <w:trPr>
          <w:trHeight w:val="254"/>
        </w:trPr>
        <w:tc>
          <w:tcPr>
            <w:tcW w:w="2463"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1185"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c>
          <w:tcPr>
            <w:tcW w:w="69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$m</w:t>
            </w:r>
          </w:p>
        </w:tc>
      </w:tr>
      <w:tr w:rsidR="008F587A" w:rsidRPr="00334326" w:rsidTr="008F587A">
        <w:trPr>
          <w:trHeight w:val="311"/>
        </w:trPr>
        <w:tc>
          <w:tcPr>
            <w:tcW w:w="2463"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Expense requirement</w:t>
            </w:r>
          </w:p>
        </w:tc>
        <w:tc>
          <w:tcPr>
            <w:tcW w:w="1185"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-2 428</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-4 972</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1 605</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2 324</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472</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537</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-194</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2 657</w:t>
            </w:r>
          </w:p>
        </w:tc>
        <w:tc>
          <w:tcPr>
            <w:tcW w:w="69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7 594</w:t>
            </w:r>
          </w:p>
        </w:tc>
      </w:tr>
      <w:tr w:rsidR="008F587A" w:rsidRPr="00334326" w:rsidTr="008F587A">
        <w:trPr>
          <w:trHeight w:val="311"/>
        </w:trPr>
        <w:tc>
          <w:tcPr>
            <w:tcW w:w="2463"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Investment requirement</w:t>
            </w:r>
          </w:p>
        </w:tc>
        <w:tc>
          <w:tcPr>
            <w:tcW w:w="1185"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333</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1 254</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-426</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-485</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-332</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-159</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-20</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-165</w:t>
            </w:r>
          </w:p>
        </w:tc>
        <w:tc>
          <w:tcPr>
            <w:tcW w:w="69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1 587</w:t>
            </w:r>
          </w:p>
        </w:tc>
      </w:tr>
      <w:tr w:rsidR="008F587A" w:rsidRPr="00334326" w:rsidTr="008F587A">
        <w:trPr>
          <w:trHeight w:val="311"/>
        </w:trPr>
        <w:tc>
          <w:tcPr>
            <w:tcW w:w="2463"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Net borrowing</w:t>
            </w:r>
          </w:p>
        </w:tc>
        <w:tc>
          <w:tcPr>
            <w:tcW w:w="1185"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8</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-182</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27</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70</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47</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22</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-3</w:t>
            </w:r>
          </w:p>
        </w:tc>
        <w:tc>
          <w:tcPr>
            <w:tcW w:w="65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11</w:t>
            </w:r>
          </w:p>
        </w:tc>
        <w:tc>
          <w:tcPr>
            <w:tcW w:w="696" w:type="dxa"/>
            <w:tcBorders>
              <w:top w:val="nil"/>
              <w:left w:val="nil"/>
              <w:bottom w:val="nil"/>
              <w:right w:val="nil"/>
            </w:tcBorders>
            <w:shd w:val="clear" w:color="auto" w:fill="auto"/>
            <w:noWrap/>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185</w:t>
            </w:r>
          </w:p>
        </w:tc>
      </w:tr>
      <w:tr w:rsidR="008F587A" w:rsidRPr="00334326" w:rsidTr="008F587A">
        <w:trPr>
          <w:trHeight w:val="311"/>
        </w:trPr>
        <w:tc>
          <w:tcPr>
            <w:tcW w:w="2463"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Revenue raising capacity</w:t>
            </w:r>
          </w:p>
        </w:tc>
        <w:tc>
          <w:tcPr>
            <w:tcW w:w="1185"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-956</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2 882</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583</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-5 531</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1 932</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717</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332</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40</w:t>
            </w:r>
          </w:p>
        </w:tc>
        <w:tc>
          <w:tcPr>
            <w:tcW w:w="69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6 487</w:t>
            </w:r>
          </w:p>
        </w:tc>
      </w:tr>
      <w:tr w:rsidR="008F587A" w:rsidRPr="00334326" w:rsidTr="008F587A">
        <w:trPr>
          <w:trHeight w:val="311"/>
        </w:trPr>
        <w:tc>
          <w:tcPr>
            <w:tcW w:w="2463"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Commonwealth payments (a)</w:t>
            </w:r>
          </w:p>
        </w:tc>
        <w:tc>
          <w:tcPr>
            <w:tcW w:w="1185"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22</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817</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-505</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5</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69</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-58</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85</w:t>
            </w:r>
          </w:p>
        </w:tc>
        <w:tc>
          <w:tcPr>
            <w:tcW w:w="65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-434</w:t>
            </w:r>
          </w:p>
        </w:tc>
        <w:tc>
          <w:tcPr>
            <w:tcW w:w="696" w:type="dxa"/>
            <w:tcBorders>
              <w:top w:val="nil"/>
              <w:left w:val="nil"/>
              <w:bottom w:val="nil"/>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997</w:t>
            </w:r>
          </w:p>
        </w:tc>
      </w:tr>
      <w:tr w:rsidR="008F587A" w:rsidRPr="00334326" w:rsidTr="008F587A">
        <w:trPr>
          <w:trHeight w:val="311"/>
        </w:trPr>
        <w:tc>
          <w:tcPr>
            <w:tcW w:w="2463" w:type="dxa"/>
            <w:tcBorders>
              <w:top w:val="nil"/>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Total difference from EPC</w:t>
            </w:r>
          </w:p>
        </w:tc>
        <w:tc>
          <w:tcPr>
            <w:tcW w:w="1185"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-3 021</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-201</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1 284</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-3 618</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2 188</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1 059</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200</w:t>
            </w:r>
          </w:p>
        </w:tc>
        <w:tc>
          <w:tcPr>
            <w:tcW w:w="65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2 109</w:t>
            </w:r>
          </w:p>
        </w:tc>
        <w:tc>
          <w:tcPr>
            <w:tcW w:w="696" w:type="dxa"/>
            <w:tcBorders>
              <w:top w:val="single" w:sz="4" w:space="0" w:color="auto"/>
              <w:left w:val="nil"/>
              <w:bottom w:val="single" w:sz="4" w:space="0" w:color="auto"/>
              <w:right w:val="nil"/>
            </w:tcBorders>
            <w:shd w:val="clear" w:color="auto" w:fill="auto"/>
            <w:vAlign w:val="bottom"/>
            <w:hideMark/>
          </w:tcPr>
          <w:p w:rsidR="00334326" w:rsidRPr="00334326" w:rsidRDefault="00334326" w:rsidP="008F587A">
            <w:pPr>
              <w:keepNext/>
              <w:keepLines/>
              <w:tabs>
                <w:tab w:val="clear" w:pos="567"/>
              </w:tabs>
              <w:spacing w:after="0" w:line="240" w:lineRule="auto"/>
              <w:jc w:val="right"/>
              <w:rPr>
                <w:rFonts w:ascii="Calibri" w:eastAsia="Times New Roman" w:hAnsi="Calibri" w:cs="Times New Roman"/>
                <w:sz w:val="20"/>
                <w:szCs w:val="20"/>
                <w:lang w:eastAsia="en-AU"/>
              </w:rPr>
            </w:pPr>
            <w:r w:rsidRPr="00334326">
              <w:rPr>
                <w:rFonts w:ascii="Calibri" w:eastAsia="Times New Roman" w:hAnsi="Calibri" w:cs="Times New Roman"/>
                <w:sz w:val="20"/>
                <w:szCs w:val="20"/>
                <w:lang w:eastAsia="en-AU"/>
              </w:rPr>
              <w:t>6 840</w:t>
            </w:r>
          </w:p>
        </w:tc>
      </w:tr>
    </w:tbl>
    <w:p w:rsidR="003604A8" w:rsidRDefault="003604A8" w:rsidP="003604A8">
      <w:pPr>
        <w:pStyle w:val="CGCTableFootnote"/>
      </w:pPr>
      <w:r>
        <w:t>(a)</w:t>
      </w:r>
      <w:r>
        <w:tab/>
        <w:t>Includes the impact on the revenue side only. The impact on the expense side is incorporated in the expense requirement line.</w:t>
      </w:r>
    </w:p>
    <w:p w:rsidR="003604A8" w:rsidRDefault="003604A8" w:rsidP="003604A8">
      <w:pPr>
        <w:pStyle w:val="CGCTableFootnote"/>
      </w:pPr>
      <w:r>
        <w:t>Source:</w:t>
      </w:r>
      <w:r>
        <w:tab/>
        <w:t>Commission calculation.</w:t>
      </w:r>
    </w:p>
    <w:p w:rsidR="00ED20FF" w:rsidRPr="00D00CD9" w:rsidRDefault="00ED20FF" w:rsidP="007F7654">
      <w:pPr>
        <w:pStyle w:val="11para"/>
      </w:pPr>
      <w:r w:rsidRPr="00D00CD9">
        <w:t xml:space="preserve">Western Australia’s above average revenue raising capacity drives its fiscal strength, despite </w:t>
      </w:r>
      <w:proofErr w:type="gramStart"/>
      <w:r w:rsidRPr="00D00CD9">
        <w:t>its</w:t>
      </w:r>
      <w:proofErr w:type="gramEnd"/>
      <w:r w:rsidRPr="00D00CD9">
        <w:t xml:space="preserve"> higher than average costs of providing services and infrastructure. </w:t>
      </w:r>
      <w:r w:rsidR="00DF230B">
        <w:t>It</w:t>
      </w:r>
      <w:r w:rsidR="00886058">
        <w:t>s fiscal strength</w:t>
      </w:r>
      <w:r w:rsidR="00DF230B">
        <w:t xml:space="preserve"> leads to</w:t>
      </w:r>
      <w:r w:rsidR="00DF230B" w:rsidRPr="002A48E0">
        <w:t xml:space="preserve"> it need</w:t>
      </w:r>
      <w:r w:rsidR="00DF230B">
        <w:t>ing</w:t>
      </w:r>
      <w:r w:rsidR="00DF230B" w:rsidRPr="002A48E0">
        <w:t xml:space="preserve"> considerably less than its population share of GST. The below average cost of providing services </w:t>
      </w:r>
      <w:r w:rsidR="00DF230B">
        <w:t>in</w:t>
      </w:r>
      <w:r w:rsidR="00DF230B" w:rsidRPr="002A48E0">
        <w:t xml:space="preserve"> New South Wales and Victoria is the </w:t>
      </w:r>
      <w:r w:rsidR="00DF230B">
        <w:t xml:space="preserve">main </w:t>
      </w:r>
      <w:r w:rsidR="00DF230B" w:rsidRPr="002A48E0">
        <w:t xml:space="preserve">reason for their fiscal strength, although this is mitigated somewhat for Victoria by its below average strength in revenue raising. </w:t>
      </w:r>
      <w:r w:rsidRPr="00D00CD9">
        <w:t>The relatively low fiscal capacities of South</w:t>
      </w:r>
      <w:r w:rsidR="00D370BE">
        <w:t> </w:t>
      </w:r>
      <w:r w:rsidRPr="00D00CD9">
        <w:t>Australia, Tasmania and the ACT stem mostly from below average capacities to raise revenue</w:t>
      </w:r>
      <w:r w:rsidR="00DF230B">
        <w:t>,</w:t>
      </w:r>
      <w:r w:rsidRPr="00D00CD9">
        <w:t xml:space="preserve"> while Queensland and the Northern Territory face hi</w:t>
      </w:r>
      <w:r w:rsidR="00D00CD9">
        <w:t>gh costs of providing services.</w:t>
      </w:r>
    </w:p>
    <w:p w:rsidR="00ED20FF" w:rsidRPr="002A48E0" w:rsidRDefault="00ED20FF" w:rsidP="007F7654">
      <w:pPr>
        <w:pStyle w:val="11para"/>
      </w:pPr>
      <w:r>
        <w:fldChar w:fldCharType="begin"/>
      </w:r>
      <w:r>
        <w:instrText xml:space="preserve"> REF _Ref504227500 \h </w:instrText>
      </w:r>
      <w:r>
        <w:fldChar w:fldCharType="separate"/>
      </w:r>
      <w:r w:rsidR="000A6746">
        <w:t>Figure 1</w:t>
      </w:r>
      <w:r w:rsidR="000A6746">
        <w:noBreakHyphen/>
      </w:r>
      <w:r w:rsidR="000A6746">
        <w:rPr>
          <w:noProof/>
        </w:rPr>
        <w:t>6</w:t>
      </w:r>
      <w:r>
        <w:fldChar w:fldCharType="end"/>
      </w:r>
      <w:r>
        <w:t xml:space="preserve"> </w:t>
      </w:r>
      <w:r w:rsidRPr="002A48E0">
        <w:t xml:space="preserve">shows this from a slightly different perspective. </w:t>
      </w:r>
      <w:r w:rsidR="00CE0393">
        <w:t xml:space="preserve">In the figure, </w:t>
      </w:r>
      <w:r w:rsidR="00CE0393" w:rsidRPr="002A48E0">
        <w:t>the per capita GST requirement for each State is shown as the difference between a State’s total assessed expenditure (expenses and investment) and the sum of its assessed own source revenue, net borrowing and Commonwealth payments.</w:t>
      </w:r>
      <w:r w:rsidR="00CE0393">
        <w:t xml:space="preserve"> </w:t>
      </w:r>
      <w:r w:rsidRPr="002A48E0">
        <w:t xml:space="preserve">While Western Australia has the </w:t>
      </w:r>
      <w:r w:rsidR="005C5A62">
        <w:t>third</w:t>
      </w:r>
      <w:r w:rsidR="005C5A62" w:rsidRPr="002A48E0">
        <w:t xml:space="preserve"> </w:t>
      </w:r>
      <w:r w:rsidRPr="002A48E0">
        <w:t xml:space="preserve">highest assessed </w:t>
      </w:r>
      <w:r w:rsidR="005C5A62">
        <w:t>expenditure</w:t>
      </w:r>
      <w:r w:rsidR="009C4C8E">
        <w:t xml:space="preserve"> (expenses plus capital expenditure)</w:t>
      </w:r>
      <w:r w:rsidR="005C5A62">
        <w:t xml:space="preserve"> </w:t>
      </w:r>
      <w:r w:rsidRPr="002A48E0">
        <w:t xml:space="preserve">per capita, this is almost covered by its very high capacity to raise revenue. This leaves a relatively small requirement for GST revenue to give it the capacity to deliver </w:t>
      </w:r>
      <w:r w:rsidR="009C4C8E">
        <w:t>an average standard of service.</w:t>
      </w:r>
    </w:p>
    <w:p w:rsidR="00ED20FF" w:rsidRPr="002A48E0" w:rsidRDefault="00ED20FF" w:rsidP="007F7654">
      <w:pPr>
        <w:pStyle w:val="11para"/>
      </w:pPr>
      <w:r w:rsidRPr="002A48E0">
        <w:t xml:space="preserve">The Northern Territory has such a high cost of delivering services that even with its significantly higher than </w:t>
      </w:r>
      <w:r>
        <w:t>population</w:t>
      </w:r>
      <w:r w:rsidRPr="002A48E0">
        <w:t xml:space="preserve"> share of Commonwealth payments and only slightly below average capacity to raise </w:t>
      </w:r>
      <w:proofErr w:type="gramStart"/>
      <w:r w:rsidRPr="002A48E0">
        <w:t>revenue,</w:t>
      </w:r>
      <w:proofErr w:type="gramEnd"/>
      <w:r w:rsidRPr="002A48E0">
        <w:t xml:space="preserve"> it still requires a very large share of the GST to have the capacity to deliver an average standard of service.</w:t>
      </w:r>
    </w:p>
    <w:p w:rsidR="00D06A01" w:rsidRDefault="00ED20FF" w:rsidP="00ED20FF">
      <w:pPr>
        <w:pStyle w:val="Caption"/>
      </w:pPr>
      <w:bookmarkStart w:id="462" w:name="_Ref504227500"/>
      <w:r>
        <w:lastRenderedPageBreak/>
        <w:t>Figure 1</w:t>
      </w:r>
      <w:r>
        <w:noBreakHyphen/>
      </w:r>
      <w:r w:rsidR="00CD68E8">
        <w:fldChar w:fldCharType="begin"/>
      </w:r>
      <w:r w:rsidR="00CD68E8">
        <w:instrText xml:space="preserve"> SEQ Figure \* ARABIC \s 1 </w:instrText>
      </w:r>
      <w:r w:rsidR="00CD68E8">
        <w:fldChar w:fldCharType="separate"/>
      </w:r>
      <w:r w:rsidR="000A6746">
        <w:rPr>
          <w:noProof/>
        </w:rPr>
        <w:t>6</w:t>
      </w:r>
      <w:r w:rsidR="00CD68E8">
        <w:rPr>
          <w:noProof/>
        </w:rPr>
        <w:fldChar w:fldCharType="end"/>
      </w:r>
      <w:bookmarkEnd w:id="462"/>
      <w:r>
        <w:tab/>
        <w:t>Illustrative assessed budgets per capita, 2018</w:t>
      </w:r>
      <w:r>
        <w:noBreakHyphen/>
        <w:t>19</w:t>
      </w:r>
    </w:p>
    <w:p w:rsidR="008F587A" w:rsidRDefault="008F587A" w:rsidP="008F587A">
      <w:r>
        <w:rPr>
          <w:noProof/>
          <w:lang w:eastAsia="en-AU"/>
        </w:rPr>
        <w:drawing>
          <wp:inline distT="0" distB="0" distL="0" distR="0" wp14:anchorId="688C05BA" wp14:editId="5EC493B3">
            <wp:extent cx="5652000" cy="3564000"/>
            <wp:effectExtent l="0" t="0" r="2540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20FF" w:rsidRDefault="00ED20FF" w:rsidP="00886058">
      <w:pPr>
        <w:pStyle w:val="CGCTableFootnote"/>
        <w:keepNext/>
      </w:pPr>
      <w:r>
        <w:t>(a)</w:t>
      </w:r>
      <w:r>
        <w:tab/>
        <w:t>Includes expenses and investment.</w:t>
      </w:r>
    </w:p>
    <w:p w:rsidR="00ED20FF" w:rsidRDefault="00ED20FF" w:rsidP="00ED20FF">
      <w:pPr>
        <w:pStyle w:val="CGCTableFootnote"/>
      </w:pPr>
      <w:r>
        <w:t>Source:</w:t>
      </w:r>
      <w:r>
        <w:tab/>
        <w:t>Commission calculation.</w:t>
      </w:r>
    </w:p>
    <w:p w:rsidR="00ED20FF" w:rsidRPr="002851B6" w:rsidRDefault="00ED20FF" w:rsidP="007F7654">
      <w:pPr>
        <w:pStyle w:val="11para"/>
      </w:pPr>
      <w:r w:rsidRPr="002A48E0">
        <w:t>The main economic and demographic factors causing differences in State</w:t>
      </w:r>
      <w:r>
        <w:t xml:space="preserve"> fiscal</w:t>
      </w:r>
      <w:r w:rsidRPr="002A48E0">
        <w:t xml:space="preserve"> capacities are shown in</w:t>
      </w:r>
      <w:r w:rsidR="006E183B">
        <w:t xml:space="preserve"> </w:t>
      </w:r>
      <w:r w:rsidR="006E183B">
        <w:fldChar w:fldCharType="begin"/>
      </w:r>
      <w:r w:rsidR="006E183B">
        <w:instrText xml:space="preserve"> REF _Ref505683546 \h </w:instrText>
      </w:r>
      <w:r w:rsidR="006E183B">
        <w:fldChar w:fldCharType="separate"/>
      </w:r>
      <w:r w:rsidR="000A6746">
        <w:t>Table 1</w:t>
      </w:r>
      <w:r w:rsidR="000A6746">
        <w:noBreakHyphen/>
      </w:r>
      <w:r w:rsidR="000A6746">
        <w:rPr>
          <w:noProof/>
        </w:rPr>
        <w:t>8</w:t>
      </w:r>
      <w:r w:rsidR="006E183B">
        <w:fldChar w:fldCharType="end"/>
      </w:r>
      <w:r w:rsidRPr="002A48E0">
        <w:t xml:space="preserve">. </w:t>
      </w:r>
      <w:r w:rsidRPr="002851B6">
        <w:t>It shows, for example, that V</w:t>
      </w:r>
      <w:r w:rsidR="00B16FBE">
        <w:t>ictoria needs an additional $2 81</w:t>
      </w:r>
      <w:r w:rsidRPr="002851B6">
        <w:t>0</w:t>
      </w:r>
      <w:r w:rsidR="00B16FBE">
        <w:t> million</w:t>
      </w:r>
      <w:r w:rsidR="002851B6" w:rsidRPr="002851B6">
        <w:t xml:space="preserve"> </w:t>
      </w:r>
      <w:r w:rsidRPr="002851B6">
        <w:t>in GST above an EPC share to recognise its below average capacity to raise revenue from mining, while Western Australia needs $</w:t>
      </w:r>
      <w:r w:rsidR="00B16FBE">
        <w:t>4</w:t>
      </w:r>
      <w:r w:rsidRPr="002851B6">
        <w:t> </w:t>
      </w:r>
      <w:r w:rsidR="00B16FBE">
        <w:t>92</w:t>
      </w:r>
      <w:r w:rsidR="00B818EA">
        <w:t>7</w:t>
      </w:r>
      <w:r w:rsidR="00B16FBE">
        <w:t xml:space="preserve"> million </w:t>
      </w:r>
      <w:r w:rsidRPr="002851B6">
        <w:t xml:space="preserve">less than its EPC share because of its </w:t>
      </w:r>
      <w:r w:rsidR="00B351ED">
        <w:t>very</w:t>
      </w:r>
      <w:r w:rsidRPr="002851B6">
        <w:t xml:space="preserve"> </w:t>
      </w:r>
      <w:r w:rsidR="00B351ED">
        <w:t xml:space="preserve">high </w:t>
      </w:r>
      <w:r w:rsidRPr="002851B6">
        <w:t>capacity</w:t>
      </w:r>
      <w:r w:rsidR="00B351ED">
        <w:t xml:space="preserve"> to raise mining revenue</w:t>
      </w:r>
      <w:r w:rsidRPr="002851B6">
        <w:t>.</w:t>
      </w:r>
    </w:p>
    <w:p w:rsidR="00ED20FF" w:rsidRPr="002A48E0" w:rsidRDefault="00ED20FF" w:rsidP="007F7654">
      <w:pPr>
        <w:pStyle w:val="11para"/>
      </w:pPr>
      <w:r w:rsidRPr="002A48E0">
        <w:t>In this update</w:t>
      </w:r>
      <w:r w:rsidR="00735CFD">
        <w:t>,</w:t>
      </w:r>
      <w:r w:rsidRPr="002A48E0">
        <w:t xml:space="preserve"> the Commission again observes significant differences in the innate fiscal capacities of States, which warrant a distribution of GST revenue that differs significantly from one based on State population shares. Further information on why State fiscal capacities differ is </w:t>
      </w:r>
      <w:r w:rsidR="00735CFD">
        <w:t xml:space="preserve">provided </w:t>
      </w:r>
      <w:r w:rsidRPr="002A48E0">
        <w:t>in Chapter 3, Volume 1 of the 2015</w:t>
      </w:r>
      <w:r w:rsidR="006519EA">
        <w:t> </w:t>
      </w:r>
      <w:r w:rsidR="004E6826">
        <w:t xml:space="preserve">Review </w:t>
      </w:r>
      <w:r w:rsidR="00DA1A52">
        <w:t>r</w:t>
      </w:r>
      <w:r w:rsidR="004E6826">
        <w:t>eport.</w:t>
      </w:r>
    </w:p>
    <w:p w:rsidR="001262D5" w:rsidRDefault="00CB68D5" w:rsidP="00642D22">
      <w:pPr>
        <w:pStyle w:val="Caption"/>
      </w:pPr>
      <w:bookmarkStart w:id="463" w:name="_Ref505683546"/>
      <w:r>
        <w:lastRenderedPageBreak/>
        <w:t>Table 1</w:t>
      </w:r>
      <w:r>
        <w:noBreakHyphen/>
      </w:r>
      <w:r w:rsidR="00CD68E8">
        <w:fldChar w:fldCharType="begin"/>
      </w:r>
      <w:r w:rsidR="00CD68E8">
        <w:instrText xml:space="preserve"> SEQ Table \* ARABIC \s 1 </w:instrText>
      </w:r>
      <w:r w:rsidR="00CD68E8">
        <w:fldChar w:fldCharType="separate"/>
      </w:r>
      <w:r w:rsidR="000A6746">
        <w:rPr>
          <w:noProof/>
        </w:rPr>
        <w:t>8</w:t>
      </w:r>
      <w:r w:rsidR="00CD68E8">
        <w:rPr>
          <w:noProof/>
        </w:rPr>
        <w:fldChar w:fldCharType="end"/>
      </w:r>
      <w:bookmarkEnd w:id="463"/>
      <w:r w:rsidR="00EA7777">
        <w:tab/>
      </w:r>
      <w:r w:rsidR="007925CE">
        <w:t>Drivers of d</w:t>
      </w:r>
      <w:r w:rsidR="00EA7777">
        <w:t>ifference from an equal per capita distribution of GST, 2018</w:t>
      </w:r>
      <w:r w:rsidR="00EA7777">
        <w:noBreakHyphen/>
        <w:t>19</w:t>
      </w:r>
    </w:p>
    <w:tbl>
      <w:tblPr>
        <w:tblW w:w="9241" w:type="dxa"/>
        <w:tblLayout w:type="fixed"/>
        <w:tblCellMar>
          <w:left w:w="0" w:type="dxa"/>
          <w:right w:w="0" w:type="dxa"/>
        </w:tblCellMar>
        <w:tblLook w:val="04A0" w:firstRow="1" w:lastRow="0" w:firstColumn="1" w:lastColumn="0" w:noHBand="0" w:noVBand="1"/>
      </w:tblPr>
      <w:tblGrid>
        <w:gridCol w:w="3300"/>
        <w:gridCol w:w="660"/>
        <w:gridCol w:w="660"/>
        <w:gridCol w:w="660"/>
        <w:gridCol w:w="660"/>
        <w:gridCol w:w="660"/>
        <w:gridCol w:w="640"/>
        <w:gridCol w:w="640"/>
        <w:gridCol w:w="640"/>
        <w:gridCol w:w="721"/>
      </w:tblGrid>
      <w:tr w:rsidR="008F587A" w:rsidRPr="008F587A" w:rsidTr="0080523B">
        <w:trPr>
          <w:trHeight w:val="378"/>
        </w:trPr>
        <w:tc>
          <w:tcPr>
            <w:tcW w:w="330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bookmarkStart w:id="464" w:name="RANGE!A9:J35"/>
            <w:r w:rsidRPr="008F587A">
              <w:rPr>
                <w:rFonts w:ascii="Calibri" w:eastAsia="Times New Roman" w:hAnsi="Calibri" w:cs="Times New Roman"/>
                <w:sz w:val="20"/>
                <w:szCs w:val="20"/>
                <w:lang w:eastAsia="en-AU"/>
              </w:rPr>
              <w:t> </w:t>
            </w:r>
            <w:bookmarkEnd w:id="464"/>
          </w:p>
        </w:tc>
        <w:tc>
          <w:tcPr>
            <w:tcW w:w="66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NSW</w:t>
            </w:r>
          </w:p>
        </w:tc>
        <w:tc>
          <w:tcPr>
            <w:tcW w:w="66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Vic</w:t>
            </w:r>
          </w:p>
        </w:tc>
        <w:tc>
          <w:tcPr>
            <w:tcW w:w="66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Qld</w:t>
            </w:r>
          </w:p>
        </w:tc>
        <w:tc>
          <w:tcPr>
            <w:tcW w:w="66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WA</w:t>
            </w:r>
          </w:p>
        </w:tc>
        <w:tc>
          <w:tcPr>
            <w:tcW w:w="66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SA</w:t>
            </w:r>
          </w:p>
        </w:tc>
        <w:tc>
          <w:tcPr>
            <w:tcW w:w="64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8F587A">
              <w:rPr>
                <w:rFonts w:ascii="Calibri" w:eastAsia="Times New Roman" w:hAnsi="Calibri" w:cs="Times New Roman"/>
                <w:sz w:val="20"/>
                <w:szCs w:val="20"/>
                <w:lang w:eastAsia="en-AU"/>
              </w:rPr>
              <w:t>Tas</w:t>
            </w:r>
            <w:proofErr w:type="spellEnd"/>
          </w:p>
        </w:tc>
        <w:tc>
          <w:tcPr>
            <w:tcW w:w="64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ACT</w:t>
            </w:r>
          </w:p>
        </w:tc>
        <w:tc>
          <w:tcPr>
            <w:tcW w:w="640"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NT</w:t>
            </w:r>
          </w:p>
        </w:tc>
        <w:tc>
          <w:tcPr>
            <w:tcW w:w="721" w:type="dxa"/>
            <w:tcBorders>
              <w:top w:val="single" w:sz="4" w:space="0" w:color="auto"/>
              <w:left w:val="nil"/>
              <w:bottom w:val="single" w:sz="4" w:space="0" w:color="auto"/>
              <w:right w:val="nil"/>
            </w:tcBorders>
            <w:shd w:val="clear" w:color="auto" w:fill="auto"/>
            <w:noWrap/>
            <w:vAlign w:val="center"/>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roofErr w:type="spellStart"/>
            <w:r w:rsidRPr="008F587A">
              <w:rPr>
                <w:rFonts w:ascii="Calibri" w:eastAsia="Times New Roman" w:hAnsi="Calibri" w:cs="Times New Roman"/>
                <w:sz w:val="20"/>
                <w:szCs w:val="20"/>
                <w:lang w:eastAsia="en-AU"/>
              </w:rPr>
              <w:t>Redist</w:t>
            </w:r>
            <w:proofErr w:type="spellEnd"/>
          </w:p>
        </w:tc>
      </w:tr>
      <w:tr w:rsidR="008F587A" w:rsidRPr="008F587A" w:rsidTr="0080523B">
        <w:trPr>
          <w:trHeight w:val="258"/>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w:t>
            </w:r>
          </w:p>
        </w:tc>
      </w:tr>
      <w:tr w:rsidR="008F587A" w:rsidRPr="008F587A" w:rsidTr="0080523B">
        <w:trPr>
          <w:trHeight w:val="315"/>
        </w:trPr>
        <w:tc>
          <w:tcPr>
            <w:tcW w:w="330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8F587A">
              <w:rPr>
                <w:rFonts w:ascii="Calibri" w:eastAsia="Times New Roman" w:hAnsi="Calibri" w:cs="Times New Roman"/>
                <w:b/>
                <w:bCs/>
                <w:sz w:val="20"/>
                <w:szCs w:val="20"/>
                <w:lang w:eastAsia="en-AU"/>
              </w:rPr>
              <w:t>Revenue raising capacity</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Mining production</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1 977</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2 810</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-658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-4 927</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486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178</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188</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-54</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5 639</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Property sales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-2 141</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-242</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442</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793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760</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240</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38</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109</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2 383</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Taxable payrolls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-536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423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478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-993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466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200</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-46</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1 575</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Taxable land values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-449</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-234</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406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266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95</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64</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25</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857</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Other revenue</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193</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124</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-85</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-231</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-46</w:t>
            </w:r>
          </w:p>
        </w:tc>
        <w:tc>
          <w:tcPr>
            <w:tcW w:w="64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w:t>
            </w:r>
          </w:p>
        </w:tc>
        <w:tc>
          <w:tcPr>
            <w:tcW w:w="64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35</w:t>
            </w:r>
          </w:p>
        </w:tc>
        <w:tc>
          <w:tcPr>
            <w:tcW w:w="64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w:t>
            </w:r>
          </w:p>
        </w:tc>
        <w:tc>
          <w:tcPr>
            <w:tcW w:w="721"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362</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i/>
                <w:iCs/>
                <w:sz w:val="20"/>
                <w:szCs w:val="20"/>
                <w:lang w:eastAsia="en-AU"/>
              </w:rPr>
            </w:pPr>
            <w:r w:rsidRPr="008F587A">
              <w:rPr>
                <w:rFonts w:ascii="Calibri" w:eastAsia="Times New Roman" w:hAnsi="Calibri" w:cs="Times New Roman"/>
                <w:i/>
                <w:iCs/>
                <w:sz w:val="20"/>
                <w:szCs w:val="20"/>
                <w:lang w:eastAsia="en-AU"/>
              </w:rPr>
              <w:t>Total revenue</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-956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2 882</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583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-5 531</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1 932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717</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332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40</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6 487</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8F587A">
              <w:rPr>
                <w:rFonts w:ascii="Calibri" w:eastAsia="Times New Roman" w:hAnsi="Calibri" w:cs="Times New Roman"/>
                <w:b/>
                <w:bCs/>
                <w:sz w:val="20"/>
                <w:szCs w:val="20"/>
                <w:lang w:eastAsia="en-AU"/>
              </w:rPr>
              <w:t>Expenditure requirements</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r>
      <w:tr w:rsidR="008F587A" w:rsidRPr="008F587A" w:rsidTr="0080523B">
        <w:trPr>
          <w:trHeight w:val="315"/>
        </w:trPr>
        <w:tc>
          <w:tcPr>
            <w:tcW w:w="330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Socio-demographic characteristics</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Remoteness and regional costs</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-1 172</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-952</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709</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373</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87</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394</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-142</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703</w:t>
            </w: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2 266</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Indigenous status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-1 583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698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198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-129</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107</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-65</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765</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1 777</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Socio-economic status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-108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81</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404</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55</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-230</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-122</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638</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 xml:space="preserve">Other </w:t>
            </w:r>
            <w:proofErr w:type="spellStart"/>
            <w:r w:rsidRPr="008F587A">
              <w:rPr>
                <w:rFonts w:ascii="Calibri" w:eastAsia="Times New Roman" w:hAnsi="Calibri" w:cs="Times New Roman"/>
                <w:sz w:val="20"/>
                <w:szCs w:val="20"/>
                <w:lang w:eastAsia="en-AU"/>
              </w:rPr>
              <w:t>SDC</w:t>
            </w:r>
            <w:proofErr w:type="spellEnd"/>
            <w:r w:rsidRPr="008F587A">
              <w:rPr>
                <w:rFonts w:ascii="Calibri" w:eastAsia="Times New Roman" w:hAnsi="Calibri" w:cs="Times New Roman"/>
                <w:sz w:val="20"/>
                <w:szCs w:val="20"/>
                <w:lang w:eastAsia="en-AU"/>
              </w:rPr>
              <w:t xml:space="preserve"> (a)</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-34</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-751</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365</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147</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141</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785</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firstLineChars="100" w:firstLine="200"/>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Total</w:t>
            </w:r>
          </w:p>
        </w:tc>
        <w:tc>
          <w:tcPr>
            <w:tcW w:w="66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-1 099</w:t>
            </w:r>
          </w:p>
        </w:tc>
        <w:tc>
          <w:tcPr>
            <w:tcW w:w="66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-3 393</w:t>
            </w:r>
          </w:p>
        </w:tc>
        <w:tc>
          <w:tcPr>
            <w:tcW w:w="66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1 853</w:t>
            </w:r>
          </w:p>
        </w:tc>
        <w:tc>
          <w:tcPr>
            <w:tcW w:w="66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478</w:t>
            </w:r>
          </w:p>
        </w:tc>
        <w:tc>
          <w:tcPr>
            <w:tcW w:w="66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509</w:t>
            </w:r>
          </w:p>
        </w:tc>
        <w:tc>
          <w:tcPr>
            <w:tcW w:w="64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599</w:t>
            </w:r>
          </w:p>
        </w:tc>
        <w:tc>
          <w:tcPr>
            <w:tcW w:w="64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-433</w:t>
            </w:r>
          </w:p>
        </w:tc>
        <w:tc>
          <w:tcPr>
            <w:tcW w:w="640"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1 487</w:t>
            </w:r>
          </w:p>
        </w:tc>
        <w:tc>
          <w:tcPr>
            <w:tcW w:w="721" w:type="dxa"/>
            <w:tcBorders>
              <w:top w:val="single" w:sz="4" w:space="0" w:color="auto"/>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4 925</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Wage costs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157</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-390</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-228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712</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-242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-188</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100</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79</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1 048</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Urban centre size</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258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700</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-495</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22</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-112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-216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-50</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-107</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980</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Administrative scale</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-448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-301</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-171</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126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236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243</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268</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920</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Population growth</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674</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-79</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-297</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-29</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35</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710</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Small communities</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-272</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-249</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160</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22</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206</w:t>
            </w: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538</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Economic activity</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-133</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75</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64</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17</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-49</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26</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360</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Road length</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-144</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-168</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76</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140</w:t>
            </w:r>
          </w:p>
        </w:tc>
        <w:tc>
          <w:tcPr>
            <w:tcW w:w="66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41</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-16</w:t>
            </w:r>
          </w:p>
        </w:tc>
        <w:tc>
          <w:tcPr>
            <w:tcW w:w="64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80</w:t>
            </w:r>
          </w:p>
        </w:tc>
        <w:tc>
          <w:tcPr>
            <w:tcW w:w="721"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336</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Other expenses</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-316</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-640</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87</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468</w:t>
            </w:r>
          </w:p>
        </w:tc>
        <w:tc>
          <w:tcPr>
            <w:tcW w:w="66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-88</w:t>
            </w:r>
          </w:p>
        </w:tc>
        <w:tc>
          <w:tcPr>
            <w:tcW w:w="64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25</w:t>
            </w:r>
          </w:p>
        </w:tc>
        <w:tc>
          <w:tcPr>
            <w:tcW w:w="64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35</w:t>
            </w:r>
          </w:p>
        </w:tc>
        <w:tc>
          <w:tcPr>
            <w:tcW w:w="64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428</w:t>
            </w:r>
          </w:p>
        </w:tc>
        <w:tc>
          <w:tcPr>
            <w:tcW w:w="721"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1 043</w:t>
            </w:r>
          </w:p>
        </w:tc>
      </w:tr>
      <w:tr w:rsidR="008F587A" w:rsidRPr="008F587A" w:rsidTr="0080523B">
        <w:trPr>
          <w:trHeight w:val="315"/>
        </w:trPr>
        <w:tc>
          <w:tcPr>
            <w:tcW w:w="330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i/>
                <w:iCs/>
                <w:sz w:val="20"/>
                <w:szCs w:val="20"/>
                <w:lang w:eastAsia="en-AU"/>
              </w:rPr>
            </w:pPr>
            <w:r w:rsidRPr="008F587A">
              <w:rPr>
                <w:rFonts w:ascii="Calibri" w:eastAsia="Times New Roman" w:hAnsi="Calibri" w:cs="Times New Roman"/>
                <w:i/>
                <w:iCs/>
                <w:sz w:val="20"/>
                <w:szCs w:val="20"/>
                <w:lang w:eastAsia="en-AU"/>
              </w:rPr>
              <w:t>Total expense and investment (b)</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-2 088</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-3 900</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1 206</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1 908</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187</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400</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-216</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2 503</w:t>
            </w: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6 204</w:t>
            </w:r>
          </w:p>
        </w:tc>
      </w:tr>
      <w:tr w:rsidR="008F587A" w:rsidRPr="008F587A" w:rsidTr="0080523B">
        <w:trPr>
          <w:trHeight w:val="315"/>
        </w:trPr>
        <w:tc>
          <w:tcPr>
            <w:tcW w:w="3300" w:type="dxa"/>
            <w:tcBorders>
              <w:top w:val="nil"/>
              <w:left w:val="nil"/>
              <w:bottom w:val="nil"/>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b/>
                <w:bCs/>
                <w:i/>
                <w:iCs/>
                <w:sz w:val="20"/>
                <w:szCs w:val="20"/>
                <w:lang w:eastAsia="en-AU"/>
              </w:rPr>
            </w:pPr>
            <w:r w:rsidRPr="008F587A">
              <w:rPr>
                <w:rFonts w:ascii="Calibri" w:eastAsia="Times New Roman" w:hAnsi="Calibri" w:cs="Times New Roman"/>
                <w:b/>
                <w:bCs/>
                <w:i/>
                <w:iCs/>
                <w:sz w:val="20"/>
                <w:szCs w:val="20"/>
                <w:lang w:eastAsia="en-AU"/>
              </w:rPr>
              <w:t>Commonwealth payments</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22</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817</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-505</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w:t>
            </w:r>
          </w:p>
        </w:tc>
        <w:tc>
          <w:tcPr>
            <w:tcW w:w="66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69</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-58</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85</w:t>
            </w:r>
          </w:p>
        </w:tc>
        <w:tc>
          <w:tcPr>
            <w:tcW w:w="640"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-434</w:t>
            </w:r>
          </w:p>
        </w:tc>
        <w:tc>
          <w:tcPr>
            <w:tcW w:w="721" w:type="dxa"/>
            <w:tcBorders>
              <w:top w:val="nil"/>
              <w:left w:val="nil"/>
              <w:bottom w:val="nil"/>
              <w:right w:val="nil"/>
            </w:tcBorders>
            <w:shd w:val="clear" w:color="auto" w:fill="auto"/>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 xml:space="preserve"> 997</w:t>
            </w:r>
          </w:p>
        </w:tc>
      </w:tr>
      <w:tr w:rsidR="008F587A" w:rsidRPr="008F587A" w:rsidTr="0080523B">
        <w:trPr>
          <w:trHeight w:val="315"/>
        </w:trPr>
        <w:tc>
          <w:tcPr>
            <w:tcW w:w="3300" w:type="dxa"/>
            <w:tcBorders>
              <w:top w:val="nil"/>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ind w:left="193" w:hanging="142"/>
              <w:rPr>
                <w:rFonts w:ascii="Calibri" w:eastAsia="Times New Roman" w:hAnsi="Calibri" w:cs="Times New Roman"/>
                <w:b/>
                <w:bCs/>
                <w:sz w:val="20"/>
                <w:szCs w:val="20"/>
                <w:lang w:eastAsia="en-AU"/>
              </w:rPr>
            </w:pPr>
            <w:r w:rsidRPr="008F587A">
              <w:rPr>
                <w:rFonts w:ascii="Calibri" w:eastAsia="Times New Roman" w:hAnsi="Calibri" w:cs="Times New Roman"/>
                <w:b/>
                <w:bCs/>
                <w:sz w:val="20"/>
                <w:szCs w:val="20"/>
                <w:lang w:eastAsia="en-AU"/>
              </w:rPr>
              <w:t>TOTAL</w:t>
            </w:r>
          </w:p>
        </w:tc>
        <w:tc>
          <w:tcPr>
            <w:tcW w:w="66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-3 021</w:t>
            </w:r>
          </w:p>
        </w:tc>
        <w:tc>
          <w:tcPr>
            <w:tcW w:w="66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-201</w:t>
            </w:r>
          </w:p>
        </w:tc>
        <w:tc>
          <w:tcPr>
            <w:tcW w:w="66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1 284</w:t>
            </w:r>
          </w:p>
        </w:tc>
        <w:tc>
          <w:tcPr>
            <w:tcW w:w="66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-3 618</w:t>
            </w:r>
          </w:p>
        </w:tc>
        <w:tc>
          <w:tcPr>
            <w:tcW w:w="66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2 188</w:t>
            </w:r>
          </w:p>
        </w:tc>
        <w:tc>
          <w:tcPr>
            <w:tcW w:w="64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1 059</w:t>
            </w:r>
          </w:p>
        </w:tc>
        <w:tc>
          <w:tcPr>
            <w:tcW w:w="64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200</w:t>
            </w:r>
          </w:p>
        </w:tc>
        <w:tc>
          <w:tcPr>
            <w:tcW w:w="640"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2 109</w:t>
            </w:r>
          </w:p>
        </w:tc>
        <w:tc>
          <w:tcPr>
            <w:tcW w:w="721" w:type="dxa"/>
            <w:tcBorders>
              <w:top w:val="single" w:sz="4" w:space="0" w:color="auto"/>
              <w:left w:val="nil"/>
              <w:bottom w:val="single" w:sz="4" w:space="0" w:color="auto"/>
              <w:right w:val="nil"/>
            </w:tcBorders>
            <w:shd w:val="clear" w:color="auto" w:fill="auto"/>
            <w:noWrap/>
            <w:vAlign w:val="bottom"/>
            <w:hideMark/>
          </w:tcPr>
          <w:p w:rsidR="008F587A" w:rsidRPr="008F587A" w:rsidRDefault="008F587A" w:rsidP="0080523B">
            <w:pPr>
              <w:keepNext/>
              <w:keepLines/>
              <w:tabs>
                <w:tab w:val="clear" w:pos="567"/>
              </w:tabs>
              <w:spacing w:after="0" w:line="240" w:lineRule="auto"/>
              <w:jc w:val="right"/>
              <w:rPr>
                <w:rFonts w:ascii="Calibri" w:eastAsia="Times New Roman" w:hAnsi="Calibri" w:cs="Times New Roman"/>
                <w:sz w:val="20"/>
                <w:szCs w:val="20"/>
                <w:lang w:eastAsia="en-AU"/>
              </w:rPr>
            </w:pPr>
            <w:r w:rsidRPr="008F587A">
              <w:rPr>
                <w:rFonts w:ascii="Calibri" w:eastAsia="Times New Roman" w:hAnsi="Calibri" w:cs="Times New Roman"/>
                <w:sz w:val="20"/>
                <w:szCs w:val="20"/>
                <w:lang w:eastAsia="en-AU"/>
              </w:rPr>
              <w:t>6 840</w:t>
            </w:r>
          </w:p>
        </w:tc>
      </w:tr>
    </w:tbl>
    <w:p w:rsidR="00425AAD" w:rsidRPr="00425AAD" w:rsidRDefault="00EA7777" w:rsidP="00425AAD">
      <w:pPr>
        <w:pStyle w:val="CGCTableFootnote"/>
      </w:pPr>
      <w:r>
        <w:t>Note:</w:t>
      </w:r>
      <w:r>
        <w:tab/>
        <w:t xml:space="preserve">For </w:t>
      </w:r>
      <w:r w:rsidRPr="002A48E0">
        <w:t xml:space="preserve">explanations of what each effect includes see the supporting information to this report located on the </w:t>
      </w:r>
      <w:hyperlink r:id="rId51" w:history="1">
        <w:r w:rsidRPr="002A48E0">
          <w:rPr>
            <w:rStyle w:val="Hyperlink"/>
          </w:rPr>
          <w:t>Commission’s website</w:t>
        </w:r>
      </w:hyperlink>
      <w:r w:rsidR="00441C6C">
        <w:rPr>
          <w:rStyle w:val="CGCTableStubChar"/>
          <w:szCs w:val="24"/>
        </w:rPr>
        <w:t xml:space="preserve"> (</w:t>
      </w:r>
      <w:r w:rsidR="00441C6C" w:rsidRPr="00103485">
        <w:t>https://cgc.gov.au/</w:t>
      </w:r>
      <w:r w:rsidR="00441C6C">
        <w:t>)</w:t>
      </w:r>
      <w:r w:rsidRPr="002A48E0">
        <w:rPr>
          <w:rStyle w:val="CGCTableStubChar"/>
          <w:szCs w:val="24"/>
        </w:rPr>
        <w:t>.</w:t>
      </w:r>
    </w:p>
    <w:p w:rsidR="00425AAD" w:rsidRDefault="00642D22" w:rsidP="00EA7777">
      <w:pPr>
        <w:pStyle w:val="CGCTableFootnote"/>
      </w:pPr>
      <w:r>
        <w:t>(a)</w:t>
      </w:r>
      <w:r w:rsidR="00425AAD">
        <w:tab/>
        <w:t xml:space="preserve">Other </w:t>
      </w:r>
      <w:proofErr w:type="spellStart"/>
      <w:r w:rsidR="00425AAD">
        <w:t>SDC</w:t>
      </w:r>
      <w:proofErr w:type="spellEnd"/>
      <w:r w:rsidR="00425AAD">
        <w:t xml:space="preserve"> refers to other socio-demographic composition.</w:t>
      </w:r>
    </w:p>
    <w:p w:rsidR="00EA7777" w:rsidRDefault="00642D22" w:rsidP="00EA7777">
      <w:pPr>
        <w:pStyle w:val="CGCTableFootnote"/>
      </w:pPr>
      <w:r>
        <w:t>(b</w:t>
      </w:r>
      <w:r w:rsidR="00EA7777">
        <w:t>)</w:t>
      </w:r>
      <w:r w:rsidR="00EA7777">
        <w:tab/>
        <w:t>This includes the impact of net borrowing.</w:t>
      </w:r>
    </w:p>
    <w:p w:rsidR="00EA7777" w:rsidRPr="00EA7777" w:rsidRDefault="00EA7777" w:rsidP="00EA7777">
      <w:pPr>
        <w:pStyle w:val="CGCTableFootnote"/>
      </w:pPr>
      <w:r>
        <w:t>Source:</w:t>
      </w:r>
      <w:r>
        <w:tab/>
        <w:t>Commission calculation.</w:t>
      </w:r>
    </w:p>
    <w:p w:rsidR="00E0791C" w:rsidRDefault="00E0791C" w:rsidP="00E0791C">
      <w:pPr>
        <w:pStyle w:val="Heading3"/>
      </w:pPr>
      <w:bookmarkStart w:id="465" w:name="_Toc442191925"/>
      <w:bookmarkStart w:id="466" w:name="_Toc442192179"/>
      <w:bookmarkStart w:id="467" w:name="_Toc442192244"/>
      <w:bookmarkStart w:id="468" w:name="_Toc442772828"/>
      <w:bookmarkStart w:id="469" w:name="_Toc442773057"/>
      <w:bookmarkStart w:id="470" w:name="_Toc442773227"/>
      <w:bookmarkStart w:id="471" w:name="_Toc442773568"/>
      <w:bookmarkStart w:id="472" w:name="_Toc442883294"/>
      <w:bookmarkStart w:id="473" w:name="_Toc474923768"/>
      <w:bookmarkStart w:id="474" w:name="_Toc505872186"/>
      <w:r w:rsidRPr="002A48E0">
        <w:t>Size of the equalisation task</w:t>
      </w:r>
      <w:bookmarkEnd w:id="465"/>
      <w:bookmarkEnd w:id="466"/>
      <w:bookmarkEnd w:id="467"/>
      <w:bookmarkEnd w:id="468"/>
      <w:bookmarkEnd w:id="469"/>
      <w:bookmarkEnd w:id="470"/>
      <w:bookmarkEnd w:id="471"/>
      <w:bookmarkEnd w:id="472"/>
      <w:bookmarkEnd w:id="473"/>
      <w:bookmarkEnd w:id="474"/>
    </w:p>
    <w:p w:rsidR="00E43482" w:rsidRPr="002A48E0" w:rsidRDefault="00E43482" w:rsidP="007F7654">
      <w:pPr>
        <w:pStyle w:val="11para"/>
      </w:pPr>
      <w:r w:rsidRPr="002A48E0">
        <w:t xml:space="preserve">States have different fiscal capacities at the beginning of the equalisation process. The distribution of GST revenue both increases and equalises those capacities. The size of the equalisation task is determined by the variation in their initial fiscal capacities. As they diverge, more GST is required to achieve equalisation. </w:t>
      </w:r>
    </w:p>
    <w:p w:rsidR="00E43482" w:rsidRPr="002A48E0" w:rsidRDefault="00E43482" w:rsidP="007F7654">
      <w:pPr>
        <w:pStyle w:val="11para"/>
      </w:pPr>
      <w:r w:rsidRPr="002A48E0">
        <w:t>The process of distributing GST revenue can be thought of in either of two ways.</w:t>
      </w:r>
    </w:p>
    <w:p w:rsidR="00E43482" w:rsidRPr="006455BD" w:rsidRDefault="00E43482" w:rsidP="006455BD">
      <w:pPr>
        <w:pStyle w:val="CGCBulletlist"/>
      </w:pPr>
      <w:r w:rsidRPr="006455BD">
        <w:t xml:space="preserve">GST revenue is first distributed on a population basis, raising the fiscal capacity of all States equally. Then there is a redistribution to achieve equalisation – </w:t>
      </w:r>
      <w:r w:rsidRPr="006455BD">
        <w:lastRenderedPageBreak/>
        <w:t xml:space="preserve">from States with above average capacity to those with below average capacity. The size of this redistribution is one measure of the equalisation task. </w:t>
      </w:r>
    </w:p>
    <w:p w:rsidR="00E43482" w:rsidRPr="006455BD" w:rsidRDefault="00E43482" w:rsidP="006455BD">
      <w:pPr>
        <w:pStyle w:val="CGCBulletlist"/>
      </w:pPr>
      <w:r w:rsidRPr="006455BD">
        <w:t xml:space="preserve">GST revenue is first distributed to bring the initial fiscal capacities of all States to that of the strongest. The remaining GST is then distributed equally among all States. The GST required to achieve the first step is an alternative measure of the equalisation task. </w:t>
      </w:r>
    </w:p>
    <w:p w:rsidR="00E43482" w:rsidRDefault="00E43482" w:rsidP="007F7654">
      <w:pPr>
        <w:pStyle w:val="11para"/>
      </w:pPr>
      <w:r w:rsidRPr="002A48E0">
        <w:t>These two measures, which can be expressed in dollars or as a proportion of GST revenue, highlight different aspects of the equalisation task. The first identifies the aggregate transfer from an EPC distribution for States with above average fiscal capacities to States with below average fiscal capacities. The second identifies the difference between the strongest State and the average of the others. Taken together they illustrate how the equalisation task is evolving.</w:t>
      </w:r>
    </w:p>
    <w:p w:rsidR="002552AB" w:rsidRDefault="002552AB" w:rsidP="007F7654">
      <w:pPr>
        <w:pStyle w:val="11para"/>
      </w:pPr>
      <w:r>
        <w:t>Note, however, that these are conceptual illustrations of equalisation only and do not reflect what the Commission does in practice. For example, to take the second approach described above, the Commission</w:t>
      </w:r>
      <w:r w:rsidR="00A7371B">
        <w:t xml:space="preserve">’s objective is </w:t>
      </w:r>
      <w:r>
        <w:t xml:space="preserve">not in fact </w:t>
      </w:r>
      <w:r w:rsidR="00A7371B">
        <w:t xml:space="preserve">to </w:t>
      </w:r>
      <w:r>
        <w:t>‘level up’ seven States to the fiscal capacity of the fiscally strongest State; rather, it seeks to ensure that every State, including the fiscally strongest, has the same capacity to provide the average standard of State services.</w:t>
      </w:r>
    </w:p>
    <w:p w:rsidR="003E2FBD" w:rsidRPr="00747885" w:rsidRDefault="00E43482" w:rsidP="007F7654">
      <w:pPr>
        <w:pStyle w:val="11para"/>
      </w:pPr>
      <w:r w:rsidRPr="002A48E0">
        <w:t>In relation to the first measure,</w:t>
      </w:r>
      <w:r w:rsidR="003E2FBD">
        <w:t xml:space="preserve"> </w:t>
      </w:r>
      <w:r w:rsidR="003E2FBD">
        <w:fldChar w:fldCharType="begin"/>
      </w:r>
      <w:r w:rsidR="003E2FBD">
        <w:instrText xml:space="preserve"> REF _Ref504227889 \h </w:instrText>
      </w:r>
      <w:r w:rsidR="003E2FBD">
        <w:fldChar w:fldCharType="separate"/>
      </w:r>
      <w:r w:rsidR="000A6746">
        <w:t>Figure 1</w:t>
      </w:r>
      <w:r w:rsidR="000A6746">
        <w:noBreakHyphen/>
      </w:r>
      <w:r w:rsidR="000A6746">
        <w:rPr>
          <w:noProof/>
        </w:rPr>
        <w:t>7</w:t>
      </w:r>
      <w:r w:rsidR="003E2FBD">
        <w:fldChar w:fldCharType="end"/>
      </w:r>
      <w:r w:rsidR="003E2FBD">
        <w:t xml:space="preserve"> </w:t>
      </w:r>
      <w:r w:rsidR="003E2FBD" w:rsidRPr="002A48E0">
        <w:t xml:space="preserve">shows that </w:t>
      </w:r>
      <w:r w:rsidR="0024436A" w:rsidRPr="002A48E0">
        <w:t>the proportion of GST redistributed to the States with below average fiscal capacities increased</w:t>
      </w:r>
      <w:r w:rsidR="0024436A">
        <w:t xml:space="preserve"> </w:t>
      </w:r>
      <w:r w:rsidR="00DA124B">
        <w:t>between 2010</w:t>
      </w:r>
      <w:r w:rsidR="00DA124B">
        <w:noBreakHyphen/>
        <w:t>11 and 201</w:t>
      </w:r>
      <w:r w:rsidR="00A7371B">
        <w:t>6</w:t>
      </w:r>
      <w:r w:rsidR="00A7371B">
        <w:noBreakHyphen/>
        <w:t>1</w:t>
      </w:r>
      <w:r w:rsidR="00DA124B">
        <w:t>7</w:t>
      </w:r>
      <w:r w:rsidR="003E2FBD" w:rsidRPr="002A48E0">
        <w:t>,</w:t>
      </w:r>
      <w:r w:rsidR="003E2FBD" w:rsidRPr="00DA124B">
        <w:t xml:space="preserve"> mainly due to the deterioration in Queensland’s assessed fiscal capacity</w:t>
      </w:r>
      <w:r w:rsidR="0024436A">
        <w:t>.</w:t>
      </w:r>
      <w:r w:rsidR="003E2FBD" w:rsidRPr="00DA124B">
        <w:t xml:space="preserve"> </w:t>
      </w:r>
      <w:r w:rsidR="00866302">
        <w:t>S</w:t>
      </w:r>
      <w:r w:rsidR="00866302" w:rsidRPr="00DA124B">
        <w:t xml:space="preserve">ince </w:t>
      </w:r>
      <w:r w:rsidR="00866302">
        <w:t xml:space="preserve">that time, the proportion has decreased. </w:t>
      </w:r>
      <w:r w:rsidR="003E2FBD" w:rsidRPr="00747885">
        <w:t>In this update, 1</w:t>
      </w:r>
      <w:r w:rsidR="00747885" w:rsidRPr="00747885">
        <w:t>0</w:t>
      </w:r>
      <w:r w:rsidR="003E2FBD" w:rsidRPr="00747885">
        <w:t>.</w:t>
      </w:r>
      <w:r w:rsidR="00C62EE4">
        <w:t>4</w:t>
      </w:r>
      <w:r w:rsidR="003E2FBD" w:rsidRPr="00747885">
        <w:t xml:space="preserve">% of the GST pool is redistributed to the four less populous States and Queensland to achieve fiscal equalisation, </w:t>
      </w:r>
      <w:r w:rsidR="009D71E8">
        <w:t xml:space="preserve">down from 12.5% </w:t>
      </w:r>
      <w:r w:rsidR="003E2FBD" w:rsidRPr="00747885">
        <w:t xml:space="preserve">in last year’s update. </w:t>
      </w:r>
    </w:p>
    <w:p w:rsidR="003E2FBD" w:rsidRPr="002A48E0" w:rsidRDefault="003E2FBD" w:rsidP="007F7654">
      <w:pPr>
        <w:pStyle w:val="11para"/>
      </w:pPr>
      <w:r w:rsidRPr="002A48E0">
        <w:t xml:space="preserve">In </w:t>
      </w:r>
      <w:r w:rsidRPr="00747885">
        <w:t>this update, the redistribution in 201</w:t>
      </w:r>
      <w:r w:rsidR="00747885" w:rsidRPr="00747885">
        <w:t>8</w:t>
      </w:r>
      <w:r w:rsidR="00260A18" w:rsidRPr="00747885">
        <w:noBreakHyphen/>
      </w:r>
      <w:r w:rsidRPr="00747885">
        <w:t>1</w:t>
      </w:r>
      <w:r w:rsidR="00747885" w:rsidRPr="00747885">
        <w:t>9</w:t>
      </w:r>
      <w:r w:rsidRPr="00747885">
        <w:t xml:space="preserve"> to the four less </w:t>
      </w:r>
      <w:r w:rsidRPr="00C62524">
        <w:t xml:space="preserve">populous States accounts for </w:t>
      </w:r>
      <w:r w:rsidR="00C62524" w:rsidRPr="00C62524">
        <w:t>81</w:t>
      </w:r>
      <w:r w:rsidRPr="00C62524">
        <w:t xml:space="preserve">% of the </w:t>
      </w:r>
      <w:r w:rsidR="00D93EC7">
        <w:t xml:space="preserve">$6.8 billion GST </w:t>
      </w:r>
      <w:r w:rsidRPr="00C62524">
        <w:t xml:space="preserve">redistribution shown in </w:t>
      </w:r>
      <w:r w:rsidRPr="00C62524">
        <w:fldChar w:fldCharType="begin"/>
      </w:r>
      <w:r w:rsidRPr="00C62524">
        <w:instrText xml:space="preserve"> REF _Ref504227889 \h </w:instrText>
      </w:r>
      <w:r w:rsidR="00C62524">
        <w:instrText xml:space="preserve"> \* MERGEFORMAT </w:instrText>
      </w:r>
      <w:r w:rsidRPr="00C62524">
        <w:fldChar w:fldCharType="separate"/>
      </w:r>
      <w:r w:rsidR="000A6746">
        <w:t>Figure 1</w:t>
      </w:r>
      <w:r w:rsidR="000A6746">
        <w:noBreakHyphen/>
        <w:t>7</w:t>
      </w:r>
      <w:r w:rsidRPr="00C62524">
        <w:fldChar w:fldCharType="end"/>
      </w:r>
      <w:r w:rsidRPr="00C62524">
        <w:t>. These States have about</w:t>
      </w:r>
      <w:r w:rsidRPr="00747885">
        <w:t xml:space="preserve"> </w:t>
      </w:r>
      <w:r w:rsidRPr="00C62524">
        <w:t>11.</w:t>
      </w:r>
      <w:r w:rsidR="00C62524" w:rsidRPr="00C62524">
        <w:t>7</w:t>
      </w:r>
      <w:r w:rsidRPr="00C62524">
        <w:t>% of Australia’s population and receive 20.</w:t>
      </w:r>
      <w:r w:rsidR="00C62524" w:rsidRPr="00C62524">
        <w:t>1</w:t>
      </w:r>
      <w:r w:rsidRPr="00C62524">
        <w:t>% of the GST</w:t>
      </w:r>
      <w:r w:rsidR="00ED36B8">
        <w:t>,</w:t>
      </w:r>
      <w:r w:rsidRPr="00C62524">
        <w:t xml:space="preserve"> which is similar to the long</w:t>
      </w:r>
      <w:r w:rsidRPr="00C62524">
        <w:noBreakHyphen/>
        <w:t>term average proportion of</w:t>
      </w:r>
      <w:r w:rsidR="00C62524" w:rsidRPr="00C62524">
        <w:t xml:space="preserve"> 20.4</w:t>
      </w:r>
      <w:r w:rsidRPr="00C62524">
        <w:t>%.</w:t>
      </w:r>
      <w:r w:rsidRPr="002A48E0">
        <w:t xml:space="preserve"> </w:t>
      </w:r>
      <w:r>
        <w:t>R</w:t>
      </w:r>
      <w:r w:rsidRPr="002A48E0">
        <w:t>edistribution to these States is mostly the result of weaker revenue bas</w:t>
      </w:r>
      <w:r w:rsidR="009D71E8">
        <w:t xml:space="preserve">es and higher </w:t>
      </w:r>
      <w:r w:rsidR="007637A8">
        <w:t>service delivery cost</w:t>
      </w:r>
      <w:r w:rsidR="009D71E8">
        <w:t>s.</w:t>
      </w:r>
    </w:p>
    <w:p w:rsidR="007F7654" w:rsidRDefault="000D138E" w:rsidP="007F7654">
      <w:pPr>
        <w:pStyle w:val="11para"/>
      </w:pPr>
      <w:r>
        <w:fldChar w:fldCharType="begin"/>
      </w:r>
      <w:r>
        <w:instrText xml:space="preserve"> REF _Ref505859346 \h </w:instrText>
      </w:r>
      <w:r>
        <w:fldChar w:fldCharType="separate"/>
      </w:r>
      <w:r w:rsidR="000A6746">
        <w:t>Figure 1</w:t>
      </w:r>
      <w:r w:rsidR="000A6746">
        <w:noBreakHyphen/>
      </w:r>
      <w:r w:rsidR="000A6746">
        <w:rPr>
          <w:noProof/>
        </w:rPr>
        <w:t>8</w:t>
      </w:r>
      <w:r>
        <w:fldChar w:fldCharType="end"/>
      </w:r>
      <w:r>
        <w:t xml:space="preserve"> </w:t>
      </w:r>
      <w:r w:rsidR="003E2FBD" w:rsidRPr="002A48E0">
        <w:t xml:space="preserve">shows the contribution of States with above average fiscal capacities to </w:t>
      </w:r>
      <w:r w:rsidR="003E2FBD">
        <w:t xml:space="preserve">the GST </w:t>
      </w:r>
      <w:r w:rsidR="003E2FBD" w:rsidRPr="002A48E0">
        <w:t xml:space="preserve">redistribution. </w:t>
      </w:r>
      <w:r w:rsidR="003E2FBD" w:rsidRPr="00C62524">
        <w:t xml:space="preserve">Western Australia’s assessed fiscal capacity fell in this update for a </w:t>
      </w:r>
      <w:r w:rsidR="00C62524" w:rsidRPr="00C62524">
        <w:t>third</w:t>
      </w:r>
      <w:r w:rsidR="003E2FBD" w:rsidRPr="00C62524">
        <w:t xml:space="preserve"> year in a row, after nine years of continuous increase.</w:t>
      </w:r>
      <w:r w:rsidR="00316693">
        <w:t xml:space="preserve"> In contrast, this is the fourth consecutive year in which Victoria’s fiscal capacity has fallen</w:t>
      </w:r>
      <w:r w:rsidR="003E2FBD" w:rsidRPr="00C62524">
        <w:t>.</w:t>
      </w:r>
      <w:r w:rsidR="00316693">
        <w:t xml:space="preserve"> </w:t>
      </w:r>
      <w:r w:rsidR="003F54BC">
        <w:t>Correspond</w:t>
      </w:r>
      <w:r w:rsidR="00736E02">
        <w:t xml:space="preserve">ingly, the redistribution from </w:t>
      </w:r>
      <w:r w:rsidR="003F54BC">
        <w:t>Victoria to the fiscally weaker States has fallen from 2.9% of the GST pool in 2014</w:t>
      </w:r>
      <w:r w:rsidR="003F54BC">
        <w:noBreakHyphen/>
        <w:t xml:space="preserve">15 to </w:t>
      </w:r>
      <w:r w:rsidR="00316693">
        <w:t>0.</w:t>
      </w:r>
      <w:r w:rsidR="0080523B">
        <w:t>3</w:t>
      </w:r>
      <w:r w:rsidR="00316693">
        <w:t xml:space="preserve">% of the </w:t>
      </w:r>
      <w:r w:rsidR="003F54BC">
        <w:t>pool in this update.</w:t>
      </w:r>
    </w:p>
    <w:p w:rsidR="003E2FBD" w:rsidRDefault="003E2FBD" w:rsidP="003B1AE3">
      <w:pPr>
        <w:pStyle w:val="CGCTableHeading"/>
      </w:pPr>
      <w:bookmarkStart w:id="475" w:name="_Ref504227889"/>
      <w:r>
        <w:lastRenderedPageBreak/>
        <w:t>Figure 1</w:t>
      </w:r>
      <w:r>
        <w:noBreakHyphen/>
      </w:r>
      <w:r w:rsidR="00CD68E8">
        <w:fldChar w:fldCharType="begin"/>
      </w:r>
      <w:r w:rsidR="00CD68E8">
        <w:instrText xml:space="preserve"> SEQ Figure \* ARABIC \s 1 </w:instrText>
      </w:r>
      <w:r w:rsidR="00CD68E8">
        <w:fldChar w:fldCharType="separate"/>
      </w:r>
      <w:r w:rsidR="000A6746">
        <w:rPr>
          <w:noProof/>
        </w:rPr>
        <w:t>7</w:t>
      </w:r>
      <w:r w:rsidR="00CD68E8">
        <w:rPr>
          <w:noProof/>
        </w:rPr>
        <w:fldChar w:fldCharType="end"/>
      </w:r>
      <w:bookmarkEnd w:id="475"/>
      <w:r>
        <w:tab/>
        <w:t>Proportion of the GST redistributed to States with below average fiscal capacities, 200</w:t>
      </w:r>
      <w:r w:rsidR="007B3B41">
        <w:t>0</w:t>
      </w:r>
      <w:r>
        <w:noBreakHyphen/>
        <w:t>0</w:t>
      </w:r>
      <w:r w:rsidR="007B3B41">
        <w:t>1</w:t>
      </w:r>
      <w:r>
        <w:t xml:space="preserve"> to 2018</w:t>
      </w:r>
      <w:r>
        <w:noBreakHyphen/>
        <w:t>19</w:t>
      </w:r>
    </w:p>
    <w:p w:rsidR="0080523B" w:rsidRDefault="0080523B" w:rsidP="0080523B">
      <w:r w:rsidRPr="0080523B">
        <w:rPr>
          <w:noProof/>
          <w:lang w:eastAsia="en-AU"/>
        </w:rPr>
        <w:drawing>
          <wp:inline distT="0" distB="0" distL="0" distR="0" wp14:anchorId="36631FC8" wp14:editId="13C708C3">
            <wp:extent cx="5654040" cy="35585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54040" cy="3558540"/>
                    </a:xfrm>
                    <a:prstGeom prst="rect">
                      <a:avLst/>
                    </a:prstGeom>
                    <a:noFill/>
                    <a:ln>
                      <a:noFill/>
                    </a:ln>
                  </pic:spPr>
                </pic:pic>
              </a:graphicData>
            </a:graphic>
          </wp:inline>
        </w:drawing>
      </w:r>
    </w:p>
    <w:p w:rsidR="003E2FBD" w:rsidRDefault="003E2FBD" w:rsidP="003B1AE3">
      <w:pPr>
        <w:pStyle w:val="CGCTableFootnote"/>
      </w:pPr>
      <w:r>
        <w:t>Source:</w:t>
      </w:r>
      <w:r>
        <w:tab/>
        <w:t>Commission calculation.</w:t>
      </w:r>
    </w:p>
    <w:p w:rsidR="00025824" w:rsidRDefault="00025824" w:rsidP="00025824">
      <w:pPr>
        <w:pStyle w:val="CGCTableHeading"/>
      </w:pPr>
      <w:bookmarkStart w:id="476" w:name="_Ref505859346"/>
      <w:r>
        <w:t>Figure 1</w:t>
      </w:r>
      <w:r>
        <w:noBreakHyphen/>
      </w:r>
      <w:r w:rsidR="00CD68E8">
        <w:fldChar w:fldCharType="begin"/>
      </w:r>
      <w:r w:rsidR="00CD68E8">
        <w:instrText xml:space="preserve"> SEQ Figure \* ARABIC \</w:instrText>
      </w:r>
      <w:r w:rsidR="00CD68E8">
        <w:instrText xml:space="preserve">s 1 </w:instrText>
      </w:r>
      <w:r w:rsidR="00CD68E8">
        <w:fldChar w:fldCharType="separate"/>
      </w:r>
      <w:r w:rsidR="000A6746">
        <w:rPr>
          <w:noProof/>
        </w:rPr>
        <w:t>8</w:t>
      </w:r>
      <w:r w:rsidR="00CD68E8">
        <w:rPr>
          <w:noProof/>
        </w:rPr>
        <w:fldChar w:fldCharType="end"/>
      </w:r>
      <w:bookmarkEnd w:id="476"/>
      <w:r>
        <w:tab/>
        <w:t>Propo</w:t>
      </w:r>
      <w:r w:rsidR="00736E02">
        <w:t>rtion of the GST redistributed fr</w:t>
      </w:r>
      <w:r>
        <w:t>o</w:t>
      </w:r>
      <w:r w:rsidR="00736E02">
        <w:t>m</w:t>
      </w:r>
      <w:r>
        <w:t xml:space="preserve"> States with above average fiscal capacities, 200</w:t>
      </w:r>
      <w:r w:rsidR="007B3B41">
        <w:t>0</w:t>
      </w:r>
      <w:r>
        <w:noBreakHyphen/>
        <w:t>0</w:t>
      </w:r>
      <w:r w:rsidR="007B3B41">
        <w:t>1</w:t>
      </w:r>
      <w:r>
        <w:t xml:space="preserve"> to 2018</w:t>
      </w:r>
      <w:r>
        <w:noBreakHyphen/>
        <w:t>19</w:t>
      </w:r>
    </w:p>
    <w:p w:rsidR="0080523B" w:rsidRDefault="0080523B" w:rsidP="0080523B">
      <w:r w:rsidRPr="0080523B">
        <w:rPr>
          <w:noProof/>
          <w:lang w:eastAsia="en-AU"/>
        </w:rPr>
        <w:drawing>
          <wp:inline distT="0" distB="0" distL="0" distR="0" wp14:anchorId="55A7D0CB" wp14:editId="2201DF2E">
            <wp:extent cx="5654040" cy="35585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54040" cy="3558540"/>
                    </a:xfrm>
                    <a:prstGeom prst="rect">
                      <a:avLst/>
                    </a:prstGeom>
                    <a:noFill/>
                    <a:ln>
                      <a:noFill/>
                    </a:ln>
                  </pic:spPr>
                </pic:pic>
              </a:graphicData>
            </a:graphic>
          </wp:inline>
        </w:drawing>
      </w:r>
    </w:p>
    <w:p w:rsidR="003E2FBD" w:rsidRDefault="003E2FBD" w:rsidP="003B1AE3">
      <w:pPr>
        <w:pStyle w:val="CGCTableFootnote"/>
      </w:pPr>
      <w:r>
        <w:t xml:space="preserve">Source: </w:t>
      </w:r>
      <w:r>
        <w:tab/>
        <w:t>Commission calculation.</w:t>
      </w:r>
    </w:p>
    <w:p w:rsidR="003E2FBD" w:rsidRPr="002A48E0" w:rsidRDefault="003E2FBD" w:rsidP="007F7654">
      <w:pPr>
        <w:pStyle w:val="11para"/>
      </w:pPr>
      <w:r w:rsidRPr="002A48E0">
        <w:lastRenderedPageBreak/>
        <w:t xml:space="preserve">Considering the second measure </w:t>
      </w:r>
      <w:r w:rsidR="002E696E">
        <w:t xml:space="preserve">of the equalisation task </w:t>
      </w:r>
      <w:r w:rsidRPr="002A48E0">
        <w:t>reveals a different aspect of the equalisation task.</w:t>
      </w:r>
      <w:r w:rsidRPr="003E2FBD">
        <w:t xml:space="preserve"> </w:t>
      </w:r>
      <w:r>
        <w:fldChar w:fldCharType="begin"/>
      </w:r>
      <w:r>
        <w:instrText xml:space="preserve"> REF _Ref504228111 \h </w:instrText>
      </w:r>
      <w:r>
        <w:fldChar w:fldCharType="separate"/>
      </w:r>
      <w:r w:rsidR="000A6746">
        <w:t>Table 1</w:t>
      </w:r>
      <w:r w:rsidR="000A6746">
        <w:noBreakHyphen/>
      </w:r>
      <w:r w:rsidR="000A6746">
        <w:rPr>
          <w:noProof/>
        </w:rPr>
        <w:t>9</w:t>
      </w:r>
      <w:r>
        <w:fldChar w:fldCharType="end"/>
      </w:r>
      <w:r>
        <w:t xml:space="preserve"> </w:t>
      </w:r>
      <w:r w:rsidRPr="002A48E0">
        <w:t>shows the size of the equalisation requirement in 201</w:t>
      </w:r>
      <w:r w:rsidR="00C965A4">
        <w:t>8</w:t>
      </w:r>
      <w:r w:rsidR="00260A18">
        <w:noBreakHyphen/>
      </w:r>
      <w:r w:rsidRPr="002A48E0">
        <w:t>1</w:t>
      </w:r>
      <w:r w:rsidR="00C965A4">
        <w:t>9</w:t>
      </w:r>
      <w:r w:rsidRPr="002A48E0">
        <w:t>. All States except Western Australia require different per capita amounts of GST to achieve the same fiscal capacity as Western Australia, the State with the strongest fiscal capacity. The remainder of the GST revenue is shared equally amongst all States, including Western</w:t>
      </w:r>
      <w:r w:rsidR="00D93EC7">
        <w:t> </w:t>
      </w:r>
      <w:r w:rsidRPr="002A48E0">
        <w:t>Australia. In 201</w:t>
      </w:r>
      <w:r w:rsidR="00C965A4">
        <w:t>8</w:t>
      </w:r>
      <w:r w:rsidR="00260A18">
        <w:noBreakHyphen/>
      </w:r>
      <w:r w:rsidRPr="002A48E0">
        <w:t>1</w:t>
      </w:r>
      <w:r w:rsidR="00C965A4">
        <w:t>9</w:t>
      </w:r>
      <w:r w:rsidRPr="002A48E0">
        <w:t xml:space="preserve">, about </w:t>
      </w:r>
      <w:r w:rsidR="0080523B" w:rsidRPr="002A48E0">
        <w:t>5</w:t>
      </w:r>
      <w:r w:rsidR="0080523B">
        <w:t>3</w:t>
      </w:r>
      <w:r w:rsidRPr="002A48E0">
        <w:t>% of the GST revenue was needed for all States to achieve the same fiscal capacity as Western Australia.</w:t>
      </w:r>
    </w:p>
    <w:p w:rsidR="003E2FBD" w:rsidRDefault="003E2FBD" w:rsidP="003E2FBD">
      <w:pPr>
        <w:pStyle w:val="Caption"/>
      </w:pPr>
      <w:bookmarkStart w:id="477" w:name="_Ref504228111"/>
      <w:r>
        <w:t>Table 1</w:t>
      </w:r>
      <w:r>
        <w:noBreakHyphen/>
      </w:r>
      <w:r w:rsidR="00CD68E8">
        <w:fldChar w:fldCharType="begin"/>
      </w:r>
      <w:r w:rsidR="00CD68E8">
        <w:instrText xml:space="preserve"> SEQ Table \* ARABIC \s 1 </w:instrText>
      </w:r>
      <w:r w:rsidR="00CD68E8">
        <w:fldChar w:fldCharType="separate"/>
      </w:r>
      <w:r w:rsidR="000A6746">
        <w:rPr>
          <w:noProof/>
        </w:rPr>
        <w:t>9</w:t>
      </w:r>
      <w:r w:rsidR="00CD68E8">
        <w:rPr>
          <w:noProof/>
        </w:rPr>
        <w:fldChar w:fldCharType="end"/>
      </w:r>
      <w:bookmarkEnd w:id="477"/>
      <w:r>
        <w:tab/>
        <w:t>Illustrative distribution of GST, 2018</w:t>
      </w:r>
      <w:r>
        <w:noBreakHyphen/>
        <w:t>19</w:t>
      </w:r>
    </w:p>
    <w:tbl>
      <w:tblPr>
        <w:tblW w:w="9180" w:type="dxa"/>
        <w:tblInd w:w="93" w:type="dxa"/>
        <w:tblLook w:val="04A0" w:firstRow="1" w:lastRow="0" w:firstColumn="1" w:lastColumn="0" w:noHBand="0" w:noVBand="1"/>
      </w:tblPr>
      <w:tblGrid>
        <w:gridCol w:w="2440"/>
        <w:gridCol w:w="740"/>
        <w:gridCol w:w="740"/>
        <w:gridCol w:w="740"/>
        <w:gridCol w:w="740"/>
        <w:gridCol w:w="740"/>
        <w:gridCol w:w="740"/>
        <w:gridCol w:w="740"/>
        <w:gridCol w:w="820"/>
        <w:gridCol w:w="740"/>
      </w:tblGrid>
      <w:tr w:rsidR="0080523B" w:rsidRPr="0080523B" w:rsidTr="0080523B">
        <w:trPr>
          <w:trHeight w:val="375"/>
        </w:trPr>
        <w:tc>
          <w:tcPr>
            <w:tcW w:w="24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 </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NSW</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Vic</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Qld</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WA</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SA</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proofErr w:type="spellStart"/>
            <w:r w:rsidRPr="0080523B">
              <w:rPr>
                <w:rFonts w:ascii="Calibri" w:eastAsia="Times New Roman" w:hAnsi="Calibri" w:cs="Times New Roman"/>
                <w:sz w:val="20"/>
                <w:szCs w:val="20"/>
                <w:lang w:eastAsia="en-AU"/>
              </w:rPr>
              <w:t>Tas</w:t>
            </w:r>
            <w:proofErr w:type="spellEnd"/>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ACT</w:t>
            </w:r>
          </w:p>
        </w:tc>
        <w:tc>
          <w:tcPr>
            <w:tcW w:w="82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NT</w:t>
            </w:r>
          </w:p>
        </w:tc>
        <w:tc>
          <w:tcPr>
            <w:tcW w:w="740" w:type="dxa"/>
            <w:tcBorders>
              <w:top w:val="single" w:sz="4" w:space="0" w:color="auto"/>
              <w:left w:val="nil"/>
              <w:bottom w:val="single" w:sz="4" w:space="0" w:color="auto"/>
              <w:right w:val="nil"/>
            </w:tcBorders>
            <w:shd w:val="clear" w:color="auto" w:fill="auto"/>
            <w:noWrap/>
            <w:vAlign w:val="center"/>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Ave</w:t>
            </w:r>
          </w:p>
        </w:tc>
      </w:tr>
      <w:tr w:rsidR="0080523B" w:rsidRPr="0080523B" w:rsidTr="0080523B">
        <w:trPr>
          <w:trHeight w:val="258"/>
        </w:trPr>
        <w:tc>
          <w:tcPr>
            <w:tcW w:w="24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82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$pc</w:t>
            </w:r>
          </w:p>
        </w:tc>
      </w:tr>
      <w:tr w:rsidR="0080523B" w:rsidRPr="0080523B" w:rsidTr="0080523B">
        <w:trPr>
          <w:trHeight w:val="315"/>
        </w:trPr>
        <w:tc>
          <w:tcPr>
            <w:tcW w:w="24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Equal per capita</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82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nil"/>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r>
      <w:tr w:rsidR="0080523B" w:rsidRPr="0080523B" w:rsidTr="0080523B">
        <w:trPr>
          <w:trHeight w:val="315"/>
        </w:trPr>
        <w:tc>
          <w:tcPr>
            <w:tcW w:w="24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Equalisation requirement</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1004</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1 349</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1 636</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0</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2 637</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3 398</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1 859</w:t>
            </w:r>
          </w:p>
        </w:tc>
        <w:tc>
          <w:tcPr>
            <w:tcW w:w="82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9 940</w:t>
            </w:r>
          </w:p>
        </w:tc>
        <w:tc>
          <w:tcPr>
            <w:tcW w:w="740" w:type="dxa"/>
            <w:tcBorders>
              <w:top w:val="nil"/>
              <w:left w:val="nil"/>
              <w:bottom w:val="nil"/>
              <w:right w:val="nil"/>
            </w:tcBorders>
            <w:shd w:val="clear" w:color="auto" w:fill="auto"/>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1 380</w:t>
            </w:r>
          </w:p>
        </w:tc>
      </w:tr>
      <w:tr w:rsidR="0080523B" w:rsidRPr="0080523B" w:rsidTr="0080523B">
        <w:trPr>
          <w:trHeight w:val="315"/>
        </w:trPr>
        <w:tc>
          <w:tcPr>
            <w:tcW w:w="24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Per capita allocation</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2 246</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2 591</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2 878</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1 242</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3 879</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4 640</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3 100</w:t>
            </w:r>
          </w:p>
        </w:tc>
        <w:tc>
          <w:tcPr>
            <w:tcW w:w="82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11 181</w:t>
            </w:r>
          </w:p>
        </w:tc>
        <w:tc>
          <w:tcPr>
            <w:tcW w:w="740" w:type="dxa"/>
            <w:tcBorders>
              <w:top w:val="nil"/>
              <w:left w:val="nil"/>
              <w:bottom w:val="single" w:sz="4" w:space="0" w:color="auto"/>
              <w:right w:val="nil"/>
            </w:tcBorders>
            <w:shd w:val="clear" w:color="auto" w:fill="auto"/>
            <w:noWrap/>
            <w:vAlign w:val="bottom"/>
            <w:hideMark/>
          </w:tcPr>
          <w:p w:rsidR="0080523B" w:rsidRPr="0080523B" w:rsidRDefault="0080523B" w:rsidP="0080523B">
            <w:pPr>
              <w:tabs>
                <w:tab w:val="clear" w:pos="567"/>
              </w:tabs>
              <w:spacing w:after="0" w:line="240" w:lineRule="auto"/>
              <w:jc w:val="right"/>
              <w:rPr>
                <w:rFonts w:ascii="Calibri" w:eastAsia="Times New Roman" w:hAnsi="Calibri" w:cs="Times New Roman"/>
                <w:sz w:val="20"/>
                <w:szCs w:val="20"/>
                <w:lang w:eastAsia="en-AU"/>
              </w:rPr>
            </w:pPr>
            <w:r w:rsidRPr="0080523B">
              <w:rPr>
                <w:rFonts w:ascii="Calibri" w:eastAsia="Times New Roman" w:hAnsi="Calibri" w:cs="Times New Roman"/>
                <w:sz w:val="20"/>
                <w:szCs w:val="20"/>
                <w:lang w:eastAsia="en-AU"/>
              </w:rPr>
              <w:t>2 622</w:t>
            </w:r>
          </w:p>
        </w:tc>
      </w:tr>
    </w:tbl>
    <w:p w:rsidR="003E2FBD" w:rsidRPr="003E2FBD" w:rsidRDefault="003E2FBD" w:rsidP="003E2FBD">
      <w:pPr>
        <w:pStyle w:val="CGCDataCaption"/>
      </w:pPr>
      <w:r>
        <w:t>Source:</w:t>
      </w:r>
      <w:r>
        <w:tab/>
        <w:t>Commission calculation.</w:t>
      </w:r>
    </w:p>
    <w:p w:rsidR="003E2FBD" w:rsidRPr="002A48E0" w:rsidRDefault="003E2FBD" w:rsidP="0025048D">
      <w:pPr>
        <w:pStyle w:val="11para"/>
      </w:pPr>
      <w:r w:rsidRPr="00C965A4">
        <w:t>This measure of the size of the equalisation task increased rapidly prior to 2017</w:t>
      </w:r>
      <w:r w:rsidR="00260A18" w:rsidRPr="00C965A4">
        <w:noBreakHyphen/>
      </w:r>
      <w:r w:rsidRPr="00C965A4">
        <w:t>18. From 2000</w:t>
      </w:r>
      <w:r w:rsidRPr="00C965A4">
        <w:noBreakHyphen/>
        <w:t>01 to 2007</w:t>
      </w:r>
      <w:r w:rsidRPr="00C965A4">
        <w:noBreakHyphen/>
        <w:t>08, it fluctuated between 14% and 17% of GST revenue, as first Victoria and then New South Wales became the fiscally strongest State. In 2008</w:t>
      </w:r>
      <w:r w:rsidRPr="00C965A4">
        <w:noBreakHyphen/>
        <w:t>09, Western Australia became the fiscally strongest State. As Western Australia’s fiscal capacity became progressively stronger, this measure of the size of the equalisation task increased from 14% of the pool in 2008</w:t>
      </w:r>
      <w:r w:rsidRPr="00C965A4">
        <w:noBreakHyphen/>
        <w:t>09 to 70% in 2016</w:t>
      </w:r>
      <w:r w:rsidRPr="00C965A4">
        <w:noBreakHyphen/>
        <w:t>17. With the recent decline in Western Australia’s fiscal capacity, it has fallen to 6</w:t>
      </w:r>
      <w:r w:rsidR="008C77D3">
        <w:t>6</w:t>
      </w:r>
      <w:r w:rsidRPr="00C965A4">
        <w:t>% in 2017</w:t>
      </w:r>
      <w:r w:rsidRPr="00C965A4">
        <w:noBreakHyphen/>
        <w:t>18</w:t>
      </w:r>
      <w:r w:rsidR="00C965A4" w:rsidRPr="00C965A4">
        <w:t xml:space="preserve"> and </w:t>
      </w:r>
      <w:r w:rsidR="00EC7417" w:rsidRPr="00C965A4">
        <w:t>5</w:t>
      </w:r>
      <w:r w:rsidR="008C77D3">
        <w:t>3</w:t>
      </w:r>
      <w:r w:rsidR="00C965A4" w:rsidRPr="00C965A4">
        <w:t>% in 2018</w:t>
      </w:r>
      <w:r w:rsidR="00C965A4" w:rsidRPr="00C965A4">
        <w:noBreakHyphen/>
        <w:t>19</w:t>
      </w:r>
      <w:r w:rsidRPr="00C965A4">
        <w:t>. Where the fiscally strongest State has a relatively small population, it will necessarily mean a large share of the pool is required to achieve equalisation (and vice versa). Population differences between the fiscally strongest and the other States affect the size of the equalisation task.</w:t>
      </w:r>
    </w:p>
    <w:p w:rsidR="003E2FBD" w:rsidRPr="002A48E0" w:rsidRDefault="003E2FBD" w:rsidP="0025048D">
      <w:pPr>
        <w:pStyle w:val="11para"/>
      </w:pPr>
      <w:r w:rsidRPr="002A48E0">
        <w:t>Neither measure perfectly captures the totality of how the equalisation task has evolved over time. Taken together they show:</w:t>
      </w:r>
    </w:p>
    <w:p w:rsidR="003E2FBD" w:rsidRPr="006455BD" w:rsidRDefault="003E2FBD" w:rsidP="006455BD">
      <w:pPr>
        <w:pStyle w:val="CGCBulletlist"/>
      </w:pPr>
      <w:r w:rsidRPr="006455BD">
        <w:t xml:space="preserve">the equalisation task generated by the less populous States together has been greater in recent years but fell </w:t>
      </w:r>
      <w:r w:rsidR="002634A7" w:rsidRPr="006455BD">
        <w:t>in the two</w:t>
      </w:r>
      <w:r w:rsidRPr="006455BD">
        <w:t xml:space="preserve"> </w:t>
      </w:r>
      <w:r w:rsidR="002634A7" w:rsidRPr="006455BD">
        <w:t xml:space="preserve">most recent </w:t>
      </w:r>
      <w:r w:rsidRPr="006455BD">
        <w:t>update</w:t>
      </w:r>
      <w:r w:rsidR="002634A7" w:rsidRPr="006455BD">
        <w:t>s</w:t>
      </w:r>
    </w:p>
    <w:p w:rsidR="003E2FBD" w:rsidRPr="006455BD" w:rsidRDefault="003E2FBD" w:rsidP="006455BD">
      <w:pPr>
        <w:pStyle w:val="CGCBulletlist"/>
      </w:pPr>
      <w:r w:rsidRPr="006455BD">
        <w:t>because Queensland’s fiscal capacity fluctuates around the average, it sometimes adds to, and sometimes moderates, the equalisation task</w:t>
      </w:r>
    </w:p>
    <w:p w:rsidR="003E2FBD" w:rsidRPr="006455BD" w:rsidRDefault="003E2FBD" w:rsidP="006455BD">
      <w:pPr>
        <w:pStyle w:val="CGCBulletlist"/>
      </w:pPr>
      <w:proofErr w:type="gramStart"/>
      <w:r w:rsidRPr="006455BD">
        <w:t>the</w:t>
      </w:r>
      <w:proofErr w:type="gramEnd"/>
      <w:r w:rsidRPr="006455BD">
        <w:t xml:space="preserve"> task of ‘catching up’ with Western Australia </w:t>
      </w:r>
      <w:r w:rsidR="002634A7" w:rsidRPr="006455BD">
        <w:t>grew significantly prior to the 2017 U</w:t>
      </w:r>
      <w:r w:rsidRPr="006455BD">
        <w:t>pdate</w:t>
      </w:r>
      <w:r w:rsidR="00ED36B8">
        <w:t xml:space="preserve"> (reflecting the unprecedented increase in that State’s own-source revenues, largely driven by the global commodities boom)</w:t>
      </w:r>
      <w:r w:rsidRPr="006455BD">
        <w:t xml:space="preserve">, but </w:t>
      </w:r>
      <w:r w:rsidR="002634A7" w:rsidRPr="006455BD">
        <w:t xml:space="preserve">has </w:t>
      </w:r>
      <w:r w:rsidRPr="006455BD">
        <w:t>s</w:t>
      </w:r>
      <w:r w:rsidR="002634A7" w:rsidRPr="006455BD">
        <w:t>ince</w:t>
      </w:r>
      <w:r w:rsidRPr="006455BD">
        <w:t xml:space="preserve"> </w:t>
      </w:r>
      <w:r w:rsidR="002634A7" w:rsidRPr="006455BD">
        <w:t xml:space="preserve">been </w:t>
      </w:r>
      <w:r w:rsidRPr="006455BD">
        <w:t>decreasing.</w:t>
      </w:r>
    </w:p>
    <w:p w:rsidR="00E0791C" w:rsidRDefault="003E2FBD" w:rsidP="0025048D">
      <w:pPr>
        <w:pStyle w:val="11para"/>
      </w:pPr>
      <w:r w:rsidRPr="002A48E0">
        <w:t>A time series of per capita relativities since the introduction of the GST in 2000</w:t>
      </w:r>
      <w:r w:rsidRPr="002A48E0">
        <w:noBreakHyphen/>
        <w:t xml:space="preserve">01 is available </w:t>
      </w:r>
      <w:r w:rsidR="002E696E" w:rsidRPr="002A48E0">
        <w:t xml:space="preserve">in the supporting information for this update </w:t>
      </w:r>
      <w:r w:rsidRPr="002A48E0">
        <w:t xml:space="preserve">on the </w:t>
      </w:r>
      <w:hyperlink r:id="rId54" w:history="1">
        <w:r w:rsidRPr="002A48E0">
          <w:rPr>
            <w:rStyle w:val="Hyperlink"/>
          </w:rPr>
          <w:t>Commission’s website</w:t>
        </w:r>
      </w:hyperlink>
      <w:r w:rsidRPr="002A48E0">
        <w:t xml:space="preserve"> (</w:t>
      </w:r>
      <w:r w:rsidR="00441C6C" w:rsidRPr="00103485">
        <w:t>https://cgc.gov.au/</w:t>
      </w:r>
      <w:r w:rsidRPr="002A48E0">
        <w:t>). An overview of Commonwealth-State financial relations in Australia, including a discussion of horizontal and vertical fiscal imbalances, is also available on the Commission’s website.</w:t>
      </w:r>
    </w:p>
    <w:p w:rsidR="00252730" w:rsidRDefault="00252730" w:rsidP="000523F3">
      <w:pPr>
        <w:pStyle w:val="CGCNumberedPara"/>
        <w:numPr>
          <w:ilvl w:val="0"/>
          <w:numId w:val="0"/>
        </w:numPr>
        <w:ind w:left="567" w:hanging="567"/>
      </w:pPr>
    </w:p>
    <w:p w:rsidR="00E0791C" w:rsidRDefault="00E0791C" w:rsidP="00C21EF9">
      <w:pPr>
        <w:sectPr w:rsidR="00E0791C" w:rsidSect="007F7654">
          <w:footerReference w:type="default" r:id="rId55"/>
          <w:footerReference w:type="first" r:id="rId56"/>
          <w:pgSz w:w="11899" w:h="16838" w:code="9"/>
          <w:pgMar w:top="1701" w:right="1474" w:bottom="1135" w:left="1474" w:header="709" w:footer="709" w:gutter="0"/>
          <w:cols w:space="708"/>
          <w:titlePg/>
          <w:docGrid w:linePitch="299"/>
        </w:sectPr>
      </w:pPr>
    </w:p>
    <w:p w:rsidR="00E0791C" w:rsidRPr="002A48E0" w:rsidRDefault="00E0791C" w:rsidP="00E0791C">
      <w:pPr>
        <w:pStyle w:val="Heading1"/>
      </w:pPr>
      <w:bookmarkStart w:id="478" w:name="_Ref473104310"/>
      <w:bookmarkStart w:id="479" w:name="_Toc474923769"/>
      <w:r w:rsidRPr="002A48E0">
        <w:lastRenderedPageBreak/>
        <w:t>Chapter 2</w:t>
      </w:r>
      <w:bookmarkEnd w:id="478"/>
      <w:bookmarkEnd w:id="479"/>
    </w:p>
    <w:p w:rsidR="00E0791C" w:rsidRDefault="00E0791C" w:rsidP="00E0791C">
      <w:pPr>
        <w:pStyle w:val="Heading2"/>
      </w:pPr>
      <w:bookmarkStart w:id="480" w:name="_Ref473104323"/>
      <w:bookmarkStart w:id="481" w:name="_Toc474923770"/>
      <w:bookmarkStart w:id="482" w:name="_Toc505872187"/>
      <w:r w:rsidRPr="002A48E0">
        <w:t>New issues in this update</w:t>
      </w:r>
      <w:bookmarkEnd w:id="480"/>
      <w:bookmarkEnd w:id="481"/>
      <w:bookmarkEnd w:id="482"/>
    </w:p>
    <w:p w:rsidR="00587C87" w:rsidRPr="002A48E0" w:rsidRDefault="00587C87" w:rsidP="0025048D">
      <w:pPr>
        <w:pStyle w:val="21para"/>
      </w:pPr>
      <w:r w:rsidRPr="002A48E0">
        <w:t>In each update, the Commission identifies a range of new issues that might affect the GST distribution. New issues can be grouped into the following types:</w:t>
      </w:r>
    </w:p>
    <w:p w:rsidR="00587C87" w:rsidRPr="006455BD" w:rsidRDefault="00587C87" w:rsidP="006455BD">
      <w:pPr>
        <w:pStyle w:val="CGCBulletlist"/>
      </w:pPr>
      <w:r w:rsidRPr="006455BD">
        <w:t>data issues, concerning how the latest available data, or changes to data availability, are incorporated into assessments</w:t>
      </w:r>
    </w:p>
    <w:p w:rsidR="00587C87" w:rsidRPr="006455BD" w:rsidRDefault="00587C87" w:rsidP="006455BD">
      <w:pPr>
        <w:pStyle w:val="CGCBulletlist"/>
      </w:pPr>
      <w:r w:rsidRPr="006455BD">
        <w:t>assessment issues, relating to how changed circumstances are incorporated into assessments</w:t>
      </w:r>
    </w:p>
    <w:p w:rsidR="00587C87" w:rsidRPr="006455BD" w:rsidRDefault="00587C87" w:rsidP="006455BD">
      <w:pPr>
        <w:pStyle w:val="CGCBulletlist"/>
      </w:pPr>
      <w:r w:rsidRPr="006455BD">
        <w:t>the treatment of Commonwealth payments, including new payments and payments relating to national agreement arrangements</w:t>
      </w:r>
    </w:p>
    <w:p w:rsidR="00587C87" w:rsidRPr="006455BD" w:rsidRDefault="00587C87" w:rsidP="006455BD">
      <w:pPr>
        <w:pStyle w:val="CGCBulletlist"/>
      </w:pPr>
      <w:proofErr w:type="gramStart"/>
      <w:r w:rsidRPr="006455BD">
        <w:t>other</w:t>
      </w:r>
      <w:proofErr w:type="gramEnd"/>
      <w:r w:rsidRPr="006455BD">
        <w:t xml:space="preserve"> issues.</w:t>
      </w:r>
    </w:p>
    <w:p w:rsidR="00587C87" w:rsidRDefault="00587C87" w:rsidP="006455BD">
      <w:pPr>
        <w:pStyle w:val="21para"/>
      </w:pPr>
      <w:r>
        <w:t>Before</w:t>
      </w:r>
      <w:r w:rsidRPr="002A48E0">
        <w:t xml:space="preserve"> deciding how new issues should be resolved</w:t>
      </w:r>
      <w:r>
        <w:t>,</w:t>
      </w:r>
      <w:r w:rsidRPr="002A48E0">
        <w:t xml:space="preserve"> the Commission consults the States</w:t>
      </w:r>
      <w:r w:rsidR="004318FC">
        <w:t>.</w:t>
      </w:r>
      <w:r>
        <w:rPr>
          <w:rStyle w:val="FootnoteReference"/>
        </w:rPr>
        <w:footnoteReference w:id="6"/>
      </w:r>
      <w:r w:rsidRPr="002A48E0">
        <w:t xml:space="preserve"> The </w:t>
      </w:r>
      <w:r w:rsidRPr="006455BD">
        <w:t>issues</w:t>
      </w:r>
      <w:r w:rsidRPr="002A48E0">
        <w:t xml:space="preserve"> that arose in this update and the Commission’s decisions on them are explained in this chapter. Discussion papers and State submissions can be vi</w:t>
      </w:r>
      <w:r>
        <w:t xml:space="preserve">ewed on the GST Inquiries </w:t>
      </w:r>
      <w:r w:rsidRPr="0012596A">
        <w:t>—</w:t>
      </w:r>
      <w:r>
        <w:t xml:space="preserve"> 2018</w:t>
      </w:r>
      <w:r w:rsidRPr="002A48E0">
        <w:t xml:space="preserve"> Update page accessed from the </w:t>
      </w:r>
      <w:hyperlink r:id="rId57" w:history="1">
        <w:r w:rsidRPr="00A646DE">
          <w:rPr>
            <w:rStyle w:val="Hyperlink"/>
          </w:rPr>
          <w:t>Commission’s website</w:t>
        </w:r>
      </w:hyperlink>
      <w:r w:rsidRPr="002A48E0">
        <w:t xml:space="preserve"> (</w:t>
      </w:r>
      <w:r w:rsidR="00BB24F9">
        <w:t>https://cgc.gov.au/</w:t>
      </w:r>
      <w:r w:rsidRPr="002A48E0">
        <w:t>).</w:t>
      </w:r>
    </w:p>
    <w:p w:rsidR="00587C87" w:rsidRDefault="00587C87" w:rsidP="00B45D1D">
      <w:pPr>
        <w:pStyle w:val="Heading3"/>
      </w:pPr>
      <w:bookmarkStart w:id="483" w:name="_Toc498430054"/>
      <w:bookmarkStart w:id="484" w:name="_Toc505872188"/>
      <w:bookmarkStart w:id="485" w:name="_Toc106707726"/>
      <w:bookmarkStart w:id="486" w:name="_Toc155675936"/>
      <w:bookmarkStart w:id="487" w:name="_Toc174415771"/>
      <w:bookmarkStart w:id="488" w:name="_Toc174415845"/>
      <w:bookmarkStart w:id="489" w:name="_Toc174415936"/>
      <w:bookmarkStart w:id="490" w:name="_Toc174416621"/>
      <w:bookmarkStart w:id="491" w:name="_Toc174416663"/>
      <w:bookmarkStart w:id="492" w:name="_Toc174416676"/>
      <w:r>
        <w:t>Data issue</w:t>
      </w:r>
      <w:bookmarkEnd w:id="483"/>
      <w:r w:rsidR="00B45D1D">
        <w:t>s</w:t>
      </w:r>
      <w:bookmarkEnd w:id="484"/>
    </w:p>
    <w:p w:rsidR="00587C87" w:rsidRDefault="00587C87" w:rsidP="00587C87">
      <w:pPr>
        <w:pStyle w:val="Heading4"/>
      </w:pPr>
      <w:bookmarkStart w:id="493" w:name="_Toc498430055"/>
      <w:bookmarkStart w:id="494" w:name="_Toc505872189"/>
      <w:r>
        <w:t>Use of new Census data</w:t>
      </w:r>
      <w:bookmarkEnd w:id="493"/>
      <w:bookmarkEnd w:id="494"/>
      <w:r>
        <w:t xml:space="preserve"> </w:t>
      </w:r>
      <w:bookmarkEnd w:id="485"/>
      <w:bookmarkEnd w:id="486"/>
      <w:bookmarkEnd w:id="487"/>
      <w:bookmarkEnd w:id="488"/>
      <w:bookmarkEnd w:id="489"/>
      <w:bookmarkEnd w:id="490"/>
      <w:bookmarkEnd w:id="491"/>
      <w:bookmarkEnd w:id="492"/>
    </w:p>
    <w:p w:rsidR="0058043F" w:rsidRDefault="0058043F" w:rsidP="0025048D">
      <w:pPr>
        <w:pStyle w:val="21para"/>
      </w:pPr>
      <w:r>
        <w:t xml:space="preserve">Most data from the 2016 Census are now available and can be used in the 2018 Update, although some data will not be available until later in 2018. The Commission’s terms of reference require it ‘where possible, [to] </w:t>
      </w:r>
      <w:r w:rsidR="008441DD">
        <w:t>use the latest available data’.</w:t>
      </w:r>
    </w:p>
    <w:p w:rsidR="0058043F" w:rsidRDefault="0058043F" w:rsidP="0025048D">
      <w:pPr>
        <w:pStyle w:val="21para"/>
      </w:pPr>
      <w:r>
        <w:t>As a result, the Commission has used revised data based on the 2016 Census for:</w:t>
      </w:r>
    </w:p>
    <w:p w:rsidR="0058043F" w:rsidRPr="006455BD" w:rsidRDefault="0058043F" w:rsidP="006455BD">
      <w:pPr>
        <w:pStyle w:val="CGCBulletlist"/>
      </w:pPr>
      <w:r w:rsidRPr="006455BD">
        <w:t xml:space="preserve">total </w:t>
      </w:r>
      <w:r w:rsidR="008441DD">
        <w:t>E</w:t>
      </w:r>
      <w:r w:rsidRPr="006455BD">
        <w:t xml:space="preserve">stimated </w:t>
      </w:r>
      <w:r w:rsidR="008441DD">
        <w:t>R</w:t>
      </w:r>
      <w:r w:rsidRPr="006455BD">
        <w:t xml:space="preserve">esident </w:t>
      </w:r>
      <w:r w:rsidR="008441DD">
        <w:t>P</w:t>
      </w:r>
      <w:r w:rsidRPr="006455BD">
        <w:t>opulation (ERP) levels</w:t>
      </w:r>
    </w:p>
    <w:p w:rsidR="0058043F" w:rsidRPr="006455BD" w:rsidRDefault="0058043F" w:rsidP="006455BD">
      <w:pPr>
        <w:pStyle w:val="CGCBulletlist"/>
      </w:pPr>
      <w:r w:rsidRPr="006455BD">
        <w:t xml:space="preserve">Indigenous populations </w:t>
      </w:r>
    </w:p>
    <w:p w:rsidR="0058043F" w:rsidRPr="006455BD" w:rsidRDefault="0058043F" w:rsidP="006455BD">
      <w:pPr>
        <w:pStyle w:val="CGCBulletlist"/>
      </w:pPr>
      <w:r w:rsidRPr="006455BD">
        <w:t xml:space="preserve">measures of </w:t>
      </w:r>
      <w:r w:rsidR="005C5C6F">
        <w:t>s</w:t>
      </w:r>
      <w:r w:rsidRPr="006455BD">
        <w:t>ocio-economic status for Indigenous and non-Indigenous populations</w:t>
      </w:r>
    </w:p>
    <w:p w:rsidR="0058043F" w:rsidRPr="006455BD" w:rsidRDefault="0058043F" w:rsidP="006455BD">
      <w:pPr>
        <w:pStyle w:val="CGCBulletlist"/>
      </w:pPr>
      <w:r w:rsidRPr="006455BD">
        <w:lastRenderedPageBreak/>
        <w:t>discrete Indigenous communities classification</w:t>
      </w:r>
    </w:p>
    <w:p w:rsidR="0058043F" w:rsidRPr="006455BD" w:rsidRDefault="0058043F" w:rsidP="006455BD">
      <w:pPr>
        <w:pStyle w:val="CGCBulletlist"/>
      </w:pPr>
      <w:r w:rsidRPr="006455BD">
        <w:t>measures of urban areas</w:t>
      </w:r>
    </w:p>
    <w:p w:rsidR="0058043F" w:rsidRPr="006455BD" w:rsidRDefault="0058043F" w:rsidP="006455BD">
      <w:pPr>
        <w:pStyle w:val="CGCBulletlist"/>
      </w:pPr>
      <w:proofErr w:type="gramStart"/>
      <w:r w:rsidRPr="006455BD">
        <w:t>social</w:t>
      </w:r>
      <w:proofErr w:type="gramEnd"/>
      <w:r w:rsidRPr="006455BD">
        <w:t xml:space="preserve"> housing use.</w:t>
      </w:r>
    </w:p>
    <w:p w:rsidR="0058043F" w:rsidRDefault="00C23A3B" w:rsidP="0025048D">
      <w:pPr>
        <w:pStyle w:val="21para"/>
      </w:pPr>
      <w:r>
        <w:t xml:space="preserve">As explained below, the Commission has </w:t>
      </w:r>
      <w:r w:rsidR="0058043F">
        <w:t>continued to use 2011 based Census data for:</w:t>
      </w:r>
    </w:p>
    <w:p w:rsidR="0058043F" w:rsidRPr="006455BD" w:rsidRDefault="0058043F" w:rsidP="006455BD">
      <w:pPr>
        <w:pStyle w:val="CGCBulletlist"/>
      </w:pPr>
      <w:r w:rsidRPr="006455BD">
        <w:t>Indigenous population estimates and the associated socio-economic status in the Justice assessment</w:t>
      </w:r>
    </w:p>
    <w:p w:rsidR="0058043F" w:rsidRPr="006455BD" w:rsidRDefault="0058043F" w:rsidP="006455BD">
      <w:pPr>
        <w:pStyle w:val="CGCBulletlist"/>
      </w:pPr>
      <w:r w:rsidRPr="006455BD">
        <w:t>definitions of remoteness</w:t>
      </w:r>
    </w:p>
    <w:p w:rsidR="0058043F" w:rsidRPr="006455BD" w:rsidRDefault="0058043F" w:rsidP="006455BD">
      <w:pPr>
        <w:pStyle w:val="CGCBulletlist"/>
      </w:pPr>
      <w:r w:rsidRPr="006455BD">
        <w:t>service delivery scale areas</w:t>
      </w:r>
    </w:p>
    <w:p w:rsidR="0058043F" w:rsidRPr="006455BD" w:rsidRDefault="0058043F" w:rsidP="006455BD">
      <w:pPr>
        <w:pStyle w:val="CGCBulletlist"/>
      </w:pPr>
      <w:r w:rsidRPr="006455BD">
        <w:t>measures of local roads in unincorporated areas</w:t>
      </w:r>
    </w:p>
    <w:p w:rsidR="0058043F" w:rsidRPr="006455BD" w:rsidRDefault="0058043F" w:rsidP="006455BD">
      <w:pPr>
        <w:pStyle w:val="CGCBulletlist"/>
      </w:pPr>
      <w:r w:rsidRPr="006455BD">
        <w:t>Socio-economic index for areas (</w:t>
      </w:r>
      <w:proofErr w:type="spellStart"/>
      <w:r w:rsidRPr="006455BD">
        <w:t>SEIFA</w:t>
      </w:r>
      <w:proofErr w:type="spellEnd"/>
      <w:r w:rsidRPr="006455BD">
        <w:t>).</w:t>
      </w:r>
    </w:p>
    <w:p w:rsidR="0058043F" w:rsidRPr="005C5A62" w:rsidRDefault="0031533F" w:rsidP="0025048D">
      <w:pPr>
        <w:pStyle w:val="21para"/>
        <w:rPr>
          <w:rStyle w:val="Heading5Char"/>
          <w:rFonts w:eastAsiaTheme="minorHAnsi" w:cstheme="minorBidi"/>
          <w:b w:val="0"/>
          <w:i w:val="0"/>
          <w:color w:val="auto"/>
          <w:sz w:val="24"/>
        </w:rPr>
      </w:pPr>
      <w:r w:rsidRPr="005C5A62">
        <w:rPr>
          <w:rStyle w:val="Heading5Char"/>
          <w:rFonts w:eastAsiaTheme="minorHAnsi" w:cstheme="minorBidi"/>
          <w:b w:val="0"/>
          <w:i w:val="0"/>
          <w:color w:val="auto"/>
          <w:sz w:val="24"/>
        </w:rPr>
        <w:t>The Commission</w:t>
      </w:r>
      <w:r w:rsidR="0058043F" w:rsidRPr="005C5A62">
        <w:rPr>
          <w:rStyle w:val="Heading5Char"/>
          <w:rFonts w:eastAsiaTheme="minorHAnsi" w:cstheme="minorBidi"/>
          <w:b w:val="0"/>
          <w:i w:val="0"/>
          <w:color w:val="auto"/>
          <w:sz w:val="24"/>
        </w:rPr>
        <w:t xml:space="preserve"> has used measures of population growth </w:t>
      </w:r>
      <w:r w:rsidR="00402884" w:rsidRPr="005C5A62">
        <w:rPr>
          <w:rStyle w:val="Heading5Char"/>
          <w:rFonts w:eastAsiaTheme="minorHAnsi" w:cstheme="minorBidi"/>
          <w:b w:val="0"/>
          <w:i w:val="0"/>
          <w:color w:val="auto"/>
          <w:sz w:val="24"/>
        </w:rPr>
        <w:t>including</w:t>
      </w:r>
      <w:r w:rsidR="0058043F" w:rsidRPr="005C5A62">
        <w:rPr>
          <w:rStyle w:val="Heading5Char"/>
          <w:rFonts w:eastAsiaTheme="minorHAnsi" w:cstheme="minorBidi"/>
          <w:b w:val="0"/>
          <w:i w:val="0"/>
          <w:color w:val="auto"/>
          <w:sz w:val="24"/>
        </w:rPr>
        <w:t xml:space="preserve"> </w:t>
      </w:r>
      <w:proofErr w:type="spellStart"/>
      <w:r w:rsidR="0058043F" w:rsidRPr="005C5A62">
        <w:rPr>
          <w:rStyle w:val="Heading5Char"/>
          <w:rFonts w:eastAsiaTheme="minorHAnsi" w:cstheme="minorBidi"/>
          <w:b w:val="0"/>
          <w:i w:val="0"/>
          <w:color w:val="auto"/>
          <w:sz w:val="24"/>
        </w:rPr>
        <w:t>intercensal</w:t>
      </w:r>
      <w:proofErr w:type="spellEnd"/>
      <w:r w:rsidR="0058043F" w:rsidRPr="005C5A62">
        <w:rPr>
          <w:rStyle w:val="Heading5Char"/>
          <w:rFonts w:eastAsiaTheme="minorHAnsi" w:cstheme="minorBidi"/>
          <w:b w:val="0"/>
          <w:i w:val="0"/>
          <w:color w:val="auto"/>
          <w:sz w:val="24"/>
        </w:rPr>
        <w:t xml:space="preserve"> differences, </w:t>
      </w:r>
      <w:r w:rsidR="00402884" w:rsidRPr="005C5A62">
        <w:rPr>
          <w:rStyle w:val="Heading5Char"/>
          <w:rFonts w:eastAsiaTheme="minorHAnsi" w:cstheme="minorBidi"/>
          <w:b w:val="0"/>
          <w:i w:val="0"/>
          <w:color w:val="auto"/>
          <w:sz w:val="24"/>
        </w:rPr>
        <w:t xml:space="preserve">based on the ABS estimates of </w:t>
      </w:r>
      <w:r w:rsidR="0058043F" w:rsidRPr="005C5A62">
        <w:rPr>
          <w:rStyle w:val="Heading5Char"/>
          <w:rFonts w:eastAsiaTheme="minorHAnsi" w:cstheme="minorBidi"/>
          <w:b w:val="0"/>
          <w:i w:val="0"/>
          <w:color w:val="auto"/>
          <w:sz w:val="24"/>
        </w:rPr>
        <w:t>population levels, in the capital assessments.</w:t>
      </w:r>
    </w:p>
    <w:p w:rsidR="00587C87" w:rsidRDefault="0058043F" w:rsidP="0025048D">
      <w:pPr>
        <w:pStyle w:val="21para"/>
        <w:rPr>
          <w:rStyle w:val="Heading5Char"/>
          <w:rFonts w:eastAsiaTheme="minorHAnsi" w:cstheme="minorBidi"/>
          <w:b w:val="0"/>
          <w:i w:val="0"/>
          <w:color w:val="auto"/>
          <w:sz w:val="24"/>
        </w:rPr>
      </w:pPr>
      <w:r>
        <w:rPr>
          <w:rStyle w:val="Heading5Char"/>
          <w:rFonts w:eastAsiaTheme="minorHAnsi" w:cstheme="minorBidi"/>
          <w:b w:val="0"/>
          <w:i w:val="0"/>
          <w:color w:val="auto"/>
          <w:sz w:val="24"/>
        </w:rPr>
        <w:fldChar w:fldCharType="begin"/>
      </w:r>
      <w:r>
        <w:rPr>
          <w:rStyle w:val="Heading5Char"/>
          <w:rFonts w:eastAsiaTheme="minorHAnsi" w:cstheme="minorBidi"/>
          <w:b w:val="0"/>
          <w:i w:val="0"/>
          <w:color w:val="auto"/>
          <w:sz w:val="24"/>
        </w:rPr>
        <w:instrText xml:space="preserve"> REF _Ref504568521 \h </w:instrText>
      </w:r>
      <w:r>
        <w:rPr>
          <w:rStyle w:val="Heading5Char"/>
          <w:rFonts w:eastAsiaTheme="minorHAnsi" w:cstheme="minorBidi"/>
          <w:b w:val="0"/>
          <w:i w:val="0"/>
          <w:color w:val="auto"/>
          <w:sz w:val="24"/>
        </w:rPr>
      </w:r>
      <w:r>
        <w:rPr>
          <w:rStyle w:val="Heading5Char"/>
          <w:rFonts w:eastAsiaTheme="minorHAnsi" w:cstheme="minorBidi"/>
          <w:b w:val="0"/>
          <w:i w:val="0"/>
          <w:color w:val="auto"/>
          <w:sz w:val="24"/>
        </w:rPr>
        <w:fldChar w:fldCharType="separate"/>
      </w:r>
      <w:r w:rsidR="000A6746" w:rsidRPr="002A48E0">
        <w:t>Chapter 1</w:t>
      </w:r>
      <w:r>
        <w:rPr>
          <w:rStyle w:val="Heading5Char"/>
          <w:rFonts w:eastAsiaTheme="minorHAnsi" w:cstheme="minorBidi"/>
          <w:b w:val="0"/>
          <w:i w:val="0"/>
          <w:color w:val="auto"/>
          <w:sz w:val="24"/>
        </w:rPr>
        <w:fldChar w:fldCharType="end"/>
      </w:r>
      <w:r w:rsidRPr="0058043F">
        <w:rPr>
          <w:rStyle w:val="Heading5Char"/>
          <w:rFonts w:eastAsiaTheme="minorHAnsi" w:cstheme="minorBidi"/>
          <w:b w:val="0"/>
          <w:i w:val="0"/>
          <w:color w:val="auto"/>
          <w:sz w:val="24"/>
        </w:rPr>
        <w:t xml:space="preserve"> describes the various effects of the new Census data and associated population estimates on the GST distribution in this update.</w:t>
      </w:r>
    </w:p>
    <w:p w:rsidR="0058043F" w:rsidRPr="00AF0068" w:rsidRDefault="0058043F" w:rsidP="0058043F">
      <w:pPr>
        <w:pStyle w:val="Heading5"/>
      </w:pPr>
      <w:r w:rsidRPr="00AF0068">
        <w:t>Data quality</w:t>
      </w:r>
    </w:p>
    <w:p w:rsidR="0058043F" w:rsidRPr="00451606" w:rsidRDefault="0058043F" w:rsidP="0025048D">
      <w:pPr>
        <w:pStyle w:val="21para"/>
      </w:pPr>
      <w:r w:rsidRPr="008B0F16">
        <w:t>The ABS established an </w:t>
      </w:r>
      <w:hyperlink r:id="rId58" w:history="1">
        <w:r w:rsidRPr="008B0F16">
          <w:t>independent panel</w:t>
        </w:r>
      </w:hyperlink>
      <w:r w:rsidRPr="008B0F16">
        <w:t> to independently review and assure the quality of statistical outputs from the 2016</w:t>
      </w:r>
      <w:r>
        <w:t> </w:t>
      </w:r>
      <w:r w:rsidRPr="008B0F16">
        <w:t>Census.</w:t>
      </w:r>
      <w:r>
        <w:t xml:space="preserve"> </w:t>
      </w:r>
      <w:r>
        <w:rPr>
          <w:lang w:val="en"/>
        </w:rPr>
        <w:t>The p</w:t>
      </w:r>
      <w:r w:rsidRPr="00451606">
        <w:rPr>
          <w:lang w:val="en"/>
        </w:rPr>
        <w:t>anel concluded that the 2016</w:t>
      </w:r>
      <w:r>
        <w:rPr>
          <w:lang w:val="en"/>
        </w:rPr>
        <w:t> </w:t>
      </w:r>
      <w:r w:rsidRPr="00451606">
        <w:rPr>
          <w:lang w:val="en"/>
        </w:rPr>
        <w:t>Census data are fit-for-purpose and are of comparable quality to the 2011 and 2006</w:t>
      </w:r>
      <w:r>
        <w:rPr>
          <w:lang w:val="en"/>
        </w:rPr>
        <w:t> </w:t>
      </w:r>
      <w:r w:rsidRPr="00451606">
        <w:rPr>
          <w:lang w:val="en"/>
        </w:rPr>
        <w:t xml:space="preserve">Census data. </w:t>
      </w:r>
    </w:p>
    <w:p w:rsidR="0058043F" w:rsidRPr="00230DF0" w:rsidRDefault="0058043F" w:rsidP="0025048D">
      <w:pPr>
        <w:pStyle w:val="21para"/>
      </w:pPr>
      <w:r w:rsidRPr="00451606">
        <w:rPr>
          <w:lang w:val="en"/>
        </w:rPr>
        <w:t>Western Australia and the Northern Territory consider</w:t>
      </w:r>
      <w:r>
        <w:rPr>
          <w:lang w:val="en"/>
        </w:rPr>
        <w:t>ed</w:t>
      </w:r>
      <w:r w:rsidRPr="00451606">
        <w:rPr>
          <w:lang w:val="en"/>
        </w:rPr>
        <w:t xml:space="preserve"> the quality of the </w:t>
      </w:r>
      <w:r w:rsidR="00D70D0F">
        <w:rPr>
          <w:lang w:val="en"/>
        </w:rPr>
        <w:t>2016 </w:t>
      </w:r>
      <w:r>
        <w:rPr>
          <w:lang w:val="en"/>
        </w:rPr>
        <w:t>Census</w:t>
      </w:r>
      <w:r w:rsidRPr="00451606">
        <w:rPr>
          <w:lang w:val="en"/>
        </w:rPr>
        <w:t xml:space="preserve"> is questionable and fit only for some purposes</w:t>
      </w:r>
      <w:r>
        <w:rPr>
          <w:lang w:val="en"/>
        </w:rPr>
        <w:t xml:space="preserve">. They argued </w:t>
      </w:r>
      <w:r w:rsidRPr="00451606">
        <w:rPr>
          <w:lang w:val="en"/>
        </w:rPr>
        <w:t xml:space="preserve">the Commission should use new data selectively. </w:t>
      </w:r>
    </w:p>
    <w:p w:rsidR="0058043F" w:rsidRDefault="0058043F" w:rsidP="0025048D">
      <w:pPr>
        <w:pStyle w:val="21para"/>
      </w:pPr>
      <w:r>
        <w:t>On the basis of the independent panel advice and its own investigations, the Commission considered that data quality does not preclude the use of the 2016 Census data in the 2018 Update, although the fitness for the Commission’s purposes of specific datasets need</w:t>
      </w:r>
      <w:r w:rsidR="005B3A1A">
        <w:t>s</w:t>
      </w:r>
      <w:r>
        <w:t xml:space="preserve"> to be considered on a case by case basis.</w:t>
      </w:r>
    </w:p>
    <w:p w:rsidR="0058043F" w:rsidRDefault="0058043F" w:rsidP="0058043F">
      <w:pPr>
        <w:pStyle w:val="Heading5"/>
      </w:pPr>
      <w:bookmarkStart w:id="495" w:name="_Toc489877476"/>
      <w:bookmarkStart w:id="496" w:name="_Toc489877531"/>
      <w:bookmarkStart w:id="497" w:name="_Toc489878074"/>
      <w:bookmarkStart w:id="498" w:name="_Toc489878450"/>
      <w:bookmarkStart w:id="499" w:name="_Toc490138804"/>
      <w:bookmarkStart w:id="500" w:name="_Toc490139334"/>
      <w:bookmarkStart w:id="501" w:name="_Toc490224741"/>
      <w:bookmarkStart w:id="502" w:name="_Toc490228103"/>
      <w:bookmarkStart w:id="503" w:name="_Toc490228664"/>
      <w:bookmarkStart w:id="504" w:name="_Toc490556253"/>
      <w:bookmarkStart w:id="505" w:name="_Toc490659134"/>
      <w:bookmarkStart w:id="506" w:name="_Toc490659323"/>
      <w:bookmarkStart w:id="507" w:name="_Toc490659527"/>
      <w:bookmarkStart w:id="508" w:name="_Toc497411545"/>
      <w:bookmarkStart w:id="509" w:name="_Toc498430056"/>
      <w:r>
        <w:t>Estimated Resident Population (ERP)</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58043F" w:rsidRDefault="0058043F" w:rsidP="0025048D">
      <w:pPr>
        <w:pStyle w:val="21para"/>
      </w:pPr>
      <w:r w:rsidRPr="00AC100E">
        <w:rPr>
          <w:rStyle w:val="Heading6Char"/>
        </w:rPr>
        <w:t>Background.</w:t>
      </w:r>
      <w:r>
        <w:t xml:space="preserve"> The </w:t>
      </w:r>
      <w:proofErr w:type="spellStart"/>
      <w:r>
        <w:t>ABS</w:t>
      </w:r>
      <w:r w:rsidR="004318FC">
        <w:t>’</w:t>
      </w:r>
      <w:r w:rsidR="00D70D0F">
        <w:t>s</w:t>
      </w:r>
      <w:proofErr w:type="spellEnd"/>
      <w:r>
        <w:t xml:space="preserve"> latest estimate of Victoria’s population for 30 June 2016 was 1</w:t>
      </w:r>
      <w:r w:rsidR="00F367C5">
        <w:t>11</w:t>
      </w:r>
      <w:r>
        <w:t> 000 higher than the comparable earlier estimate made without data from the 2016 Census data (2011 Census data adjusted for births, deaths and net migration between 2011 and 2016). For Western Australia, the new estimate was 5</w:t>
      </w:r>
      <w:r w:rsidR="00F367C5">
        <w:t>8</w:t>
      </w:r>
      <w:r>
        <w:t xml:space="preserve"> 000 lower. The </w:t>
      </w:r>
      <w:proofErr w:type="spellStart"/>
      <w:r>
        <w:t>ACT’s</w:t>
      </w:r>
      <w:proofErr w:type="spellEnd"/>
      <w:r>
        <w:t xml:space="preserve"> new estimate was 7 000 higher. No other State had a significant change to their estimates. To produce a consistent time series, the ABS has retained the 2011 </w:t>
      </w:r>
      <w:r>
        <w:lastRenderedPageBreak/>
        <w:t xml:space="preserve">population estimate, and added an additional component of population growth to reconcile the 2011 and 2016 level estimates. This additional component, known as </w:t>
      </w:r>
      <w:proofErr w:type="spellStart"/>
      <w:r>
        <w:t>intercensal</w:t>
      </w:r>
      <w:proofErr w:type="spellEnd"/>
      <w:r>
        <w:t xml:space="preserve"> difference, reduced the annual population growth in Western Australia by around 1</w:t>
      </w:r>
      <w:r w:rsidR="00F367C5">
        <w:t>1</w:t>
      </w:r>
      <w:r>
        <w:t> 000 per year between 2011 and 2016, and increased growth in Victoria by around 2</w:t>
      </w:r>
      <w:r w:rsidR="00F367C5">
        <w:t>1</w:t>
      </w:r>
      <w:r>
        <w:t> 000 per year. This is the practice the ABS has followed in every Census since ERP was first developed.</w:t>
      </w:r>
    </w:p>
    <w:p w:rsidR="0058043F" w:rsidRPr="004D114B" w:rsidRDefault="0058043F" w:rsidP="0025048D">
      <w:pPr>
        <w:pStyle w:val="21para"/>
        <w:rPr>
          <w:rStyle w:val="Heading5Char"/>
          <w:rFonts w:eastAsiaTheme="minorHAnsi" w:cstheme="minorBidi"/>
          <w:b w:val="0"/>
          <w:i w:val="0"/>
          <w:color w:val="auto"/>
          <w:sz w:val="24"/>
        </w:rPr>
      </w:pPr>
      <w:r>
        <w:t xml:space="preserve">The Commission flagged with States its intention to use the ABS published population series </w:t>
      </w:r>
      <w:r w:rsidRPr="004D114B">
        <w:t>for category assessments and closing populations in the capital assessments</w:t>
      </w:r>
      <w:r>
        <w:t xml:space="preserve">. This was on the basis that </w:t>
      </w:r>
      <w:r w:rsidRPr="004D114B">
        <w:t xml:space="preserve">the ABS has endorsed its published population series as the best measure of </w:t>
      </w:r>
      <w:r w:rsidRPr="00955A5B">
        <w:rPr>
          <w:b/>
        </w:rPr>
        <w:t>population levels</w:t>
      </w:r>
      <w:r w:rsidRPr="004D114B">
        <w:t>, and there is no reason to consider that any alternative series better reflect</w:t>
      </w:r>
      <w:r>
        <w:t>s</w:t>
      </w:r>
      <w:r w:rsidRPr="004D114B">
        <w:t xml:space="preserve"> historical population levels</w:t>
      </w:r>
      <w:r>
        <w:t xml:space="preserve">. </w:t>
      </w:r>
    </w:p>
    <w:p w:rsidR="0058043F" w:rsidRDefault="0058043F" w:rsidP="0025048D">
      <w:pPr>
        <w:pStyle w:val="21para"/>
      </w:pPr>
      <w:r>
        <w:t xml:space="preserve">States’ needs in the capital assessments are driven by </w:t>
      </w:r>
      <w:r w:rsidRPr="00955A5B">
        <w:rPr>
          <w:b/>
        </w:rPr>
        <w:t>population growth</w:t>
      </w:r>
      <w:r>
        <w:t xml:space="preserve">. To estimate population growth, the Commission was faced with a choice of either using change in population levels between years (which incorporated the </w:t>
      </w:r>
      <w:proofErr w:type="spellStart"/>
      <w:r>
        <w:t>intercensal</w:t>
      </w:r>
      <w:proofErr w:type="spellEnd"/>
      <w:r>
        <w:t xml:space="preserve"> d</w:t>
      </w:r>
      <w:r w:rsidR="00D70D0F">
        <w:t>ifference component in the ABS</w:t>
      </w:r>
      <w:r>
        <w:t xml:space="preserve"> estimates of population growth), or ABS estimates of births, deaths and net migration</w:t>
      </w:r>
      <w:r w:rsidR="000C15F1">
        <w:t xml:space="preserve"> (which do not incorporate any </w:t>
      </w:r>
      <w:proofErr w:type="spellStart"/>
      <w:r w:rsidR="000C15F1">
        <w:t>intercensal</w:t>
      </w:r>
      <w:proofErr w:type="spellEnd"/>
      <w:r w:rsidR="000C15F1">
        <w:t xml:space="preserve"> difference)</w:t>
      </w:r>
      <w:r>
        <w:t xml:space="preserve">. </w:t>
      </w:r>
    </w:p>
    <w:p w:rsidR="0058043F" w:rsidRDefault="0058043F" w:rsidP="0025048D">
      <w:pPr>
        <w:pStyle w:val="21para"/>
      </w:pPr>
      <w:r w:rsidRPr="007C4489">
        <w:rPr>
          <w:rStyle w:val="Heading5Char"/>
        </w:rPr>
        <w:t>ABS views.</w:t>
      </w:r>
      <w:r>
        <w:t xml:space="preserve"> Faced with a similar issue in the 2013 Update, ‘</w:t>
      </w:r>
      <w:r w:rsidRPr="00E74301">
        <w:t>the ABS advise</w:t>
      </w:r>
      <w:r>
        <w:t>[d]</w:t>
      </w:r>
      <w:r w:rsidRPr="00E74301">
        <w:t xml:space="preserve"> that subtracting … components of growth from the preliminary rebased</w:t>
      </w:r>
      <w:r>
        <w:t> </w:t>
      </w:r>
      <w:r w:rsidRPr="00E74301">
        <w:t>30</w:t>
      </w:r>
      <w:r>
        <w:t> </w:t>
      </w:r>
      <w:r w:rsidRPr="00E74301">
        <w:t>June</w:t>
      </w:r>
      <w:r>
        <w:t> </w:t>
      </w:r>
      <w:r w:rsidRPr="00E74301">
        <w:t xml:space="preserve">2011 ERP </w:t>
      </w:r>
      <w:r>
        <w:t>[would]</w:t>
      </w:r>
      <w:r w:rsidRPr="00E74301">
        <w:t xml:space="preserve"> provide an effective proxy for a reference point ER</w:t>
      </w:r>
      <w:r>
        <w:t xml:space="preserve">P for earlier reference periods’. </w:t>
      </w:r>
      <w:r w:rsidR="005B3A1A">
        <w:t>At that time</w:t>
      </w:r>
      <w:r>
        <w:t xml:space="preserve">, the ABS considered that the </w:t>
      </w:r>
      <w:proofErr w:type="spellStart"/>
      <w:r>
        <w:t>intercensal</w:t>
      </w:r>
      <w:proofErr w:type="spellEnd"/>
      <w:r>
        <w:t xml:space="preserve"> difference largely reflected a change in its methods of estimating population between the 2006 and 2011 Censuses. </w:t>
      </w:r>
      <w:r w:rsidR="005B3A1A">
        <w:t>In contrast, f</w:t>
      </w:r>
      <w:r>
        <w:t xml:space="preserve">ollowing the 2016 Census, the ABS considers that the 2011 and 2016 Censuses are methodologically comparable, although they do contain measurement error. The </w:t>
      </w:r>
      <w:proofErr w:type="spellStart"/>
      <w:r>
        <w:t>intercensal</w:t>
      </w:r>
      <w:proofErr w:type="spellEnd"/>
      <w:r>
        <w:t xml:space="preserve"> difference could reflect error</w:t>
      </w:r>
      <w:r w:rsidR="00BB24F9">
        <w:t>s</w:t>
      </w:r>
      <w:r>
        <w:t xml:space="preserve"> in one or more of: </w:t>
      </w:r>
    </w:p>
    <w:p w:rsidR="0058043F" w:rsidRPr="006455BD" w:rsidRDefault="0058043F" w:rsidP="006455BD">
      <w:pPr>
        <w:pStyle w:val="CGCBulletlist"/>
      </w:pPr>
      <w:r w:rsidRPr="006455BD">
        <w:t>the 2011 levels</w:t>
      </w:r>
    </w:p>
    <w:p w:rsidR="0058043F" w:rsidRPr="006455BD" w:rsidRDefault="0058043F" w:rsidP="006455BD">
      <w:pPr>
        <w:pStyle w:val="CGCBulletlist"/>
      </w:pPr>
      <w:r w:rsidRPr="006455BD">
        <w:t xml:space="preserve">the 2016 levels </w:t>
      </w:r>
    </w:p>
    <w:p w:rsidR="0058043F" w:rsidRPr="006455BD" w:rsidRDefault="0058043F" w:rsidP="006455BD">
      <w:pPr>
        <w:pStyle w:val="CGCBulletlist"/>
      </w:pPr>
      <w:proofErr w:type="gramStart"/>
      <w:r w:rsidRPr="006455BD">
        <w:t>the</w:t>
      </w:r>
      <w:proofErr w:type="gramEnd"/>
      <w:r w:rsidRPr="006455BD">
        <w:t xml:space="preserve"> measures of growth.</w:t>
      </w:r>
    </w:p>
    <w:p w:rsidR="0058043F" w:rsidRPr="00CE7709" w:rsidRDefault="0058043F" w:rsidP="0025048D">
      <w:pPr>
        <w:pStyle w:val="21para"/>
      </w:pPr>
      <w:r>
        <w:t xml:space="preserve">The ABS considers that there is no strong evidence for any particular source of error, and it has followed its usual practice of </w:t>
      </w:r>
      <w:r w:rsidRPr="00CE7709">
        <w:t xml:space="preserve">assigning all the </w:t>
      </w:r>
      <w:proofErr w:type="spellStart"/>
      <w:r w:rsidRPr="00CE7709">
        <w:t>intercensal</w:t>
      </w:r>
      <w:proofErr w:type="spellEnd"/>
      <w:r w:rsidRPr="00CE7709">
        <w:t xml:space="preserve"> difference evenly across the </w:t>
      </w:r>
      <w:proofErr w:type="spellStart"/>
      <w:r w:rsidRPr="00CE7709">
        <w:t>intercensal</w:t>
      </w:r>
      <w:proofErr w:type="spellEnd"/>
      <w:r w:rsidRPr="00CE7709">
        <w:t xml:space="preserve"> periods. It regards these as the official population estimates, which are fit for purpose.</w:t>
      </w:r>
    </w:p>
    <w:p w:rsidR="0058043F" w:rsidRDefault="0058043F" w:rsidP="006455BD">
      <w:pPr>
        <w:pStyle w:val="21para"/>
      </w:pPr>
      <w:r w:rsidRPr="00AC100E">
        <w:rPr>
          <w:rStyle w:val="Heading6Char"/>
        </w:rPr>
        <w:t>State views.</w:t>
      </w:r>
      <w:r>
        <w:t xml:space="preserve"> Western Australia considered the quality of the 2016 Census to be questionable, and the ABS approach of applying </w:t>
      </w:r>
      <w:proofErr w:type="spellStart"/>
      <w:r>
        <w:t>intercensal</w:t>
      </w:r>
      <w:proofErr w:type="spellEnd"/>
      <w:r>
        <w:t xml:space="preserve"> difference evenly across each year to be excessively simplistic. As such, it considered using actual data on population growth (rather than a simplistic model of attributing </w:t>
      </w:r>
      <w:proofErr w:type="spellStart"/>
      <w:r>
        <w:t>intercensal</w:t>
      </w:r>
      <w:proofErr w:type="spellEnd"/>
      <w:r>
        <w:t xml:space="preserve"> </w:t>
      </w:r>
      <w:r w:rsidR="00BD3F28">
        <w:t>difference</w:t>
      </w:r>
      <w:r>
        <w:t xml:space="preserve"> evenly across years) was more appropriate. It also stated that the Commission should use levels as published based on the 2011 Census for years to 2015, and only use the 2016 Census based estimates for 2016.</w:t>
      </w:r>
    </w:p>
    <w:p w:rsidR="0058043F" w:rsidRDefault="0058043F" w:rsidP="006455BD">
      <w:pPr>
        <w:pStyle w:val="21para"/>
      </w:pPr>
      <w:r>
        <w:lastRenderedPageBreak/>
        <w:t xml:space="preserve">Tasmania and the Northern Territory considered the Commission should use components of growth to measure population growth. </w:t>
      </w:r>
      <w:r w:rsidR="00BD3F28" w:rsidRPr="00BD3F28">
        <w:t xml:space="preserve">The Northern Territory said that the </w:t>
      </w:r>
      <w:proofErr w:type="spellStart"/>
      <w:r w:rsidR="00BD3F28" w:rsidRPr="00BD3F28">
        <w:t>intercensal</w:t>
      </w:r>
      <w:proofErr w:type="spellEnd"/>
      <w:r w:rsidR="00BD3F28" w:rsidRPr="00BD3F28">
        <w:t xml:space="preserve"> difference is not a measure of growth, but rather an error adjustment.</w:t>
      </w:r>
    </w:p>
    <w:p w:rsidR="0058043F" w:rsidRDefault="0058043F" w:rsidP="00D76181">
      <w:pPr>
        <w:pStyle w:val="21para"/>
      </w:pPr>
      <w:r>
        <w:t xml:space="preserve">The other five States considered the Commission should use the published population level series. For Victoria, Queensland and South Australia, this </w:t>
      </w:r>
      <w:r w:rsidR="00EE2786">
        <w:t>wa</w:t>
      </w:r>
      <w:r>
        <w:t xml:space="preserve">s primarily on the basis that the published series are endorsed by the ABS. </w:t>
      </w:r>
    </w:p>
    <w:p w:rsidR="0058043F" w:rsidRPr="006455BD" w:rsidRDefault="0058043F" w:rsidP="006455BD">
      <w:pPr>
        <w:pStyle w:val="CGCBulletlist"/>
      </w:pPr>
      <w:r w:rsidRPr="006455BD">
        <w:t xml:space="preserve">Queensland noted that this is the ABS usual practice after each Census since 1971. Victoria noted that the ABS measures of jobs growth, using the labour force series, are benchmarked to ABS population estimates, inferring that the ABS considers jobs growth to be best measured by incorporating </w:t>
      </w:r>
      <w:proofErr w:type="spellStart"/>
      <w:r w:rsidRPr="006455BD">
        <w:t>intercensal</w:t>
      </w:r>
      <w:proofErr w:type="spellEnd"/>
      <w:r w:rsidRPr="006455BD">
        <w:t xml:space="preserve"> difference. </w:t>
      </w:r>
    </w:p>
    <w:p w:rsidR="0058043F" w:rsidRPr="006455BD" w:rsidRDefault="0058043F" w:rsidP="006455BD">
      <w:pPr>
        <w:pStyle w:val="CGCBulletlist"/>
      </w:pPr>
      <w:r w:rsidRPr="006455BD">
        <w:t xml:space="preserve">The ACT argument rested not with the ABS authority but on the premise that, as the Commission is accepting the 2016 level, the appropriate </w:t>
      </w:r>
      <w:proofErr w:type="spellStart"/>
      <w:r w:rsidRPr="006455BD">
        <w:t>HFE</w:t>
      </w:r>
      <w:proofErr w:type="spellEnd"/>
      <w:r w:rsidRPr="006455BD">
        <w:t xml:space="preserve"> outcome is to accept that Victoria incurred a fiscal cost in providing infrastructure in getting to that level.</w:t>
      </w:r>
    </w:p>
    <w:p w:rsidR="00B614D6" w:rsidRDefault="0058043F" w:rsidP="00D76181">
      <w:pPr>
        <w:pStyle w:val="21para"/>
      </w:pPr>
      <w:r>
        <w:t xml:space="preserve">The three alternative approaches are illustrated in </w:t>
      </w:r>
      <w:r>
        <w:fldChar w:fldCharType="begin"/>
      </w:r>
      <w:r>
        <w:instrText xml:space="preserve"> REF _Ref504905550 \h </w:instrText>
      </w:r>
      <w:r>
        <w:fldChar w:fldCharType="separate"/>
      </w:r>
      <w:r w:rsidR="000A6746">
        <w:t>Figure 2</w:t>
      </w:r>
      <w:r w:rsidR="000A6746">
        <w:noBreakHyphen/>
      </w:r>
      <w:r w:rsidR="000A6746">
        <w:rPr>
          <w:noProof/>
        </w:rPr>
        <w:t>1</w:t>
      </w:r>
      <w:r>
        <w:fldChar w:fldCharType="end"/>
      </w:r>
      <w:r>
        <w:t xml:space="preserve"> </w:t>
      </w:r>
      <w:r w:rsidR="00B614D6">
        <w:t>in respect of Victoria’s population.</w:t>
      </w:r>
    </w:p>
    <w:p w:rsidR="00587C87" w:rsidRDefault="0058043F" w:rsidP="0058043F">
      <w:pPr>
        <w:pStyle w:val="Caption"/>
      </w:pPr>
      <w:bookmarkStart w:id="510" w:name="_Ref504905550"/>
      <w:r>
        <w:t>Figure 2</w:t>
      </w:r>
      <w:r>
        <w:noBreakHyphen/>
      </w:r>
      <w:r w:rsidR="00CD68E8">
        <w:fldChar w:fldCharType="begin"/>
      </w:r>
      <w:r w:rsidR="00CD68E8">
        <w:instrText xml:space="preserve"> SEQ Figure \* ARABIC \s 1 </w:instrText>
      </w:r>
      <w:r w:rsidR="00CD68E8">
        <w:fldChar w:fldCharType="separate"/>
      </w:r>
      <w:r w:rsidR="000A6746">
        <w:rPr>
          <w:noProof/>
        </w:rPr>
        <w:t>1</w:t>
      </w:r>
      <w:r w:rsidR="00CD68E8">
        <w:rPr>
          <w:noProof/>
        </w:rPr>
        <w:fldChar w:fldCharType="end"/>
      </w:r>
      <w:bookmarkEnd w:id="510"/>
      <w:r>
        <w:tab/>
      </w:r>
      <w:r w:rsidR="00654BBB">
        <w:t>A</w:t>
      </w:r>
      <w:r w:rsidR="0022167E">
        <w:t>lternative a</w:t>
      </w:r>
      <w:r>
        <w:t>pproaches to measuring Victoria’s population</w:t>
      </w:r>
    </w:p>
    <w:p w:rsidR="003E188F" w:rsidRDefault="003E188F" w:rsidP="003E188F">
      <w:r>
        <w:rPr>
          <w:noProof/>
          <w:lang w:eastAsia="en-AU"/>
        </w:rPr>
        <w:drawing>
          <wp:inline distT="0" distB="0" distL="0" distR="0" wp14:anchorId="3CDB9C9C" wp14:editId="5013EFA7">
            <wp:extent cx="5661660" cy="3566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1660" cy="3566160"/>
                    </a:xfrm>
                    <a:prstGeom prst="rect">
                      <a:avLst/>
                    </a:prstGeom>
                    <a:noFill/>
                  </pic:spPr>
                </pic:pic>
              </a:graphicData>
            </a:graphic>
          </wp:inline>
        </w:drawing>
      </w:r>
    </w:p>
    <w:p w:rsidR="0058043F" w:rsidRPr="00A43EDF" w:rsidRDefault="0058043F" w:rsidP="0058043F">
      <w:pPr>
        <w:pStyle w:val="CGCTableFootnote"/>
        <w:rPr>
          <w:rStyle w:val="Heading5Char"/>
          <w:rFonts w:eastAsiaTheme="minorHAnsi" w:cstheme="minorBidi"/>
          <w:b w:val="0"/>
          <w:i w:val="0"/>
          <w:color w:val="auto"/>
          <w:sz w:val="20"/>
        </w:rPr>
      </w:pPr>
      <w:r w:rsidRPr="00BD3F28">
        <w:rPr>
          <w:rStyle w:val="Heading5Char"/>
          <w:rFonts w:eastAsiaTheme="minorHAnsi" w:cstheme="minorBidi"/>
          <w:b w:val="0"/>
          <w:i w:val="0"/>
          <w:color w:val="auto"/>
          <w:sz w:val="20"/>
        </w:rPr>
        <w:t xml:space="preserve">Source: </w:t>
      </w:r>
      <w:r w:rsidR="00980CBA" w:rsidRPr="00BD3F28">
        <w:rPr>
          <w:rStyle w:val="Heading5Char"/>
          <w:rFonts w:eastAsiaTheme="minorHAnsi" w:cstheme="minorBidi"/>
          <w:b w:val="0"/>
          <w:i w:val="0"/>
          <w:color w:val="auto"/>
          <w:sz w:val="20"/>
        </w:rPr>
        <w:t>ABS</w:t>
      </w:r>
      <w:r w:rsidR="00980CBA" w:rsidRPr="00980CBA">
        <w:rPr>
          <w:rStyle w:val="Heading5Char"/>
          <w:rFonts w:eastAsiaTheme="minorHAnsi" w:cstheme="minorBidi"/>
          <w:b w:val="0"/>
          <w:i w:val="0"/>
          <w:color w:val="auto"/>
          <w:sz w:val="20"/>
        </w:rPr>
        <w:t xml:space="preserve">, </w:t>
      </w:r>
      <w:r w:rsidR="00980CBA" w:rsidRPr="00980CBA">
        <w:rPr>
          <w:rStyle w:val="Heading5Char"/>
          <w:rFonts w:eastAsiaTheme="minorHAnsi" w:cstheme="minorBidi"/>
          <w:b w:val="0"/>
          <w:color w:val="auto"/>
          <w:sz w:val="20"/>
        </w:rPr>
        <w:t>Australian Demographic Statistics</w:t>
      </w:r>
      <w:r w:rsidR="00980CBA" w:rsidRPr="00980CBA">
        <w:rPr>
          <w:rStyle w:val="Heading5Char"/>
          <w:rFonts w:eastAsiaTheme="minorHAnsi" w:cstheme="minorBidi"/>
          <w:b w:val="0"/>
          <w:i w:val="0"/>
          <w:color w:val="auto"/>
          <w:sz w:val="20"/>
        </w:rPr>
        <w:t xml:space="preserve">, Cat. </w:t>
      </w:r>
      <w:proofErr w:type="gramStart"/>
      <w:r w:rsidR="00980CBA" w:rsidRPr="00980CBA">
        <w:rPr>
          <w:rStyle w:val="Heading5Char"/>
          <w:rFonts w:eastAsiaTheme="minorHAnsi" w:cstheme="minorBidi"/>
          <w:b w:val="0"/>
          <w:i w:val="0"/>
          <w:color w:val="auto"/>
          <w:sz w:val="20"/>
        </w:rPr>
        <w:t>No. 3101.0.</w:t>
      </w:r>
      <w:proofErr w:type="gramEnd"/>
      <w:r w:rsidR="00980CBA" w:rsidRPr="00980CBA" w:rsidDel="00980CBA">
        <w:rPr>
          <w:rStyle w:val="Heading5Char"/>
          <w:rFonts w:eastAsiaTheme="minorHAnsi" w:cstheme="minorBidi"/>
          <w:b w:val="0"/>
          <w:i w:val="0"/>
          <w:color w:val="auto"/>
          <w:sz w:val="20"/>
          <w:highlight w:val="yellow"/>
        </w:rPr>
        <w:t xml:space="preserve"> </w:t>
      </w:r>
    </w:p>
    <w:p w:rsidR="00B614D6" w:rsidRDefault="00B614D6" w:rsidP="00D76181">
      <w:pPr>
        <w:pStyle w:val="21para"/>
      </w:pPr>
      <w:r w:rsidRPr="006135FE">
        <w:rPr>
          <w:rStyle w:val="Heading5Char"/>
        </w:rPr>
        <w:t xml:space="preserve">Commission decision. </w:t>
      </w:r>
      <w:r>
        <w:t xml:space="preserve">The Commission does not accept the Western Australian argument that using the 2011 Census based estimate of the 2015 ERP represents </w:t>
      </w:r>
      <w:r>
        <w:lastRenderedPageBreak/>
        <w:t>using the latest available data. While it accepts that this number can be derived from estimates the ABS still endorse (2011 ERP, and growth from 2011 to 2015), a var</w:t>
      </w:r>
      <w:r w:rsidR="00F41FF4">
        <w:t>iety of other estimates for those</w:t>
      </w:r>
      <w:r>
        <w:t xml:space="preserve"> data could also be derived using the latest available data. The latest available estimate for the population level in 2015 is the ABS published number for that series. In the absence of ABS advice or evidence that errors in the 2016 Census are the main source of </w:t>
      </w:r>
      <w:proofErr w:type="spellStart"/>
      <w:r>
        <w:t>intercensal</w:t>
      </w:r>
      <w:proofErr w:type="spellEnd"/>
      <w:r>
        <w:t xml:space="preserve"> difference, the Commission has used 2016 Census data as it is the most reliable, and up-to-date, available data. </w:t>
      </w:r>
    </w:p>
    <w:p w:rsidR="000C15F1" w:rsidRPr="005C5A62" w:rsidRDefault="000C15F1" w:rsidP="000C15F1">
      <w:pPr>
        <w:pStyle w:val="21para"/>
      </w:pPr>
      <w:r w:rsidRPr="005C5A62">
        <w:t>On balance, the Commission has decided to use the ABS data as published, and to use the change in population levels as the official, and most reliable, estimate of growth. The ABS is the subject matter expert in this field and has published data for population estimates that they endorse as fit-for-purpose. The Commission has accepted the ABS advice and practice on use of its data.</w:t>
      </w:r>
    </w:p>
    <w:p w:rsidR="00B614D6" w:rsidRPr="005C5A62" w:rsidRDefault="000C15F1" w:rsidP="000C15F1">
      <w:pPr>
        <w:pStyle w:val="21para"/>
      </w:pPr>
      <w:r w:rsidRPr="005C5A62">
        <w:t xml:space="preserve">The Commission will consult with States on whether it should more explicitly define its measure of population growth for the capital assessments as part of the </w:t>
      </w:r>
      <w:r w:rsidR="00BF67BF" w:rsidRPr="005C5A62">
        <w:t>2020 R</w:t>
      </w:r>
      <w:r w:rsidRPr="005C5A62">
        <w:t>eview</w:t>
      </w:r>
      <w:r w:rsidR="00B614D6" w:rsidRPr="005C5A62">
        <w:t>.</w:t>
      </w:r>
    </w:p>
    <w:p w:rsidR="00B614D6" w:rsidRDefault="00B614D6" w:rsidP="00B614D6">
      <w:pPr>
        <w:pStyle w:val="Heading5"/>
      </w:pPr>
      <w:bookmarkStart w:id="511" w:name="_Toc489877477"/>
      <w:bookmarkStart w:id="512" w:name="_Toc489877532"/>
      <w:bookmarkStart w:id="513" w:name="_Toc489878075"/>
      <w:bookmarkStart w:id="514" w:name="_Toc489878451"/>
      <w:bookmarkStart w:id="515" w:name="_Toc490138805"/>
      <w:bookmarkStart w:id="516" w:name="_Toc490139335"/>
      <w:bookmarkStart w:id="517" w:name="_Toc490224742"/>
      <w:bookmarkStart w:id="518" w:name="_Toc490228104"/>
      <w:bookmarkStart w:id="519" w:name="_Toc490228665"/>
      <w:bookmarkStart w:id="520" w:name="_Toc490556254"/>
      <w:bookmarkStart w:id="521" w:name="_Toc490659135"/>
      <w:bookmarkStart w:id="522" w:name="_Toc490659324"/>
      <w:bookmarkStart w:id="523" w:name="_Toc490659528"/>
      <w:bookmarkStart w:id="524" w:name="_Toc497411546"/>
      <w:bookmarkStart w:id="525" w:name="_Toc498430057"/>
      <w:r>
        <w:t>Indigenous population</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t xml:space="preserve"> and socio-economic status </w:t>
      </w:r>
    </w:p>
    <w:p w:rsidR="0058043F" w:rsidRDefault="00B614D6" w:rsidP="00D76181">
      <w:pPr>
        <w:pStyle w:val="21para"/>
      </w:pPr>
      <w:r w:rsidRPr="00AC100E">
        <w:rPr>
          <w:rStyle w:val="Heading6Char"/>
        </w:rPr>
        <w:t>Background.</w:t>
      </w:r>
      <w:r>
        <w:t xml:space="preserve"> </w:t>
      </w:r>
      <w:r w:rsidRPr="00542FBA">
        <w:t>The ABS has produced State level estimates of the Indigenous population based on the 2016</w:t>
      </w:r>
      <w:r>
        <w:t> </w:t>
      </w:r>
      <w:r w:rsidRPr="00542FBA">
        <w:t>Census. These differ from the projections based on the 2011</w:t>
      </w:r>
      <w:r>
        <w:t> </w:t>
      </w:r>
      <w:r w:rsidRPr="00542FBA">
        <w:t xml:space="preserve">Census updated for expected births, deaths and </w:t>
      </w:r>
      <w:r>
        <w:t xml:space="preserve">net </w:t>
      </w:r>
      <w:r w:rsidRPr="00542FBA">
        <w:t>migration</w:t>
      </w:r>
      <w:r>
        <w:t>. These differences</w:t>
      </w:r>
      <w:r w:rsidRPr="00542FBA">
        <w:t xml:space="preserve"> largely </w:t>
      </w:r>
      <w:r>
        <w:t>reflect that more</w:t>
      </w:r>
      <w:r w:rsidRPr="00542FBA">
        <w:t xml:space="preserve"> people </w:t>
      </w:r>
      <w:r>
        <w:t xml:space="preserve">identified </w:t>
      </w:r>
      <w:r w:rsidRPr="00542FBA">
        <w:t xml:space="preserve">as Indigenous </w:t>
      </w:r>
      <w:r>
        <w:t xml:space="preserve">in </w:t>
      </w:r>
      <w:r w:rsidR="00FD1060">
        <w:t>the 2016 </w:t>
      </w:r>
      <w:r>
        <w:t xml:space="preserve">Census </w:t>
      </w:r>
      <w:r w:rsidRPr="00542FBA">
        <w:t>than in the past</w:t>
      </w:r>
      <w:r>
        <w:t xml:space="preserve">. These differences, or unexplained growth, are </w:t>
      </w:r>
      <w:r w:rsidRPr="00542FBA">
        <w:t>shown in</w:t>
      </w:r>
      <w:r>
        <w:t xml:space="preserve"> </w:t>
      </w:r>
      <w:r>
        <w:fldChar w:fldCharType="begin"/>
      </w:r>
      <w:r>
        <w:instrText xml:space="preserve"> REF _Ref504905765 \h </w:instrText>
      </w:r>
      <w:r>
        <w:fldChar w:fldCharType="separate"/>
      </w:r>
      <w:r w:rsidR="000A6746">
        <w:t>Table 2</w:t>
      </w:r>
      <w:r w:rsidR="000A6746">
        <w:noBreakHyphen/>
      </w:r>
      <w:r w:rsidR="000A6746">
        <w:rPr>
          <w:noProof/>
        </w:rPr>
        <w:t>1</w:t>
      </w:r>
      <w:r>
        <w:fldChar w:fldCharType="end"/>
      </w:r>
      <w:r>
        <w:t>.</w:t>
      </w:r>
    </w:p>
    <w:p w:rsidR="00B614D6" w:rsidRDefault="00B614D6" w:rsidP="00B614D6">
      <w:pPr>
        <w:pStyle w:val="Caption"/>
      </w:pPr>
      <w:bookmarkStart w:id="526" w:name="_Ref504905765"/>
      <w:r>
        <w:t>Table 2</w:t>
      </w:r>
      <w:r>
        <w:noBreakHyphen/>
      </w:r>
      <w:r w:rsidR="00CD68E8">
        <w:fldChar w:fldCharType="begin"/>
      </w:r>
      <w:r w:rsidR="00CD68E8">
        <w:instrText xml:space="preserve"> SEQ Table \* ARABIC \S 1 </w:instrText>
      </w:r>
      <w:r w:rsidR="00CD68E8">
        <w:fldChar w:fldCharType="separate"/>
      </w:r>
      <w:r w:rsidR="000A6746">
        <w:rPr>
          <w:noProof/>
        </w:rPr>
        <w:t>1</w:t>
      </w:r>
      <w:r w:rsidR="00CD68E8">
        <w:rPr>
          <w:noProof/>
        </w:rPr>
        <w:fldChar w:fldCharType="end"/>
      </w:r>
      <w:bookmarkEnd w:id="526"/>
      <w:r>
        <w:tab/>
      </w:r>
      <w:r w:rsidRPr="00542FBA">
        <w:t xml:space="preserve">Indigenous population, </w:t>
      </w:r>
      <w:r w:rsidR="007C157C">
        <w:t xml:space="preserve">2011 and </w:t>
      </w:r>
      <w:r w:rsidRPr="00542FBA">
        <w:t>2016</w:t>
      </w:r>
    </w:p>
    <w:tbl>
      <w:tblPr>
        <w:tblW w:w="8980" w:type="dxa"/>
        <w:tblLayout w:type="fixed"/>
        <w:tblCellMar>
          <w:left w:w="0" w:type="dxa"/>
          <w:right w:w="0" w:type="dxa"/>
        </w:tblCellMar>
        <w:tblLook w:val="04A0" w:firstRow="1" w:lastRow="0" w:firstColumn="1" w:lastColumn="0" w:noHBand="0" w:noVBand="1"/>
      </w:tblPr>
      <w:tblGrid>
        <w:gridCol w:w="1000"/>
        <w:gridCol w:w="1200"/>
        <w:gridCol w:w="1200"/>
        <w:gridCol w:w="1300"/>
        <w:gridCol w:w="680"/>
        <w:gridCol w:w="1200"/>
        <w:gridCol w:w="1200"/>
        <w:gridCol w:w="1200"/>
      </w:tblGrid>
      <w:tr w:rsidR="00B614D6" w:rsidRPr="00DD290C" w:rsidTr="00E85C3A">
        <w:trPr>
          <w:trHeight w:val="315"/>
        </w:trPr>
        <w:tc>
          <w:tcPr>
            <w:tcW w:w="1000" w:type="dxa"/>
            <w:tcBorders>
              <w:top w:val="single" w:sz="4" w:space="0" w:color="auto"/>
              <w:left w:val="nil"/>
              <w:bottom w:val="nil"/>
              <w:right w:val="nil"/>
            </w:tcBorders>
            <w:shd w:val="clear" w:color="auto" w:fill="auto"/>
            <w:noWrap/>
            <w:vAlign w:val="center"/>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bookmarkStart w:id="527" w:name="RANGE!A19:H30"/>
            <w:r w:rsidRPr="00DD290C">
              <w:rPr>
                <w:rFonts w:ascii="Calibri" w:eastAsia="Times New Roman" w:hAnsi="Calibri" w:cs="Times New Roman"/>
                <w:color w:val="000000"/>
                <w:sz w:val="20"/>
                <w:szCs w:val="20"/>
                <w:lang w:eastAsia="en-AU"/>
              </w:rPr>
              <w:t> </w:t>
            </w:r>
            <w:bookmarkEnd w:id="527"/>
          </w:p>
        </w:tc>
        <w:tc>
          <w:tcPr>
            <w:tcW w:w="1200" w:type="dxa"/>
            <w:tcBorders>
              <w:top w:val="single" w:sz="4" w:space="0" w:color="auto"/>
              <w:left w:val="nil"/>
              <w:bottom w:val="nil"/>
              <w:right w:val="nil"/>
            </w:tcBorders>
            <w:shd w:val="clear" w:color="auto" w:fill="auto"/>
            <w:noWrap/>
            <w:vAlign w:val="center"/>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1200" w:type="dxa"/>
            <w:tcBorders>
              <w:top w:val="single" w:sz="4" w:space="0" w:color="auto"/>
              <w:left w:val="nil"/>
              <w:bottom w:val="nil"/>
              <w:right w:val="nil"/>
            </w:tcBorders>
            <w:shd w:val="clear" w:color="auto" w:fill="auto"/>
            <w:noWrap/>
            <w:vAlign w:val="center"/>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1300" w:type="dxa"/>
            <w:tcBorders>
              <w:top w:val="single" w:sz="4" w:space="0" w:color="auto"/>
              <w:left w:val="nil"/>
              <w:bottom w:val="nil"/>
              <w:right w:val="nil"/>
            </w:tcBorders>
            <w:shd w:val="clear" w:color="auto" w:fill="auto"/>
            <w:noWrap/>
            <w:vAlign w:val="center"/>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680" w:type="dxa"/>
            <w:tcBorders>
              <w:top w:val="single" w:sz="4" w:space="0" w:color="auto"/>
              <w:left w:val="nil"/>
              <w:bottom w:val="nil"/>
              <w:right w:val="nil"/>
            </w:tcBorders>
            <w:shd w:val="clear" w:color="auto" w:fill="auto"/>
            <w:noWrap/>
            <w:vAlign w:val="center"/>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3600" w:type="dxa"/>
            <w:gridSpan w:val="3"/>
            <w:tcBorders>
              <w:top w:val="single" w:sz="4" w:space="0" w:color="auto"/>
              <w:left w:val="nil"/>
              <w:bottom w:val="single" w:sz="4" w:space="0" w:color="auto"/>
              <w:right w:val="nil"/>
            </w:tcBorders>
            <w:shd w:val="clear" w:color="auto" w:fill="auto"/>
            <w:noWrap/>
            <w:vAlign w:val="center"/>
            <w:hideMark/>
          </w:tcPr>
          <w:p w:rsidR="00B614D6" w:rsidRPr="00DD290C" w:rsidRDefault="00B614D6" w:rsidP="00E85C3A">
            <w:pPr>
              <w:keepNext/>
              <w:keepLines/>
              <w:tabs>
                <w:tab w:val="clear" w:pos="567"/>
              </w:tabs>
              <w:spacing w:after="0" w:line="240" w:lineRule="auto"/>
              <w:ind w:left="193" w:hanging="142"/>
              <w:jc w:val="center"/>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Share of Indigenous population</w:t>
            </w:r>
          </w:p>
        </w:tc>
      </w:tr>
      <w:tr w:rsidR="00B614D6" w:rsidRPr="00DD290C" w:rsidTr="00E85C3A">
        <w:trPr>
          <w:trHeight w:val="555"/>
        </w:trPr>
        <w:tc>
          <w:tcPr>
            <w:tcW w:w="1000" w:type="dxa"/>
            <w:tcBorders>
              <w:top w:val="nil"/>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1200" w:type="dxa"/>
            <w:tcBorders>
              <w:top w:val="nil"/>
              <w:left w:val="nil"/>
              <w:bottom w:val="single" w:sz="4" w:space="0" w:color="auto"/>
              <w:right w:val="nil"/>
            </w:tcBorders>
            <w:shd w:val="clear" w:color="auto" w:fill="auto"/>
            <w:vAlign w:val="bottom"/>
            <w:hideMark/>
          </w:tcPr>
          <w:p w:rsidR="00B614D6" w:rsidRPr="00DD290C" w:rsidRDefault="00B614D6" w:rsidP="00980CB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2011 based </w:t>
            </w:r>
            <w:r w:rsidR="00980CBA">
              <w:rPr>
                <w:rFonts w:ascii="Calibri" w:eastAsia="Times New Roman" w:hAnsi="Calibri" w:cs="Times New Roman"/>
                <w:color w:val="000000"/>
                <w:sz w:val="20"/>
                <w:szCs w:val="20"/>
                <w:lang w:eastAsia="en-AU"/>
              </w:rPr>
              <w:t>p</w:t>
            </w:r>
            <w:r w:rsidRPr="00DD290C">
              <w:rPr>
                <w:rFonts w:ascii="Calibri" w:eastAsia="Times New Roman" w:hAnsi="Calibri" w:cs="Times New Roman"/>
                <w:color w:val="000000"/>
                <w:sz w:val="20"/>
                <w:szCs w:val="20"/>
                <w:lang w:eastAsia="en-AU"/>
              </w:rPr>
              <w:t>rojection</w:t>
            </w:r>
          </w:p>
        </w:tc>
        <w:tc>
          <w:tcPr>
            <w:tcW w:w="1200" w:type="dxa"/>
            <w:tcBorders>
              <w:top w:val="nil"/>
              <w:left w:val="nil"/>
              <w:bottom w:val="single" w:sz="4" w:space="0" w:color="auto"/>
              <w:right w:val="nil"/>
            </w:tcBorders>
            <w:shd w:val="clear" w:color="auto" w:fill="auto"/>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2016 estimate</w:t>
            </w:r>
          </w:p>
        </w:tc>
        <w:tc>
          <w:tcPr>
            <w:tcW w:w="1300" w:type="dxa"/>
            <w:tcBorders>
              <w:top w:val="nil"/>
              <w:left w:val="nil"/>
              <w:bottom w:val="single" w:sz="4" w:space="0" w:color="auto"/>
              <w:right w:val="nil"/>
            </w:tcBorders>
            <w:shd w:val="clear" w:color="auto" w:fill="auto"/>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Unexplained growth</w:t>
            </w:r>
          </w:p>
        </w:tc>
        <w:tc>
          <w:tcPr>
            <w:tcW w:w="680" w:type="dxa"/>
            <w:tcBorders>
              <w:top w:val="nil"/>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1200" w:type="dxa"/>
            <w:tcBorders>
              <w:top w:val="nil"/>
              <w:left w:val="nil"/>
              <w:bottom w:val="single" w:sz="4" w:space="0" w:color="auto"/>
              <w:right w:val="nil"/>
            </w:tcBorders>
            <w:shd w:val="clear" w:color="auto" w:fill="auto"/>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2011 based projection</w:t>
            </w:r>
          </w:p>
        </w:tc>
        <w:tc>
          <w:tcPr>
            <w:tcW w:w="1200" w:type="dxa"/>
            <w:tcBorders>
              <w:top w:val="nil"/>
              <w:left w:val="nil"/>
              <w:bottom w:val="single" w:sz="4" w:space="0" w:color="auto"/>
              <w:right w:val="nil"/>
            </w:tcBorders>
            <w:shd w:val="clear" w:color="auto" w:fill="auto"/>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2016 estimate</w:t>
            </w:r>
          </w:p>
        </w:tc>
        <w:tc>
          <w:tcPr>
            <w:tcW w:w="1200" w:type="dxa"/>
            <w:tcBorders>
              <w:top w:val="nil"/>
              <w:left w:val="nil"/>
              <w:bottom w:val="single" w:sz="4" w:space="0" w:color="auto"/>
              <w:right w:val="nil"/>
            </w:tcBorders>
            <w:shd w:val="clear" w:color="auto" w:fill="auto"/>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Change</w:t>
            </w:r>
          </w:p>
        </w:tc>
      </w:tr>
      <w:tr w:rsidR="00B614D6" w:rsidRPr="00DD290C" w:rsidTr="00E85C3A">
        <w:trPr>
          <w:trHeight w:val="259"/>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No.</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No.</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NSW</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230 564</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265 600</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15.2</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30.9</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33.3</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2.4</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VIC</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53 817</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57 782</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7.4</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7.2</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7.2</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0.0</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QLD</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213 712</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221 398</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3.6</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28.6</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27.7</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-0.9</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WA</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97 907</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100 509</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2.7</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13.1</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12.6</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-0.5</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SA</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41 613</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42 256</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1.5</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5.6</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5.3</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-0.3</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TAS</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27 114</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28 539</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5.3</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3.6</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3.6</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-0.1</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ACT</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7 121</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7 524</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5.7</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1.0</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0.9</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0.0</w:t>
            </w:r>
          </w:p>
        </w:tc>
      </w:tr>
      <w:tr w:rsidR="00B614D6" w:rsidRPr="00DD290C" w:rsidTr="00E85C3A">
        <w:trPr>
          <w:trHeight w:val="315"/>
        </w:trPr>
        <w:tc>
          <w:tcPr>
            <w:tcW w:w="10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NT</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74 679</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74 509</w:t>
            </w:r>
          </w:p>
        </w:tc>
        <w:tc>
          <w:tcPr>
            <w:tcW w:w="13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-0.2</w:t>
            </w:r>
          </w:p>
        </w:tc>
        <w:tc>
          <w:tcPr>
            <w:tcW w:w="68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10.0</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9.3</w:t>
            </w:r>
          </w:p>
        </w:tc>
        <w:tc>
          <w:tcPr>
            <w:tcW w:w="1200" w:type="dxa"/>
            <w:tcBorders>
              <w:top w:val="nil"/>
              <w:left w:val="nil"/>
              <w:bottom w:val="nil"/>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-0.7</w:t>
            </w:r>
          </w:p>
        </w:tc>
      </w:tr>
      <w:tr w:rsidR="00B614D6" w:rsidRPr="00DD290C" w:rsidTr="00E85C3A">
        <w:trPr>
          <w:trHeight w:val="315"/>
        </w:trPr>
        <w:tc>
          <w:tcPr>
            <w:tcW w:w="1000" w:type="dxa"/>
            <w:tcBorders>
              <w:top w:val="nil"/>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Total</w:t>
            </w:r>
          </w:p>
        </w:tc>
        <w:tc>
          <w:tcPr>
            <w:tcW w:w="120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746 527</w:t>
            </w:r>
          </w:p>
        </w:tc>
        <w:tc>
          <w:tcPr>
            <w:tcW w:w="120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980CB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xml:space="preserve"> 798 </w:t>
            </w:r>
            <w:r w:rsidR="00980CBA">
              <w:rPr>
                <w:rFonts w:ascii="Calibri" w:eastAsia="Times New Roman" w:hAnsi="Calibri" w:cs="Times New Roman"/>
                <w:color w:val="000000"/>
                <w:sz w:val="20"/>
                <w:szCs w:val="20"/>
                <w:lang w:eastAsia="en-AU"/>
              </w:rPr>
              <w:t>117</w:t>
            </w:r>
          </w:p>
        </w:tc>
        <w:tc>
          <w:tcPr>
            <w:tcW w:w="130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6.9</w:t>
            </w:r>
          </w:p>
        </w:tc>
        <w:tc>
          <w:tcPr>
            <w:tcW w:w="68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 </w:t>
            </w:r>
          </w:p>
        </w:tc>
        <w:tc>
          <w:tcPr>
            <w:tcW w:w="120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100.0</w:t>
            </w:r>
          </w:p>
        </w:tc>
        <w:tc>
          <w:tcPr>
            <w:tcW w:w="120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100.0</w:t>
            </w:r>
          </w:p>
        </w:tc>
        <w:tc>
          <w:tcPr>
            <w:tcW w:w="1200" w:type="dxa"/>
            <w:tcBorders>
              <w:top w:val="single" w:sz="4" w:space="0" w:color="auto"/>
              <w:left w:val="nil"/>
              <w:bottom w:val="single" w:sz="4" w:space="0" w:color="auto"/>
              <w:right w:val="nil"/>
            </w:tcBorders>
            <w:shd w:val="clear" w:color="auto" w:fill="auto"/>
            <w:noWrap/>
            <w:vAlign w:val="bottom"/>
            <w:hideMark/>
          </w:tcPr>
          <w:p w:rsidR="00B614D6" w:rsidRPr="00DD290C" w:rsidRDefault="00B614D6" w:rsidP="00E85C3A">
            <w:pPr>
              <w:keepNext/>
              <w:keepLines/>
              <w:tabs>
                <w:tab w:val="clear" w:pos="567"/>
              </w:tabs>
              <w:spacing w:after="0" w:line="240" w:lineRule="auto"/>
              <w:ind w:left="193" w:hanging="142"/>
              <w:jc w:val="right"/>
              <w:rPr>
                <w:rFonts w:ascii="Calibri" w:eastAsia="Times New Roman" w:hAnsi="Calibri" w:cs="Times New Roman"/>
                <w:color w:val="000000"/>
                <w:sz w:val="20"/>
                <w:szCs w:val="20"/>
                <w:lang w:eastAsia="en-AU"/>
              </w:rPr>
            </w:pPr>
            <w:r w:rsidRPr="00DD290C">
              <w:rPr>
                <w:rFonts w:ascii="Calibri" w:eastAsia="Times New Roman" w:hAnsi="Calibri" w:cs="Times New Roman"/>
                <w:color w:val="000000"/>
                <w:sz w:val="20"/>
                <w:szCs w:val="20"/>
                <w:lang w:eastAsia="en-AU"/>
              </w:rPr>
              <w:t>0.0</w:t>
            </w:r>
          </w:p>
        </w:tc>
      </w:tr>
    </w:tbl>
    <w:p w:rsidR="00B614D6" w:rsidRPr="00B614D6" w:rsidRDefault="00B614D6" w:rsidP="00B614D6">
      <w:pPr>
        <w:pStyle w:val="CGCTableFootnote"/>
      </w:pPr>
      <w:r w:rsidRPr="005B7C70">
        <w:t>Source:</w:t>
      </w:r>
      <w:r w:rsidRPr="005B7C70">
        <w:tab/>
      </w:r>
      <w:r w:rsidR="00980CBA" w:rsidRPr="00980CBA">
        <w:rPr>
          <w:rStyle w:val="Heading5Char"/>
          <w:rFonts w:eastAsiaTheme="minorHAnsi" w:cstheme="minorBidi"/>
          <w:b w:val="0"/>
          <w:i w:val="0"/>
          <w:color w:val="auto"/>
          <w:sz w:val="20"/>
        </w:rPr>
        <w:t xml:space="preserve">ABS, </w:t>
      </w:r>
      <w:r w:rsidR="00980CBA" w:rsidRPr="00980CBA">
        <w:rPr>
          <w:rStyle w:val="Heading5Char"/>
          <w:rFonts w:eastAsiaTheme="minorHAnsi" w:cstheme="minorBidi"/>
          <w:b w:val="0"/>
          <w:color w:val="auto"/>
          <w:sz w:val="20"/>
        </w:rPr>
        <w:t>Australian Demographic Statistics</w:t>
      </w:r>
      <w:r w:rsidR="00446E2A">
        <w:rPr>
          <w:rStyle w:val="Heading5Char"/>
          <w:rFonts w:eastAsiaTheme="minorHAnsi" w:cstheme="minorBidi"/>
          <w:b w:val="0"/>
          <w:i w:val="0"/>
          <w:color w:val="auto"/>
          <w:sz w:val="20"/>
        </w:rPr>
        <w:t xml:space="preserve">, Cat. </w:t>
      </w:r>
      <w:proofErr w:type="gramStart"/>
      <w:r w:rsidR="00446E2A">
        <w:rPr>
          <w:rStyle w:val="Heading5Char"/>
          <w:rFonts w:eastAsiaTheme="minorHAnsi" w:cstheme="minorBidi"/>
          <w:b w:val="0"/>
          <w:i w:val="0"/>
          <w:color w:val="auto"/>
          <w:sz w:val="20"/>
        </w:rPr>
        <w:t>No. 3101.0</w:t>
      </w:r>
      <w:r w:rsidR="00980CBA" w:rsidRPr="00980CBA">
        <w:rPr>
          <w:rStyle w:val="Heading5Char"/>
          <w:rFonts w:eastAsiaTheme="minorHAnsi" w:cstheme="minorBidi"/>
          <w:b w:val="0"/>
          <w:i w:val="0"/>
          <w:color w:val="auto"/>
          <w:sz w:val="20"/>
        </w:rPr>
        <w:t>.</w:t>
      </w:r>
      <w:proofErr w:type="gramEnd"/>
    </w:p>
    <w:p w:rsidR="00B614D6" w:rsidRDefault="00B614D6" w:rsidP="00D76181">
      <w:pPr>
        <w:pStyle w:val="21para"/>
      </w:pPr>
      <w:bookmarkStart w:id="528" w:name="_Ref497412948"/>
      <w:r>
        <w:t xml:space="preserve">If the newly identifying Indigenous people are less disadvantaged, </w:t>
      </w:r>
      <w:r w:rsidR="004318FC">
        <w:t>or less intensively using State</w:t>
      </w:r>
      <w:r>
        <w:t xml:space="preserve"> services, then the average level of disadvantage in States with high </w:t>
      </w:r>
      <w:r>
        <w:lastRenderedPageBreak/>
        <w:t xml:space="preserve">unexplained Indigenous growth would not necessarily increase. The Commission has incorporated the latest population estimates, </w:t>
      </w:r>
      <w:r w:rsidR="002656BF">
        <w:t xml:space="preserve">as well as </w:t>
      </w:r>
      <w:r>
        <w:t>changes in the attributes of that population.</w:t>
      </w:r>
      <w:bookmarkEnd w:id="528"/>
      <w:r>
        <w:t xml:space="preserve"> The measures of socio-economic status for the Indigenous (</w:t>
      </w:r>
      <w:proofErr w:type="spellStart"/>
      <w:r>
        <w:t>IRSEO</w:t>
      </w:r>
      <w:proofErr w:type="spellEnd"/>
      <w:r>
        <w:t>) and non-Indigenous (</w:t>
      </w:r>
      <w:proofErr w:type="spellStart"/>
      <w:r>
        <w:t>NISEIFA</w:t>
      </w:r>
      <w:proofErr w:type="spellEnd"/>
      <w:r>
        <w:t>) populations have been updated using the 2016 Census data in a way directly comparable with the measures produced from the 2011 Census.</w:t>
      </w:r>
      <w:r w:rsidR="00E731ED">
        <w:rPr>
          <w:rStyle w:val="FootnoteReference"/>
        </w:rPr>
        <w:footnoteReference w:id="7"/>
      </w:r>
    </w:p>
    <w:p w:rsidR="00B614D6" w:rsidRDefault="00B614D6" w:rsidP="00D76181">
      <w:pPr>
        <w:pStyle w:val="21para"/>
      </w:pPr>
      <w:r>
        <w:t>The Commission also requires estimates of the Indigenous population for years earlier than 2016</w:t>
      </w:r>
      <w:r>
        <w:noBreakHyphen/>
        <w:t>17.</w:t>
      </w:r>
    </w:p>
    <w:p w:rsidR="00B614D6" w:rsidRPr="00AF0068" w:rsidRDefault="00B614D6" w:rsidP="00D76181">
      <w:pPr>
        <w:pStyle w:val="21para"/>
      </w:pPr>
      <w:r w:rsidRPr="00FC472A">
        <w:rPr>
          <w:rStyle w:val="Heading6Char"/>
        </w:rPr>
        <w:t>State views.</w:t>
      </w:r>
      <w:r>
        <w:t xml:space="preserve"> </w:t>
      </w:r>
      <w:r w:rsidRPr="00D841DE">
        <w:t xml:space="preserve">States supported the Commission’s </w:t>
      </w:r>
      <w:r>
        <w:t xml:space="preserve">use of ABS State level estimates of </w:t>
      </w:r>
      <w:r w:rsidRPr="00D841DE">
        <w:t>the Indigenous population at June</w:t>
      </w:r>
      <w:r>
        <w:t> </w:t>
      </w:r>
      <w:r w:rsidRPr="00AF0068">
        <w:t xml:space="preserve">2016. The Northern Territory recommended that </w:t>
      </w:r>
      <w:r>
        <w:t xml:space="preserve">the Commission </w:t>
      </w:r>
      <w:r w:rsidRPr="00AF0068">
        <w:t>use growth rates from the 2011 based project</w:t>
      </w:r>
      <w:r>
        <w:t xml:space="preserve">ions to </w:t>
      </w:r>
      <w:proofErr w:type="spellStart"/>
      <w:r>
        <w:t>backcast</w:t>
      </w:r>
      <w:proofErr w:type="spellEnd"/>
      <w:r>
        <w:t xml:space="preserve"> from the 2016 C</w:t>
      </w:r>
      <w:r w:rsidRPr="00AF0068">
        <w:t xml:space="preserve">ensus level. Queensland suggested that the Commission linearly interpolate between the 2011 and 2016 estimates. </w:t>
      </w:r>
      <w:r>
        <w:t>It considered that applying total population growth rates would not reflect the very different demographic features of the Indigenous population, in particular differential growth compared to the non</w:t>
      </w:r>
      <w:r>
        <w:noBreakHyphen/>
        <w:t xml:space="preserve">Indigenous population. </w:t>
      </w:r>
    </w:p>
    <w:p w:rsidR="00B614D6" w:rsidRPr="00AF0068" w:rsidRDefault="00B614D6" w:rsidP="00D76181">
      <w:pPr>
        <w:pStyle w:val="21para"/>
      </w:pPr>
      <w:r w:rsidRPr="00AF0068">
        <w:t>States were supportive of the Commission’s</w:t>
      </w:r>
      <w:r>
        <w:t xml:space="preserve"> proposed</w:t>
      </w:r>
      <w:r w:rsidRPr="00AF0068">
        <w:t xml:space="preserve"> approach to updating the measures of Indigenous socio-economic status </w:t>
      </w:r>
      <w:r w:rsidR="002656BF">
        <w:t xml:space="preserve">(SES) </w:t>
      </w:r>
      <w:r w:rsidRPr="00AF0068">
        <w:t>subject to appropriate quality control</w:t>
      </w:r>
      <w:r>
        <w:t xml:space="preserve">. However, Queensland considered that an Indigenous specific </w:t>
      </w:r>
      <w:proofErr w:type="spellStart"/>
      <w:r>
        <w:t>SEIFA</w:t>
      </w:r>
      <w:proofErr w:type="spellEnd"/>
      <w:r>
        <w:t xml:space="preserve"> would be preferable to the measure developed for the 2015 Review (</w:t>
      </w:r>
      <w:proofErr w:type="spellStart"/>
      <w:r>
        <w:t>IRSEO</w:t>
      </w:r>
      <w:proofErr w:type="spellEnd"/>
      <w:r>
        <w:t>).</w:t>
      </w:r>
    </w:p>
    <w:p w:rsidR="00B614D6" w:rsidRPr="00AF0068" w:rsidRDefault="00B614D6" w:rsidP="00D76181">
      <w:pPr>
        <w:pStyle w:val="21para"/>
      </w:pPr>
      <w:r w:rsidRPr="00AF0068">
        <w:t xml:space="preserve">The Northern Territory recommended using the </w:t>
      </w:r>
      <w:r>
        <w:t xml:space="preserve">sub-State </w:t>
      </w:r>
      <w:r w:rsidRPr="00AF0068">
        <w:t xml:space="preserve">2011 estimates as the basis for the Commission’s Indigenous </w:t>
      </w:r>
      <w:r>
        <w:t xml:space="preserve">sub-State </w:t>
      </w:r>
      <w:r w:rsidRPr="00AF0068">
        <w:t xml:space="preserve">population estimates as it was concerned about </w:t>
      </w:r>
      <w:r>
        <w:t>a larger Census</w:t>
      </w:r>
      <w:r w:rsidRPr="00AF0068">
        <w:t xml:space="preserve"> undercount in remote areas. Other States supported using the 2016</w:t>
      </w:r>
      <w:r>
        <w:t> </w:t>
      </w:r>
      <w:r w:rsidRPr="00AF0068">
        <w:t>Cen</w:t>
      </w:r>
      <w:r>
        <w:t>sus counts.</w:t>
      </w:r>
    </w:p>
    <w:p w:rsidR="002814BC" w:rsidRDefault="00B614D6" w:rsidP="002814BC">
      <w:pPr>
        <w:pStyle w:val="21para"/>
      </w:pPr>
      <w:r w:rsidRPr="00FC472A">
        <w:rPr>
          <w:rStyle w:val="Heading6Char"/>
        </w:rPr>
        <w:t>Commission decision.</w:t>
      </w:r>
      <w:r>
        <w:t xml:space="preserve"> The Commission has estimated the pre-2016 Indigenous populations by applying rates of growth from the 2011 Census based projections to the 2016 Indigenous population estimates. This ensured a consistent approach to population levels and socio-economic profile. A simple linear extrapolation between the 2011 </w:t>
      </w:r>
      <w:r w:rsidR="0023564E">
        <w:t>and</w:t>
      </w:r>
      <w:r>
        <w:t xml:space="preserve"> 2016 Census levels would imply an inconsistent treatment – it would use the 2016 socio-economic profile, while partially incorp</w:t>
      </w:r>
      <w:r w:rsidR="002814BC">
        <w:t>orating 2011 population levels.</w:t>
      </w:r>
    </w:p>
    <w:p w:rsidR="00B614D6" w:rsidRDefault="00B614D6" w:rsidP="002814BC">
      <w:pPr>
        <w:pStyle w:val="21para"/>
      </w:pPr>
      <w:r>
        <w:t xml:space="preserve">In the Commission’s view, a change from </w:t>
      </w:r>
      <w:proofErr w:type="spellStart"/>
      <w:r>
        <w:t>IRSEO</w:t>
      </w:r>
      <w:proofErr w:type="spellEnd"/>
      <w:r>
        <w:t xml:space="preserve"> to an Indigenous specific </w:t>
      </w:r>
      <w:proofErr w:type="spellStart"/>
      <w:r>
        <w:t>SEIFA</w:t>
      </w:r>
      <w:proofErr w:type="spellEnd"/>
      <w:r>
        <w:t xml:space="preserve"> would represent a method change. It will consider potential improvements to its measure of In</w:t>
      </w:r>
      <w:r w:rsidR="002656BF">
        <w:t>digenous socio-economic status</w:t>
      </w:r>
      <w:r>
        <w:t xml:space="preserve"> in the 2020 Review.</w:t>
      </w:r>
    </w:p>
    <w:p w:rsidR="00B614D6" w:rsidRDefault="00B614D6" w:rsidP="00D76181">
      <w:pPr>
        <w:pStyle w:val="21para"/>
      </w:pPr>
      <w:r>
        <w:t xml:space="preserve">The Commission has found that, while there was relatively little bias associated with differential undercount across regions in 2011, Indigenous population growth </w:t>
      </w:r>
      <w:r>
        <w:lastRenderedPageBreak/>
        <w:t>differed much more significantly across regions between 2011 and 2016. Therefore, the Commission has derived sub-State Indigenous population estimates using the 2016 Census counts, scaled to sum to the State total Indigenous and non-Indigenous ERPs and to small area total ERPs. This approach was consistent with the terms of reference requirement to use the latest available data.</w:t>
      </w:r>
    </w:p>
    <w:p w:rsidR="00B614D6" w:rsidRDefault="00B614D6" w:rsidP="00D76181">
      <w:pPr>
        <w:pStyle w:val="21para"/>
      </w:pPr>
      <w:r>
        <w:t xml:space="preserve">These changes have been incorporated in all assessment calculations where it has been possible to do so. However, in a few cases where administrative data were not available on a consistent basis, or where Census data were not yet available, </w:t>
      </w:r>
      <w:r w:rsidR="002A67DD">
        <w:t xml:space="preserve">the Commission </w:t>
      </w:r>
      <w:r>
        <w:t>ha</w:t>
      </w:r>
      <w:r w:rsidR="002A67DD">
        <w:t>s</w:t>
      </w:r>
      <w:r>
        <w:t xml:space="preserve"> continued to use 2011 Census based data.</w:t>
      </w:r>
    </w:p>
    <w:p w:rsidR="00B614D6" w:rsidRDefault="00B614D6" w:rsidP="00D76181">
      <w:pPr>
        <w:pStyle w:val="21para"/>
      </w:pPr>
      <w:r>
        <w:t xml:space="preserve">The Justice </w:t>
      </w:r>
      <w:proofErr w:type="gramStart"/>
      <w:r>
        <w:t>assessment</w:t>
      </w:r>
      <w:proofErr w:type="gramEnd"/>
      <w:r>
        <w:t xml:space="preserve"> uses State provided data on offenders and defendants for 2010</w:t>
      </w:r>
      <w:r>
        <w:noBreakHyphen/>
        <w:t>11, 2011</w:t>
      </w:r>
      <w:r>
        <w:noBreakHyphen/>
        <w:t>12 and 2012</w:t>
      </w:r>
      <w:r>
        <w:noBreakHyphen/>
        <w:t>13. Those data were combined with 2011 Census based Indigenous population estimates to calculate Indigenous use rates for the police and courts assessments. While the Commission has data on the distribution of the 2016 Census based Indigenous population, it has no data on their use of justice services. Therefore, it has decided to continue to use the 2011 Census based Indigenous use rates applied to the 2011 Census based Indigenous population distribution.</w:t>
      </w:r>
    </w:p>
    <w:p w:rsidR="00B614D6" w:rsidRDefault="00B614D6" w:rsidP="00D76181">
      <w:pPr>
        <w:pStyle w:val="21para"/>
      </w:pPr>
      <w:r>
        <w:t>For the Health assessment, the Independent Hospital Pricing Authority (IHPA) provided hospital use data for 2016</w:t>
      </w:r>
      <w:r>
        <w:noBreakHyphen/>
        <w:t xml:space="preserve">17 </w:t>
      </w:r>
      <w:r w:rsidR="00C7662B">
        <w:t>using</w:t>
      </w:r>
      <w:r>
        <w:t xml:space="preserve"> the 2016 Census based SES profile, but it was unable to provide revised data for the earlier assessment years based on the </w:t>
      </w:r>
      <w:r w:rsidR="00C7662B">
        <w:t>new</w:t>
      </w:r>
      <w:r>
        <w:t xml:space="preserve"> profile. The change in Census based classifications affects SES, but not age, Indigeneity or remoteness. Therefore, the Commission has used the 2016</w:t>
      </w:r>
      <w:r>
        <w:noBreakHyphen/>
        <w:t>17 data (</w:t>
      </w:r>
      <w:r w:rsidR="00C7662B">
        <w:t xml:space="preserve">based </w:t>
      </w:r>
      <w:r>
        <w:t>on the 2016 SES profile) to apportion the IHPA data for earlier years to SES groups. The Commission considers that, as areas have changed their SES profile between the 2011 and 2016</w:t>
      </w:r>
      <w:r w:rsidR="001C67A6">
        <w:t> </w:t>
      </w:r>
      <w:r>
        <w:t>Census, and the earlier assessment years are closer to the 2016</w:t>
      </w:r>
      <w:r w:rsidR="001C67A6">
        <w:t> </w:t>
      </w:r>
      <w:r>
        <w:t xml:space="preserve">Census, this approach will better </w:t>
      </w:r>
      <w:r w:rsidR="001A0A6B">
        <w:t xml:space="preserve">reflect the </w:t>
      </w:r>
      <w:r>
        <w:t>use of health services by SES. For example, the 2016</w:t>
      </w:r>
      <w:r>
        <w:noBreakHyphen/>
        <w:t xml:space="preserve">17 data indicate that </w:t>
      </w:r>
      <w:r w:rsidR="001A0A6B">
        <w:t>17%</w:t>
      </w:r>
      <w:r>
        <w:t xml:space="preserve"> of </w:t>
      </w:r>
      <w:r w:rsidR="001A0A6B">
        <w:t xml:space="preserve">major city </w:t>
      </w:r>
      <w:r>
        <w:t>0-14 year old non-Indigenous admitted patient</w:t>
      </w:r>
      <w:r w:rsidR="000B660A">
        <w:t xml:space="preserve"> </w:t>
      </w:r>
      <w:r>
        <w:t>s</w:t>
      </w:r>
      <w:r w:rsidR="000B660A">
        <w:t>ervices</w:t>
      </w:r>
      <w:r>
        <w:t xml:space="preserve"> were </w:t>
      </w:r>
      <w:r w:rsidR="000B660A">
        <w:t xml:space="preserve">provided to people </w:t>
      </w:r>
      <w:r>
        <w:t xml:space="preserve">in </w:t>
      </w:r>
      <w:r w:rsidR="000B660A">
        <w:t xml:space="preserve">high </w:t>
      </w:r>
      <w:r>
        <w:t>SES areas (as defined in the 2016 Census) while</w:t>
      </w:r>
      <w:r w:rsidR="00F76479">
        <w:t>,</w:t>
      </w:r>
      <w:r>
        <w:t xml:space="preserve"> in 2015</w:t>
      </w:r>
      <w:r>
        <w:noBreakHyphen/>
        <w:t xml:space="preserve">16, using 2011 Census definitions, </w:t>
      </w:r>
      <w:r w:rsidR="000B660A">
        <w:t>the proportion was 19%</w:t>
      </w:r>
      <w:r>
        <w:t>. The Commission has adjusted the 2014</w:t>
      </w:r>
      <w:r>
        <w:noBreakHyphen/>
        <w:t>15 and 2015</w:t>
      </w:r>
      <w:r>
        <w:noBreakHyphen/>
        <w:t xml:space="preserve">16 </w:t>
      </w:r>
      <w:r w:rsidR="00DD6D58">
        <w:t>IHPA</w:t>
      </w:r>
      <w:r>
        <w:t xml:space="preserve"> data so that </w:t>
      </w:r>
      <w:r w:rsidR="00DD6D58">
        <w:t>17%</w:t>
      </w:r>
      <w:r>
        <w:t xml:space="preserve"> of </w:t>
      </w:r>
      <w:r w:rsidR="00DD6D58">
        <w:t xml:space="preserve">major city </w:t>
      </w:r>
      <w:r>
        <w:t>0-14 year old non-Indigenous admitted patient</w:t>
      </w:r>
      <w:r w:rsidR="00DD6D58">
        <w:t xml:space="preserve"> </w:t>
      </w:r>
      <w:r>
        <w:t>s</w:t>
      </w:r>
      <w:r w:rsidR="00DD6D58">
        <w:t>ervices</w:t>
      </w:r>
      <w:r>
        <w:t xml:space="preserve"> are in the </w:t>
      </w:r>
      <w:r w:rsidR="00DD6D58">
        <w:t>high</w:t>
      </w:r>
      <w:r>
        <w:t xml:space="preserve"> SES group. </w:t>
      </w:r>
    </w:p>
    <w:p w:rsidR="00B614D6" w:rsidRDefault="00B614D6" w:rsidP="00B614D6">
      <w:pPr>
        <w:pStyle w:val="Heading5"/>
      </w:pPr>
      <w:bookmarkStart w:id="529" w:name="_Toc498430058"/>
      <w:r>
        <w:t>Other Census issues</w:t>
      </w:r>
      <w:bookmarkEnd w:id="529"/>
    </w:p>
    <w:p w:rsidR="00B614D6" w:rsidRDefault="00B614D6" w:rsidP="00D76181">
      <w:pPr>
        <w:pStyle w:val="21para"/>
      </w:pPr>
      <w:r>
        <w:t>The Commission has adopted the 2016 Census based geographic classifications for significant urban areas, urban centres and discrete Indigenous communities. It has continued to use 2011 Census based classifications of remoteness and service d</w:t>
      </w:r>
      <w:r w:rsidR="0023564E">
        <w:t>elivery scale areas, since the 2016 Census</w:t>
      </w:r>
      <w:r>
        <w:t xml:space="preserve"> classifications (or the data to support them) </w:t>
      </w:r>
      <w:r w:rsidR="0023564E">
        <w:t>were not available in time for the update</w:t>
      </w:r>
      <w:r>
        <w:t>. Most States supported this approach.</w:t>
      </w:r>
    </w:p>
    <w:p w:rsidR="00B614D6" w:rsidRDefault="00B614D6" w:rsidP="00D76181">
      <w:pPr>
        <w:pStyle w:val="21para"/>
      </w:pPr>
      <w:r>
        <w:lastRenderedPageBreak/>
        <w:t xml:space="preserve">Similarly, since the ABS has not </w:t>
      </w:r>
      <w:r w:rsidR="00C95A78">
        <w:t xml:space="preserve">yet </w:t>
      </w:r>
      <w:r>
        <w:t xml:space="preserve">updated the boundaries of remote and very remote regions, the Commission has not updated its measures of </w:t>
      </w:r>
      <w:r w:rsidRPr="00E76620">
        <w:t xml:space="preserve">the length of local roads in </w:t>
      </w:r>
      <w:r>
        <w:t>unincorporated areas</w:t>
      </w:r>
      <w:r w:rsidR="00A36E10">
        <w:t>,</w:t>
      </w:r>
      <w:r>
        <w:rPr>
          <w:rStyle w:val="FootnoteReference"/>
        </w:rPr>
        <w:footnoteReference w:id="8"/>
      </w:r>
      <w:r>
        <w:t xml:space="preserve"> or the population it uses in the assessment of utilities subsidies.</w:t>
      </w:r>
      <w:r>
        <w:rPr>
          <w:rStyle w:val="FootnoteReference"/>
        </w:rPr>
        <w:footnoteReference w:id="9"/>
      </w:r>
    </w:p>
    <w:p w:rsidR="00E0791C" w:rsidRDefault="00B614D6" w:rsidP="00D76181">
      <w:pPr>
        <w:pStyle w:val="21para"/>
      </w:pPr>
      <w:r w:rsidRPr="00E76620">
        <w:t xml:space="preserve">The Commission </w:t>
      </w:r>
      <w:r>
        <w:t>has used 2016 Census data to update its measures of use of social housing by Indigenous people and people in different household income groups, but it has continued to use 2011 Census based remoteness areas.</w:t>
      </w:r>
    </w:p>
    <w:p w:rsidR="00B614D6" w:rsidRDefault="001C67A6" w:rsidP="00D76181">
      <w:pPr>
        <w:pStyle w:val="21para"/>
      </w:pPr>
      <w:r>
        <w:t>While 2016 </w:t>
      </w:r>
      <w:r w:rsidR="00B614D6">
        <w:t xml:space="preserve">Census based measures of </w:t>
      </w:r>
      <w:r w:rsidR="0080618B">
        <w:t xml:space="preserve">SES </w:t>
      </w:r>
      <w:r w:rsidR="00B614D6">
        <w:t>for the Indig</w:t>
      </w:r>
      <w:r w:rsidR="003A4CC0">
        <w:t>e</w:t>
      </w:r>
      <w:r w:rsidR="00B614D6">
        <w:t>n</w:t>
      </w:r>
      <w:r w:rsidR="003A4CC0">
        <w:t>o</w:t>
      </w:r>
      <w:r w:rsidR="00B614D6">
        <w:t>us (</w:t>
      </w:r>
      <w:proofErr w:type="spellStart"/>
      <w:r w:rsidR="00B614D6">
        <w:t>IRSEO</w:t>
      </w:r>
      <w:proofErr w:type="spellEnd"/>
      <w:r w:rsidR="00B614D6">
        <w:t>) and non-Indigenous (</w:t>
      </w:r>
      <w:proofErr w:type="spellStart"/>
      <w:r w:rsidR="00B614D6">
        <w:t>NISEIFA</w:t>
      </w:r>
      <w:proofErr w:type="spellEnd"/>
      <w:r w:rsidR="00B614D6">
        <w:t>) populations have been adopted, the measures of socio-economic status for the general population (</w:t>
      </w:r>
      <w:proofErr w:type="spellStart"/>
      <w:r w:rsidR="00B614D6">
        <w:t>SEIFA</w:t>
      </w:r>
      <w:proofErr w:type="spellEnd"/>
      <w:r w:rsidR="00B614D6">
        <w:t xml:space="preserve">) have not yet been updated for the </w:t>
      </w:r>
      <w:r w:rsidR="00A67EF5">
        <w:t xml:space="preserve">non-State sector adjustment in the Health </w:t>
      </w:r>
      <w:r w:rsidR="00B614D6">
        <w:t>assessment (this will be updated by the ABS during 2018).</w:t>
      </w:r>
    </w:p>
    <w:p w:rsidR="00B614D6" w:rsidRDefault="00B614D6" w:rsidP="00B614D6">
      <w:pPr>
        <w:pStyle w:val="Heading3"/>
      </w:pPr>
      <w:bookmarkStart w:id="530" w:name="_Toc505872190"/>
      <w:r>
        <w:t>Assessment issues</w:t>
      </w:r>
      <w:bookmarkEnd w:id="530"/>
    </w:p>
    <w:p w:rsidR="00B614D6" w:rsidRDefault="00B614D6" w:rsidP="00B614D6">
      <w:pPr>
        <w:pStyle w:val="Heading4"/>
        <w:widowControl/>
      </w:pPr>
      <w:bookmarkStart w:id="531" w:name="_Toc498430060"/>
      <w:bookmarkStart w:id="532" w:name="_Toc505872191"/>
      <w:r>
        <w:t>W</w:t>
      </w:r>
      <w:r w:rsidRPr="0012596A">
        <w:t>age cost</w:t>
      </w:r>
      <w:r>
        <w:t>s</w:t>
      </w:r>
      <w:r w:rsidRPr="0012596A">
        <w:t xml:space="preserve"> assessment</w:t>
      </w:r>
      <w:bookmarkEnd w:id="531"/>
      <w:r w:rsidR="009C12A5">
        <w:t xml:space="preserve"> – </w:t>
      </w:r>
      <w:r>
        <w:t>Commonwealth Superannuation Scheme adjustment</w:t>
      </w:r>
      <w:bookmarkEnd w:id="532"/>
    </w:p>
    <w:p w:rsidR="00B614D6" w:rsidRDefault="00B614D6" w:rsidP="00D76181">
      <w:pPr>
        <w:pStyle w:val="21para"/>
      </w:pPr>
      <w:r w:rsidRPr="00C72810">
        <w:t xml:space="preserve">The wage costs disability recognises that comparable public sector employees in different States are paid different wages, in large part because of differences in labour markets beyond the control of State governments. </w:t>
      </w:r>
      <w:r>
        <w:t>The Commission estimates the impact of those differences using an econometric model of the wages paid to private sector employees in each State, controlling for differences in education, industry, experience and other attributes known to affect wage levels. Since 2014</w:t>
      </w:r>
      <w:r>
        <w:noBreakHyphen/>
        <w:t>15, the model has used data from the Characteristics of Employment survey (</w:t>
      </w:r>
      <w:proofErr w:type="spellStart"/>
      <w:r>
        <w:t>CoES</w:t>
      </w:r>
      <w:proofErr w:type="spellEnd"/>
      <w:r>
        <w:t>) produced by the ABS</w:t>
      </w:r>
      <w:r w:rsidRPr="00C72810">
        <w:t>.</w:t>
      </w:r>
    </w:p>
    <w:p w:rsidR="00B614D6" w:rsidRDefault="00B614D6" w:rsidP="00D76181">
      <w:pPr>
        <w:pStyle w:val="21para"/>
      </w:pPr>
      <w:r>
        <w:fldChar w:fldCharType="begin"/>
      </w:r>
      <w:r>
        <w:instrText xml:space="preserve"> REF _Ref504906019 \h </w:instrText>
      </w:r>
      <w:r>
        <w:fldChar w:fldCharType="separate"/>
      </w:r>
      <w:r w:rsidR="000A6746">
        <w:t>Figure 2</w:t>
      </w:r>
      <w:r w:rsidR="000A6746">
        <w:noBreakHyphen/>
      </w:r>
      <w:r w:rsidR="000A6746">
        <w:rPr>
          <w:noProof/>
        </w:rPr>
        <w:t>2</w:t>
      </w:r>
      <w:r>
        <w:fldChar w:fldCharType="end"/>
      </w:r>
      <w:r>
        <w:t xml:space="preserve"> shows the modelled outcomes for each State for 2013</w:t>
      </w:r>
      <w:r w:rsidR="00AE1210">
        <w:noBreakHyphen/>
      </w:r>
      <w:r>
        <w:t>14 through 2016</w:t>
      </w:r>
      <w:r w:rsidR="00AE1210">
        <w:noBreakHyphen/>
      </w:r>
      <w:r>
        <w:t>17.</w:t>
      </w:r>
    </w:p>
    <w:p w:rsidR="00B614D6" w:rsidRDefault="00B614D6" w:rsidP="00B614D6">
      <w:pPr>
        <w:pStyle w:val="Caption"/>
      </w:pPr>
      <w:bookmarkStart w:id="533" w:name="_Ref504906019"/>
      <w:r>
        <w:lastRenderedPageBreak/>
        <w:t>Figure 2</w:t>
      </w:r>
      <w:r>
        <w:noBreakHyphen/>
      </w:r>
      <w:r w:rsidR="00CD68E8">
        <w:fldChar w:fldCharType="begin"/>
      </w:r>
      <w:r w:rsidR="00CD68E8">
        <w:instrText xml:space="preserve"> SEQ Figure \* ARABIC \s 1 </w:instrText>
      </w:r>
      <w:r w:rsidR="00CD68E8">
        <w:fldChar w:fldCharType="separate"/>
      </w:r>
      <w:r w:rsidR="000A6746">
        <w:rPr>
          <w:noProof/>
        </w:rPr>
        <w:t>2</w:t>
      </w:r>
      <w:r w:rsidR="00CD68E8">
        <w:rPr>
          <w:noProof/>
        </w:rPr>
        <w:fldChar w:fldCharType="end"/>
      </w:r>
      <w:bookmarkEnd w:id="533"/>
      <w:r>
        <w:tab/>
        <w:t>Relative wage differentials for 2013</w:t>
      </w:r>
      <w:r w:rsidR="00AE1210">
        <w:noBreakHyphen/>
      </w:r>
      <w:r>
        <w:t>14 to 2016</w:t>
      </w:r>
      <w:r w:rsidR="00AE1210">
        <w:noBreakHyphen/>
      </w:r>
      <w:r>
        <w:t>17</w:t>
      </w:r>
    </w:p>
    <w:p w:rsidR="00C82710" w:rsidRDefault="00C82710" w:rsidP="00C82710">
      <w:r>
        <w:rPr>
          <w:noProof/>
          <w:lang w:eastAsia="en-AU"/>
        </w:rPr>
        <w:drawing>
          <wp:inline distT="0" distB="0" distL="0" distR="0" wp14:anchorId="27DDB17C" wp14:editId="7EEEB763">
            <wp:extent cx="5652000" cy="3564000"/>
            <wp:effectExtent l="0" t="0" r="2540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614D6" w:rsidRPr="00616001" w:rsidRDefault="00B614D6" w:rsidP="00B614D6">
      <w:pPr>
        <w:pStyle w:val="CGCTableFootnote"/>
      </w:pPr>
      <w:r>
        <w:t>Source:</w:t>
      </w:r>
      <w:r>
        <w:tab/>
        <w:t>Commission modelling based on ABS Survey of Employment and Training (indexed by the labour price index) for 2013</w:t>
      </w:r>
      <w:r>
        <w:noBreakHyphen/>
        <w:t xml:space="preserve">14 and based on the </w:t>
      </w:r>
      <w:proofErr w:type="spellStart"/>
      <w:r>
        <w:t>CoES</w:t>
      </w:r>
      <w:proofErr w:type="spellEnd"/>
      <w:r>
        <w:t xml:space="preserve"> for later years.</w:t>
      </w:r>
    </w:p>
    <w:p w:rsidR="00B614D6" w:rsidRDefault="00B614D6" w:rsidP="00D76181">
      <w:pPr>
        <w:pStyle w:val="21para"/>
      </w:pPr>
      <w:r>
        <w:t>One issue has arisen in relation to the Wage costs assessment in this update. It is discussed below.</w:t>
      </w:r>
    </w:p>
    <w:p w:rsidR="009C12A5" w:rsidRDefault="009C12A5" w:rsidP="009C12A5">
      <w:pPr>
        <w:pStyle w:val="Heading5"/>
      </w:pPr>
      <w:r w:rsidRPr="0012596A">
        <w:t>Commonwealth S</w:t>
      </w:r>
      <w:r>
        <w:t xml:space="preserve">uperannuation Scheme adjustment </w:t>
      </w:r>
    </w:p>
    <w:p w:rsidR="009C12A5" w:rsidRDefault="009C12A5" w:rsidP="00D76181">
      <w:pPr>
        <w:pStyle w:val="21para"/>
      </w:pPr>
      <w:r w:rsidRPr="00A3275F">
        <w:rPr>
          <w:rStyle w:val="Heading6Char"/>
        </w:rPr>
        <w:t>Background.</w:t>
      </w:r>
      <w:r>
        <w:t xml:space="preserve"> In the 2017 Update, after consulting the States, the Commission decided to discontinue the adjustment it made to the Wage costs assessment for the ACT and the Northern Territory to account for the higher costs to those States as a result of the Commonwealth Superannuation Scheme (</w:t>
      </w:r>
      <w:proofErr w:type="spellStart"/>
      <w:r>
        <w:t>CSS</w:t>
      </w:r>
      <w:proofErr w:type="spellEnd"/>
      <w:r>
        <w:t>) they inherited at the time of self</w:t>
      </w:r>
      <w:r>
        <w:noBreakHyphen/>
        <w:t>government.</w:t>
      </w:r>
    </w:p>
    <w:p w:rsidR="009C12A5" w:rsidRDefault="009C12A5" w:rsidP="00D76181">
      <w:pPr>
        <w:pStyle w:val="21para"/>
      </w:pPr>
      <w:r>
        <w:t xml:space="preserve">In this update, the ACT provided a submission in support of its view that the </w:t>
      </w:r>
      <w:proofErr w:type="spellStart"/>
      <w:r>
        <w:t>CSS</w:t>
      </w:r>
      <w:proofErr w:type="spellEnd"/>
      <w:r>
        <w:t xml:space="preserve"> adjustment should be reinstated and expanded to include the costs associated with the Public Sector Superannuation Scheme (PSS). The PSS is the other defined benefit scheme that applied to former Commonwealth employees at the time of transition to a separate ACT public service. The Commission last considered the case for a PSS adjustment in the 2004 Review, when it concluded that the costs of the PSS were no greater than average and so no adjustment was merited.</w:t>
      </w:r>
    </w:p>
    <w:p w:rsidR="009C12A5" w:rsidRDefault="009C12A5" w:rsidP="00D76181">
      <w:pPr>
        <w:pStyle w:val="21para"/>
      </w:pPr>
      <w:r>
        <w:t xml:space="preserve">The ACT submission included data which suggest that the unit cost of the PSS has increased over the past 13 years relative to other State defined benefit </w:t>
      </w:r>
      <w:r>
        <w:lastRenderedPageBreak/>
        <w:t>superannuation schemes and the superannuation guarantee.</w:t>
      </w:r>
      <w:r>
        <w:rPr>
          <w:rStyle w:val="FootnoteReference"/>
        </w:rPr>
        <w:footnoteReference w:id="10"/>
      </w:r>
      <w:r>
        <w:t xml:space="preserve"> It had new data which show that 36% of its public service employees were members of the PSS as at 30 June 2016. It argued that, in light of the new and more reliable data, the Commission should reinstate the </w:t>
      </w:r>
      <w:proofErr w:type="spellStart"/>
      <w:r>
        <w:t>CSS</w:t>
      </w:r>
      <w:proofErr w:type="spellEnd"/>
      <w:r>
        <w:t xml:space="preserve"> adjustment in this update and incorporate the additional costs of the PSS using the same methodology. It said the combined disability would exceed the $30 per capita materiality threshold and that reinstatement of an existing disability, for which there is a conceptual case and established methodology, would not constitute a method change.</w:t>
      </w:r>
    </w:p>
    <w:p w:rsidR="009C12A5" w:rsidRDefault="009C12A5" w:rsidP="00D76181">
      <w:pPr>
        <w:pStyle w:val="21para"/>
      </w:pPr>
      <w:r w:rsidRPr="00A3275F">
        <w:rPr>
          <w:rStyle w:val="Heading6Char"/>
        </w:rPr>
        <w:t>State views.</w:t>
      </w:r>
      <w:r>
        <w:t xml:space="preserve"> Most States said that the Commission should not reintroduce the </w:t>
      </w:r>
      <w:proofErr w:type="spellStart"/>
      <w:r>
        <w:t>CSS</w:t>
      </w:r>
      <w:proofErr w:type="spellEnd"/>
      <w:r>
        <w:t xml:space="preserve"> disability, expanded to include the costs of the PSS, in the absence of data that show the adjustment would be material. South Australia said the Commission should apply its supporting principles and exercise its judgment in deciding whether to reinstate the adjustment.</w:t>
      </w:r>
    </w:p>
    <w:p w:rsidR="009C12A5" w:rsidRDefault="009C12A5" w:rsidP="00D76181">
      <w:pPr>
        <w:pStyle w:val="21para"/>
      </w:pPr>
      <w:r>
        <w:t xml:space="preserve">The Northern Territory supported the ACT proposal to reinstate the expanded </w:t>
      </w:r>
      <w:proofErr w:type="spellStart"/>
      <w:r>
        <w:t>CSS</w:t>
      </w:r>
      <w:proofErr w:type="spellEnd"/>
      <w:r>
        <w:t xml:space="preserve"> disability. It did not support the removal of the adjustment in the 2017 Update on materiality grounds. It added that the previous adjustment only captured expenses related to current employees, whereas the most material costs to it were the ongoing expenses associated with employees accessing the scheme after retirement.</w:t>
      </w:r>
    </w:p>
    <w:p w:rsidR="009C12A5" w:rsidRDefault="009C12A5" w:rsidP="00D76181">
      <w:pPr>
        <w:pStyle w:val="21para"/>
      </w:pPr>
      <w:r>
        <w:t>The ACT considered that the evidence it had provided clearly established that the cost of the PSS had increased to a greater extent than similar schemes in other States. It said that the key issue was the degree of divergence between the costs of the PSS and other schemes, not the reasons for that divergence.</w:t>
      </w:r>
      <w:r>
        <w:rPr>
          <w:rStyle w:val="FootnoteReference"/>
        </w:rPr>
        <w:footnoteReference w:id="11"/>
      </w:r>
      <w:r>
        <w:t xml:space="preserve"> </w:t>
      </w:r>
    </w:p>
    <w:p w:rsidR="009C12A5" w:rsidRDefault="009C12A5" w:rsidP="00D76181">
      <w:pPr>
        <w:pStyle w:val="21para"/>
      </w:pPr>
      <w:r>
        <w:t xml:space="preserve">The ACT also argued that it did not have the choice to close access to the PSS for its new employees prior to the Commonwealth closure of the scheme in 2005. After the enactment of self-government in 1989, its initial employees were transferred from the Australian Public Service and were all members of the </w:t>
      </w:r>
      <w:proofErr w:type="spellStart"/>
      <w:r>
        <w:t>CSS</w:t>
      </w:r>
      <w:proofErr w:type="spellEnd"/>
      <w:r>
        <w:t xml:space="preserve">. After the closure of the </w:t>
      </w:r>
      <w:proofErr w:type="spellStart"/>
      <w:r>
        <w:t>CSS</w:t>
      </w:r>
      <w:proofErr w:type="spellEnd"/>
      <w:r>
        <w:t xml:space="preserve"> to new members in 1990, all new ACT employees became members of the PSS, with the exception of those transferring from the Commonwealth who were members of </w:t>
      </w:r>
      <w:proofErr w:type="spellStart"/>
      <w:r>
        <w:t>CSS</w:t>
      </w:r>
      <w:proofErr w:type="spellEnd"/>
      <w:r>
        <w:t>.</w:t>
      </w:r>
      <w:r>
        <w:rPr>
          <w:rStyle w:val="FootnoteReference"/>
        </w:rPr>
        <w:footnoteReference w:id="12"/>
      </w:r>
      <w:r>
        <w:t xml:space="preserve"> Until the establishment of the ACT Public Service (</w:t>
      </w:r>
      <w:proofErr w:type="spellStart"/>
      <w:r>
        <w:t>ACTPS</w:t>
      </w:r>
      <w:proofErr w:type="spellEnd"/>
      <w:r>
        <w:t xml:space="preserve">) under its own legislation in 1994, its employees were covered by agreements between the </w:t>
      </w:r>
      <w:r>
        <w:lastRenderedPageBreak/>
        <w:t xml:space="preserve">Commonwealth and the ACT, under which the ACT was not free to alter employment conditions. </w:t>
      </w:r>
    </w:p>
    <w:p w:rsidR="009C12A5" w:rsidRDefault="009C12A5" w:rsidP="00D76181">
      <w:pPr>
        <w:pStyle w:val="21para"/>
      </w:pPr>
      <w:r>
        <w:t>The ACT began to develop alternative superannuation arrangements in November</w:t>
      </w:r>
      <w:r w:rsidR="00275F0C">
        <w:t> </w:t>
      </w:r>
      <w:r>
        <w:t>1997 with a plan to close access to the PSS from 1</w:t>
      </w:r>
      <w:r w:rsidR="00275F0C">
        <w:t> </w:t>
      </w:r>
      <w:r>
        <w:t>July</w:t>
      </w:r>
      <w:r w:rsidR="00275F0C">
        <w:t> </w:t>
      </w:r>
      <w:r>
        <w:t>1999. This plan was abandoned after Commonwealth legislation to close the PSS failed to pass the Parliament, and in response to resistance from trade unions, leading to an Australian Industrial Relations Commission hearing, subsequent to which the ACT agreed with the unions that it would not pursue changes to superannuation benefits before 1 July 2000. The ACT said that from 2000 to 2005 any attempts to change superannuation would have been met with similar resistance and would not have been possible.</w:t>
      </w:r>
    </w:p>
    <w:p w:rsidR="009C12A5" w:rsidRPr="00E674AF" w:rsidRDefault="009C12A5" w:rsidP="00D76181">
      <w:pPr>
        <w:pStyle w:val="21para"/>
      </w:pPr>
      <w:r>
        <w:t xml:space="preserve">Further, it said that while the PSS was closed to new members from 1 July 2005, as an approved authority under the </w:t>
      </w:r>
      <w:r w:rsidRPr="0095381A">
        <w:rPr>
          <w:i/>
        </w:rPr>
        <w:t>Superannuation Act 1990</w:t>
      </w:r>
      <w:r>
        <w:t xml:space="preserve"> (</w:t>
      </w:r>
      <w:proofErr w:type="spellStart"/>
      <w:r>
        <w:t>Cth</w:t>
      </w:r>
      <w:proofErr w:type="spellEnd"/>
      <w:r>
        <w:t xml:space="preserve">), it is required to provide PSS benefits to </w:t>
      </w:r>
      <w:r w:rsidRPr="00045554">
        <w:rPr>
          <w:i/>
        </w:rPr>
        <w:t>existing</w:t>
      </w:r>
      <w:r>
        <w:t xml:space="preserve"> members of the PSS who have become members of the </w:t>
      </w:r>
      <w:proofErr w:type="spellStart"/>
      <w:r>
        <w:t>ACTPS</w:t>
      </w:r>
      <w:proofErr w:type="spellEnd"/>
      <w:r>
        <w:t xml:space="preserve"> since 1 July 2005.</w:t>
      </w:r>
    </w:p>
    <w:p w:rsidR="009C12A5" w:rsidRDefault="009C12A5" w:rsidP="00D76181">
      <w:pPr>
        <w:pStyle w:val="21para"/>
      </w:pPr>
      <w:r w:rsidRPr="00FB0DBD">
        <w:rPr>
          <w:rStyle w:val="Heading6Char"/>
        </w:rPr>
        <w:t>Commission decision.</w:t>
      </w:r>
      <w:r>
        <w:t xml:space="preserve"> T</w:t>
      </w:r>
      <w:r w:rsidR="0066719D">
        <w:t>he Commission has decided, for the</w:t>
      </w:r>
      <w:r>
        <w:t xml:space="preserve"> reasons</w:t>
      </w:r>
      <w:r w:rsidR="0066719D">
        <w:t xml:space="preserve"> outlined below</w:t>
      </w:r>
      <w:r>
        <w:t xml:space="preserve">, not to reintroduce the </w:t>
      </w:r>
      <w:proofErr w:type="spellStart"/>
      <w:r>
        <w:t>CSS</w:t>
      </w:r>
      <w:proofErr w:type="spellEnd"/>
      <w:r>
        <w:t xml:space="preserve"> disability, expanded to include the costs of the PSS. In light of the 2004</w:t>
      </w:r>
      <w:r w:rsidR="006519EA">
        <w:t> </w:t>
      </w:r>
      <w:r>
        <w:t xml:space="preserve">Review decision not to include a PSS adjustment alongside the </w:t>
      </w:r>
      <w:proofErr w:type="spellStart"/>
      <w:r>
        <w:t>CSS</w:t>
      </w:r>
      <w:proofErr w:type="spellEnd"/>
      <w:r>
        <w:t xml:space="preserve"> adjustment, expanding the </w:t>
      </w:r>
      <w:proofErr w:type="spellStart"/>
      <w:r>
        <w:t>CSS</w:t>
      </w:r>
      <w:proofErr w:type="spellEnd"/>
      <w:r>
        <w:t xml:space="preserve"> adjustment to include the PSS could be construed as a method change. Such a change would be inconsistent with the terms of reference for this </w:t>
      </w:r>
      <w:r w:rsidR="005D3746">
        <w:t>u</w:t>
      </w:r>
      <w:r>
        <w:t>pdate.</w:t>
      </w:r>
    </w:p>
    <w:p w:rsidR="009C12A5" w:rsidRDefault="009C12A5" w:rsidP="00D76181">
      <w:pPr>
        <w:pStyle w:val="21para"/>
      </w:pPr>
      <w:r>
        <w:t xml:space="preserve">In addition, in the Commission’s view, the ACT Government had control over its superannuation arrangements from the establishment of the </w:t>
      </w:r>
      <w:proofErr w:type="spellStart"/>
      <w:r>
        <w:t>ACTPS</w:t>
      </w:r>
      <w:proofErr w:type="spellEnd"/>
      <w:r>
        <w:t xml:space="preserve"> in 1994. It follows that any adjustment would only recognise contributing PSS members who became ACT Government employees prior to that time. Data provided by States suggested that the cost of similar schemes in other States was also high. Together, these suggest that an adjustment would be unlikely to be material.</w:t>
      </w:r>
    </w:p>
    <w:p w:rsidR="009C12A5" w:rsidRDefault="009C12A5" w:rsidP="00D76181">
      <w:pPr>
        <w:pStyle w:val="21para"/>
      </w:pPr>
      <w:r>
        <w:t>Finally, the Commission is inclined to move away from including State</w:t>
      </w:r>
      <w:r>
        <w:noBreakHyphen/>
        <w:t>specific adjustments in its expenditure assessments, especially those first introduced to recognise legacy issues affecting newly formed governme</w:t>
      </w:r>
      <w:r w:rsidR="00F34A68">
        <w:t>nts for the two self</w:t>
      </w:r>
      <w:r w:rsidR="00F34A68">
        <w:noBreakHyphen/>
        <w:t>governing T</w:t>
      </w:r>
      <w:r>
        <w:t>erritories. These Territories have had self</w:t>
      </w:r>
      <w:r>
        <w:noBreakHyphen/>
        <w:t>government for well over two decades and much has changed in these jurisdictions over this time. Under these circumstances, the Territories could be expected to have matured sufficiently to be able to deal with historical happenstance, just as all other State governments have been expected to address their legacy issues. Past Commissions have noted the impracticality of attempting to disentangle the effects that past expenditures, undertaken in relation to innumerable projects and circumstances across States, may have had on their current relative fiscal capacities. Focusing only on isolated issues in particular States is arguably inconsistent with the</w:t>
      </w:r>
      <w:r w:rsidR="00D70D0F">
        <w:t xml:space="preserve"> treatment of all other activities</w:t>
      </w:r>
      <w:r>
        <w:t>.</w:t>
      </w:r>
    </w:p>
    <w:p w:rsidR="009C12A5" w:rsidRDefault="009C12A5" w:rsidP="00D76181">
      <w:pPr>
        <w:pStyle w:val="21para"/>
      </w:pPr>
      <w:r>
        <w:lastRenderedPageBreak/>
        <w:t xml:space="preserve">The Commission does not accept the Northern Territory’s argument that the adjustment should apply to all surviving members of the </w:t>
      </w:r>
      <w:proofErr w:type="spellStart"/>
      <w:r>
        <w:t>CSS</w:t>
      </w:r>
      <w:proofErr w:type="spellEnd"/>
      <w:r>
        <w:t xml:space="preserve"> scheme. Its proposal would result in a cash based adjustment, whereas the Commission’s assessments are on an accrual basis.</w:t>
      </w:r>
    </w:p>
    <w:p w:rsidR="009C12A5" w:rsidRDefault="009C12A5" w:rsidP="009C12A5">
      <w:pPr>
        <w:pStyle w:val="Heading4"/>
      </w:pPr>
      <w:bookmarkStart w:id="534" w:name="_Toc498430061"/>
      <w:bookmarkStart w:id="535" w:name="_Toc505872192"/>
      <w:r>
        <w:t xml:space="preserve">Commonwealth payments for the </w:t>
      </w:r>
      <w:r w:rsidRPr="00DC1290">
        <w:t>National Disability Insurance Scheme</w:t>
      </w:r>
      <w:bookmarkEnd w:id="534"/>
      <w:bookmarkEnd w:id="535"/>
    </w:p>
    <w:p w:rsidR="009C12A5" w:rsidRDefault="009C12A5" w:rsidP="00D76181">
      <w:pPr>
        <w:pStyle w:val="21para"/>
      </w:pPr>
      <w:r w:rsidRPr="00FC472A">
        <w:rPr>
          <w:rStyle w:val="Heading6Char"/>
        </w:rPr>
        <w:t>Background.</w:t>
      </w:r>
      <w:r>
        <w:t xml:space="preserve"> In 2018</w:t>
      </w:r>
      <w:r>
        <w:noBreakHyphen/>
        <w:t xml:space="preserve">19, New South Wales and South Australia are scheduled to operate under the full scheme conditions of </w:t>
      </w:r>
      <w:r w:rsidRPr="004508F2">
        <w:t xml:space="preserve">the National Disability Insurance Scheme </w:t>
      </w:r>
      <w:r>
        <w:t>(NDIS). The full scheme has been implemented in the ACT since 1 July 2017 but the ACT will not be contributing financially on a full scheme funding basis until 2019</w:t>
      </w:r>
      <w:r>
        <w:noBreakHyphen/>
        <w:t>20. Western Australia will be at full scheme in 2020</w:t>
      </w:r>
      <w:r>
        <w:noBreakHyphen/>
        <w:t>21. The other States are scheduled to be at full scheme in 2019</w:t>
      </w:r>
      <w:r>
        <w:noBreakHyphen/>
        <w:t xml:space="preserve">20. </w:t>
      </w:r>
    </w:p>
    <w:p w:rsidR="009C12A5" w:rsidRDefault="009C12A5" w:rsidP="00D76181">
      <w:pPr>
        <w:pStyle w:val="21para"/>
      </w:pPr>
      <w:r>
        <w:t xml:space="preserve">As a consequence of entering </w:t>
      </w:r>
      <w:r w:rsidR="009217B5">
        <w:t xml:space="preserve">the </w:t>
      </w:r>
      <w:r>
        <w:t>full scheme, New South Wales’ and South</w:t>
      </w:r>
      <w:r w:rsidR="004D6ACB">
        <w:t> </w:t>
      </w:r>
      <w:r>
        <w:t>Australia’s National Disability Specific Purpose Payments (SPPs) will cease after 2017</w:t>
      </w:r>
      <w:r>
        <w:noBreakHyphen/>
        <w:t xml:space="preserve">18 (as did the </w:t>
      </w:r>
      <w:proofErr w:type="spellStart"/>
      <w:r>
        <w:t>ACT’s</w:t>
      </w:r>
      <w:proofErr w:type="spellEnd"/>
      <w:r>
        <w:t xml:space="preserve"> after 2016</w:t>
      </w:r>
      <w:r>
        <w:noBreakHyphen/>
        <w:t>17). These funds are now being paid direct to the National Disability Insurance Agency (</w:t>
      </w:r>
      <w:proofErr w:type="spellStart"/>
      <w:r>
        <w:t>NDIA</w:t>
      </w:r>
      <w:proofErr w:type="spellEnd"/>
      <w:r>
        <w:t xml:space="preserve">). </w:t>
      </w:r>
    </w:p>
    <w:p w:rsidR="009C12A5" w:rsidRDefault="00082F26" w:rsidP="00D76181">
      <w:pPr>
        <w:pStyle w:val="21para"/>
      </w:pPr>
      <w:r>
        <w:t>The Commission consulted States on whether</w:t>
      </w:r>
      <w:r w:rsidR="009C12A5">
        <w:t xml:space="preserve"> to continue the 2015 Review dual assessment approach in this update. The</w:t>
      </w:r>
      <w:r w:rsidR="009C12A5" w:rsidRPr="006E2535">
        <w:t xml:space="preserve"> dual assessments of State expenses </w:t>
      </w:r>
      <w:r w:rsidR="009C12A5">
        <w:t>recognised that, in the transition to full implementation</w:t>
      </w:r>
      <w:r w:rsidR="008334A1">
        <w:t xml:space="preserve"> phase</w:t>
      </w:r>
      <w:r w:rsidR="009C12A5">
        <w:t xml:space="preserve"> of NDIS, States continued to operate the pre-NDIS disability services along with their</w:t>
      </w:r>
      <w:r w:rsidR="009C12A5" w:rsidRPr="006E2535">
        <w:t xml:space="preserve"> NDIS contributions</w:t>
      </w:r>
      <w:r w:rsidR="009C12A5">
        <w:t>.</w:t>
      </w:r>
      <w:r w:rsidR="009C12A5" w:rsidRPr="006E2535">
        <w:t xml:space="preserve"> </w:t>
      </w:r>
    </w:p>
    <w:p w:rsidR="009C12A5" w:rsidRDefault="00082F26" w:rsidP="00D76181">
      <w:pPr>
        <w:pStyle w:val="21para"/>
      </w:pPr>
      <w:r>
        <w:t>The Commission also consulted States on whether it should</w:t>
      </w:r>
      <w:r w:rsidR="009C12A5">
        <w:t xml:space="preserve"> </w:t>
      </w:r>
      <w:r w:rsidR="009C12A5" w:rsidRPr="00DB21CA">
        <w:t>estimat</w:t>
      </w:r>
      <w:r>
        <w:t>e</w:t>
      </w:r>
      <w:r w:rsidR="009C12A5" w:rsidRPr="00DB21CA">
        <w:t xml:space="preserve"> notional SPPs in the application year for New South Wales, South Australia and the ACT to derive consistent splits of expenses between NDIS and </w:t>
      </w:r>
      <w:r w:rsidR="009C12A5">
        <w:t>non-NDIS</w:t>
      </w:r>
      <w:r w:rsidR="009C12A5" w:rsidRPr="00DB21CA">
        <w:t xml:space="preserve"> disability services</w:t>
      </w:r>
      <w:r w:rsidR="009C12A5">
        <w:t>.</w:t>
      </w:r>
    </w:p>
    <w:p w:rsidR="009C12A5" w:rsidRDefault="009C12A5" w:rsidP="00D76181">
      <w:pPr>
        <w:pStyle w:val="21para"/>
      </w:pPr>
      <w:r w:rsidRPr="00FC472A">
        <w:rPr>
          <w:rStyle w:val="Heading6Char"/>
        </w:rPr>
        <w:t>State views.</w:t>
      </w:r>
      <w:r>
        <w:t xml:space="preserve"> All States supported the continuation of the 2015 Review dual assessment approach. They also supported the imputation of notional National Disability SPPs for New South Wales, South Australia and the ACT to be used to derive the proportions of NDIS and existing disability services expenses projected for the application year. </w:t>
      </w:r>
    </w:p>
    <w:p w:rsidR="009C12A5" w:rsidRPr="00005147" w:rsidRDefault="009C12A5" w:rsidP="00D76181">
      <w:pPr>
        <w:pStyle w:val="21para"/>
      </w:pPr>
      <w:r w:rsidRPr="00FC472A">
        <w:rPr>
          <w:rStyle w:val="Heading6Char"/>
        </w:rPr>
        <w:t>Commission decision.</w:t>
      </w:r>
      <w:r>
        <w:t xml:space="preserve"> The Commission has decided to </w:t>
      </w:r>
      <w:r w:rsidRPr="00005147">
        <w:t>continue the 2015</w:t>
      </w:r>
      <w:r>
        <w:t> </w:t>
      </w:r>
      <w:r w:rsidRPr="00005147">
        <w:t xml:space="preserve">Review dual assessment approach </w:t>
      </w:r>
      <w:r>
        <w:t>as the rate at which States move to full scheme is a matter of policy choice and the average policy in the application year is the relevant policy.</w:t>
      </w:r>
    </w:p>
    <w:p w:rsidR="009C12A5" w:rsidRPr="00E674AF" w:rsidRDefault="009C12A5" w:rsidP="00D76181">
      <w:pPr>
        <w:pStyle w:val="21para"/>
      </w:pPr>
      <w:r>
        <w:t>The Commission also decided to i</w:t>
      </w:r>
      <w:r w:rsidRPr="00005147">
        <w:t xml:space="preserve">mpute notional </w:t>
      </w:r>
      <w:r w:rsidR="0025713B">
        <w:t>n</w:t>
      </w:r>
      <w:r w:rsidRPr="00005147">
        <w:t xml:space="preserve">ational </w:t>
      </w:r>
      <w:r w:rsidR="0025713B">
        <w:t>d</w:t>
      </w:r>
      <w:r w:rsidRPr="00005147">
        <w:t xml:space="preserve">isability SPPs </w:t>
      </w:r>
      <w:r w:rsidRPr="000D2D43">
        <w:t>for New</w:t>
      </w:r>
      <w:r>
        <w:t> </w:t>
      </w:r>
      <w:r w:rsidRPr="000D2D43">
        <w:t xml:space="preserve">South Wales, South Australia and the ACT </w:t>
      </w:r>
      <w:r>
        <w:t>to d</w:t>
      </w:r>
      <w:r w:rsidRPr="00005147">
        <w:t>eriv</w:t>
      </w:r>
      <w:r>
        <w:t>e the</w:t>
      </w:r>
      <w:r w:rsidRPr="00005147">
        <w:t xml:space="preserve"> proportions of NDIS and existing disability services expenses projected for the application year.</w:t>
      </w:r>
      <w:r w:rsidRPr="00F21439">
        <w:t xml:space="preserve"> </w:t>
      </w:r>
      <w:r>
        <w:t>This would ensure that expenses for all States are measured on a consistent basis.</w:t>
      </w:r>
    </w:p>
    <w:p w:rsidR="009C12A5" w:rsidRDefault="009C12A5" w:rsidP="009C12A5">
      <w:pPr>
        <w:pStyle w:val="Heading4"/>
      </w:pPr>
      <w:bookmarkStart w:id="536" w:name="_Toc498430062"/>
      <w:bookmarkStart w:id="537" w:name="_Toc505872193"/>
      <w:r w:rsidRPr="0012596A">
        <w:lastRenderedPageBreak/>
        <w:t>Health assessment</w:t>
      </w:r>
      <w:bookmarkEnd w:id="536"/>
      <w:bookmarkEnd w:id="537"/>
    </w:p>
    <w:p w:rsidR="009C12A5" w:rsidRDefault="009C12A5" w:rsidP="009C12A5">
      <w:pPr>
        <w:pStyle w:val="Heading5"/>
      </w:pPr>
      <w:r>
        <w:t>Emergency department data</w:t>
      </w:r>
    </w:p>
    <w:p w:rsidR="009C12A5" w:rsidRDefault="009C12A5" w:rsidP="00D76181">
      <w:pPr>
        <w:pStyle w:val="21para"/>
      </w:pPr>
      <w:r w:rsidRPr="008D5645">
        <w:rPr>
          <w:rStyle w:val="Heading6Char"/>
        </w:rPr>
        <w:t>Background.</w:t>
      </w:r>
      <w:r w:rsidR="0025048D">
        <w:t xml:space="preserve"> </w:t>
      </w:r>
      <w:r>
        <w:t>In</w:t>
      </w:r>
      <w:r w:rsidRPr="008D5645">
        <w:t xml:space="preserve"> </w:t>
      </w:r>
      <w:r>
        <w:t xml:space="preserve">late 2016, the Commission received advice </w:t>
      </w:r>
      <w:r w:rsidRPr="00102B02">
        <w:t xml:space="preserve">from the IHPA </w:t>
      </w:r>
      <w:r>
        <w:t xml:space="preserve">that the emergency department (ED) data from the </w:t>
      </w:r>
      <w:r w:rsidRPr="00102B02">
        <w:t>National</w:t>
      </w:r>
      <w:r>
        <w:t xml:space="preserve"> Public Hospital Establishment (</w:t>
      </w:r>
      <w:proofErr w:type="spellStart"/>
      <w:r>
        <w:t>PHE</w:t>
      </w:r>
      <w:proofErr w:type="spellEnd"/>
      <w:r>
        <w:t>) database would not</w:t>
      </w:r>
      <w:r w:rsidRPr="00102B02">
        <w:t xml:space="preserve"> be available</w:t>
      </w:r>
      <w:r>
        <w:t xml:space="preserve"> from 2014</w:t>
      </w:r>
      <w:r>
        <w:noBreakHyphen/>
        <w:t>15</w:t>
      </w:r>
      <w:r w:rsidRPr="00102B02">
        <w:t xml:space="preserve">. </w:t>
      </w:r>
      <w:r>
        <w:t>This affected 2014</w:t>
      </w:r>
      <w:r>
        <w:noBreakHyphen/>
        <w:t>15 and 2015</w:t>
      </w:r>
      <w:r>
        <w:noBreakHyphen/>
        <w:t>16 ED data in the 2017 Update and the Commission had to decide how to deal with the missing activity.</w:t>
      </w:r>
    </w:p>
    <w:p w:rsidR="009C12A5" w:rsidRDefault="009C12A5" w:rsidP="00D76181">
      <w:pPr>
        <w:pStyle w:val="21para"/>
      </w:pPr>
      <w:r>
        <w:t xml:space="preserve">The ED activity from the </w:t>
      </w:r>
      <w:proofErr w:type="spellStart"/>
      <w:r>
        <w:t>PHE</w:t>
      </w:r>
      <w:proofErr w:type="spellEnd"/>
      <w:r>
        <w:t xml:space="preserve"> database accounted for a small proportion of total ED activity. Most ED activity was being measured through the </w:t>
      </w:r>
      <w:r w:rsidRPr="00C46C7A">
        <w:t>Non-admitted Patient Emergency Department Care National Minimum Data</w:t>
      </w:r>
      <w:r>
        <w:t xml:space="preserve"> Set (or EP collection) and Activity</w:t>
      </w:r>
      <w:r>
        <w:noBreakHyphen/>
      </w:r>
      <w:r w:rsidRPr="00C46C7A">
        <w:t>based Funding Emergency Services Care Data Set Specif</w:t>
      </w:r>
      <w:r>
        <w:t>ication (or ES collection). Analysis of the 2013</w:t>
      </w:r>
      <w:r>
        <w:noBreakHyphen/>
      </w:r>
      <w:r w:rsidRPr="00C1773D">
        <w:t>14</w:t>
      </w:r>
      <w:r>
        <w:t xml:space="preserve"> ED data for the 2017 Update showed that only about</w:t>
      </w:r>
      <w:r w:rsidRPr="00C1773D">
        <w:t xml:space="preserve"> 5% of </w:t>
      </w:r>
      <w:r>
        <w:t xml:space="preserve">total </w:t>
      </w:r>
      <w:r w:rsidRPr="00C1773D">
        <w:t xml:space="preserve">ED occasions </w:t>
      </w:r>
      <w:r>
        <w:t xml:space="preserve">(or 411 890 occasions) </w:t>
      </w:r>
      <w:r w:rsidRPr="00C1773D">
        <w:t xml:space="preserve">were sourced </w:t>
      </w:r>
      <w:r>
        <w:t xml:space="preserve">from the </w:t>
      </w:r>
      <w:proofErr w:type="spellStart"/>
      <w:r>
        <w:t>PHE</w:t>
      </w:r>
      <w:proofErr w:type="spellEnd"/>
      <w:r>
        <w:t xml:space="preserve"> database. However, these occasions were </w:t>
      </w:r>
      <w:r w:rsidRPr="00C1773D">
        <w:t>not uniformly distributed across remoteness areas</w:t>
      </w:r>
      <w:r>
        <w:t>,</w:t>
      </w:r>
      <w:r w:rsidRPr="00C1773D">
        <w:t xml:space="preserve"> </w:t>
      </w:r>
      <w:r>
        <w:t xml:space="preserve">ranging from </w:t>
      </w:r>
      <w:r w:rsidRPr="00C1773D">
        <w:t>0.1% in major cities</w:t>
      </w:r>
      <w:r>
        <w:t xml:space="preserve"> to </w:t>
      </w:r>
      <w:r w:rsidRPr="00C1773D">
        <w:t>17</w:t>
      </w:r>
      <w:r>
        <w:t xml:space="preserve">.4% in outer regional areas, so </w:t>
      </w:r>
      <w:r w:rsidRPr="00C1773D">
        <w:t xml:space="preserve">ignoring </w:t>
      </w:r>
      <w:r>
        <w:t>them</w:t>
      </w:r>
      <w:r w:rsidRPr="00C1773D">
        <w:t xml:space="preserve"> would disproportionately exclude ED activity i</w:t>
      </w:r>
      <w:r>
        <w:t xml:space="preserve">n areas outside major cities and </w:t>
      </w:r>
      <w:r w:rsidRPr="00C1773D">
        <w:t>have a material effect on the GST distribution</w:t>
      </w:r>
      <w:r>
        <w:t>.</w:t>
      </w:r>
    </w:p>
    <w:p w:rsidR="009C12A5" w:rsidRDefault="009C12A5" w:rsidP="00D76181">
      <w:pPr>
        <w:pStyle w:val="21para"/>
      </w:pPr>
      <w:r>
        <w:t>After consulting with States during the 2017 Update</w:t>
      </w:r>
      <w:r w:rsidR="00235C49">
        <w:t>,</w:t>
      </w:r>
      <w:r>
        <w:t xml:space="preserve"> the Commission decided to estimate the missing </w:t>
      </w:r>
      <w:proofErr w:type="spellStart"/>
      <w:r>
        <w:t>PHE</w:t>
      </w:r>
      <w:proofErr w:type="spellEnd"/>
      <w:r>
        <w:t xml:space="preserve"> occasions for years after 2013</w:t>
      </w:r>
      <w:r>
        <w:noBreakHyphen/>
        <w:t>14 using the number of occasions in 2013</w:t>
      </w:r>
      <w:r>
        <w:noBreakHyphen/>
        <w:t xml:space="preserve">14, rather than the proportion. This was because IHPA advised that improvements to the coverage of EP and ES data collections were likely to measure most of the activity previously captured in the </w:t>
      </w:r>
      <w:proofErr w:type="spellStart"/>
      <w:r>
        <w:t>PHE</w:t>
      </w:r>
      <w:proofErr w:type="spellEnd"/>
      <w:r>
        <w:t xml:space="preserve"> database. Most States supported this approach but suggested that the Commission revisit the issue in the 2018 Update and use hospital level data to assess changes in collection coverage to determine the best approach for estimating the missing </w:t>
      </w:r>
      <w:proofErr w:type="spellStart"/>
      <w:r>
        <w:t>PHE</w:t>
      </w:r>
      <w:proofErr w:type="spellEnd"/>
      <w:r>
        <w:t xml:space="preserve"> activity going forward.</w:t>
      </w:r>
    </w:p>
    <w:p w:rsidR="009C12A5" w:rsidRDefault="009C12A5" w:rsidP="00D76181">
      <w:pPr>
        <w:pStyle w:val="21para"/>
      </w:pPr>
      <w:r>
        <w:t>IHPA has provided the Commission with hospital level data to estimate the ED activity not measured in the two ongoing emergency department data collections (EP and ES). It supplied the following data to facilitate the analysis.</w:t>
      </w:r>
    </w:p>
    <w:p w:rsidR="00560DEA" w:rsidRPr="006455BD" w:rsidRDefault="00560DEA" w:rsidP="006455BD">
      <w:pPr>
        <w:pStyle w:val="CGCBulletlist"/>
      </w:pPr>
      <w:r w:rsidRPr="006455BD">
        <w:t xml:space="preserve">Data on the number of ED occasions for each hospital in the </w:t>
      </w:r>
      <w:proofErr w:type="spellStart"/>
      <w:r w:rsidRPr="006455BD">
        <w:t>PHE</w:t>
      </w:r>
      <w:proofErr w:type="spellEnd"/>
      <w:r w:rsidRPr="006455BD">
        <w:t xml:space="preserve"> collection in 2013</w:t>
      </w:r>
      <w:r w:rsidRPr="006455BD">
        <w:noBreakHyphen/>
        <w:t>14, by hospital remoteness.</w:t>
      </w:r>
      <w:r w:rsidR="00755E7F">
        <w:rPr>
          <w:rStyle w:val="FootnoteReference"/>
        </w:rPr>
        <w:footnoteReference w:id="13"/>
      </w:r>
    </w:p>
    <w:p w:rsidR="00560DEA" w:rsidRPr="006455BD" w:rsidRDefault="00560DEA" w:rsidP="006455BD">
      <w:pPr>
        <w:pStyle w:val="CGCBulletlist"/>
      </w:pPr>
      <w:r w:rsidRPr="006455BD">
        <w:t>Data on the number of ED occasions for each hospital in the EP and ES collections in 2013</w:t>
      </w:r>
      <w:r w:rsidRPr="006455BD">
        <w:noBreakHyphen/>
        <w:t>14 and 2014</w:t>
      </w:r>
      <w:r w:rsidRPr="006455BD">
        <w:noBreakHyphen/>
        <w:t>15, by hospital remoteness.</w:t>
      </w:r>
    </w:p>
    <w:p w:rsidR="00560DEA" w:rsidRDefault="00560DEA" w:rsidP="00D76181">
      <w:pPr>
        <w:pStyle w:val="21para"/>
      </w:pPr>
      <w:r>
        <w:t xml:space="preserve">Using these data the Commission identified that, of the 163 hospitals that reported their ED occasions in the </w:t>
      </w:r>
      <w:proofErr w:type="spellStart"/>
      <w:r>
        <w:t>PHE</w:t>
      </w:r>
      <w:proofErr w:type="spellEnd"/>
      <w:r>
        <w:t xml:space="preserve"> collection in 2013</w:t>
      </w:r>
      <w:r>
        <w:noBreakHyphen/>
        <w:t>14, 100 began reporting in the EP collection in 2014</w:t>
      </w:r>
      <w:r>
        <w:noBreakHyphen/>
        <w:t>15</w:t>
      </w:r>
      <w:r w:rsidR="002067E2">
        <w:t>,</w:t>
      </w:r>
      <w:r>
        <w:rPr>
          <w:rStyle w:val="FootnoteReference"/>
        </w:rPr>
        <w:footnoteReference w:id="14"/>
      </w:r>
      <w:r>
        <w:t xml:space="preserve"> leaving only 63 ‘non</w:t>
      </w:r>
      <w:r>
        <w:noBreakHyphen/>
        <w:t xml:space="preserve">reporting hospitals’. These ‘non-reporting </w:t>
      </w:r>
      <w:r>
        <w:lastRenderedPageBreak/>
        <w:t>hospitals’ accounted for 90 850 ED occasions in 2013</w:t>
      </w:r>
      <w:r>
        <w:noBreakHyphen/>
        <w:t>14 or 1.2% of total ED occasions in that year.</w:t>
      </w:r>
    </w:p>
    <w:p w:rsidR="00560DEA" w:rsidRDefault="002A67DD" w:rsidP="00D76181">
      <w:pPr>
        <w:pStyle w:val="21para"/>
      </w:pPr>
      <w:r>
        <w:t xml:space="preserve">The Commission </w:t>
      </w:r>
      <w:r w:rsidR="00560DEA">
        <w:t xml:space="preserve">estimated the number and proportion of </w:t>
      </w:r>
      <w:proofErr w:type="spellStart"/>
      <w:r w:rsidR="00560DEA">
        <w:t>PHE</w:t>
      </w:r>
      <w:proofErr w:type="spellEnd"/>
      <w:r w:rsidR="00560DEA">
        <w:t xml:space="preserve"> ED occasions for the 63 ‘non</w:t>
      </w:r>
      <w:r w:rsidR="00560DEA">
        <w:noBreakHyphen/>
        <w:t>reporting hospitals’ in 2014</w:t>
      </w:r>
      <w:r w:rsidR="00560DEA">
        <w:noBreakHyphen/>
        <w:t>15 by applying a growth factor derived from data for the 100 hospitals that reported in 2013</w:t>
      </w:r>
      <w:r w:rsidR="00560DEA">
        <w:noBreakHyphen/>
        <w:t>14 and 2014</w:t>
      </w:r>
      <w:r w:rsidR="00560DEA">
        <w:noBreakHyphen/>
        <w:t xml:space="preserve">15. Using this approach </w:t>
      </w:r>
      <w:r>
        <w:t>it</w:t>
      </w:r>
      <w:r w:rsidR="00560DEA">
        <w:t xml:space="preserve"> estimated there would be 88 182 ED occasions for ‘non</w:t>
      </w:r>
      <w:r w:rsidR="00560DEA">
        <w:noBreakHyphen/>
        <w:t>reporting hospitals’ in 2014</w:t>
      </w:r>
      <w:r w:rsidR="00560DEA">
        <w:noBreakHyphen/>
        <w:t xml:space="preserve">15, representing 1.1% of total ED occasions in that year. </w:t>
      </w:r>
    </w:p>
    <w:p w:rsidR="00560DEA" w:rsidRDefault="00560DEA" w:rsidP="00D76181">
      <w:pPr>
        <w:pStyle w:val="21para"/>
      </w:pPr>
      <w:r>
        <w:fldChar w:fldCharType="begin"/>
      </w:r>
      <w:r>
        <w:instrText xml:space="preserve"> REF _Ref504906360 \h </w:instrText>
      </w:r>
      <w:r>
        <w:fldChar w:fldCharType="separate"/>
      </w:r>
      <w:r w:rsidR="000A6746">
        <w:t>Table 2</w:t>
      </w:r>
      <w:r w:rsidR="000A6746">
        <w:noBreakHyphen/>
      </w:r>
      <w:r w:rsidR="000A6746">
        <w:rPr>
          <w:noProof/>
        </w:rPr>
        <w:t>2</w:t>
      </w:r>
      <w:r>
        <w:fldChar w:fldCharType="end"/>
      </w:r>
      <w:r>
        <w:t xml:space="preserve"> shows the calculation steps by hospital remoteness area. Most of the ‘non</w:t>
      </w:r>
      <w:r>
        <w:noBreakHyphen/>
        <w:t xml:space="preserve">reporting hospitals’ were in inner and outer regional areas and </w:t>
      </w:r>
      <w:r w:rsidR="00755E7F">
        <w:t>only four were in remote areas.</w:t>
      </w:r>
    </w:p>
    <w:p w:rsidR="00B614D6" w:rsidRDefault="00560DEA" w:rsidP="00560DEA">
      <w:pPr>
        <w:pStyle w:val="Caption"/>
      </w:pPr>
      <w:bookmarkStart w:id="538" w:name="_Ref504906360"/>
      <w:r>
        <w:t>Table 2</w:t>
      </w:r>
      <w:r>
        <w:noBreakHyphen/>
      </w:r>
      <w:r w:rsidR="00CD68E8">
        <w:fldChar w:fldCharType="begin"/>
      </w:r>
      <w:r w:rsidR="00CD68E8">
        <w:instrText xml:space="preserve"> SEQ Table </w:instrText>
      </w:r>
      <w:r w:rsidR="00CD68E8">
        <w:instrText xml:space="preserve">\* ARABIC \s 1 </w:instrText>
      </w:r>
      <w:r w:rsidR="00CD68E8">
        <w:fldChar w:fldCharType="separate"/>
      </w:r>
      <w:r w:rsidR="000A6746">
        <w:rPr>
          <w:noProof/>
        </w:rPr>
        <w:t>2</w:t>
      </w:r>
      <w:r w:rsidR="00CD68E8">
        <w:rPr>
          <w:noProof/>
        </w:rPr>
        <w:fldChar w:fldCharType="end"/>
      </w:r>
      <w:bookmarkEnd w:id="538"/>
      <w:r>
        <w:tab/>
        <w:t>Estimation of ED occasions from ‘non</w:t>
      </w:r>
      <w:r>
        <w:noBreakHyphen/>
        <w:t>reporting hospitals’ for 2014</w:t>
      </w:r>
      <w:r>
        <w:noBreakHyphen/>
        <w:t>15</w:t>
      </w:r>
    </w:p>
    <w:tbl>
      <w:tblPr>
        <w:tblW w:w="8960" w:type="dxa"/>
        <w:tblLayout w:type="fixed"/>
        <w:tblCellMar>
          <w:left w:w="0" w:type="dxa"/>
          <w:right w:w="0" w:type="dxa"/>
        </w:tblCellMar>
        <w:tblLook w:val="04A0" w:firstRow="1" w:lastRow="0" w:firstColumn="1" w:lastColumn="0" w:noHBand="0" w:noVBand="1"/>
      </w:tblPr>
      <w:tblGrid>
        <w:gridCol w:w="1420"/>
        <w:gridCol w:w="1240"/>
        <w:gridCol w:w="1420"/>
        <w:gridCol w:w="1480"/>
        <w:gridCol w:w="1920"/>
        <w:gridCol w:w="1480"/>
      </w:tblGrid>
      <w:tr w:rsidR="00560DEA" w:rsidRPr="00FA3E94" w:rsidTr="0080221F">
        <w:trPr>
          <w:trHeight w:val="315"/>
        </w:trPr>
        <w:tc>
          <w:tcPr>
            <w:tcW w:w="1420" w:type="dxa"/>
            <w:tcBorders>
              <w:top w:val="single" w:sz="4" w:space="0" w:color="auto"/>
              <w:left w:val="nil"/>
              <w:bottom w:val="single" w:sz="4" w:space="0" w:color="auto"/>
              <w:right w:val="nil"/>
            </w:tcBorders>
            <w:shd w:val="clear" w:color="auto" w:fill="auto"/>
            <w:noWrap/>
            <w:vAlign w:val="center"/>
            <w:hideMark/>
          </w:tcPr>
          <w:p w:rsidR="00560DEA" w:rsidRPr="00FA3E94" w:rsidRDefault="00560DEA" w:rsidP="0080221F">
            <w:pPr>
              <w:keepNext/>
              <w:keepLines/>
              <w:tabs>
                <w:tab w:val="clear" w:pos="567"/>
              </w:tabs>
              <w:spacing w:after="0" w:line="240" w:lineRule="auto"/>
              <w:ind w:left="193" w:hanging="142"/>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w:t>
            </w:r>
          </w:p>
        </w:tc>
        <w:tc>
          <w:tcPr>
            <w:tcW w:w="1240" w:type="dxa"/>
            <w:tcBorders>
              <w:top w:val="single" w:sz="4" w:space="0" w:color="auto"/>
              <w:left w:val="nil"/>
              <w:bottom w:val="single" w:sz="4" w:space="0" w:color="auto"/>
              <w:right w:val="nil"/>
            </w:tcBorders>
            <w:shd w:val="clear" w:color="auto" w:fill="auto"/>
            <w:noWrap/>
            <w:vAlign w:val="center"/>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Step </w:t>
            </w:r>
            <w:r>
              <w:rPr>
                <w:rFonts w:ascii="Calibri" w:eastAsia="Times New Roman" w:hAnsi="Calibri" w:cs="Times New Roman"/>
                <w:color w:val="000000"/>
                <w:sz w:val="20"/>
                <w:szCs w:val="20"/>
              </w:rPr>
              <w:t>(</w:t>
            </w:r>
            <w:r w:rsidRPr="00FA3E94">
              <w:rPr>
                <w:rFonts w:ascii="Calibri" w:eastAsia="Times New Roman" w:hAnsi="Calibri" w:cs="Times New Roman"/>
                <w:color w:val="000000"/>
                <w:sz w:val="20"/>
                <w:szCs w:val="20"/>
              </w:rPr>
              <w:t>1</w:t>
            </w:r>
            <w:r>
              <w:rPr>
                <w:rFonts w:ascii="Calibri" w:eastAsia="Times New Roman" w:hAnsi="Calibri" w:cs="Times New Roman"/>
                <w:color w:val="000000"/>
                <w:sz w:val="20"/>
                <w:szCs w:val="20"/>
              </w:rPr>
              <w:t>)</w:t>
            </w:r>
          </w:p>
        </w:tc>
        <w:tc>
          <w:tcPr>
            <w:tcW w:w="1420" w:type="dxa"/>
            <w:tcBorders>
              <w:top w:val="single" w:sz="4" w:space="0" w:color="auto"/>
              <w:left w:val="nil"/>
              <w:bottom w:val="single" w:sz="4" w:space="0" w:color="auto"/>
              <w:right w:val="nil"/>
            </w:tcBorders>
            <w:shd w:val="clear" w:color="auto" w:fill="auto"/>
            <w:noWrap/>
            <w:vAlign w:val="center"/>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Step </w:t>
            </w:r>
            <w:r>
              <w:rPr>
                <w:rFonts w:ascii="Calibri" w:eastAsia="Times New Roman" w:hAnsi="Calibri" w:cs="Times New Roman"/>
                <w:color w:val="000000"/>
                <w:sz w:val="20"/>
                <w:szCs w:val="20"/>
              </w:rPr>
              <w:t>(</w:t>
            </w:r>
            <w:r w:rsidRPr="00FA3E94">
              <w:rPr>
                <w:rFonts w:ascii="Calibri" w:eastAsia="Times New Roman" w:hAnsi="Calibri" w:cs="Times New Roman"/>
                <w:color w:val="000000"/>
                <w:sz w:val="20"/>
                <w:szCs w:val="20"/>
              </w:rPr>
              <w:t>2</w:t>
            </w:r>
            <w:r>
              <w:rPr>
                <w:rFonts w:ascii="Calibri" w:eastAsia="Times New Roman" w:hAnsi="Calibri" w:cs="Times New Roman"/>
                <w:color w:val="000000"/>
                <w:sz w:val="20"/>
                <w:szCs w:val="20"/>
              </w:rPr>
              <w:t>)</w:t>
            </w:r>
          </w:p>
        </w:tc>
        <w:tc>
          <w:tcPr>
            <w:tcW w:w="1480" w:type="dxa"/>
            <w:tcBorders>
              <w:top w:val="single" w:sz="4" w:space="0" w:color="auto"/>
              <w:left w:val="nil"/>
              <w:bottom w:val="single" w:sz="4" w:space="0" w:color="auto"/>
              <w:right w:val="nil"/>
            </w:tcBorders>
            <w:shd w:val="clear" w:color="auto" w:fill="auto"/>
            <w:noWrap/>
            <w:vAlign w:val="center"/>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Step</w:t>
            </w:r>
            <w:r>
              <w:rPr>
                <w:rFonts w:ascii="Calibri" w:eastAsia="Times New Roman" w:hAnsi="Calibri" w:cs="Times New Roman"/>
                <w:color w:val="000000"/>
                <w:sz w:val="20"/>
                <w:szCs w:val="20"/>
              </w:rPr>
              <w:t xml:space="preserve"> (</w:t>
            </w:r>
            <w:r w:rsidRPr="00FA3E94">
              <w:rPr>
                <w:rFonts w:ascii="Calibri" w:eastAsia="Times New Roman" w:hAnsi="Calibri" w:cs="Times New Roman"/>
                <w:color w:val="000000"/>
                <w:sz w:val="20"/>
                <w:szCs w:val="20"/>
              </w:rPr>
              <w:t>3</w:t>
            </w:r>
            <w:r>
              <w:rPr>
                <w:rFonts w:ascii="Calibri" w:eastAsia="Times New Roman" w:hAnsi="Calibri" w:cs="Times New Roman"/>
                <w:color w:val="000000"/>
                <w:sz w:val="20"/>
                <w:szCs w:val="20"/>
              </w:rPr>
              <w:t>)</w:t>
            </w:r>
          </w:p>
        </w:tc>
        <w:tc>
          <w:tcPr>
            <w:tcW w:w="1920" w:type="dxa"/>
            <w:tcBorders>
              <w:top w:val="single" w:sz="4" w:space="0" w:color="auto"/>
              <w:left w:val="nil"/>
              <w:bottom w:val="single" w:sz="4" w:space="0" w:color="auto"/>
              <w:right w:val="nil"/>
            </w:tcBorders>
            <w:shd w:val="clear" w:color="auto" w:fill="auto"/>
            <w:noWrap/>
            <w:vAlign w:val="center"/>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Step </w:t>
            </w:r>
            <w:r>
              <w:rPr>
                <w:rFonts w:ascii="Calibri" w:eastAsia="Times New Roman" w:hAnsi="Calibri" w:cs="Times New Roman"/>
                <w:color w:val="000000"/>
                <w:sz w:val="20"/>
                <w:szCs w:val="20"/>
              </w:rPr>
              <w:t>(</w:t>
            </w:r>
            <w:r w:rsidRPr="00FA3E94">
              <w:rPr>
                <w:rFonts w:ascii="Calibri" w:eastAsia="Times New Roman" w:hAnsi="Calibri" w:cs="Times New Roman"/>
                <w:color w:val="000000"/>
                <w:sz w:val="20"/>
                <w:szCs w:val="20"/>
              </w:rPr>
              <w:t>4</w:t>
            </w:r>
            <w:r>
              <w:rPr>
                <w:rFonts w:ascii="Calibri" w:eastAsia="Times New Roman" w:hAnsi="Calibri" w:cs="Times New Roman"/>
                <w:color w:val="000000"/>
                <w:sz w:val="20"/>
                <w:szCs w:val="20"/>
              </w:rPr>
              <w:t>)</w:t>
            </w:r>
          </w:p>
        </w:tc>
        <w:tc>
          <w:tcPr>
            <w:tcW w:w="1480" w:type="dxa"/>
            <w:tcBorders>
              <w:top w:val="single" w:sz="4" w:space="0" w:color="auto"/>
              <w:left w:val="nil"/>
              <w:bottom w:val="single" w:sz="4" w:space="0" w:color="auto"/>
              <w:right w:val="nil"/>
            </w:tcBorders>
            <w:shd w:val="clear" w:color="auto" w:fill="auto"/>
            <w:noWrap/>
            <w:vAlign w:val="center"/>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Step </w:t>
            </w:r>
            <w:r>
              <w:rPr>
                <w:rFonts w:ascii="Calibri" w:eastAsia="Times New Roman" w:hAnsi="Calibri" w:cs="Times New Roman"/>
                <w:color w:val="000000"/>
                <w:sz w:val="20"/>
                <w:szCs w:val="20"/>
              </w:rPr>
              <w:t>(</w:t>
            </w:r>
            <w:r w:rsidRPr="00FA3E94">
              <w:rPr>
                <w:rFonts w:ascii="Calibri" w:eastAsia="Times New Roman" w:hAnsi="Calibri" w:cs="Times New Roman"/>
                <w:color w:val="000000"/>
                <w:sz w:val="20"/>
                <w:szCs w:val="20"/>
              </w:rPr>
              <w:t>5</w:t>
            </w:r>
            <w:r>
              <w:rPr>
                <w:rFonts w:ascii="Calibri" w:eastAsia="Times New Roman" w:hAnsi="Calibri" w:cs="Times New Roman"/>
                <w:color w:val="000000"/>
                <w:sz w:val="20"/>
                <w:szCs w:val="20"/>
              </w:rPr>
              <w:t>)</w:t>
            </w:r>
          </w:p>
        </w:tc>
      </w:tr>
      <w:tr w:rsidR="00560DEA" w:rsidRPr="00FA3E94" w:rsidTr="0080221F">
        <w:trPr>
          <w:trHeight w:val="1275"/>
        </w:trPr>
        <w:tc>
          <w:tcPr>
            <w:tcW w:w="1420" w:type="dxa"/>
            <w:tcBorders>
              <w:top w:val="nil"/>
              <w:left w:val="nil"/>
              <w:bottom w:val="nil"/>
              <w:right w:val="nil"/>
            </w:tcBorders>
            <w:shd w:val="clear" w:color="auto" w:fill="auto"/>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p>
        </w:tc>
        <w:tc>
          <w:tcPr>
            <w:tcW w:w="1240" w:type="dxa"/>
            <w:tcBorders>
              <w:top w:val="nil"/>
              <w:left w:val="nil"/>
              <w:bottom w:val="nil"/>
              <w:right w:val="nil"/>
            </w:tcBorders>
            <w:shd w:val="clear" w:color="auto" w:fill="auto"/>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Non-reporting hospitals in 2014</w:t>
            </w:r>
            <w:r w:rsidRPr="00FA3E94">
              <w:rPr>
                <w:rFonts w:ascii="Calibri" w:eastAsia="Times New Roman" w:hAnsi="Calibri" w:cs="Times New Roman"/>
                <w:color w:val="000000"/>
                <w:sz w:val="20"/>
                <w:szCs w:val="20"/>
              </w:rPr>
              <w:noBreakHyphen/>
              <w:t>15 (a)</w:t>
            </w:r>
          </w:p>
        </w:tc>
        <w:tc>
          <w:tcPr>
            <w:tcW w:w="1420" w:type="dxa"/>
            <w:tcBorders>
              <w:top w:val="nil"/>
              <w:left w:val="nil"/>
              <w:bottom w:val="nil"/>
              <w:right w:val="nil"/>
            </w:tcBorders>
            <w:shd w:val="clear" w:color="auto" w:fill="auto"/>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ED occasions for non-reporting hospitals in 2013</w:t>
            </w:r>
            <w:r w:rsidRPr="00FA3E94">
              <w:rPr>
                <w:rFonts w:ascii="Calibri" w:eastAsia="Times New Roman" w:hAnsi="Calibri" w:cs="Times New Roman"/>
                <w:color w:val="000000"/>
                <w:sz w:val="20"/>
                <w:szCs w:val="20"/>
              </w:rPr>
              <w:noBreakHyphen/>
              <w:t xml:space="preserve">14 </w:t>
            </w:r>
          </w:p>
        </w:tc>
        <w:tc>
          <w:tcPr>
            <w:tcW w:w="1480" w:type="dxa"/>
            <w:tcBorders>
              <w:top w:val="nil"/>
              <w:left w:val="nil"/>
              <w:bottom w:val="nil"/>
              <w:right w:val="nil"/>
            </w:tcBorders>
            <w:shd w:val="clear" w:color="auto" w:fill="auto"/>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Growth in activity for hospitals reported in both years (b) </w:t>
            </w:r>
          </w:p>
        </w:tc>
        <w:tc>
          <w:tcPr>
            <w:tcW w:w="1920" w:type="dxa"/>
            <w:tcBorders>
              <w:top w:val="nil"/>
              <w:left w:val="nil"/>
              <w:bottom w:val="nil"/>
              <w:right w:val="nil"/>
            </w:tcBorders>
            <w:shd w:val="clear" w:color="auto" w:fill="auto"/>
            <w:vAlign w:val="bottom"/>
            <w:hideMark/>
          </w:tcPr>
          <w:p w:rsidR="00560DEA" w:rsidRPr="00FA3E94" w:rsidRDefault="00560DEA" w:rsidP="008D6708">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Estimate of ED occasions from non-reporting hospita</w:t>
            </w:r>
            <w:r>
              <w:rPr>
                <w:rFonts w:ascii="Calibri" w:eastAsia="Times New Roman" w:hAnsi="Calibri" w:cs="Times New Roman"/>
                <w:color w:val="000000"/>
                <w:sz w:val="20"/>
                <w:szCs w:val="20"/>
              </w:rPr>
              <w:t>ls in 2014</w:t>
            </w:r>
            <w:r>
              <w:rPr>
                <w:rFonts w:ascii="Calibri" w:eastAsia="Times New Roman" w:hAnsi="Calibri" w:cs="Times New Roman"/>
                <w:color w:val="000000"/>
                <w:sz w:val="20"/>
                <w:szCs w:val="20"/>
              </w:rPr>
              <w:noBreakHyphen/>
              <w:t>15</w:t>
            </w:r>
            <w:r w:rsidR="008D6708">
              <w:rPr>
                <w:rFonts w:ascii="Calibri" w:eastAsia="Times New Roman" w:hAnsi="Calibri" w:cs="Times New Roman"/>
                <w:color w:val="000000"/>
                <w:sz w:val="20"/>
                <w:szCs w:val="20"/>
              </w:rPr>
              <w:br/>
            </w:r>
            <w:r>
              <w:rPr>
                <w:rFonts w:ascii="Calibri" w:eastAsia="Times New Roman" w:hAnsi="Calibri" w:cs="Times New Roman"/>
                <w:color w:val="000000"/>
                <w:sz w:val="20"/>
                <w:szCs w:val="20"/>
              </w:rPr>
              <w:t xml:space="preserve"> (2)*[</w:t>
            </w:r>
            <w:r w:rsidRPr="00FA3E94">
              <w:rPr>
                <w:rFonts w:ascii="Calibri" w:eastAsia="Times New Roman" w:hAnsi="Calibri" w:cs="Times New Roman"/>
                <w:color w:val="000000"/>
                <w:sz w:val="20"/>
                <w:szCs w:val="20"/>
              </w:rPr>
              <w:t>1</w:t>
            </w:r>
            <w:r>
              <w:rPr>
                <w:rFonts w:ascii="Calibri" w:eastAsia="Times New Roman" w:hAnsi="Calibri" w:cs="Times New Roman"/>
                <w:color w:val="000000"/>
                <w:sz w:val="20"/>
                <w:szCs w:val="20"/>
              </w:rPr>
              <w:t>00</w:t>
            </w:r>
            <w:r w:rsidRPr="00FA3E94">
              <w:rPr>
                <w:rFonts w:ascii="Calibri" w:eastAsia="Times New Roman" w:hAnsi="Calibri" w:cs="Times New Roman"/>
                <w:color w:val="000000"/>
                <w:sz w:val="20"/>
                <w:szCs w:val="20"/>
              </w:rPr>
              <w:t>+(3)</w:t>
            </w:r>
            <w:r>
              <w:rPr>
                <w:rFonts w:ascii="Calibri" w:eastAsia="Times New Roman" w:hAnsi="Calibri" w:cs="Times New Roman"/>
                <w:color w:val="000000"/>
                <w:sz w:val="20"/>
                <w:szCs w:val="20"/>
              </w:rPr>
              <w:t>]</w:t>
            </w:r>
          </w:p>
        </w:tc>
        <w:tc>
          <w:tcPr>
            <w:tcW w:w="1480" w:type="dxa"/>
            <w:tcBorders>
              <w:top w:val="nil"/>
              <w:left w:val="nil"/>
              <w:bottom w:val="nil"/>
              <w:right w:val="nil"/>
            </w:tcBorders>
            <w:shd w:val="clear" w:color="auto" w:fill="auto"/>
            <w:vAlign w:val="bottom"/>
            <w:hideMark/>
          </w:tcPr>
          <w:p w:rsidR="00560DEA" w:rsidRPr="00FA3E94" w:rsidRDefault="00560DEA" w:rsidP="008D6708">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Proportion of ED occasions from non-reporting hospitals in 2014</w:t>
            </w:r>
            <w:r w:rsidR="008D6708">
              <w:rPr>
                <w:rFonts w:ascii="Calibri" w:eastAsia="Times New Roman" w:hAnsi="Calibri" w:cs="Times New Roman"/>
                <w:color w:val="000000"/>
                <w:sz w:val="20"/>
                <w:szCs w:val="20"/>
              </w:rPr>
              <w:noBreakHyphen/>
            </w:r>
            <w:r w:rsidRPr="00FA3E94">
              <w:rPr>
                <w:rFonts w:ascii="Calibri" w:eastAsia="Times New Roman" w:hAnsi="Calibri" w:cs="Times New Roman"/>
                <w:color w:val="000000"/>
                <w:sz w:val="20"/>
                <w:szCs w:val="20"/>
              </w:rPr>
              <w:t>15</w:t>
            </w:r>
          </w:p>
        </w:tc>
      </w:tr>
      <w:tr w:rsidR="00560DEA" w:rsidRPr="00FA3E94" w:rsidTr="0080221F">
        <w:trPr>
          <w:trHeight w:val="259"/>
        </w:trPr>
        <w:tc>
          <w:tcPr>
            <w:tcW w:w="1420" w:type="dxa"/>
            <w:tcBorders>
              <w:top w:val="single" w:sz="4" w:space="0" w:color="auto"/>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w:t>
            </w:r>
          </w:p>
        </w:tc>
        <w:tc>
          <w:tcPr>
            <w:tcW w:w="1240" w:type="dxa"/>
            <w:tcBorders>
              <w:top w:val="single" w:sz="4" w:space="0" w:color="auto"/>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No.</w:t>
            </w:r>
          </w:p>
        </w:tc>
        <w:tc>
          <w:tcPr>
            <w:tcW w:w="1420" w:type="dxa"/>
            <w:tcBorders>
              <w:top w:val="single" w:sz="4" w:space="0" w:color="auto"/>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No.</w:t>
            </w:r>
          </w:p>
        </w:tc>
        <w:tc>
          <w:tcPr>
            <w:tcW w:w="1480" w:type="dxa"/>
            <w:tcBorders>
              <w:top w:val="single" w:sz="4" w:space="0" w:color="auto"/>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w:t>
            </w:r>
          </w:p>
        </w:tc>
        <w:tc>
          <w:tcPr>
            <w:tcW w:w="1920" w:type="dxa"/>
            <w:tcBorders>
              <w:top w:val="single" w:sz="4" w:space="0" w:color="auto"/>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No.</w:t>
            </w:r>
          </w:p>
        </w:tc>
        <w:tc>
          <w:tcPr>
            <w:tcW w:w="1480" w:type="dxa"/>
            <w:tcBorders>
              <w:top w:val="single" w:sz="4" w:space="0" w:color="auto"/>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w:t>
            </w:r>
          </w:p>
        </w:tc>
      </w:tr>
      <w:tr w:rsidR="00560DEA" w:rsidRPr="00FA3E94" w:rsidTr="0080221F">
        <w:trPr>
          <w:trHeight w:val="315"/>
        </w:trPr>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Major cities</w:t>
            </w:r>
          </w:p>
        </w:tc>
        <w:tc>
          <w:tcPr>
            <w:tcW w:w="124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w:t>
            </w:r>
          </w:p>
        </w:tc>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-10.6</w:t>
            </w:r>
          </w:p>
        </w:tc>
        <w:tc>
          <w:tcPr>
            <w:tcW w:w="19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w:t>
            </w:r>
          </w:p>
        </w:tc>
        <w:tc>
          <w:tcPr>
            <w:tcW w:w="1480" w:type="dxa"/>
            <w:tcBorders>
              <w:top w:val="nil"/>
              <w:left w:val="nil"/>
              <w:bottom w:val="nil"/>
              <w:right w:val="nil"/>
            </w:tcBorders>
            <w:shd w:val="clear" w:color="auto" w:fill="auto"/>
            <w:noWrap/>
            <w:vAlign w:val="bottom"/>
            <w:hideMark/>
          </w:tcPr>
          <w:p w:rsidR="00560DEA" w:rsidRPr="00FA3E94" w:rsidRDefault="00D07F97" w:rsidP="0080221F">
            <w:pPr>
              <w:keepNext/>
              <w:keepLines/>
              <w:tabs>
                <w:tab w:val="clear" w:pos="567"/>
              </w:tabs>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r w:rsidR="00560DEA" w:rsidRPr="00FA3E94">
              <w:rPr>
                <w:rFonts w:ascii="Calibri" w:eastAsia="Times New Roman" w:hAnsi="Calibri" w:cs="Times New Roman"/>
                <w:color w:val="000000"/>
                <w:sz w:val="20"/>
                <w:szCs w:val="20"/>
              </w:rPr>
              <w:t>0</w:t>
            </w:r>
          </w:p>
        </w:tc>
      </w:tr>
      <w:tr w:rsidR="00560DEA" w:rsidRPr="00FA3E94" w:rsidTr="0080221F">
        <w:trPr>
          <w:trHeight w:val="315"/>
        </w:trPr>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Inner regional</w:t>
            </w:r>
          </w:p>
        </w:tc>
        <w:tc>
          <w:tcPr>
            <w:tcW w:w="124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30</w:t>
            </w:r>
          </w:p>
        </w:tc>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51 017</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-1.7</w:t>
            </w:r>
          </w:p>
        </w:tc>
        <w:tc>
          <w:tcPr>
            <w:tcW w:w="19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50 170</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2.6</w:t>
            </w:r>
          </w:p>
        </w:tc>
      </w:tr>
      <w:tr w:rsidR="00560DEA" w:rsidRPr="00FA3E94" w:rsidTr="0080221F">
        <w:trPr>
          <w:trHeight w:val="315"/>
        </w:trPr>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Outer regional</w:t>
            </w:r>
          </w:p>
        </w:tc>
        <w:tc>
          <w:tcPr>
            <w:tcW w:w="124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28</w:t>
            </w:r>
          </w:p>
        </w:tc>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37 269</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-4.2</w:t>
            </w:r>
          </w:p>
        </w:tc>
        <w:tc>
          <w:tcPr>
            <w:tcW w:w="19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35 707</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3.3</w:t>
            </w:r>
          </w:p>
        </w:tc>
      </w:tr>
      <w:tr w:rsidR="00560DEA" w:rsidRPr="00FA3E94" w:rsidTr="0080221F">
        <w:trPr>
          <w:trHeight w:val="315"/>
        </w:trPr>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Remote</w:t>
            </w:r>
          </w:p>
        </w:tc>
        <w:tc>
          <w:tcPr>
            <w:tcW w:w="124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4</w:t>
            </w:r>
          </w:p>
        </w:tc>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2 139</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-12.1</w:t>
            </w:r>
          </w:p>
        </w:tc>
        <w:tc>
          <w:tcPr>
            <w:tcW w:w="19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1 880</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0.7</w:t>
            </w:r>
          </w:p>
        </w:tc>
      </w:tr>
      <w:tr w:rsidR="00560DEA" w:rsidRPr="00FA3E94" w:rsidTr="0080221F">
        <w:trPr>
          <w:trHeight w:val="315"/>
        </w:trPr>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Very remote</w:t>
            </w:r>
          </w:p>
        </w:tc>
        <w:tc>
          <w:tcPr>
            <w:tcW w:w="124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w:t>
            </w:r>
          </w:p>
        </w:tc>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2.8</w:t>
            </w:r>
          </w:p>
        </w:tc>
        <w:tc>
          <w:tcPr>
            <w:tcW w:w="19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w:t>
            </w:r>
          </w:p>
        </w:tc>
        <w:tc>
          <w:tcPr>
            <w:tcW w:w="1480" w:type="dxa"/>
            <w:tcBorders>
              <w:top w:val="nil"/>
              <w:left w:val="nil"/>
              <w:bottom w:val="nil"/>
              <w:right w:val="nil"/>
            </w:tcBorders>
            <w:shd w:val="clear" w:color="auto" w:fill="auto"/>
            <w:noWrap/>
            <w:vAlign w:val="bottom"/>
            <w:hideMark/>
          </w:tcPr>
          <w:p w:rsidR="00560DEA" w:rsidRPr="00FA3E94" w:rsidRDefault="00D07F97" w:rsidP="0080221F">
            <w:pPr>
              <w:keepNext/>
              <w:keepLines/>
              <w:tabs>
                <w:tab w:val="clear" w:pos="567"/>
              </w:tabs>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0.</w:t>
            </w:r>
            <w:r w:rsidR="00560DEA" w:rsidRPr="00FA3E94">
              <w:rPr>
                <w:rFonts w:ascii="Calibri" w:eastAsia="Times New Roman" w:hAnsi="Calibri" w:cs="Times New Roman"/>
                <w:color w:val="000000"/>
                <w:sz w:val="20"/>
                <w:szCs w:val="20"/>
              </w:rPr>
              <w:t>0</w:t>
            </w:r>
          </w:p>
        </w:tc>
      </w:tr>
      <w:tr w:rsidR="00560DEA" w:rsidRPr="00FA3E94" w:rsidTr="0080221F">
        <w:trPr>
          <w:trHeight w:val="315"/>
        </w:trPr>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Unknown </w:t>
            </w:r>
          </w:p>
        </w:tc>
        <w:tc>
          <w:tcPr>
            <w:tcW w:w="124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1</w:t>
            </w:r>
          </w:p>
        </w:tc>
        <w:tc>
          <w:tcPr>
            <w:tcW w:w="142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425</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proofErr w:type="spellStart"/>
            <w:r w:rsidRPr="00FA3E94">
              <w:rPr>
                <w:rFonts w:ascii="Calibri" w:eastAsia="Times New Roman" w:hAnsi="Calibri" w:cs="Times New Roman"/>
                <w:color w:val="000000"/>
                <w:sz w:val="20"/>
                <w:szCs w:val="20"/>
              </w:rPr>
              <w:t>na</w:t>
            </w:r>
            <w:proofErr w:type="spellEnd"/>
          </w:p>
        </w:tc>
        <w:tc>
          <w:tcPr>
            <w:tcW w:w="1920" w:type="dxa"/>
            <w:tcBorders>
              <w:top w:val="nil"/>
              <w:left w:val="nil"/>
              <w:bottom w:val="nil"/>
              <w:right w:val="nil"/>
            </w:tcBorders>
            <w:shd w:val="clear" w:color="auto" w:fill="auto"/>
            <w:noWrap/>
            <w:vAlign w:val="bottom"/>
            <w:hideMark/>
          </w:tcPr>
          <w:p w:rsidR="00560DEA" w:rsidRPr="00FA3E94" w:rsidRDefault="0025048D" w:rsidP="0080221F">
            <w:pPr>
              <w:keepNext/>
              <w:keepLines/>
              <w:tabs>
                <w:tab w:val="clear" w:pos="567"/>
              </w:tabs>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00560DEA" w:rsidRPr="00FA3E94">
              <w:rPr>
                <w:rFonts w:ascii="Calibri" w:eastAsia="Times New Roman" w:hAnsi="Calibri" w:cs="Times New Roman"/>
                <w:color w:val="000000"/>
                <w:sz w:val="20"/>
                <w:szCs w:val="20"/>
              </w:rPr>
              <w:t>425 (b)</w:t>
            </w:r>
          </w:p>
        </w:tc>
        <w:tc>
          <w:tcPr>
            <w:tcW w:w="1480" w:type="dxa"/>
            <w:tcBorders>
              <w:top w:val="nil"/>
              <w:left w:val="nil"/>
              <w:bottom w:val="nil"/>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0.5</w:t>
            </w:r>
          </w:p>
        </w:tc>
      </w:tr>
      <w:tr w:rsidR="00560DEA" w:rsidRPr="00FA3E94" w:rsidTr="0080221F">
        <w:trPr>
          <w:trHeight w:val="315"/>
        </w:trPr>
        <w:tc>
          <w:tcPr>
            <w:tcW w:w="1420" w:type="dxa"/>
            <w:tcBorders>
              <w:top w:val="single" w:sz="4" w:space="0" w:color="auto"/>
              <w:left w:val="nil"/>
              <w:bottom w:val="single" w:sz="4" w:space="0" w:color="auto"/>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ind w:left="193" w:hanging="142"/>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Total</w:t>
            </w:r>
          </w:p>
        </w:tc>
        <w:tc>
          <w:tcPr>
            <w:tcW w:w="1240" w:type="dxa"/>
            <w:tcBorders>
              <w:top w:val="single" w:sz="4" w:space="0" w:color="auto"/>
              <w:left w:val="nil"/>
              <w:bottom w:val="single" w:sz="4" w:space="0" w:color="auto"/>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63</w:t>
            </w:r>
          </w:p>
        </w:tc>
        <w:tc>
          <w:tcPr>
            <w:tcW w:w="1420" w:type="dxa"/>
            <w:tcBorders>
              <w:top w:val="single" w:sz="4" w:space="0" w:color="auto"/>
              <w:left w:val="nil"/>
              <w:bottom w:val="single" w:sz="4" w:space="0" w:color="auto"/>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90 850</w:t>
            </w:r>
          </w:p>
        </w:tc>
        <w:tc>
          <w:tcPr>
            <w:tcW w:w="1480" w:type="dxa"/>
            <w:tcBorders>
              <w:top w:val="single" w:sz="4" w:space="0" w:color="auto"/>
              <w:left w:val="nil"/>
              <w:bottom w:val="single" w:sz="4" w:space="0" w:color="auto"/>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-4</w:t>
            </w:r>
            <w:r>
              <w:rPr>
                <w:rFonts w:ascii="Calibri" w:eastAsia="Times New Roman" w:hAnsi="Calibri" w:cs="Times New Roman"/>
                <w:color w:val="000000"/>
                <w:sz w:val="20"/>
                <w:szCs w:val="20"/>
              </w:rPr>
              <w:t>.0</w:t>
            </w:r>
          </w:p>
        </w:tc>
        <w:tc>
          <w:tcPr>
            <w:tcW w:w="1920" w:type="dxa"/>
            <w:tcBorders>
              <w:top w:val="single" w:sz="4" w:space="0" w:color="auto"/>
              <w:left w:val="nil"/>
              <w:bottom w:val="single" w:sz="4" w:space="0" w:color="auto"/>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 xml:space="preserve"> 88 182</w:t>
            </w:r>
          </w:p>
        </w:tc>
        <w:tc>
          <w:tcPr>
            <w:tcW w:w="1480" w:type="dxa"/>
            <w:tcBorders>
              <w:top w:val="single" w:sz="4" w:space="0" w:color="auto"/>
              <w:left w:val="nil"/>
              <w:bottom w:val="single" w:sz="4" w:space="0" w:color="auto"/>
              <w:right w:val="nil"/>
            </w:tcBorders>
            <w:shd w:val="clear" w:color="auto" w:fill="auto"/>
            <w:noWrap/>
            <w:vAlign w:val="bottom"/>
            <w:hideMark/>
          </w:tcPr>
          <w:p w:rsidR="00560DEA" w:rsidRPr="00FA3E94" w:rsidRDefault="00560DEA" w:rsidP="0080221F">
            <w:pPr>
              <w:keepNext/>
              <w:keepLines/>
              <w:tabs>
                <w:tab w:val="clear" w:pos="567"/>
              </w:tabs>
              <w:spacing w:after="0" w:line="240" w:lineRule="auto"/>
              <w:jc w:val="right"/>
              <w:rPr>
                <w:rFonts w:ascii="Calibri" w:eastAsia="Times New Roman" w:hAnsi="Calibri" w:cs="Times New Roman"/>
                <w:color w:val="000000"/>
                <w:sz w:val="20"/>
                <w:szCs w:val="20"/>
              </w:rPr>
            </w:pPr>
            <w:r w:rsidRPr="00FA3E94">
              <w:rPr>
                <w:rFonts w:ascii="Calibri" w:eastAsia="Times New Roman" w:hAnsi="Calibri" w:cs="Times New Roman"/>
                <w:color w:val="000000"/>
                <w:sz w:val="20"/>
                <w:szCs w:val="20"/>
              </w:rPr>
              <w:t>1.1</w:t>
            </w:r>
          </w:p>
        </w:tc>
      </w:tr>
    </w:tbl>
    <w:p w:rsidR="00560DEA" w:rsidRPr="0052084D" w:rsidRDefault="00560DEA" w:rsidP="00560DEA">
      <w:pPr>
        <w:pStyle w:val="CGCNumberedPara"/>
        <w:keepNext/>
        <w:numPr>
          <w:ilvl w:val="4"/>
          <w:numId w:val="1"/>
        </w:numPr>
        <w:tabs>
          <w:tab w:val="clear" w:pos="2673"/>
          <w:tab w:val="num" w:pos="709"/>
        </w:tabs>
        <w:spacing w:before="0" w:after="0" w:line="240" w:lineRule="auto"/>
        <w:ind w:left="0" w:firstLine="0"/>
        <w:rPr>
          <w:sz w:val="20"/>
          <w:szCs w:val="20"/>
        </w:rPr>
      </w:pPr>
      <w:r w:rsidRPr="0052084D">
        <w:rPr>
          <w:sz w:val="20"/>
          <w:szCs w:val="20"/>
        </w:rPr>
        <w:t xml:space="preserve">All the other </w:t>
      </w:r>
      <w:proofErr w:type="spellStart"/>
      <w:r w:rsidRPr="0052084D">
        <w:rPr>
          <w:sz w:val="20"/>
          <w:szCs w:val="20"/>
        </w:rPr>
        <w:t>PHE</w:t>
      </w:r>
      <w:proofErr w:type="spellEnd"/>
      <w:r w:rsidRPr="0052084D">
        <w:rPr>
          <w:sz w:val="20"/>
          <w:szCs w:val="20"/>
        </w:rPr>
        <w:t xml:space="preserve"> hospitals </w:t>
      </w:r>
      <w:r>
        <w:rPr>
          <w:sz w:val="20"/>
          <w:szCs w:val="20"/>
        </w:rPr>
        <w:t xml:space="preserve">(100 in total) </w:t>
      </w:r>
      <w:r w:rsidRPr="0052084D">
        <w:rPr>
          <w:sz w:val="20"/>
          <w:szCs w:val="20"/>
        </w:rPr>
        <w:t xml:space="preserve">reported ED occasions in the EP collection </w:t>
      </w:r>
      <w:r>
        <w:rPr>
          <w:sz w:val="20"/>
          <w:szCs w:val="20"/>
        </w:rPr>
        <w:t>i</w:t>
      </w:r>
      <w:r w:rsidRPr="0052084D">
        <w:rPr>
          <w:sz w:val="20"/>
          <w:szCs w:val="20"/>
        </w:rPr>
        <w:t>n 2014</w:t>
      </w:r>
      <w:r w:rsidRPr="0052084D">
        <w:rPr>
          <w:sz w:val="20"/>
          <w:szCs w:val="20"/>
        </w:rPr>
        <w:noBreakHyphen/>
        <w:t xml:space="preserve">15. </w:t>
      </w:r>
    </w:p>
    <w:p w:rsidR="00560DEA" w:rsidRDefault="002A67DD" w:rsidP="00560DEA">
      <w:pPr>
        <w:pStyle w:val="CGCNumberedPara"/>
        <w:keepNext/>
        <w:numPr>
          <w:ilvl w:val="4"/>
          <w:numId w:val="1"/>
        </w:numPr>
        <w:tabs>
          <w:tab w:val="clear" w:pos="2673"/>
          <w:tab w:val="num" w:pos="709"/>
        </w:tabs>
        <w:spacing w:before="0" w:after="0" w:line="240" w:lineRule="auto"/>
        <w:ind w:left="709" w:hanging="709"/>
        <w:rPr>
          <w:sz w:val="20"/>
          <w:szCs w:val="20"/>
        </w:rPr>
      </w:pPr>
      <w:r>
        <w:rPr>
          <w:sz w:val="20"/>
          <w:szCs w:val="20"/>
        </w:rPr>
        <w:t xml:space="preserve">The Commission </w:t>
      </w:r>
      <w:r w:rsidR="00560DEA">
        <w:rPr>
          <w:sz w:val="20"/>
          <w:szCs w:val="20"/>
        </w:rPr>
        <w:t xml:space="preserve">could not derive a growth factor for the unknown hospital so none was applied. </w:t>
      </w:r>
    </w:p>
    <w:p w:rsidR="00560DEA" w:rsidRPr="00402CEC" w:rsidRDefault="00560DEA" w:rsidP="00560DEA">
      <w:pPr>
        <w:pStyle w:val="CGCNumberedPara"/>
        <w:keepNext/>
        <w:numPr>
          <w:ilvl w:val="0"/>
          <w:numId w:val="0"/>
        </w:numPr>
        <w:spacing w:before="0" w:line="240" w:lineRule="auto"/>
        <w:rPr>
          <w:sz w:val="20"/>
          <w:szCs w:val="20"/>
        </w:rPr>
      </w:pPr>
      <w:r w:rsidRPr="00402CEC">
        <w:rPr>
          <w:sz w:val="20"/>
          <w:szCs w:val="20"/>
        </w:rPr>
        <w:t xml:space="preserve">Source: </w:t>
      </w:r>
      <w:r>
        <w:rPr>
          <w:sz w:val="20"/>
          <w:szCs w:val="20"/>
        </w:rPr>
        <w:tab/>
        <w:t xml:space="preserve">Commission calculation using a special data request from IHPA. </w:t>
      </w:r>
    </w:p>
    <w:p w:rsidR="00560DEA" w:rsidRDefault="00560DEA" w:rsidP="00D76181">
      <w:pPr>
        <w:pStyle w:val="21para"/>
      </w:pPr>
      <w:r>
        <w:t>Analysis indicated that including an estimate for the missing activity would not materially affect the GST distribution and it would be simpler not to make an adjustment to include the missing data. For this reason</w:t>
      </w:r>
      <w:r w:rsidR="008334A1">
        <w:t>,</w:t>
      </w:r>
      <w:r w:rsidR="008C225C">
        <w:t xml:space="preserve"> </w:t>
      </w:r>
      <w:r w:rsidR="00082F26">
        <w:t>the Commission consulted States on whether to</w:t>
      </w:r>
      <w:r>
        <w:t xml:space="preserve"> us</w:t>
      </w:r>
      <w:r w:rsidR="00082F26">
        <w:t>e</w:t>
      </w:r>
      <w:r>
        <w:t xml:space="preserve"> the IHPA ED activity captured by the EP and ES collections for all assessment years in this update without any adjustment.</w:t>
      </w:r>
    </w:p>
    <w:p w:rsidR="00560DEA" w:rsidRDefault="00560DEA" w:rsidP="00D76181">
      <w:pPr>
        <w:pStyle w:val="21para"/>
      </w:pPr>
      <w:r w:rsidRPr="008D5645">
        <w:rPr>
          <w:rStyle w:val="Heading6Char"/>
        </w:rPr>
        <w:t>State views.</w:t>
      </w:r>
      <w:r>
        <w:t xml:space="preserve"> Seven States supported not making an adjustment for the missing ED activity. Western Australia said IHPA data were not well enough understood to allow it t</w:t>
      </w:r>
      <w:r w:rsidR="008C225C">
        <w:t>o provide comment on the issue.</w:t>
      </w:r>
    </w:p>
    <w:p w:rsidR="00560DEA" w:rsidRDefault="00560DEA" w:rsidP="00D76181">
      <w:pPr>
        <w:pStyle w:val="21para"/>
      </w:pPr>
      <w:r w:rsidRPr="008D5645">
        <w:rPr>
          <w:rStyle w:val="Heading6Char"/>
        </w:rPr>
        <w:t>Commission decision.</w:t>
      </w:r>
      <w:r>
        <w:t xml:space="preserve"> The Commission has decided not to adjust ED activity data in this update because </w:t>
      </w:r>
      <w:r w:rsidRPr="004312F6">
        <w:t>the number of ED occasions not being captured is negligible and the adjustment is not material for any State</w:t>
      </w:r>
      <w:r w:rsidRPr="00A30C33">
        <w:t>.</w:t>
      </w:r>
    </w:p>
    <w:p w:rsidR="00560DEA" w:rsidRDefault="00560DEA" w:rsidP="00D76181">
      <w:pPr>
        <w:pStyle w:val="21para"/>
      </w:pPr>
      <w:r>
        <w:lastRenderedPageBreak/>
        <w:t xml:space="preserve">The Commission notes that IHPA is continuing to work with State health authorities to improve the coverage for the EP and ES collections (especially the EP collection) and it anticipates further improvements in the coverage of these collections in the future. </w:t>
      </w:r>
    </w:p>
    <w:p w:rsidR="00560DEA" w:rsidRDefault="00560DEA" w:rsidP="00560DEA">
      <w:pPr>
        <w:pStyle w:val="Heading5"/>
      </w:pPr>
      <w:r>
        <w:t>Transfer of Mersey Community Hospital from the Commonwealth to Tasmania</w:t>
      </w:r>
    </w:p>
    <w:p w:rsidR="00560DEA" w:rsidRDefault="00560DEA" w:rsidP="00D76181">
      <w:pPr>
        <w:pStyle w:val="21para"/>
      </w:pPr>
      <w:r w:rsidRPr="008D5645">
        <w:rPr>
          <w:rStyle w:val="Heading6Char"/>
        </w:rPr>
        <w:t>Background.</w:t>
      </w:r>
      <w:r w:rsidR="0025048D">
        <w:t xml:space="preserve"> </w:t>
      </w:r>
      <w:r>
        <w:t>In 2016</w:t>
      </w:r>
      <w:r>
        <w:noBreakHyphen/>
        <w:t xml:space="preserve">17, Tasmania received $736.6 million from the Australian Government under the National partnership agreement on the transfer of the Mersey Community Hospital. This included $730.4 million for the operating costs of the hospital for 10 years, $3.2 million for the delivery of drug and alcohol residential rehabilitation services at the </w:t>
      </w:r>
      <w:proofErr w:type="spellStart"/>
      <w:r>
        <w:t>Missiondale</w:t>
      </w:r>
      <w:proofErr w:type="spellEnd"/>
      <w:r>
        <w:t xml:space="preserve"> Recovery Centre, and $3 million for the provision of palliative care services by Palliative Care Ta</w:t>
      </w:r>
      <w:r w:rsidR="008C225C">
        <w:t>smania and The District Nurses.</w:t>
      </w:r>
    </w:p>
    <w:p w:rsidR="00560DEA" w:rsidRDefault="00560DEA" w:rsidP="00D76181">
      <w:pPr>
        <w:pStyle w:val="21para"/>
      </w:pPr>
      <w:r>
        <w:t>In 2016</w:t>
      </w:r>
      <w:r w:rsidR="00DB7EC8">
        <w:noBreakHyphen/>
      </w:r>
      <w:r>
        <w:t xml:space="preserve">17, the Tasmanian Government transferred the amount it received for the operation of the hospital ($730.4 million) to </w:t>
      </w:r>
      <w:proofErr w:type="spellStart"/>
      <w:r>
        <w:t>TasCorp</w:t>
      </w:r>
      <w:proofErr w:type="spellEnd"/>
      <w:r>
        <w:t xml:space="preserve">. The funds are being held in the Mersey Community Hospital Fund. </w:t>
      </w:r>
      <w:proofErr w:type="spellStart"/>
      <w:r>
        <w:t>TasCorp</w:t>
      </w:r>
      <w:proofErr w:type="spellEnd"/>
      <w:r>
        <w:t xml:space="preserve"> will make annual dividend payments from the fund to the Tasmanian Government, equal to the operating costs of the Mersey Community Hospital, escalating at 3.5% each ye</w:t>
      </w:r>
      <w:r w:rsidR="008C225C">
        <w:t>ar until cessation of the fund.</w:t>
      </w:r>
    </w:p>
    <w:p w:rsidR="00560DEA" w:rsidRPr="006E4DDE" w:rsidRDefault="00560DEA" w:rsidP="00D76181">
      <w:pPr>
        <w:pStyle w:val="21para"/>
      </w:pPr>
      <w:r w:rsidRPr="006E4DDE">
        <w:t xml:space="preserve">The terms of reference for this update instruct the Commission to exclude the </w:t>
      </w:r>
      <w:r>
        <w:t xml:space="preserve">$730.4 million </w:t>
      </w:r>
      <w:r w:rsidRPr="006E4DDE">
        <w:t>payment from the calculation of per capita relativities</w:t>
      </w:r>
      <w:r>
        <w:t>. The terms of reference do not contain any instructions</w:t>
      </w:r>
      <w:r w:rsidRPr="00866B48">
        <w:t xml:space="preserve"> about the treatment of the </w:t>
      </w:r>
      <w:r>
        <w:t>hospital asset</w:t>
      </w:r>
      <w:r w:rsidRPr="00866B48">
        <w:t xml:space="preserve"> transfer </w:t>
      </w:r>
      <w:r>
        <w:t>from the Australian Government to Tasmania</w:t>
      </w:r>
      <w:r>
        <w:rPr>
          <w:rStyle w:val="FootnoteReference"/>
        </w:rPr>
        <w:footnoteReference w:id="15"/>
      </w:r>
      <w:r>
        <w:t xml:space="preserve"> </w:t>
      </w:r>
      <w:r w:rsidRPr="00866B48">
        <w:t>or ongoing support for the delivery of rehabilitation and palliative care services.</w:t>
      </w:r>
    </w:p>
    <w:p w:rsidR="00560DEA" w:rsidRDefault="00560DEA" w:rsidP="00D76181">
      <w:pPr>
        <w:pStyle w:val="21para"/>
      </w:pPr>
      <w:r>
        <w:t>Usually when a payment is excluded from the calculation of per capita relativities, adjustments are made to State expenses to ensure there are no second round effects on the GST distribution. The arrangements for the $730.4 million payment would require a number of data adjustments until 2026</w:t>
      </w:r>
      <w:r>
        <w:noBreakHyphen/>
        <w:t xml:space="preserve">27 to eliminate all second round effects. We have estimated the materiality of making data adjustments for the next 10 years to remove all second round effects and find they are immaterial. </w:t>
      </w:r>
    </w:p>
    <w:p w:rsidR="00560DEA" w:rsidRDefault="00560DEA" w:rsidP="00D76181">
      <w:pPr>
        <w:pStyle w:val="21para"/>
      </w:pPr>
      <w:r w:rsidRPr="008D5645">
        <w:rPr>
          <w:rStyle w:val="Heading6Char"/>
        </w:rPr>
        <w:t>State views.</w:t>
      </w:r>
      <w:r>
        <w:t xml:space="preserve"> States agreed that the payment</w:t>
      </w:r>
      <w:r w:rsidR="00D70D0F">
        <w:t xml:space="preserve"> of $730.4 million</w:t>
      </w:r>
      <w:r>
        <w:t xml:space="preserve"> should not affect the relativities as instructed by the terms of reference. States, including Tasmania, agreed that the data adjustments to the 2017</w:t>
      </w:r>
      <w:r>
        <w:noBreakHyphen/>
        <w:t>18 to 2026</w:t>
      </w:r>
      <w:r>
        <w:noBreakHyphen/>
        <w:t>27 assessment years to eliminate second round effects should not be made because they are immaterial.</w:t>
      </w:r>
    </w:p>
    <w:p w:rsidR="00560DEA" w:rsidRPr="00E674AF" w:rsidRDefault="00560DEA" w:rsidP="00D76181">
      <w:pPr>
        <w:pStyle w:val="21para"/>
      </w:pPr>
      <w:r>
        <w:t xml:space="preserve">States agreed that the asset transfer and payment for </w:t>
      </w:r>
      <w:r w:rsidRPr="00866B48">
        <w:t>rehabilitation and palliative care services</w:t>
      </w:r>
      <w:r>
        <w:t xml:space="preserve"> should affect the GST distribution.</w:t>
      </w:r>
    </w:p>
    <w:p w:rsidR="00560DEA" w:rsidRDefault="00560DEA" w:rsidP="00D76181">
      <w:pPr>
        <w:pStyle w:val="21para"/>
      </w:pPr>
      <w:bookmarkStart w:id="539" w:name="_Ref489434952"/>
      <w:r w:rsidRPr="008D5645">
        <w:rPr>
          <w:rStyle w:val="Heading6Char"/>
        </w:rPr>
        <w:lastRenderedPageBreak/>
        <w:t>Commission decision.</w:t>
      </w:r>
      <w:r>
        <w:t xml:space="preserve"> </w:t>
      </w:r>
      <w:r w:rsidRPr="006E4DDE">
        <w:t xml:space="preserve">The terms of reference for this update instruct the Commission to exclude the </w:t>
      </w:r>
      <w:r>
        <w:t xml:space="preserve">$730.4 million </w:t>
      </w:r>
      <w:r w:rsidRPr="006E4DDE">
        <w:t>payment from the calculation of per capita relativities.</w:t>
      </w:r>
      <w:r>
        <w:t xml:space="preserve"> Therefore</w:t>
      </w:r>
      <w:r w:rsidR="002A67DD">
        <w:t>,</w:t>
      </w:r>
      <w:r>
        <w:t xml:space="preserve"> </w:t>
      </w:r>
      <w:r w:rsidR="002A67DD">
        <w:t xml:space="preserve">it </w:t>
      </w:r>
      <w:r>
        <w:t>ha</w:t>
      </w:r>
      <w:r w:rsidR="002A67DD">
        <w:t>s</w:t>
      </w:r>
      <w:r>
        <w:t xml:space="preserve"> treated this payment so it has no effect on the GST distribution. The Commission will not make ongoing data adjustments for second round effects over the next 10 years because they are not material and it will keep the calculations simpler.</w:t>
      </w:r>
    </w:p>
    <w:bookmarkEnd w:id="539"/>
    <w:p w:rsidR="00560DEA" w:rsidRDefault="00560DEA" w:rsidP="00D76181">
      <w:pPr>
        <w:pStyle w:val="21para"/>
      </w:pPr>
      <w:r>
        <w:t>T</w:t>
      </w:r>
      <w:r w:rsidRPr="00866B48">
        <w:t xml:space="preserve">he </w:t>
      </w:r>
      <w:r>
        <w:t>terms of reference do not contain any instructions</w:t>
      </w:r>
      <w:r w:rsidRPr="00866B48">
        <w:t xml:space="preserve"> about the treatment of the </w:t>
      </w:r>
      <w:r>
        <w:t>asset</w:t>
      </w:r>
      <w:r w:rsidRPr="00866B48">
        <w:t xml:space="preserve"> transfer</w:t>
      </w:r>
      <w:r>
        <w:t xml:space="preserve"> </w:t>
      </w:r>
      <w:r w:rsidRPr="00866B48">
        <w:t xml:space="preserve">or </w:t>
      </w:r>
      <w:r>
        <w:t xml:space="preserve">the payments </w:t>
      </w:r>
      <w:r w:rsidRPr="00866B48">
        <w:t>for the delivery of rehabilitation and palliative care services.</w:t>
      </w:r>
      <w:r>
        <w:t xml:space="preserve"> The asset transfer, which occurred on 1 July 2017 will be included in Tasmania’s net investment expenditure in 2017</w:t>
      </w:r>
      <w:r>
        <w:noBreakHyphen/>
        <w:t xml:space="preserve">18 and assessed in the Investment assessment. The payment for </w:t>
      </w:r>
      <w:r w:rsidRPr="00866B48">
        <w:t>the delivery of rehabilitation and palliative care services</w:t>
      </w:r>
      <w:r>
        <w:t xml:space="preserve"> has been treated as affecting the relativities in this update because it is for a State function and needs are assessed in the Health category. </w:t>
      </w:r>
    </w:p>
    <w:p w:rsidR="00560DEA" w:rsidRDefault="00560DEA" w:rsidP="00560DEA">
      <w:pPr>
        <w:pStyle w:val="Heading4"/>
      </w:pPr>
      <w:bookmarkStart w:id="540" w:name="_Toc505872194"/>
      <w:r>
        <w:t>Schools assessment and the Commonwealth payment for Quality schools</w:t>
      </w:r>
      <w:bookmarkEnd w:id="540"/>
    </w:p>
    <w:p w:rsidR="00560DEA" w:rsidRDefault="00560DEA" w:rsidP="00D76181">
      <w:pPr>
        <w:pStyle w:val="21para"/>
        <w:rPr>
          <w:lang w:eastAsia="en-AU"/>
        </w:rPr>
      </w:pPr>
      <w:r w:rsidRPr="008D5645">
        <w:rPr>
          <w:rStyle w:val="Heading6Char"/>
        </w:rPr>
        <w:t>Background.</w:t>
      </w:r>
      <w:r>
        <w:t xml:space="preserve"> National Education Reform funding was to commence from 1 January 2014, with the Commonwealth's offer to States </w:t>
      </w:r>
      <w:r w:rsidRPr="000A17C3">
        <w:t xml:space="preserve">under the National Education Reform Agreement </w:t>
      </w:r>
      <w:r>
        <w:t xml:space="preserve">(NERA) </w:t>
      </w:r>
      <w:r w:rsidRPr="000A17C3">
        <w:t>open until 30</w:t>
      </w:r>
      <w:r>
        <w:t> </w:t>
      </w:r>
      <w:r w:rsidRPr="000A17C3">
        <w:t>June</w:t>
      </w:r>
      <w:r>
        <w:t> </w:t>
      </w:r>
      <w:r w:rsidRPr="000A17C3">
        <w:t>2013. In this context, the Commission</w:t>
      </w:r>
      <w:r>
        <w:t xml:space="preserve"> received </w:t>
      </w:r>
      <w:r>
        <w:rPr>
          <w:lang w:eastAsia="en-AU"/>
        </w:rPr>
        <w:t>terms of reference for the 2015 Review requiring it:</w:t>
      </w:r>
    </w:p>
    <w:p w:rsidR="00560DEA" w:rsidRPr="006455BD" w:rsidRDefault="00560DEA" w:rsidP="006455BD">
      <w:pPr>
        <w:pStyle w:val="CGCBulletlist"/>
      </w:pPr>
      <w:r w:rsidRPr="006455BD">
        <w:t>not to unwind the recognition of education disadvantage embedded in the funding arrangements</w:t>
      </w:r>
    </w:p>
    <w:p w:rsidR="00560DEA" w:rsidRPr="006455BD" w:rsidRDefault="00560DEA" w:rsidP="006455BD">
      <w:pPr>
        <w:pStyle w:val="CGCBulletlist"/>
      </w:pPr>
      <w:proofErr w:type="gramStart"/>
      <w:r w:rsidRPr="006455BD">
        <w:t>to</w:t>
      </w:r>
      <w:proofErr w:type="gramEnd"/>
      <w:r w:rsidRPr="006455BD">
        <w:t xml:space="preserve"> ensure no State or Territory received a windfall gain from non-participation.</w:t>
      </w:r>
    </w:p>
    <w:p w:rsidR="00560DEA" w:rsidRDefault="00560DEA" w:rsidP="00D76181">
      <w:pPr>
        <w:pStyle w:val="21para"/>
      </w:pPr>
      <w:r>
        <w:t xml:space="preserve">To do this, from the 2015 Review to the 2017 Update, the Commission based its assessments of Commonwealth funded government schools on Department of Education projections of the application year State shares of the Schooling Resource Standard (SRS), and used the Commonwealth’s </w:t>
      </w:r>
      <w:r w:rsidRPr="00CE398A">
        <w:rPr>
          <w:i/>
        </w:rPr>
        <w:t>Mid-year Economic and Fiscal Outlook</w:t>
      </w:r>
      <w:r>
        <w:t xml:space="preserve"> estimates of State shares of the application year’s Students First (or former NERA) payments to assess the associated revenue. </w:t>
      </w:r>
    </w:p>
    <w:p w:rsidR="00560DEA" w:rsidRDefault="00560DEA" w:rsidP="00D76181">
      <w:pPr>
        <w:pStyle w:val="21para"/>
      </w:pPr>
      <w:r>
        <w:rPr>
          <w:lang w:eastAsia="en-AU"/>
        </w:rPr>
        <w:t xml:space="preserve">A new Quality Schools funding </w:t>
      </w:r>
      <w:r w:rsidR="00D37CF4">
        <w:rPr>
          <w:lang w:eastAsia="en-AU"/>
        </w:rPr>
        <w:t>approach</w:t>
      </w:r>
      <w:r>
        <w:rPr>
          <w:lang w:eastAsia="en-AU"/>
        </w:rPr>
        <w:t xml:space="preserve"> comme</w:t>
      </w:r>
      <w:r w:rsidR="00D37CF4">
        <w:rPr>
          <w:lang w:eastAsia="en-AU"/>
        </w:rPr>
        <w:t xml:space="preserve">nced on 1 January 2018. It </w:t>
      </w:r>
      <w:r>
        <w:rPr>
          <w:lang w:eastAsia="en-AU"/>
        </w:rPr>
        <w:t>retain</w:t>
      </w:r>
      <w:r w:rsidR="00D37CF4">
        <w:rPr>
          <w:lang w:eastAsia="en-AU"/>
        </w:rPr>
        <w:t>s</w:t>
      </w:r>
      <w:r>
        <w:rPr>
          <w:lang w:eastAsia="en-AU"/>
        </w:rPr>
        <w:t xml:space="preserve"> a reference to </w:t>
      </w:r>
      <w:r w:rsidRPr="00E730A5">
        <w:t xml:space="preserve">an ‘ideal’ distribution of funds based on the </w:t>
      </w:r>
      <w:r>
        <w:t xml:space="preserve">recognition of educational disadvantage through a new </w:t>
      </w:r>
      <w:r w:rsidRPr="00E730A5">
        <w:t xml:space="preserve">SRS and an actual distribution </w:t>
      </w:r>
      <w:r>
        <w:t xml:space="preserve">of Commonwealth funds </w:t>
      </w:r>
      <w:r w:rsidRPr="00E730A5">
        <w:t>based on a transition period to reach that ideal.</w:t>
      </w:r>
      <w:r>
        <w:t xml:space="preserve"> </w:t>
      </w:r>
    </w:p>
    <w:p w:rsidR="00560DEA" w:rsidRDefault="00560DEA" w:rsidP="00D76181">
      <w:pPr>
        <w:pStyle w:val="21para"/>
      </w:pPr>
      <w:r>
        <w:t>Negotiations on the new agreement have not been finalised</w:t>
      </w:r>
      <w:r w:rsidR="00D37CF4">
        <w:t xml:space="preserve"> for 2018 or 2019</w:t>
      </w:r>
      <w:r>
        <w:t xml:space="preserve">. This has precluded the Commission from following </w:t>
      </w:r>
      <w:r w:rsidR="008C225C">
        <w:t xml:space="preserve">its </w:t>
      </w:r>
      <w:r>
        <w:t>previous practice of using the application year distribut</w:t>
      </w:r>
      <w:r w:rsidR="008C225C">
        <w:t>ion of funds in its assessment.</w:t>
      </w:r>
    </w:p>
    <w:p w:rsidR="007D1DC3" w:rsidRDefault="007D1DC3" w:rsidP="00D76181">
      <w:pPr>
        <w:pStyle w:val="21para"/>
        <w:rPr>
          <w:lang w:eastAsia="en-AU"/>
        </w:rPr>
      </w:pPr>
      <w:r>
        <w:t>Th</w:t>
      </w:r>
      <w:r>
        <w:rPr>
          <w:lang w:eastAsia="en-AU"/>
        </w:rPr>
        <w:t xml:space="preserve">e newly established National Schools Resourcing board membership was announced on 1 November 2017. </w:t>
      </w:r>
      <w:r w:rsidR="00D37CF4">
        <w:rPr>
          <w:lang w:eastAsia="en-AU"/>
        </w:rPr>
        <w:t>T</w:t>
      </w:r>
      <w:r>
        <w:rPr>
          <w:lang w:eastAsia="en-AU"/>
        </w:rPr>
        <w:t xml:space="preserve">his is the body responsible for recommending the </w:t>
      </w:r>
      <w:r>
        <w:rPr>
          <w:lang w:eastAsia="en-AU"/>
        </w:rPr>
        <w:lastRenderedPageBreak/>
        <w:t>SRS weights</w:t>
      </w:r>
      <w:r w:rsidR="00D37CF4">
        <w:rPr>
          <w:lang w:eastAsia="en-AU"/>
        </w:rPr>
        <w:t xml:space="preserve">. It has not yet recommended </w:t>
      </w:r>
      <w:r>
        <w:rPr>
          <w:lang w:eastAsia="en-AU"/>
        </w:rPr>
        <w:t xml:space="preserve">the socio-demographic formula to apply in 2019. </w:t>
      </w:r>
    </w:p>
    <w:p w:rsidR="007D1DC3" w:rsidRDefault="007D1DC3" w:rsidP="00D76181">
      <w:pPr>
        <w:pStyle w:val="21para"/>
        <w:rPr>
          <w:lang w:eastAsia="en-AU"/>
        </w:rPr>
      </w:pPr>
      <w:r w:rsidRPr="008D5645">
        <w:rPr>
          <w:rStyle w:val="Heading6Char"/>
        </w:rPr>
        <w:t>State views.</w:t>
      </w:r>
      <w:r>
        <w:t xml:space="preserve"> </w:t>
      </w:r>
      <w:r>
        <w:rPr>
          <w:lang w:eastAsia="en-AU"/>
        </w:rPr>
        <w:t xml:space="preserve">All commenting States considered that the Quality </w:t>
      </w:r>
      <w:r w:rsidR="008334A1">
        <w:rPr>
          <w:lang w:eastAsia="en-AU"/>
        </w:rPr>
        <w:t>S</w:t>
      </w:r>
      <w:r>
        <w:rPr>
          <w:lang w:eastAsia="en-AU"/>
        </w:rPr>
        <w:t xml:space="preserve">chools program was sufficiently NERA-like to mean that the terms of reference continued to apply. However, the ACT considered the Commission should use a regression of </w:t>
      </w:r>
      <w:r w:rsidRPr="006E6093">
        <w:rPr>
          <w:lang w:eastAsia="en-AU"/>
        </w:rPr>
        <w:t xml:space="preserve">the Australian Curriculum and Reporting Authority </w:t>
      </w:r>
      <w:r>
        <w:rPr>
          <w:lang w:eastAsia="en-AU"/>
        </w:rPr>
        <w:t>(ACARA) data to better reflect what States do, rather than using the SRS amounts, to ensure the Commission does not ‘unwind the recognition of education disadvantaged embedded in the funding arrangements.’</w:t>
      </w:r>
    </w:p>
    <w:p w:rsidR="007D1DC3" w:rsidRDefault="007D1DC3" w:rsidP="00D76181">
      <w:pPr>
        <w:pStyle w:val="21para"/>
        <w:rPr>
          <w:lang w:eastAsia="en-AU"/>
        </w:rPr>
      </w:pPr>
      <w:r>
        <w:rPr>
          <w:lang w:eastAsia="en-AU"/>
        </w:rPr>
        <w:t xml:space="preserve">States also said that the forecast payments were not reliable as negotiations had not yet finished, and hence the Commission should revert to using the distribution of payments in the assessment years, rather than the application year. </w:t>
      </w:r>
    </w:p>
    <w:p w:rsidR="007D1DC3" w:rsidRDefault="007D1DC3" w:rsidP="00D76181">
      <w:pPr>
        <w:pStyle w:val="21para"/>
        <w:rPr>
          <w:lang w:eastAsia="en-AU"/>
        </w:rPr>
      </w:pPr>
      <w:r>
        <w:rPr>
          <w:lang w:eastAsia="en-AU"/>
        </w:rPr>
        <w:t>New South Wales considered that a change in method for assessing expenses is not necessary, and a move away from using application year SRS amounts would unwind the intent of the Commonwealth policy. Other States supported using assessment year SRS amounts, as the application year cannot be relied upon to be final.</w:t>
      </w:r>
    </w:p>
    <w:p w:rsidR="007D1DC3" w:rsidRDefault="007D1DC3" w:rsidP="00D76181">
      <w:pPr>
        <w:pStyle w:val="21para"/>
        <w:rPr>
          <w:lang w:eastAsia="en-AU"/>
        </w:rPr>
      </w:pPr>
      <w:r w:rsidRPr="008D5645">
        <w:rPr>
          <w:rStyle w:val="Heading6Char"/>
        </w:rPr>
        <w:t>Commission decision.</w:t>
      </w:r>
      <w:r>
        <w:t xml:space="preserve"> </w:t>
      </w:r>
      <w:r>
        <w:rPr>
          <w:lang w:eastAsia="en-AU"/>
        </w:rPr>
        <w:t xml:space="preserve">The Commission has ceased </w:t>
      </w:r>
      <w:proofErr w:type="spellStart"/>
      <w:r>
        <w:rPr>
          <w:lang w:eastAsia="en-AU"/>
        </w:rPr>
        <w:t>backcasting</w:t>
      </w:r>
      <w:proofErr w:type="spellEnd"/>
      <w:r>
        <w:rPr>
          <w:lang w:eastAsia="en-AU"/>
        </w:rPr>
        <w:t xml:space="preserve"> associated with the schools assessment in this update because of uncertainty. It assessed Commonwealth funded school expenditure using SRS weights and student numbers from the assessment years, and assessed revenue from Commonwealth payment</w:t>
      </w:r>
      <w:r w:rsidR="00D37CF4">
        <w:rPr>
          <w:lang w:eastAsia="en-AU"/>
        </w:rPr>
        <w:t>s</w:t>
      </w:r>
      <w:r>
        <w:rPr>
          <w:lang w:eastAsia="en-AU"/>
        </w:rPr>
        <w:t xml:space="preserve"> using the share of payments States received in the assessment years.</w:t>
      </w:r>
    </w:p>
    <w:p w:rsidR="007D1DC3" w:rsidRDefault="007D1DC3" w:rsidP="00D76181">
      <w:pPr>
        <w:pStyle w:val="21para"/>
        <w:rPr>
          <w:lang w:eastAsia="en-AU"/>
        </w:rPr>
      </w:pPr>
      <w:r>
        <w:rPr>
          <w:lang w:eastAsia="en-AU"/>
        </w:rPr>
        <w:t xml:space="preserve">The Commission considered using the SRS amounts is both simpler and more consistent with the terms of reference requirement than the ACT suggestion of developing an ACARA regression. The Commission accepted the New South Wales argument that to cease </w:t>
      </w:r>
      <w:proofErr w:type="spellStart"/>
      <w:r>
        <w:rPr>
          <w:lang w:eastAsia="en-AU"/>
        </w:rPr>
        <w:t>backcasting</w:t>
      </w:r>
      <w:proofErr w:type="spellEnd"/>
      <w:r>
        <w:rPr>
          <w:lang w:eastAsia="en-AU"/>
        </w:rPr>
        <w:t xml:space="preserve"> of the SRS amounts could, to some extent, represent an unwinding of the policy prevailing in the application year. However, as that policy is not yet known, the Commission considered it is more reliable to use the SRS amounts from historical years.</w:t>
      </w:r>
    </w:p>
    <w:p w:rsidR="000A1DB8" w:rsidRDefault="000A1DB8" w:rsidP="00D76181">
      <w:pPr>
        <w:pStyle w:val="21para"/>
        <w:rPr>
          <w:lang w:eastAsia="en-AU"/>
        </w:rPr>
      </w:pPr>
      <w:r w:rsidRPr="004341E3">
        <w:t>The Commission notes that the new agreement may also include penalty provisions where States do not maintain prescribed funding growth. No penalties have been included in the assessment years for this update. Any treatment of penalty provisions will be determined in the future, if and when they are applied.</w:t>
      </w:r>
    </w:p>
    <w:p w:rsidR="007D1DC3" w:rsidRDefault="007D1DC3" w:rsidP="007D1DC3">
      <w:pPr>
        <w:pStyle w:val="Heading4"/>
      </w:pPr>
      <w:bookmarkStart w:id="541" w:name="_Toc505872195"/>
      <w:r>
        <w:t>R</w:t>
      </w:r>
      <w:r w:rsidRPr="0012596A">
        <w:t>escaling in the Investment assessment</w:t>
      </w:r>
      <w:bookmarkEnd w:id="541"/>
      <w:r>
        <w:t xml:space="preserve"> </w:t>
      </w:r>
    </w:p>
    <w:p w:rsidR="007D1DC3" w:rsidRDefault="007D1DC3" w:rsidP="00D76181">
      <w:pPr>
        <w:pStyle w:val="21para"/>
      </w:pPr>
      <w:r w:rsidRPr="008D5645">
        <w:rPr>
          <w:rStyle w:val="Heading6Char"/>
        </w:rPr>
        <w:t>Background.</w:t>
      </w:r>
      <w:r w:rsidR="0025048D">
        <w:t xml:space="preserve"> </w:t>
      </w:r>
      <w:r>
        <w:t>Following the 2017</w:t>
      </w:r>
      <w:r w:rsidR="005D3746">
        <w:t> </w:t>
      </w:r>
      <w:r>
        <w:t xml:space="preserve">Update, the Commission became aware of an issue with rescaling in the Investment assessment. When the Commission multiplies two disabilities, the sum of the States’ expenditure is no longer the national total, and </w:t>
      </w:r>
      <w:r>
        <w:lastRenderedPageBreak/>
        <w:t xml:space="preserve">so it ‘rescales’ or shares the total expenditure in proportion to the States’ shares of the unscaled expenditure. </w:t>
      </w:r>
    </w:p>
    <w:p w:rsidR="007D1DC3" w:rsidRDefault="007D1DC3" w:rsidP="00D76181">
      <w:pPr>
        <w:pStyle w:val="21para"/>
      </w:pPr>
      <w:r>
        <w:t>However, in the Investment assessment (due to it being possible for different States to require either positive or negative assessed Investment), this approach can create unintended outcomes to the extent that the effect of disabilities can be exaggerated several fold, or in very extreme cases have a reversed sign.</w:t>
      </w:r>
    </w:p>
    <w:p w:rsidR="007D1DC3" w:rsidRDefault="007D1DC3" w:rsidP="00D76181">
      <w:pPr>
        <w:pStyle w:val="21para"/>
      </w:pPr>
      <w:r>
        <w:t xml:space="preserve">To address this problem, </w:t>
      </w:r>
      <w:r w:rsidR="002F6B71">
        <w:t>the Commission consulted States on whether it should</w:t>
      </w:r>
      <w:r w:rsidRPr="00DF5576">
        <w:t xml:space="preserve"> </w:t>
      </w:r>
      <w:r>
        <w:t xml:space="preserve">calculate the difference between the assessed change in stock and the unscaled expenses and distribute that EPC. This would reduce the impact of rescaling significantly while still capturing the measured effect of the disability. </w:t>
      </w:r>
    </w:p>
    <w:p w:rsidR="007D1DC3" w:rsidRDefault="007D1DC3" w:rsidP="00D76181">
      <w:pPr>
        <w:pStyle w:val="21para"/>
      </w:pPr>
      <w:r w:rsidRPr="008D5645">
        <w:rPr>
          <w:rStyle w:val="Heading6Char"/>
        </w:rPr>
        <w:t>State views.</w:t>
      </w:r>
      <w:r>
        <w:t xml:space="preserve"> Five States commented on this issue. Victoria, Queensland, South</w:t>
      </w:r>
      <w:r w:rsidR="004D6ACB">
        <w:t> </w:t>
      </w:r>
      <w:r>
        <w:t xml:space="preserve">Australia and Tasmania supported the proposed change to the Investment assessment. The ACT supported the solution, but considered that it should only be implemented in those cases where there is actually a mix of positive and negative values, rather than in all assessments were there is a conceptual possibility of such a mix. </w:t>
      </w:r>
    </w:p>
    <w:p w:rsidR="007D1DC3" w:rsidRDefault="007D1DC3" w:rsidP="00D76181">
      <w:pPr>
        <w:pStyle w:val="21para"/>
      </w:pPr>
      <w:r w:rsidRPr="008D5645">
        <w:rPr>
          <w:rStyle w:val="Heading6Char"/>
        </w:rPr>
        <w:t>Commission decision.</w:t>
      </w:r>
      <w:r>
        <w:t xml:space="preserve"> The Commission has decided to calculate the difference between the assessed change in stock and the unscaled expenses and distribute th</w:t>
      </w:r>
      <w:r w:rsidR="008334A1">
        <w:t>is</w:t>
      </w:r>
      <w:r>
        <w:t xml:space="preserve"> EPC. This can also be described as ceasing rescaling in the Investment assessment, and allocating any gap between total assessed Investment and total actual Investment EPC.</w:t>
      </w:r>
    </w:p>
    <w:p w:rsidR="007D1DC3" w:rsidRDefault="007D1DC3" w:rsidP="00D76181">
      <w:pPr>
        <w:pStyle w:val="21para"/>
      </w:pPr>
      <w:r>
        <w:t>If the Commission were only to do this where there was actually a mix of positive and negative values</w:t>
      </w:r>
      <w:r w:rsidR="004D6ACB">
        <w:t>,</w:t>
      </w:r>
      <w:r>
        <w:t xml:space="preserve"> as the ACT proposed, it could end up with a different approach in some assessment years to others within the same assessment. The difference between the ACT proposal and the Commission’s decision is immaterial, but the ACT approach is considerably more complex. As such, the Commission decided to apply the new rescaling approach across the Investment assessments. </w:t>
      </w:r>
    </w:p>
    <w:p w:rsidR="007D1DC3" w:rsidRDefault="007D1DC3" w:rsidP="007D1DC3">
      <w:pPr>
        <w:pStyle w:val="Heading4"/>
      </w:pPr>
      <w:bookmarkStart w:id="542" w:name="_Toc498430063"/>
      <w:bookmarkStart w:id="543" w:name="_Toc505872196"/>
      <w:r>
        <w:t>T</w:t>
      </w:r>
      <w:r w:rsidRPr="0012596A">
        <w:t>reatment of mining royalties where bans have been</w:t>
      </w:r>
      <w:r>
        <w:t xml:space="preserve"> introduced</w:t>
      </w:r>
      <w:bookmarkEnd w:id="542"/>
      <w:bookmarkEnd w:id="543"/>
    </w:p>
    <w:p w:rsidR="007D1DC3" w:rsidRPr="002908F2" w:rsidRDefault="007D1DC3" w:rsidP="00D76181">
      <w:pPr>
        <w:pStyle w:val="21para"/>
      </w:pPr>
      <w:r w:rsidRPr="008D5645">
        <w:rPr>
          <w:rStyle w:val="Heading6Char"/>
        </w:rPr>
        <w:t>Background.</w:t>
      </w:r>
      <w:r w:rsidR="0025048D">
        <w:t xml:space="preserve"> </w:t>
      </w:r>
      <w:r w:rsidRPr="00B630DB">
        <w:t>In its 2015</w:t>
      </w:r>
      <w:r>
        <w:t> </w:t>
      </w:r>
      <w:r w:rsidRPr="00B630DB">
        <w:t xml:space="preserve">Review report, the Commission said it would monitor developments in State mining </w:t>
      </w:r>
      <w:r w:rsidRPr="00D76181">
        <w:t>policies</w:t>
      </w:r>
      <w:r w:rsidRPr="00B630DB">
        <w:t xml:space="preserve"> to</w:t>
      </w:r>
      <w:r>
        <w:t>:</w:t>
      </w:r>
    </w:p>
    <w:p w:rsidR="007D1DC3" w:rsidRPr="006455BD" w:rsidRDefault="007D1DC3" w:rsidP="006455BD">
      <w:pPr>
        <w:pStyle w:val="CGCBulletlist"/>
      </w:pPr>
      <w:r w:rsidRPr="006455BD">
        <w:t>ensure its mineral by mineral assessment was not influencing State behaviour</w:t>
      </w:r>
    </w:p>
    <w:p w:rsidR="007D1DC3" w:rsidRPr="006455BD" w:rsidRDefault="007D1DC3" w:rsidP="006455BD">
      <w:pPr>
        <w:pStyle w:val="CGCBulletlist"/>
      </w:pPr>
      <w:r w:rsidRPr="006455BD">
        <w:t>check whether other minerals had become material</w:t>
      </w:r>
    </w:p>
    <w:p w:rsidR="007D1DC3" w:rsidRPr="006455BD" w:rsidRDefault="007D1DC3" w:rsidP="006455BD">
      <w:pPr>
        <w:pStyle w:val="CGCBulletlist"/>
      </w:pPr>
      <w:proofErr w:type="gramStart"/>
      <w:r w:rsidRPr="006455BD">
        <w:t>ensure</w:t>
      </w:r>
      <w:proofErr w:type="gramEnd"/>
      <w:r w:rsidRPr="006455BD">
        <w:t xml:space="preserve"> the mining revenue base it observed was consistent with average policy.</w:t>
      </w:r>
    </w:p>
    <w:p w:rsidR="007D1DC3" w:rsidRDefault="007D1DC3" w:rsidP="0025048D">
      <w:pPr>
        <w:pStyle w:val="21para"/>
      </w:pPr>
      <w:r w:rsidRPr="00B630DB">
        <w:t>In the 2015</w:t>
      </w:r>
      <w:r>
        <w:t> </w:t>
      </w:r>
      <w:r w:rsidRPr="00B630DB">
        <w:t>Review, the Commission assessed mining revenue capacity using a mineral by mineral approach. It included Coal Seam Gas (</w:t>
      </w:r>
      <w:proofErr w:type="spellStart"/>
      <w:r w:rsidRPr="00B630DB">
        <w:t>CSG</w:t>
      </w:r>
      <w:proofErr w:type="spellEnd"/>
      <w:r w:rsidRPr="00B630DB">
        <w:t xml:space="preserve">) in the </w:t>
      </w:r>
      <w:r w:rsidR="008334A1">
        <w:t>o</w:t>
      </w:r>
      <w:r w:rsidRPr="00B630DB">
        <w:t xml:space="preserve">nshore oil and gas component and uranium in the </w:t>
      </w:r>
      <w:r w:rsidR="008334A1">
        <w:t>o</w:t>
      </w:r>
      <w:r w:rsidRPr="00B630DB">
        <w:t xml:space="preserve">ther minerals component. Value of production was used as the capacity measure for both components. States that banned the </w:t>
      </w:r>
      <w:r w:rsidRPr="00B630DB">
        <w:lastRenderedPageBreak/>
        <w:t xml:space="preserve">exploitation of </w:t>
      </w:r>
      <w:r>
        <w:t>these</w:t>
      </w:r>
      <w:r w:rsidRPr="00B630DB">
        <w:t xml:space="preserve"> minerals were, therefore, assessed to have zero revenue capacity </w:t>
      </w:r>
      <w:r>
        <w:t>as they had zero production.</w:t>
      </w:r>
    </w:p>
    <w:p w:rsidR="007D1DC3" w:rsidRPr="00DF5576" w:rsidRDefault="007D1DC3" w:rsidP="0025048D">
      <w:pPr>
        <w:pStyle w:val="21para"/>
      </w:pPr>
      <w:r w:rsidRPr="00B630DB">
        <w:t xml:space="preserve">Since the Review, a number of States </w:t>
      </w:r>
      <w:r>
        <w:t xml:space="preserve">have imposed or </w:t>
      </w:r>
      <w:r w:rsidRPr="00B630DB">
        <w:t xml:space="preserve">reinstated bans on </w:t>
      </w:r>
      <w:proofErr w:type="spellStart"/>
      <w:r w:rsidRPr="00B630DB">
        <w:t>CSG</w:t>
      </w:r>
      <w:proofErr w:type="spellEnd"/>
      <w:r w:rsidRPr="00B630DB">
        <w:t xml:space="preserve"> and uranium</w:t>
      </w:r>
      <w:r>
        <w:t xml:space="preserve"> and t</w:t>
      </w:r>
      <w:r w:rsidRPr="00B630DB">
        <w:t>hese minerals are now</w:t>
      </w:r>
      <w:r>
        <w:t xml:space="preserve"> banned in a majority of States. Currently, the royalties raised on these minerals are small, so that changing their treatment would not materially change States’ GST outcomes.</w:t>
      </w:r>
    </w:p>
    <w:p w:rsidR="007D1DC3" w:rsidRDefault="002F6B71" w:rsidP="0025048D">
      <w:pPr>
        <w:pStyle w:val="21para"/>
      </w:pPr>
      <w:r>
        <w:t>The Commiss</w:t>
      </w:r>
      <w:r w:rsidR="00A527C9">
        <w:t>ion consulted States on whether</w:t>
      </w:r>
      <w:r>
        <w:t xml:space="preserve"> it should</w:t>
      </w:r>
      <w:r w:rsidR="007D1DC3">
        <w:t xml:space="preserve"> change </w:t>
      </w:r>
      <w:r w:rsidR="00BA0CBB">
        <w:t>the</w:t>
      </w:r>
      <w:r w:rsidR="007D1DC3">
        <w:t xml:space="preserve"> treatment of royalties where bans on extraction are in place in most States </w:t>
      </w:r>
      <w:r w:rsidR="005D3746">
        <w:t>in this u</w:t>
      </w:r>
      <w:r w:rsidR="007D1DC3">
        <w:t>pdate</w:t>
      </w:r>
      <w:r>
        <w:t>,</w:t>
      </w:r>
      <w:r w:rsidR="007D1DC3">
        <w:t xml:space="preserve"> </w:t>
      </w:r>
      <w:r w:rsidR="00A527C9">
        <w:t>taking into account that such a change was unlikely to be material</w:t>
      </w:r>
      <w:r w:rsidR="007D1DC3">
        <w:t xml:space="preserve">. </w:t>
      </w:r>
    </w:p>
    <w:p w:rsidR="007D1DC3" w:rsidRPr="00EC708E" w:rsidRDefault="007D1DC3" w:rsidP="0025048D">
      <w:pPr>
        <w:pStyle w:val="21para"/>
      </w:pPr>
      <w:r w:rsidRPr="00EC708E">
        <w:rPr>
          <w:rStyle w:val="Heading6Char"/>
        </w:rPr>
        <w:t>State views.</w:t>
      </w:r>
      <w:r w:rsidRPr="00EC708E">
        <w:t xml:space="preserve"> Most States supported no change</w:t>
      </w:r>
      <w:r>
        <w:t xml:space="preserve"> to</w:t>
      </w:r>
      <w:r w:rsidRPr="00EC708E">
        <w:t xml:space="preserve"> the treatment of </w:t>
      </w:r>
      <w:proofErr w:type="spellStart"/>
      <w:r w:rsidRPr="00EC708E">
        <w:t>CSG</w:t>
      </w:r>
      <w:proofErr w:type="spellEnd"/>
      <w:r w:rsidRPr="00EC708E">
        <w:t xml:space="preserve"> and uranium in the 2018 Update. The ACT said</w:t>
      </w:r>
      <w:r w:rsidR="00235C49">
        <w:t xml:space="preserve"> that</w:t>
      </w:r>
      <w:r w:rsidRPr="00EC708E">
        <w:t>, given the uncertainty of the tax bases in the non</w:t>
      </w:r>
      <w:r>
        <w:noBreakHyphen/>
      </w:r>
      <w:r w:rsidRPr="00EC708E">
        <w:t>taxing States, the most equitable approach is to assess these minerals equal per capita. Western Australia</w:t>
      </w:r>
      <w:r>
        <w:t xml:space="preserve"> agreed. It said a moderate general discount would be consistent with the option presented in the paper and would recognise that policy influences were more pervasive than just bans.</w:t>
      </w:r>
    </w:p>
    <w:p w:rsidR="007D1DC3" w:rsidRPr="00EC708E" w:rsidRDefault="007D1DC3" w:rsidP="0025048D">
      <w:pPr>
        <w:pStyle w:val="21para"/>
      </w:pPr>
      <w:r w:rsidRPr="00EC708E">
        <w:t>Most States also supported reviewing the treatment of mineral bans as part of the 2020 Review.</w:t>
      </w:r>
    </w:p>
    <w:p w:rsidR="007D1DC3" w:rsidRDefault="007D1DC3" w:rsidP="0025048D">
      <w:pPr>
        <w:pStyle w:val="21para"/>
      </w:pPr>
      <w:r w:rsidRPr="00EC708E">
        <w:rPr>
          <w:rStyle w:val="Heading6Char"/>
        </w:rPr>
        <w:t>Commission decision.</w:t>
      </w:r>
      <w:r w:rsidRPr="00EC708E">
        <w:t xml:space="preserve"> The Commission has decided not to change the mining assessment in the 2018 Update. It noted that any change, including EPC</w:t>
      </w:r>
      <w:r>
        <w:t xml:space="preserve"> for </w:t>
      </w:r>
      <w:proofErr w:type="spellStart"/>
      <w:r>
        <w:t>CSG</w:t>
      </w:r>
      <w:proofErr w:type="spellEnd"/>
      <w:r>
        <w:t xml:space="preserve"> and uranium</w:t>
      </w:r>
      <w:r w:rsidRPr="00EC708E">
        <w:t xml:space="preserve">, would not be material. </w:t>
      </w:r>
    </w:p>
    <w:p w:rsidR="007D1DC3" w:rsidRPr="00EC708E" w:rsidRDefault="007D1DC3" w:rsidP="0025048D">
      <w:pPr>
        <w:pStyle w:val="21para"/>
      </w:pPr>
      <w:r>
        <w:t>The Commission</w:t>
      </w:r>
      <w:r w:rsidRPr="001E7286">
        <w:t xml:space="preserve"> did not accept Western Australia</w:t>
      </w:r>
      <w:r>
        <w:t>’s</w:t>
      </w:r>
      <w:r w:rsidRPr="001E7286">
        <w:t xml:space="preserve"> proposal </w:t>
      </w:r>
      <w:r>
        <w:t>of a general discount applied to the totality of mining revenue</w:t>
      </w:r>
      <w:r w:rsidRPr="001E7286">
        <w:t xml:space="preserve">. </w:t>
      </w:r>
      <w:r>
        <w:t>A</w:t>
      </w:r>
      <w:r w:rsidRPr="001E7286">
        <w:t xml:space="preserve"> low discount (12.5%) would be equivalent to treating about $1 billion of royalty revenue EPC</w:t>
      </w:r>
      <w:r>
        <w:t>, which was substantially bigger than the revenue raised from banned minerals (around $</w:t>
      </w:r>
      <w:r w:rsidR="00AC5BD4">
        <w:t>50</w:t>
      </w:r>
      <w:r>
        <w:t> million). A general discount would mean changing the assessment method for reasons other than the issue of banned minerals.</w:t>
      </w:r>
    </w:p>
    <w:p w:rsidR="007D1DC3" w:rsidRPr="00E674AF" w:rsidRDefault="007D1DC3" w:rsidP="0025048D">
      <w:pPr>
        <w:pStyle w:val="21para"/>
      </w:pPr>
      <w:r>
        <w:t>The Commission also decided it would review the treatment of bans in its 2020 Review. In its position paper on ‘</w:t>
      </w:r>
      <w:r w:rsidRPr="002336EA">
        <w:rPr>
          <w:i/>
        </w:rPr>
        <w:t xml:space="preserve">The principle of </w:t>
      </w:r>
      <w:proofErr w:type="spellStart"/>
      <w:r w:rsidRPr="002336EA">
        <w:rPr>
          <w:i/>
        </w:rPr>
        <w:t>HFE</w:t>
      </w:r>
      <w:proofErr w:type="spellEnd"/>
      <w:r w:rsidRPr="002336EA">
        <w:rPr>
          <w:i/>
        </w:rPr>
        <w:t xml:space="preserve"> and its implementation</w:t>
      </w:r>
      <w:r>
        <w:t xml:space="preserve">’, the Commission said its preliminary view was to assess banned minerals </w:t>
      </w:r>
      <w:r w:rsidR="008E3846">
        <w:t>EPC</w:t>
      </w:r>
      <w:r>
        <w:t>.</w:t>
      </w:r>
    </w:p>
    <w:p w:rsidR="00CD1552" w:rsidRPr="002A48E0" w:rsidRDefault="002A4D57" w:rsidP="00CD1552">
      <w:pPr>
        <w:pStyle w:val="Heading3"/>
      </w:pPr>
      <w:bookmarkStart w:id="544" w:name="_Toc474923787"/>
      <w:bookmarkStart w:id="545" w:name="_Toc498430064"/>
      <w:bookmarkStart w:id="546" w:name="_Toc505872197"/>
      <w:r>
        <w:t>Treatment of C</w:t>
      </w:r>
      <w:r w:rsidR="00CD1552" w:rsidRPr="002A48E0">
        <w:t>ommonwealth payments</w:t>
      </w:r>
      <w:bookmarkEnd w:id="544"/>
      <w:bookmarkEnd w:id="545"/>
      <w:bookmarkEnd w:id="546"/>
    </w:p>
    <w:p w:rsidR="00CD1552" w:rsidRPr="002A48E0" w:rsidRDefault="00CD1552" w:rsidP="00CD1552">
      <w:pPr>
        <w:pStyle w:val="Heading4"/>
      </w:pPr>
      <w:bookmarkStart w:id="547" w:name="_Toc474923788"/>
      <w:bookmarkStart w:id="548" w:name="_Toc498430065"/>
      <w:bookmarkStart w:id="549" w:name="_Toc505872198"/>
      <w:r w:rsidRPr="002A48E0">
        <w:t>Terms of reference requirements</w:t>
      </w:r>
      <w:bookmarkEnd w:id="547"/>
      <w:bookmarkEnd w:id="548"/>
      <w:bookmarkEnd w:id="549"/>
    </w:p>
    <w:p w:rsidR="00CD1552" w:rsidRPr="00212E4E" w:rsidRDefault="00CD1552" w:rsidP="0025048D">
      <w:pPr>
        <w:pStyle w:val="21para"/>
      </w:pPr>
      <w:r w:rsidRPr="00212E4E">
        <w:t>The 2018</w:t>
      </w:r>
      <w:r w:rsidR="005D3746">
        <w:t> </w:t>
      </w:r>
      <w:r w:rsidRPr="00212E4E">
        <w:t>Update terms of reference require the Commission to prepare its assessments on the basis that the following payments should not directly influence the relativities:</w:t>
      </w:r>
    </w:p>
    <w:p w:rsidR="00CD1552" w:rsidRPr="006455BD" w:rsidRDefault="00CD1552" w:rsidP="006455BD">
      <w:pPr>
        <w:pStyle w:val="CGCBulletlist"/>
      </w:pPr>
      <w:r w:rsidRPr="006455BD">
        <w:lastRenderedPageBreak/>
        <w:t>$730.4 million to Tasmania relating to the transfer of ownership of the Mersey Community Hospital</w:t>
      </w:r>
    </w:p>
    <w:p w:rsidR="00CD1552" w:rsidRPr="006455BD" w:rsidRDefault="00CD1552" w:rsidP="006455BD">
      <w:pPr>
        <w:pStyle w:val="CGCBulletlist"/>
      </w:pPr>
      <w:r w:rsidRPr="006455BD">
        <w:t>$1.42 billion to Victoria relating to the Regional Rail Revival program</w:t>
      </w:r>
    </w:p>
    <w:p w:rsidR="00CD1552" w:rsidRPr="006455BD" w:rsidRDefault="00CD1552" w:rsidP="006455BD">
      <w:pPr>
        <w:pStyle w:val="CGCBulletlist"/>
      </w:pPr>
      <w:r w:rsidRPr="006455BD">
        <w:t>$1.2 billion to Western Australia relating to the re-allocated Perth Freight Link Infrastructure funding.</w:t>
      </w:r>
    </w:p>
    <w:p w:rsidR="00CD1552" w:rsidRPr="00212E4E" w:rsidRDefault="00CD1552" w:rsidP="0025048D">
      <w:pPr>
        <w:pStyle w:val="21para"/>
      </w:pPr>
      <w:r w:rsidRPr="00212E4E">
        <w:t>Accordingly, the payment to Tasmania (made in 2016</w:t>
      </w:r>
      <w:r w:rsidR="00DB7EC8">
        <w:noBreakHyphen/>
      </w:r>
      <w:r w:rsidRPr="00212E4E">
        <w:t>17) has been treated in a way that it does not influence the relativities. The payments to Victoria and Western</w:t>
      </w:r>
      <w:r w:rsidR="004D6ACB">
        <w:t> </w:t>
      </w:r>
      <w:r w:rsidRPr="00212E4E">
        <w:t>Australia (not paid in the assessment years of this update) will not influence the relativities when they are paid in the assessment years of future updates.</w:t>
      </w:r>
    </w:p>
    <w:p w:rsidR="00CD1552" w:rsidRDefault="00CD1552" w:rsidP="0025048D">
      <w:pPr>
        <w:pStyle w:val="21para"/>
      </w:pPr>
      <w:r w:rsidRPr="00212E4E">
        <w:t xml:space="preserve">In addition, as directed by the 2018 Update terms of reference, the Commission has continued to exclude those payments </w:t>
      </w:r>
      <w:r>
        <w:t xml:space="preserve">(full amount or 50% of the amount) </w:t>
      </w:r>
      <w:r w:rsidRPr="00212E4E">
        <w:t>quarantined by previous terms of reference.</w:t>
      </w:r>
    </w:p>
    <w:p w:rsidR="00CD1552" w:rsidRDefault="00CD1552" w:rsidP="0025048D">
      <w:pPr>
        <w:pStyle w:val="21para"/>
      </w:pPr>
      <w:r>
        <w:t>As is generally the case, the 2018</w:t>
      </w:r>
      <w:r w:rsidR="005D3746">
        <w:t> </w:t>
      </w:r>
      <w:r>
        <w:t>Update terms of reference also direct the Commission to prepare assessments on the basis that national partnership facilitation payments and reward payments should not influence the relativities.</w:t>
      </w:r>
      <w:r w:rsidRPr="008366BE">
        <w:rPr>
          <w:rStyle w:val="FootnoteReference"/>
        </w:rPr>
        <w:t xml:space="preserve"> </w:t>
      </w:r>
      <w:r>
        <w:rPr>
          <w:rStyle w:val="FootnoteReference"/>
        </w:rPr>
        <w:footnoteReference w:id="16"/>
      </w:r>
    </w:p>
    <w:p w:rsidR="00CD1552" w:rsidRPr="00212E4E" w:rsidRDefault="00CD1552" w:rsidP="0025048D">
      <w:pPr>
        <w:pStyle w:val="21para"/>
      </w:pPr>
      <w:r>
        <w:t xml:space="preserve">The list of quarantined payments and the amounts relevant to this update are available on </w:t>
      </w:r>
      <w:r w:rsidRPr="002A48E0">
        <w:t xml:space="preserve">the </w:t>
      </w:r>
      <w:hyperlink r:id="rId61" w:history="1">
        <w:r w:rsidRPr="00A646DE">
          <w:rPr>
            <w:rStyle w:val="Hyperlink"/>
          </w:rPr>
          <w:t>Commission’s website</w:t>
        </w:r>
      </w:hyperlink>
      <w:r w:rsidRPr="002A48E0">
        <w:t xml:space="preserve"> (</w:t>
      </w:r>
      <w:r w:rsidR="00441C6C" w:rsidRPr="00103485">
        <w:t>https://cgc.gov.au/</w:t>
      </w:r>
      <w:r w:rsidRPr="002A48E0">
        <w:t>).</w:t>
      </w:r>
      <w:r>
        <w:rPr>
          <w:rStyle w:val="FootnoteReference"/>
        </w:rPr>
        <w:footnoteReference w:id="17"/>
      </w:r>
    </w:p>
    <w:p w:rsidR="00CD1552" w:rsidRPr="002A48E0" w:rsidRDefault="00CD1552" w:rsidP="00CD1552">
      <w:pPr>
        <w:pStyle w:val="Heading4"/>
      </w:pPr>
      <w:bookmarkStart w:id="550" w:name="_Toc474923789"/>
      <w:bookmarkStart w:id="551" w:name="_Toc498430066"/>
      <w:bookmarkStart w:id="552" w:name="_Toc505872199"/>
      <w:r w:rsidRPr="002A48E0">
        <w:t xml:space="preserve">Treatment of </w:t>
      </w:r>
      <w:r>
        <w:t xml:space="preserve">new </w:t>
      </w:r>
      <w:r w:rsidRPr="002A48E0">
        <w:t>Commonwealth payments</w:t>
      </w:r>
      <w:bookmarkEnd w:id="550"/>
      <w:bookmarkEnd w:id="551"/>
      <w:bookmarkEnd w:id="552"/>
    </w:p>
    <w:p w:rsidR="00CD1552" w:rsidRPr="002A48E0" w:rsidRDefault="00CD1552" w:rsidP="0025048D">
      <w:pPr>
        <w:pStyle w:val="21para"/>
      </w:pPr>
      <w:r w:rsidRPr="002A48E0">
        <w:t>Apart from payments for which the terms of reference have requested special treatment, all Commonwealth payments which affect State fiscal capacities and for which needs are assessed have an impact on the relativities. This is in accordance with the guideline adopted in the 2015</w:t>
      </w:r>
      <w:r w:rsidR="006519EA">
        <w:t> </w:t>
      </w:r>
      <w:r w:rsidRPr="002A48E0">
        <w:t>Review.</w:t>
      </w:r>
    </w:p>
    <w:p w:rsidR="00560DEA" w:rsidRDefault="00CD1552" w:rsidP="0025048D">
      <w:pPr>
        <w:pStyle w:val="21para"/>
      </w:pPr>
      <w:r>
        <w:fldChar w:fldCharType="begin"/>
      </w:r>
      <w:r>
        <w:instrText xml:space="preserve"> REF _Ref504906696 \h </w:instrText>
      </w:r>
      <w:r>
        <w:fldChar w:fldCharType="separate"/>
      </w:r>
      <w:r w:rsidR="000A6746">
        <w:t>Table 2</w:t>
      </w:r>
      <w:r w:rsidR="000A6746">
        <w:noBreakHyphen/>
      </w:r>
      <w:r w:rsidR="000A6746">
        <w:rPr>
          <w:noProof/>
        </w:rPr>
        <w:t>3</w:t>
      </w:r>
      <w:r>
        <w:fldChar w:fldCharType="end"/>
      </w:r>
      <w:r>
        <w:t xml:space="preserve"> </w:t>
      </w:r>
      <w:r w:rsidRPr="002A48E0">
        <w:t>provides a summary of the treatment the Commission has applied to payments which commenced in 201</w:t>
      </w:r>
      <w:r>
        <w:t>6</w:t>
      </w:r>
      <w:r w:rsidRPr="002A48E0">
        <w:noBreakHyphen/>
        <w:t>1</w:t>
      </w:r>
      <w:r>
        <w:t>7</w:t>
      </w:r>
      <w:r w:rsidRPr="002A48E0">
        <w:t xml:space="preserve">. The Commission has not </w:t>
      </w:r>
      <w:proofErr w:type="spellStart"/>
      <w:r w:rsidRPr="002A48E0">
        <w:t>backcast</w:t>
      </w:r>
      <w:proofErr w:type="spellEnd"/>
      <w:r w:rsidRPr="002A48E0">
        <w:t xml:space="preserve"> any o</w:t>
      </w:r>
      <w:r>
        <w:t>ther payments commencing in 2017</w:t>
      </w:r>
      <w:r>
        <w:noBreakHyphen/>
        <w:t xml:space="preserve">18 </w:t>
      </w:r>
      <w:r w:rsidRPr="002A48E0">
        <w:t>or 201</w:t>
      </w:r>
      <w:r>
        <w:t>8</w:t>
      </w:r>
      <w:r w:rsidRPr="002A48E0">
        <w:t>-1</w:t>
      </w:r>
      <w:r>
        <w:t>9</w:t>
      </w:r>
      <w:r w:rsidRPr="002A48E0">
        <w:t xml:space="preserve"> because they do not represent a major change in federal financial arrangements.</w:t>
      </w:r>
    </w:p>
    <w:p w:rsidR="00CD1552" w:rsidRDefault="00CD1552" w:rsidP="0097063C">
      <w:pPr>
        <w:pStyle w:val="Caption"/>
      </w:pPr>
      <w:bookmarkStart w:id="553" w:name="_Ref504906696"/>
      <w:r>
        <w:lastRenderedPageBreak/>
        <w:t>Table 2</w:t>
      </w:r>
      <w:r>
        <w:noBreakHyphen/>
      </w:r>
      <w:r w:rsidR="00CD68E8">
        <w:fldChar w:fldCharType="begin"/>
      </w:r>
      <w:r w:rsidR="00CD68E8">
        <w:instrText xml:space="preserve"> SEQ Table \* ARABIC \s 1 </w:instrText>
      </w:r>
      <w:r w:rsidR="00CD68E8">
        <w:fldChar w:fldCharType="separate"/>
      </w:r>
      <w:r w:rsidR="000A6746">
        <w:rPr>
          <w:noProof/>
        </w:rPr>
        <w:t>3</w:t>
      </w:r>
      <w:r w:rsidR="00CD68E8">
        <w:rPr>
          <w:noProof/>
        </w:rPr>
        <w:fldChar w:fldCharType="end"/>
      </w:r>
      <w:bookmarkEnd w:id="553"/>
      <w:r>
        <w:tab/>
      </w:r>
      <w:r w:rsidRPr="002A48E0">
        <w:t>Treatment of Commonw</w:t>
      </w:r>
      <w:r>
        <w:t>ealth payments commencing in 2016</w:t>
      </w:r>
      <w:r w:rsidR="00DB7EC8">
        <w:noBreakHyphen/>
      </w:r>
      <w:r w:rsidRPr="002A48E0">
        <w:t>1</w:t>
      </w:r>
      <w:r>
        <w:t>7</w:t>
      </w:r>
    </w:p>
    <w:tbl>
      <w:tblPr>
        <w:tblW w:w="8920" w:type="dxa"/>
        <w:tblLayout w:type="fixed"/>
        <w:tblCellMar>
          <w:left w:w="0" w:type="dxa"/>
          <w:right w:w="0" w:type="dxa"/>
        </w:tblCellMar>
        <w:tblLook w:val="04A0" w:firstRow="1" w:lastRow="0" w:firstColumn="1" w:lastColumn="0" w:noHBand="0" w:noVBand="1"/>
      </w:tblPr>
      <w:tblGrid>
        <w:gridCol w:w="3969"/>
        <w:gridCol w:w="567"/>
        <w:gridCol w:w="142"/>
        <w:gridCol w:w="1388"/>
        <w:gridCol w:w="2854"/>
      </w:tblGrid>
      <w:tr w:rsidR="00945910" w:rsidRPr="002A48E0" w:rsidTr="00551666">
        <w:trPr>
          <w:trHeight w:val="454"/>
          <w:tblHeader/>
        </w:trPr>
        <w:tc>
          <w:tcPr>
            <w:tcW w:w="3969" w:type="dxa"/>
            <w:tcBorders>
              <w:top w:val="single" w:sz="4" w:space="0" w:color="auto"/>
              <w:left w:val="nil"/>
              <w:bottom w:val="single" w:sz="4" w:space="0" w:color="auto"/>
              <w:right w:val="nil"/>
            </w:tcBorders>
            <w:shd w:val="clear" w:color="auto" w:fill="auto"/>
            <w:vAlign w:val="center"/>
            <w:hideMark/>
          </w:tcPr>
          <w:p w:rsidR="00945910" w:rsidRPr="002A48E0" w:rsidRDefault="00945910" w:rsidP="00551666">
            <w:pPr>
              <w:pStyle w:val="TableColHeadings"/>
              <w:jc w:val="left"/>
              <w:rPr>
                <w:rFonts w:cs="Arial"/>
                <w:lang w:eastAsia="en-AU"/>
              </w:rPr>
            </w:pPr>
            <w:r w:rsidRPr="002A48E0">
              <w:rPr>
                <w:lang w:eastAsia="en-AU"/>
              </w:rPr>
              <w:t>Payment</w:t>
            </w:r>
          </w:p>
        </w:tc>
        <w:tc>
          <w:tcPr>
            <w:tcW w:w="567" w:type="dxa"/>
            <w:tcBorders>
              <w:top w:val="single" w:sz="4" w:space="0" w:color="auto"/>
              <w:left w:val="nil"/>
              <w:bottom w:val="single" w:sz="4" w:space="0" w:color="auto"/>
              <w:right w:val="nil"/>
            </w:tcBorders>
            <w:shd w:val="clear" w:color="auto" w:fill="auto"/>
            <w:vAlign w:val="center"/>
            <w:hideMark/>
          </w:tcPr>
          <w:p w:rsidR="00945910" w:rsidRPr="002A48E0" w:rsidRDefault="00945910" w:rsidP="004D6ACB">
            <w:pPr>
              <w:pStyle w:val="TableColHeadings"/>
              <w:rPr>
                <w:rFonts w:cs="Arial"/>
                <w:lang w:eastAsia="en-AU"/>
              </w:rPr>
            </w:pPr>
            <w:r w:rsidRPr="002A48E0">
              <w:rPr>
                <w:lang w:eastAsia="en-AU"/>
              </w:rPr>
              <w:t>$m</w:t>
            </w:r>
          </w:p>
        </w:tc>
        <w:tc>
          <w:tcPr>
            <w:tcW w:w="142" w:type="dxa"/>
            <w:tcBorders>
              <w:top w:val="single" w:sz="4" w:space="0" w:color="auto"/>
              <w:left w:val="nil"/>
              <w:bottom w:val="single" w:sz="4" w:space="0" w:color="auto"/>
              <w:right w:val="nil"/>
            </w:tcBorders>
            <w:shd w:val="clear" w:color="auto" w:fill="auto"/>
            <w:vAlign w:val="center"/>
            <w:hideMark/>
          </w:tcPr>
          <w:p w:rsidR="00945910" w:rsidRPr="002A48E0" w:rsidRDefault="00945910" w:rsidP="00551666">
            <w:pPr>
              <w:pStyle w:val="TableColHeadings"/>
              <w:rPr>
                <w:rFonts w:cs="Arial"/>
                <w:lang w:eastAsia="en-AU"/>
              </w:rPr>
            </w:pPr>
          </w:p>
        </w:tc>
        <w:tc>
          <w:tcPr>
            <w:tcW w:w="1388" w:type="dxa"/>
            <w:tcBorders>
              <w:top w:val="single" w:sz="4" w:space="0" w:color="auto"/>
              <w:left w:val="nil"/>
              <w:bottom w:val="single" w:sz="4" w:space="0" w:color="auto"/>
              <w:right w:val="nil"/>
            </w:tcBorders>
            <w:shd w:val="clear" w:color="auto" w:fill="auto"/>
            <w:vAlign w:val="center"/>
            <w:hideMark/>
          </w:tcPr>
          <w:p w:rsidR="00945910" w:rsidRPr="002A48E0" w:rsidRDefault="00945910" w:rsidP="00551666">
            <w:pPr>
              <w:pStyle w:val="TableColHeadings"/>
              <w:jc w:val="left"/>
              <w:rPr>
                <w:rFonts w:cs="Arial"/>
                <w:lang w:eastAsia="en-AU"/>
              </w:rPr>
            </w:pPr>
            <w:r w:rsidRPr="002A48E0">
              <w:rPr>
                <w:lang w:eastAsia="en-AU"/>
              </w:rPr>
              <w:t>Treatment</w:t>
            </w:r>
          </w:p>
        </w:tc>
        <w:tc>
          <w:tcPr>
            <w:tcW w:w="2854" w:type="dxa"/>
            <w:tcBorders>
              <w:top w:val="single" w:sz="4" w:space="0" w:color="auto"/>
              <w:left w:val="nil"/>
              <w:bottom w:val="single" w:sz="4" w:space="0" w:color="auto"/>
              <w:right w:val="nil"/>
            </w:tcBorders>
            <w:shd w:val="clear" w:color="auto" w:fill="auto"/>
            <w:vAlign w:val="center"/>
            <w:hideMark/>
          </w:tcPr>
          <w:p w:rsidR="00945910" w:rsidRPr="002A48E0" w:rsidRDefault="00945910" w:rsidP="00551666">
            <w:pPr>
              <w:pStyle w:val="TableColHeadings"/>
              <w:jc w:val="left"/>
              <w:rPr>
                <w:rFonts w:cs="Arial"/>
                <w:lang w:eastAsia="en-AU"/>
              </w:rPr>
            </w:pPr>
            <w:r w:rsidRPr="002A48E0">
              <w:rPr>
                <w:lang w:eastAsia="en-AU"/>
              </w:rPr>
              <w:t>Reason for ‘no impact’</w:t>
            </w: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HEALTH</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hAnsi="Calibri"/>
                <w:color w:val="000000"/>
                <w:sz w:val="20"/>
                <w:szCs w:val="20"/>
              </w:rPr>
              <w:t>Mersey Community Hospital</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tcPr>
          <w:p w:rsidR="00945910" w:rsidRDefault="00945910" w:rsidP="00551666">
            <w:pPr>
              <w:keepNext/>
              <w:keepLines/>
              <w:tabs>
                <w:tab w:val="clear" w:pos="567"/>
              </w:tabs>
              <w:spacing w:before="20" w:after="20" w:line="240" w:lineRule="auto"/>
              <w:ind w:left="193" w:firstLine="91"/>
              <w:rPr>
                <w:rFonts w:ascii="Calibri" w:hAnsi="Calibri"/>
                <w:color w:val="000000"/>
                <w:sz w:val="20"/>
                <w:szCs w:val="20"/>
              </w:rPr>
            </w:pPr>
            <w:r>
              <w:rPr>
                <w:rFonts w:ascii="Calibri" w:hAnsi="Calibri"/>
                <w:color w:val="000000"/>
                <w:sz w:val="20"/>
                <w:szCs w:val="20"/>
              </w:rPr>
              <w:t>Hospital transfer</w:t>
            </w:r>
          </w:p>
        </w:tc>
        <w:tc>
          <w:tcPr>
            <w:tcW w:w="567"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730.4</w:t>
            </w:r>
          </w:p>
        </w:tc>
        <w:tc>
          <w:tcPr>
            <w:tcW w:w="142"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w:t>
            </w:r>
            <w:r w:rsidRPr="002A48E0">
              <w:rPr>
                <w:rFonts w:ascii="Calibri" w:eastAsia="Times New Roman" w:hAnsi="Calibri" w:cs="Arial"/>
                <w:sz w:val="20"/>
                <w:szCs w:val="20"/>
                <w:lang w:eastAsia="en-AU"/>
              </w:rPr>
              <w:t>mpact</w:t>
            </w:r>
          </w:p>
        </w:tc>
        <w:tc>
          <w:tcPr>
            <w:tcW w:w="2854"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Calibri" w:hAnsi="Calibri" w:cs="Times New Roman"/>
                <w:sz w:val="20"/>
                <w:szCs w:val="20"/>
              </w:rPr>
              <w:t>2018</w:t>
            </w:r>
            <w:r w:rsidRPr="002A48E0">
              <w:rPr>
                <w:rFonts w:ascii="Calibri" w:eastAsia="Calibri" w:hAnsi="Calibri" w:cs="Times New Roman"/>
                <w:sz w:val="20"/>
                <w:szCs w:val="20"/>
              </w:rPr>
              <w:t xml:space="preserve"> Update terms of reference requirement.</w:t>
            </w:r>
          </w:p>
        </w:tc>
      </w:tr>
      <w:tr w:rsidR="00945910" w:rsidRPr="002A48E0" w:rsidTr="00551666">
        <w:trPr>
          <w:trHeight w:val="315"/>
        </w:trPr>
        <w:tc>
          <w:tcPr>
            <w:tcW w:w="3969" w:type="dxa"/>
            <w:tcBorders>
              <w:top w:val="nil"/>
              <w:left w:val="nil"/>
              <w:bottom w:val="nil"/>
              <w:right w:val="nil"/>
            </w:tcBorders>
            <w:shd w:val="clear" w:color="auto" w:fill="auto"/>
          </w:tcPr>
          <w:p w:rsidR="00945910" w:rsidRDefault="00945910" w:rsidP="00551666">
            <w:pPr>
              <w:keepNext/>
              <w:keepLines/>
              <w:tabs>
                <w:tab w:val="clear" w:pos="567"/>
              </w:tabs>
              <w:spacing w:before="20" w:after="20" w:line="240" w:lineRule="auto"/>
              <w:ind w:left="426" w:hanging="142"/>
              <w:rPr>
                <w:rFonts w:ascii="Calibri" w:hAnsi="Calibri"/>
                <w:color w:val="000000"/>
                <w:sz w:val="20"/>
                <w:szCs w:val="20"/>
              </w:rPr>
            </w:pPr>
            <w:r>
              <w:rPr>
                <w:rFonts w:ascii="Calibri" w:hAnsi="Calibri"/>
                <w:color w:val="000000"/>
                <w:sz w:val="20"/>
                <w:szCs w:val="20"/>
              </w:rPr>
              <w:t>Drug and alcohol residential rehabilitation treatment and palliative care services</w:t>
            </w:r>
          </w:p>
        </w:tc>
        <w:tc>
          <w:tcPr>
            <w:tcW w:w="567"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6.2</w:t>
            </w:r>
          </w:p>
        </w:tc>
        <w:tc>
          <w:tcPr>
            <w:tcW w:w="142"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w:t>
            </w:r>
            <w:r w:rsidRPr="002A48E0">
              <w:rPr>
                <w:rFonts w:ascii="Calibri" w:eastAsia="Times New Roman" w:hAnsi="Calibri" w:cs="Arial"/>
                <w:sz w:val="20"/>
                <w:szCs w:val="20"/>
                <w:lang w:eastAsia="en-AU"/>
              </w:rPr>
              <w:t>mpact</w:t>
            </w:r>
          </w:p>
        </w:tc>
        <w:tc>
          <w:tcPr>
            <w:tcW w:w="2854"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Pr>
                <w:rFonts w:ascii="Calibri" w:eastAsia="Times New Roman" w:hAnsi="Calibri" w:cs="Arial"/>
                <w:b/>
                <w:bCs/>
                <w:sz w:val="20"/>
                <w:szCs w:val="20"/>
                <w:lang w:eastAsia="en-AU"/>
              </w:rPr>
              <w:t>SKILLS AND WORKFORCE DEVELOPMENT SERVICES</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eastAsia="Calibri" w:hAnsi="Calibri" w:cs="Times New Roman"/>
                <w:sz w:val="20"/>
                <w:szCs w:val="20"/>
              </w:rPr>
              <w:t>NSW Infrastructure Skills Centre</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1.0</w:t>
            </w: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hAnsi="Calibri"/>
                <w:color w:val="000000"/>
                <w:sz w:val="20"/>
                <w:szCs w:val="20"/>
              </w:rPr>
              <w:t>Impact</w:t>
            </w: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COMMUNITY SERVICES</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55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eastAsia="Calibri" w:hAnsi="Calibri" w:cs="Times New Roman"/>
                <w:sz w:val="20"/>
                <w:szCs w:val="20"/>
              </w:rPr>
              <w:t>Family advocacy and support services</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4.2</w:t>
            </w: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w:t>
            </w:r>
            <w:r w:rsidRPr="002A48E0">
              <w:rPr>
                <w:rFonts w:ascii="Calibri" w:eastAsia="Times New Roman" w:hAnsi="Calibri" w:cs="Arial"/>
                <w:sz w:val="20"/>
                <w:szCs w:val="20"/>
                <w:lang w:eastAsia="en-AU"/>
              </w:rPr>
              <w:t>mpact</w:t>
            </w: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Calibri" w:hAnsi="Calibri" w:cs="Times New Roman"/>
                <w:sz w:val="20"/>
                <w:szCs w:val="20"/>
              </w:rPr>
              <w:t>Needs are not assessed. The Commonwealth purchases the service from States.</w:t>
            </w: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hAnsi="Calibri"/>
                <w:color w:val="000000"/>
                <w:sz w:val="20"/>
                <w:szCs w:val="20"/>
              </w:rPr>
              <w:t xml:space="preserve">Women’s safety package </w:t>
            </w:r>
            <w:r w:rsidRPr="002A48E0">
              <w:t>—</w:t>
            </w:r>
            <w:r>
              <w:rPr>
                <w:rFonts w:ascii="Calibri" w:hAnsi="Calibri"/>
                <w:color w:val="000000"/>
                <w:sz w:val="20"/>
                <w:szCs w:val="20"/>
              </w:rPr>
              <w:t xml:space="preserve"> technology trials </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0.9</w:t>
            </w: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INFRASTRUCTURE</w:t>
            </w:r>
          </w:p>
        </w:tc>
        <w:tc>
          <w:tcPr>
            <w:tcW w:w="567"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right w:val="nil"/>
            </w:tcBorders>
            <w:shd w:val="clear" w:color="auto" w:fill="auto"/>
            <w:hideMark/>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hAnsi="Calibri"/>
                <w:color w:val="000000"/>
                <w:sz w:val="20"/>
                <w:szCs w:val="20"/>
              </w:rPr>
              <w:t xml:space="preserve">Infrastructure investment program —Developing Northern Australia </w:t>
            </w:r>
            <w:r w:rsidRPr="002A48E0">
              <w:t>—</w:t>
            </w:r>
            <w:r>
              <w:rPr>
                <w:rFonts w:ascii="Calibri" w:hAnsi="Calibri"/>
                <w:color w:val="000000"/>
                <w:sz w:val="20"/>
                <w:szCs w:val="20"/>
              </w:rPr>
              <w:t>Northern Australia roads</w:t>
            </w:r>
          </w:p>
        </w:tc>
        <w:tc>
          <w:tcPr>
            <w:tcW w:w="567" w:type="dxa"/>
            <w:tcBorders>
              <w:top w:val="nil"/>
              <w:left w:val="nil"/>
              <w:right w:val="nil"/>
            </w:tcBorders>
            <w:shd w:val="clear" w:color="auto" w:fill="auto"/>
            <w:hideMark/>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12.0</w:t>
            </w:r>
          </w:p>
        </w:tc>
        <w:tc>
          <w:tcPr>
            <w:tcW w:w="142" w:type="dxa"/>
            <w:tcBorders>
              <w:top w:val="nil"/>
              <w:left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854" w:type="dxa"/>
            <w:tcBorders>
              <w:top w:val="nil"/>
              <w:left w:val="nil"/>
              <w:right w:val="nil"/>
            </w:tcBorders>
            <w:shd w:val="clear" w:color="auto" w:fill="auto"/>
            <w:hideMark/>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ENVIRONMENT</w:t>
            </w:r>
          </w:p>
        </w:tc>
        <w:tc>
          <w:tcPr>
            <w:tcW w:w="567"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b/>
                <w:bCs/>
                <w:sz w:val="20"/>
                <w:szCs w:val="20"/>
                <w:lang w:eastAsia="en-AU"/>
              </w:rPr>
            </w:pPr>
          </w:p>
        </w:tc>
        <w:tc>
          <w:tcPr>
            <w:tcW w:w="142"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b/>
                <w:bCs/>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b/>
                <w:bCs/>
                <w:sz w:val="20"/>
                <w:szCs w:val="20"/>
                <w:lang w:eastAsia="en-AU"/>
              </w:rPr>
            </w:pPr>
          </w:p>
        </w:tc>
        <w:tc>
          <w:tcPr>
            <w:tcW w:w="2854" w:type="dxa"/>
            <w:tcBorders>
              <w:top w:val="nil"/>
              <w:left w:val="nil"/>
              <w:bottom w:val="nil"/>
              <w:right w:val="nil"/>
            </w:tcBorders>
            <w:shd w:val="clear" w:color="auto" w:fill="auto"/>
          </w:tcPr>
          <w:p w:rsidR="00945910" w:rsidRPr="002A48E0" w:rsidRDefault="00945910" w:rsidP="00551666">
            <w:pPr>
              <w:keepNext/>
              <w:spacing w:before="20" w:after="20" w:line="240" w:lineRule="auto"/>
              <w:rPr>
                <w:rFonts w:ascii="Calibri" w:eastAsia="Times New Roman" w:hAnsi="Calibri" w:cs="Arial"/>
                <w:b/>
                <w:bCs/>
                <w:sz w:val="20"/>
                <w:szCs w:val="20"/>
                <w:lang w:eastAsia="en-AU"/>
              </w:rPr>
            </w:pPr>
          </w:p>
        </w:tc>
      </w:tr>
      <w:tr w:rsidR="00945910" w:rsidRPr="002A48E0" w:rsidTr="00551666">
        <w:trPr>
          <w:trHeight w:val="315"/>
        </w:trPr>
        <w:tc>
          <w:tcPr>
            <w:tcW w:w="3969"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hAnsi="Calibri"/>
                <w:color w:val="000000"/>
                <w:sz w:val="20"/>
                <w:szCs w:val="20"/>
              </w:rPr>
              <w:t xml:space="preserve">Water infrastructure development fund </w:t>
            </w:r>
            <w:r w:rsidRPr="002A48E0">
              <w:t>—</w:t>
            </w:r>
            <w:r>
              <w:rPr>
                <w:rFonts w:ascii="Calibri" w:hAnsi="Calibri"/>
                <w:color w:val="000000"/>
                <w:sz w:val="20"/>
                <w:szCs w:val="20"/>
              </w:rPr>
              <w:t xml:space="preserve"> feasibility studies component</w:t>
            </w:r>
          </w:p>
        </w:tc>
        <w:tc>
          <w:tcPr>
            <w:tcW w:w="567"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12.8</w:t>
            </w:r>
          </w:p>
        </w:tc>
        <w:tc>
          <w:tcPr>
            <w:tcW w:w="142"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Calibri" w:hAnsi="Calibri" w:cs="Times New Roman"/>
                <w:sz w:val="20"/>
                <w:szCs w:val="20"/>
              </w:rPr>
            </w:pPr>
          </w:p>
        </w:tc>
      </w:tr>
      <w:tr w:rsidR="00945910" w:rsidRPr="002A48E0" w:rsidTr="00551666">
        <w:trPr>
          <w:trHeight w:val="315"/>
        </w:trPr>
        <w:tc>
          <w:tcPr>
            <w:tcW w:w="3969"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ind w:left="193" w:hanging="142"/>
              <w:rPr>
                <w:rFonts w:ascii="Calibri" w:eastAsia="Calibri" w:hAnsi="Calibri" w:cs="Times New Roman"/>
                <w:b/>
                <w:sz w:val="20"/>
                <w:szCs w:val="20"/>
              </w:rPr>
            </w:pPr>
            <w:r w:rsidRPr="002A48E0">
              <w:rPr>
                <w:rFonts w:ascii="Calibri" w:eastAsia="Calibri" w:hAnsi="Calibri" w:cs="Times New Roman"/>
                <w:b/>
                <w:sz w:val="20"/>
                <w:szCs w:val="20"/>
              </w:rPr>
              <w:t>OTHER</w:t>
            </w:r>
          </w:p>
        </w:tc>
        <w:tc>
          <w:tcPr>
            <w:tcW w:w="567"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2854"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Calibri" w:hAnsi="Calibri" w:cs="Times New Roman"/>
                <w:sz w:val="20"/>
                <w:szCs w:val="20"/>
              </w:rPr>
            </w:pPr>
          </w:p>
        </w:tc>
      </w:tr>
      <w:tr w:rsidR="00945910" w:rsidRPr="002A48E0" w:rsidTr="00551666">
        <w:trPr>
          <w:trHeight w:val="315"/>
        </w:trPr>
        <w:tc>
          <w:tcPr>
            <w:tcW w:w="3969"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ind w:left="193" w:hanging="142"/>
              <w:rPr>
                <w:rFonts w:ascii="Calibri" w:eastAsia="Calibri" w:hAnsi="Calibri" w:cs="Times New Roman"/>
                <w:sz w:val="20"/>
                <w:szCs w:val="20"/>
              </w:rPr>
            </w:pPr>
            <w:r>
              <w:rPr>
                <w:rFonts w:ascii="Calibri" w:hAnsi="Calibri"/>
                <w:color w:val="000000"/>
                <w:sz w:val="20"/>
                <w:szCs w:val="20"/>
              </w:rPr>
              <w:t>Northern Queensland Stadium</w:t>
            </w:r>
          </w:p>
        </w:tc>
        <w:tc>
          <w:tcPr>
            <w:tcW w:w="567"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10</w:t>
            </w:r>
            <w:r w:rsidRPr="002A48E0">
              <w:rPr>
                <w:rFonts w:ascii="Calibri" w:eastAsia="Times New Roman" w:hAnsi="Calibri" w:cs="Arial"/>
                <w:sz w:val="20"/>
                <w:szCs w:val="20"/>
                <w:lang w:eastAsia="en-AU"/>
              </w:rPr>
              <w:t>.0</w:t>
            </w:r>
          </w:p>
        </w:tc>
        <w:tc>
          <w:tcPr>
            <w:tcW w:w="142"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854" w:type="dxa"/>
            <w:tcBorders>
              <w:top w:val="nil"/>
              <w:left w:val="nil"/>
              <w:bottom w:val="nil"/>
              <w:right w:val="nil"/>
            </w:tcBorders>
            <w:shd w:val="clear" w:color="auto" w:fill="auto"/>
          </w:tcPr>
          <w:p w:rsidR="00945910" w:rsidRPr="002A48E0" w:rsidRDefault="00945910" w:rsidP="00551666">
            <w:pPr>
              <w:keepNext/>
              <w:spacing w:before="20" w:after="20" w:line="240" w:lineRule="auto"/>
              <w:rPr>
                <w:rFonts w:ascii="Calibri" w:eastAsia="Calibri" w:hAnsi="Calibri" w:cs="Times New Roman"/>
                <w:sz w:val="20"/>
                <w:szCs w:val="20"/>
              </w:rPr>
            </w:pPr>
          </w:p>
        </w:tc>
      </w:tr>
      <w:tr w:rsidR="00945910" w:rsidRPr="002A48E0" w:rsidTr="00551666">
        <w:trPr>
          <w:trHeight w:val="315"/>
        </w:trPr>
        <w:tc>
          <w:tcPr>
            <w:tcW w:w="3969" w:type="dxa"/>
            <w:tcBorders>
              <w:top w:val="nil"/>
              <w:left w:val="nil"/>
              <w:right w:val="nil"/>
            </w:tcBorders>
            <w:shd w:val="clear" w:color="auto" w:fill="auto"/>
          </w:tcPr>
          <w:p w:rsidR="00945910" w:rsidRPr="002A48E0" w:rsidRDefault="00945910" w:rsidP="00551666">
            <w:pPr>
              <w:keepNext/>
              <w:keepLines/>
              <w:tabs>
                <w:tab w:val="clear" w:pos="567"/>
              </w:tabs>
              <w:spacing w:before="20" w:after="20" w:line="240" w:lineRule="auto"/>
              <w:ind w:left="193" w:hanging="142"/>
              <w:rPr>
                <w:rFonts w:ascii="Calibri" w:eastAsia="Calibri" w:hAnsi="Calibri" w:cs="Times New Roman"/>
                <w:sz w:val="20"/>
                <w:szCs w:val="20"/>
              </w:rPr>
            </w:pPr>
            <w:r w:rsidRPr="002A48E0">
              <w:rPr>
                <w:rFonts w:ascii="Calibri" w:eastAsia="Calibri" w:hAnsi="Calibri" w:cs="Times New Roman"/>
                <w:sz w:val="20"/>
                <w:szCs w:val="20"/>
              </w:rPr>
              <w:t xml:space="preserve">Tasmanian </w:t>
            </w:r>
            <w:r>
              <w:rPr>
                <w:rFonts w:ascii="Calibri" w:eastAsia="Calibri" w:hAnsi="Calibri" w:cs="Times New Roman"/>
                <w:sz w:val="20"/>
                <w:szCs w:val="20"/>
              </w:rPr>
              <w:t>tourism growth package</w:t>
            </w:r>
          </w:p>
        </w:tc>
        <w:tc>
          <w:tcPr>
            <w:tcW w:w="567" w:type="dxa"/>
            <w:tcBorders>
              <w:top w:val="nil"/>
              <w:left w:val="nil"/>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1.1</w:t>
            </w:r>
          </w:p>
        </w:tc>
        <w:tc>
          <w:tcPr>
            <w:tcW w:w="142" w:type="dxa"/>
            <w:tcBorders>
              <w:top w:val="nil"/>
              <w:left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Calibri" w:hAnsi="Calibri" w:cs="Times New Roman"/>
                <w:sz w:val="20"/>
                <w:szCs w:val="20"/>
              </w:rPr>
            </w:pPr>
          </w:p>
        </w:tc>
      </w:tr>
      <w:tr w:rsidR="00945910" w:rsidRPr="002A48E0" w:rsidTr="00551666">
        <w:trPr>
          <w:trHeight w:val="315"/>
        </w:trPr>
        <w:tc>
          <w:tcPr>
            <w:tcW w:w="3969" w:type="dxa"/>
            <w:tcBorders>
              <w:top w:val="nil"/>
              <w:left w:val="nil"/>
              <w:bottom w:val="single" w:sz="4" w:space="0" w:color="auto"/>
              <w:right w:val="nil"/>
            </w:tcBorders>
            <w:shd w:val="clear" w:color="auto" w:fill="auto"/>
          </w:tcPr>
          <w:p w:rsidR="00945910" w:rsidRPr="002A48E0" w:rsidRDefault="00945910" w:rsidP="00551666">
            <w:pPr>
              <w:keepNext/>
              <w:keepLines/>
              <w:tabs>
                <w:tab w:val="clear" w:pos="567"/>
              </w:tabs>
              <w:spacing w:before="20" w:after="20" w:line="240" w:lineRule="auto"/>
              <w:ind w:left="193" w:hanging="142"/>
              <w:rPr>
                <w:rFonts w:ascii="Calibri" w:eastAsia="Calibri" w:hAnsi="Calibri" w:cs="Times New Roman"/>
                <w:sz w:val="20"/>
                <w:szCs w:val="20"/>
              </w:rPr>
            </w:pPr>
            <w:r>
              <w:rPr>
                <w:rFonts w:ascii="Calibri" w:eastAsia="Calibri" w:hAnsi="Calibri" w:cs="Times New Roman"/>
                <w:sz w:val="20"/>
                <w:szCs w:val="20"/>
              </w:rPr>
              <w:t>Tourism demand driver infrastructure recovery package</w:t>
            </w:r>
          </w:p>
        </w:tc>
        <w:tc>
          <w:tcPr>
            <w:tcW w:w="567" w:type="dxa"/>
            <w:tcBorders>
              <w:top w:val="nil"/>
              <w:left w:val="nil"/>
              <w:bottom w:val="single" w:sz="4" w:space="0" w:color="auto"/>
              <w:right w:val="nil"/>
            </w:tcBorders>
            <w:shd w:val="clear" w:color="auto" w:fill="auto"/>
          </w:tcPr>
          <w:p w:rsidR="00945910" w:rsidRPr="002A48E0" w:rsidRDefault="00945910" w:rsidP="00551666">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3.5</w:t>
            </w:r>
          </w:p>
        </w:tc>
        <w:tc>
          <w:tcPr>
            <w:tcW w:w="142" w:type="dxa"/>
            <w:tcBorders>
              <w:top w:val="nil"/>
              <w:left w:val="nil"/>
              <w:bottom w:val="single" w:sz="4" w:space="0" w:color="auto"/>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p>
        </w:tc>
        <w:tc>
          <w:tcPr>
            <w:tcW w:w="1388" w:type="dxa"/>
            <w:tcBorders>
              <w:top w:val="nil"/>
              <w:left w:val="nil"/>
              <w:bottom w:val="single" w:sz="4" w:space="0" w:color="auto"/>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eastAsia="Times New Roman" w:hAnsi="Calibri" w:cs="Arial"/>
                <w:sz w:val="20"/>
                <w:szCs w:val="20"/>
                <w:lang w:eastAsia="en-AU"/>
              </w:rPr>
              <w:t>Impact</w:t>
            </w:r>
          </w:p>
        </w:tc>
        <w:tc>
          <w:tcPr>
            <w:tcW w:w="2854" w:type="dxa"/>
            <w:tcBorders>
              <w:top w:val="nil"/>
              <w:left w:val="nil"/>
              <w:bottom w:val="single" w:sz="4" w:space="0" w:color="auto"/>
              <w:right w:val="nil"/>
            </w:tcBorders>
            <w:shd w:val="clear" w:color="auto" w:fill="auto"/>
          </w:tcPr>
          <w:p w:rsidR="00945910" w:rsidRPr="002A48E0" w:rsidRDefault="00945910" w:rsidP="00551666">
            <w:pPr>
              <w:keepNext/>
              <w:keepLines/>
              <w:tabs>
                <w:tab w:val="clear" w:pos="567"/>
              </w:tabs>
              <w:spacing w:before="20" w:after="20" w:line="240" w:lineRule="auto"/>
              <w:rPr>
                <w:rFonts w:ascii="Calibri" w:eastAsia="Calibri" w:hAnsi="Calibri" w:cs="Times New Roman"/>
                <w:sz w:val="20"/>
                <w:szCs w:val="20"/>
              </w:rPr>
            </w:pPr>
          </w:p>
        </w:tc>
      </w:tr>
    </w:tbl>
    <w:p w:rsidR="00CD1552" w:rsidRPr="002A48E0" w:rsidRDefault="00CD1552" w:rsidP="00CD1552">
      <w:pPr>
        <w:pStyle w:val="Single"/>
        <w:rPr>
          <w:sz w:val="20"/>
          <w:szCs w:val="24"/>
        </w:rPr>
      </w:pPr>
      <w:r w:rsidRPr="002A48E0">
        <w:rPr>
          <w:sz w:val="20"/>
          <w:szCs w:val="24"/>
        </w:rPr>
        <w:t>Source:</w:t>
      </w:r>
      <w:r w:rsidRPr="002A48E0">
        <w:rPr>
          <w:sz w:val="20"/>
          <w:szCs w:val="24"/>
        </w:rPr>
        <w:tab/>
        <w:t xml:space="preserve">Commonwealth of Australia’s </w:t>
      </w:r>
      <w:r w:rsidRPr="002A48E0">
        <w:rPr>
          <w:i/>
          <w:sz w:val="20"/>
          <w:szCs w:val="24"/>
        </w:rPr>
        <w:t xml:space="preserve">Final Budget Outcome </w:t>
      </w:r>
      <w:r>
        <w:rPr>
          <w:i/>
          <w:sz w:val="20"/>
          <w:szCs w:val="24"/>
        </w:rPr>
        <w:t>2016</w:t>
      </w:r>
      <w:r w:rsidR="00DB7EC8">
        <w:rPr>
          <w:i/>
          <w:sz w:val="20"/>
          <w:szCs w:val="24"/>
        </w:rPr>
        <w:noBreakHyphen/>
      </w:r>
      <w:r>
        <w:rPr>
          <w:i/>
          <w:sz w:val="20"/>
          <w:szCs w:val="24"/>
        </w:rPr>
        <w:t xml:space="preserve">17 </w:t>
      </w:r>
      <w:r w:rsidRPr="002A48E0">
        <w:rPr>
          <w:sz w:val="20"/>
          <w:szCs w:val="24"/>
        </w:rPr>
        <w:t>and Commission decisions.</w:t>
      </w:r>
    </w:p>
    <w:p w:rsidR="00CD1552" w:rsidRPr="002A48E0" w:rsidRDefault="00CD1552" w:rsidP="0025048D">
      <w:pPr>
        <w:pStyle w:val="21para"/>
      </w:pPr>
      <w:r w:rsidRPr="002A48E0">
        <w:t xml:space="preserve">The following sections explain the treatment of payments </w:t>
      </w:r>
      <w:r w:rsidR="008A0A8C">
        <w:t>where</w:t>
      </w:r>
      <w:r w:rsidRPr="002A48E0">
        <w:t xml:space="preserve"> States raised issues.</w:t>
      </w:r>
    </w:p>
    <w:p w:rsidR="00CD1552" w:rsidRPr="002A48E0" w:rsidRDefault="00CD1552" w:rsidP="00CD1552">
      <w:pPr>
        <w:pStyle w:val="Heading5"/>
      </w:pPr>
      <w:r>
        <w:t xml:space="preserve">Developing Northern Australia </w:t>
      </w:r>
    </w:p>
    <w:p w:rsidR="00CD1552" w:rsidRDefault="00CD1552" w:rsidP="0025048D">
      <w:pPr>
        <w:pStyle w:val="21para"/>
      </w:pPr>
      <w:r>
        <w:t>The funding is to provide incentives for private sector investment to improve the road network and transport logistics in Northern Australia. This funding has two components:</w:t>
      </w:r>
    </w:p>
    <w:p w:rsidR="00CD1552" w:rsidRPr="006455BD" w:rsidRDefault="00CD1552" w:rsidP="006455BD">
      <w:pPr>
        <w:pStyle w:val="CGCBulletlist"/>
      </w:pPr>
      <w:r w:rsidRPr="006455BD">
        <w:t>improving cattle supply chains</w:t>
      </w:r>
    </w:p>
    <w:p w:rsidR="00CD1552" w:rsidRPr="006455BD" w:rsidRDefault="00CD1552" w:rsidP="006455BD">
      <w:pPr>
        <w:pStyle w:val="CGCBulletlist"/>
      </w:pPr>
      <w:r w:rsidRPr="006455BD">
        <w:t>Northern Australia Roads.</w:t>
      </w:r>
    </w:p>
    <w:p w:rsidR="00CD1552" w:rsidRPr="00DF5576" w:rsidRDefault="00A527C9" w:rsidP="0025048D">
      <w:pPr>
        <w:pStyle w:val="21para"/>
        <w:rPr>
          <w:rStyle w:val="Heading6Char"/>
          <w:rFonts w:eastAsiaTheme="minorHAnsi" w:cstheme="minorBidi"/>
          <w:b w:val="0"/>
          <w:i w:val="0"/>
          <w:iCs w:val="0"/>
          <w:color w:val="auto"/>
          <w:sz w:val="24"/>
        </w:rPr>
      </w:pPr>
      <w:r>
        <w:t>The Commission consulted States on whether</w:t>
      </w:r>
      <w:r w:rsidR="00CD1552">
        <w:t xml:space="preserve"> this payment </w:t>
      </w:r>
      <w:r>
        <w:t xml:space="preserve">should </w:t>
      </w:r>
      <w:r w:rsidR="00CD1552">
        <w:t>affect the relativities</w:t>
      </w:r>
      <w:r>
        <w:t>,</w:t>
      </w:r>
      <w:r w:rsidR="00CD1552">
        <w:t xml:space="preserve"> </w:t>
      </w:r>
      <w:r>
        <w:t xml:space="preserve">since </w:t>
      </w:r>
      <w:r w:rsidR="00CD1552">
        <w:t>needs are assessed in Investment.</w:t>
      </w:r>
    </w:p>
    <w:p w:rsidR="00CD1552" w:rsidRDefault="00CD1552" w:rsidP="0025048D">
      <w:pPr>
        <w:pStyle w:val="21para"/>
      </w:pPr>
      <w:r w:rsidRPr="002A48E0">
        <w:rPr>
          <w:rStyle w:val="Heading6Char"/>
        </w:rPr>
        <w:t>State views.</w:t>
      </w:r>
      <w:r w:rsidRPr="002A48E0">
        <w:t xml:space="preserve"> Most States</w:t>
      </w:r>
      <w:r>
        <w:t xml:space="preserve"> said that </w:t>
      </w:r>
      <w:r w:rsidRPr="002A48E0">
        <w:t xml:space="preserve">this payment </w:t>
      </w:r>
      <w:r>
        <w:t xml:space="preserve">should </w:t>
      </w:r>
      <w:r w:rsidRPr="002A48E0">
        <w:t xml:space="preserve">affect the relativities because needs are assessed. </w:t>
      </w:r>
      <w:r>
        <w:t xml:space="preserve">Western Australia and the Northern Territory considered this payment should have no impact on relativities because the current </w:t>
      </w:r>
      <w:r>
        <w:lastRenderedPageBreak/>
        <w:t>roads infrastructure assessment does not recognise needs associated with economic development.</w:t>
      </w:r>
    </w:p>
    <w:p w:rsidR="00CD1552" w:rsidRPr="002A48E0" w:rsidRDefault="00CD1552" w:rsidP="0025048D">
      <w:pPr>
        <w:pStyle w:val="21para"/>
      </w:pPr>
      <w:r w:rsidRPr="002A48E0">
        <w:rPr>
          <w:rStyle w:val="Heading6Char"/>
        </w:rPr>
        <w:t>Commission decision.</w:t>
      </w:r>
      <w:r w:rsidRPr="002A48E0">
        <w:t xml:space="preserve"> The Commission has decided that the </w:t>
      </w:r>
      <w:r w:rsidRPr="00E140F0">
        <w:t xml:space="preserve">Developing Northern Australia </w:t>
      </w:r>
      <w:r w:rsidRPr="002A48E0">
        <w:t xml:space="preserve">payment should affect the relativities because needs are assessed in </w:t>
      </w:r>
      <w:r>
        <w:t>the roads component of investment assessment</w:t>
      </w:r>
      <w:r w:rsidRPr="002A48E0">
        <w:t xml:space="preserve">. </w:t>
      </w:r>
    </w:p>
    <w:p w:rsidR="00CD1552" w:rsidRDefault="00CD1552" w:rsidP="0025048D">
      <w:pPr>
        <w:pStyle w:val="21para"/>
      </w:pPr>
      <w:r>
        <w:t>Both components under the Developing Northern Australia payment have a strong focus on road infrastructure. While the roads infrastructure assessment does not explicitly capture economic development needs, it does capture the road use associated with vehicles across all roads. Therefore, if there are costs associated with constructing roads due to vehicle use, these needs are captured. Some portion of associated road length is also captured to the extent that the required roads also connect populated areas, and that the assessment of road length is a broad measure of needs. While the smaller cattle supply roads may not be captured in the assessment, analysis in the 2015</w:t>
      </w:r>
      <w:r w:rsidR="006519EA">
        <w:t> </w:t>
      </w:r>
      <w:r>
        <w:t>Review found it immaterial to do so. The Commission considers the needs are adequately assessed and the payment should have an impact on relativities.</w:t>
      </w:r>
    </w:p>
    <w:p w:rsidR="00526075" w:rsidRPr="0050703D" w:rsidRDefault="00526075" w:rsidP="00526075">
      <w:pPr>
        <w:pStyle w:val="Heading5"/>
      </w:pPr>
      <w:r w:rsidRPr="0050703D">
        <w:t>National Housing and Homeless</w:t>
      </w:r>
      <w:r>
        <w:t>ness</w:t>
      </w:r>
      <w:r w:rsidRPr="0050703D">
        <w:t xml:space="preserve"> Agreement</w:t>
      </w:r>
    </w:p>
    <w:p w:rsidR="00526075" w:rsidRDefault="00526075" w:rsidP="0025048D">
      <w:pPr>
        <w:pStyle w:val="21para"/>
      </w:pPr>
      <w:r w:rsidRPr="00742BE9">
        <w:rPr>
          <w:rStyle w:val="Heading6Char"/>
        </w:rPr>
        <w:t>Background.</w:t>
      </w:r>
      <w:r>
        <w:t xml:space="preserve"> The ACT sought the views of the Commission on the treatment of the payments under the National Housing and Homelessness Agreement (</w:t>
      </w:r>
      <w:proofErr w:type="spellStart"/>
      <w:r>
        <w:t>NHHA</w:t>
      </w:r>
      <w:proofErr w:type="spellEnd"/>
      <w:r>
        <w:t>), which is scheduled to commence in 2018</w:t>
      </w:r>
      <w:r w:rsidR="008B7A46">
        <w:noBreakHyphen/>
      </w:r>
      <w:r>
        <w:t>19. The ACT considered the new agreement to be a major change in Commonwealth</w:t>
      </w:r>
      <w:r>
        <w:noBreakHyphen/>
        <w:t xml:space="preserve">State financial arrangements and that </w:t>
      </w:r>
      <w:proofErr w:type="spellStart"/>
      <w:r>
        <w:t>backcasting</w:t>
      </w:r>
      <w:proofErr w:type="spellEnd"/>
      <w:r>
        <w:t xml:space="preserve"> the payments would be the standard approach followed by the Commission. </w:t>
      </w:r>
    </w:p>
    <w:p w:rsidR="00526075" w:rsidRPr="00DC7336" w:rsidRDefault="00526075" w:rsidP="0025048D">
      <w:pPr>
        <w:pStyle w:val="21para"/>
      </w:pPr>
      <w:r>
        <w:t>The ACT said t</w:t>
      </w:r>
      <w:r w:rsidRPr="00DC7336">
        <w:t xml:space="preserve">he </w:t>
      </w:r>
      <w:proofErr w:type="spellStart"/>
      <w:r w:rsidRPr="00DC7336">
        <w:t>NHHA</w:t>
      </w:r>
      <w:proofErr w:type="spellEnd"/>
      <w:r w:rsidRPr="00DC7336">
        <w:t xml:space="preserve"> represents a major change </w:t>
      </w:r>
      <w:r>
        <w:t>because</w:t>
      </w:r>
      <w:r w:rsidRPr="00DC7336">
        <w:t>:</w:t>
      </w:r>
    </w:p>
    <w:p w:rsidR="00526075" w:rsidRPr="006455BD" w:rsidRDefault="00526075" w:rsidP="006455BD">
      <w:pPr>
        <w:pStyle w:val="CGCBulletlist"/>
      </w:pPr>
      <w:r w:rsidRPr="006455BD">
        <w:t>it combines funding from the previous National Affordable Housing Agreement with that from the previous National Partnership Agreement on Homelessness, thus converting the latter into an ongoing rather than time-limited payment</w:t>
      </w:r>
    </w:p>
    <w:p w:rsidR="00526075" w:rsidRPr="006455BD" w:rsidRDefault="00526075" w:rsidP="006455BD">
      <w:pPr>
        <w:pStyle w:val="CGCBulletlist"/>
      </w:pPr>
      <w:r w:rsidRPr="006455BD">
        <w:t>its provisions are being incorporated in Commonwealth legislation, rather than depending solely on inter-governmental agreements</w:t>
      </w:r>
    </w:p>
    <w:p w:rsidR="009B721C" w:rsidRPr="006455BD" w:rsidRDefault="00526075" w:rsidP="009B721C">
      <w:pPr>
        <w:pStyle w:val="CGCBulletlist"/>
      </w:pPr>
      <w:proofErr w:type="gramStart"/>
      <w:r w:rsidRPr="006455BD">
        <w:t>it</w:t>
      </w:r>
      <w:proofErr w:type="gramEnd"/>
      <w:r w:rsidRPr="006455BD">
        <w:t xml:space="preserve"> contains provisions for financial penalties or partial funding where certain performance requirements are not met. Previously, such provisions applied to reward-type national partnerships, but had never been applied to specific purpose payments.</w:t>
      </w:r>
    </w:p>
    <w:p w:rsidR="00526075" w:rsidRDefault="00526075" w:rsidP="0025048D">
      <w:pPr>
        <w:pStyle w:val="21para"/>
      </w:pPr>
      <w:r>
        <w:t xml:space="preserve">The ACT noted that the treatment of financial penalty provisions is discussed in relation to the Quality Schools payments and expected a similar discussion in relation to the </w:t>
      </w:r>
      <w:proofErr w:type="spellStart"/>
      <w:r>
        <w:t>NHHA</w:t>
      </w:r>
      <w:proofErr w:type="spellEnd"/>
      <w:r>
        <w:t>.</w:t>
      </w:r>
    </w:p>
    <w:p w:rsidR="00526075" w:rsidRPr="00742BE9" w:rsidRDefault="00526075" w:rsidP="0025048D">
      <w:pPr>
        <w:pStyle w:val="21para"/>
        <w:rPr>
          <w:rStyle w:val="Heading6Char"/>
          <w:rFonts w:eastAsiaTheme="minorHAnsi" w:cstheme="minorBidi"/>
          <w:b w:val="0"/>
          <w:i w:val="0"/>
          <w:iCs w:val="0"/>
          <w:color w:val="auto"/>
          <w:sz w:val="24"/>
        </w:rPr>
      </w:pPr>
      <w:r w:rsidRPr="00742BE9">
        <w:rPr>
          <w:rStyle w:val="Heading6Char"/>
        </w:rPr>
        <w:t>State views.</w:t>
      </w:r>
      <w:r>
        <w:t xml:space="preserve"> No other State considered the </w:t>
      </w:r>
      <w:proofErr w:type="spellStart"/>
      <w:r>
        <w:t>NHHA</w:t>
      </w:r>
      <w:proofErr w:type="spellEnd"/>
      <w:r>
        <w:t xml:space="preserve"> to be a major change in Commonwealth</w:t>
      </w:r>
      <w:r>
        <w:noBreakHyphen/>
        <w:t>State financial arrangements.</w:t>
      </w:r>
      <w:r w:rsidRPr="0035313E">
        <w:rPr>
          <w:rStyle w:val="Heading6Char"/>
        </w:rPr>
        <w:t xml:space="preserve"> </w:t>
      </w:r>
    </w:p>
    <w:p w:rsidR="00526075" w:rsidRPr="0025048D" w:rsidRDefault="00526075" w:rsidP="0025048D">
      <w:pPr>
        <w:pStyle w:val="21para"/>
      </w:pPr>
      <w:r w:rsidRPr="002A48E0">
        <w:rPr>
          <w:rStyle w:val="Heading6Char"/>
        </w:rPr>
        <w:lastRenderedPageBreak/>
        <w:t>Commission decision.</w:t>
      </w:r>
      <w:r w:rsidRPr="002A48E0">
        <w:t xml:space="preserve"> </w:t>
      </w:r>
      <w:r>
        <w:t xml:space="preserve">The Commission has not </w:t>
      </w:r>
      <w:proofErr w:type="spellStart"/>
      <w:r>
        <w:t>backcast</w:t>
      </w:r>
      <w:proofErr w:type="spellEnd"/>
      <w:r>
        <w:t xml:space="preserve"> the payments under </w:t>
      </w:r>
      <w:proofErr w:type="spellStart"/>
      <w:r>
        <w:t>NHHA</w:t>
      </w:r>
      <w:proofErr w:type="spellEnd"/>
      <w:r>
        <w:t xml:space="preserve"> because they are not paid as a result of </w:t>
      </w:r>
      <w:r w:rsidR="00F44314">
        <w:t xml:space="preserve">a </w:t>
      </w:r>
      <w:r>
        <w:t>major change in federal financial arrangements. The quantum and distribution of the payments in 2018</w:t>
      </w:r>
      <w:r w:rsidR="008B7A46">
        <w:noBreakHyphen/>
      </w:r>
      <w:r>
        <w:t xml:space="preserve">19, as shown in the </w:t>
      </w:r>
      <w:r>
        <w:rPr>
          <w:i/>
        </w:rPr>
        <w:t>Mid-year Economic and Fiscal Outlook 2017</w:t>
      </w:r>
      <w:r w:rsidR="00260A18">
        <w:rPr>
          <w:i/>
        </w:rPr>
        <w:noBreakHyphen/>
      </w:r>
      <w:r>
        <w:rPr>
          <w:i/>
        </w:rPr>
        <w:t xml:space="preserve">18, </w:t>
      </w:r>
      <w:r>
        <w:t xml:space="preserve">will not </w:t>
      </w:r>
      <w:r w:rsidRPr="0025048D">
        <w:t>be of a different order of magnitude from the previous payments (specific purpose payments for National Affordable Housing and national partnership payments for Homelessness).</w:t>
      </w:r>
    </w:p>
    <w:p w:rsidR="00526075" w:rsidRPr="0025048D" w:rsidRDefault="00526075" w:rsidP="0025048D">
      <w:pPr>
        <w:pStyle w:val="21para"/>
      </w:pPr>
      <w:r w:rsidRPr="0025048D">
        <w:t xml:space="preserve">The fact that the homelessness part of the payment will now be on-going and that the provisions of the agreement will be incorporated in Commonwealth legislation are not sufficient reasons for </w:t>
      </w:r>
      <w:proofErr w:type="spellStart"/>
      <w:r w:rsidRPr="0025048D">
        <w:t>backcasting</w:t>
      </w:r>
      <w:proofErr w:type="spellEnd"/>
      <w:r w:rsidRPr="0025048D">
        <w:t xml:space="preserve"> the payments.</w:t>
      </w:r>
    </w:p>
    <w:p w:rsidR="00526075" w:rsidRDefault="004D6ACB" w:rsidP="0025048D">
      <w:pPr>
        <w:pStyle w:val="21para"/>
      </w:pPr>
      <w:r>
        <w:t>With regard</w:t>
      </w:r>
      <w:r w:rsidR="00526075" w:rsidRPr="0025048D">
        <w:t xml:space="preserve"> to financial penalties, the Commission does not have, at this stage, the necessary information to decide how it would treat any aff</w:t>
      </w:r>
      <w:r w:rsidR="00526075">
        <w:t xml:space="preserve">ected payments. The Commonwealth is currently negotiating bilateral schedules with each State. </w:t>
      </w:r>
    </w:p>
    <w:p w:rsidR="00526075" w:rsidRDefault="00526075" w:rsidP="00526075">
      <w:pPr>
        <w:pStyle w:val="Heading5"/>
      </w:pPr>
      <w:bookmarkStart w:id="554" w:name="_Toc499542887"/>
      <w:r>
        <w:t>National partnership on remote housing</w:t>
      </w:r>
      <w:bookmarkEnd w:id="554"/>
      <w:r>
        <w:t xml:space="preserve"> </w:t>
      </w:r>
    </w:p>
    <w:p w:rsidR="00526075" w:rsidRPr="004C364D" w:rsidRDefault="00526075" w:rsidP="0025048D">
      <w:pPr>
        <w:pStyle w:val="21para"/>
      </w:pPr>
      <w:r w:rsidRPr="00EB5005">
        <w:rPr>
          <w:rStyle w:val="Heading6Char"/>
        </w:rPr>
        <w:t>Background.</w:t>
      </w:r>
      <w:r>
        <w:t xml:space="preserve"> </w:t>
      </w:r>
      <w:r w:rsidRPr="004C364D">
        <w:t>In the 2016</w:t>
      </w:r>
      <w:r w:rsidR="005D3746">
        <w:t> </w:t>
      </w:r>
      <w:r w:rsidRPr="004C364D">
        <w:t>Update, the Commission decided to treat 25% of the payments under the National Partnership Agreement on Remote Indigenous Housing (</w:t>
      </w:r>
      <w:proofErr w:type="spellStart"/>
      <w:r w:rsidRPr="004C364D">
        <w:t>NPARIH</w:t>
      </w:r>
      <w:proofErr w:type="spellEnd"/>
      <w:r w:rsidRPr="004C364D">
        <w:t>) as not affecting the State GST shares because it considered that part of the funding was to address past under</w:t>
      </w:r>
      <w:r w:rsidRPr="004C364D">
        <w:noBreakHyphen/>
        <w:t xml:space="preserve">investment by the Commonwealth in remote Indigenous housing and needs were not assessed. </w:t>
      </w:r>
    </w:p>
    <w:p w:rsidR="00526075" w:rsidRPr="004C364D" w:rsidRDefault="00526075" w:rsidP="0025048D">
      <w:pPr>
        <w:pStyle w:val="21para"/>
      </w:pPr>
      <w:r w:rsidRPr="004C364D">
        <w:t xml:space="preserve">The Commission said it would review the treatment of Commonwealth payments for remote Indigenous housing when a replacement program for </w:t>
      </w:r>
      <w:proofErr w:type="spellStart"/>
      <w:r w:rsidRPr="004C364D">
        <w:t>NPARIH</w:t>
      </w:r>
      <w:proofErr w:type="spellEnd"/>
      <w:r w:rsidRPr="004C364D">
        <w:t xml:space="preserve"> had been negotiated. The Commission expected that the Commonwealth legacy issues would be resolved by 2017</w:t>
      </w:r>
      <w:r w:rsidR="00260A18">
        <w:noBreakHyphen/>
      </w:r>
      <w:r w:rsidRPr="004C364D">
        <w:t>18. In this case any future Commonwealth funding would be treated as having an impact.</w:t>
      </w:r>
    </w:p>
    <w:p w:rsidR="00526075" w:rsidRPr="004C364D" w:rsidRDefault="00526075" w:rsidP="0025048D">
      <w:pPr>
        <w:pStyle w:val="21para"/>
      </w:pPr>
      <w:r w:rsidRPr="004C364D">
        <w:t xml:space="preserve">As part of the renegotiations of </w:t>
      </w:r>
      <w:proofErr w:type="spellStart"/>
      <w:r w:rsidRPr="004C364D">
        <w:t>NPARIH</w:t>
      </w:r>
      <w:proofErr w:type="spellEnd"/>
      <w:r w:rsidRPr="004C364D">
        <w:t>, the Commonwealth commissioned a review to consider the impact of the Commonwealth’s investment in remote housing since 2008 and to provide options for addressing future need. It also put in place the Remote Housing Strategy, which commenced in 2016 as an interim arrangement. The review was to be completed at least 12 months prior to the Strategy’s expiry on 30 June</w:t>
      </w:r>
      <w:r w:rsidR="00275F0C">
        <w:t> </w:t>
      </w:r>
      <w:r w:rsidRPr="004C364D">
        <w:t xml:space="preserve">2018. </w:t>
      </w:r>
    </w:p>
    <w:p w:rsidR="00526075" w:rsidRPr="004C364D" w:rsidRDefault="00526075" w:rsidP="0025048D">
      <w:pPr>
        <w:pStyle w:val="21para"/>
      </w:pPr>
      <w:r w:rsidRPr="004C364D">
        <w:t xml:space="preserve">The review report </w:t>
      </w:r>
      <w:r>
        <w:t>(</w:t>
      </w:r>
      <w:r w:rsidRPr="008B0701">
        <w:t>Remote Housing Review</w:t>
      </w:r>
      <w:r>
        <w:t xml:space="preserve">) </w:t>
      </w:r>
      <w:r w:rsidRPr="004C364D">
        <w:t>was release</w:t>
      </w:r>
      <w:r w:rsidR="00275F0C">
        <w:t>d</w:t>
      </w:r>
      <w:r w:rsidRPr="004C364D">
        <w:t xml:space="preserve"> at the end of October</w:t>
      </w:r>
      <w:r w:rsidR="00275F0C">
        <w:t> </w:t>
      </w:r>
      <w:r w:rsidRPr="004C364D">
        <w:t>2017. The report concluded that while much has been achieved in the provision of remote Indigenous housing, more need</w:t>
      </w:r>
      <w:r>
        <w:t>ed</w:t>
      </w:r>
      <w:r w:rsidRPr="004C364D">
        <w:t xml:space="preserve"> to be done. </w:t>
      </w:r>
    </w:p>
    <w:p w:rsidR="00526075" w:rsidRPr="009B721C" w:rsidRDefault="00526075" w:rsidP="009B721C">
      <w:pPr>
        <w:pStyle w:val="CGCBulletlist"/>
      </w:pPr>
      <w:r w:rsidRPr="009B721C">
        <w:t xml:space="preserve">The report estimates that some 3 000 dwellings are still required to be built to meet current needs to 2018, over half of which are in the Northern Territory. </w:t>
      </w:r>
    </w:p>
    <w:p w:rsidR="009B721C" w:rsidRPr="006455BD" w:rsidRDefault="00526075" w:rsidP="009B721C">
      <w:pPr>
        <w:pStyle w:val="CGCBulletlist"/>
      </w:pPr>
      <w:r w:rsidRPr="009B721C">
        <w:t>The review recommends that the costs of a successor remote Indigenous housing program should be equally shared (50:50) between the Commonwealth</w:t>
      </w:r>
      <w:r w:rsidRPr="006455BD">
        <w:t xml:space="preserve"> and the States.</w:t>
      </w:r>
    </w:p>
    <w:p w:rsidR="00526075" w:rsidRPr="00E50433" w:rsidRDefault="00A527C9" w:rsidP="0025048D">
      <w:pPr>
        <w:pStyle w:val="21para"/>
      </w:pPr>
      <w:r>
        <w:lastRenderedPageBreak/>
        <w:t>T</w:t>
      </w:r>
      <w:r w:rsidR="00526075" w:rsidRPr="00E50433">
        <w:t>he Commission</w:t>
      </w:r>
      <w:r>
        <w:t xml:space="preserve"> consulted States on whether it should</w:t>
      </w:r>
      <w:r w:rsidR="00526075" w:rsidRPr="00E50433">
        <w:t xml:space="preserve"> wait for a new remote Indigenous housing agreement to be finalised before considering changes to the assessments</w:t>
      </w:r>
      <w:r w:rsidR="00526075" w:rsidRPr="006126F0">
        <w:t xml:space="preserve"> </w:t>
      </w:r>
      <w:r>
        <w:t>since</w:t>
      </w:r>
      <w:r w:rsidR="00526075">
        <w:t>,</w:t>
      </w:r>
      <w:r w:rsidR="00526075" w:rsidRPr="006126F0">
        <w:t xml:space="preserve"> at this stage</w:t>
      </w:r>
      <w:r w:rsidR="00526075">
        <w:t>,</w:t>
      </w:r>
      <w:r w:rsidR="00526075" w:rsidRPr="006126F0">
        <w:t xml:space="preserve"> there is insufficient information available on the arrangements for 2018</w:t>
      </w:r>
      <w:r w:rsidR="008B7A46">
        <w:noBreakHyphen/>
      </w:r>
      <w:r w:rsidR="00526075" w:rsidRPr="006126F0">
        <w:t>19</w:t>
      </w:r>
      <w:r w:rsidR="00693941">
        <w:t>.</w:t>
      </w:r>
    </w:p>
    <w:p w:rsidR="00526075" w:rsidRPr="004C364D" w:rsidRDefault="00526075" w:rsidP="0025048D">
      <w:pPr>
        <w:pStyle w:val="21para"/>
      </w:pPr>
      <w:r w:rsidRPr="00EB5005">
        <w:rPr>
          <w:rStyle w:val="Heading6Char"/>
        </w:rPr>
        <w:t>State views.</w:t>
      </w:r>
      <w:r>
        <w:t xml:space="preserve"> </w:t>
      </w:r>
      <w:r w:rsidRPr="004C364D">
        <w:t>States</w:t>
      </w:r>
      <w:r>
        <w:t>, other</w:t>
      </w:r>
      <w:r w:rsidRPr="004C364D">
        <w:t xml:space="preserve"> </w:t>
      </w:r>
      <w:r>
        <w:t xml:space="preserve">than </w:t>
      </w:r>
      <w:r w:rsidRPr="004C364D">
        <w:t>Western Australia and the Northern Territory</w:t>
      </w:r>
      <w:r>
        <w:t>,</w:t>
      </w:r>
      <w:r w:rsidR="00693941">
        <w:t xml:space="preserve"> </w:t>
      </w:r>
      <w:r w:rsidR="00A527C9">
        <w:t xml:space="preserve">agreed the </w:t>
      </w:r>
      <w:proofErr w:type="spellStart"/>
      <w:r w:rsidR="00A527C9">
        <w:t>the</w:t>
      </w:r>
      <w:proofErr w:type="spellEnd"/>
      <w:r w:rsidR="00A527C9">
        <w:t xml:space="preserve"> Commission should wait for a new agreement to be finalised</w:t>
      </w:r>
      <w:r w:rsidRPr="004C364D">
        <w:t>.</w:t>
      </w:r>
    </w:p>
    <w:p w:rsidR="00526075" w:rsidRPr="00872D58" w:rsidRDefault="00526075" w:rsidP="0025048D">
      <w:pPr>
        <w:pStyle w:val="21para"/>
      </w:pPr>
      <w:r w:rsidRPr="00872D58">
        <w:t xml:space="preserve">Western Australia </w:t>
      </w:r>
      <w:r>
        <w:t>said that</w:t>
      </w:r>
      <w:r w:rsidRPr="004C364D">
        <w:t xml:space="preserve"> </w:t>
      </w:r>
      <w:r>
        <w:t>50</w:t>
      </w:r>
      <w:r w:rsidRPr="004C364D">
        <w:t xml:space="preserve">% of the payments under </w:t>
      </w:r>
      <w:proofErr w:type="spellStart"/>
      <w:r w:rsidRPr="004C364D">
        <w:t>NPARIH</w:t>
      </w:r>
      <w:proofErr w:type="spellEnd"/>
      <w:r w:rsidRPr="004C364D">
        <w:t xml:space="preserve"> </w:t>
      </w:r>
      <w:r>
        <w:t xml:space="preserve">should be treated </w:t>
      </w:r>
      <w:r w:rsidRPr="004C364D">
        <w:t>as not affecting the State GST shares</w:t>
      </w:r>
      <w:r w:rsidRPr="00872D58">
        <w:t xml:space="preserve">. It argued that, </w:t>
      </w:r>
      <w:r>
        <w:t>under the 2016</w:t>
      </w:r>
      <w:r w:rsidR="005D3746">
        <w:t> </w:t>
      </w:r>
      <w:r>
        <w:t xml:space="preserve">Update </w:t>
      </w:r>
      <w:proofErr w:type="spellStart"/>
      <w:r>
        <w:t>decisison</w:t>
      </w:r>
      <w:proofErr w:type="spellEnd"/>
      <w:r>
        <w:t>,</w:t>
      </w:r>
      <w:r w:rsidRPr="00872D58">
        <w:t xml:space="preserve"> the Commission has effectively apportioned equal responsibility between the Commonwealth and the States for any past underinvestment in remote </w:t>
      </w:r>
      <w:r>
        <w:t>I</w:t>
      </w:r>
      <w:r w:rsidRPr="00872D58">
        <w:t xml:space="preserve">ndigenous housing. Western Australia said that the Commission did not provide any supporting evidence for this. </w:t>
      </w:r>
    </w:p>
    <w:p w:rsidR="00526075" w:rsidRPr="00872D58" w:rsidRDefault="00526075" w:rsidP="0025048D">
      <w:pPr>
        <w:pStyle w:val="21para"/>
      </w:pPr>
      <w:r w:rsidRPr="00872D58">
        <w:t>In addition, Western Australia argued that, prior to the 2010</w:t>
      </w:r>
      <w:r w:rsidR="006519EA">
        <w:t> </w:t>
      </w:r>
      <w:proofErr w:type="gramStart"/>
      <w:r w:rsidRPr="00872D58">
        <w:t>Review,</w:t>
      </w:r>
      <w:proofErr w:type="gramEnd"/>
      <w:r w:rsidRPr="00872D58">
        <w:t xml:space="preserve"> population growth was not adequately recognised. This reduced the capacity of the fast growing States to invest in remote Indigenous housing. </w:t>
      </w:r>
    </w:p>
    <w:p w:rsidR="00526075" w:rsidRDefault="00526075" w:rsidP="0025048D">
      <w:pPr>
        <w:pStyle w:val="21para"/>
      </w:pPr>
      <w:r w:rsidRPr="00872D58">
        <w:t>The Northern Territory argued</w:t>
      </w:r>
      <w:r>
        <w:t xml:space="preserve"> that </w:t>
      </w:r>
      <w:r w:rsidRPr="00872D58">
        <w:t xml:space="preserve">all funding provided under </w:t>
      </w:r>
      <w:r>
        <w:t xml:space="preserve">the current </w:t>
      </w:r>
      <w:r w:rsidRPr="00872D58">
        <w:t>N</w:t>
      </w:r>
      <w:r>
        <w:t>ational Partnership Agreement on Remote Housing (</w:t>
      </w:r>
      <w:proofErr w:type="spellStart"/>
      <w:r w:rsidRPr="00DA5AAD">
        <w:rPr>
          <w:caps/>
        </w:rPr>
        <w:t>NP</w:t>
      </w:r>
      <w:r>
        <w:rPr>
          <w:caps/>
        </w:rPr>
        <w:t>A</w:t>
      </w:r>
      <w:r w:rsidRPr="00DA5AAD">
        <w:rPr>
          <w:caps/>
        </w:rPr>
        <w:t>RH</w:t>
      </w:r>
      <w:proofErr w:type="spellEnd"/>
      <w:r>
        <w:t xml:space="preserve">) (the interim successor of </w:t>
      </w:r>
      <w:proofErr w:type="spellStart"/>
      <w:r>
        <w:t>NPARIH</w:t>
      </w:r>
      <w:proofErr w:type="spellEnd"/>
      <w:r>
        <w:t>)</w:t>
      </w:r>
      <w:r w:rsidRPr="00872D58">
        <w:t xml:space="preserve"> should be excluded from equalisation </w:t>
      </w:r>
      <w:r>
        <w:t>because:</w:t>
      </w:r>
    </w:p>
    <w:p w:rsidR="00526075" w:rsidRPr="006455BD" w:rsidRDefault="00526075" w:rsidP="009B721C">
      <w:pPr>
        <w:pStyle w:val="CGCBulletlist"/>
      </w:pPr>
      <w:r w:rsidRPr="006455BD">
        <w:t xml:space="preserve">according to the Remote Housing Review, significant additional investment is required, largely due to the inherited underinvestment by previous </w:t>
      </w:r>
      <w:r w:rsidRPr="009B721C">
        <w:t>Commonwealth</w:t>
      </w:r>
      <w:r w:rsidRPr="006455BD">
        <w:t xml:space="preserve"> governments in the Northern Territory’s remote housing stock </w:t>
      </w:r>
    </w:p>
    <w:p w:rsidR="00526075" w:rsidRDefault="00526075" w:rsidP="009B721C">
      <w:pPr>
        <w:pStyle w:val="CGCBulletlist"/>
      </w:pPr>
      <w:proofErr w:type="gramStart"/>
      <w:r w:rsidRPr="006455BD">
        <w:t>the</w:t>
      </w:r>
      <w:proofErr w:type="gramEnd"/>
      <w:r w:rsidRPr="006455BD">
        <w:t xml:space="preserve"> level of additional investment required is not captured in the Commission’s assessment of </w:t>
      </w:r>
      <w:r w:rsidRPr="009B721C">
        <w:t>States’</w:t>
      </w:r>
      <w:r w:rsidRPr="006455BD">
        <w:t xml:space="preserve"> housing infrastructure needs, and a</w:t>
      </w:r>
      <w:r w:rsidR="006455BD">
        <w:t>s such, needs are not assessed.</w:t>
      </w:r>
    </w:p>
    <w:p w:rsidR="00526075" w:rsidRPr="00872D58" w:rsidRDefault="00526075" w:rsidP="0025048D">
      <w:pPr>
        <w:pStyle w:val="21para"/>
      </w:pPr>
      <w:r>
        <w:t xml:space="preserve">Also, the </w:t>
      </w:r>
      <w:r w:rsidRPr="004D66DA">
        <w:t>Northern Territory</w:t>
      </w:r>
      <w:r w:rsidRPr="00872D58">
        <w:t xml:space="preserve"> </w:t>
      </w:r>
      <w:r w:rsidR="004D6ACB">
        <w:t xml:space="preserve">said it </w:t>
      </w:r>
      <w:r w:rsidRPr="00872D58">
        <w:t>would strongly reject any change to the current methodolog</w:t>
      </w:r>
      <w:r w:rsidR="00B522C8">
        <w:t xml:space="preserve">y that reduces the amount of </w:t>
      </w:r>
      <w:proofErr w:type="spellStart"/>
      <w:r w:rsidR="00B522C8">
        <w:t>NPAR</w:t>
      </w:r>
      <w:r w:rsidRPr="00872D58">
        <w:t>H</w:t>
      </w:r>
      <w:proofErr w:type="spellEnd"/>
      <w:r w:rsidRPr="00872D58">
        <w:t xml:space="preserve"> funding excluded from assessment.</w:t>
      </w:r>
    </w:p>
    <w:p w:rsidR="00526075" w:rsidRPr="00872D58" w:rsidRDefault="00526075" w:rsidP="0025048D">
      <w:pPr>
        <w:pStyle w:val="21para"/>
      </w:pPr>
      <w:r w:rsidRPr="00872D58">
        <w:t xml:space="preserve">It </w:t>
      </w:r>
      <w:r>
        <w:t xml:space="preserve">is </w:t>
      </w:r>
      <w:r w:rsidRPr="00526075">
        <w:t>unclear</w:t>
      </w:r>
      <w:r w:rsidRPr="00872D58">
        <w:t xml:space="preserve"> to the </w:t>
      </w:r>
      <w:r>
        <w:t xml:space="preserve">Northern </w:t>
      </w:r>
      <w:r w:rsidRPr="00872D58">
        <w:t xml:space="preserve">Territory how the Commission concluded that all Commonwealth legacy issues would be resolved at the completion of the </w:t>
      </w:r>
      <w:proofErr w:type="spellStart"/>
      <w:r w:rsidRPr="00872D58">
        <w:t>NP</w:t>
      </w:r>
      <w:r>
        <w:t>A</w:t>
      </w:r>
      <w:r w:rsidRPr="00872D58">
        <w:t>RH</w:t>
      </w:r>
      <w:proofErr w:type="spellEnd"/>
      <w:r>
        <w:t>. It said that</w:t>
      </w:r>
      <w:r w:rsidRPr="00872D58">
        <w:t xml:space="preserve"> it is clear from the independent review that this is not the case. </w:t>
      </w:r>
    </w:p>
    <w:p w:rsidR="00526075" w:rsidRPr="004C364D" w:rsidRDefault="00526075" w:rsidP="0025048D">
      <w:pPr>
        <w:pStyle w:val="21para"/>
      </w:pPr>
      <w:r w:rsidRPr="00EB5005">
        <w:rPr>
          <w:rStyle w:val="Heading6Char"/>
        </w:rPr>
        <w:t>Commission decision.</w:t>
      </w:r>
      <w:r>
        <w:t xml:space="preserve"> The Commission notes the views of </w:t>
      </w:r>
      <w:r w:rsidRPr="00542645">
        <w:t>Western Australia</w:t>
      </w:r>
      <w:r>
        <w:t xml:space="preserve"> and the </w:t>
      </w:r>
      <w:r w:rsidRPr="00542645">
        <w:t>Northern Territory</w:t>
      </w:r>
      <w:r>
        <w:t xml:space="preserve">. At the time of publication of the report, the Commission’s </w:t>
      </w:r>
      <w:r w:rsidRPr="004C364D">
        <w:t>understanding</w:t>
      </w:r>
      <w:r>
        <w:t xml:space="preserve"> was</w:t>
      </w:r>
      <w:r w:rsidRPr="004C364D">
        <w:t xml:space="preserve"> that funding arrangements </w:t>
      </w:r>
      <w:r>
        <w:t>for 2018</w:t>
      </w:r>
      <w:r w:rsidR="008B7A46">
        <w:noBreakHyphen/>
      </w:r>
      <w:r>
        <w:t xml:space="preserve">19 </w:t>
      </w:r>
      <w:r w:rsidRPr="004C364D">
        <w:t xml:space="preserve">are still being negotiated. Because </w:t>
      </w:r>
      <w:r>
        <w:t>the Commission does</w:t>
      </w:r>
      <w:r w:rsidRPr="004C364D">
        <w:t xml:space="preserve"> not have sufficient information on the arrangements for 2018</w:t>
      </w:r>
      <w:r w:rsidR="008B7A46">
        <w:noBreakHyphen/>
      </w:r>
      <w:r w:rsidRPr="004C364D">
        <w:t xml:space="preserve">19, </w:t>
      </w:r>
      <w:r>
        <w:t>the Commission</w:t>
      </w:r>
      <w:r w:rsidRPr="004C364D">
        <w:t xml:space="preserve"> w</w:t>
      </w:r>
      <w:r>
        <w:t>ill</w:t>
      </w:r>
      <w:r w:rsidRPr="004C364D">
        <w:t xml:space="preserve"> wait for the agreement to be finalised before considering changes to the assessments.</w:t>
      </w:r>
    </w:p>
    <w:p w:rsidR="00526075" w:rsidRPr="008D5645" w:rsidRDefault="00526075" w:rsidP="00351BD3">
      <w:pPr>
        <w:pStyle w:val="Heading3"/>
        <w:keepLines/>
      </w:pPr>
      <w:bookmarkStart w:id="555" w:name="_Toc505872200"/>
      <w:r w:rsidRPr="008D5645">
        <w:lastRenderedPageBreak/>
        <w:t>Publishing quarantined payments information</w:t>
      </w:r>
      <w:r>
        <w:t xml:space="preserve"> in update/review report</w:t>
      </w:r>
      <w:bookmarkEnd w:id="555"/>
      <w:r w:rsidR="00F44314">
        <w:t>s</w:t>
      </w:r>
    </w:p>
    <w:p w:rsidR="00526075" w:rsidRPr="008D5645" w:rsidRDefault="00526075" w:rsidP="0025048D">
      <w:pPr>
        <w:pStyle w:val="21para"/>
        <w:rPr>
          <w:rStyle w:val="Heading6Char"/>
          <w:rFonts w:eastAsiaTheme="minorHAnsi" w:cstheme="minorBidi"/>
          <w:b w:val="0"/>
          <w:i w:val="0"/>
          <w:iCs w:val="0"/>
          <w:color w:val="auto"/>
          <w:sz w:val="24"/>
        </w:rPr>
      </w:pPr>
      <w:r>
        <w:t>Western Australia has requested the Commission publish</w:t>
      </w:r>
      <w:r w:rsidR="00693941">
        <w:t>,</w:t>
      </w:r>
      <w:r>
        <w:t xml:space="preserve"> in its annual Update and Review reports</w:t>
      </w:r>
      <w:r w:rsidR="00693941">
        <w:t>,</w:t>
      </w:r>
      <w:r>
        <w:t xml:space="preserve"> a list of payments that are quarantined by the terms of reference and the amounts of funding each State receives in the relevant assessment years.</w:t>
      </w:r>
    </w:p>
    <w:p w:rsidR="008554F9" w:rsidRDefault="00526075" w:rsidP="008554F9">
      <w:pPr>
        <w:pStyle w:val="21para"/>
        <w:sectPr w:rsidR="008554F9" w:rsidSect="00917519">
          <w:footerReference w:type="default" r:id="rId62"/>
          <w:footerReference w:type="first" r:id="rId63"/>
          <w:footnotePr>
            <w:numRestart w:val="eachSect"/>
          </w:footnotePr>
          <w:type w:val="continuous"/>
          <w:pgSz w:w="11899" w:h="16838" w:code="9"/>
          <w:pgMar w:top="1701" w:right="1474" w:bottom="1701" w:left="1474" w:header="709" w:footer="709" w:gutter="0"/>
          <w:cols w:space="708"/>
          <w:titlePg/>
          <w:docGrid w:linePitch="299"/>
        </w:sectPr>
      </w:pPr>
      <w:r>
        <w:t>In this update, the Commission has included the amounts of quarantined payments in its supporting documentation on its website. It will continue this practice in the future.</w:t>
      </w:r>
      <w:bookmarkStart w:id="556" w:name="_Ref473105323"/>
      <w:bookmarkStart w:id="557" w:name="_Toc474923799"/>
    </w:p>
    <w:p w:rsidR="00E0791C" w:rsidRPr="002A48E0" w:rsidRDefault="00E0791C" w:rsidP="00E0791C">
      <w:pPr>
        <w:pStyle w:val="Heading1"/>
      </w:pPr>
      <w:r w:rsidRPr="002A48E0">
        <w:lastRenderedPageBreak/>
        <w:t>Attachment A</w:t>
      </w:r>
      <w:bookmarkEnd w:id="556"/>
      <w:bookmarkEnd w:id="557"/>
    </w:p>
    <w:p w:rsidR="00E0791C" w:rsidRDefault="00E0791C" w:rsidP="00E0791C">
      <w:pPr>
        <w:pStyle w:val="Heading2"/>
      </w:pPr>
      <w:bookmarkStart w:id="558" w:name="_Ref473105340"/>
      <w:bookmarkStart w:id="559" w:name="_Toc474923800"/>
      <w:bookmarkStart w:id="560" w:name="_Toc505872201"/>
      <w:r w:rsidRPr="002A48E0">
        <w:t>Quality assurance</w:t>
      </w:r>
      <w:bookmarkEnd w:id="558"/>
      <w:bookmarkEnd w:id="559"/>
      <w:bookmarkEnd w:id="560"/>
    </w:p>
    <w:p w:rsidR="00917519" w:rsidRPr="002A48E0" w:rsidRDefault="00F12CCC" w:rsidP="00917519">
      <w:pPr>
        <w:pStyle w:val="A1AttachmentAlist"/>
      </w:pPr>
      <w:r w:rsidRPr="002A48E0">
        <w:t>This attachment reports on the quality assurance procedures applied in this update. These procedures aim to ensure the data used in the Commission’s assessments are fit for purpose and of the best possible quality</w:t>
      </w:r>
      <w:r>
        <w:t>, the analysis is accurate</w:t>
      </w:r>
      <w:r w:rsidRPr="002A48E0">
        <w:t xml:space="preserve"> and the reporting of the Commission’s findings and reasons for decisions leading to them is accurate and transparent. </w:t>
      </w:r>
    </w:p>
    <w:p w:rsidR="00F12CCC" w:rsidRPr="002A48E0" w:rsidRDefault="00F12CCC" w:rsidP="00F12CCC">
      <w:pPr>
        <w:pStyle w:val="Heading3"/>
      </w:pPr>
      <w:bookmarkStart w:id="561" w:name="_Toc474923801"/>
      <w:bookmarkStart w:id="562" w:name="_Toc505872202"/>
      <w:r w:rsidRPr="002A48E0">
        <w:t>Data quality improvement</w:t>
      </w:r>
      <w:bookmarkEnd w:id="561"/>
      <w:bookmarkEnd w:id="562"/>
    </w:p>
    <w:p w:rsidR="00647AE9" w:rsidRPr="002A48E0" w:rsidRDefault="00647AE9" w:rsidP="00917519">
      <w:pPr>
        <w:pStyle w:val="A1AttachmentAlist"/>
      </w:pPr>
      <w:r w:rsidRPr="00917519">
        <w:t>Improving</w:t>
      </w:r>
      <w:r w:rsidRPr="002A48E0">
        <w:t xml:space="preserve"> </w:t>
      </w:r>
      <w:r w:rsidRPr="00917519">
        <w:t>data</w:t>
      </w:r>
      <w:r w:rsidRPr="002A48E0">
        <w:t xml:space="preserve"> quality is an important aspect of the Commission’s quality assurance processes. To this end, data use guidelines and a data protocol were agreed with the States in </w:t>
      </w:r>
      <w:r>
        <w:t>2005</w:t>
      </w:r>
      <w:r>
        <w:rPr>
          <w:rStyle w:val="FootnoteReference"/>
        </w:rPr>
        <w:footnoteReference w:id="18"/>
      </w:r>
      <w:r>
        <w:t xml:space="preserve"> </w:t>
      </w:r>
      <w:r w:rsidRPr="002A48E0">
        <w:t>and have been followed since.</w:t>
      </w:r>
    </w:p>
    <w:p w:rsidR="00F12CCC" w:rsidRPr="002A48E0" w:rsidRDefault="00F12CCC" w:rsidP="00917519">
      <w:pPr>
        <w:pStyle w:val="A1AttachmentAlist"/>
      </w:pPr>
      <w:r w:rsidRPr="002A48E0">
        <w:t xml:space="preserve">For this update, the Commission, together with the States, worked to improve the comparability of </w:t>
      </w:r>
      <w:r w:rsidRPr="00917519">
        <w:t>State</w:t>
      </w:r>
      <w:r w:rsidRPr="002A48E0">
        <w:t xml:space="preserve"> provided data used in the assessments.</w:t>
      </w:r>
    </w:p>
    <w:p w:rsidR="00F12CCC" w:rsidRPr="002A48E0" w:rsidRDefault="00F12CCC" w:rsidP="00917519">
      <w:pPr>
        <w:pStyle w:val="A1AttachmentAlist"/>
      </w:pPr>
      <w:r w:rsidRPr="002A48E0">
        <w:t>The data collection protocol requires the Commission to send a draft copy of requests for new data or information to the States for comment. This is to ensure new requests clearly and accurately specif</w:t>
      </w:r>
      <w:r w:rsidR="004D6ACB">
        <w:t>y</w:t>
      </w:r>
      <w:r w:rsidRPr="002A48E0">
        <w:t xml:space="preserve"> the data required from the States. For this update, the Commission </w:t>
      </w:r>
      <w:r>
        <w:t xml:space="preserve">did not need to </w:t>
      </w:r>
      <w:r w:rsidRPr="002A48E0">
        <w:t>sen</w:t>
      </w:r>
      <w:r>
        <w:t>d</w:t>
      </w:r>
      <w:r w:rsidRPr="002A48E0">
        <w:t xml:space="preserve"> draft data requests to the States.</w:t>
      </w:r>
    </w:p>
    <w:p w:rsidR="00F12CCC" w:rsidRPr="002A48E0" w:rsidRDefault="00F12CCC" w:rsidP="00917519">
      <w:pPr>
        <w:pStyle w:val="A1AttachmentAlist"/>
      </w:pPr>
      <w:r w:rsidRPr="002A48E0">
        <w:t>The Commission included the previous year’s data in all on-going data requests to help data providers identify the information sought and to assist State and Commission staff to identify abnormal movements in the data between the current and the previous year. Commission staff also checked the data on receipt and sought to clarify any unexpected changes with State Treasury officers.</w:t>
      </w:r>
    </w:p>
    <w:p w:rsidR="00F12CCC" w:rsidRDefault="00F12CCC" w:rsidP="00917519">
      <w:pPr>
        <w:pStyle w:val="A1AttachmentAlist"/>
      </w:pPr>
      <w:r w:rsidRPr="002A48E0">
        <w:t>The Commission also asked the States to clearly identify which datasets used in its assessments could be provided to other State agencies and/or to other third parties to provide as much access to data as possible but also to ensure confidentiality requirements were satisfied.</w:t>
      </w:r>
    </w:p>
    <w:p w:rsidR="00F12CCC" w:rsidRPr="002A48E0" w:rsidRDefault="00F12CCC" w:rsidP="00917519">
      <w:pPr>
        <w:pStyle w:val="A1AttachmentAlist"/>
      </w:pPr>
      <w:r>
        <w:t xml:space="preserve">Although no formal agreements on data collection were made with other data providers, </w:t>
      </w:r>
      <w:r w:rsidR="002A67DD">
        <w:t>the Commission</w:t>
      </w:r>
      <w:r>
        <w:t xml:space="preserve"> ha</w:t>
      </w:r>
      <w:r w:rsidR="002A67DD">
        <w:t>s</w:t>
      </w:r>
      <w:r>
        <w:t xml:space="preserve"> followed the same approach to ensure the data </w:t>
      </w:r>
      <w:r w:rsidR="002A67DD">
        <w:t xml:space="preserve">it </w:t>
      </w:r>
      <w:r>
        <w:t>used were of the best quality.</w:t>
      </w:r>
    </w:p>
    <w:p w:rsidR="00F12CCC" w:rsidRPr="002A48E0" w:rsidRDefault="00F12CCC" w:rsidP="00F12CCC">
      <w:pPr>
        <w:pStyle w:val="Heading3"/>
      </w:pPr>
      <w:bookmarkStart w:id="563" w:name="_Toc474923802"/>
      <w:bookmarkStart w:id="564" w:name="_Toc505872203"/>
      <w:r w:rsidRPr="002A48E0">
        <w:lastRenderedPageBreak/>
        <w:t>Calculation audit processes</w:t>
      </w:r>
      <w:bookmarkEnd w:id="563"/>
      <w:bookmarkEnd w:id="564"/>
    </w:p>
    <w:p w:rsidR="00F12CCC" w:rsidRPr="002A48E0" w:rsidRDefault="00F12CCC" w:rsidP="00917519">
      <w:pPr>
        <w:pStyle w:val="A1AttachmentAlist"/>
      </w:pPr>
      <w:r>
        <w:t>The Commission</w:t>
      </w:r>
      <w:r w:rsidRPr="002A48E0">
        <w:t xml:space="preserve"> completed a rigorous internal audit of all calculations. Internal checks were performed and formally signed off by the assessment officer, the assessment team leader and another officer not involved in the original calculation. </w:t>
      </w:r>
    </w:p>
    <w:p w:rsidR="00F12CCC" w:rsidRDefault="00F12CCC" w:rsidP="00917519">
      <w:pPr>
        <w:pStyle w:val="A1AttachmentAlist"/>
      </w:pPr>
      <w:r>
        <w:t>The Commission also</w:t>
      </w:r>
      <w:r w:rsidRPr="002A48E0">
        <w:t xml:space="preserve"> engaged external consultant</w:t>
      </w:r>
      <w:r>
        <w:t>s</w:t>
      </w:r>
      <w:r w:rsidRPr="002A48E0">
        <w:t xml:space="preserve"> to check </w:t>
      </w:r>
      <w:r>
        <w:t xml:space="preserve">calculations that used new Census data (such as Socio-economic status, Investment and Net lending), and other </w:t>
      </w:r>
      <w:r w:rsidRPr="002A48E0">
        <w:t>calculations</w:t>
      </w:r>
      <w:r>
        <w:rPr>
          <w:rStyle w:val="FootnoteReference"/>
        </w:rPr>
        <w:footnoteReference w:id="19"/>
      </w:r>
      <w:r>
        <w:t xml:space="preserve"> for Post-secondary education, Housing, Mining revenue, Adjusted budget expenses, National capital, Native title and land rights.</w:t>
      </w:r>
    </w:p>
    <w:p w:rsidR="00F12CCC" w:rsidRPr="002A48E0" w:rsidRDefault="00F12CCC" w:rsidP="00F12CCC">
      <w:pPr>
        <w:pStyle w:val="Heading3"/>
      </w:pPr>
      <w:bookmarkStart w:id="565" w:name="_Toc474923804"/>
      <w:bookmarkStart w:id="566" w:name="_Toc505872204"/>
      <w:r w:rsidRPr="002A48E0">
        <w:t>Reporting of methods, decisions and results</w:t>
      </w:r>
      <w:bookmarkEnd w:id="565"/>
      <w:bookmarkEnd w:id="566"/>
    </w:p>
    <w:p w:rsidR="00F12CCC" w:rsidRPr="002A48E0" w:rsidRDefault="00F12CCC" w:rsidP="008554F9">
      <w:pPr>
        <w:pStyle w:val="A1AttachmentAlist"/>
      </w:pPr>
      <w:r w:rsidRPr="002A48E0">
        <w:t>Transparency and accuracy in reporting the assessment methods, decisions and results are important parts of providing high quality outputs.</w:t>
      </w:r>
    </w:p>
    <w:p w:rsidR="00F12CCC" w:rsidRPr="002A48E0" w:rsidRDefault="00F12CCC" w:rsidP="008554F9">
      <w:pPr>
        <w:pStyle w:val="A1AttachmentAlist"/>
      </w:pPr>
      <w:r w:rsidRPr="002A48E0">
        <w:t xml:space="preserve">The Commission consulted the States on new issues arising in this update that might affect the relativities. </w:t>
      </w:r>
      <w:r>
        <w:t>Two s</w:t>
      </w:r>
      <w:r w:rsidRPr="002A48E0">
        <w:t xml:space="preserve">taff discussion papers on new issues were sent to the States for comment. Commission decisions are set out in </w:t>
      </w:r>
      <w:r w:rsidRPr="002A48E0">
        <w:rPr>
          <w:i/>
        </w:rPr>
        <w:t>Chapter 2 New issues in this update</w:t>
      </w:r>
      <w:r w:rsidRPr="002A48E0">
        <w:t xml:space="preserve">. The decisions were made using the assessment and </w:t>
      </w:r>
      <w:r>
        <w:t>Commonwealth payments</w:t>
      </w:r>
      <w:r w:rsidRPr="002A48E0">
        <w:t xml:space="preserve"> guidelines developed in the 2015</w:t>
      </w:r>
      <w:r w:rsidR="006519EA">
        <w:t> </w:t>
      </w:r>
      <w:r w:rsidRPr="002A48E0">
        <w:t>Review.</w:t>
      </w:r>
    </w:p>
    <w:p w:rsidR="00F12CCC" w:rsidRPr="002A48E0" w:rsidRDefault="00F12CCC" w:rsidP="008554F9">
      <w:pPr>
        <w:pStyle w:val="A1AttachmentAlist"/>
      </w:pPr>
      <w:r w:rsidRPr="002A48E0">
        <w:t>The Commission undertook a comprehensive program of proof-reading and checking of tables and results to ensure they aligned with the original calculations.</w:t>
      </w:r>
    </w:p>
    <w:p w:rsidR="00F12CCC" w:rsidRPr="002A48E0" w:rsidRDefault="00F12CCC" w:rsidP="008554F9">
      <w:pPr>
        <w:pStyle w:val="A1AttachmentAlist"/>
      </w:pPr>
      <w:r w:rsidRPr="002A48E0">
        <w:t xml:space="preserve">The Commission continued to post additional material on the </w:t>
      </w:r>
      <w:hyperlink r:id="rId64" w:history="1">
        <w:r w:rsidRPr="002A48E0">
          <w:rPr>
            <w:rStyle w:val="Hyperlink"/>
          </w:rPr>
          <w:t>Commission’s website</w:t>
        </w:r>
      </w:hyperlink>
      <w:r w:rsidRPr="002A48E0">
        <w:t xml:space="preserve"> </w:t>
      </w:r>
      <w:r>
        <w:t>(</w:t>
      </w:r>
      <w:r w:rsidR="00441C6C" w:rsidRPr="00103485">
        <w:t>https://cgc.gov.au/</w:t>
      </w:r>
      <w:r w:rsidR="00441C6C">
        <w:t>)</w:t>
      </w:r>
      <w:r w:rsidRPr="002A48E0">
        <w:t xml:space="preserve"> to help explain the Commission’s work more simply and transparently. This material aims to help </w:t>
      </w:r>
      <w:r>
        <w:t>the public</w:t>
      </w:r>
      <w:r w:rsidRPr="002A48E0">
        <w:t xml:space="preserve">, </w:t>
      </w:r>
      <w:r>
        <w:t>as well as</w:t>
      </w:r>
      <w:r w:rsidRPr="002A48E0">
        <w:t xml:space="preserve"> the staff of the Commonwealth and State Treasuries, understand the Australian fiscal equalisation system and the Commission’s work.</w:t>
      </w:r>
      <w:bookmarkStart w:id="567" w:name="_Toc442192199"/>
      <w:bookmarkStart w:id="568" w:name="_Toc442192264"/>
      <w:bookmarkStart w:id="569" w:name="_Toc442773077"/>
      <w:bookmarkStart w:id="570" w:name="_Toc442773574"/>
      <w:bookmarkStart w:id="571" w:name="_Toc442883312"/>
      <w:bookmarkStart w:id="572" w:name="_Toc433353503"/>
      <w:bookmarkStart w:id="573" w:name="_Ref430696236"/>
      <w:bookmarkStart w:id="574" w:name="_Toc428803276"/>
      <w:bookmarkStart w:id="575" w:name="_Toc442192206"/>
      <w:bookmarkStart w:id="576" w:name="_Toc442192271"/>
      <w:bookmarkStart w:id="577" w:name="_Toc442773084"/>
      <w:bookmarkStart w:id="578" w:name="_Toc442773583"/>
      <w:bookmarkStart w:id="579" w:name="_Toc442883330"/>
      <w:bookmarkEnd w:id="567"/>
      <w:bookmarkEnd w:id="568"/>
      <w:bookmarkEnd w:id="569"/>
      <w:bookmarkEnd w:id="570"/>
      <w:bookmarkEnd w:id="571"/>
      <w:bookmarkEnd w:id="572"/>
      <w:bookmarkEnd w:id="573"/>
      <w:bookmarkEnd w:id="574"/>
      <w:bookmarkEnd w:id="575"/>
      <w:bookmarkEnd w:id="576"/>
      <w:bookmarkEnd w:id="577"/>
      <w:bookmarkEnd w:id="578"/>
      <w:bookmarkEnd w:id="579"/>
    </w:p>
    <w:p w:rsidR="00E0791C" w:rsidRDefault="00E0791C" w:rsidP="00C21EF9"/>
    <w:p w:rsidR="00E0791C" w:rsidRDefault="00E0791C" w:rsidP="00C21EF9">
      <w:pPr>
        <w:sectPr w:rsidR="00E0791C" w:rsidSect="008554F9">
          <w:footerReference w:type="default" r:id="rId65"/>
          <w:footnotePr>
            <w:numRestart w:val="eachSect"/>
          </w:footnotePr>
          <w:pgSz w:w="11899" w:h="16838" w:code="9"/>
          <w:pgMar w:top="1701" w:right="1474" w:bottom="1701" w:left="1474" w:header="709" w:footer="709" w:gutter="0"/>
          <w:cols w:space="708"/>
          <w:titlePg/>
          <w:docGrid w:linePitch="299"/>
        </w:sectPr>
      </w:pPr>
    </w:p>
    <w:p w:rsidR="00E0791C" w:rsidRPr="002A48E0" w:rsidRDefault="00E0791C" w:rsidP="00E0791C">
      <w:pPr>
        <w:pStyle w:val="Heading2"/>
      </w:pPr>
      <w:bookmarkStart w:id="580" w:name="_Ref474916948"/>
      <w:bookmarkStart w:id="581" w:name="_Toc474923805"/>
      <w:bookmarkStart w:id="582" w:name="_Toc505872205"/>
      <w:r w:rsidRPr="002A48E0">
        <w:lastRenderedPageBreak/>
        <w:t>Commission Terminology</w:t>
      </w:r>
      <w:bookmarkEnd w:id="580"/>
      <w:bookmarkEnd w:id="581"/>
      <w:bookmarkEnd w:id="582"/>
    </w:p>
    <w:p w:rsidR="00326471" w:rsidRDefault="00326471" w:rsidP="00326471">
      <w:r>
        <w:t xml:space="preserve">This glossary provides a list of the main terms that have a meaning specific to the Commission. The term ‘State(s)’ includes the Australian Capital Territory and the Northern Territory. </w:t>
      </w:r>
    </w:p>
    <w:p w:rsidR="00326471" w:rsidRDefault="00326471" w:rsidP="00326471">
      <w:pPr>
        <w:pStyle w:val="Heading3"/>
      </w:pPr>
      <w:r>
        <w:t>GLOSSARY</w:t>
      </w:r>
    </w:p>
    <w:p w:rsidR="00326471" w:rsidRPr="00326471" w:rsidRDefault="00326471" w:rsidP="00326471">
      <w:pPr>
        <w:rPr>
          <w:b/>
        </w:rPr>
      </w:pPr>
      <w:proofErr w:type="gramStart"/>
      <w:r w:rsidRPr="00326471">
        <w:rPr>
          <w:b/>
        </w:rPr>
        <w:t>actual</w:t>
      </w:r>
      <w:proofErr w:type="gramEnd"/>
      <w:r w:rsidRPr="00326471">
        <w:rPr>
          <w:b/>
        </w:rPr>
        <w:t xml:space="preserve"> per capita (APC) assessment method </w:t>
      </w:r>
    </w:p>
    <w:p w:rsidR="00326471" w:rsidRDefault="00326471" w:rsidP="00326471">
      <w:r>
        <w:t>The assessed expense or revenue for each State is set equal to its actual expense or revenue. It is used when, in the Commission’s judgment, the policies of all States are the same and any differences in expenses or revenue per capita are due to differences in State circumstances.</w:t>
      </w:r>
    </w:p>
    <w:p w:rsidR="00326471" w:rsidRPr="00326471" w:rsidRDefault="00326471" w:rsidP="00326471">
      <w:pPr>
        <w:rPr>
          <w:b/>
        </w:rPr>
      </w:pPr>
      <w:proofErr w:type="gramStart"/>
      <w:r w:rsidRPr="00326471">
        <w:rPr>
          <w:b/>
        </w:rPr>
        <w:t>adjusted</w:t>
      </w:r>
      <w:proofErr w:type="gramEnd"/>
      <w:r w:rsidRPr="00326471">
        <w:rPr>
          <w:b/>
        </w:rPr>
        <w:t xml:space="preserve"> budget</w:t>
      </w:r>
    </w:p>
    <w:p w:rsidR="00326471" w:rsidRDefault="00326471" w:rsidP="00326471">
      <w:proofErr w:type="gramStart"/>
      <w:r>
        <w:t>A representation of State budgets used by the Commission to calculate the average per capita revenue and expenditures.</w:t>
      </w:r>
      <w:proofErr w:type="gramEnd"/>
      <w:r>
        <w:t xml:space="preserve"> The scope of the adjusted budget covers all transactions of the State general government sector and urban transport and housing public non</w:t>
      </w:r>
      <w:r w:rsidR="00693941">
        <w:t>-</w:t>
      </w:r>
      <w:r>
        <w:t xml:space="preserve">financial corporations, which are in whole or part financed by GST revenue. </w:t>
      </w:r>
    </w:p>
    <w:p w:rsidR="00326471" w:rsidRPr="00326471" w:rsidRDefault="00326471" w:rsidP="00326471">
      <w:pPr>
        <w:rPr>
          <w:b/>
        </w:rPr>
      </w:pPr>
      <w:proofErr w:type="gramStart"/>
      <w:r w:rsidRPr="00326471">
        <w:rPr>
          <w:b/>
        </w:rPr>
        <w:t>administrative</w:t>
      </w:r>
      <w:proofErr w:type="gramEnd"/>
      <w:r w:rsidRPr="00326471">
        <w:rPr>
          <w:b/>
        </w:rPr>
        <w:t xml:space="preserve"> scale disability</w:t>
      </w:r>
    </w:p>
    <w:p w:rsidR="00326471" w:rsidRDefault="00326471" w:rsidP="00326471">
      <w:r>
        <w:t xml:space="preserve">A disability that measures differences in costs which States incur in providing the minimum level of administration and policy development required to deliver services. It relates to core head office functions and to specialised State wide services provided centrally. </w:t>
      </w:r>
    </w:p>
    <w:p w:rsidR="00326471" w:rsidRPr="00326471" w:rsidRDefault="00326471" w:rsidP="00326471">
      <w:pPr>
        <w:rPr>
          <w:b/>
        </w:rPr>
      </w:pPr>
      <w:proofErr w:type="gramStart"/>
      <w:r w:rsidRPr="00326471">
        <w:rPr>
          <w:b/>
        </w:rPr>
        <w:t>application</w:t>
      </w:r>
      <w:proofErr w:type="gramEnd"/>
      <w:r w:rsidRPr="00326471">
        <w:rPr>
          <w:b/>
        </w:rPr>
        <w:t xml:space="preserve"> year</w:t>
      </w:r>
    </w:p>
    <w:p w:rsidR="00326471" w:rsidRDefault="00326471" w:rsidP="00326471">
      <w:r>
        <w:t>The year in which the average of the assessed GST distributions for each assessment year (expressed as relativities) is to be used to distribute the GST revenue. For example, in the 201</w:t>
      </w:r>
      <w:r w:rsidR="00DD6C61">
        <w:t>8</w:t>
      </w:r>
      <w:r>
        <w:t xml:space="preserve"> Update the year of application is 201</w:t>
      </w:r>
      <w:r w:rsidR="00DD6C61">
        <w:t>8</w:t>
      </w:r>
      <w:r w:rsidR="00DD6C61">
        <w:noBreakHyphen/>
      </w:r>
      <w:r>
        <w:t>1</w:t>
      </w:r>
      <w:r w:rsidR="00DD6C61">
        <w:t>9</w:t>
      </w:r>
      <w:r>
        <w:t>.</w:t>
      </w:r>
    </w:p>
    <w:p w:rsidR="00326471" w:rsidRPr="00326471" w:rsidRDefault="00326471" w:rsidP="00326471">
      <w:pPr>
        <w:rPr>
          <w:b/>
        </w:rPr>
      </w:pPr>
      <w:proofErr w:type="gramStart"/>
      <w:r w:rsidRPr="00326471">
        <w:rPr>
          <w:b/>
        </w:rPr>
        <w:t>assessed</w:t>
      </w:r>
      <w:proofErr w:type="gramEnd"/>
      <w:r w:rsidRPr="00326471">
        <w:rPr>
          <w:b/>
        </w:rPr>
        <w:t xml:space="preserve"> differences (also known as needs)</w:t>
      </w:r>
    </w:p>
    <w:p w:rsidR="00326471" w:rsidRDefault="00326471" w:rsidP="00326471">
      <w:proofErr w:type="gramStart"/>
      <w:r>
        <w:t>The financial impact on a State’s budget of its disabilities.</w:t>
      </w:r>
      <w:proofErr w:type="gramEnd"/>
      <w:r>
        <w:t xml:space="preserve"> They are measured, for example, as the difference between assessed expenses and average expenses, assessed revenue and average revenue. Assessed differences can be either positive or negative.  </w:t>
      </w:r>
    </w:p>
    <w:p w:rsidR="00326471" w:rsidRPr="00326471" w:rsidRDefault="00326471" w:rsidP="00326471">
      <w:pPr>
        <w:rPr>
          <w:b/>
        </w:rPr>
      </w:pPr>
      <w:proofErr w:type="gramStart"/>
      <w:r w:rsidRPr="00326471">
        <w:rPr>
          <w:b/>
        </w:rPr>
        <w:t>assessed</w:t>
      </w:r>
      <w:proofErr w:type="gramEnd"/>
      <w:r w:rsidRPr="00326471">
        <w:rPr>
          <w:b/>
        </w:rPr>
        <w:t xml:space="preserve"> expenses</w:t>
      </w:r>
    </w:p>
    <w:p w:rsidR="00326471" w:rsidRDefault="00326471" w:rsidP="00326471">
      <w:r>
        <w:t>The expenses a State would incur if it were to follow average expense policies, allowing for the disabilities it faces in providing services, and assuming it provides services at the average level of efficiency. Assessed expenses exclude differences from the average due to policy choices under the control of a State.</w:t>
      </w:r>
    </w:p>
    <w:p w:rsidR="00326471" w:rsidRPr="00326471" w:rsidRDefault="00326471" w:rsidP="007925CE">
      <w:pPr>
        <w:keepNext/>
        <w:rPr>
          <w:b/>
        </w:rPr>
      </w:pPr>
      <w:proofErr w:type="gramStart"/>
      <w:r w:rsidRPr="00326471">
        <w:rPr>
          <w:b/>
        </w:rPr>
        <w:lastRenderedPageBreak/>
        <w:t>assessed</w:t>
      </w:r>
      <w:proofErr w:type="gramEnd"/>
      <w:r w:rsidRPr="00326471">
        <w:rPr>
          <w:b/>
        </w:rPr>
        <w:t xml:space="preserve"> GST requirement</w:t>
      </w:r>
    </w:p>
    <w:p w:rsidR="00326471" w:rsidRDefault="00326471" w:rsidP="00326471">
      <w:proofErr w:type="gramStart"/>
      <w:r>
        <w:t>A State’s requirement for funds from GST revenue in an assessment year.</w:t>
      </w:r>
      <w:proofErr w:type="gramEnd"/>
      <w:r>
        <w:t xml:space="preserve"> It is measured as its assessed expenses, plus its assessed investment, less its assessed revenue, less assessed Commonwealth payments and less assessed net borrowing.</w:t>
      </w:r>
    </w:p>
    <w:p w:rsidR="00326471" w:rsidRPr="00326471" w:rsidRDefault="00326471" w:rsidP="00326471">
      <w:pPr>
        <w:rPr>
          <w:b/>
        </w:rPr>
      </w:pPr>
      <w:proofErr w:type="gramStart"/>
      <w:r w:rsidRPr="00326471">
        <w:rPr>
          <w:b/>
        </w:rPr>
        <w:t>assessed</w:t>
      </w:r>
      <w:proofErr w:type="gramEnd"/>
      <w:r w:rsidRPr="00326471">
        <w:rPr>
          <w:b/>
        </w:rPr>
        <w:t xml:space="preserve"> investment</w:t>
      </w:r>
    </w:p>
    <w:p w:rsidR="00326471" w:rsidRDefault="00326471" w:rsidP="00326471">
      <w:r>
        <w:t xml:space="preserve">The expenditure on new infrastructure a State would incur if it were to follow average policies, allowing for disabilities it faces in providing infrastructure, and assuming it requires the average level of infrastructure to deliver the average level of services. Assessed investment excludes differences from the average due to policy choices under the control of that State. </w:t>
      </w:r>
    </w:p>
    <w:p w:rsidR="00326471" w:rsidRPr="00326471" w:rsidRDefault="00326471" w:rsidP="00326471">
      <w:pPr>
        <w:rPr>
          <w:b/>
        </w:rPr>
      </w:pPr>
      <w:proofErr w:type="gramStart"/>
      <w:r w:rsidRPr="00326471">
        <w:rPr>
          <w:b/>
        </w:rPr>
        <w:t>assessed</w:t>
      </w:r>
      <w:proofErr w:type="gramEnd"/>
      <w:r w:rsidRPr="00326471">
        <w:rPr>
          <w:b/>
        </w:rPr>
        <w:t xml:space="preserve"> net lending/borrowing</w:t>
      </w:r>
    </w:p>
    <w:p w:rsidR="00326471" w:rsidRDefault="00326471" w:rsidP="00326471">
      <w:proofErr w:type="gramStart"/>
      <w:r>
        <w:t>The transaction-based change in net financial worth that a State would require to achieve the average net financial worth at the end of each year.</w:t>
      </w:r>
      <w:proofErr w:type="gramEnd"/>
      <w:r>
        <w:t xml:space="preserve"> The Commission’s method for calculating assessed net lending/borrowing assumes that each State has the average net financial worth at the start of each year.</w:t>
      </w:r>
    </w:p>
    <w:p w:rsidR="00326471" w:rsidRPr="00326471" w:rsidRDefault="00326471" w:rsidP="00326471">
      <w:pPr>
        <w:rPr>
          <w:b/>
        </w:rPr>
      </w:pPr>
      <w:proofErr w:type="gramStart"/>
      <w:r w:rsidRPr="00326471">
        <w:rPr>
          <w:b/>
        </w:rPr>
        <w:t>assessed</w:t>
      </w:r>
      <w:proofErr w:type="gramEnd"/>
      <w:r w:rsidRPr="00326471">
        <w:rPr>
          <w:b/>
        </w:rPr>
        <w:t xml:space="preserve"> revenue</w:t>
      </w:r>
    </w:p>
    <w:p w:rsidR="00326471" w:rsidRDefault="00326471" w:rsidP="00326471">
      <w:r>
        <w:t xml:space="preserve">The revenue a State would </w:t>
      </w:r>
      <w:proofErr w:type="gramStart"/>
      <w:r>
        <w:t>raise</w:t>
      </w:r>
      <w:proofErr w:type="gramEnd"/>
      <w:r>
        <w:t xml:space="preserve"> if it were to apply the average policies</w:t>
      </w:r>
      <w:r w:rsidR="004557B4">
        <w:t xml:space="preserve"> to its revenue base, and raise</w:t>
      </w:r>
      <w:r>
        <w:t xml:space="preserve"> revenue at the average level of efficiency. Assessed revenue excludes differences from the average due to policy choices under the control of that State, for example a higher or lower tax rate applied by a State compared to the average.</w:t>
      </w:r>
    </w:p>
    <w:p w:rsidR="00326471" w:rsidRPr="00326471" w:rsidRDefault="00326471" w:rsidP="00326471">
      <w:pPr>
        <w:rPr>
          <w:b/>
        </w:rPr>
      </w:pPr>
      <w:proofErr w:type="gramStart"/>
      <w:r w:rsidRPr="00326471">
        <w:rPr>
          <w:b/>
        </w:rPr>
        <w:t>assessment</w:t>
      </w:r>
      <w:proofErr w:type="gramEnd"/>
      <w:r w:rsidRPr="00326471">
        <w:rPr>
          <w:b/>
        </w:rPr>
        <w:t xml:space="preserve"> years</w:t>
      </w:r>
    </w:p>
    <w:p w:rsidR="00326471" w:rsidRDefault="00326471" w:rsidP="00326471">
      <w:r>
        <w:t>The financial years used in a review or an update to calculate the assessed GST requirement, from which an annual relativity is calculated. The Commission uses data for three assessment years (where each assessment year corresponds to a financial year). For example, the GST distribution recommended in the 201</w:t>
      </w:r>
      <w:r w:rsidR="00DD6C61">
        <w:t>8</w:t>
      </w:r>
      <w:r>
        <w:t xml:space="preserve"> Update (for the application year 201</w:t>
      </w:r>
      <w:r w:rsidR="00DD6C61">
        <w:t>8</w:t>
      </w:r>
      <w:r w:rsidR="00DD6C61">
        <w:noBreakHyphen/>
      </w:r>
      <w:r>
        <w:t>1</w:t>
      </w:r>
      <w:r w:rsidR="00DD6C61">
        <w:t>9</w:t>
      </w:r>
      <w:r>
        <w:t>) is based on the average of three assessment year annual relativities calculated for the most recent completed financial years at the time the relativities are released (201</w:t>
      </w:r>
      <w:r w:rsidR="00DD6C61">
        <w:t>4</w:t>
      </w:r>
      <w:r w:rsidR="00DD6C61">
        <w:noBreakHyphen/>
        <w:t>15</w:t>
      </w:r>
      <w:r>
        <w:t xml:space="preserve"> to 201</w:t>
      </w:r>
      <w:r w:rsidR="00DD6C61">
        <w:t>6</w:t>
      </w:r>
      <w:r w:rsidR="00DD6C61">
        <w:noBreakHyphen/>
      </w:r>
      <w:r>
        <w:t>1</w:t>
      </w:r>
      <w:r w:rsidR="00DD6C61">
        <w:t>7</w:t>
      </w:r>
      <w:r>
        <w:t xml:space="preserve"> assessment years).</w:t>
      </w:r>
    </w:p>
    <w:p w:rsidR="00326471" w:rsidRPr="00326471" w:rsidRDefault="00326471" w:rsidP="00326471">
      <w:pPr>
        <w:rPr>
          <w:b/>
        </w:rPr>
      </w:pPr>
      <w:proofErr w:type="gramStart"/>
      <w:r w:rsidRPr="00326471">
        <w:rPr>
          <w:b/>
        </w:rPr>
        <w:t>average</w:t>
      </w:r>
      <w:proofErr w:type="gramEnd"/>
      <w:r w:rsidRPr="00326471">
        <w:rPr>
          <w:b/>
        </w:rPr>
        <w:t xml:space="preserve"> (or Australian average)</w:t>
      </w:r>
    </w:p>
    <w:p w:rsidR="00326471" w:rsidRDefault="00326471" w:rsidP="00326471">
      <w:proofErr w:type="gramStart"/>
      <w:r>
        <w:t>The benchmark against which the performance or characteristics of a State are assessed.</w:t>
      </w:r>
      <w:proofErr w:type="gramEnd"/>
      <w:r>
        <w:t xml:space="preserve"> It is an average derived from the policies or financial data of all States, and hence may be a financial average or a policy average. </w:t>
      </w:r>
    </w:p>
    <w:p w:rsidR="00326471" w:rsidRPr="00326471" w:rsidRDefault="00326471" w:rsidP="00326471">
      <w:pPr>
        <w:rPr>
          <w:b/>
        </w:rPr>
      </w:pPr>
      <w:proofErr w:type="gramStart"/>
      <w:r w:rsidRPr="00326471">
        <w:rPr>
          <w:b/>
        </w:rPr>
        <w:t>average</w:t>
      </w:r>
      <w:proofErr w:type="gramEnd"/>
      <w:r w:rsidRPr="00326471">
        <w:rPr>
          <w:b/>
        </w:rPr>
        <w:t xml:space="preserve"> expenses</w:t>
      </w:r>
    </w:p>
    <w:p w:rsidR="00326471" w:rsidRDefault="00326471" w:rsidP="00326471">
      <w:proofErr w:type="gramStart"/>
      <w:r>
        <w:t>The average per capita expense, in a category, a group of categories or in total.</w:t>
      </w:r>
      <w:proofErr w:type="gramEnd"/>
      <w:r>
        <w:t xml:space="preserve"> It is calculated as the sum of expenses of all States, divided by the Australian population.</w:t>
      </w:r>
    </w:p>
    <w:p w:rsidR="00326471" w:rsidRPr="00326471" w:rsidRDefault="00326471" w:rsidP="00326471">
      <w:pPr>
        <w:rPr>
          <w:b/>
        </w:rPr>
      </w:pPr>
      <w:proofErr w:type="gramStart"/>
      <w:r w:rsidRPr="00326471">
        <w:rPr>
          <w:b/>
        </w:rPr>
        <w:t>average</w:t>
      </w:r>
      <w:proofErr w:type="gramEnd"/>
      <w:r w:rsidRPr="00326471">
        <w:rPr>
          <w:b/>
        </w:rPr>
        <w:t xml:space="preserve"> revenue</w:t>
      </w:r>
    </w:p>
    <w:p w:rsidR="00326471" w:rsidRDefault="00326471" w:rsidP="00326471">
      <w:proofErr w:type="gramStart"/>
      <w:r>
        <w:t>The average per capita revenue, in a category, a group of categories or in total.</w:t>
      </w:r>
      <w:proofErr w:type="gramEnd"/>
      <w:r>
        <w:t xml:space="preserve"> It is calculated as the sum of State revenues, divided by the Australian population.</w:t>
      </w:r>
    </w:p>
    <w:p w:rsidR="00326471" w:rsidRPr="00326471" w:rsidRDefault="00326471" w:rsidP="00326471">
      <w:pPr>
        <w:rPr>
          <w:b/>
        </w:rPr>
      </w:pPr>
      <w:proofErr w:type="spellStart"/>
      <w:proofErr w:type="gramStart"/>
      <w:r w:rsidRPr="00326471">
        <w:rPr>
          <w:b/>
        </w:rPr>
        <w:lastRenderedPageBreak/>
        <w:t>backcasting</w:t>
      </w:r>
      <w:proofErr w:type="spellEnd"/>
      <w:proofErr w:type="gramEnd"/>
    </w:p>
    <w:p w:rsidR="00326471" w:rsidRDefault="00326471" w:rsidP="00326471">
      <w:r>
        <w:t xml:space="preserve">Changes made to data for assessment years to reflect current or future Commonwealth or State policies. </w:t>
      </w:r>
      <w:proofErr w:type="spellStart"/>
      <w:r>
        <w:t>Backcasting</w:t>
      </w:r>
      <w:proofErr w:type="spellEnd"/>
      <w:r>
        <w:t xml:space="preserve"> is mainly used to reflect major changes in federal financial arrangements. Where required by the Commission's terms of reference, it has also been used to reflect other changes, such as the replacement of one tax with another tax or the abolition of a tax. In effect, </w:t>
      </w:r>
      <w:proofErr w:type="spellStart"/>
      <w:r>
        <w:t>backcasting</w:t>
      </w:r>
      <w:proofErr w:type="spellEnd"/>
      <w:r>
        <w:t xml:space="preserve"> produces notional financial data that simulate a changed distribution of a Commonwealth payment or State revenue collection before they may have actually changed. Actual data for the assessment period are adjusted to reflect what is reliably known to be happening in the application year.</w:t>
      </w:r>
    </w:p>
    <w:p w:rsidR="00326471" w:rsidRPr="00326471" w:rsidRDefault="00326471" w:rsidP="00326471">
      <w:pPr>
        <w:rPr>
          <w:b/>
        </w:rPr>
      </w:pPr>
      <w:proofErr w:type="gramStart"/>
      <w:r w:rsidRPr="00326471">
        <w:rPr>
          <w:b/>
        </w:rPr>
        <w:t>capital</w:t>
      </w:r>
      <w:proofErr w:type="gramEnd"/>
      <w:r w:rsidRPr="00326471">
        <w:rPr>
          <w:b/>
        </w:rPr>
        <w:t xml:space="preserve"> assessments</w:t>
      </w:r>
    </w:p>
    <w:p w:rsidR="00326471" w:rsidRDefault="00326471" w:rsidP="00326471">
      <w:r>
        <w:t xml:space="preserve">In this report, the term capital refers to the Investment, Depreciation and Net borrowing assessments. </w:t>
      </w:r>
    </w:p>
    <w:p w:rsidR="00326471" w:rsidRPr="00326471" w:rsidRDefault="00326471" w:rsidP="00326471">
      <w:pPr>
        <w:rPr>
          <w:b/>
        </w:rPr>
      </w:pPr>
      <w:proofErr w:type="gramStart"/>
      <w:r w:rsidRPr="00326471">
        <w:rPr>
          <w:b/>
        </w:rPr>
        <w:t>category</w:t>
      </w:r>
      <w:proofErr w:type="gramEnd"/>
    </w:p>
    <w:p w:rsidR="00326471" w:rsidRDefault="00326471" w:rsidP="00326471">
      <w:proofErr w:type="gramStart"/>
      <w:r>
        <w:t xml:space="preserve">A classification of in scope transactions relating to distinct services or revenue sources, used for </w:t>
      </w:r>
      <w:r w:rsidR="00693941">
        <w:t>analytical purposes.</w:t>
      </w:r>
      <w:proofErr w:type="gramEnd"/>
      <w:r w:rsidR="00693941">
        <w:t xml:space="preserve"> In the 2018</w:t>
      </w:r>
      <w:r>
        <w:t xml:space="preserve"> Update, the adjusted budget is divided into Commonwealth payments, seven revenue categories, thirteen expenditure categories and net borrowing. </w:t>
      </w:r>
    </w:p>
    <w:p w:rsidR="00326471" w:rsidRPr="00326471" w:rsidRDefault="00326471" w:rsidP="00326471">
      <w:pPr>
        <w:rPr>
          <w:b/>
        </w:rPr>
      </w:pPr>
      <w:proofErr w:type="gramStart"/>
      <w:r w:rsidRPr="00326471">
        <w:rPr>
          <w:b/>
        </w:rPr>
        <w:t>category</w:t>
      </w:r>
      <w:proofErr w:type="gramEnd"/>
      <w:r w:rsidRPr="00326471">
        <w:rPr>
          <w:b/>
        </w:rPr>
        <w:t xml:space="preserve"> factor</w:t>
      </w:r>
    </w:p>
    <w:p w:rsidR="00326471" w:rsidRDefault="00326471" w:rsidP="00326471">
      <w:r>
        <w:t xml:space="preserve">The combined result of all the disability factors in a category, or where the category is made up of multiple components, the combined disability factors for all of those components. The category factor is expressed as a ratio to the average. For example in an expense category, a category factor of 1.05 means that the State’s disabilities require it to spend 5% more than the average to follow the average expense policy at the average level of efficiency. </w:t>
      </w:r>
    </w:p>
    <w:p w:rsidR="00326471" w:rsidRPr="00326471" w:rsidRDefault="00326471" w:rsidP="00326471">
      <w:pPr>
        <w:rPr>
          <w:b/>
        </w:rPr>
      </w:pPr>
      <w:r w:rsidRPr="00326471">
        <w:rPr>
          <w:b/>
        </w:rPr>
        <w:t>Commonwealth payments</w:t>
      </w:r>
    </w:p>
    <w:p w:rsidR="00326471" w:rsidRDefault="00326471" w:rsidP="00326471">
      <w:r>
        <w:t xml:space="preserve">Payments to States made by the Australian </w:t>
      </w:r>
      <w:r w:rsidRPr="00C576B8">
        <w:t>Government, including general revenue grants</w:t>
      </w:r>
      <w:r w:rsidR="00C576B8">
        <w:t xml:space="preserve"> (other than GST revenue)</w:t>
      </w:r>
      <w:r>
        <w:t>, payments for specific purpose</w:t>
      </w:r>
      <w:r w:rsidR="00061CE0">
        <w:t>s</w:t>
      </w:r>
      <w:r>
        <w:t xml:space="preserve"> (PSPs) and Commonwealth own purpose expenses. The Commission examines the purpose of each payment using established guidelines to decide whether the payment has an impact on State fiscal capacities.</w:t>
      </w:r>
    </w:p>
    <w:p w:rsidR="00326471" w:rsidRPr="00326471" w:rsidRDefault="00326471" w:rsidP="00326471">
      <w:pPr>
        <w:rPr>
          <w:b/>
        </w:rPr>
      </w:pPr>
      <w:proofErr w:type="gramStart"/>
      <w:r w:rsidRPr="00326471">
        <w:rPr>
          <w:b/>
        </w:rPr>
        <w:t>component</w:t>
      </w:r>
      <w:proofErr w:type="gramEnd"/>
    </w:p>
    <w:p w:rsidR="00326471" w:rsidRDefault="00326471" w:rsidP="00326471">
      <w:r>
        <w:t>A part of an expense or revenue category that is separated from others in the category because different disability factors apply to it.</w:t>
      </w:r>
    </w:p>
    <w:p w:rsidR="00326471" w:rsidRPr="00326471" w:rsidRDefault="00326471" w:rsidP="00326471">
      <w:pPr>
        <w:rPr>
          <w:b/>
        </w:rPr>
      </w:pPr>
      <w:proofErr w:type="gramStart"/>
      <w:r w:rsidRPr="00326471">
        <w:rPr>
          <w:b/>
        </w:rPr>
        <w:t>cross-border</w:t>
      </w:r>
      <w:proofErr w:type="gramEnd"/>
      <w:r w:rsidRPr="00326471">
        <w:rPr>
          <w:b/>
        </w:rPr>
        <w:t xml:space="preserve"> factor</w:t>
      </w:r>
    </w:p>
    <w:p w:rsidR="00326471" w:rsidRDefault="00326471" w:rsidP="00326471">
      <w:proofErr w:type="gramStart"/>
      <w:r>
        <w:t>A disability factor that measures the net effects on a State’s costs of the use of its services by residents of other States and vice versa.</w:t>
      </w:r>
      <w:proofErr w:type="gramEnd"/>
      <w:r>
        <w:t xml:space="preserve"> </w:t>
      </w:r>
    </w:p>
    <w:p w:rsidR="00326471" w:rsidRPr="00326471" w:rsidRDefault="00326471" w:rsidP="00326471">
      <w:pPr>
        <w:rPr>
          <w:b/>
        </w:rPr>
      </w:pPr>
      <w:proofErr w:type="gramStart"/>
      <w:r w:rsidRPr="00326471">
        <w:rPr>
          <w:b/>
        </w:rPr>
        <w:t>disability</w:t>
      </w:r>
      <w:proofErr w:type="gramEnd"/>
    </w:p>
    <w:p w:rsidR="00326471" w:rsidRDefault="00326471" w:rsidP="00326471">
      <w:r>
        <w:t>An influence beyond a State’s control that requires it:</w:t>
      </w:r>
    </w:p>
    <w:p w:rsidR="00326471" w:rsidRDefault="00326471" w:rsidP="007925CE">
      <w:pPr>
        <w:ind w:left="564" w:hanging="564"/>
      </w:pPr>
      <w:r>
        <w:lastRenderedPageBreak/>
        <w:t>•</w:t>
      </w:r>
      <w:r>
        <w:tab/>
      </w:r>
      <w:proofErr w:type="gramStart"/>
      <w:r w:rsidRPr="007925CE">
        <w:rPr>
          <w:rStyle w:val="CGCBulletlistChar"/>
        </w:rPr>
        <w:t>to</w:t>
      </w:r>
      <w:proofErr w:type="gramEnd"/>
      <w:r w:rsidRPr="007925CE">
        <w:rPr>
          <w:rStyle w:val="CGCBulletlistChar"/>
        </w:rPr>
        <w:t xml:space="preserve"> spend more (or less) per capita than the average to provide the average level of service, or </w:t>
      </w:r>
    </w:p>
    <w:p w:rsidR="00326471" w:rsidRDefault="00326471" w:rsidP="007925CE">
      <w:pPr>
        <w:ind w:left="564" w:hanging="564"/>
      </w:pPr>
      <w:r>
        <w:t>•</w:t>
      </w:r>
      <w:r>
        <w:tab/>
      </w:r>
      <w:proofErr w:type="gramStart"/>
      <w:r>
        <w:t>to</w:t>
      </w:r>
      <w:proofErr w:type="gramEnd"/>
      <w:r>
        <w:t xml:space="preserve"> make a greater (or lesser) effort than the average to raise the average amount of revenue per capita. </w:t>
      </w:r>
    </w:p>
    <w:p w:rsidR="00326471" w:rsidRPr="00326471" w:rsidRDefault="00326471" w:rsidP="00326471">
      <w:pPr>
        <w:rPr>
          <w:b/>
        </w:rPr>
      </w:pPr>
      <w:proofErr w:type="gramStart"/>
      <w:r w:rsidRPr="00326471">
        <w:rPr>
          <w:b/>
        </w:rPr>
        <w:t>disability</w:t>
      </w:r>
      <w:proofErr w:type="gramEnd"/>
      <w:r w:rsidRPr="00326471">
        <w:rPr>
          <w:b/>
        </w:rPr>
        <w:t xml:space="preserve"> factor</w:t>
      </w:r>
    </w:p>
    <w:p w:rsidR="00326471" w:rsidRDefault="00326471" w:rsidP="00326471">
      <w:r>
        <w:t>A measure of a State’s use, cost or revenue raising disability, expressed as a ratio of the State's assessed expense or assessed revenue over the corresponding average figure. Policy differences between States are specifically excluded when calculating disability factors. The population weighted average of a disability factor is 1.0.</w:t>
      </w:r>
    </w:p>
    <w:p w:rsidR="00326471" w:rsidRPr="00326471" w:rsidRDefault="00326471" w:rsidP="00326471">
      <w:pPr>
        <w:rPr>
          <w:b/>
        </w:rPr>
      </w:pPr>
      <w:proofErr w:type="gramStart"/>
      <w:r w:rsidRPr="00326471">
        <w:rPr>
          <w:b/>
        </w:rPr>
        <w:t>discounting</w:t>
      </w:r>
      <w:proofErr w:type="gramEnd"/>
    </w:p>
    <w:p w:rsidR="00326471" w:rsidRDefault="00326471" w:rsidP="00326471">
      <w:r>
        <w:t xml:space="preserve">Where a case for including a disability in a category is established by the Commission, but the measure of that disability is affected by imperfect data or methods, the Commission may decide to apply a discount. When an assessment is to be discounted, a uniform set of discounts is used (12.5%, 25% or 50%), with higher discounts being applied where there is less confidence in the outcome of the assessment or more concern attached to the data. </w:t>
      </w:r>
    </w:p>
    <w:p w:rsidR="00326471" w:rsidRPr="00326471" w:rsidRDefault="00326471" w:rsidP="00326471">
      <w:pPr>
        <w:rPr>
          <w:b/>
        </w:rPr>
      </w:pPr>
      <w:proofErr w:type="gramStart"/>
      <w:r w:rsidRPr="00326471">
        <w:rPr>
          <w:b/>
        </w:rPr>
        <w:t>distribution</w:t>
      </w:r>
      <w:proofErr w:type="gramEnd"/>
    </w:p>
    <w:p w:rsidR="00326471" w:rsidRDefault="00326471" w:rsidP="00326471">
      <w:r>
        <w:t>State shares of GST revenue based on the principle of horizontal fiscal equalisation.</w:t>
      </w:r>
    </w:p>
    <w:p w:rsidR="00326471" w:rsidRPr="00326471" w:rsidRDefault="00326471" w:rsidP="00326471">
      <w:pPr>
        <w:rPr>
          <w:b/>
        </w:rPr>
      </w:pPr>
      <w:proofErr w:type="gramStart"/>
      <w:r w:rsidRPr="00326471">
        <w:rPr>
          <w:b/>
        </w:rPr>
        <w:t>distribution</w:t>
      </w:r>
      <w:proofErr w:type="gramEnd"/>
      <w:r w:rsidRPr="00326471">
        <w:rPr>
          <w:b/>
        </w:rPr>
        <w:t xml:space="preserve"> model</w:t>
      </w:r>
    </w:p>
    <w:p w:rsidR="00326471" w:rsidRDefault="00326471" w:rsidP="00326471">
      <w:proofErr w:type="gramStart"/>
      <w:r>
        <w:t>A formulation, mathematical or otherwise, of the way in which State GST shares (and relativities) are calculated.</w:t>
      </w:r>
      <w:proofErr w:type="gramEnd"/>
      <w:r>
        <w:t xml:space="preserve"> A mathematical presentation of the model is provided on the </w:t>
      </w:r>
      <w:hyperlink r:id="rId66" w:history="1">
        <w:r w:rsidR="00693941" w:rsidRPr="002A48E0">
          <w:rPr>
            <w:rStyle w:val="Hyperlink"/>
          </w:rPr>
          <w:t>Commission’s website</w:t>
        </w:r>
      </w:hyperlink>
      <w:r w:rsidR="00693941">
        <w:t xml:space="preserve"> (</w:t>
      </w:r>
      <w:r w:rsidR="00441C6C" w:rsidRPr="00103485">
        <w:t>https://cgc.gov.au/</w:t>
      </w:r>
      <w:r w:rsidR="00693941" w:rsidRPr="002A48E0">
        <w:t>)</w:t>
      </w:r>
      <w:r>
        <w:t>.</w:t>
      </w:r>
    </w:p>
    <w:p w:rsidR="00326471" w:rsidRPr="00326471" w:rsidRDefault="00326471" w:rsidP="00326471">
      <w:pPr>
        <w:rPr>
          <w:b/>
        </w:rPr>
      </w:pPr>
      <w:proofErr w:type="gramStart"/>
      <w:r w:rsidRPr="00326471">
        <w:rPr>
          <w:b/>
        </w:rPr>
        <w:t>equal</w:t>
      </w:r>
      <w:proofErr w:type="gramEnd"/>
      <w:r w:rsidRPr="00326471">
        <w:rPr>
          <w:b/>
        </w:rPr>
        <w:t xml:space="preserve"> per capita (EPC) assessment method </w:t>
      </w:r>
    </w:p>
    <w:p w:rsidR="00326471" w:rsidRDefault="00326471" w:rsidP="00326471">
      <w:r>
        <w:t>Each State’s assessed expense or assessed revenue in a category is set equal to the Australian average per capita amount. It is typically used when there are judged to be no material disabilities between the States, or no reliable assessments could be developed due to data or other limitations. Such an assessment means that no needs are assessed for any State and that there is no impact on the GST distribution.</w:t>
      </w:r>
    </w:p>
    <w:p w:rsidR="00326471" w:rsidRPr="00326471" w:rsidRDefault="00326471" w:rsidP="00326471">
      <w:pPr>
        <w:rPr>
          <w:b/>
        </w:rPr>
      </w:pPr>
      <w:proofErr w:type="gramStart"/>
      <w:r w:rsidRPr="00326471">
        <w:rPr>
          <w:b/>
        </w:rPr>
        <w:t>equalisation</w:t>
      </w:r>
      <w:proofErr w:type="gramEnd"/>
    </w:p>
    <w:p w:rsidR="00326471" w:rsidRDefault="00326471" w:rsidP="00326471">
      <w:r>
        <w:t>See horizontal fiscal equalisation (</w:t>
      </w:r>
      <w:proofErr w:type="spellStart"/>
      <w:r>
        <w:t>HFE</w:t>
      </w:r>
      <w:proofErr w:type="spellEnd"/>
      <w:r>
        <w:t>).</w:t>
      </w:r>
    </w:p>
    <w:p w:rsidR="00326471" w:rsidRPr="00326471" w:rsidRDefault="00326471" w:rsidP="00326471">
      <w:pPr>
        <w:rPr>
          <w:b/>
        </w:rPr>
      </w:pPr>
      <w:proofErr w:type="gramStart"/>
      <w:r w:rsidRPr="00326471">
        <w:rPr>
          <w:b/>
        </w:rPr>
        <w:t>expenditure</w:t>
      </w:r>
      <w:proofErr w:type="gramEnd"/>
    </w:p>
    <w:p w:rsidR="00326471" w:rsidRDefault="00326471" w:rsidP="00326471">
      <w:r>
        <w:t>This term is used to refer to expenses and capital expenditure.</w:t>
      </w:r>
    </w:p>
    <w:p w:rsidR="00326471" w:rsidRPr="00326471" w:rsidRDefault="00326471" w:rsidP="00326471">
      <w:pPr>
        <w:rPr>
          <w:b/>
        </w:rPr>
      </w:pPr>
      <w:proofErr w:type="gramStart"/>
      <w:r w:rsidRPr="00326471">
        <w:rPr>
          <w:b/>
        </w:rPr>
        <w:t>expenses</w:t>
      </w:r>
      <w:proofErr w:type="gramEnd"/>
    </w:p>
    <w:p w:rsidR="00326471" w:rsidRDefault="00326471" w:rsidP="00326471">
      <w:proofErr w:type="gramStart"/>
      <w:r>
        <w:t>Operating outlays under an accrual budgeting framework.</w:t>
      </w:r>
      <w:proofErr w:type="gramEnd"/>
    </w:p>
    <w:p w:rsidR="00326471" w:rsidRPr="00326471" w:rsidRDefault="00326471" w:rsidP="00326471">
      <w:pPr>
        <w:rPr>
          <w:b/>
        </w:rPr>
      </w:pPr>
      <w:proofErr w:type="gramStart"/>
      <w:r w:rsidRPr="00326471">
        <w:rPr>
          <w:b/>
        </w:rPr>
        <w:t>fiscal</w:t>
      </w:r>
      <w:proofErr w:type="gramEnd"/>
      <w:r w:rsidRPr="00326471">
        <w:rPr>
          <w:b/>
        </w:rPr>
        <w:t xml:space="preserve"> capacity</w:t>
      </w:r>
    </w:p>
    <w:p w:rsidR="00326471" w:rsidRDefault="00326471" w:rsidP="00326471">
      <w:r>
        <w:t xml:space="preserve">The fiscal capacity of a State is a measure of its ability to provide average services, including infrastructure, to its population if it raised revenue from its own revenue bases at average rates and received its actual Commonwealth payments, excluding the GST. Once the GST </w:t>
      </w:r>
      <w:r>
        <w:lastRenderedPageBreak/>
        <w:t>has been distributed using the Commission’s recommendations, State fiscal capacities should be equal.</w:t>
      </w:r>
    </w:p>
    <w:p w:rsidR="00326471" w:rsidRDefault="00326471" w:rsidP="00326471">
      <w:r>
        <w:t xml:space="preserve">The relative capacity of each State is a comparison of its fiscal capacity with the average capacity. </w:t>
      </w:r>
    </w:p>
    <w:p w:rsidR="00326471" w:rsidRPr="00326471" w:rsidRDefault="00326471" w:rsidP="00326471">
      <w:pPr>
        <w:rPr>
          <w:b/>
        </w:rPr>
      </w:pPr>
      <w:r w:rsidRPr="00326471">
        <w:rPr>
          <w:b/>
        </w:rPr>
        <w:t>Goods and Services Tax (GST) revenue or GST pool</w:t>
      </w:r>
    </w:p>
    <w:p w:rsidR="00326471" w:rsidRDefault="00326471" w:rsidP="00326471">
      <w:r>
        <w:t>The funds made available by the Australian Government for transfer to the States as untied financial assistance, consistent with the principle of horizontal fiscal equalisation.</w:t>
      </w:r>
    </w:p>
    <w:p w:rsidR="00326471" w:rsidRPr="00326471" w:rsidRDefault="00326471" w:rsidP="00326471">
      <w:pPr>
        <w:rPr>
          <w:b/>
        </w:rPr>
      </w:pPr>
      <w:proofErr w:type="gramStart"/>
      <w:r w:rsidRPr="00326471">
        <w:rPr>
          <w:b/>
        </w:rPr>
        <w:t>grant</w:t>
      </w:r>
      <w:proofErr w:type="gramEnd"/>
      <w:r w:rsidRPr="00326471">
        <w:rPr>
          <w:b/>
        </w:rPr>
        <w:t xml:space="preserve"> design inefficiency</w:t>
      </w:r>
    </w:p>
    <w:p w:rsidR="00326471" w:rsidRDefault="00326471" w:rsidP="00326471">
      <w:proofErr w:type="gramStart"/>
      <w:r>
        <w:t>A flaw in a method of assessment which would allow a State to influence its relativity by changing its expense or revenue policies (apart from any effect of these policies on the average).</w:t>
      </w:r>
      <w:proofErr w:type="gramEnd"/>
    </w:p>
    <w:p w:rsidR="00326471" w:rsidRPr="00326471" w:rsidRDefault="00326471" w:rsidP="00326471">
      <w:pPr>
        <w:rPr>
          <w:b/>
        </w:rPr>
      </w:pPr>
      <w:proofErr w:type="gramStart"/>
      <w:r w:rsidRPr="00326471">
        <w:rPr>
          <w:b/>
        </w:rPr>
        <w:t>horizontal</w:t>
      </w:r>
      <w:proofErr w:type="gramEnd"/>
      <w:r w:rsidRPr="00326471">
        <w:rPr>
          <w:b/>
        </w:rPr>
        <w:t xml:space="preserve"> fiscal equalisation (equalisation)</w:t>
      </w:r>
    </w:p>
    <w:p w:rsidR="00326471" w:rsidRDefault="00326471" w:rsidP="00326471">
      <w:r>
        <w:t>A distribution of GST revenue to State governments such that, after allowing for material factors affecting revenues and expenditures, each would have the fiscal capacity to provide services and their associated infrastructure at the same standard, if each made the same effort to raise revenue from its own sources, operated at the same level of efficiency and maintained the average per capita net financial worth.</w:t>
      </w:r>
    </w:p>
    <w:p w:rsidR="00326471" w:rsidRPr="00326471" w:rsidRDefault="00326471" w:rsidP="00326471">
      <w:pPr>
        <w:rPr>
          <w:b/>
        </w:rPr>
      </w:pPr>
      <w:proofErr w:type="gramStart"/>
      <w:r w:rsidRPr="00326471">
        <w:rPr>
          <w:b/>
        </w:rPr>
        <w:t>impact</w:t>
      </w:r>
      <w:proofErr w:type="gramEnd"/>
      <w:r w:rsidRPr="00326471">
        <w:rPr>
          <w:b/>
        </w:rPr>
        <w:t xml:space="preserve"> on relativities (previously called inclusion), see also no impact on relativities</w:t>
      </w:r>
    </w:p>
    <w:p w:rsidR="00326471" w:rsidRDefault="00326471" w:rsidP="00326471">
      <w:r>
        <w:t xml:space="preserve">Treatment applied to a Commonwealth payment that provides budget support for State services for which expenditure needs are assessed. The expenses funded by payments that </w:t>
      </w:r>
      <w:r w:rsidR="00F41FF4">
        <w:t xml:space="preserve">affect </w:t>
      </w:r>
      <w:r>
        <w:t xml:space="preserve">the relativities are assessed in relevant categories and the revenue is assessed on an actual per capita basis. </w:t>
      </w:r>
    </w:p>
    <w:p w:rsidR="00326471" w:rsidRPr="00326471" w:rsidRDefault="00326471" w:rsidP="00326471">
      <w:pPr>
        <w:rPr>
          <w:b/>
        </w:rPr>
      </w:pPr>
      <w:proofErr w:type="gramStart"/>
      <w:r w:rsidRPr="00326471">
        <w:rPr>
          <w:b/>
        </w:rPr>
        <w:t>infrastructure</w:t>
      </w:r>
      <w:proofErr w:type="gramEnd"/>
    </w:p>
    <w:p w:rsidR="00326471" w:rsidRDefault="00326471" w:rsidP="00326471">
      <w:r>
        <w:t>Infrastructure refers to the stock of physical assets owned by a State’s general government sector and its urban public transport and housing public non-financial corporations for the purpose of delivering services. It includes buildings, non-building construction (such as roads) and plant and equipment for economic and social purposes.</w:t>
      </w:r>
    </w:p>
    <w:p w:rsidR="00326471" w:rsidRPr="00326471" w:rsidRDefault="00326471" w:rsidP="00326471">
      <w:pPr>
        <w:rPr>
          <w:b/>
        </w:rPr>
      </w:pPr>
      <w:proofErr w:type="gramStart"/>
      <w:r w:rsidRPr="00326471">
        <w:rPr>
          <w:b/>
        </w:rPr>
        <w:t>investment</w:t>
      </w:r>
      <w:proofErr w:type="gramEnd"/>
    </w:p>
    <w:p w:rsidR="00326471" w:rsidRDefault="00326471" w:rsidP="00326471">
      <w:r>
        <w:t>Investment refers to capital expenditure less depreciation expenses. It is conceptually equivalent to ‘net acquisition of non-financial assets’ that appears in the Australian Bureau of Statistics Government Finance Statistics State operating statement.</w:t>
      </w:r>
    </w:p>
    <w:p w:rsidR="00326471" w:rsidRPr="00326471" w:rsidRDefault="00326471" w:rsidP="00326471">
      <w:pPr>
        <w:rPr>
          <w:b/>
        </w:rPr>
      </w:pPr>
      <w:proofErr w:type="gramStart"/>
      <w:r w:rsidRPr="00326471">
        <w:rPr>
          <w:b/>
        </w:rPr>
        <w:t>material</w:t>
      </w:r>
      <w:proofErr w:type="gramEnd"/>
      <w:r w:rsidRPr="00326471">
        <w:rPr>
          <w:b/>
        </w:rPr>
        <w:t xml:space="preserve">, materiality </w:t>
      </w:r>
    </w:p>
    <w:p w:rsidR="00326471" w:rsidRDefault="00326471" w:rsidP="00326471">
      <w:r>
        <w:t>A test used to assist decisions about whether a separate assessment of disabilities should be undertaken or data adjusted. The materiality levels are defined in terms of the amount of GST redistributed per capita for any State. Different thresholds are used for each. An assessment or adjustment is said to be material if it exceeds the threshold set for it. (See the Assessment Guidelines, Chapter 1 of the 2015 Review Report, Volume 2.)</w:t>
      </w:r>
    </w:p>
    <w:p w:rsidR="00326471" w:rsidRPr="00326471" w:rsidRDefault="00326471" w:rsidP="00326471">
      <w:pPr>
        <w:rPr>
          <w:b/>
        </w:rPr>
      </w:pPr>
      <w:proofErr w:type="gramStart"/>
      <w:r w:rsidRPr="00326471">
        <w:rPr>
          <w:b/>
        </w:rPr>
        <w:lastRenderedPageBreak/>
        <w:t>national</w:t>
      </w:r>
      <w:proofErr w:type="gramEnd"/>
      <w:r w:rsidRPr="00326471">
        <w:rPr>
          <w:b/>
        </w:rPr>
        <w:t xml:space="preserve"> capital disability</w:t>
      </w:r>
    </w:p>
    <w:p w:rsidR="00326471" w:rsidRDefault="00326471" w:rsidP="00326471">
      <w:proofErr w:type="gramStart"/>
      <w:r>
        <w:t>A disability that measures the additional costs that the ACT incurs because of Canberra’s status as the national capital.</w:t>
      </w:r>
      <w:proofErr w:type="gramEnd"/>
      <w:r>
        <w:t xml:space="preserve"> </w:t>
      </w:r>
    </w:p>
    <w:p w:rsidR="00326471" w:rsidRPr="00326471" w:rsidRDefault="00326471" w:rsidP="00326471">
      <w:pPr>
        <w:rPr>
          <w:b/>
        </w:rPr>
      </w:pPr>
      <w:proofErr w:type="gramStart"/>
      <w:r w:rsidRPr="00326471">
        <w:rPr>
          <w:b/>
        </w:rPr>
        <w:t>national</w:t>
      </w:r>
      <w:proofErr w:type="gramEnd"/>
      <w:r w:rsidRPr="00326471">
        <w:rPr>
          <w:b/>
        </w:rPr>
        <w:t xml:space="preserve"> partnership payments (</w:t>
      </w:r>
      <w:proofErr w:type="spellStart"/>
      <w:r w:rsidRPr="00326471">
        <w:rPr>
          <w:b/>
        </w:rPr>
        <w:t>NPPs</w:t>
      </w:r>
      <w:proofErr w:type="spellEnd"/>
      <w:r w:rsidRPr="00326471">
        <w:rPr>
          <w:b/>
        </w:rPr>
        <w:t>)</w:t>
      </w:r>
    </w:p>
    <w:p w:rsidR="00326471" w:rsidRDefault="00326471" w:rsidP="00326471">
      <w:r>
        <w:t xml:space="preserve">Commonwealth payments to States that support the delivery of specified projects, facilitate reforms, or reward those jurisdictions that deliver on nationally-significant reforms. </w:t>
      </w:r>
    </w:p>
    <w:p w:rsidR="00326471" w:rsidRPr="00326471" w:rsidRDefault="00326471" w:rsidP="00326471">
      <w:pPr>
        <w:rPr>
          <w:b/>
        </w:rPr>
      </w:pPr>
      <w:r w:rsidRPr="00326471">
        <w:rPr>
          <w:b/>
        </w:rPr>
        <w:t>National specific purpose payments (SPPs)</w:t>
      </w:r>
    </w:p>
    <w:p w:rsidR="00326471" w:rsidRDefault="00326471" w:rsidP="00326471">
      <w:proofErr w:type="gramStart"/>
      <w:r>
        <w:t>Commonwealth payments to States for specific purposes that enable national policy objectives to be achieved in areas that may be administered by States.</w:t>
      </w:r>
      <w:proofErr w:type="gramEnd"/>
    </w:p>
    <w:p w:rsidR="00326471" w:rsidRPr="00326471" w:rsidRDefault="00326471" w:rsidP="00326471">
      <w:pPr>
        <w:rPr>
          <w:b/>
        </w:rPr>
      </w:pPr>
      <w:proofErr w:type="gramStart"/>
      <w:r w:rsidRPr="00326471">
        <w:rPr>
          <w:b/>
        </w:rPr>
        <w:t>native</w:t>
      </w:r>
      <w:proofErr w:type="gramEnd"/>
      <w:r w:rsidRPr="00326471">
        <w:rPr>
          <w:b/>
        </w:rPr>
        <w:t xml:space="preserve"> title and land rights disability</w:t>
      </w:r>
    </w:p>
    <w:p w:rsidR="00326471" w:rsidRDefault="00326471" w:rsidP="00326471">
      <w:r>
        <w:t xml:space="preserve">A disability that measures differences in costs that States incur because of the operation of the Australian Government’s Native Title Act 1993 or the additional and unique costs that the Northern Territory incurs because of the operation of the Australian Government’s Aboriginal Land Rights (Northern Territory) Act 1976. </w:t>
      </w:r>
    </w:p>
    <w:p w:rsidR="00326471" w:rsidRPr="00326471" w:rsidRDefault="00326471" w:rsidP="00326471">
      <w:pPr>
        <w:rPr>
          <w:b/>
        </w:rPr>
      </w:pPr>
      <w:proofErr w:type="gramStart"/>
      <w:r w:rsidRPr="00326471">
        <w:rPr>
          <w:b/>
        </w:rPr>
        <w:t>needs</w:t>
      </w:r>
      <w:proofErr w:type="gramEnd"/>
    </w:p>
    <w:p w:rsidR="00326471" w:rsidRDefault="00326471" w:rsidP="00326471">
      <w:r>
        <w:t>See assessed differences.</w:t>
      </w:r>
    </w:p>
    <w:p w:rsidR="00326471" w:rsidRPr="00326471" w:rsidRDefault="00326471" w:rsidP="00326471">
      <w:pPr>
        <w:rPr>
          <w:b/>
        </w:rPr>
      </w:pPr>
      <w:proofErr w:type="gramStart"/>
      <w:r w:rsidRPr="00326471">
        <w:rPr>
          <w:b/>
        </w:rPr>
        <w:t>net</w:t>
      </w:r>
      <w:proofErr w:type="gramEnd"/>
      <w:r w:rsidRPr="00326471">
        <w:rPr>
          <w:b/>
        </w:rPr>
        <w:t xml:space="preserve"> financial worth</w:t>
      </w:r>
    </w:p>
    <w:p w:rsidR="00326471" w:rsidRDefault="00326471" w:rsidP="00326471">
      <w:r>
        <w:t>Net financial worth is the sum of financial assets minus the sum of liabilities.</w:t>
      </w:r>
    </w:p>
    <w:p w:rsidR="00326471" w:rsidRPr="00326471" w:rsidRDefault="00326471" w:rsidP="00326471">
      <w:pPr>
        <w:rPr>
          <w:b/>
        </w:rPr>
      </w:pPr>
      <w:proofErr w:type="gramStart"/>
      <w:r w:rsidRPr="00326471">
        <w:rPr>
          <w:b/>
        </w:rPr>
        <w:t>net</w:t>
      </w:r>
      <w:proofErr w:type="gramEnd"/>
      <w:r w:rsidRPr="00326471">
        <w:rPr>
          <w:b/>
        </w:rPr>
        <w:t xml:space="preserve"> borrowing</w:t>
      </w:r>
    </w:p>
    <w:p w:rsidR="00326471" w:rsidRDefault="00326471" w:rsidP="00326471">
      <w:r>
        <w:t>The outcome of an operating budget calculated as expenses and expenditure on non</w:t>
      </w:r>
      <w:r w:rsidR="00693941">
        <w:t>-</w:t>
      </w:r>
      <w:r>
        <w:t>financial assets less State own source revenues and revenues received from the Australian Government.</w:t>
      </w:r>
    </w:p>
    <w:p w:rsidR="00326471" w:rsidRPr="00326471" w:rsidRDefault="00326471" w:rsidP="00326471">
      <w:pPr>
        <w:rPr>
          <w:b/>
        </w:rPr>
      </w:pPr>
      <w:proofErr w:type="gramStart"/>
      <w:r w:rsidRPr="00326471">
        <w:rPr>
          <w:b/>
        </w:rPr>
        <w:t>no</w:t>
      </w:r>
      <w:proofErr w:type="gramEnd"/>
      <w:r w:rsidRPr="00326471">
        <w:rPr>
          <w:b/>
        </w:rPr>
        <w:t xml:space="preserve"> impact on relativities (previously called exclusion or out of scope)</w:t>
      </w:r>
    </w:p>
    <w:p w:rsidR="00326471" w:rsidRDefault="00326471" w:rsidP="00326471">
      <w:r>
        <w:t>Treatment applied to a Commonwealth payment that does not provide budget support for State services or for which expenditure needs are not assessed. Both the payment and the expenses relating to it have no impact on a State’s fiscal capacity. Occasionally the terms of reference instruct the Commission to ensure a particular payment has no impact on relativities. (See quarantine.)</w:t>
      </w:r>
    </w:p>
    <w:p w:rsidR="00326471" w:rsidRPr="00326471" w:rsidRDefault="00326471" w:rsidP="00326471">
      <w:pPr>
        <w:rPr>
          <w:b/>
        </w:rPr>
      </w:pPr>
      <w:proofErr w:type="gramStart"/>
      <w:r w:rsidRPr="00326471">
        <w:rPr>
          <w:b/>
        </w:rPr>
        <w:t>payments</w:t>
      </w:r>
      <w:proofErr w:type="gramEnd"/>
      <w:r w:rsidRPr="00326471">
        <w:rPr>
          <w:b/>
        </w:rPr>
        <w:t xml:space="preserve"> for specific purposes (PSPs)</w:t>
      </w:r>
    </w:p>
    <w:p w:rsidR="00326471" w:rsidRDefault="00326471" w:rsidP="00326471">
      <w:proofErr w:type="gramStart"/>
      <w:r>
        <w:t>Australian government payments to the States for specific purposes in policy areas for which the States have primary responsibility.</w:t>
      </w:r>
      <w:proofErr w:type="gramEnd"/>
      <w:r>
        <w:t xml:space="preserve"> These payments cover most functional areas of State (and local government) activity, including health, education, skills and workforce development, community services, housing, Indigenous affairs, infrastructure and the environment. PSPs include SPPs, National Health Reform funding, Students </w:t>
      </w:r>
      <w:proofErr w:type="gramStart"/>
      <w:r>
        <w:t>First</w:t>
      </w:r>
      <w:proofErr w:type="gramEnd"/>
      <w:r>
        <w:t xml:space="preserve"> funding and </w:t>
      </w:r>
      <w:proofErr w:type="spellStart"/>
      <w:r>
        <w:t>NPPs</w:t>
      </w:r>
      <w:proofErr w:type="spellEnd"/>
      <w:r>
        <w:t>.</w:t>
      </w:r>
    </w:p>
    <w:p w:rsidR="00326471" w:rsidRPr="00326471" w:rsidRDefault="00326471" w:rsidP="007925CE">
      <w:pPr>
        <w:keepNext/>
        <w:rPr>
          <w:b/>
        </w:rPr>
      </w:pPr>
      <w:proofErr w:type="gramStart"/>
      <w:r w:rsidRPr="00326471">
        <w:rPr>
          <w:b/>
        </w:rPr>
        <w:lastRenderedPageBreak/>
        <w:t>policy</w:t>
      </w:r>
      <w:proofErr w:type="gramEnd"/>
      <w:r w:rsidRPr="00326471">
        <w:rPr>
          <w:b/>
        </w:rPr>
        <w:t xml:space="preserve"> average</w:t>
      </w:r>
    </w:p>
    <w:p w:rsidR="00326471" w:rsidRDefault="00326471" w:rsidP="00326471">
      <w:r>
        <w:t xml:space="preserve">The average policies as reflected in the practices of the States in the collection of revenue and the provision of services. These averages are usually weighted according to the size of the user or revenue bases in each State. </w:t>
      </w:r>
    </w:p>
    <w:p w:rsidR="00326471" w:rsidRPr="00326471" w:rsidRDefault="00326471" w:rsidP="00326471">
      <w:pPr>
        <w:rPr>
          <w:b/>
        </w:rPr>
      </w:pPr>
      <w:proofErr w:type="gramStart"/>
      <w:r w:rsidRPr="00326471">
        <w:rPr>
          <w:b/>
        </w:rPr>
        <w:t>policy</w:t>
      </w:r>
      <w:proofErr w:type="gramEnd"/>
      <w:r w:rsidRPr="00326471">
        <w:rPr>
          <w:b/>
        </w:rPr>
        <w:t xml:space="preserve"> neutral assessment</w:t>
      </w:r>
    </w:p>
    <w:p w:rsidR="00326471" w:rsidRDefault="00326471" w:rsidP="00326471">
      <w:proofErr w:type="gramStart"/>
      <w:r>
        <w:t>An assessment in which the policy average is applied to every State.</w:t>
      </w:r>
      <w:proofErr w:type="gramEnd"/>
      <w:r>
        <w:t xml:space="preserve"> The resultant assessment is</w:t>
      </w:r>
      <w:r w:rsidR="00693941">
        <w:t>,</w:t>
      </w:r>
      <w:r>
        <w:t xml:space="preserve"> therefore</w:t>
      </w:r>
      <w:r w:rsidR="00693941">
        <w:t>,</w:t>
      </w:r>
      <w:r>
        <w:t xml:space="preserve"> unaffected by the policies of individual States, other than through the influence of those policies on the averages.</w:t>
      </w:r>
    </w:p>
    <w:p w:rsidR="00326471" w:rsidRPr="00326471" w:rsidRDefault="00326471" w:rsidP="00326471">
      <w:pPr>
        <w:rPr>
          <w:b/>
        </w:rPr>
      </w:pPr>
      <w:proofErr w:type="gramStart"/>
      <w:r w:rsidRPr="00326471">
        <w:rPr>
          <w:b/>
        </w:rPr>
        <w:t>quarantine</w:t>
      </w:r>
      <w:proofErr w:type="gramEnd"/>
    </w:p>
    <w:p w:rsidR="00326471" w:rsidRDefault="00326471" w:rsidP="00326471">
      <w:proofErr w:type="gramStart"/>
      <w:r>
        <w:t>The treatment of a Commonwealth payment, and where possible the expense for which it is used, in such a way as to have no impact on the relativities.</w:t>
      </w:r>
      <w:proofErr w:type="gramEnd"/>
      <w:r>
        <w:t xml:space="preserve"> Quarantining always results from instructions given directly to the Commission in its terms of reference and the term is used only in this context.</w:t>
      </w:r>
    </w:p>
    <w:p w:rsidR="00326471" w:rsidRPr="00326471" w:rsidRDefault="00326471" w:rsidP="00326471">
      <w:pPr>
        <w:rPr>
          <w:b/>
        </w:rPr>
      </w:pPr>
      <w:proofErr w:type="gramStart"/>
      <w:r w:rsidRPr="00326471">
        <w:rPr>
          <w:b/>
        </w:rPr>
        <w:t>ratio</w:t>
      </w:r>
      <w:proofErr w:type="gramEnd"/>
      <w:r w:rsidRPr="00326471">
        <w:rPr>
          <w:b/>
        </w:rPr>
        <w:t xml:space="preserve"> of actual expenses to assessed expenses</w:t>
      </w:r>
    </w:p>
    <w:p w:rsidR="00326471" w:rsidRDefault="00326471" w:rsidP="00326471">
      <w:r>
        <w:t xml:space="preserve">A ratio that reflects how a State’s policies on the level of services provided and the relative efficiency with which they are provided vary from the average policies. It is measured by dividing actual per capita expense by assessed expense per capita. </w:t>
      </w:r>
    </w:p>
    <w:p w:rsidR="00326471" w:rsidRPr="00326471" w:rsidRDefault="00326471" w:rsidP="00326471">
      <w:pPr>
        <w:rPr>
          <w:b/>
        </w:rPr>
      </w:pPr>
      <w:proofErr w:type="gramStart"/>
      <w:r w:rsidRPr="00326471">
        <w:rPr>
          <w:b/>
        </w:rPr>
        <w:t>ratio</w:t>
      </w:r>
      <w:proofErr w:type="gramEnd"/>
      <w:r w:rsidRPr="00326471">
        <w:rPr>
          <w:b/>
        </w:rPr>
        <w:t xml:space="preserve"> of actual investment to assessed investment</w:t>
      </w:r>
    </w:p>
    <w:p w:rsidR="00326471" w:rsidRDefault="00326471" w:rsidP="00326471">
      <w:r>
        <w:t xml:space="preserve">A ratio that reflects how a State’s policies on the level of capital provided varies from average policies. It is measured by dividing actual per capita expense by assessed expense per capita. </w:t>
      </w:r>
    </w:p>
    <w:p w:rsidR="00326471" w:rsidRPr="00326471" w:rsidRDefault="00326471" w:rsidP="00326471">
      <w:pPr>
        <w:rPr>
          <w:b/>
        </w:rPr>
      </w:pPr>
      <w:proofErr w:type="gramStart"/>
      <w:r w:rsidRPr="00326471">
        <w:rPr>
          <w:b/>
        </w:rPr>
        <w:t>ratio</w:t>
      </w:r>
      <w:proofErr w:type="gramEnd"/>
      <w:r w:rsidRPr="00326471">
        <w:rPr>
          <w:b/>
        </w:rPr>
        <w:t xml:space="preserve"> of actual revenue to assessed revenue</w:t>
      </w:r>
    </w:p>
    <w:p w:rsidR="00326471" w:rsidRDefault="00326471" w:rsidP="00326471">
      <w:proofErr w:type="gramStart"/>
      <w:r>
        <w:t>A ratio which indicates the actual effort made by a State to raise revenue relative to the average effort.</w:t>
      </w:r>
      <w:proofErr w:type="gramEnd"/>
      <w:r>
        <w:t xml:space="preserve"> It is primarily a measure of the deviation of a State's tax rates and </w:t>
      </w:r>
      <w:r w:rsidR="00FF666C">
        <w:t>effort put</w:t>
      </w:r>
      <w:r>
        <w:t xml:space="preserve"> in</w:t>
      </w:r>
      <w:r w:rsidR="00FF666C">
        <w:t>to</w:t>
      </w:r>
      <w:r>
        <w:t xml:space="preserve"> ensuring compliance from average rates and </w:t>
      </w:r>
      <w:r w:rsidR="00FF666C">
        <w:t xml:space="preserve">average </w:t>
      </w:r>
      <w:r>
        <w:t>compliance efficiency. It is measured by dividing actual per capita revenue by assessed revenue per capita.</w:t>
      </w:r>
    </w:p>
    <w:p w:rsidR="00326471" w:rsidRPr="00326471" w:rsidRDefault="00326471" w:rsidP="00326471">
      <w:pPr>
        <w:rPr>
          <w:b/>
        </w:rPr>
      </w:pPr>
      <w:proofErr w:type="gramStart"/>
      <w:r w:rsidRPr="00326471">
        <w:rPr>
          <w:b/>
        </w:rPr>
        <w:t>ratio</w:t>
      </w:r>
      <w:proofErr w:type="gramEnd"/>
      <w:r w:rsidRPr="00326471">
        <w:rPr>
          <w:b/>
        </w:rPr>
        <w:t xml:space="preserve"> of assessed expenses to average expenses </w:t>
      </w:r>
    </w:p>
    <w:p w:rsidR="00326471" w:rsidRDefault="00326471" w:rsidP="00326471">
      <w:r>
        <w:t xml:space="preserve">A </w:t>
      </w:r>
      <w:r w:rsidR="00FF666C">
        <w:t xml:space="preserve">ratio of a </w:t>
      </w:r>
      <w:r>
        <w:t xml:space="preserve">State’s </w:t>
      </w:r>
      <w:r w:rsidR="00FF666C">
        <w:t xml:space="preserve">assessed </w:t>
      </w:r>
      <w:r>
        <w:t>per capita cost of providing services at average standards, relative to average per capita cost. It is calculated by dividing per capita assessed expenses by per capita average expenses.</w:t>
      </w:r>
    </w:p>
    <w:p w:rsidR="00326471" w:rsidRPr="00326471" w:rsidRDefault="00326471" w:rsidP="00326471">
      <w:pPr>
        <w:rPr>
          <w:b/>
        </w:rPr>
      </w:pPr>
      <w:proofErr w:type="gramStart"/>
      <w:r w:rsidRPr="00326471">
        <w:rPr>
          <w:b/>
        </w:rPr>
        <w:t>ratio</w:t>
      </w:r>
      <w:proofErr w:type="gramEnd"/>
      <w:r w:rsidRPr="00326471">
        <w:rPr>
          <w:b/>
        </w:rPr>
        <w:t xml:space="preserve"> of assessed capital to average capital </w:t>
      </w:r>
    </w:p>
    <w:p w:rsidR="00326471" w:rsidRDefault="00326471" w:rsidP="00326471">
      <w:r>
        <w:t>A ratio of a State’s assessed capital requirements per capita to the Australian average capital requirement per capita. The assessed capital requirements are what a State would have needed to invest or lend/borrow to have the Australian average level of capital. It is measured by dividing per capita assessed capital by per capita average capital.</w:t>
      </w:r>
    </w:p>
    <w:p w:rsidR="00326471" w:rsidRPr="00326471" w:rsidRDefault="00326471" w:rsidP="007925CE">
      <w:pPr>
        <w:keepNext/>
        <w:rPr>
          <w:b/>
        </w:rPr>
      </w:pPr>
      <w:proofErr w:type="gramStart"/>
      <w:r w:rsidRPr="00326471">
        <w:rPr>
          <w:b/>
        </w:rPr>
        <w:lastRenderedPageBreak/>
        <w:t>ratio</w:t>
      </w:r>
      <w:proofErr w:type="gramEnd"/>
      <w:r w:rsidRPr="00326471">
        <w:rPr>
          <w:b/>
        </w:rPr>
        <w:t xml:space="preserve"> of assessed revenue to average revenue</w:t>
      </w:r>
    </w:p>
    <w:p w:rsidR="00326471" w:rsidRDefault="00326471" w:rsidP="00326471">
      <w:proofErr w:type="gramStart"/>
      <w:r>
        <w:t>A ratio which indicates the capacity of a State to raise revenue relative to the average.</w:t>
      </w:r>
      <w:proofErr w:type="gramEnd"/>
      <w:r>
        <w:t xml:space="preserve"> It reflects the size of a State’s revenue base per capita relative to the average and is measured by dividing assessed revenue per capita by average revenue per capita.</w:t>
      </w:r>
    </w:p>
    <w:p w:rsidR="00326471" w:rsidRPr="00326471" w:rsidRDefault="00326471" w:rsidP="00326471">
      <w:pPr>
        <w:rPr>
          <w:b/>
        </w:rPr>
      </w:pPr>
      <w:proofErr w:type="gramStart"/>
      <w:r w:rsidRPr="00326471">
        <w:rPr>
          <w:b/>
        </w:rPr>
        <w:t>redistribution</w:t>
      </w:r>
      <w:proofErr w:type="gramEnd"/>
    </w:p>
    <w:p w:rsidR="00326471" w:rsidRDefault="00326471" w:rsidP="00326471">
      <w:r>
        <w:t>The difference between an equal per capita distribution of GST revenue and one based on the principle of horizontal fiscal equalisation.</w:t>
      </w:r>
    </w:p>
    <w:p w:rsidR="00326471" w:rsidRPr="00326471" w:rsidRDefault="00326471" w:rsidP="00326471">
      <w:pPr>
        <w:rPr>
          <w:b/>
        </w:rPr>
      </w:pPr>
      <w:proofErr w:type="gramStart"/>
      <w:r w:rsidRPr="00326471">
        <w:rPr>
          <w:b/>
        </w:rPr>
        <w:t>regional</w:t>
      </w:r>
      <w:proofErr w:type="gramEnd"/>
      <w:r w:rsidRPr="00326471">
        <w:rPr>
          <w:b/>
        </w:rPr>
        <w:t xml:space="preserve"> costs disability</w:t>
      </w:r>
    </w:p>
    <w:p w:rsidR="00326471" w:rsidRDefault="00326471" w:rsidP="00326471">
      <w:r>
        <w:t>A disability that measures cost differences within a State due to differences in the wages paid and in the price and quantity of other inputs to State services.</w:t>
      </w:r>
    </w:p>
    <w:p w:rsidR="00326471" w:rsidRPr="00326471" w:rsidRDefault="00326471" w:rsidP="00326471">
      <w:pPr>
        <w:rPr>
          <w:b/>
        </w:rPr>
      </w:pPr>
      <w:proofErr w:type="gramStart"/>
      <w:r w:rsidRPr="00326471">
        <w:rPr>
          <w:b/>
        </w:rPr>
        <w:t>relativity</w:t>
      </w:r>
      <w:proofErr w:type="gramEnd"/>
    </w:p>
    <w:p w:rsidR="00326471" w:rsidRDefault="00326471" w:rsidP="00326471">
      <w:r>
        <w:t xml:space="preserve">A per capita weight assessed by the Commission for use by the Commonwealth Treasury in calculating the share of the GST revenue a State requires </w:t>
      </w:r>
      <w:proofErr w:type="gramStart"/>
      <w:r>
        <w:t>to achieve</w:t>
      </w:r>
      <w:proofErr w:type="gramEnd"/>
      <w:r>
        <w:t xml:space="preserve"> horizontal fiscal equalisation. </w:t>
      </w:r>
    </w:p>
    <w:p w:rsidR="00326471" w:rsidRPr="00326471" w:rsidRDefault="00326471" w:rsidP="00326471">
      <w:pPr>
        <w:rPr>
          <w:b/>
        </w:rPr>
      </w:pPr>
      <w:proofErr w:type="gramStart"/>
      <w:r w:rsidRPr="00326471">
        <w:rPr>
          <w:b/>
        </w:rPr>
        <w:t>revenue</w:t>
      </w:r>
      <w:proofErr w:type="gramEnd"/>
      <w:r w:rsidRPr="00326471">
        <w:rPr>
          <w:b/>
        </w:rPr>
        <w:t xml:space="preserve"> base</w:t>
      </w:r>
    </w:p>
    <w:p w:rsidR="00326471" w:rsidRDefault="00326471" w:rsidP="00326471">
      <w:proofErr w:type="gramStart"/>
      <w:r>
        <w:t>A measure of the transactions, activities, or assets that are taxed by the States.</w:t>
      </w:r>
      <w:proofErr w:type="gramEnd"/>
      <w:r>
        <w:t xml:space="preserve"> Differences between the revenue bases of each State are used by the Commission to determine the relative capacities of each to raise a particular type of revenue. </w:t>
      </w:r>
    </w:p>
    <w:p w:rsidR="00326471" w:rsidRPr="00326471" w:rsidRDefault="00326471" w:rsidP="00326471">
      <w:pPr>
        <w:rPr>
          <w:b/>
        </w:rPr>
      </w:pPr>
      <w:proofErr w:type="gramStart"/>
      <w:r w:rsidRPr="00326471">
        <w:rPr>
          <w:b/>
        </w:rPr>
        <w:t>revenue</w:t>
      </w:r>
      <w:proofErr w:type="gramEnd"/>
      <w:r w:rsidRPr="00326471">
        <w:rPr>
          <w:b/>
        </w:rPr>
        <w:t xml:space="preserve"> effort</w:t>
      </w:r>
    </w:p>
    <w:p w:rsidR="00326471" w:rsidRDefault="00326471" w:rsidP="00326471">
      <w:r>
        <w:t xml:space="preserve">The intensity of use of a revenue base (the implied tax rate) measured as actual revenue divided by the assessed revenue. It is influenced by the rate of tax or charge, the exemptions, and concessions provided, actual scope of the revenue base in a State, and the effort </w:t>
      </w:r>
      <w:r w:rsidR="00FF666C">
        <w:t xml:space="preserve">it </w:t>
      </w:r>
      <w:r>
        <w:t xml:space="preserve">put into ensuring compliance. </w:t>
      </w:r>
    </w:p>
    <w:p w:rsidR="00326471" w:rsidRPr="00326471" w:rsidRDefault="00326471" w:rsidP="00326471">
      <w:pPr>
        <w:rPr>
          <w:b/>
        </w:rPr>
      </w:pPr>
      <w:proofErr w:type="gramStart"/>
      <w:r w:rsidRPr="00326471">
        <w:rPr>
          <w:b/>
        </w:rPr>
        <w:t>review</w:t>
      </w:r>
      <w:proofErr w:type="gramEnd"/>
    </w:p>
    <w:p w:rsidR="00326471" w:rsidRDefault="00326471" w:rsidP="00326471">
      <w:r>
        <w:t>The process in which the Commission reconsiders the methods used to calculate the GST distribution, according to terms of reference given to it. From 1988 onwards, reviews have usually been done every five years. By contrast, an update is conducted every year other than a review year and updates the GST distribution using the methods determined in the last review and the latest financial data.</w:t>
      </w:r>
    </w:p>
    <w:p w:rsidR="00326471" w:rsidRPr="00326471" w:rsidRDefault="00326471" w:rsidP="00326471">
      <w:pPr>
        <w:rPr>
          <w:b/>
        </w:rPr>
      </w:pPr>
      <w:proofErr w:type="gramStart"/>
      <w:r w:rsidRPr="00326471">
        <w:rPr>
          <w:b/>
        </w:rPr>
        <w:t>service</w:t>
      </w:r>
      <w:proofErr w:type="gramEnd"/>
      <w:r w:rsidRPr="00326471">
        <w:rPr>
          <w:b/>
        </w:rPr>
        <w:t xml:space="preserve"> delivery scale disability</w:t>
      </w:r>
    </w:p>
    <w:p w:rsidR="00326471" w:rsidRDefault="00326471" w:rsidP="00326471">
      <w:r>
        <w:t xml:space="preserve">A disability that measures the additional costs of providing a service where it needs to be delivered but where the delivery is more costly because the population served is small and isolated from other points of service delivery. </w:t>
      </w:r>
    </w:p>
    <w:p w:rsidR="00326471" w:rsidRPr="00326471" w:rsidRDefault="00326471" w:rsidP="00326471">
      <w:pPr>
        <w:rPr>
          <w:b/>
        </w:rPr>
      </w:pPr>
      <w:r w:rsidRPr="00326471">
        <w:rPr>
          <w:b/>
        </w:rPr>
        <w:t>Socio</w:t>
      </w:r>
      <w:r w:rsidR="004557B4">
        <w:rPr>
          <w:b/>
        </w:rPr>
        <w:t>-</w:t>
      </w:r>
      <w:r w:rsidRPr="00326471">
        <w:rPr>
          <w:b/>
        </w:rPr>
        <w:t>demographic composition disability</w:t>
      </w:r>
    </w:p>
    <w:p w:rsidR="00326471" w:rsidRDefault="00326471" w:rsidP="00326471">
      <w:proofErr w:type="gramStart"/>
      <w:r>
        <w:t>A disability that measures differences in both the average use and cost of providing services due to differences between States in the relative size of various socio-demographic groups.</w:t>
      </w:r>
      <w:proofErr w:type="gramEnd"/>
      <w:r>
        <w:t xml:space="preserve"> </w:t>
      </w:r>
      <w:r>
        <w:lastRenderedPageBreak/>
        <w:t xml:space="preserve">It can reflect differences between States in some or all population characteristics such as age sex structure, socio economic status, Indigenous status and location. </w:t>
      </w:r>
    </w:p>
    <w:p w:rsidR="00326471" w:rsidRPr="00326471" w:rsidRDefault="00326471" w:rsidP="00326471">
      <w:pPr>
        <w:rPr>
          <w:b/>
        </w:rPr>
      </w:pPr>
      <w:r w:rsidRPr="00326471">
        <w:rPr>
          <w:b/>
        </w:rPr>
        <w:t>State(s)</w:t>
      </w:r>
    </w:p>
    <w:p w:rsidR="00326471" w:rsidRDefault="00326471" w:rsidP="00326471">
      <w:r>
        <w:t>Unless the context indicates otherwise, the term ‘State(s)’ includes the Australian Capital Territory and the Northern Territory.</w:t>
      </w:r>
    </w:p>
    <w:p w:rsidR="00326471" w:rsidRPr="00326471" w:rsidRDefault="00326471" w:rsidP="00326471">
      <w:pPr>
        <w:rPr>
          <w:b/>
        </w:rPr>
      </w:pPr>
      <w:proofErr w:type="gramStart"/>
      <w:r w:rsidRPr="00326471">
        <w:rPr>
          <w:b/>
        </w:rPr>
        <w:t>tax</w:t>
      </w:r>
      <w:proofErr w:type="gramEnd"/>
      <w:r w:rsidRPr="00326471">
        <w:rPr>
          <w:b/>
        </w:rPr>
        <w:t xml:space="preserve"> base</w:t>
      </w:r>
    </w:p>
    <w:p w:rsidR="00326471" w:rsidRDefault="00326471" w:rsidP="00326471">
      <w:r>
        <w:t xml:space="preserve">See revenue base. </w:t>
      </w:r>
    </w:p>
    <w:p w:rsidR="00326471" w:rsidRPr="00326471" w:rsidRDefault="00326471" w:rsidP="00326471">
      <w:pPr>
        <w:rPr>
          <w:b/>
        </w:rPr>
      </w:pPr>
      <w:proofErr w:type="gramStart"/>
      <w:r w:rsidRPr="00326471">
        <w:rPr>
          <w:b/>
        </w:rPr>
        <w:t>update</w:t>
      </w:r>
      <w:proofErr w:type="gramEnd"/>
    </w:p>
    <w:p w:rsidR="00326471" w:rsidRDefault="00326471" w:rsidP="00326471">
      <w:proofErr w:type="gramStart"/>
      <w:r>
        <w:t>The annual assessment of the GST distribution undertaken by the Commission between reviews.</w:t>
      </w:r>
      <w:proofErr w:type="gramEnd"/>
      <w:r>
        <w:t xml:space="preserve"> Update assessments incorporate new budgetary developments and the most recent available data. In general, the methods used to calculate the GST distribution are those adopted in the most recent review. </w:t>
      </w:r>
    </w:p>
    <w:p w:rsidR="00326471" w:rsidRPr="00326471" w:rsidRDefault="00326471" w:rsidP="00326471">
      <w:pPr>
        <w:rPr>
          <w:b/>
        </w:rPr>
      </w:pPr>
      <w:proofErr w:type="gramStart"/>
      <w:r w:rsidRPr="00326471">
        <w:rPr>
          <w:b/>
        </w:rPr>
        <w:t>user</w:t>
      </w:r>
      <w:proofErr w:type="gramEnd"/>
      <w:r w:rsidRPr="00326471">
        <w:rPr>
          <w:b/>
        </w:rPr>
        <w:t xml:space="preserve"> charges</w:t>
      </w:r>
    </w:p>
    <w:p w:rsidR="00326471" w:rsidRDefault="00326471" w:rsidP="00326471">
      <w:r>
        <w:t>Fees and charges raised by States through the provision of goods or services. In the adjusted budget</w:t>
      </w:r>
      <w:r w:rsidR="001A78AB">
        <w:t>, user charges for health, post-</w:t>
      </w:r>
      <w:r>
        <w:t xml:space="preserve">secondary education, electricity, water and protection of the environment, mining regulation and public transport are deducted from related expenses. Housing user charges are assessed in a separate component in the Housing category. Other user charges are included in the </w:t>
      </w:r>
      <w:proofErr w:type="gramStart"/>
      <w:r>
        <w:t>Other</w:t>
      </w:r>
      <w:proofErr w:type="gramEnd"/>
      <w:r>
        <w:t xml:space="preserve"> revenue category.</w:t>
      </w:r>
    </w:p>
    <w:p w:rsidR="00326471" w:rsidRPr="00326471" w:rsidRDefault="00326471" w:rsidP="00326471">
      <w:pPr>
        <w:rPr>
          <w:b/>
        </w:rPr>
      </w:pPr>
      <w:proofErr w:type="gramStart"/>
      <w:r w:rsidRPr="00326471">
        <w:rPr>
          <w:b/>
        </w:rPr>
        <w:t>wage</w:t>
      </w:r>
      <w:proofErr w:type="gramEnd"/>
      <w:r w:rsidRPr="00326471">
        <w:rPr>
          <w:b/>
        </w:rPr>
        <w:t xml:space="preserve"> costs disability</w:t>
      </w:r>
    </w:p>
    <w:p w:rsidR="00E0791C" w:rsidRDefault="00326471" w:rsidP="00326471">
      <w:proofErr w:type="gramStart"/>
      <w:r>
        <w:t>A disability that recognises that otherwise comparable public sector employees in different States are paid different wages, in large part due to differences in labour markets beyond the control of State governments.</w:t>
      </w:r>
      <w:proofErr w:type="gramEnd"/>
    </w:p>
    <w:p w:rsidR="00E0791C" w:rsidRDefault="00E0791C" w:rsidP="00C21EF9"/>
    <w:p w:rsidR="00654FC8" w:rsidRDefault="00654FC8" w:rsidP="00C21EF9">
      <w:pPr>
        <w:sectPr w:rsidR="00654FC8" w:rsidSect="0004123E">
          <w:footerReference w:type="default" r:id="rId67"/>
          <w:footerReference w:type="first" r:id="rId68"/>
          <w:pgSz w:w="11899" w:h="16838" w:code="9"/>
          <w:pgMar w:top="1701" w:right="1474" w:bottom="1701" w:left="1474" w:header="709" w:footer="709" w:gutter="0"/>
          <w:cols w:space="708"/>
          <w:titlePg/>
          <w:docGrid w:linePitch="299"/>
        </w:sectPr>
      </w:pPr>
    </w:p>
    <w:p w:rsidR="00E0791C" w:rsidRPr="002A48E0" w:rsidRDefault="00E0791C" w:rsidP="00E0791C">
      <w:pPr>
        <w:pStyle w:val="Heading2"/>
      </w:pPr>
      <w:bookmarkStart w:id="583" w:name="_Toc474923807"/>
      <w:bookmarkStart w:id="584" w:name="_Toc505872206"/>
      <w:r w:rsidRPr="002A48E0">
        <w:lastRenderedPageBreak/>
        <w:t>Acronyms</w:t>
      </w:r>
      <w:bookmarkEnd w:id="583"/>
      <w:bookmarkEnd w:id="584"/>
    </w:p>
    <w:tbl>
      <w:tblPr>
        <w:tblW w:w="9180" w:type="dxa"/>
        <w:tblInd w:w="93" w:type="dxa"/>
        <w:tblLook w:val="04A0" w:firstRow="1" w:lastRow="0" w:firstColumn="1" w:lastColumn="0" w:noHBand="0" w:noVBand="1"/>
      </w:tblPr>
      <w:tblGrid>
        <w:gridCol w:w="1460"/>
        <w:gridCol w:w="7720"/>
      </w:tblGrid>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ABS</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Australian Bureau of Statistics</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ACARA</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Australian Curriculum, Assessment and Reporting Authority</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ACTPS</w:t>
            </w:r>
            <w:proofErr w:type="spellEnd"/>
          </w:p>
        </w:tc>
        <w:tc>
          <w:tcPr>
            <w:tcW w:w="7720" w:type="dxa"/>
            <w:tcBorders>
              <w:top w:val="nil"/>
              <w:left w:val="nil"/>
              <w:bottom w:val="nil"/>
              <w:right w:val="nil"/>
            </w:tcBorders>
            <w:shd w:val="clear" w:color="auto" w:fill="auto"/>
            <w:noWrap/>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ACT Public Service</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APC</w:t>
            </w:r>
          </w:p>
        </w:tc>
        <w:tc>
          <w:tcPr>
            <w:tcW w:w="7720" w:type="dxa"/>
            <w:tcBorders>
              <w:top w:val="nil"/>
              <w:left w:val="nil"/>
              <w:bottom w:val="nil"/>
              <w:right w:val="nil"/>
            </w:tcBorders>
            <w:shd w:val="clear" w:color="auto" w:fill="auto"/>
            <w:noWrap/>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Actual per capita</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CGC</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Commonwealth Grants Commission</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CoE</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Compensation of Employees</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CoES</w:t>
            </w:r>
            <w:proofErr w:type="spellEnd"/>
          </w:p>
        </w:tc>
        <w:tc>
          <w:tcPr>
            <w:tcW w:w="7720" w:type="dxa"/>
            <w:tcBorders>
              <w:top w:val="nil"/>
              <w:left w:val="nil"/>
              <w:bottom w:val="nil"/>
              <w:right w:val="nil"/>
            </w:tcBorders>
            <w:shd w:val="clear" w:color="auto" w:fill="auto"/>
            <w:noWrap/>
            <w:vAlign w:val="bottom"/>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 xml:space="preserve">Characteristics of Employment Survey </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CSG</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Coal Seam Gas</w:t>
            </w:r>
          </w:p>
        </w:tc>
      </w:tr>
      <w:tr w:rsidR="003049BA" w:rsidRPr="002F3BE6" w:rsidTr="002F3BE6">
        <w:trPr>
          <w:trHeight w:val="315"/>
        </w:trPr>
        <w:tc>
          <w:tcPr>
            <w:tcW w:w="1460" w:type="dxa"/>
            <w:tcBorders>
              <w:top w:val="nil"/>
              <w:left w:val="nil"/>
              <w:bottom w:val="nil"/>
              <w:right w:val="nil"/>
            </w:tcBorders>
            <w:shd w:val="clear" w:color="auto" w:fill="auto"/>
            <w:vAlign w:val="center"/>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proofErr w:type="spellStart"/>
            <w:r>
              <w:rPr>
                <w:rFonts w:ascii="Calibri" w:eastAsia="Times New Roman" w:hAnsi="Calibri" w:cs="Times New Roman"/>
                <w:color w:val="000000"/>
                <w:szCs w:val="24"/>
                <w:lang w:eastAsia="en-AU"/>
              </w:rPr>
              <w:t>CSS</w:t>
            </w:r>
            <w:proofErr w:type="spellEnd"/>
          </w:p>
        </w:tc>
        <w:tc>
          <w:tcPr>
            <w:tcW w:w="7720" w:type="dxa"/>
            <w:tcBorders>
              <w:top w:val="nil"/>
              <w:left w:val="nil"/>
              <w:bottom w:val="nil"/>
              <w:right w:val="nil"/>
            </w:tcBorders>
            <w:shd w:val="clear" w:color="auto" w:fill="auto"/>
            <w:vAlign w:val="center"/>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Commonwealth Superannuation Scheme</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ED</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Emergency Department</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EPC</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Equal per capita</w:t>
            </w:r>
          </w:p>
        </w:tc>
      </w:tr>
      <w:tr w:rsidR="002F3BE6" w:rsidRPr="002F3BE6" w:rsidTr="002F3BE6">
        <w:trPr>
          <w:trHeight w:val="315"/>
        </w:trPr>
        <w:tc>
          <w:tcPr>
            <w:tcW w:w="1460" w:type="dxa"/>
            <w:tcBorders>
              <w:top w:val="nil"/>
              <w:left w:val="nil"/>
              <w:bottom w:val="nil"/>
              <w:right w:val="nil"/>
            </w:tcBorders>
            <w:shd w:val="clear" w:color="auto" w:fill="auto"/>
            <w:noWrap/>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ERP</w:t>
            </w:r>
          </w:p>
        </w:tc>
        <w:tc>
          <w:tcPr>
            <w:tcW w:w="7720" w:type="dxa"/>
            <w:tcBorders>
              <w:top w:val="nil"/>
              <w:left w:val="nil"/>
              <w:bottom w:val="nil"/>
              <w:right w:val="nil"/>
            </w:tcBorders>
            <w:shd w:val="clear" w:color="auto" w:fill="auto"/>
            <w:noWrap/>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Estimated Resident Population</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GST</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Goods and Services Tax</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HFE</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Horizontal fiscal equalisation</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IGA</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Intergovernmental Agreement on Federal Financial Relations</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IHPA</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Independent Hospital Pricing Authority</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IRSEO</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Indigenous Relative Socio</w:t>
            </w:r>
            <w:r w:rsidR="00CE0FEF">
              <w:rPr>
                <w:rFonts w:ascii="Calibri" w:eastAsia="Times New Roman" w:hAnsi="Calibri" w:cs="Times New Roman"/>
                <w:color w:val="000000"/>
                <w:szCs w:val="24"/>
                <w:lang w:eastAsia="en-AU"/>
              </w:rPr>
              <w:t>-</w:t>
            </w:r>
            <w:r w:rsidRPr="002F3BE6">
              <w:rPr>
                <w:rFonts w:ascii="Calibri" w:eastAsia="Times New Roman" w:hAnsi="Calibri" w:cs="Times New Roman"/>
                <w:color w:val="000000"/>
                <w:szCs w:val="24"/>
                <w:lang w:eastAsia="en-AU"/>
              </w:rPr>
              <w:t>economic Outcomes (index)</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NDIA</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Disability Insurance Agency</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NDIS</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Disability Insurance Scheme</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NDRRA</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Natural Disaster Relief and Recovery Arrangements</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NECR</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Notional Employer Contribution Rate</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NERA</w:t>
            </w:r>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Education Reform Agreement</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NHHA</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Housing and Homelessness Agreement</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NISEIFA</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Non-Indigenous Socio</w:t>
            </w:r>
            <w:r w:rsidR="00CE0FEF">
              <w:rPr>
                <w:rFonts w:ascii="Calibri" w:eastAsia="Times New Roman" w:hAnsi="Calibri" w:cs="Times New Roman"/>
                <w:color w:val="000000"/>
                <w:szCs w:val="24"/>
                <w:lang w:eastAsia="en-AU"/>
              </w:rPr>
              <w:t>-</w:t>
            </w:r>
            <w:r w:rsidRPr="002F3BE6">
              <w:rPr>
                <w:rFonts w:ascii="Calibri" w:eastAsia="Times New Roman" w:hAnsi="Calibri" w:cs="Times New Roman"/>
                <w:color w:val="000000"/>
                <w:szCs w:val="24"/>
                <w:lang w:eastAsia="en-AU"/>
              </w:rPr>
              <w:t>economic Index for Areas</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NPARH</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Partnership Agreement on Remote Housing</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NPARIH</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Partnership Agreement on Remote Indigenous Housing</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NPP</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National partnership payment</w:t>
            </w:r>
          </w:p>
        </w:tc>
      </w:tr>
      <w:tr w:rsidR="002F3BE6" w:rsidRPr="002F3BE6" w:rsidTr="002F3BE6">
        <w:trPr>
          <w:trHeight w:val="315"/>
        </w:trPr>
        <w:tc>
          <w:tcPr>
            <w:tcW w:w="146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PHE</w:t>
            </w:r>
            <w:proofErr w:type="spellEnd"/>
          </w:p>
        </w:tc>
        <w:tc>
          <w:tcPr>
            <w:tcW w:w="7720" w:type="dxa"/>
            <w:tcBorders>
              <w:top w:val="nil"/>
              <w:left w:val="nil"/>
              <w:bottom w:val="nil"/>
              <w:right w:val="nil"/>
            </w:tcBorders>
            <w:shd w:val="clear" w:color="auto" w:fill="auto"/>
            <w:vAlign w:val="center"/>
            <w:hideMark/>
          </w:tcPr>
          <w:p w:rsidR="002F3BE6" w:rsidRPr="002F3BE6" w:rsidRDefault="002F3BE6"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Public Hospital Establishment</w:t>
            </w:r>
          </w:p>
        </w:tc>
      </w:tr>
      <w:tr w:rsidR="003049BA" w:rsidRPr="002F3BE6" w:rsidTr="002F3BE6">
        <w:trPr>
          <w:trHeight w:val="315"/>
        </w:trPr>
        <w:tc>
          <w:tcPr>
            <w:tcW w:w="1460" w:type="dxa"/>
            <w:tcBorders>
              <w:top w:val="nil"/>
              <w:left w:val="nil"/>
              <w:bottom w:val="nil"/>
              <w:right w:val="nil"/>
            </w:tcBorders>
            <w:shd w:val="clear" w:color="auto" w:fill="auto"/>
            <w:vAlign w:val="center"/>
          </w:tcPr>
          <w:p w:rsidR="003049BA" w:rsidRPr="002F3BE6" w:rsidRDefault="003049BA" w:rsidP="003049BA">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PSP</w:t>
            </w:r>
          </w:p>
        </w:tc>
        <w:tc>
          <w:tcPr>
            <w:tcW w:w="7720" w:type="dxa"/>
            <w:tcBorders>
              <w:top w:val="nil"/>
              <w:left w:val="nil"/>
              <w:bottom w:val="nil"/>
              <w:right w:val="nil"/>
            </w:tcBorders>
            <w:shd w:val="clear" w:color="auto" w:fill="auto"/>
            <w:vAlign w:val="center"/>
          </w:tcPr>
          <w:p w:rsidR="003049BA" w:rsidRPr="002F3BE6" w:rsidRDefault="003049BA" w:rsidP="003049BA">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Payments for specific purposes</w:t>
            </w:r>
          </w:p>
        </w:tc>
      </w:tr>
      <w:tr w:rsidR="003049BA" w:rsidRPr="002F3BE6" w:rsidTr="003049BA">
        <w:trPr>
          <w:trHeight w:val="315"/>
        </w:trPr>
        <w:tc>
          <w:tcPr>
            <w:tcW w:w="1460" w:type="dxa"/>
            <w:tcBorders>
              <w:top w:val="nil"/>
              <w:left w:val="nil"/>
              <w:bottom w:val="nil"/>
              <w:right w:val="nil"/>
            </w:tcBorders>
            <w:shd w:val="clear" w:color="auto" w:fill="auto"/>
            <w:vAlign w:val="center"/>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PSS</w:t>
            </w:r>
          </w:p>
        </w:tc>
        <w:tc>
          <w:tcPr>
            <w:tcW w:w="7720" w:type="dxa"/>
            <w:tcBorders>
              <w:top w:val="nil"/>
              <w:left w:val="nil"/>
              <w:bottom w:val="nil"/>
              <w:right w:val="nil"/>
            </w:tcBorders>
            <w:shd w:val="clear" w:color="auto" w:fill="auto"/>
            <w:vAlign w:val="center"/>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Public Sector Superannuation Scheme</w:t>
            </w:r>
          </w:p>
        </w:tc>
      </w:tr>
      <w:tr w:rsidR="003049BA" w:rsidRPr="002F3BE6" w:rsidTr="002F3BE6">
        <w:trPr>
          <w:trHeight w:val="315"/>
        </w:trPr>
        <w:tc>
          <w:tcPr>
            <w:tcW w:w="1460" w:type="dxa"/>
            <w:tcBorders>
              <w:top w:val="nil"/>
              <w:left w:val="nil"/>
              <w:bottom w:val="nil"/>
              <w:right w:val="nil"/>
            </w:tcBorders>
            <w:shd w:val="clear" w:color="auto" w:fill="auto"/>
            <w:noWrap/>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SDC</w:t>
            </w:r>
            <w:proofErr w:type="spellEnd"/>
          </w:p>
        </w:tc>
        <w:tc>
          <w:tcPr>
            <w:tcW w:w="772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Socio-demographic composition</w:t>
            </w:r>
          </w:p>
        </w:tc>
      </w:tr>
      <w:tr w:rsidR="003049BA" w:rsidRPr="002F3BE6" w:rsidTr="002F3BE6">
        <w:trPr>
          <w:trHeight w:val="315"/>
        </w:trPr>
        <w:tc>
          <w:tcPr>
            <w:tcW w:w="1460" w:type="dxa"/>
            <w:tcBorders>
              <w:top w:val="nil"/>
              <w:left w:val="nil"/>
              <w:bottom w:val="nil"/>
              <w:right w:val="nil"/>
            </w:tcBorders>
            <w:shd w:val="clear" w:color="auto" w:fill="auto"/>
            <w:noWrap/>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SEIFA</w:t>
            </w:r>
            <w:proofErr w:type="spellEnd"/>
          </w:p>
        </w:tc>
        <w:tc>
          <w:tcPr>
            <w:tcW w:w="772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Socio-economic indexes for areas</w:t>
            </w:r>
          </w:p>
        </w:tc>
      </w:tr>
      <w:tr w:rsidR="003049BA" w:rsidRPr="002F3BE6" w:rsidTr="002F3BE6">
        <w:trPr>
          <w:trHeight w:val="315"/>
        </w:trPr>
        <w:tc>
          <w:tcPr>
            <w:tcW w:w="146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SES</w:t>
            </w:r>
          </w:p>
        </w:tc>
        <w:tc>
          <w:tcPr>
            <w:tcW w:w="772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Socio-economic status</w:t>
            </w:r>
          </w:p>
        </w:tc>
      </w:tr>
      <w:tr w:rsidR="003049BA" w:rsidRPr="002F3BE6" w:rsidTr="002F3BE6">
        <w:trPr>
          <w:trHeight w:val="315"/>
        </w:trPr>
        <w:tc>
          <w:tcPr>
            <w:tcW w:w="146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SPP</w:t>
            </w:r>
            <w:proofErr w:type="spellEnd"/>
          </w:p>
        </w:tc>
        <w:tc>
          <w:tcPr>
            <w:tcW w:w="772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Specific purpose payment</w:t>
            </w:r>
          </w:p>
        </w:tc>
      </w:tr>
      <w:tr w:rsidR="003049BA" w:rsidRPr="002F3BE6" w:rsidTr="002F3BE6">
        <w:trPr>
          <w:trHeight w:val="315"/>
        </w:trPr>
        <w:tc>
          <w:tcPr>
            <w:tcW w:w="146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SRS</w:t>
            </w:r>
          </w:p>
        </w:tc>
        <w:tc>
          <w:tcPr>
            <w:tcW w:w="7720" w:type="dxa"/>
            <w:tcBorders>
              <w:top w:val="nil"/>
              <w:left w:val="nil"/>
              <w:bottom w:val="nil"/>
              <w:right w:val="nil"/>
            </w:tcBorders>
            <w:shd w:val="clear" w:color="auto" w:fill="auto"/>
            <w:vAlign w:val="center"/>
            <w:hideMark/>
          </w:tcPr>
          <w:p w:rsidR="003049BA" w:rsidRPr="002F3BE6" w:rsidRDefault="003049BA" w:rsidP="005B4639">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 xml:space="preserve">Schooling </w:t>
            </w:r>
            <w:r w:rsidR="005B4639" w:rsidRPr="002F3BE6">
              <w:rPr>
                <w:rFonts w:ascii="Calibri" w:eastAsia="Times New Roman" w:hAnsi="Calibri" w:cs="Times New Roman"/>
                <w:color w:val="000000"/>
                <w:szCs w:val="24"/>
                <w:lang w:eastAsia="en-AU"/>
              </w:rPr>
              <w:t>Resourc</w:t>
            </w:r>
            <w:r w:rsidR="005B4639">
              <w:rPr>
                <w:rFonts w:ascii="Calibri" w:eastAsia="Times New Roman" w:hAnsi="Calibri" w:cs="Times New Roman"/>
                <w:color w:val="000000"/>
                <w:szCs w:val="24"/>
                <w:lang w:eastAsia="en-AU"/>
              </w:rPr>
              <w:t>e</w:t>
            </w:r>
            <w:r w:rsidR="005B4639" w:rsidRPr="002F3BE6">
              <w:rPr>
                <w:rFonts w:ascii="Calibri" w:eastAsia="Times New Roman" w:hAnsi="Calibri" w:cs="Times New Roman"/>
                <w:color w:val="000000"/>
                <w:szCs w:val="24"/>
                <w:lang w:eastAsia="en-AU"/>
              </w:rPr>
              <w:t xml:space="preserve"> </w:t>
            </w:r>
            <w:r w:rsidRPr="002F3BE6">
              <w:rPr>
                <w:rFonts w:ascii="Calibri" w:eastAsia="Times New Roman" w:hAnsi="Calibri" w:cs="Times New Roman"/>
                <w:color w:val="000000"/>
                <w:szCs w:val="24"/>
                <w:lang w:eastAsia="en-AU"/>
              </w:rPr>
              <w:t xml:space="preserve">Standard </w:t>
            </w:r>
          </w:p>
        </w:tc>
      </w:tr>
      <w:tr w:rsidR="003049BA" w:rsidRPr="002F3BE6" w:rsidTr="002F3BE6">
        <w:trPr>
          <w:trHeight w:val="315"/>
        </w:trPr>
        <w:tc>
          <w:tcPr>
            <w:tcW w:w="146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proofErr w:type="spellStart"/>
            <w:r w:rsidRPr="002F3BE6">
              <w:rPr>
                <w:rFonts w:ascii="Calibri" w:eastAsia="Times New Roman" w:hAnsi="Calibri" w:cs="Times New Roman"/>
                <w:color w:val="000000"/>
                <w:szCs w:val="24"/>
                <w:lang w:eastAsia="en-AU"/>
              </w:rPr>
              <w:t>VFI</w:t>
            </w:r>
            <w:proofErr w:type="spellEnd"/>
          </w:p>
        </w:tc>
        <w:tc>
          <w:tcPr>
            <w:tcW w:w="7720" w:type="dxa"/>
            <w:tcBorders>
              <w:top w:val="nil"/>
              <w:left w:val="nil"/>
              <w:bottom w:val="nil"/>
              <w:right w:val="nil"/>
            </w:tcBorders>
            <w:shd w:val="clear" w:color="auto" w:fill="auto"/>
            <w:vAlign w:val="center"/>
            <w:hideMark/>
          </w:tcPr>
          <w:p w:rsidR="003049BA" w:rsidRPr="002F3BE6" w:rsidRDefault="003049BA" w:rsidP="002F3BE6">
            <w:pPr>
              <w:tabs>
                <w:tab w:val="clear" w:pos="567"/>
              </w:tabs>
              <w:spacing w:after="0" w:line="240" w:lineRule="auto"/>
              <w:rPr>
                <w:rFonts w:ascii="Calibri" w:eastAsia="Times New Roman" w:hAnsi="Calibri" w:cs="Times New Roman"/>
                <w:color w:val="000000"/>
                <w:szCs w:val="24"/>
                <w:lang w:eastAsia="en-AU"/>
              </w:rPr>
            </w:pPr>
            <w:r w:rsidRPr="002F3BE6">
              <w:rPr>
                <w:rFonts w:ascii="Calibri" w:eastAsia="Times New Roman" w:hAnsi="Calibri" w:cs="Times New Roman"/>
                <w:color w:val="000000"/>
                <w:szCs w:val="24"/>
                <w:lang w:eastAsia="en-AU"/>
              </w:rPr>
              <w:t>Vertical Fiscal Imbalance</w:t>
            </w:r>
          </w:p>
        </w:tc>
      </w:tr>
    </w:tbl>
    <w:p w:rsidR="00E0791C" w:rsidRPr="00C21EF9" w:rsidRDefault="00E0791C" w:rsidP="00C21EF9"/>
    <w:sectPr w:rsidR="00E0791C" w:rsidRPr="00C21EF9" w:rsidSect="0004123E">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7C89" w:rsidRDefault="00D87C89">
      <w:r>
        <w:separator/>
      </w:r>
    </w:p>
  </w:endnote>
  <w:endnote w:type="continuationSeparator" w:id="0">
    <w:p w:rsidR="00D87C89" w:rsidRDefault="00D8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E3FFA" w:rsidRDefault="00D87C89" w:rsidP="007F77EC">
    <w:pPr>
      <w:pStyle w:val="Footer"/>
      <w:jc w:val="right"/>
    </w:pPr>
    <w:r w:rsidRPr="001E3FFA">
      <w:fldChar w:fldCharType="begin"/>
    </w:r>
    <w:r w:rsidRPr="001E3FFA">
      <w:instrText xml:space="preserve"> PAGE   \* MERGEFORMAT </w:instrText>
    </w:r>
    <w:r w:rsidRPr="001E3FFA">
      <w:fldChar w:fldCharType="separate"/>
    </w:r>
    <w:r w:rsidR="00CD68E8">
      <w:rPr>
        <w:noProof/>
      </w:rPr>
      <w:t>ii</w:t>
    </w:r>
    <w:r w:rsidRPr="001E3FFA">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Pr>
        <w:noProof/>
      </w:rPr>
      <w:t>11</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Pr>
        <w:noProof/>
      </w:rPr>
      <w:t>14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Pr>
        <w:noProof/>
      </w:rPr>
      <w:t>15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Pr>
        <w:noProof/>
      </w:rPr>
      <w:t>16</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Pr>
        <w:noProof/>
      </w:rPr>
      <w:t>17</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Pr>
        <w:noProof/>
      </w:rPr>
      <w:t>16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Default="00D87C89" w:rsidP="005C67C8">
    <w:pPr>
      <w:pStyle w:val="Footer"/>
      <w:jc w:val="center"/>
    </w:pPr>
    <w:r>
      <w:fldChar w:fldCharType="begin"/>
    </w:r>
    <w:r>
      <w:instrText xml:space="preserve"> PAGE  \* Arabic  \* MERGEFORMAT </w:instrText>
    </w:r>
    <w:r>
      <w:fldChar w:fldCharType="separate"/>
    </w:r>
    <w:r>
      <w:rPr>
        <w:noProof/>
      </w:rPr>
      <w:t>16</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5A0FC4" w:rsidRDefault="00D87C89" w:rsidP="00AD4C60">
    <w:pPr>
      <w:pStyle w:val="Footer"/>
      <w:tabs>
        <w:tab w:val="clear" w:pos="4513"/>
        <w:tab w:val="clear" w:pos="9026"/>
        <w:tab w:val="right" w:pos="8931"/>
      </w:tabs>
    </w:pPr>
    <w:r w:rsidRPr="00931883">
      <w:rPr>
        <w:i/>
      </w:rPr>
      <w:t xml:space="preserve">Chapter 1 </w:t>
    </w:r>
    <w:r w:rsidRPr="00931883">
      <w:rPr>
        <w:i/>
      </w:rPr>
      <w:fldChar w:fldCharType="begin"/>
    </w:r>
    <w:r w:rsidRPr="00931883">
      <w:rPr>
        <w:i/>
      </w:rPr>
      <w:instrText xml:space="preserve"> REF _Ref473625499 \h </w:instrText>
    </w:r>
    <w:r>
      <w:rPr>
        <w:i/>
      </w:rPr>
      <w:instrText xml:space="preserve"> \* MERGEFORMAT </w:instrText>
    </w:r>
    <w:r w:rsidRPr="00931883">
      <w:rPr>
        <w:i/>
      </w:rPr>
    </w:r>
    <w:r w:rsidRPr="00931883">
      <w:rPr>
        <w:i/>
      </w:rPr>
      <w:fldChar w:fldCharType="separate"/>
    </w:r>
    <w:r w:rsidR="000A6746" w:rsidRPr="000A6746">
      <w:rPr>
        <w:i/>
      </w:rPr>
      <w:t>Changes in the GST distribution</w:t>
    </w:r>
    <w:r w:rsidRPr="00931883">
      <w:rPr>
        <w:i/>
      </w:rPr>
      <w:fldChar w:fldCharType="end"/>
    </w:r>
    <w:r w:rsidRPr="00C86815">
      <w:rPr>
        <w:i/>
      </w:rPr>
      <w:tab/>
    </w:r>
    <w:r>
      <w:fldChar w:fldCharType="begin"/>
    </w:r>
    <w:r>
      <w:instrText xml:space="preserve"> PAGE  \* Arabic  \* MERGEFORMAT </w:instrText>
    </w:r>
    <w:r>
      <w:fldChar w:fldCharType="separate"/>
    </w:r>
    <w:r w:rsidR="00CD68E8">
      <w:rPr>
        <w:noProof/>
      </w:rPr>
      <w:t>35</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AD4C60">
    <w:pPr>
      <w:pStyle w:val="Footer"/>
      <w:tabs>
        <w:tab w:val="clear" w:pos="4513"/>
        <w:tab w:val="clear" w:pos="9026"/>
        <w:tab w:val="right" w:pos="8931"/>
      </w:tabs>
    </w:pPr>
    <w:r w:rsidRPr="00C86815">
      <w:rPr>
        <w:i/>
      </w:rPr>
      <w:tab/>
    </w:r>
    <w:r>
      <w:fldChar w:fldCharType="begin"/>
    </w:r>
    <w:r>
      <w:instrText xml:space="preserve"> PAGE  \* Arabic  \* MERGEFORMAT </w:instrText>
    </w:r>
    <w:r>
      <w:fldChar w:fldCharType="separate"/>
    </w:r>
    <w:r w:rsidR="00CD68E8">
      <w:rPr>
        <w:noProof/>
      </w:rPr>
      <w:t>16</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5A0FC4" w:rsidRDefault="00D87C89" w:rsidP="00AD4C60">
    <w:pPr>
      <w:pStyle w:val="Footer"/>
      <w:tabs>
        <w:tab w:val="clear" w:pos="4513"/>
        <w:tab w:val="clear" w:pos="9026"/>
        <w:tab w:val="right" w:pos="8931"/>
      </w:tabs>
    </w:pPr>
    <w:r w:rsidRPr="00AC2929">
      <w:rPr>
        <w:i/>
      </w:rPr>
      <w:t xml:space="preserve">Chapter 2 </w:t>
    </w:r>
    <w:r w:rsidRPr="00AC2929">
      <w:rPr>
        <w:i/>
      </w:rPr>
      <w:fldChar w:fldCharType="begin"/>
    </w:r>
    <w:r w:rsidRPr="00AC2929">
      <w:rPr>
        <w:i/>
      </w:rPr>
      <w:instrText xml:space="preserve"> REF _Ref473104323 \h </w:instrText>
    </w:r>
    <w:r>
      <w:rPr>
        <w:i/>
      </w:rPr>
      <w:instrText xml:space="preserve"> \* MERGEFORMAT </w:instrText>
    </w:r>
    <w:r w:rsidRPr="00AC2929">
      <w:rPr>
        <w:i/>
      </w:rPr>
    </w:r>
    <w:r w:rsidRPr="00AC2929">
      <w:rPr>
        <w:i/>
      </w:rPr>
      <w:fldChar w:fldCharType="separate"/>
    </w:r>
    <w:r w:rsidR="000A6746" w:rsidRPr="000A6746">
      <w:rPr>
        <w:i/>
      </w:rPr>
      <w:t>New issues in this update</w:t>
    </w:r>
    <w:r w:rsidRPr="00AC2929">
      <w:rPr>
        <w:i/>
      </w:rPr>
      <w:fldChar w:fldCharType="end"/>
    </w:r>
    <w:r w:rsidRPr="00C86815">
      <w:rPr>
        <w:i/>
      </w:rPr>
      <w:tab/>
    </w:r>
    <w:r>
      <w:fldChar w:fldCharType="begin"/>
    </w:r>
    <w:r>
      <w:instrText xml:space="preserve"> PAGE  \* Arabic  \* MERGEFORMAT </w:instrText>
    </w:r>
    <w:r>
      <w:fldChar w:fldCharType="separate"/>
    </w:r>
    <w:r w:rsidR="00CD68E8">
      <w:rPr>
        <w:noProof/>
      </w:rPr>
      <w:t>60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7E487F" w:rsidRDefault="00D87C89" w:rsidP="007F77EC">
    <w:pPr>
      <w:pStyle w:val="Footer"/>
      <w:tabs>
        <w:tab w:val="right" w:pos="8931"/>
      </w:tabs>
      <w:jc w:val="right"/>
      <w:rPr>
        <w:sz w:val="20"/>
        <w:szCs w:val="20"/>
      </w:rPr>
    </w:pPr>
    <w:r>
      <w:rPr>
        <w:sz w:val="20"/>
        <w:szCs w:val="20"/>
      </w:rP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AD4C60">
    <w:pPr>
      <w:pStyle w:val="Footer"/>
      <w:tabs>
        <w:tab w:val="clear" w:pos="4513"/>
        <w:tab w:val="clear" w:pos="9026"/>
        <w:tab w:val="right" w:pos="8931"/>
      </w:tabs>
    </w:pPr>
    <w:r w:rsidRPr="00C86815">
      <w:rPr>
        <w:i/>
      </w:rPr>
      <w:tab/>
    </w:r>
    <w:r>
      <w:fldChar w:fldCharType="begin"/>
    </w:r>
    <w:r>
      <w:instrText xml:space="preserve"> PAGE  \* Arabic  \* MERGEFORMAT </w:instrText>
    </w:r>
    <w:r>
      <w:fldChar w:fldCharType="separate"/>
    </w:r>
    <w:r w:rsidR="00CD68E8">
      <w:rPr>
        <w:noProof/>
      </w:rPr>
      <w:t>61</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5A0FC4" w:rsidRDefault="00D87C89" w:rsidP="00AD4C60">
    <w:pPr>
      <w:pStyle w:val="Footer"/>
      <w:tabs>
        <w:tab w:val="clear" w:pos="4513"/>
        <w:tab w:val="clear" w:pos="9026"/>
        <w:tab w:val="right" w:pos="8931"/>
      </w:tabs>
    </w:pPr>
    <w:r w:rsidRPr="00AC2929">
      <w:rPr>
        <w:i/>
      </w:rPr>
      <w:t xml:space="preserve">Attachment A </w:t>
    </w:r>
    <w:r w:rsidRPr="00AC2929">
      <w:rPr>
        <w:i/>
      </w:rPr>
      <w:fldChar w:fldCharType="begin"/>
    </w:r>
    <w:r w:rsidRPr="00AC2929">
      <w:rPr>
        <w:i/>
      </w:rPr>
      <w:instrText xml:space="preserve"> REF _Ref473105340 \h </w:instrText>
    </w:r>
    <w:r>
      <w:rPr>
        <w:i/>
      </w:rPr>
      <w:instrText xml:space="preserve"> \* MERGEFORMAT </w:instrText>
    </w:r>
    <w:r w:rsidRPr="00AC2929">
      <w:rPr>
        <w:i/>
      </w:rPr>
    </w:r>
    <w:r w:rsidRPr="00AC2929">
      <w:rPr>
        <w:i/>
      </w:rPr>
      <w:fldChar w:fldCharType="separate"/>
    </w:r>
    <w:r w:rsidR="000A6746" w:rsidRPr="000A6746">
      <w:rPr>
        <w:i/>
      </w:rPr>
      <w:t>Quality assurance</w:t>
    </w:r>
    <w:r w:rsidRPr="00AC2929">
      <w:rPr>
        <w:i/>
      </w:rPr>
      <w:fldChar w:fldCharType="end"/>
    </w:r>
    <w:r w:rsidRPr="00C86815">
      <w:rPr>
        <w:i/>
      </w:rPr>
      <w:tab/>
    </w:r>
    <w:r>
      <w:fldChar w:fldCharType="begin"/>
    </w:r>
    <w:r>
      <w:instrText xml:space="preserve"> PAGE  \* Arabic  \* MERGEFORMAT </w:instrText>
    </w:r>
    <w:r>
      <w:fldChar w:fldCharType="separate"/>
    </w:r>
    <w:r w:rsidR="00CD68E8">
      <w:rPr>
        <w:noProof/>
      </w:rPr>
      <w:t>62</w:t>
    </w:r>
    <w:r>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5A0FC4" w:rsidRDefault="00D87C89" w:rsidP="00AD4C60">
    <w:pPr>
      <w:pStyle w:val="Footer"/>
      <w:tabs>
        <w:tab w:val="clear" w:pos="4513"/>
        <w:tab w:val="clear" w:pos="9026"/>
        <w:tab w:val="right" w:pos="8931"/>
      </w:tabs>
    </w:pPr>
    <w:r>
      <w:rPr>
        <w:i/>
      </w:rPr>
      <w:t>Commission Terminology</w:t>
    </w:r>
    <w:r w:rsidRPr="00C86815">
      <w:rPr>
        <w:i/>
      </w:rPr>
      <w:tab/>
    </w:r>
    <w:r>
      <w:fldChar w:fldCharType="begin"/>
    </w:r>
    <w:r>
      <w:instrText xml:space="preserve"> PAGE  \* Arabic  \* MERGEFORMAT </w:instrText>
    </w:r>
    <w:r>
      <w:fldChar w:fldCharType="separate"/>
    </w:r>
    <w:r w:rsidR="00CD68E8">
      <w:rPr>
        <w:noProof/>
      </w:rPr>
      <w:t>71</w:t>
    </w:r>
    <w:r>
      <w:rPr>
        <w:noProof/>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AD4C60">
    <w:pPr>
      <w:pStyle w:val="Footer"/>
      <w:tabs>
        <w:tab w:val="clear" w:pos="4513"/>
        <w:tab w:val="clear" w:pos="9026"/>
        <w:tab w:val="right" w:pos="8931"/>
      </w:tabs>
    </w:pPr>
    <w:r w:rsidRPr="00C86815">
      <w:rPr>
        <w:i/>
      </w:rPr>
      <w:tab/>
    </w:r>
    <w:r>
      <w:fldChar w:fldCharType="begin"/>
    </w:r>
    <w:r>
      <w:instrText xml:space="preserve"> PAGE  \* Arabic  \* MERGEFORMAT </w:instrText>
    </w:r>
    <w:r>
      <w:fldChar w:fldCharType="separate"/>
    </w:r>
    <w:r w:rsidR="00CD68E8">
      <w:rPr>
        <w:noProof/>
      </w:rPr>
      <w:t>72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Arabic  \* MERGEFORMAT </w:instrText>
    </w:r>
    <w:r>
      <w:fldChar w:fldCharType="separate"/>
    </w:r>
    <w:r w:rsidR="000A6746">
      <w:rPr>
        <w:noProof/>
      </w:rPr>
      <w:t>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7E487F" w:rsidRDefault="00D87C89" w:rsidP="00DC0F02">
    <w:pPr>
      <w:pStyle w:val="Footer"/>
      <w:tabs>
        <w:tab w:val="right" w:pos="8931"/>
      </w:tabs>
      <w:rPr>
        <w:sz w:val="20"/>
        <w:szCs w:val="20"/>
      </w:rPr>
    </w:pPr>
    <w:r>
      <w:rPr>
        <w:sz w:val="20"/>
        <w:szCs w:val="20"/>
      </w:rPr>
      <w:tab/>
    </w:r>
    <w:r>
      <w:rPr>
        <w:sz w:val="20"/>
        <w:szCs w:val="20"/>
      </w:rPr>
      <w:tab/>
    </w:r>
    <w:r>
      <w:fldChar w:fldCharType="begin"/>
    </w:r>
    <w:r>
      <w:instrText xml:space="preserve"> PAGE   \* MERGEFORMAT </w:instrText>
    </w:r>
    <w:r>
      <w:fldChar w:fldCharType="separate"/>
    </w:r>
    <w:r w:rsidR="00CD68E8">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fldChar w:fldCharType="begin"/>
    </w:r>
    <w:r>
      <w:instrText xml:space="preserve"> PAGE   \* MERGEFORMAT </w:instrText>
    </w:r>
    <w:r>
      <w:fldChar w:fldCharType="separate"/>
    </w:r>
    <w:r w:rsidR="00CD68E8">
      <w:rPr>
        <w:noProof/>
      </w:rPr>
      <w:t>iv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7E487F" w:rsidRDefault="00D87C89" w:rsidP="00DC0F02">
    <w:pPr>
      <w:pStyle w:val="Footer"/>
      <w:tabs>
        <w:tab w:val="right" w:pos="8931"/>
      </w:tabs>
      <w:rPr>
        <w:sz w:val="20"/>
        <w:szCs w:val="20"/>
      </w:rPr>
    </w:pPr>
    <w:r>
      <w:rPr>
        <w:sz w:val="20"/>
        <w:szCs w:val="20"/>
      </w:rPr>
      <w:tab/>
    </w:r>
    <w:r>
      <w:rPr>
        <w:sz w:val="20"/>
        <w:szCs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3929D2">
    <w:pPr>
      <w:pStyle w:val="Footer"/>
      <w:jc w:val="right"/>
    </w:pPr>
    <w:r w:rsidRPr="00AC2929">
      <w:rPr>
        <w:i/>
      </w:rPr>
      <w:fldChar w:fldCharType="begin"/>
    </w:r>
    <w:r w:rsidRPr="00AC2929">
      <w:rPr>
        <w:i/>
      </w:rPr>
      <w:instrText xml:space="preserve"> REF _Ref473727170 \h </w:instrText>
    </w:r>
    <w:r>
      <w:rPr>
        <w:i/>
      </w:rPr>
      <w:instrText xml:space="preserve"> \* MERGEFORMAT </w:instrText>
    </w:r>
    <w:r w:rsidRPr="00AC2929">
      <w:rPr>
        <w:i/>
      </w:rPr>
    </w:r>
    <w:r w:rsidRPr="00AC2929">
      <w:rPr>
        <w:i/>
      </w:rPr>
      <w:fldChar w:fldCharType="separate"/>
    </w:r>
    <w:r w:rsidR="000A6746" w:rsidRPr="000A6746">
      <w:rPr>
        <w:i/>
      </w:rPr>
      <w:t>Overview</w:t>
    </w:r>
    <w:r w:rsidRPr="00AC2929">
      <w:rPr>
        <w:i/>
      </w:rPr>
      <w:fldChar w:fldCharType="end"/>
    </w:r>
    <w:r>
      <w:tab/>
    </w:r>
    <w:r>
      <w:tab/>
    </w:r>
    <w:r>
      <w:fldChar w:fldCharType="begin"/>
    </w:r>
    <w:r>
      <w:instrText xml:space="preserve"> PAGE  \* Arabic  \* MERGEFORMAT </w:instrText>
    </w:r>
    <w:r>
      <w:fldChar w:fldCharType="separate"/>
    </w:r>
    <w:r w:rsidR="00CD68E8">
      <w:rPr>
        <w:noProof/>
      </w:rPr>
      <w:t>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E31A39">
    <w:pPr>
      <w:pStyle w:val="Footer"/>
      <w:tabs>
        <w:tab w:val="clear" w:pos="4513"/>
        <w:tab w:val="clear" w:pos="9026"/>
        <w:tab w:val="right" w:pos="10065"/>
      </w:tabs>
    </w:pPr>
    <w:r w:rsidRPr="00BF0D7D">
      <w:rPr>
        <w:i/>
      </w:rPr>
      <w:fldChar w:fldCharType="begin"/>
    </w:r>
    <w:r w:rsidRPr="00BF0D7D">
      <w:rPr>
        <w:i/>
      </w:rPr>
      <w:instrText xml:space="preserve"> REF _Ref473727170 \h </w:instrText>
    </w:r>
    <w:r>
      <w:rPr>
        <w:i/>
      </w:rPr>
      <w:instrText xml:space="preserve"> \* MERGEFORMAT </w:instrText>
    </w:r>
    <w:r w:rsidRPr="00BF0D7D">
      <w:rPr>
        <w:i/>
      </w:rPr>
    </w:r>
    <w:r w:rsidRPr="00BF0D7D">
      <w:rPr>
        <w:i/>
      </w:rPr>
      <w:fldChar w:fldCharType="separate"/>
    </w:r>
    <w:r w:rsidR="000A6746" w:rsidRPr="000A6746">
      <w:rPr>
        <w:i/>
      </w:rPr>
      <w:t>Overview</w:t>
    </w:r>
    <w:r w:rsidRPr="00BF0D7D">
      <w:rPr>
        <w:i/>
      </w:rPr>
      <w:fldChar w:fldCharType="end"/>
    </w:r>
    <w:r w:rsidRPr="00C86815">
      <w:rPr>
        <w:i/>
      </w:rPr>
      <w:tab/>
    </w:r>
    <w:r>
      <w:fldChar w:fldCharType="begin"/>
    </w:r>
    <w:r>
      <w:instrText xml:space="preserve"> PAGE  \* Arabic  \* MERGEFORMAT </w:instrText>
    </w:r>
    <w:r>
      <w:fldChar w:fldCharType="separate"/>
    </w:r>
    <w:r w:rsidR="00CD68E8">
      <w:rPr>
        <w:noProof/>
      </w:rPr>
      <w:t>15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Pr="0011178C" w:rsidRDefault="00D87C89" w:rsidP="00E31A39">
    <w:pPr>
      <w:pStyle w:val="Footer"/>
      <w:tabs>
        <w:tab w:val="clear" w:pos="9026"/>
        <w:tab w:val="right" w:pos="10065"/>
      </w:tabs>
      <w:jc w:val="center"/>
    </w:pPr>
    <w:r w:rsidRPr="00BF0D7D">
      <w:rPr>
        <w:i/>
      </w:rPr>
      <w:fldChar w:fldCharType="begin"/>
    </w:r>
    <w:r w:rsidRPr="00BF0D7D">
      <w:rPr>
        <w:i/>
      </w:rPr>
      <w:instrText xml:space="preserve"> REF _Ref473727170 \h </w:instrText>
    </w:r>
    <w:r>
      <w:rPr>
        <w:i/>
      </w:rPr>
      <w:instrText xml:space="preserve"> \* MERGEFORMAT </w:instrText>
    </w:r>
    <w:r w:rsidRPr="00BF0D7D">
      <w:rPr>
        <w:i/>
      </w:rPr>
    </w:r>
    <w:r w:rsidRPr="00BF0D7D">
      <w:rPr>
        <w:i/>
      </w:rPr>
      <w:fldChar w:fldCharType="separate"/>
    </w:r>
    <w:r w:rsidR="000A6746" w:rsidRPr="000A6746">
      <w:rPr>
        <w:i/>
      </w:rPr>
      <w:t>Overview</w:t>
    </w:r>
    <w:r w:rsidRPr="00BF0D7D">
      <w:rPr>
        <w:i/>
      </w:rPr>
      <w:fldChar w:fldCharType="end"/>
    </w:r>
    <w:r>
      <w:tab/>
    </w:r>
    <w:r>
      <w:tab/>
    </w:r>
    <w:r>
      <w:fldChar w:fldCharType="begin"/>
    </w:r>
    <w:r>
      <w:instrText xml:space="preserve"> PAGE  \* Arabic  \* MERGEFORMAT </w:instrText>
    </w:r>
    <w:r>
      <w:fldChar w:fldCharType="separate"/>
    </w:r>
    <w:r w:rsidR="00CD68E8">
      <w:rPr>
        <w:noProof/>
      </w:rPr>
      <w:t>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7C89" w:rsidRDefault="00D87C89">
      <w:r>
        <w:separator/>
      </w:r>
    </w:p>
  </w:footnote>
  <w:footnote w:type="continuationSeparator" w:id="0">
    <w:p w:rsidR="00D87C89" w:rsidRDefault="00D87C89">
      <w:r>
        <w:continuationSeparator/>
      </w:r>
    </w:p>
  </w:footnote>
  <w:footnote w:id="1">
    <w:p w:rsidR="00D87C89" w:rsidRPr="002A48E0" w:rsidRDefault="00D87C89" w:rsidP="00A54125">
      <w:pPr>
        <w:pStyle w:val="FootnoteText"/>
      </w:pPr>
      <w:r w:rsidRPr="002A48E0">
        <w:rPr>
          <w:rStyle w:val="FootnoteReference"/>
        </w:rPr>
        <w:footnoteRef/>
      </w:r>
      <w:r w:rsidRPr="002A48E0">
        <w:t xml:space="preserve"> </w:t>
      </w:r>
      <w:r w:rsidRPr="002A48E0">
        <w:tab/>
        <w:t xml:space="preserve">The procedure used by the Commission to derive the recommended GST distribution using State revenue, expenditure and </w:t>
      </w:r>
      <w:r>
        <w:t>payments for specific purposes (</w:t>
      </w:r>
      <w:r w:rsidRPr="002A48E0">
        <w:t>PSPs</w:t>
      </w:r>
      <w:r>
        <w:t>)</w:t>
      </w:r>
      <w:r w:rsidRPr="002A48E0">
        <w:t xml:space="preserve"> is called the distribution model. Information about the distribution model is available on the </w:t>
      </w:r>
      <w:hyperlink r:id="rId1" w:history="1">
        <w:r w:rsidRPr="002A48E0">
          <w:rPr>
            <w:rStyle w:val="Hyperlink"/>
          </w:rPr>
          <w:t>Commission’s website</w:t>
        </w:r>
      </w:hyperlink>
      <w:r w:rsidRPr="002A48E0">
        <w:t xml:space="preserve"> (</w:t>
      </w:r>
      <w:r w:rsidRPr="00103485">
        <w:t>https://cgc.gov.au/</w:t>
      </w:r>
      <w:r w:rsidRPr="002A48E0">
        <w:t>).</w:t>
      </w:r>
    </w:p>
  </w:footnote>
  <w:footnote w:id="2">
    <w:p w:rsidR="00D87C89" w:rsidRPr="002A48E0" w:rsidRDefault="00D87C89" w:rsidP="00902B28">
      <w:pPr>
        <w:pStyle w:val="FootnoteText"/>
      </w:pPr>
      <w:r w:rsidRPr="002A48E0">
        <w:rPr>
          <w:rStyle w:val="FootnoteReference"/>
          <w:sz w:val="24"/>
          <w:szCs w:val="24"/>
        </w:rPr>
        <w:footnoteRef/>
      </w:r>
      <w:r w:rsidRPr="002A48E0">
        <w:t xml:space="preserve"> </w:t>
      </w:r>
      <w:r w:rsidRPr="002A48E0">
        <w:tab/>
        <w:t xml:space="preserve">References to changes over time generally reflect the change over the assessment years, from </w:t>
      </w:r>
      <w:r>
        <w:t xml:space="preserve">dropping </w:t>
      </w:r>
      <w:r w:rsidRPr="002A48E0">
        <w:t>201</w:t>
      </w:r>
      <w:r>
        <w:t>3</w:t>
      </w:r>
      <w:r>
        <w:noBreakHyphen/>
      </w:r>
      <w:r w:rsidRPr="002A48E0">
        <w:t>1</w:t>
      </w:r>
      <w:r>
        <w:t>4</w:t>
      </w:r>
      <w:r w:rsidRPr="002A48E0">
        <w:t xml:space="preserve"> </w:t>
      </w:r>
      <w:r>
        <w:t>and including</w:t>
      </w:r>
      <w:r w:rsidRPr="002A48E0">
        <w:t xml:space="preserve"> 201</w:t>
      </w:r>
      <w:r>
        <w:t>6</w:t>
      </w:r>
      <w:r>
        <w:noBreakHyphen/>
      </w:r>
      <w:r w:rsidRPr="002A48E0">
        <w:t>1</w:t>
      </w:r>
      <w:r>
        <w:t>7</w:t>
      </w:r>
      <w:r w:rsidRPr="002A48E0">
        <w:t>. They are not intended to imply current or prospective movements.</w:t>
      </w:r>
    </w:p>
  </w:footnote>
  <w:footnote w:id="3">
    <w:p w:rsidR="00D87C89" w:rsidRPr="002A48E0" w:rsidRDefault="00D87C89" w:rsidP="001F0354">
      <w:pPr>
        <w:pStyle w:val="FootnoteText"/>
      </w:pPr>
      <w:r w:rsidRPr="002A48E0">
        <w:rPr>
          <w:rStyle w:val="FootnoteReference"/>
        </w:rPr>
        <w:footnoteRef/>
      </w:r>
      <w:r w:rsidRPr="002A48E0">
        <w:t xml:space="preserve"> </w:t>
      </w:r>
      <w:r w:rsidRPr="002A48E0">
        <w:tab/>
        <w:t xml:space="preserve">ABS, </w:t>
      </w:r>
      <w:r w:rsidRPr="002A48E0">
        <w:rPr>
          <w:i/>
        </w:rPr>
        <w:t>Australian System of National Accounts</w:t>
      </w:r>
      <w:r w:rsidRPr="002A48E0">
        <w:t>, 2015-16, Cat</w:t>
      </w:r>
      <w:r>
        <w:t xml:space="preserve">. </w:t>
      </w:r>
      <w:proofErr w:type="gramStart"/>
      <w:r>
        <w:t>No.</w:t>
      </w:r>
      <w:r w:rsidRPr="002A48E0">
        <w:t xml:space="preserve"> 5204.0, Table 61.</w:t>
      </w:r>
      <w:proofErr w:type="gramEnd"/>
    </w:p>
  </w:footnote>
  <w:footnote w:id="4">
    <w:p w:rsidR="00D87C89" w:rsidRPr="002A48E0" w:rsidRDefault="00D87C89" w:rsidP="00751414">
      <w:pPr>
        <w:pStyle w:val="FootnoteText"/>
      </w:pPr>
      <w:r w:rsidRPr="002A48E0">
        <w:rPr>
          <w:rStyle w:val="FootnoteReference"/>
        </w:rPr>
        <w:footnoteRef/>
      </w:r>
      <w:r w:rsidRPr="002A48E0">
        <w:t xml:space="preserve"> </w:t>
      </w:r>
      <w:r w:rsidRPr="002A48E0">
        <w:tab/>
      </w:r>
      <w:r>
        <w:t>The Commission</w:t>
      </w:r>
      <w:r w:rsidRPr="002A48E0">
        <w:t xml:space="preserve"> exclude</w:t>
      </w:r>
      <w:r>
        <w:t>s</w:t>
      </w:r>
      <w:r w:rsidRPr="002A48E0">
        <w:t xml:space="preserve"> revenue received through PSPs under certain circumstances, including when directed to do so by the terms of reference. Commonwealth payments </w:t>
      </w:r>
      <w:r>
        <w:t>that have</w:t>
      </w:r>
      <w:r w:rsidRPr="002A48E0">
        <w:t xml:space="preserve"> no impact on the relativities are discussed in </w:t>
      </w:r>
      <w:r>
        <w:fldChar w:fldCharType="begin"/>
      </w:r>
      <w:r>
        <w:instrText xml:space="preserve"> REF _Ref473104310 \h </w:instrText>
      </w:r>
      <w:r>
        <w:fldChar w:fldCharType="separate"/>
      </w:r>
      <w:r w:rsidR="000A6746" w:rsidRPr="002A48E0">
        <w:t>Chapter 2</w:t>
      </w:r>
      <w:r>
        <w:fldChar w:fldCharType="end"/>
      </w:r>
      <w:r w:rsidRPr="002A48E0">
        <w:t>.</w:t>
      </w:r>
    </w:p>
  </w:footnote>
  <w:footnote w:id="5">
    <w:p w:rsidR="00D87C89" w:rsidRDefault="00D87C89">
      <w:pPr>
        <w:pStyle w:val="FootnoteText"/>
      </w:pPr>
      <w:r>
        <w:rPr>
          <w:rStyle w:val="FootnoteReference"/>
        </w:rPr>
        <w:footnoteRef/>
      </w:r>
      <w:r>
        <w:t xml:space="preserve"> </w:t>
      </w:r>
      <w:r>
        <w:tab/>
        <w:t>As measured by births, deaths and net migration.</w:t>
      </w:r>
    </w:p>
  </w:footnote>
  <w:footnote w:id="6">
    <w:p w:rsidR="00D87C89" w:rsidRDefault="00D87C89" w:rsidP="00587C87">
      <w:pPr>
        <w:pStyle w:val="FootnoteText"/>
      </w:pPr>
      <w:r>
        <w:rPr>
          <w:rStyle w:val="FootnoteReference"/>
        </w:rPr>
        <w:footnoteRef/>
      </w:r>
      <w:r>
        <w:t xml:space="preserve"> </w:t>
      </w:r>
      <w:r>
        <w:tab/>
        <w:t xml:space="preserve">Commission staff sent two discussion papers on the issues relevant to this update to the States and asked for comments. These papers are referred to as the </w:t>
      </w:r>
      <w:proofErr w:type="gramStart"/>
      <w:r>
        <w:t>New</w:t>
      </w:r>
      <w:proofErr w:type="gramEnd"/>
      <w:r>
        <w:t xml:space="preserve"> issues paper in this chapter. </w:t>
      </w:r>
    </w:p>
  </w:footnote>
  <w:footnote w:id="7">
    <w:p w:rsidR="00D87C89" w:rsidRDefault="00D87C89">
      <w:pPr>
        <w:pStyle w:val="FootnoteText"/>
      </w:pPr>
      <w:r>
        <w:rPr>
          <w:rStyle w:val="FootnoteReference"/>
        </w:rPr>
        <w:footnoteRef/>
      </w:r>
      <w:r>
        <w:t xml:space="preserve"> </w:t>
      </w:r>
      <w:r>
        <w:tab/>
      </w:r>
      <w:proofErr w:type="spellStart"/>
      <w:r>
        <w:t>IRSEO</w:t>
      </w:r>
      <w:proofErr w:type="spellEnd"/>
      <w:r>
        <w:t xml:space="preserve"> is the Indigenous Relative Socio-economic Outcomes index. </w:t>
      </w:r>
      <w:proofErr w:type="spellStart"/>
      <w:r>
        <w:t>NISEIFA</w:t>
      </w:r>
      <w:proofErr w:type="spellEnd"/>
      <w:r>
        <w:t xml:space="preserve"> is the Non-Indigenous Socio-economic Index for Areas.</w:t>
      </w:r>
    </w:p>
  </w:footnote>
  <w:footnote w:id="8">
    <w:p w:rsidR="00D87C89" w:rsidRDefault="00D87C89" w:rsidP="00B614D6">
      <w:pPr>
        <w:pStyle w:val="FootnoteText"/>
      </w:pPr>
      <w:r>
        <w:rPr>
          <w:rStyle w:val="FootnoteReference"/>
        </w:rPr>
        <w:footnoteRef/>
      </w:r>
      <w:r>
        <w:t xml:space="preserve"> </w:t>
      </w:r>
      <w:r>
        <w:tab/>
        <w:t xml:space="preserve">The Local roads component of the Roads assessment uses </w:t>
      </w:r>
      <w:r w:rsidRPr="00E76620">
        <w:t>remote and very remote regions with a population density below 0.01 persons per km</w:t>
      </w:r>
      <w:r w:rsidRPr="00E76620">
        <w:rPr>
          <w:vertAlign w:val="superscript"/>
        </w:rPr>
        <w:t>2</w:t>
      </w:r>
      <w:r>
        <w:t>.</w:t>
      </w:r>
    </w:p>
  </w:footnote>
  <w:footnote w:id="9">
    <w:p w:rsidR="00D87C89" w:rsidRDefault="00D87C89" w:rsidP="00B614D6">
      <w:pPr>
        <w:pStyle w:val="FootnoteText"/>
      </w:pPr>
      <w:r>
        <w:rPr>
          <w:rStyle w:val="FootnoteReference"/>
        </w:rPr>
        <w:footnoteRef/>
      </w:r>
      <w:r>
        <w:t xml:space="preserve"> </w:t>
      </w:r>
      <w:r>
        <w:tab/>
        <w:t xml:space="preserve">The utilities subsidies component of the Services to </w:t>
      </w:r>
      <w:proofErr w:type="gramStart"/>
      <w:r>
        <w:t>communities</w:t>
      </w:r>
      <w:proofErr w:type="gramEnd"/>
      <w:r>
        <w:t xml:space="preserve"> assessment uses the populations of urban areas of 50 to 1000 people in remote or very remote areas.</w:t>
      </w:r>
    </w:p>
  </w:footnote>
  <w:footnote w:id="10">
    <w:p w:rsidR="00D87C89" w:rsidRDefault="00D87C89" w:rsidP="009C12A5">
      <w:pPr>
        <w:pStyle w:val="FootnoteText"/>
        <w:keepNext/>
      </w:pPr>
      <w:r>
        <w:rPr>
          <w:rStyle w:val="FootnoteReference"/>
        </w:rPr>
        <w:footnoteRef/>
      </w:r>
      <w:r>
        <w:t xml:space="preserve"> </w:t>
      </w:r>
      <w:r>
        <w:tab/>
        <w:t>The ACT data show that the notional employer contribution rate (</w:t>
      </w:r>
      <w:proofErr w:type="spellStart"/>
      <w:r>
        <w:t>NECR</w:t>
      </w:r>
      <w:proofErr w:type="spellEnd"/>
      <w:r>
        <w:t>), the actuarially assessed unit cost, for the PSS increased from 15.4% in 2002</w:t>
      </w:r>
      <w:r>
        <w:noBreakHyphen/>
        <w:t>03 to 19.8% in 2016</w:t>
      </w:r>
      <w:r>
        <w:noBreakHyphen/>
        <w:t>17. It said that the 2016</w:t>
      </w:r>
      <w:r>
        <w:noBreakHyphen/>
        <w:t xml:space="preserve">17 </w:t>
      </w:r>
      <w:proofErr w:type="spellStart"/>
      <w:r>
        <w:t>NECR</w:t>
      </w:r>
      <w:proofErr w:type="spellEnd"/>
      <w:r>
        <w:t xml:space="preserve"> was 7.51 percentage points higher than a weighted average of defined benefit schemes </w:t>
      </w:r>
      <w:proofErr w:type="spellStart"/>
      <w:r>
        <w:t>NECRs</w:t>
      </w:r>
      <w:proofErr w:type="spellEnd"/>
      <w:r>
        <w:t xml:space="preserve"> in New South Wales and Victoria, and 9.97 percentage points higher than a weighted average of superannuation guarantee rates in six States.</w:t>
      </w:r>
    </w:p>
  </w:footnote>
  <w:footnote w:id="11">
    <w:p w:rsidR="00D87C89" w:rsidRDefault="00D87C89" w:rsidP="009C12A5">
      <w:pPr>
        <w:pStyle w:val="FootnoteText"/>
      </w:pPr>
      <w:r>
        <w:rPr>
          <w:rStyle w:val="FootnoteReference"/>
        </w:rPr>
        <w:footnoteRef/>
      </w:r>
      <w:r>
        <w:t xml:space="preserve"> </w:t>
      </w:r>
      <w:r>
        <w:tab/>
        <w:t xml:space="preserve">It said that the standardised approach taken to the actuarial determination of the cost of government superannuation schemes, reflected in the </w:t>
      </w:r>
      <w:proofErr w:type="spellStart"/>
      <w:r>
        <w:t>NECR</w:t>
      </w:r>
      <w:proofErr w:type="spellEnd"/>
      <w:r>
        <w:t xml:space="preserve">, meant that </w:t>
      </w:r>
      <w:proofErr w:type="spellStart"/>
      <w:r>
        <w:t>NECRs</w:t>
      </w:r>
      <w:proofErr w:type="spellEnd"/>
      <w:r>
        <w:t xml:space="preserve"> can legitimately be compared across schemes.</w:t>
      </w:r>
    </w:p>
  </w:footnote>
  <w:footnote w:id="12">
    <w:p w:rsidR="00D87C89" w:rsidRDefault="00D87C89" w:rsidP="009C12A5">
      <w:pPr>
        <w:pStyle w:val="FootnoteText"/>
      </w:pPr>
      <w:r>
        <w:rPr>
          <w:rStyle w:val="FootnoteReference"/>
        </w:rPr>
        <w:footnoteRef/>
      </w:r>
      <w:r>
        <w:t xml:space="preserve"> </w:t>
      </w:r>
      <w:r>
        <w:tab/>
        <w:t xml:space="preserve">ACT employees who were </w:t>
      </w:r>
      <w:proofErr w:type="spellStart"/>
      <w:r>
        <w:t>CSS</w:t>
      </w:r>
      <w:proofErr w:type="spellEnd"/>
      <w:r>
        <w:t xml:space="preserve"> members at the time the scheme closed to new members were given the option to remain in the </w:t>
      </w:r>
      <w:proofErr w:type="spellStart"/>
      <w:r>
        <w:t>CSS</w:t>
      </w:r>
      <w:proofErr w:type="spellEnd"/>
      <w:r>
        <w:t xml:space="preserve"> or move to the PSS. That option expired on 30 June 1991.</w:t>
      </w:r>
    </w:p>
  </w:footnote>
  <w:footnote w:id="13">
    <w:p w:rsidR="00D87C89" w:rsidRDefault="00D87C89">
      <w:pPr>
        <w:pStyle w:val="FootnoteText"/>
      </w:pPr>
      <w:r>
        <w:rPr>
          <w:rStyle w:val="FootnoteReference"/>
        </w:rPr>
        <w:footnoteRef/>
      </w:r>
      <w:r>
        <w:t xml:space="preserve"> </w:t>
      </w:r>
      <w:r>
        <w:tab/>
        <w:t>All the hospitals were de</w:t>
      </w:r>
      <w:r>
        <w:noBreakHyphen/>
        <w:t>identified and only hospital codes were provided by IHPA.</w:t>
      </w:r>
    </w:p>
  </w:footnote>
  <w:footnote w:id="14">
    <w:p w:rsidR="00D87C89" w:rsidRDefault="00D87C89" w:rsidP="00560DEA">
      <w:pPr>
        <w:pStyle w:val="FootnoteText"/>
      </w:pPr>
      <w:r>
        <w:rPr>
          <w:rStyle w:val="FootnoteReference"/>
        </w:rPr>
        <w:footnoteRef/>
      </w:r>
      <w:r>
        <w:t xml:space="preserve"> </w:t>
      </w:r>
      <w:r>
        <w:tab/>
        <w:t>None of the 163 hospitals reported to ES in 2014</w:t>
      </w:r>
      <w:r>
        <w:noBreakHyphen/>
        <w:t>15.</w:t>
      </w:r>
    </w:p>
  </w:footnote>
  <w:footnote w:id="15">
    <w:p w:rsidR="00D87C89" w:rsidRDefault="00D87C89" w:rsidP="00560DEA">
      <w:pPr>
        <w:pStyle w:val="FootnoteText"/>
      </w:pPr>
      <w:r>
        <w:rPr>
          <w:rStyle w:val="FootnoteReference"/>
        </w:rPr>
        <w:footnoteRef/>
      </w:r>
      <w:r>
        <w:t xml:space="preserve"> </w:t>
      </w:r>
      <w:r>
        <w:tab/>
        <w:t>The transfer of ownership of the Hospital (estimated value of $10 million) is effective from 1 July 2017.</w:t>
      </w:r>
    </w:p>
  </w:footnote>
  <w:footnote w:id="16">
    <w:p w:rsidR="00D87C89" w:rsidRDefault="00D87C89" w:rsidP="00CD1552">
      <w:pPr>
        <w:pStyle w:val="FootnoteText"/>
      </w:pPr>
      <w:r>
        <w:rPr>
          <w:rStyle w:val="FootnoteReference"/>
        </w:rPr>
        <w:footnoteRef/>
      </w:r>
      <w:r>
        <w:t xml:space="preserve"> </w:t>
      </w:r>
      <w:r>
        <w:tab/>
        <w:t>Clause 6(d) of the terms of reference also says the Commission may determine to treat particular (facilitation) payments differently, reflecting the nature of the payment and the role of State governments in providing particular services.</w:t>
      </w:r>
    </w:p>
  </w:footnote>
  <w:footnote w:id="17">
    <w:p w:rsidR="00D87C89" w:rsidRDefault="00D87C89" w:rsidP="00CD1552">
      <w:pPr>
        <w:pStyle w:val="FootnoteText"/>
      </w:pPr>
      <w:r>
        <w:rPr>
          <w:rStyle w:val="FootnoteReference"/>
        </w:rPr>
        <w:footnoteRef/>
      </w:r>
      <w:r>
        <w:t xml:space="preserve"> </w:t>
      </w:r>
      <w:r>
        <w:tab/>
        <w:t xml:space="preserve">See the </w:t>
      </w:r>
      <w:r w:rsidRPr="00C82D47">
        <w:rPr>
          <w:i/>
        </w:rPr>
        <w:t>Treatment of Commonwealth payments</w:t>
      </w:r>
      <w:r>
        <w:t xml:space="preserve"> document under the 2018 Update/Supporting Information/Supporting Documentation section on the Commission’s website.</w:t>
      </w:r>
    </w:p>
  </w:footnote>
  <w:footnote w:id="18">
    <w:p w:rsidR="00D87C89" w:rsidRPr="00425EEC" w:rsidRDefault="00D87C89" w:rsidP="00647AE9">
      <w:pPr>
        <w:pStyle w:val="FootnoteText"/>
        <w:rPr>
          <w:i/>
        </w:rPr>
      </w:pPr>
      <w:r>
        <w:rPr>
          <w:rStyle w:val="FootnoteReference"/>
        </w:rPr>
        <w:footnoteRef/>
      </w:r>
      <w:r>
        <w:t xml:space="preserve"> </w:t>
      </w:r>
      <w:r>
        <w:tab/>
        <w:t xml:space="preserve">See </w:t>
      </w:r>
      <w:r>
        <w:rPr>
          <w:i/>
        </w:rPr>
        <w:t>Report on GST Revenue Sharing Relativities – 2010 Review, Volume 2, Attachment A.</w:t>
      </w:r>
    </w:p>
  </w:footnote>
  <w:footnote w:id="19">
    <w:p w:rsidR="00D87C89" w:rsidRDefault="00D87C89" w:rsidP="00F12CCC">
      <w:pPr>
        <w:pStyle w:val="FootnoteText"/>
      </w:pPr>
      <w:r>
        <w:rPr>
          <w:rStyle w:val="FootnoteReference"/>
        </w:rPr>
        <w:footnoteRef/>
      </w:r>
      <w:r>
        <w:t xml:space="preserve"> </w:t>
      </w:r>
      <w:r>
        <w:tab/>
        <w:t>T</w:t>
      </w:r>
      <w:r w:rsidRPr="002A48E0">
        <w:rPr>
          <w:szCs w:val="24"/>
        </w:rPr>
        <w:t xml:space="preserve">he </w:t>
      </w:r>
      <w:r w:rsidRPr="009D36D4">
        <w:rPr>
          <w:i/>
          <w:szCs w:val="24"/>
        </w:rPr>
        <w:t>2015</w:t>
      </w:r>
      <w:r>
        <w:rPr>
          <w:i/>
          <w:szCs w:val="24"/>
        </w:rPr>
        <w:t> </w:t>
      </w:r>
      <w:r w:rsidRPr="009D36D4">
        <w:rPr>
          <w:i/>
          <w:szCs w:val="24"/>
        </w:rPr>
        <w:t xml:space="preserve">Review </w:t>
      </w:r>
      <w:r w:rsidRPr="002A48E0">
        <w:rPr>
          <w:i/>
          <w:szCs w:val="24"/>
        </w:rPr>
        <w:t>Quality Assurance Strategic Plan</w:t>
      </w:r>
      <w:r w:rsidRPr="002A48E0">
        <w:rPr>
          <w:szCs w:val="24"/>
        </w:rPr>
        <w:t xml:space="preserve"> requires about 25% of all assessments be checked in four updates by</w:t>
      </w:r>
      <w:r>
        <w:rPr>
          <w:szCs w:val="24"/>
        </w:rPr>
        <w:t xml:space="preserve"> external auditors.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Default="00D87C89" w:rsidP="007F77E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Default="00D87C89" w:rsidP="007F77E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C89" w:rsidRDefault="00D87C89" w:rsidP="007F77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7810CE2"/>
    <w:multiLevelType w:val="hybridMultilevel"/>
    <w:tmpl w:val="B6C099E0"/>
    <w:lvl w:ilvl="0" w:tplc="B98003DA">
      <w:start w:val="1"/>
      <w:numFmt w:val="decimal"/>
      <w:pStyle w:val="11para"/>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014A20"/>
    <w:multiLevelType w:val="multilevel"/>
    <w:tmpl w:val="02083FDC"/>
    <w:lvl w:ilvl="0">
      <w:start w:val="1"/>
      <w:numFmt w:val="bulle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6">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7">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755A0B"/>
    <w:multiLevelType w:val="hybridMultilevel"/>
    <w:tmpl w:val="4ADC5AF2"/>
    <w:lvl w:ilvl="0" w:tplc="B4ACBAB0">
      <w:start w:val="1"/>
      <w:numFmt w:val="decimal"/>
      <w:pStyle w:val="21para"/>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85F16F4"/>
    <w:multiLevelType w:val="hybridMultilevel"/>
    <w:tmpl w:val="8D22B1EE"/>
    <w:lvl w:ilvl="0" w:tplc="AE7EAED4">
      <w:start w:val="1"/>
      <w:numFmt w:val="decimal"/>
      <w:pStyle w:val="A1AttachmentAlist"/>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9">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2"/>
  </w:num>
  <w:num w:numId="4">
    <w:abstractNumId w:val="19"/>
  </w:num>
  <w:num w:numId="5">
    <w:abstractNumId w:val="19"/>
  </w:num>
  <w:num w:numId="6">
    <w:abstractNumId w:val="6"/>
  </w:num>
  <w:num w:numId="7">
    <w:abstractNumId w:val="6"/>
  </w:num>
  <w:num w:numId="8">
    <w:abstractNumId w:val="6"/>
  </w:num>
  <w:num w:numId="9">
    <w:abstractNumId w:val="6"/>
  </w:num>
  <w:num w:numId="10">
    <w:abstractNumId w:val="18"/>
  </w:num>
  <w:num w:numId="11">
    <w:abstractNumId w:val="7"/>
  </w:num>
  <w:num w:numId="12">
    <w:abstractNumId w:val="2"/>
  </w:num>
  <w:num w:numId="13">
    <w:abstractNumId w:val="19"/>
  </w:num>
  <w:num w:numId="14">
    <w:abstractNumId w:val="6"/>
  </w:num>
  <w:num w:numId="15">
    <w:abstractNumId w:val="6"/>
  </w:num>
  <w:num w:numId="16">
    <w:abstractNumId w:val="6"/>
  </w:num>
  <w:num w:numId="17">
    <w:abstractNumId w:val="6"/>
  </w:num>
  <w:num w:numId="18">
    <w:abstractNumId w:val="0"/>
  </w:num>
  <w:num w:numId="19">
    <w:abstractNumId w:val="13"/>
  </w:num>
  <w:num w:numId="20">
    <w:abstractNumId w:val="14"/>
  </w:num>
  <w:num w:numId="21">
    <w:abstractNumId w:val="3"/>
  </w:num>
  <w:num w:numId="22">
    <w:abstractNumId w:val="9"/>
  </w:num>
  <w:num w:numId="23">
    <w:abstractNumId w:val="17"/>
  </w:num>
  <w:num w:numId="24">
    <w:abstractNumId w:val="4"/>
  </w:num>
  <w:num w:numId="25">
    <w:abstractNumId w:val="15"/>
  </w:num>
  <w:num w:numId="26">
    <w:abstractNumId w:val="2"/>
  </w:num>
  <w:num w:numId="27">
    <w:abstractNumId w:val="10"/>
  </w:num>
  <w:num w:numId="28">
    <w:abstractNumId w:val="16"/>
  </w:num>
  <w:num w:numId="29">
    <w:abstractNumId w:val="8"/>
  </w:num>
  <w:num w:numId="30">
    <w:abstractNumId w:val="7"/>
    <w:lvlOverride w:ilvl="0">
      <w:startOverride w:val="1"/>
    </w:lvlOverride>
  </w:num>
  <w:num w:numId="31">
    <w:abstractNumId w:val="18"/>
  </w:num>
  <w:num w:numId="32">
    <w:abstractNumId w:val="2"/>
  </w:num>
  <w:num w:numId="33">
    <w:abstractNumId w:val="7"/>
  </w:num>
  <w:num w:numId="34">
    <w:abstractNumId w:val="19"/>
  </w:num>
  <w:num w:numId="35">
    <w:abstractNumId w:val="13"/>
  </w:num>
  <w:num w:numId="36">
    <w:abstractNumId w:val="18"/>
  </w:num>
  <w:num w:numId="37">
    <w:abstractNumId w:val="2"/>
  </w:num>
  <w:num w:numId="38">
    <w:abstractNumId w:val="7"/>
  </w:num>
  <w:num w:numId="39">
    <w:abstractNumId w:val="19"/>
  </w:num>
  <w:num w:numId="40">
    <w:abstractNumId w:val="13"/>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1"/>
  </w:num>
  <w:num w:numId="47">
    <w:abstractNumId w:val="18"/>
    <w:lvlOverride w:ilvl="0">
      <w:lvl w:ilvl="0">
        <w:start w:val="1"/>
        <w:numFmt w:val="bullet"/>
        <w:pStyle w:val="CGCBulletlist"/>
        <w:lvlText w:val=""/>
        <w:lvlJc w:val="left"/>
        <w:pPr>
          <w:tabs>
            <w:tab w:val="num" w:pos="927"/>
          </w:tabs>
          <w:ind w:left="927" w:hanging="360"/>
        </w:pPr>
        <w:rPr>
          <w:rFonts w:ascii="Symbol" w:hAnsi="Symbol" w:hint="default"/>
        </w:rPr>
      </w:lvl>
    </w:lvlOverride>
    <w:lvlOverride w:ilvl="1">
      <w:lvl w:ilvl="1">
        <w:start w:val="1"/>
        <w:numFmt w:val="lowerLetter"/>
        <w:lvlText w:val="%2)"/>
        <w:lvlJc w:val="left"/>
        <w:pPr>
          <w:tabs>
            <w:tab w:val="num" w:pos="1593"/>
          </w:tabs>
          <w:ind w:left="1593" w:hanging="360"/>
        </w:pPr>
        <w:rPr>
          <w:rFonts w:hint="default"/>
        </w:rPr>
      </w:lvl>
    </w:lvlOverride>
    <w:lvlOverride w:ilvl="2">
      <w:lvl w:ilvl="2">
        <w:start w:val="1"/>
        <w:numFmt w:val="lowerRoman"/>
        <w:lvlText w:val="%3)"/>
        <w:lvlJc w:val="left"/>
        <w:pPr>
          <w:tabs>
            <w:tab w:val="num" w:pos="1953"/>
          </w:tabs>
          <w:ind w:left="1953" w:hanging="360"/>
        </w:pPr>
        <w:rPr>
          <w:rFonts w:hint="default"/>
        </w:rPr>
      </w:lvl>
    </w:lvlOverride>
    <w:lvlOverride w:ilvl="3">
      <w:lvl w:ilvl="3">
        <w:start w:val="1"/>
        <w:numFmt w:val="decimal"/>
        <w:lvlText w:val="(%4)"/>
        <w:lvlJc w:val="left"/>
        <w:pPr>
          <w:tabs>
            <w:tab w:val="num" w:pos="2313"/>
          </w:tabs>
          <w:ind w:left="2313" w:hanging="360"/>
        </w:pPr>
        <w:rPr>
          <w:rFonts w:hint="default"/>
        </w:rPr>
      </w:lvl>
    </w:lvlOverride>
    <w:lvlOverride w:ilvl="4">
      <w:lvl w:ilvl="4">
        <w:start w:val="1"/>
        <w:numFmt w:val="lowerLetter"/>
        <w:lvlText w:val="(%5)"/>
        <w:lvlJc w:val="left"/>
        <w:pPr>
          <w:tabs>
            <w:tab w:val="num" w:pos="2673"/>
          </w:tabs>
          <w:ind w:left="2673" w:hanging="360"/>
        </w:pPr>
        <w:rPr>
          <w:rFonts w:hint="default"/>
        </w:rPr>
      </w:lvl>
    </w:lvlOverride>
    <w:lvlOverride w:ilvl="5">
      <w:lvl w:ilvl="5">
        <w:start w:val="1"/>
        <w:numFmt w:val="lowerRoman"/>
        <w:lvlText w:val="(%6)"/>
        <w:lvlJc w:val="left"/>
        <w:pPr>
          <w:tabs>
            <w:tab w:val="num" w:pos="3033"/>
          </w:tabs>
          <w:ind w:left="3033" w:hanging="360"/>
        </w:pPr>
        <w:rPr>
          <w:rFonts w:hint="default"/>
        </w:rPr>
      </w:lvl>
    </w:lvlOverride>
    <w:lvlOverride w:ilvl="6">
      <w:lvl w:ilvl="6">
        <w:start w:val="1"/>
        <w:numFmt w:val="decimal"/>
        <w:lvlText w:val="%7."/>
        <w:lvlJc w:val="left"/>
        <w:pPr>
          <w:tabs>
            <w:tab w:val="num" w:pos="3393"/>
          </w:tabs>
          <w:ind w:left="3393" w:hanging="360"/>
        </w:pPr>
        <w:rPr>
          <w:rFonts w:hint="default"/>
        </w:rPr>
      </w:lvl>
    </w:lvlOverride>
    <w:lvlOverride w:ilvl="7">
      <w:lvl w:ilvl="7">
        <w:start w:val="1"/>
        <w:numFmt w:val="lowerLetter"/>
        <w:lvlText w:val="%8."/>
        <w:lvlJc w:val="left"/>
        <w:pPr>
          <w:tabs>
            <w:tab w:val="num" w:pos="3753"/>
          </w:tabs>
          <w:ind w:left="3753" w:hanging="360"/>
        </w:pPr>
        <w:rPr>
          <w:rFonts w:hint="default"/>
        </w:rPr>
      </w:lvl>
    </w:lvlOverride>
    <w:lvlOverride w:ilvl="8">
      <w:lvl w:ilvl="8">
        <w:start w:val="1"/>
        <w:numFmt w:val="lowerRoman"/>
        <w:lvlText w:val="%9."/>
        <w:lvlJc w:val="left"/>
        <w:pPr>
          <w:tabs>
            <w:tab w:val="num" w:pos="4113"/>
          </w:tabs>
          <w:ind w:left="4113" w:hanging="360"/>
        </w:pPr>
        <w:rPr>
          <w:rFonts w:hint="default"/>
        </w:rPr>
      </w:lvl>
    </w:lvlOverride>
  </w:num>
  <w:num w:numId="48">
    <w:abstractNumId w:val="5"/>
  </w:num>
  <w:num w:numId="49">
    <w:abstractNumId w:val="12"/>
  </w:num>
  <w:num w:numId="50">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35B"/>
    <w:rsid w:val="00003EF5"/>
    <w:rsid w:val="000045A0"/>
    <w:rsid w:val="0000652D"/>
    <w:rsid w:val="00007EA6"/>
    <w:rsid w:val="000119B7"/>
    <w:rsid w:val="00012D63"/>
    <w:rsid w:val="00016FE0"/>
    <w:rsid w:val="00022EA9"/>
    <w:rsid w:val="00023A1A"/>
    <w:rsid w:val="00024745"/>
    <w:rsid w:val="00025824"/>
    <w:rsid w:val="00032F41"/>
    <w:rsid w:val="0004123E"/>
    <w:rsid w:val="000414EC"/>
    <w:rsid w:val="00041748"/>
    <w:rsid w:val="00041E84"/>
    <w:rsid w:val="000424EA"/>
    <w:rsid w:val="0004722F"/>
    <w:rsid w:val="00047FCF"/>
    <w:rsid w:val="000523F3"/>
    <w:rsid w:val="000547A3"/>
    <w:rsid w:val="00056373"/>
    <w:rsid w:val="00061111"/>
    <w:rsid w:val="00061CE0"/>
    <w:rsid w:val="000624BB"/>
    <w:rsid w:val="000648E8"/>
    <w:rsid w:val="0006655E"/>
    <w:rsid w:val="00067B18"/>
    <w:rsid w:val="00070D6D"/>
    <w:rsid w:val="000718FE"/>
    <w:rsid w:val="0007678E"/>
    <w:rsid w:val="0008020E"/>
    <w:rsid w:val="00081CF6"/>
    <w:rsid w:val="00082F26"/>
    <w:rsid w:val="00091CBE"/>
    <w:rsid w:val="00092AED"/>
    <w:rsid w:val="00093796"/>
    <w:rsid w:val="000A1DB8"/>
    <w:rsid w:val="000A2A1C"/>
    <w:rsid w:val="000A3898"/>
    <w:rsid w:val="000A52A1"/>
    <w:rsid w:val="000A6746"/>
    <w:rsid w:val="000A6E5B"/>
    <w:rsid w:val="000B25CA"/>
    <w:rsid w:val="000B2942"/>
    <w:rsid w:val="000B3557"/>
    <w:rsid w:val="000B49E5"/>
    <w:rsid w:val="000B64E3"/>
    <w:rsid w:val="000B660A"/>
    <w:rsid w:val="000B6905"/>
    <w:rsid w:val="000B7B6F"/>
    <w:rsid w:val="000C15F1"/>
    <w:rsid w:val="000C36E8"/>
    <w:rsid w:val="000C629D"/>
    <w:rsid w:val="000D079A"/>
    <w:rsid w:val="000D1354"/>
    <w:rsid w:val="000D138E"/>
    <w:rsid w:val="000D42C4"/>
    <w:rsid w:val="000D6066"/>
    <w:rsid w:val="000D61F4"/>
    <w:rsid w:val="000D66E8"/>
    <w:rsid w:val="000D6EE8"/>
    <w:rsid w:val="000D716E"/>
    <w:rsid w:val="000D7C54"/>
    <w:rsid w:val="000E0210"/>
    <w:rsid w:val="000E2F86"/>
    <w:rsid w:val="000E65FF"/>
    <w:rsid w:val="000E6AA5"/>
    <w:rsid w:val="000E7F56"/>
    <w:rsid w:val="000F1CDA"/>
    <w:rsid w:val="000F6587"/>
    <w:rsid w:val="001039C2"/>
    <w:rsid w:val="001040AD"/>
    <w:rsid w:val="00105A4A"/>
    <w:rsid w:val="0011178C"/>
    <w:rsid w:val="00112CF0"/>
    <w:rsid w:val="00116926"/>
    <w:rsid w:val="0012031A"/>
    <w:rsid w:val="00120327"/>
    <w:rsid w:val="001211AB"/>
    <w:rsid w:val="001211B5"/>
    <w:rsid w:val="001218B8"/>
    <w:rsid w:val="00122BC2"/>
    <w:rsid w:val="00124ED1"/>
    <w:rsid w:val="001262D5"/>
    <w:rsid w:val="00132E9E"/>
    <w:rsid w:val="00136497"/>
    <w:rsid w:val="0014143B"/>
    <w:rsid w:val="00141BD1"/>
    <w:rsid w:val="001445B8"/>
    <w:rsid w:val="00144BF2"/>
    <w:rsid w:val="00147115"/>
    <w:rsid w:val="001477CE"/>
    <w:rsid w:val="0015059E"/>
    <w:rsid w:val="00151E58"/>
    <w:rsid w:val="00160729"/>
    <w:rsid w:val="0016723A"/>
    <w:rsid w:val="00171A05"/>
    <w:rsid w:val="00172F3A"/>
    <w:rsid w:val="001730FD"/>
    <w:rsid w:val="00173798"/>
    <w:rsid w:val="00173BE6"/>
    <w:rsid w:val="00173E72"/>
    <w:rsid w:val="001761FE"/>
    <w:rsid w:val="00176BBC"/>
    <w:rsid w:val="001770CD"/>
    <w:rsid w:val="001774AF"/>
    <w:rsid w:val="00177CC8"/>
    <w:rsid w:val="001807C0"/>
    <w:rsid w:val="00180B6A"/>
    <w:rsid w:val="001811DE"/>
    <w:rsid w:val="001835CD"/>
    <w:rsid w:val="00184548"/>
    <w:rsid w:val="00187145"/>
    <w:rsid w:val="0019260F"/>
    <w:rsid w:val="00195286"/>
    <w:rsid w:val="001A053C"/>
    <w:rsid w:val="001A0A6B"/>
    <w:rsid w:val="001A5321"/>
    <w:rsid w:val="001A5372"/>
    <w:rsid w:val="001A78AB"/>
    <w:rsid w:val="001B0110"/>
    <w:rsid w:val="001B11CE"/>
    <w:rsid w:val="001B186B"/>
    <w:rsid w:val="001B3048"/>
    <w:rsid w:val="001B3EE4"/>
    <w:rsid w:val="001B51B4"/>
    <w:rsid w:val="001B696E"/>
    <w:rsid w:val="001B6A56"/>
    <w:rsid w:val="001B7C12"/>
    <w:rsid w:val="001C4313"/>
    <w:rsid w:val="001C469B"/>
    <w:rsid w:val="001C67A6"/>
    <w:rsid w:val="001C6A71"/>
    <w:rsid w:val="001D496C"/>
    <w:rsid w:val="001D638B"/>
    <w:rsid w:val="001D6DFA"/>
    <w:rsid w:val="001D70A2"/>
    <w:rsid w:val="001D7293"/>
    <w:rsid w:val="001E21B0"/>
    <w:rsid w:val="001E6180"/>
    <w:rsid w:val="001E674B"/>
    <w:rsid w:val="001E68FC"/>
    <w:rsid w:val="001F0354"/>
    <w:rsid w:val="001F59C3"/>
    <w:rsid w:val="001F5EDD"/>
    <w:rsid w:val="00204026"/>
    <w:rsid w:val="002052A4"/>
    <w:rsid w:val="002067E2"/>
    <w:rsid w:val="00207F75"/>
    <w:rsid w:val="00210711"/>
    <w:rsid w:val="00212948"/>
    <w:rsid w:val="002142D6"/>
    <w:rsid w:val="00216717"/>
    <w:rsid w:val="00217839"/>
    <w:rsid w:val="0022167E"/>
    <w:rsid w:val="00223E64"/>
    <w:rsid w:val="00225A3B"/>
    <w:rsid w:val="00225F16"/>
    <w:rsid w:val="002275C9"/>
    <w:rsid w:val="00230727"/>
    <w:rsid w:val="0023081D"/>
    <w:rsid w:val="0023329C"/>
    <w:rsid w:val="0023358F"/>
    <w:rsid w:val="00233DC0"/>
    <w:rsid w:val="0023415A"/>
    <w:rsid w:val="002350C3"/>
    <w:rsid w:val="0023564E"/>
    <w:rsid w:val="00235C49"/>
    <w:rsid w:val="00235CBA"/>
    <w:rsid w:val="00236DC0"/>
    <w:rsid w:val="002373A2"/>
    <w:rsid w:val="00242517"/>
    <w:rsid w:val="0024260B"/>
    <w:rsid w:val="0024401F"/>
    <w:rsid w:val="0024436A"/>
    <w:rsid w:val="0024569B"/>
    <w:rsid w:val="00246F6E"/>
    <w:rsid w:val="0025048D"/>
    <w:rsid w:val="00252730"/>
    <w:rsid w:val="002552AB"/>
    <w:rsid w:val="00255B5A"/>
    <w:rsid w:val="002567DB"/>
    <w:rsid w:val="0025713B"/>
    <w:rsid w:val="00260A18"/>
    <w:rsid w:val="002634A7"/>
    <w:rsid w:val="002656BF"/>
    <w:rsid w:val="002671A2"/>
    <w:rsid w:val="00267496"/>
    <w:rsid w:val="00273419"/>
    <w:rsid w:val="00275B68"/>
    <w:rsid w:val="00275F0C"/>
    <w:rsid w:val="002814BC"/>
    <w:rsid w:val="002845EA"/>
    <w:rsid w:val="002851B6"/>
    <w:rsid w:val="00285222"/>
    <w:rsid w:val="00286EBE"/>
    <w:rsid w:val="00291F23"/>
    <w:rsid w:val="0029367C"/>
    <w:rsid w:val="00295B70"/>
    <w:rsid w:val="002978FB"/>
    <w:rsid w:val="002A2A08"/>
    <w:rsid w:val="002A2D93"/>
    <w:rsid w:val="002A3A7D"/>
    <w:rsid w:val="002A4D57"/>
    <w:rsid w:val="002A4E42"/>
    <w:rsid w:val="002A67DD"/>
    <w:rsid w:val="002A6E89"/>
    <w:rsid w:val="002A77C3"/>
    <w:rsid w:val="002B0086"/>
    <w:rsid w:val="002B10B0"/>
    <w:rsid w:val="002B169C"/>
    <w:rsid w:val="002B2A70"/>
    <w:rsid w:val="002B693F"/>
    <w:rsid w:val="002B6EFD"/>
    <w:rsid w:val="002B6F33"/>
    <w:rsid w:val="002B79F0"/>
    <w:rsid w:val="002B7F3E"/>
    <w:rsid w:val="002C080D"/>
    <w:rsid w:val="002C1D9C"/>
    <w:rsid w:val="002C2B62"/>
    <w:rsid w:val="002C2FCC"/>
    <w:rsid w:val="002C366F"/>
    <w:rsid w:val="002C46B8"/>
    <w:rsid w:val="002C4CA9"/>
    <w:rsid w:val="002C5825"/>
    <w:rsid w:val="002C6284"/>
    <w:rsid w:val="002D2270"/>
    <w:rsid w:val="002D6EC9"/>
    <w:rsid w:val="002E25A8"/>
    <w:rsid w:val="002E2BBD"/>
    <w:rsid w:val="002E6415"/>
    <w:rsid w:val="002E696E"/>
    <w:rsid w:val="002E78CD"/>
    <w:rsid w:val="002F04DE"/>
    <w:rsid w:val="002F1CD3"/>
    <w:rsid w:val="002F3BE6"/>
    <w:rsid w:val="002F40ED"/>
    <w:rsid w:val="002F4A00"/>
    <w:rsid w:val="002F51A1"/>
    <w:rsid w:val="002F6B71"/>
    <w:rsid w:val="002F6E28"/>
    <w:rsid w:val="002F7E68"/>
    <w:rsid w:val="00302ADC"/>
    <w:rsid w:val="00302E5E"/>
    <w:rsid w:val="003049BA"/>
    <w:rsid w:val="00307DEF"/>
    <w:rsid w:val="00311D33"/>
    <w:rsid w:val="00312E75"/>
    <w:rsid w:val="00313664"/>
    <w:rsid w:val="00314F90"/>
    <w:rsid w:val="0031533F"/>
    <w:rsid w:val="00315521"/>
    <w:rsid w:val="00316693"/>
    <w:rsid w:val="003171BB"/>
    <w:rsid w:val="00317F92"/>
    <w:rsid w:val="00320408"/>
    <w:rsid w:val="003221CC"/>
    <w:rsid w:val="00322578"/>
    <w:rsid w:val="00324E5B"/>
    <w:rsid w:val="003262B6"/>
    <w:rsid w:val="00326471"/>
    <w:rsid w:val="00327744"/>
    <w:rsid w:val="00330F29"/>
    <w:rsid w:val="0033102E"/>
    <w:rsid w:val="00331036"/>
    <w:rsid w:val="00331299"/>
    <w:rsid w:val="00331401"/>
    <w:rsid w:val="00333234"/>
    <w:rsid w:val="00334326"/>
    <w:rsid w:val="003353BB"/>
    <w:rsid w:val="00335ED1"/>
    <w:rsid w:val="00337EF8"/>
    <w:rsid w:val="00342A60"/>
    <w:rsid w:val="0034379D"/>
    <w:rsid w:val="0034646D"/>
    <w:rsid w:val="00346997"/>
    <w:rsid w:val="00347068"/>
    <w:rsid w:val="00347BE5"/>
    <w:rsid w:val="0035070B"/>
    <w:rsid w:val="003515D6"/>
    <w:rsid w:val="00351BD3"/>
    <w:rsid w:val="003522E0"/>
    <w:rsid w:val="0035267F"/>
    <w:rsid w:val="00352B84"/>
    <w:rsid w:val="00353CE2"/>
    <w:rsid w:val="0035580D"/>
    <w:rsid w:val="003604A8"/>
    <w:rsid w:val="00361E00"/>
    <w:rsid w:val="003624F4"/>
    <w:rsid w:val="00362C13"/>
    <w:rsid w:val="00362D2F"/>
    <w:rsid w:val="003639FB"/>
    <w:rsid w:val="00363BF7"/>
    <w:rsid w:val="00366E99"/>
    <w:rsid w:val="00373E11"/>
    <w:rsid w:val="00373EEF"/>
    <w:rsid w:val="00376F2E"/>
    <w:rsid w:val="00380D65"/>
    <w:rsid w:val="003816CF"/>
    <w:rsid w:val="00382353"/>
    <w:rsid w:val="00382AE5"/>
    <w:rsid w:val="0038382C"/>
    <w:rsid w:val="00385A39"/>
    <w:rsid w:val="00391417"/>
    <w:rsid w:val="003929D2"/>
    <w:rsid w:val="00393FA5"/>
    <w:rsid w:val="00395DEB"/>
    <w:rsid w:val="003A1940"/>
    <w:rsid w:val="003A27BB"/>
    <w:rsid w:val="003A4CC0"/>
    <w:rsid w:val="003B1AE3"/>
    <w:rsid w:val="003B673D"/>
    <w:rsid w:val="003B74D6"/>
    <w:rsid w:val="003C17D5"/>
    <w:rsid w:val="003C2577"/>
    <w:rsid w:val="003C42C8"/>
    <w:rsid w:val="003C4448"/>
    <w:rsid w:val="003D2280"/>
    <w:rsid w:val="003D3D91"/>
    <w:rsid w:val="003D4708"/>
    <w:rsid w:val="003D477A"/>
    <w:rsid w:val="003E188F"/>
    <w:rsid w:val="003E2FBD"/>
    <w:rsid w:val="003E35C4"/>
    <w:rsid w:val="003E360A"/>
    <w:rsid w:val="003E5CEE"/>
    <w:rsid w:val="003E6615"/>
    <w:rsid w:val="003E79F9"/>
    <w:rsid w:val="003F0587"/>
    <w:rsid w:val="003F12E9"/>
    <w:rsid w:val="003F49C7"/>
    <w:rsid w:val="003F54BC"/>
    <w:rsid w:val="003F59F4"/>
    <w:rsid w:val="00402097"/>
    <w:rsid w:val="00402884"/>
    <w:rsid w:val="00404DCD"/>
    <w:rsid w:val="004064AC"/>
    <w:rsid w:val="004069FB"/>
    <w:rsid w:val="00407147"/>
    <w:rsid w:val="004077D6"/>
    <w:rsid w:val="004121E7"/>
    <w:rsid w:val="004132EE"/>
    <w:rsid w:val="00414E51"/>
    <w:rsid w:val="00417237"/>
    <w:rsid w:val="004174F3"/>
    <w:rsid w:val="00420971"/>
    <w:rsid w:val="00420F04"/>
    <w:rsid w:val="00421402"/>
    <w:rsid w:val="00422257"/>
    <w:rsid w:val="004225E3"/>
    <w:rsid w:val="00423099"/>
    <w:rsid w:val="00424E79"/>
    <w:rsid w:val="00425AAD"/>
    <w:rsid w:val="0042661C"/>
    <w:rsid w:val="004274B3"/>
    <w:rsid w:val="004318FC"/>
    <w:rsid w:val="00434724"/>
    <w:rsid w:val="0043508B"/>
    <w:rsid w:val="004376A6"/>
    <w:rsid w:val="00441C6C"/>
    <w:rsid w:val="00443111"/>
    <w:rsid w:val="00443EC1"/>
    <w:rsid w:val="0044501F"/>
    <w:rsid w:val="00446E2A"/>
    <w:rsid w:val="00447BE2"/>
    <w:rsid w:val="00450385"/>
    <w:rsid w:val="00452B0D"/>
    <w:rsid w:val="00453264"/>
    <w:rsid w:val="004557B4"/>
    <w:rsid w:val="004615AF"/>
    <w:rsid w:val="00462B54"/>
    <w:rsid w:val="00463064"/>
    <w:rsid w:val="0046314B"/>
    <w:rsid w:val="00466266"/>
    <w:rsid w:val="00467BDE"/>
    <w:rsid w:val="00470C27"/>
    <w:rsid w:val="004714E0"/>
    <w:rsid w:val="00471C45"/>
    <w:rsid w:val="00472461"/>
    <w:rsid w:val="0047484D"/>
    <w:rsid w:val="004809B8"/>
    <w:rsid w:val="004821B9"/>
    <w:rsid w:val="00491D88"/>
    <w:rsid w:val="0049445E"/>
    <w:rsid w:val="0049605C"/>
    <w:rsid w:val="004960CD"/>
    <w:rsid w:val="004965F7"/>
    <w:rsid w:val="004A1146"/>
    <w:rsid w:val="004A2023"/>
    <w:rsid w:val="004A6782"/>
    <w:rsid w:val="004A7048"/>
    <w:rsid w:val="004A74A5"/>
    <w:rsid w:val="004B0A0A"/>
    <w:rsid w:val="004B1C4B"/>
    <w:rsid w:val="004B60CB"/>
    <w:rsid w:val="004B7A6C"/>
    <w:rsid w:val="004C1CB5"/>
    <w:rsid w:val="004C48C0"/>
    <w:rsid w:val="004C4B69"/>
    <w:rsid w:val="004C5CB6"/>
    <w:rsid w:val="004C6210"/>
    <w:rsid w:val="004C67B9"/>
    <w:rsid w:val="004D0713"/>
    <w:rsid w:val="004D4219"/>
    <w:rsid w:val="004D4AD1"/>
    <w:rsid w:val="004D6ACB"/>
    <w:rsid w:val="004D7E37"/>
    <w:rsid w:val="004E6826"/>
    <w:rsid w:val="004E75FE"/>
    <w:rsid w:val="004E769A"/>
    <w:rsid w:val="004F3CE2"/>
    <w:rsid w:val="004F40BA"/>
    <w:rsid w:val="004F4209"/>
    <w:rsid w:val="004F57C3"/>
    <w:rsid w:val="004F5920"/>
    <w:rsid w:val="004F7C99"/>
    <w:rsid w:val="00500904"/>
    <w:rsid w:val="00500ACD"/>
    <w:rsid w:val="00504061"/>
    <w:rsid w:val="00505BAE"/>
    <w:rsid w:val="00506956"/>
    <w:rsid w:val="005110B8"/>
    <w:rsid w:val="00513E01"/>
    <w:rsid w:val="00515289"/>
    <w:rsid w:val="00515380"/>
    <w:rsid w:val="005157ED"/>
    <w:rsid w:val="00515CCC"/>
    <w:rsid w:val="005176CA"/>
    <w:rsid w:val="005177E7"/>
    <w:rsid w:val="00517E12"/>
    <w:rsid w:val="00526075"/>
    <w:rsid w:val="00527C3F"/>
    <w:rsid w:val="00536B03"/>
    <w:rsid w:val="00537A77"/>
    <w:rsid w:val="00540C8B"/>
    <w:rsid w:val="00541720"/>
    <w:rsid w:val="00541A14"/>
    <w:rsid w:val="00543596"/>
    <w:rsid w:val="00543F9C"/>
    <w:rsid w:val="00546D39"/>
    <w:rsid w:val="00547666"/>
    <w:rsid w:val="00550E84"/>
    <w:rsid w:val="00551368"/>
    <w:rsid w:val="00551666"/>
    <w:rsid w:val="00554EA8"/>
    <w:rsid w:val="00556977"/>
    <w:rsid w:val="005577B0"/>
    <w:rsid w:val="00560DEA"/>
    <w:rsid w:val="00562084"/>
    <w:rsid w:val="00565071"/>
    <w:rsid w:val="00566EE5"/>
    <w:rsid w:val="005678A7"/>
    <w:rsid w:val="00567BA0"/>
    <w:rsid w:val="00567D0F"/>
    <w:rsid w:val="00570EED"/>
    <w:rsid w:val="005716FC"/>
    <w:rsid w:val="00573F08"/>
    <w:rsid w:val="0057441B"/>
    <w:rsid w:val="00575DEF"/>
    <w:rsid w:val="00576629"/>
    <w:rsid w:val="0058043F"/>
    <w:rsid w:val="00582387"/>
    <w:rsid w:val="00582EA9"/>
    <w:rsid w:val="00583A33"/>
    <w:rsid w:val="005867D2"/>
    <w:rsid w:val="00587C87"/>
    <w:rsid w:val="00593387"/>
    <w:rsid w:val="005942CB"/>
    <w:rsid w:val="005963CC"/>
    <w:rsid w:val="00596E19"/>
    <w:rsid w:val="005A0DA2"/>
    <w:rsid w:val="005A0FC4"/>
    <w:rsid w:val="005A206C"/>
    <w:rsid w:val="005A241E"/>
    <w:rsid w:val="005A32A6"/>
    <w:rsid w:val="005A3A8E"/>
    <w:rsid w:val="005A584C"/>
    <w:rsid w:val="005A6FED"/>
    <w:rsid w:val="005A7603"/>
    <w:rsid w:val="005A78D8"/>
    <w:rsid w:val="005B1BC4"/>
    <w:rsid w:val="005B3A1A"/>
    <w:rsid w:val="005B4639"/>
    <w:rsid w:val="005B6894"/>
    <w:rsid w:val="005B72B9"/>
    <w:rsid w:val="005B7C70"/>
    <w:rsid w:val="005C029E"/>
    <w:rsid w:val="005C0990"/>
    <w:rsid w:val="005C13B2"/>
    <w:rsid w:val="005C27E3"/>
    <w:rsid w:val="005C3583"/>
    <w:rsid w:val="005C37CB"/>
    <w:rsid w:val="005C3BD9"/>
    <w:rsid w:val="005C459C"/>
    <w:rsid w:val="005C49B6"/>
    <w:rsid w:val="005C509D"/>
    <w:rsid w:val="005C5A62"/>
    <w:rsid w:val="005C5C6F"/>
    <w:rsid w:val="005C5E78"/>
    <w:rsid w:val="005C67C8"/>
    <w:rsid w:val="005D1A9F"/>
    <w:rsid w:val="005D3746"/>
    <w:rsid w:val="005D3A19"/>
    <w:rsid w:val="005D52DC"/>
    <w:rsid w:val="005D52FA"/>
    <w:rsid w:val="005D5D12"/>
    <w:rsid w:val="005E2533"/>
    <w:rsid w:val="005E266F"/>
    <w:rsid w:val="005E5734"/>
    <w:rsid w:val="005E588E"/>
    <w:rsid w:val="005E73CE"/>
    <w:rsid w:val="005F07DC"/>
    <w:rsid w:val="005F2D01"/>
    <w:rsid w:val="005F4694"/>
    <w:rsid w:val="005F64FB"/>
    <w:rsid w:val="00602485"/>
    <w:rsid w:val="0060251E"/>
    <w:rsid w:val="00602CF4"/>
    <w:rsid w:val="00602DDE"/>
    <w:rsid w:val="00611737"/>
    <w:rsid w:val="00612B2F"/>
    <w:rsid w:val="00614DE8"/>
    <w:rsid w:val="00622577"/>
    <w:rsid w:val="00622669"/>
    <w:rsid w:val="00622DF7"/>
    <w:rsid w:val="00622FE1"/>
    <w:rsid w:val="00623475"/>
    <w:rsid w:val="00624A90"/>
    <w:rsid w:val="00625307"/>
    <w:rsid w:val="00625CE5"/>
    <w:rsid w:val="00626A08"/>
    <w:rsid w:val="00626E3A"/>
    <w:rsid w:val="006312E7"/>
    <w:rsid w:val="00631855"/>
    <w:rsid w:val="00631AB7"/>
    <w:rsid w:val="006322A1"/>
    <w:rsid w:val="00633EDE"/>
    <w:rsid w:val="00635027"/>
    <w:rsid w:val="006408D0"/>
    <w:rsid w:val="00642D22"/>
    <w:rsid w:val="00642E50"/>
    <w:rsid w:val="00644A7B"/>
    <w:rsid w:val="006455BD"/>
    <w:rsid w:val="00646775"/>
    <w:rsid w:val="00647AE9"/>
    <w:rsid w:val="00650620"/>
    <w:rsid w:val="006519EA"/>
    <w:rsid w:val="00653342"/>
    <w:rsid w:val="0065372A"/>
    <w:rsid w:val="00654BBB"/>
    <w:rsid w:val="00654FC8"/>
    <w:rsid w:val="006556D9"/>
    <w:rsid w:val="00661B3C"/>
    <w:rsid w:val="00661C46"/>
    <w:rsid w:val="006652D3"/>
    <w:rsid w:val="00665521"/>
    <w:rsid w:val="00666DA3"/>
    <w:rsid w:val="0066719D"/>
    <w:rsid w:val="006674DA"/>
    <w:rsid w:val="00667CF3"/>
    <w:rsid w:val="0067023A"/>
    <w:rsid w:val="00672032"/>
    <w:rsid w:val="006726A6"/>
    <w:rsid w:val="0067668B"/>
    <w:rsid w:val="006769C4"/>
    <w:rsid w:val="00677627"/>
    <w:rsid w:val="00677BD5"/>
    <w:rsid w:val="0068025E"/>
    <w:rsid w:val="00681443"/>
    <w:rsid w:val="006826AE"/>
    <w:rsid w:val="0068319A"/>
    <w:rsid w:val="0068685C"/>
    <w:rsid w:val="00686C4C"/>
    <w:rsid w:val="00693941"/>
    <w:rsid w:val="00693C87"/>
    <w:rsid w:val="006A05C7"/>
    <w:rsid w:val="006A206B"/>
    <w:rsid w:val="006A3907"/>
    <w:rsid w:val="006A57AD"/>
    <w:rsid w:val="006A5A96"/>
    <w:rsid w:val="006A607B"/>
    <w:rsid w:val="006A6119"/>
    <w:rsid w:val="006A62B3"/>
    <w:rsid w:val="006A6E27"/>
    <w:rsid w:val="006A72B0"/>
    <w:rsid w:val="006B05C0"/>
    <w:rsid w:val="006B3561"/>
    <w:rsid w:val="006B3E4D"/>
    <w:rsid w:val="006B42AC"/>
    <w:rsid w:val="006B479C"/>
    <w:rsid w:val="006B4C41"/>
    <w:rsid w:val="006C0F63"/>
    <w:rsid w:val="006C174E"/>
    <w:rsid w:val="006C2374"/>
    <w:rsid w:val="006C3C8E"/>
    <w:rsid w:val="006C3E09"/>
    <w:rsid w:val="006C41F9"/>
    <w:rsid w:val="006C4A2D"/>
    <w:rsid w:val="006C52B9"/>
    <w:rsid w:val="006D1DFE"/>
    <w:rsid w:val="006D20E1"/>
    <w:rsid w:val="006D74D2"/>
    <w:rsid w:val="006E183B"/>
    <w:rsid w:val="006E3990"/>
    <w:rsid w:val="006E585F"/>
    <w:rsid w:val="006E6BC2"/>
    <w:rsid w:val="006E6FA7"/>
    <w:rsid w:val="006E77BB"/>
    <w:rsid w:val="006F1335"/>
    <w:rsid w:val="006F13E4"/>
    <w:rsid w:val="006F546F"/>
    <w:rsid w:val="006F5F13"/>
    <w:rsid w:val="006F6932"/>
    <w:rsid w:val="006F6B54"/>
    <w:rsid w:val="0070150E"/>
    <w:rsid w:val="00705DB8"/>
    <w:rsid w:val="007115D6"/>
    <w:rsid w:val="00713225"/>
    <w:rsid w:val="0071344A"/>
    <w:rsid w:val="00715A84"/>
    <w:rsid w:val="00721CFC"/>
    <w:rsid w:val="0072435B"/>
    <w:rsid w:val="007243D9"/>
    <w:rsid w:val="0072512A"/>
    <w:rsid w:val="00726D11"/>
    <w:rsid w:val="00731EE6"/>
    <w:rsid w:val="007355A6"/>
    <w:rsid w:val="00735CFD"/>
    <w:rsid w:val="007369CE"/>
    <w:rsid w:val="00736E02"/>
    <w:rsid w:val="0074051A"/>
    <w:rsid w:val="00740A71"/>
    <w:rsid w:val="007411B3"/>
    <w:rsid w:val="007477C5"/>
    <w:rsid w:val="00747885"/>
    <w:rsid w:val="00747938"/>
    <w:rsid w:val="00751414"/>
    <w:rsid w:val="0075189D"/>
    <w:rsid w:val="007551AD"/>
    <w:rsid w:val="00755E7F"/>
    <w:rsid w:val="00762AFB"/>
    <w:rsid w:val="007637A8"/>
    <w:rsid w:val="00765BA8"/>
    <w:rsid w:val="00766007"/>
    <w:rsid w:val="00770A26"/>
    <w:rsid w:val="0077147F"/>
    <w:rsid w:val="007767C6"/>
    <w:rsid w:val="00777C52"/>
    <w:rsid w:val="00780D34"/>
    <w:rsid w:val="0078182A"/>
    <w:rsid w:val="0078204F"/>
    <w:rsid w:val="0078375E"/>
    <w:rsid w:val="00786876"/>
    <w:rsid w:val="00786EA7"/>
    <w:rsid w:val="007925CE"/>
    <w:rsid w:val="00796B5E"/>
    <w:rsid w:val="007A1364"/>
    <w:rsid w:val="007A24A0"/>
    <w:rsid w:val="007A35B4"/>
    <w:rsid w:val="007A4AB2"/>
    <w:rsid w:val="007A597C"/>
    <w:rsid w:val="007A5E68"/>
    <w:rsid w:val="007A69E7"/>
    <w:rsid w:val="007B1BF7"/>
    <w:rsid w:val="007B3B41"/>
    <w:rsid w:val="007B41E5"/>
    <w:rsid w:val="007B5BF6"/>
    <w:rsid w:val="007C157C"/>
    <w:rsid w:val="007C179D"/>
    <w:rsid w:val="007C1D28"/>
    <w:rsid w:val="007C23A0"/>
    <w:rsid w:val="007C404B"/>
    <w:rsid w:val="007C4BAE"/>
    <w:rsid w:val="007C5677"/>
    <w:rsid w:val="007D1D3B"/>
    <w:rsid w:val="007D1DC3"/>
    <w:rsid w:val="007D5960"/>
    <w:rsid w:val="007D7407"/>
    <w:rsid w:val="007E0726"/>
    <w:rsid w:val="007E114E"/>
    <w:rsid w:val="007E487F"/>
    <w:rsid w:val="007E4B2D"/>
    <w:rsid w:val="007E587D"/>
    <w:rsid w:val="007E6837"/>
    <w:rsid w:val="007E71E9"/>
    <w:rsid w:val="007F15D8"/>
    <w:rsid w:val="007F1D06"/>
    <w:rsid w:val="007F7654"/>
    <w:rsid w:val="007F77EC"/>
    <w:rsid w:val="008010D7"/>
    <w:rsid w:val="0080221F"/>
    <w:rsid w:val="008025E7"/>
    <w:rsid w:val="0080313F"/>
    <w:rsid w:val="00803443"/>
    <w:rsid w:val="0080523B"/>
    <w:rsid w:val="0080618B"/>
    <w:rsid w:val="0080680D"/>
    <w:rsid w:val="00812C05"/>
    <w:rsid w:val="0081322A"/>
    <w:rsid w:val="008162AB"/>
    <w:rsid w:val="00817727"/>
    <w:rsid w:val="008227FA"/>
    <w:rsid w:val="00822EE7"/>
    <w:rsid w:val="0082576E"/>
    <w:rsid w:val="008307A2"/>
    <w:rsid w:val="00833011"/>
    <w:rsid w:val="008334A1"/>
    <w:rsid w:val="00835B36"/>
    <w:rsid w:val="00836985"/>
    <w:rsid w:val="00843E6F"/>
    <w:rsid w:val="008441DD"/>
    <w:rsid w:val="00846E4A"/>
    <w:rsid w:val="00847CC5"/>
    <w:rsid w:val="00851AF5"/>
    <w:rsid w:val="00851FB5"/>
    <w:rsid w:val="008554F9"/>
    <w:rsid w:val="008559F1"/>
    <w:rsid w:val="008602B3"/>
    <w:rsid w:val="0086389B"/>
    <w:rsid w:val="0086399E"/>
    <w:rsid w:val="008647DE"/>
    <w:rsid w:val="008648C3"/>
    <w:rsid w:val="00864982"/>
    <w:rsid w:val="00864B95"/>
    <w:rsid w:val="00865CE4"/>
    <w:rsid w:val="00866302"/>
    <w:rsid w:val="00867364"/>
    <w:rsid w:val="00876DFB"/>
    <w:rsid w:val="008800D3"/>
    <w:rsid w:val="00886058"/>
    <w:rsid w:val="00886180"/>
    <w:rsid w:val="00886CDD"/>
    <w:rsid w:val="00890186"/>
    <w:rsid w:val="0089214D"/>
    <w:rsid w:val="00892E8D"/>
    <w:rsid w:val="00893444"/>
    <w:rsid w:val="0089393B"/>
    <w:rsid w:val="00893C0D"/>
    <w:rsid w:val="00896187"/>
    <w:rsid w:val="008971F5"/>
    <w:rsid w:val="008A0A8C"/>
    <w:rsid w:val="008A20DA"/>
    <w:rsid w:val="008A2A06"/>
    <w:rsid w:val="008A2AAE"/>
    <w:rsid w:val="008A2E15"/>
    <w:rsid w:val="008A764C"/>
    <w:rsid w:val="008B1DAF"/>
    <w:rsid w:val="008B2BA0"/>
    <w:rsid w:val="008B5C8F"/>
    <w:rsid w:val="008B5F16"/>
    <w:rsid w:val="008B6260"/>
    <w:rsid w:val="008B6907"/>
    <w:rsid w:val="008B7722"/>
    <w:rsid w:val="008B7A46"/>
    <w:rsid w:val="008C0B4A"/>
    <w:rsid w:val="008C0E5C"/>
    <w:rsid w:val="008C20FA"/>
    <w:rsid w:val="008C225C"/>
    <w:rsid w:val="008C2F3D"/>
    <w:rsid w:val="008C4F13"/>
    <w:rsid w:val="008C4FFD"/>
    <w:rsid w:val="008C7408"/>
    <w:rsid w:val="008C77D3"/>
    <w:rsid w:val="008D0849"/>
    <w:rsid w:val="008D0E58"/>
    <w:rsid w:val="008D14AB"/>
    <w:rsid w:val="008D348B"/>
    <w:rsid w:val="008D41E7"/>
    <w:rsid w:val="008D6639"/>
    <w:rsid w:val="008D6708"/>
    <w:rsid w:val="008D756E"/>
    <w:rsid w:val="008E0041"/>
    <w:rsid w:val="008E2BE4"/>
    <w:rsid w:val="008E3457"/>
    <w:rsid w:val="008E3846"/>
    <w:rsid w:val="008E6B4E"/>
    <w:rsid w:val="008E7970"/>
    <w:rsid w:val="008E7C34"/>
    <w:rsid w:val="008F0402"/>
    <w:rsid w:val="008F0BE5"/>
    <w:rsid w:val="008F0C36"/>
    <w:rsid w:val="008F377B"/>
    <w:rsid w:val="008F4312"/>
    <w:rsid w:val="008F587A"/>
    <w:rsid w:val="00901E17"/>
    <w:rsid w:val="009023AE"/>
    <w:rsid w:val="00902B28"/>
    <w:rsid w:val="00902C36"/>
    <w:rsid w:val="00903936"/>
    <w:rsid w:val="00907DE0"/>
    <w:rsid w:val="00910A7B"/>
    <w:rsid w:val="00911B63"/>
    <w:rsid w:val="00915512"/>
    <w:rsid w:val="009166AC"/>
    <w:rsid w:val="00917519"/>
    <w:rsid w:val="009210D1"/>
    <w:rsid w:val="009217B5"/>
    <w:rsid w:val="00922B23"/>
    <w:rsid w:val="00922E30"/>
    <w:rsid w:val="009233CC"/>
    <w:rsid w:val="009240D8"/>
    <w:rsid w:val="0092546B"/>
    <w:rsid w:val="00925B49"/>
    <w:rsid w:val="009268F7"/>
    <w:rsid w:val="00927344"/>
    <w:rsid w:val="009277A8"/>
    <w:rsid w:val="009301F0"/>
    <w:rsid w:val="00931883"/>
    <w:rsid w:val="00931C26"/>
    <w:rsid w:val="00931CD7"/>
    <w:rsid w:val="009360D7"/>
    <w:rsid w:val="009362C9"/>
    <w:rsid w:val="00940D83"/>
    <w:rsid w:val="00942387"/>
    <w:rsid w:val="00943B00"/>
    <w:rsid w:val="00945910"/>
    <w:rsid w:val="00945C61"/>
    <w:rsid w:val="0094626F"/>
    <w:rsid w:val="009462D2"/>
    <w:rsid w:val="0095073B"/>
    <w:rsid w:val="0095358F"/>
    <w:rsid w:val="0096183E"/>
    <w:rsid w:val="009652D5"/>
    <w:rsid w:val="009661EC"/>
    <w:rsid w:val="009677F8"/>
    <w:rsid w:val="0097063C"/>
    <w:rsid w:val="00970D44"/>
    <w:rsid w:val="00971146"/>
    <w:rsid w:val="00972035"/>
    <w:rsid w:val="00972A9A"/>
    <w:rsid w:val="00973F8B"/>
    <w:rsid w:val="00980CBA"/>
    <w:rsid w:val="009904B1"/>
    <w:rsid w:val="00990B60"/>
    <w:rsid w:val="00991675"/>
    <w:rsid w:val="00992008"/>
    <w:rsid w:val="009951BD"/>
    <w:rsid w:val="00996409"/>
    <w:rsid w:val="00996D00"/>
    <w:rsid w:val="0099703B"/>
    <w:rsid w:val="009A03DC"/>
    <w:rsid w:val="009A07AF"/>
    <w:rsid w:val="009A2B9C"/>
    <w:rsid w:val="009A2F41"/>
    <w:rsid w:val="009A2F5C"/>
    <w:rsid w:val="009A6CF3"/>
    <w:rsid w:val="009B43BF"/>
    <w:rsid w:val="009B4A2D"/>
    <w:rsid w:val="009B721C"/>
    <w:rsid w:val="009C077F"/>
    <w:rsid w:val="009C12A5"/>
    <w:rsid w:val="009C1E0B"/>
    <w:rsid w:val="009C2C43"/>
    <w:rsid w:val="009C2E0F"/>
    <w:rsid w:val="009C4C8E"/>
    <w:rsid w:val="009D30F2"/>
    <w:rsid w:val="009D545A"/>
    <w:rsid w:val="009D6D44"/>
    <w:rsid w:val="009D71E8"/>
    <w:rsid w:val="009E17D2"/>
    <w:rsid w:val="009E22FA"/>
    <w:rsid w:val="009E4744"/>
    <w:rsid w:val="009E4EC9"/>
    <w:rsid w:val="009E54DB"/>
    <w:rsid w:val="009E5D5A"/>
    <w:rsid w:val="009F2262"/>
    <w:rsid w:val="009F2A27"/>
    <w:rsid w:val="009F4ADA"/>
    <w:rsid w:val="009F6A0D"/>
    <w:rsid w:val="00A017AB"/>
    <w:rsid w:val="00A052FE"/>
    <w:rsid w:val="00A07991"/>
    <w:rsid w:val="00A10CDE"/>
    <w:rsid w:val="00A1445A"/>
    <w:rsid w:val="00A15114"/>
    <w:rsid w:val="00A15389"/>
    <w:rsid w:val="00A15A88"/>
    <w:rsid w:val="00A1680D"/>
    <w:rsid w:val="00A17727"/>
    <w:rsid w:val="00A23AB0"/>
    <w:rsid w:val="00A266C5"/>
    <w:rsid w:val="00A269C8"/>
    <w:rsid w:val="00A309C6"/>
    <w:rsid w:val="00A32E4E"/>
    <w:rsid w:val="00A36E10"/>
    <w:rsid w:val="00A37A41"/>
    <w:rsid w:val="00A4269B"/>
    <w:rsid w:val="00A46433"/>
    <w:rsid w:val="00A47689"/>
    <w:rsid w:val="00A47B73"/>
    <w:rsid w:val="00A47D09"/>
    <w:rsid w:val="00A501E0"/>
    <w:rsid w:val="00A505DE"/>
    <w:rsid w:val="00A51864"/>
    <w:rsid w:val="00A51FDE"/>
    <w:rsid w:val="00A52781"/>
    <w:rsid w:val="00A527C9"/>
    <w:rsid w:val="00A5327C"/>
    <w:rsid w:val="00A54125"/>
    <w:rsid w:val="00A56B18"/>
    <w:rsid w:val="00A5721C"/>
    <w:rsid w:val="00A615A6"/>
    <w:rsid w:val="00A67913"/>
    <w:rsid w:val="00A67EF5"/>
    <w:rsid w:val="00A7371B"/>
    <w:rsid w:val="00A743C5"/>
    <w:rsid w:val="00A74714"/>
    <w:rsid w:val="00A76BA0"/>
    <w:rsid w:val="00A8035A"/>
    <w:rsid w:val="00A8064F"/>
    <w:rsid w:val="00A81A94"/>
    <w:rsid w:val="00A84636"/>
    <w:rsid w:val="00A87EE6"/>
    <w:rsid w:val="00A900DF"/>
    <w:rsid w:val="00A9681E"/>
    <w:rsid w:val="00A96C00"/>
    <w:rsid w:val="00AA007A"/>
    <w:rsid w:val="00AA1104"/>
    <w:rsid w:val="00AB073E"/>
    <w:rsid w:val="00AB1A13"/>
    <w:rsid w:val="00AB4E9F"/>
    <w:rsid w:val="00AC01B3"/>
    <w:rsid w:val="00AC0789"/>
    <w:rsid w:val="00AC1CA8"/>
    <w:rsid w:val="00AC210F"/>
    <w:rsid w:val="00AC2929"/>
    <w:rsid w:val="00AC319E"/>
    <w:rsid w:val="00AC5BD4"/>
    <w:rsid w:val="00AC768B"/>
    <w:rsid w:val="00AC77A2"/>
    <w:rsid w:val="00AD4C60"/>
    <w:rsid w:val="00AE10E6"/>
    <w:rsid w:val="00AE1210"/>
    <w:rsid w:val="00AE1580"/>
    <w:rsid w:val="00AE1BDA"/>
    <w:rsid w:val="00AE2885"/>
    <w:rsid w:val="00AE3A1E"/>
    <w:rsid w:val="00AE734F"/>
    <w:rsid w:val="00AF2656"/>
    <w:rsid w:val="00AF30FB"/>
    <w:rsid w:val="00AF6110"/>
    <w:rsid w:val="00AF6AC6"/>
    <w:rsid w:val="00AF704E"/>
    <w:rsid w:val="00B00611"/>
    <w:rsid w:val="00B02AFB"/>
    <w:rsid w:val="00B04354"/>
    <w:rsid w:val="00B04A7A"/>
    <w:rsid w:val="00B10F9C"/>
    <w:rsid w:val="00B16FBE"/>
    <w:rsid w:val="00B1736A"/>
    <w:rsid w:val="00B23778"/>
    <w:rsid w:val="00B24547"/>
    <w:rsid w:val="00B249FC"/>
    <w:rsid w:val="00B317E7"/>
    <w:rsid w:val="00B32D10"/>
    <w:rsid w:val="00B33A57"/>
    <w:rsid w:val="00B34083"/>
    <w:rsid w:val="00B351ED"/>
    <w:rsid w:val="00B36077"/>
    <w:rsid w:val="00B37728"/>
    <w:rsid w:val="00B45C64"/>
    <w:rsid w:val="00B45D1D"/>
    <w:rsid w:val="00B46A32"/>
    <w:rsid w:val="00B46B29"/>
    <w:rsid w:val="00B51AC5"/>
    <w:rsid w:val="00B522C8"/>
    <w:rsid w:val="00B52DC9"/>
    <w:rsid w:val="00B53547"/>
    <w:rsid w:val="00B53597"/>
    <w:rsid w:val="00B55D3E"/>
    <w:rsid w:val="00B56BA6"/>
    <w:rsid w:val="00B614D6"/>
    <w:rsid w:val="00B62590"/>
    <w:rsid w:val="00B64C42"/>
    <w:rsid w:val="00B65B1C"/>
    <w:rsid w:val="00B6729F"/>
    <w:rsid w:val="00B70C7B"/>
    <w:rsid w:val="00B73458"/>
    <w:rsid w:val="00B818EA"/>
    <w:rsid w:val="00B82388"/>
    <w:rsid w:val="00B82627"/>
    <w:rsid w:val="00B841E9"/>
    <w:rsid w:val="00B90AA7"/>
    <w:rsid w:val="00B92F66"/>
    <w:rsid w:val="00B94335"/>
    <w:rsid w:val="00B94460"/>
    <w:rsid w:val="00B9770D"/>
    <w:rsid w:val="00BA0CBB"/>
    <w:rsid w:val="00BA43E0"/>
    <w:rsid w:val="00BA65E5"/>
    <w:rsid w:val="00BB09DF"/>
    <w:rsid w:val="00BB24F9"/>
    <w:rsid w:val="00BB3FC5"/>
    <w:rsid w:val="00BB4218"/>
    <w:rsid w:val="00BC2B3B"/>
    <w:rsid w:val="00BC4579"/>
    <w:rsid w:val="00BC76B9"/>
    <w:rsid w:val="00BD04FC"/>
    <w:rsid w:val="00BD221B"/>
    <w:rsid w:val="00BD363F"/>
    <w:rsid w:val="00BD3D24"/>
    <w:rsid w:val="00BD3F28"/>
    <w:rsid w:val="00BD648E"/>
    <w:rsid w:val="00BD6501"/>
    <w:rsid w:val="00BD66ED"/>
    <w:rsid w:val="00BD7D99"/>
    <w:rsid w:val="00BD7E90"/>
    <w:rsid w:val="00BE0F4C"/>
    <w:rsid w:val="00BE241D"/>
    <w:rsid w:val="00BE2AD2"/>
    <w:rsid w:val="00BF04B0"/>
    <w:rsid w:val="00BF06FB"/>
    <w:rsid w:val="00BF0D7D"/>
    <w:rsid w:val="00BF2523"/>
    <w:rsid w:val="00BF262E"/>
    <w:rsid w:val="00BF36B3"/>
    <w:rsid w:val="00BF67BF"/>
    <w:rsid w:val="00BF7488"/>
    <w:rsid w:val="00C0018A"/>
    <w:rsid w:val="00C00905"/>
    <w:rsid w:val="00C035B5"/>
    <w:rsid w:val="00C11ABD"/>
    <w:rsid w:val="00C14FB2"/>
    <w:rsid w:val="00C15EC7"/>
    <w:rsid w:val="00C176AC"/>
    <w:rsid w:val="00C21EF9"/>
    <w:rsid w:val="00C222F7"/>
    <w:rsid w:val="00C22495"/>
    <w:rsid w:val="00C233D1"/>
    <w:rsid w:val="00C23A3B"/>
    <w:rsid w:val="00C24839"/>
    <w:rsid w:val="00C27A77"/>
    <w:rsid w:val="00C27C23"/>
    <w:rsid w:val="00C30AD5"/>
    <w:rsid w:val="00C35B13"/>
    <w:rsid w:val="00C41C84"/>
    <w:rsid w:val="00C5064A"/>
    <w:rsid w:val="00C52037"/>
    <w:rsid w:val="00C53F30"/>
    <w:rsid w:val="00C54A6A"/>
    <w:rsid w:val="00C554D4"/>
    <w:rsid w:val="00C576B8"/>
    <w:rsid w:val="00C61224"/>
    <w:rsid w:val="00C61B02"/>
    <w:rsid w:val="00C62524"/>
    <w:rsid w:val="00C62EE4"/>
    <w:rsid w:val="00C667A1"/>
    <w:rsid w:val="00C670B7"/>
    <w:rsid w:val="00C719A2"/>
    <w:rsid w:val="00C72165"/>
    <w:rsid w:val="00C7573A"/>
    <w:rsid w:val="00C75CAA"/>
    <w:rsid w:val="00C7662B"/>
    <w:rsid w:val="00C77201"/>
    <w:rsid w:val="00C776D6"/>
    <w:rsid w:val="00C81160"/>
    <w:rsid w:val="00C81960"/>
    <w:rsid w:val="00C82710"/>
    <w:rsid w:val="00C83041"/>
    <w:rsid w:val="00C84DBF"/>
    <w:rsid w:val="00C8552D"/>
    <w:rsid w:val="00C90B42"/>
    <w:rsid w:val="00C923C9"/>
    <w:rsid w:val="00C9475D"/>
    <w:rsid w:val="00C95056"/>
    <w:rsid w:val="00C951FD"/>
    <w:rsid w:val="00C95A78"/>
    <w:rsid w:val="00C965A4"/>
    <w:rsid w:val="00CA18F9"/>
    <w:rsid w:val="00CA2F6F"/>
    <w:rsid w:val="00CA31F4"/>
    <w:rsid w:val="00CA63A9"/>
    <w:rsid w:val="00CA7F28"/>
    <w:rsid w:val="00CB0768"/>
    <w:rsid w:val="00CB131F"/>
    <w:rsid w:val="00CB2488"/>
    <w:rsid w:val="00CB4DCD"/>
    <w:rsid w:val="00CB4F2D"/>
    <w:rsid w:val="00CB68D5"/>
    <w:rsid w:val="00CC1690"/>
    <w:rsid w:val="00CC4E30"/>
    <w:rsid w:val="00CC665A"/>
    <w:rsid w:val="00CD066E"/>
    <w:rsid w:val="00CD1455"/>
    <w:rsid w:val="00CD1552"/>
    <w:rsid w:val="00CD380F"/>
    <w:rsid w:val="00CD431C"/>
    <w:rsid w:val="00CD4921"/>
    <w:rsid w:val="00CD50C3"/>
    <w:rsid w:val="00CD68E8"/>
    <w:rsid w:val="00CD6EC6"/>
    <w:rsid w:val="00CD70A6"/>
    <w:rsid w:val="00CE026D"/>
    <w:rsid w:val="00CE0393"/>
    <w:rsid w:val="00CE04A0"/>
    <w:rsid w:val="00CE0FEF"/>
    <w:rsid w:val="00CE34DC"/>
    <w:rsid w:val="00CE5622"/>
    <w:rsid w:val="00CF1973"/>
    <w:rsid w:val="00CF6DAB"/>
    <w:rsid w:val="00D002BB"/>
    <w:rsid w:val="00D00CD9"/>
    <w:rsid w:val="00D016B5"/>
    <w:rsid w:val="00D02DFF"/>
    <w:rsid w:val="00D06A01"/>
    <w:rsid w:val="00D06D46"/>
    <w:rsid w:val="00D07F97"/>
    <w:rsid w:val="00D07FB4"/>
    <w:rsid w:val="00D11B5C"/>
    <w:rsid w:val="00D13A62"/>
    <w:rsid w:val="00D21FA8"/>
    <w:rsid w:val="00D236B7"/>
    <w:rsid w:val="00D23E48"/>
    <w:rsid w:val="00D244BE"/>
    <w:rsid w:val="00D24E39"/>
    <w:rsid w:val="00D2726C"/>
    <w:rsid w:val="00D33864"/>
    <w:rsid w:val="00D370BE"/>
    <w:rsid w:val="00D370C7"/>
    <w:rsid w:val="00D37C2B"/>
    <w:rsid w:val="00D37CF4"/>
    <w:rsid w:val="00D37FE1"/>
    <w:rsid w:val="00D40FE4"/>
    <w:rsid w:val="00D43096"/>
    <w:rsid w:val="00D444BE"/>
    <w:rsid w:val="00D4515B"/>
    <w:rsid w:val="00D4528C"/>
    <w:rsid w:val="00D46AB2"/>
    <w:rsid w:val="00D47815"/>
    <w:rsid w:val="00D519B7"/>
    <w:rsid w:val="00D55AE6"/>
    <w:rsid w:val="00D5685B"/>
    <w:rsid w:val="00D568B0"/>
    <w:rsid w:val="00D6166C"/>
    <w:rsid w:val="00D617B0"/>
    <w:rsid w:val="00D656EB"/>
    <w:rsid w:val="00D66BC8"/>
    <w:rsid w:val="00D70D0F"/>
    <w:rsid w:val="00D71F00"/>
    <w:rsid w:val="00D73CC6"/>
    <w:rsid w:val="00D76181"/>
    <w:rsid w:val="00D771FD"/>
    <w:rsid w:val="00D7796D"/>
    <w:rsid w:val="00D8097F"/>
    <w:rsid w:val="00D81B18"/>
    <w:rsid w:val="00D8221A"/>
    <w:rsid w:val="00D824B9"/>
    <w:rsid w:val="00D83541"/>
    <w:rsid w:val="00D84F55"/>
    <w:rsid w:val="00D87C89"/>
    <w:rsid w:val="00D916A1"/>
    <w:rsid w:val="00D93A16"/>
    <w:rsid w:val="00D93EC7"/>
    <w:rsid w:val="00D9496D"/>
    <w:rsid w:val="00D97867"/>
    <w:rsid w:val="00DA0768"/>
    <w:rsid w:val="00DA0CC9"/>
    <w:rsid w:val="00DA124B"/>
    <w:rsid w:val="00DA161A"/>
    <w:rsid w:val="00DA1A52"/>
    <w:rsid w:val="00DA4A07"/>
    <w:rsid w:val="00DA5A94"/>
    <w:rsid w:val="00DB1757"/>
    <w:rsid w:val="00DB2355"/>
    <w:rsid w:val="00DB3BB4"/>
    <w:rsid w:val="00DB6A0C"/>
    <w:rsid w:val="00DB6A81"/>
    <w:rsid w:val="00DB7EC8"/>
    <w:rsid w:val="00DC0F02"/>
    <w:rsid w:val="00DC0F8D"/>
    <w:rsid w:val="00DC2284"/>
    <w:rsid w:val="00DC36B6"/>
    <w:rsid w:val="00DC3CA4"/>
    <w:rsid w:val="00DC71E2"/>
    <w:rsid w:val="00DD222D"/>
    <w:rsid w:val="00DD2820"/>
    <w:rsid w:val="00DD4A4E"/>
    <w:rsid w:val="00DD6C61"/>
    <w:rsid w:val="00DD6D58"/>
    <w:rsid w:val="00DD6E17"/>
    <w:rsid w:val="00DE0224"/>
    <w:rsid w:val="00DE4578"/>
    <w:rsid w:val="00DE55D8"/>
    <w:rsid w:val="00DE59C5"/>
    <w:rsid w:val="00DF04EE"/>
    <w:rsid w:val="00DF230B"/>
    <w:rsid w:val="00DF25F5"/>
    <w:rsid w:val="00DF3E35"/>
    <w:rsid w:val="00E01DAA"/>
    <w:rsid w:val="00E0259C"/>
    <w:rsid w:val="00E03071"/>
    <w:rsid w:val="00E030EF"/>
    <w:rsid w:val="00E03ED5"/>
    <w:rsid w:val="00E047F5"/>
    <w:rsid w:val="00E06243"/>
    <w:rsid w:val="00E07169"/>
    <w:rsid w:val="00E0791C"/>
    <w:rsid w:val="00E120CB"/>
    <w:rsid w:val="00E14CA2"/>
    <w:rsid w:val="00E153D5"/>
    <w:rsid w:val="00E1590D"/>
    <w:rsid w:val="00E1688C"/>
    <w:rsid w:val="00E22665"/>
    <w:rsid w:val="00E24885"/>
    <w:rsid w:val="00E30499"/>
    <w:rsid w:val="00E30B51"/>
    <w:rsid w:val="00E31A39"/>
    <w:rsid w:val="00E324BB"/>
    <w:rsid w:val="00E377E8"/>
    <w:rsid w:val="00E37F8B"/>
    <w:rsid w:val="00E42693"/>
    <w:rsid w:val="00E43464"/>
    <w:rsid w:val="00E43482"/>
    <w:rsid w:val="00E43683"/>
    <w:rsid w:val="00E46DC8"/>
    <w:rsid w:val="00E47A69"/>
    <w:rsid w:val="00E51166"/>
    <w:rsid w:val="00E52AD8"/>
    <w:rsid w:val="00E55178"/>
    <w:rsid w:val="00E56060"/>
    <w:rsid w:val="00E5628A"/>
    <w:rsid w:val="00E569B0"/>
    <w:rsid w:val="00E571BB"/>
    <w:rsid w:val="00E658B3"/>
    <w:rsid w:val="00E6712B"/>
    <w:rsid w:val="00E675B7"/>
    <w:rsid w:val="00E71351"/>
    <w:rsid w:val="00E731ED"/>
    <w:rsid w:val="00E74435"/>
    <w:rsid w:val="00E758AD"/>
    <w:rsid w:val="00E77D4E"/>
    <w:rsid w:val="00E81C8D"/>
    <w:rsid w:val="00E85C3A"/>
    <w:rsid w:val="00E91860"/>
    <w:rsid w:val="00E922EC"/>
    <w:rsid w:val="00E954B7"/>
    <w:rsid w:val="00E96FDB"/>
    <w:rsid w:val="00E9796C"/>
    <w:rsid w:val="00EA107B"/>
    <w:rsid w:val="00EA5F40"/>
    <w:rsid w:val="00EA6D57"/>
    <w:rsid w:val="00EA75CA"/>
    <w:rsid w:val="00EA7777"/>
    <w:rsid w:val="00EB1D81"/>
    <w:rsid w:val="00EB6E9C"/>
    <w:rsid w:val="00EB737F"/>
    <w:rsid w:val="00EC16F1"/>
    <w:rsid w:val="00EC2577"/>
    <w:rsid w:val="00EC50C7"/>
    <w:rsid w:val="00EC7417"/>
    <w:rsid w:val="00EC772B"/>
    <w:rsid w:val="00EC77DE"/>
    <w:rsid w:val="00EC7EF3"/>
    <w:rsid w:val="00ED05D6"/>
    <w:rsid w:val="00ED0C6F"/>
    <w:rsid w:val="00ED20FF"/>
    <w:rsid w:val="00ED2FCC"/>
    <w:rsid w:val="00ED36B8"/>
    <w:rsid w:val="00ED4262"/>
    <w:rsid w:val="00ED53F6"/>
    <w:rsid w:val="00EE206E"/>
    <w:rsid w:val="00EE2786"/>
    <w:rsid w:val="00EE5F75"/>
    <w:rsid w:val="00EE7808"/>
    <w:rsid w:val="00EF0E60"/>
    <w:rsid w:val="00EF2722"/>
    <w:rsid w:val="00EF591E"/>
    <w:rsid w:val="00EF6805"/>
    <w:rsid w:val="00F00508"/>
    <w:rsid w:val="00F01E52"/>
    <w:rsid w:val="00F026E3"/>
    <w:rsid w:val="00F04176"/>
    <w:rsid w:val="00F042DC"/>
    <w:rsid w:val="00F0524D"/>
    <w:rsid w:val="00F06B9C"/>
    <w:rsid w:val="00F07099"/>
    <w:rsid w:val="00F07FAC"/>
    <w:rsid w:val="00F105EA"/>
    <w:rsid w:val="00F10808"/>
    <w:rsid w:val="00F11117"/>
    <w:rsid w:val="00F12541"/>
    <w:rsid w:val="00F12CCC"/>
    <w:rsid w:val="00F12D6F"/>
    <w:rsid w:val="00F1546A"/>
    <w:rsid w:val="00F22035"/>
    <w:rsid w:val="00F22D18"/>
    <w:rsid w:val="00F2481B"/>
    <w:rsid w:val="00F24E9A"/>
    <w:rsid w:val="00F25ECB"/>
    <w:rsid w:val="00F3015D"/>
    <w:rsid w:val="00F3297B"/>
    <w:rsid w:val="00F34A68"/>
    <w:rsid w:val="00F367C5"/>
    <w:rsid w:val="00F36C87"/>
    <w:rsid w:val="00F40E7B"/>
    <w:rsid w:val="00F41FF4"/>
    <w:rsid w:val="00F43E9E"/>
    <w:rsid w:val="00F44314"/>
    <w:rsid w:val="00F4578C"/>
    <w:rsid w:val="00F45986"/>
    <w:rsid w:val="00F46587"/>
    <w:rsid w:val="00F46927"/>
    <w:rsid w:val="00F512EC"/>
    <w:rsid w:val="00F53647"/>
    <w:rsid w:val="00F55854"/>
    <w:rsid w:val="00F56813"/>
    <w:rsid w:val="00F573EA"/>
    <w:rsid w:val="00F70110"/>
    <w:rsid w:val="00F70F75"/>
    <w:rsid w:val="00F72765"/>
    <w:rsid w:val="00F72C93"/>
    <w:rsid w:val="00F76479"/>
    <w:rsid w:val="00F7768E"/>
    <w:rsid w:val="00F80A88"/>
    <w:rsid w:val="00F823F5"/>
    <w:rsid w:val="00F84E5E"/>
    <w:rsid w:val="00F915C2"/>
    <w:rsid w:val="00F9170D"/>
    <w:rsid w:val="00F94368"/>
    <w:rsid w:val="00F9494C"/>
    <w:rsid w:val="00FA0B04"/>
    <w:rsid w:val="00FA15C8"/>
    <w:rsid w:val="00FA2D86"/>
    <w:rsid w:val="00FA348C"/>
    <w:rsid w:val="00FA75E7"/>
    <w:rsid w:val="00FB0AD8"/>
    <w:rsid w:val="00FB0DE3"/>
    <w:rsid w:val="00FB4DBB"/>
    <w:rsid w:val="00FC1BA4"/>
    <w:rsid w:val="00FC2A00"/>
    <w:rsid w:val="00FD1060"/>
    <w:rsid w:val="00FD385F"/>
    <w:rsid w:val="00FD44F8"/>
    <w:rsid w:val="00FD7AFD"/>
    <w:rsid w:val="00FE10EE"/>
    <w:rsid w:val="00FE1EC5"/>
    <w:rsid w:val="00FE2C17"/>
    <w:rsid w:val="00FE5AAE"/>
    <w:rsid w:val="00FF072F"/>
    <w:rsid w:val="00FF0933"/>
    <w:rsid w:val="00FF666C"/>
    <w:rsid w:val="00FF6F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9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footnote reference" w:qFormat="1"/>
    <w:lsdException w:name="Default Paragraph Font" w:uiPriority="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2435B"/>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qFormat/>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6455BD"/>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37"/>
      </w:numPr>
      <w:spacing w:before="120"/>
    </w:pPr>
    <w:rPr>
      <w:szCs w:val="24"/>
    </w:rPr>
  </w:style>
  <w:style w:type="paragraph" w:customStyle="1" w:styleId="CGCQuotation">
    <w:name w:val="CGC Quotation"/>
    <w:basedOn w:val="Normal"/>
    <w:next w:val="CGCNumberedPara"/>
    <w:qFormat/>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link w:val="CommentTextChar"/>
    <w:rsid w:val="00765BA8"/>
    <w:rPr>
      <w:sz w:val="20"/>
      <w:szCs w:val="20"/>
    </w:rPr>
  </w:style>
  <w:style w:type="paragraph" w:styleId="CommentSubject">
    <w:name w:val="annotation subject"/>
    <w:basedOn w:val="CommentText"/>
    <w:next w:val="CommentText"/>
    <w:link w:val="CommentSubjectChar"/>
    <w:rsid w:val="00765BA8"/>
    <w:rPr>
      <w:b/>
      <w:bCs/>
    </w:rPr>
  </w:style>
  <w:style w:type="paragraph" w:styleId="DocumentMap">
    <w:name w:val="Document Map"/>
    <w:basedOn w:val="Normal"/>
    <w:link w:val="DocumentMapChar"/>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link w:val="EndnoteTextChar"/>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qFormat/>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link w:val="SingleChar"/>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qFormat/>
    <w:rsid w:val="00996409"/>
    <w:pPr>
      <w:tabs>
        <w:tab w:val="clear" w:pos="567"/>
        <w:tab w:val="right" w:pos="8942"/>
      </w:tabs>
      <w:spacing w:before="120" w:after="120"/>
    </w:pPr>
    <w:rPr>
      <w:b/>
      <w:bCs/>
      <w:caps/>
      <w:szCs w:val="20"/>
    </w:rPr>
  </w:style>
  <w:style w:type="paragraph" w:styleId="TOC2">
    <w:name w:val="toc 2"/>
    <w:basedOn w:val="Normal"/>
    <w:next w:val="Normal"/>
    <w:uiPriority w:val="39"/>
    <w:qFormat/>
    <w:rsid w:val="006A72B0"/>
    <w:pPr>
      <w:tabs>
        <w:tab w:val="clear" w:pos="567"/>
        <w:tab w:val="right" w:pos="8942"/>
      </w:tabs>
      <w:spacing w:after="0"/>
      <w:ind w:left="851"/>
    </w:pPr>
    <w:rPr>
      <w:szCs w:val="20"/>
    </w:rPr>
  </w:style>
  <w:style w:type="paragraph" w:styleId="TOC3">
    <w:name w:val="toc 3"/>
    <w:basedOn w:val="Normal"/>
    <w:next w:val="Normal"/>
    <w:uiPriority w:val="39"/>
    <w:qFormat/>
    <w:rsid w:val="00996409"/>
    <w:pPr>
      <w:tabs>
        <w:tab w:val="clear" w:pos="567"/>
        <w:tab w:val="right" w:pos="8942"/>
      </w:tabs>
      <w:spacing w:after="0"/>
      <w:ind w:left="567"/>
    </w:pPr>
    <w:rPr>
      <w:iCs/>
      <w:caps/>
    </w:rPr>
  </w:style>
  <w:style w:type="paragraph" w:styleId="TOC4">
    <w:name w:val="toc 4"/>
    <w:basedOn w:val="Normal"/>
    <w:next w:val="Normal"/>
    <w:uiPriority w:val="39"/>
    <w:rsid w:val="00996409"/>
    <w:pPr>
      <w:tabs>
        <w:tab w:val="clear" w:pos="567"/>
        <w:tab w:val="right" w:pos="8942"/>
      </w:tabs>
      <w:spacing w:after="0"/>
      <w:ind w:left="1134"/>
    </w:p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uiPriority w:val="39"/>
    <w:rsid w:val="00765BA8"/>
    <w:pPr>
      <w:tabs>
        <w:tab w:val="clear" w:pos="567"/>
      </w:tabs>
      <w:spacing w:after="0"/>
      <w:ind w:left="1100"/>
    </w:pPr>
    <w:rPr>
      <w:sz w:val="18"/>
      <w:szCs w:val="18"/>
    </w:rPr>
  </w:style>
  <w:style w:type="paragraph" w:styleId="TOC7">
    <w:name w:val="toc 7"/>
    <w:basedOn w:val="Normal"/>
    <w:next w:val="Normal"/>
    <w:uiPriority w:val="39"/>
    <w:rsid w:val="00765BA8"/>
    <w:pPr>
      <w:tabs>
        <w:tab w:val="clear" w:pos="567"/>
      </w:tabs>
      <w:spacing w:after="0"/>
      <w:ind w:left="1320"/>
    </w:pPr>
    <w:rPr>
      <w:sz w:val="18"/>
      <w:szCs w:val="18"/>
    </w:rPr>
  </w:style>
  <w:style w:type="paragraph" w:styleId="TOC8">
    <w:name w:val="toc 8"/>
    <w:basedOn w:val="Normal"/>
    <w:next w:val="Normal"/>
    <w:uiPriority w:val="39"/>
    <w:rsid w:val="00765BA8"/>
    <w:pPr>
      <w:tabs>
        <w:tab w:val="clear" w:pos="567"/>
      </w:tabs>
      <w:spacing w:after="0"/>
      <w:ind w:left="1540"/>
    </w:pPr>
    <w:rPr>
      <w:sz w:val="18"/>
      <w:szCs w:val="18"/>
    </w:rPr>
  </w:style>
  <w:style w:type="paragraph" w:styleId="TOC9">
    <w:name w:val="toc 9"/>
    <w:basedOn w:val="Normal"/>
    <w:next w:val="Normal"/>
    <w:uiPriority w:val="39"/>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rsid w:val="00622669"/>
    <w:rPr>
      <w:rFonts w:asciiTheme="majorHAnsi" w:eastAsiaTheme="majorEastAsia" w:hAnsiTheme="majorHAnsi" w:cstheme="majorBidi"/>
      <w:i/>
      <w:iCs/>
      <w:color w:val="404040" w:themeColor="text1" w:themeTint="BF"/>
      <w:sz w:val="24"/>
    </w:rPr>
  </w:style>
  <w:style w:type="paragraph" w:customStyle="1" w:styleId="H3notoc">
    <w:name w:val="H3 no toc"/>
    <w:basedOn w:val="NoSpacing"/>
    <w:link w:val="H3notocChar"/>
    <w:qFormat/>
    <w:rsid w:val="0072435B"/>
    <w:pPr>
      <w:spacing w:before="240"/>
    </w:pPr>
    <w:rPr>
      <w:rFonts w:eastAsiaTheme="majorEastAsia" w:cstheme="majorBidi"/>
      <w:b/>
      <w:color w:val="2C8558"/>
      <w:sz w:val="32"/>
    </w:rPr>
  </w:style>
  <w:style w:type="paragraph" w:customStyle="1" w:styleId="H1notoc">
    <w:name w:val="H1 no toc"/>
    <w:basedOn w:val="NoSpacing"/>
    <w:next w:val="Normal"/>
    <w:link w:val="H1notocChar"/>
    <w:qFormat/>
    <w:rsid w:val="0072435B"/>
    <w:pPr>
      <w:pBdr>
        <w:bottom w:val="single" w:sz="4" w:space="1" w:color="auto"/>
      </w:pBdr>
      <w:spacing w:before="800"/>
    </w:pPr>
    <w:rPr>
      <w:rFonts w:eastAsiaTheme="majorEastAsia" w:cstheme="majorBidi"/>
      <w:b/>
      <w:caps/>
      <w:color w:val="2C8558"/>
      <w:sz w:val="40"/>
      <w:szCs w:val="28"/>
    </w:rPr>
  </w:style>
  <w:style w:type="character" w:customStyle="1" w:styleId="H3notocChar">
    <w:name w:val="H3 no toc Char"/>
    <w:basedOn w:val="Heading3Char"/>
    <w:link w:val="H3notoc"/>
    <w:rsid w:val="0072435B"/>
    <w:rPr>
      <w:rFonts w:eastAsiaTheme="majorEastAsia" w:cstheme="majorBidi"/>
      <w:b/>
      <w:bCs w:val="0"/>
      <w:caps w:val="0"/>
      <w:color w:val="2C8558"/>
      <w:sz w:val="32"/>
    </w:rPr>
  </w:style>
  <w:style w:type="character" w:customStyle="1" w:styleId="H1notocChar">
    <w:name w:val="H1 no toc Char"/>
    <w:basedOn w:val="Heading1Char"/>
    <w:link w:val="H1notoc"/>
    <w:rsid w:val="0072435B"/>
    <w:rPr>
      <w:rFonts w:eastAsiaTheme="majorEastAsia" w:cstheme="majorBidi"/>
      <w:b/>
      <w:bCs w:val="0"/>
      <w:caps/>
      <w:color w:val="2C8558"/>
      <w:sz w:val="40"/>
      <w:szCs w:val="28"/>
    </w:rPr>
  </w:style>
  <w:style w:type="character" w:customStyle="1" w:styleId="CGCBulletlistChar">
    <w:name w:val="CGC Bullet list Char"/>
    <w:aliases w:val="CGC List 1 Char,CGC Bullet list Char1"/>
    <w:basedOn w:val="DefaultParagraphFont"/>
    <w:link w:val="CGCBulletlist"/>
    <w:locked/>
    <w:rsid w:val="006455BD"/>
    <w:rPr>
      <w:sz w:val="24"/>
      <w:szCs w:val="20"/>
    </w:rPr>
  </w:style>
  <w:style w:type="character" w:customStyle="1" w:styleId="CGCParaNoChar">
    <w:name w:val="CGC Para No Char"/>
    <w:aliases w:val="CGC Numbered Para Char"/>
    <w:basedOn w:val="DefaultParagraphFont"/>
    <w:link w:val="CGCNumberedPara"/>
    <w:rsid w:val="00565071"/>
    <w:rPr>
      <w:sz w:val="24"/>
      <w:szCs w:val="24"/>
    </w:rPr>
  </w:style>
  <w:style w:type="character" w:customStyle="1" w:styleId="CGCTableFootnoteChar">
    <w:name w:val="CGC Table Footnote Char"/>
    <w:basedOn w:val="DefaultParagraphFont"/>
    <w:link w:val="CGCTableFootnote"/>
    <w:locked/>
    <w:rsid w:val="000547A3"/>
    <w:rPr>
      <w:sz w:val="20"/>
      <w:szCs w:val="24"/>
    </w:rPr>
  </w:style>
  <w:style w:type="character" w:customStyle="1" w:styleId="CGCTableStubChar">
    <w:name w:val="CGC Table Stub Char"/>
    <w:basedOn w:val="DefaultParagraphFont"/>
    <w:link w:val="CGCTableStub"/>
    <w:locked/>
    <w:rsid w:val="00EA7777"/>
    <w:rPr>
      <w:sz w:val="20"/>
      <w:szCs w:val="20"/>
    </w:rPr>
  </w:style>
  <w:style w:type="paragraph" w:customStyle="1" w:styleId="A1AttachmentAlist">
    <w:name w:val="A.1 Attachment A list"/>
    <w:basedOn w:val="CGCNumberedPara"/>
    <w:link w:val="A1AttachmentAlistChar"/>
    <w:qFormat/>
    <w:rsid w:val="00917519"/>
    <w:pPr>
      <w:numPr>
        <w:ilvl w:val="0"/>
        <w:numId w:val="49"/>
      </w:numPr>
      <w:tabs>
        <w:tab w:val="left" w:pos="567"/>
      </w:tabs>
      <w:ind w:left="567" w:hanging="567"/>
    </w:pPr>
  </w:style>
  <w:style w:type="paragraph" w:customStyle="1" w:styleId="CGCterminologylabel">
    <w:name w:val="CGC terminology label"/>
    <w:basedOn w:val="Normal"/>
    <w:link w:val="CGCterminologylabelChar"/>
    <w:qFormat/>
    <w:rsid w:val="002E6415"/>
    <w:pPr>
      <w:keepNext/>
    </w:pPr>
    <w:rPr>
      <w:b/>
    </w:rPr>
  </w:style>
  <w:style w:type="character" w:customStyle="1" w:styleId="CGCterminologylabelChar">
    <w:name w:val="CGC terminology label Char"/>
    <w:basedOn w:val="DefaultParagraphFont"/>
    <w:link w:val="CGCterminologylabel"/>
    <w:rsid w:val="002E6415"/>
    <w:rPr>
      <w:b/>
      <w:sz w:val="24"/>
    </w:rPr>
  </w:style>
  <w:style w:type="character" w:customStyle="1" w:styleId="TableRowNormalChar">
    <w:name w:val="TableRowNormal Char"/>
    <w:basedOn w:val="DefaultParagraphFont"/>
    <w:link w:val="TableRowNormal"/>
    <w:locked/>
    <w:rsid w:val="002E6415"/>
    <w:rPr>
      <w:sz w:val="20"/>
      <w:szCs w:val="20"/>
    </w:rPr>
  </w:style>
  <w:style w:type="character" w:customStyle="1" w:styleId="CGCTableHeadingChar">
    <w:name w:val="CGC Table Heading Char"/>
    <w:basedOn w:val="DefaultParagraphFont"/>
    <w:link w:val="CGCTableHeading"/>
    <w:locked/>
    <w:rsid w:val="002E6415"/>
    <w:rPr>
      <w:b/>
      <w:sz w:val="24"/>
      <w:szCs w:val="20"/>
    </w:rPr>
  </w:style>
  <w:style w:type="paragraph" w:customStyle="1" w:styleId="Default">
    <w:name w:val="Default"/>
    <w:rsid w:val="002E6415"/>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2E6415"/>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2E6415"/>
    <w:rPr>
      <w:rFonts w:ascii="Arial" w:hAnsi="Arial"/>
      <w:b/>
      <w:i/>
      <w:sz w:val="18"/>
      <w:szCs w:val="20"/>
    </w:rPr>
  </w:style>
  <w:style w:type="character" w:customStyle="1" w:styleId="CommentTextChar">
    <w:name w:val="Comment Text Char"/>
    <w:basedOn w:val="DefaultParagraphFont"/>
    <w:link w:val="CommentText"/>
    <w:rsid w:val="002E6415"/>
    <w:rPr>
      <w:sz w:val="20"/>
      <w:szCs w:val="20"/>
    </w:rPr>
  </w:style>
  <w:style w:type="character" w:customStyle="1" w:styleId="CommentSubjectChar">
    <w:name w:val="Comment Subject Char"/>
    <w:basedOn w:val="CommentTextChar"/>
    <w:link w:val="CommentSubject"/>
    <w:rsid w:val="002E6415"/>
    <w:rPr>
      <w:b/>
      <w:bCs/>
      <w:sz w:val="20"/>
      <w:szCs w:val="20"/>
    </w:rPr>
  </w:style>
  <w:style w:type="character" w:customStyle="1" w:styleId="DocumentMapChar">
    <w:name w:val="Document Map Char"/>
    <w:basedOn w:val="DefaultParagraphFont"/>
    <w:link w:val="DocumentMap"/>
    <w:rsid w:val="002E6415"/>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2E6415"/>
    <w:rPr>
      <w:sz w:val="20"/>
      <w:szCs w:val="20"/>
    </w:rPr>
  </w:style>
  <w:style w:type="character" w:customStyle="1" w:styleId="MacroTextChar">
    <w:name w:val="Macro Text Char"/>
    <w:basedOn w:val="DefaultParagraphFont"/>
    <w:link w:val="MacroText"/>
    <w:rsid w:val="002E6415"/>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2E6415"/>
    <w:rPr>
      <w:sz w:val="24"/>
      <w:szCs w:val="20"/>
    </w:rPr>
  </w:style>
  <w:style w:type="character" w:customStyle="1" w:styleId="SingleChar">
    <w:name w:val="Single Char"/>
    <w:basedOn w:val="DefaultParagraphFont"/>
    <w:link w:val="Single"/>
    <w:locked/>
    <w:rsid w:val="002E6415"/>
    <w:rPr>
      <w:sz w:val="24"/>
    </w:rPr>
  </w:style>
  <w:style w:type="paragraph" w:styleId="Revision">
    <w:name w:val="Revision"/>
    <w:hidden/>
    <w:uiPriority w:val="99"/>
    <w:semiHidden/>
    <w:rsid w:val="002E6415"/>
    <w:pPr>
      <w:spacing w:after="0" w:line="240" w:lineRule="auto"/>
    </w:pPr>
    <w:rPr>
      <w:sz w:val="24"/>
      <w:szCs w:val="24"/>
    </w:rPr>
  </w:style>
  <w:style w:type="paragraph" w:customStyle="1" w:styleId="Crest">
    <w:name w:val="Crest"/>
    <w:basedOn w:val="Normal"/>
    <w:rsid w:val="002E6415"/>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2E6415"/>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2E6415"/>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2E6415"/>
  </w:style>
  <w:style w:type="table" w:customStyle="1" w:styleId="TableGrid1">
    <w:name w:val="Table Grid1"/>
    <w:basedOn w:val="TableNormal"/>
    <w:next w:val="TableGrid"/>
    <w:rsid w:val="002E6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2E6415"/>
    <w:rPr>
      <w:color w:val="800080" w:themeColor="followedHyperlink"/>
      <w:u w:val="single"/>
    </w:rPr>
  </w:style>
  <w:style w:type="paragraph" w:customStyle="1" w:styleId="11para">
    <w:name w:val="1.1 para"/>
    <w:basedOn w:val="Normal"/>
    <w:qFormat/>
    <w:rsid w:val="007F7654"/>
    <w:pPr>
      <w:numPr>
        <w:numId w:val="45"/>
      </w:numPr>
      <w:tabs>
        <w:tab w:val="clear" w:pos="567"/>
      </w:tabs>
      <w:spacing w:before="120"/>
      <w:ind w:left="567" w:hanging="567"/>
    </w:pPr>
    <w:rPr>
      <w:szCs w:val="24"/>
    </w:rPr>
  </w:style>
  <w:style w:type="paragraph" w:customStyle="1" w:styleId="21para">
    <w:name w:val="2.1 para"/>
    <w:basedOn w:val="Normal"/>
    <w:qFormat/>
    <w:rsid w:val="0025048D"/>
    <w:pPr>
      <w:numPr>
        <w:numId w:val="46"/>
      </w:numPr>
      <w:tabs>
        <w:tab w:val="clear" w:pos="567"/>
      </w:tabs>
      <w:spacing w:before="120"/>
      <w:ind w:left="567" w:hanging="567"/>
    </w:pPr>
    <w:rPr>
      <w:szCs w:val="24"/>
    </w:rPr>
  </w:style>
  <w:style w:type="character" w:customStyle="1" w:styleId="A1AttachmentAlistChar">
    <w:name w:val="A.1 Attachment A list Char"/>
    <w:basedOn w:val="CGCParaNoChar"/>
    <w:link w:val="A1AttachmentAlist"/>
    <w:rsid w:val="0091751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qFormat="1"/>
    <w:lsdException w:name="footnote reference" w:qFormat="1"/>
    <w:lsdException w:name="Default Paragraph Font" w:uiPriority="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72435B"/>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qFormat/>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6455BD"/>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37"/>
      </w:numPr>
      <w:spacing w:before="120"/>
    </w:pPr>
    <w:rPr>
      <w:szCs w:val="24"/>
    </w:rPr>
  </w:style>
  <w:style w:type="paragraph" w:customStyle="1" w:styleId="CGCQuotation">
    <w:name w:val="CGC Quotation"/>
    <w:basedOn w:val="Normal"/>
    <w:next w:val="CGCNumberedPara"/>
    <w:qFormat/>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link w:val="CommentTextChar"/>
    <w:rsid w:val="00765BA8"/>
    <w:rPr>
      <w:sz w:val="20"/>
      <w:szCs w:val="20"/>
    </w:rPr>
  </w:style>
  <w:style w:type="paragraph" w:styleId="CommentSubject">
    <w:name w:val="annotation subject"/>
    <w:basedOn w:val="CommentText"/>
    <w:next w:val="CommentText"/>
    <w:link w:val="CommentSubjectChar"/>
    <w:rsid w:val="00765BA8"/>
    <w:rPr>
      <w:b/>
      <w:bCs/>
    </w:rPr>
  </w:style>
  <w:style w:type="paragraph" w:styleId="DocumentMap">
    <w:name w:val="Document Map"/>
    <w:basedOn w:val="Normal"/>
    <w:link w:val="DocumentMapChar"/>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link w:val="EndnoteTextChar"/>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qFormat/>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link w:val="SingleChar"/>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qFormat/>
    <w:rsid w:val="00996409"/>
    <w:pPr>
      <w:tabs>
        <w:tab w:val="clear" w:pos="567"/>
        <w:tab w:val="right" w:pos="8942"/>
      </w:tabs>
      <w:spacing w:before="120" w:after="120"/>
    </w:pPr>
    <w:rPr>
      <w:b/>
      <w:bCs/>
      <w:caps/>
      <w:szCs w:val="20"/>
    </w:rPr>
  </w:style>
  <w:style w:type="paragraph" w:styleId="TOC2">
    <w:name w:val="toc 2"/>
    <w:basedOn w:val="Normal"/>
    <w:next w:val="Normal"/>
    <w:uiPriority w:val="39"/>
    <w:qFormat/>
    <w:rsid w:val="006A72B0"/>
    <w:pPr>
      <w:tabs>
        <w:tab w:val="clear" w:pos="567"/>
        <w:tab w:val="right" w:pos="8942"/>
      </w:tabs>
      <w:spacing w:after="0"/>
      <w:ind w:left="851"/>
    </w:pPr>
    <w:rPr>
      <w:szCs w:val="20"/>
    </w:rPr>
  </w:style>
  <w:style w:type="paragraph" w:styleId="TOC3">
    <w:name w:val="toc 3"/>
    <w:basedOn w:val="Normal"/>
    <w:next w:val="Normal"/>
    <w:uiPriority w:val="39"/>
    <w:qFormat/>
    <w:rsid w:val="00996409"/>
    <w:pPr>
      <w:tabs>
        <w:tab w:val="clear" w:pos="567"/>
        <w:tab w:val="right" w:pos="8942"/>
      </w:tabs>
      <w:spacing w:after="0"/>
      <w:ind w:left="567"/>
    </w:pPr>
    <w:rPr>
      <w:iCs/>
      <w:caps/>
    </w:rPr>
  </w:style>
  <w:style w:type="paragraph" w:styleId="TOC4">
    <w:name w:val="toc 4"/>
    <w:basedOn w:val="Normal"/>
    <w:next w:val="Normal"/>
    <w:uiPriority w:val="39"/>
    <w:rsid w:val="00996409"/>
    <w:pPr>
      <w:tabs>
        <w:tab w:val="clear" w:pos="567"/>
        <w:tab w:val="right" w:pos="8942"/>
      </w:tabs>
      <w:spacing w:after="0"/>
      <w:ind w:left="1134"/>
    </w:p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uiPriority w:val="39"/>
    <w:rsid w:val="00765BA8"/>
    <w:pPr>
      <w:tabs>
        <w:tab w:val="clear" w:pos="567"/>
      </w:tabs>
      <w:spacing w:after="0"/>
      <w:ind w:left="1100"/>
    </w:pPr>
    <w:rPr>
      <w:sz w:val="18"/>
      <w:szCs w:val="18"/>
    </w:rPr>
  </w:style>
  <w:style w:type="paragraph" w:styleId="TOC7">
    <w:name w:val="toc 7"/>
    <w:basedOn w:val="Normal"/>
    <w:next w:val="Normal"/>
    <w:uiPriority w:val="39"/>
    <w:rsid w:val="00765BA8"/>
    <w:pPr>
      <w:tabs>
        <w:tab w:val="clear" w:pos="567"/>
      </w:tabs>
      <w:spacing w:after="0"/>
      <w:ind w:left="1320"/>
    </w:pPr>
    <w:rPr>
      <w:sz w:val="18"/>
      <w:szCs w:val="18"/>
    </w:rPr>
  </w:style>
  <w:style w:type="paragraph" w:styleId="TOC8">
    <w:name w:val="toc 8"/>
    <w:basedOn w:val="Normal"/>
    <w:next w:val="Normal"/>
    <w:uiPriority w:val="39"/>
    <w:rsid w:val="00765BA8"/>
    <w:pPr>
      <w:tabs>
        <w:tab w:val="clear" w:pos="567"/>
      </w:tabs>
      <w:spacing w:after="0"/>
      <w:ind w:left="1540"/>
    </w:pPr>
    <w:rPr>
      <w:sz w:val="18"/>
      <w:szCs w:val="18"/>
    </w:rPr>
  </w:style>
  <w:style w:type="paragraph" w:styleId="TOC9">
    <w:name w:val="toc 9"/>
    <w:basedOn w:val="Normal"/>
    <w:next w:val="Normal"/>
    <w:uiPriority w:val="39"/>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rsid w:val="00622669"/>
    <w:rPr>
      <w:rFonts w:asciiTheme="majorHAnsi" w:eastAsiaTheme="majorEastAsia" w:hAnsiTheme="majorHAnsi" w:cstheme="majorBidi"/>
      <w:i/>
      <w:iCs/>
      <w:color w:val="404040" w:themeColor="text1" w:themeTint="BF"/>
      <w:sz w:val="24"/>
    </w:rPr>
  </w:style>
  <w:style w:type="paragraph" w:customStyle="1" w:styleId="H3notoc">
    <w:name w:val="H3 no toc"/>
    <w:basedOn w:val="NoSpacing"/>
    <w:link w:val="H3notocChar"/>
    <w:qFormat/>
    <w:rsid w:val="0072435B"/>
    <w:pPr>
      <w:spacing w:before="240"/>
    </w:pPr>
    <w:rPr>
      <w:rFonts w:eastAsiaTheme="majorEastAsia" w:cstheme="majorBidi"/>
      <w:b/>
      <w:color w:val="2C8558"/>
      <w:sz w:val="32"/>
    </w:rPr>
  </w:style>
  <w:style w:type="paragraph" w:customStyle="1" w:styleId="H1notoc">
    <w:name w:val="H1 no toc"/>
    <w:basedOn w:val="NoSpacing"/>
    <w:next w:val="Normal"/>
    <w:link w:val="H1notocChar"/>
    <w:qFormat/>
    <w:rsid w:val="0072435B"/>
    <w:pPr>
      <w:pBdr>
        <w:bottom w:val="single" w:sz="4" w:space="1" w:color="auto"/>
      </w:pBdr>
      <w:spacing w:before="800"/>
    </w:pPr>
    <w:rPr>
      <w:rFonts w:eastAsiaTheme="majorEastAsia" w:cstheme="majorBidi"/>
      <w:b/>
      <w:caps/>
      <w:color w:val="2C8558"/>
      <w:sz w:val="40"/>
      <w:szCs w:val="28"/>
    </w:rPr>
  </w:style>
  <w:style w:type="character" w:customStyle="1" w:styleId="H3notocChar">
    <w:name w:val="H3 no toc Char"/>
    <w:basedOn w:val="Heading3Char"/>
    <w:link w:val="H3notoc"/>
    <w:rsid w:val="0072435B"/>
    <w:rPr>
      <w:rFonts w:eastAsiaTheme="majorEastAsia" w:cstheme="majorBidi"/>
      <w:b/>
      <w:bCs w:val="0"/>
      <w:caps w:val="0"/>
      <w:color w:val="2C8558"/>
      <w:sz w:val="32"/>
    </w:rPr>
  </w:style>
  <w:style w:type="character" w:customStyle="1" w:styleId="H1notocChar">
    <w:name w:val="H1 no toc Char"/>
    <w:basedOn w:val="Heading1Char"/>
    <w:link w:val="H1notoc"/>
    <w:rsid w:val="0072435B"/>
    <w:rPr>
      <w:rFonts w:eastAsiaTheme="majorEastAsia" w:cstheme="majorBidi"/>
      <w:b/>
      <w:bCs w:val="0"/>
      <w:caps/>
      <w:color w:val="2C8558"/>
      <w:sz w:val="40"/>
      <w:szCs w:val="28"/>
    </w:rPr>
  </w:style>
  <w:style w:type="character" w:customStyle="1" w:styleId="CGCBulletlistChar">
    <w:name w:val="CGC Bullet list Char"/>
    <w:aliases w:val="CGC List 1 Char,CGC Bullet list Char1"/>
    <w:basedOn w:val="DefaultParagraphFont"/>
    <w:link w:val="CGCBulletlist"/>
    <w:locked/>
    <w:rsid w:val="006455BD"/>
    <w:rPr>
      <w:sz w:val="24"/>
      <w:szCs w:val="20"/>
    </w:rPr>
  </w:style>
  <w:style w:type="character" w:customStyle="1" w:styleId="CGCParaNoChar">
    <w:name w:val="CGC Para No Char"/>
    <w:aliases w:val="CGC Numbered Para Char"/>
    <w:basedOn w:val="DefaultParagraphFont"/>
    <w:link w:val="CGCNumberedPara"/>
    <w:rsid w:val="00565071"/>
    <w:rPr>
      <w:sz w:val="24"/>
      <w:szCs w:val="24"/>
    </w:rPr>
  </w:style>
  <w:style w:type="character" w:customStyle="1" w:styleId="CGCTableFootnoteChar">
    <w:name w:val="CGC Table Footnote Char"/>
    <w:basedOn w:val="DefaultParagraphFont"/>
    <w:link w:val="CGCTableFootnote"/>
    <w:locked/>
    <w:rsid w:val="000547A3"/>
    <w:rPr>
      <w:sz w:val="20"/>
      <w:szCs w:val="24"/>
    </w:rPr>
  </w:style>
  <w:style w:type="character" w:customStyle="1" w:styleId="CGCTableStubChar">
    <w:name w:val="CGC Table Stub Char"/>
    <w:basedOn w:val="DefaultParagraphFont"/>
    <w:link w:val="CGCTableStub"/>
    <w:locked/>
    <w:rsid w:val="00EA7777"/>
    <w:rPr>
      <w:sz w:val="20"/>
      <w:szCs w:val="20"/>
    </w:rPr>
  </w:style>
  <w:style w:type="paragraph" w:customStyle="1" w:styleId="A1AttachmentAlist">
    <w:name w:val="A.1 Attachment A list"/>
    <w:basedOn w:val="CGCNumberedPara"/>
    <w:link w:val="A1AttachmentAlistChar"/>
    <w:qFormat/>
    <w:rsid w:val="00917519"/>
    <w:pPr>
      <w:numPr>
        <w:ilvl w:val="0"/>
        <w:numId w:val="49"/>
      </w:numPr>
      <w:tabs>
        <w:tab w:val="left" w:pos="567"/>
      </w:tabs>
      <w:ind w:left="567" w:hanging="567"/>
    </w:pPr>
  </w:style>
  <w:style w:type="paragraph" w:customStyle="1" w:styleId="CGCterminologylabel">
    <w:name w:val="CGC terminology label"/>
    <w:basedOn w:val="Normal"/>
    <w:link w:val="CGCterminologylabelChar"/>
    <w:qFormat/>
    <w:rsid w:val="002E6415"/>
    <w:pPr>
      <w:keepNext/>
    </w:pPr>
    <w:rPr>
      <w:b/>
    </w:rPr>
  </w:style>
  <w:style w:type="character" w:customStyle="1" w:styleId="CGCterminologylabelChar">
    <w:name w:val="CGC terminology label Char"/>
    <w:basedOn w:val="DefaultParagraphFont"/>
    <w:link w:val="CGCterminologylabel"/>
    <w:rsid w:val="002E6415"/>
    <w:rPr>
      <w:b/>
      <w:sz w:val="24"/>
    </w:rPr>
  </w:style>
  <w:style w:type="character" w:customStyle="1" w:styleId="TableRowNormalChar">
    <w:name w:val="TableRowNormal Char"/>
    <w:basedOn w:val="DefaultParagraphFont"/>
    <w:link w:val="TableRowNormal"/>
    <w:locked/>
    <w:rsid w:val="002E6415"/>
    <w:rPr>
      <w:sz w:val="20"/>
      <w:szCs w:val="20"/>
    </w:rPr>
  </w:style>
  <w:style w:type="character" w:customStyle="1" w:styleId="CGCTableHeadingChar">
    <w:name w:val="CGC Table Heading Char"/>
    <w:basedOn w:val="DefaultParagraphFont"/>
    <w:link w:val="CGCTableHeading"/>
    <w:locked/>
    <w:rsid w:val="002E6415"/>
    <w:rPr>
      <w:b/>
      <w:sz w:val="24"/>
      <w:szCs w:val="20"/>
    </w:rPr>
  </w:style>
  <w:style w:type="paragraph" w:customStyle="1" w:styleId="Default">
    <w:name w:val="Default"/>
    <w:rsid w:val="002E6415"/>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2E6415"/>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2E6415"/>
    <w:rPr>
      <w:rFonts w:ascii="Arial" w:hAnsi="Arial"/>
      <w:b/>
      <w:i/>
      <w:sz w:val="18"/>
      <w:szCs w:val="20"/>
    </w:rPr>
  </w:style>
  <w:style w:type="character" w:customStyle="1" w:styleId="CommentTextChar">
    <w:name w:val="Comment Text Char"/>
    <w:basedOn w:val="DefaultParagraphFont"/>
    <w:link w:val="CommentText"/>
    <w:rsid w:val="002E6415"/>
    <w:rPr>
      <w:sz w:val="20"/>
      <w:szCs w:val="20"/>
    </w:rPr>
  </w:style>
  <w:style w:type="character" w:customStyle="1" w:styleId="CommentSubjectChar">
    <w:name w:val="Comment Subject Char"/>
    <w:basedOn w:val="CommentTextChar"/>
    <w:link w:val="CommentSubject"/>
    <w:rsid w:val="002E6415"/>
    <w:rPr>
      <w:b/>
      <w:bCs/>
      <w:sz w:val="20"/>
      <w:szCs w:val="20"/>
    </w:rPr>
  </w:style>
  <w:style w:type="character" w:customStyle="1" w:styleId="DocumentMapChar">
    <w:name w:val="Document Map Char"/>
    <w:basedOn w:val="DefaultParagraphFont"/>
    <w:link w:val="DocumentMap"/>
    <w:rsid w:val="002E6415"/>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2E6415"/>
    <w:rPr>
      <w:sz w:val="20"/>
      <w:szCs w:val="20"/>
    </w:rPr>
  </w:style>
  <w:style w:type="character" w:customStyle="1" w:styleId="MacroTextChar">
    <w:name w:val="Macro Text Char"/>
    <w:basedOn w:val="DefaultParagraphFont"/>
    <w:link w:val="MacroText"/>
    <w:rsid w:val="002E6415"/>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2E6415"/>
    <w:rPr>
      <w:sz w:val="24"/>
      <w:szCs w:val="20"/>
    </w:rPr>
  </w:style>
  <w:style w:type="character" w:customStyle="1" w:styleId="SingleChar">
    <w:name w:val="Single Char"/>
    <w:basedOn w:val="DefaultParagraphFont"/>
    <w:link w:val="Single"/>
    <w:locked/>
    <w:rsid w:val="002E6415"/>
    <w:rPr>
      <w:sz w:val="24"/>
    </w:rPr>
  </w:style>
  <w:style w:type="paragraph" w:styleId="Revision">
    <w:name w:val="Revision"/>
    <w:hidden/>
    <w:uiPriority w:val="99"/>
    <w:semiHidden/>
    <w:rsid w:val="002E6415"/>
    <w:pPr>
      <w:spacing w:after="0" w:line="240" w:lineRule="auto"/>
    </w:pPr>
    <w:rPr>
      <w:sz w:val="24"/>
      <w:szCs w:val="24"/>
    </w:rPr>
  </w:style>
  <w:style w:type="paragraph" w:customStyle="1" w:styleId="Crest">
    <w:name w:val="Crest"/>
    <w:basedOn w:val="Normal"/>
    <w:rsid w:val="002E6415"/>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2E6415"/>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2E6415"/>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2E6415"/>
  </w:style>
  <w:style w:type="table" w:customStyle="1" w:styleId="TableGrid1">
    <w:name w:val="Table Grid1"/>
    <w:basedOn w:val="TableNormal"/>
    <w:next w:val="TableGrid"/>
    <w:rsid w:val="002E6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2E6415"/>
    <w:rPr>
      <w:color w:val="800080" w:themeColor="followedHyperlink"/>
      <w:u w:val="single"/>
    </w:rPr>
  </w:style>
  <w:style w:type="paragraph" w:customStyle="1" w:styleId="11para">
    <w:name w:val="1.1 para"/>
    <w:basedOn w:val="Normal"/>
    <w:qFormat/>
    <w:rsid w:val="007F7654"/>
    <w:pPr>
      <w:numPr>
        <w:numId w:val="45"/>
      </w:numPr>
      <w:tabs>
        <w:tab w:val="clear" w:pos="567"/>
      </w:tabs>
      <w:spacing w:before="120"/>
      <w:ind w:left="567" w:hanging="567"/>
    </w:pPr>
    <w:rPr>
      <w:szCs w:val="24"/>
    </w:rPr>
  </w:style>
  <w:style w:type="paragraph" w:customStyle="1" w:styleId="21para">
    <w:name w:val="2.1 para"/>
    <w:basedOn w:val="Normal"/>
    <w:qFormat/>
    <w:rsid w:val="0025048D"/>
    <w:pPr>
      <w:numPr>
        <w:numId w:val="46"/>
      </w:numPr>
      <w:tabs>
        <w:tab w:val="clear" w:pos="567"/>
      </w:tabs>
      <w:spacing w:before="120"/>
      <w:ind w:left="567" w:hanging="567"/>
    </w:pPr>
    <w:rPr>
      <w:szCs w:val="24"/>
    </w:rPr>
  </w:style>
  <w:style w:type="character" w:customStyle="1" w:styleId="A1AttachmentAlistChar">
    <w:name w:val="A.1 Attachment A list Char"/>
    <w:basedOn w:val="CGCParaNoChar"/>
    <w:link w:val="A1AttachmentAlist"/>
    <w:rsid w:val="009175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8470">
      <w:bodyDiv w:val="1"/>
      <w:marLeft w:val="0"/>
      <w:marRight w:val="0"/>
      <w:marTop w:val="0"/>
      <w:marBottom w:val="0"/>
      <w:divBdr>
        <w:top w:val="none" w:sz="0" w:space="0" w:color="auto"/>
        <w:left w:val="none" w:sz="0" w:space="0" w:color="auto"/>
        <w:bottom w:val="none" w:sz="0" w:space="0" w:color="auto"/>
        <w:right w:val="none" w:sz="0" w:space="0" w:color="auto"/>
      </w:divBdr>
    </w:div>
    <w:div w:id="31347193">
      <w:bodyDiv w:val="1"/>
      <w:marLeft w:val="0"/>
      <w:marRight w:val="0"/>
      <w:marTop w:val="0"/>
      <w:marBottom w:val="0"/>
      <w:divBdr>
        <w:top w:val="none" w:sz="0" w:space="0" w:color="auto"/>
        <w:left w:val="none" w:sz="0" w:space="0" w:color="auto"/>
        <w:bottom w:val="none" w:sz="0" w:space="0" w:color="auto"/>
        <w:right w:val="none" w:sz="0" w:space="0" w:color="auto"/>
      </w:divBdr>
    </w:div>
    <w:div w:id="37319312">
      <w:bodyDiv w:val="1"/>
      <w:marLeft w:val="0"/>
      <w:marRight w:val="0"/>
      <w:marTop w:val="0"/>
      <w:marBottom w:val="0"/>
      <w:divBdr>
        <w:top w:val="none" w:sz="0" w:space="0" w:color="auto"/>
        <w:left w:val="none" w:sz="0" w:space="0" w:color="auto"/>
        <w:bottom w:val="none" w:sz="0" w:space="0" w:color="auto"/>
        <w:right w:val="none" w:sz="0" w:space="0" w:color="auto"/>
      </w:divBdr>
    </w:div>
    <w:div w:id="43647308">
      <w:bodyDiv w:val="1"/>
      <w:marLeft w:val="0"/>
      <w:marRight w:val="0"/>
      <w:marTop w:val="0"/>
      <w:marBottom w:val="0"/>
      <w:divBdr>
        <w:top w:val="none" w:sz="0" w:space="0" w:color="auto"/>
        <w:left w:val="none" w:sz="0" w:space="0" w:color="auto"/>
        <w:bottom w:val="none" w:sz="0" w:space="0" w:color="auto"/>
        <w:right w:val="none" w:sz="0" w:space="0" w:color="auto"/>
      </w:divBdr>
    </w:div>
    <w:div w:id="43912456">
      <w:bodyDiv w:val="1"/>
      <w:marLeft w:val="0"/>
      <w:marRight w:val="0"/>
      <w:marTop w:val="0"/>
      <w:marBottom w:val="0"/>
      <w:divBdr>
        <w:top w:val="none" w:sz="0" w:space="0" w:color="auto"/>
        <w:left w:val="none" w:sz="0" w:space="0" w:color="auto"/>
        <w:bottom w:val="none" w:sz="0" w:space="0" w:color="auto"/>
        <w:right w:val="none" w:sz="0" w:space="0" w:color="auto"/>
      </w:divBdr>
    </w:div>
    <w:div w:id="64182319">
      <w:bodyDiv w:val="1"/>
      <w:marLeft w:val="0"/>
      <w:marRight w:val="0"/>
      <w:marTop w:val="0"/>
      <w:marBottom w:val="0"/>
      <w:divBdr>
        <w:top w:val="none" w:sz="0" w:space="0" w:color="auto"/>
        <w:left w:val="none" w:sz="0" w:space="0" w:color="auto"/>
        <w:bottom w:val="none" w:sz="0" w:space="0" w:color="auto"/>
        <w:right w:val="none" w:sz="0" w:space="0" w:color="auto"/>
      </w:divBdr>
    </w:div>
    <w:div w:id="70321135">
      <w:bodyDiv w:val="1"/>
      <w:marLeft w:val="0"/>
      <w:marRight w:val="0"/>
      <w:marTop w:val="0"/>
      <w:marBottom w:val="0"/>
      <w:divBdr>
        <w:top w:val="none" w:sz="0" w:space="0" w:color="auto"/>
        <w:left w:val="none" w:sz="0" w:space="0" w:color="auto"/>
        <w:bottom w:val="none" w:sz="0" w:space="0" w:color="auto"/>
        <w:right w:val="none" w:sz="0" w:space="0" w:color="auto"/>
      </w:divBdr>
    </w:div>
    <w:div w:id="75372076">
      <w:bodyDiv w:val="1"/>
      <w:marLeft w:val="0"/>
      <w:marRight w:val="0"/>
      <w:marTop w:val="0"/>
      <w:marBottom w:val="0"/>
      <w:divBdr>
        <w:top w:val="none" w:sz="0" w:space="0" w:color="auto"/>
        <w:left w:val="none" w:sz="0" w:space="0" w:color="auto"/>
        <w:bottom w:val="none" w:sz="0" w:space="0" w:color="auto"/>
        <w:right w:val="none" w:sz="0" w:space="0" w:color="auto"/>
      </w:divBdr>
    </w:div>
    <w:div w:id="80761118">
      <w:bodyDiv w:val="1"/>
      <w:marLeft w:val="0"/>
      <w:marRight w:val="0"/>
      <w:marTop w:val="0"/>
      <w:marBottom w:val="0"/>
      <w:divBdr>
        <w:top w:val="none" w:sz="0" w:space="0" w:color="auto"/>
        <w:left w:val="none" w:sz="0" w:space="0" w:color="auto"/>
        <w:bottom w:val="none" w:sz="0" w:space="0" w:color="auto"/>
        <w:right w:val="none" w:sz="0" w:space="0" w:color="auto"/>
      </w:divBdr>
    </w:div>
    <w:div w:id="96565851">
      <w:bodyDiv w:val="1"/>
      <w:marLeft w:val="0"/>
      <w:marRight w:val="0"/>
      <w:marTop w:val="0"/>
      <w:marBottom w:val="0"/>
      <w:divBdr>
        <w:top w:val="none" w:sz="0" w:space="0" w:color="auto"/>
        <w:left w:val="none" w:sz="0" w:space="0" w:color="auto"/>
        <w:bottom w:val="none" w:sz="0" w:space="0" w:color="auto"/>
        <w:right w:val="none" w:sz="0" w:space="0" w:color="auto"/>
      </w:divBdr>
    </w:div>
    <w:div w:id="97720743">
      <w:bodyDiv w:val="1"/>
      <w:marLeft w:val="0"/>
      <w:marRight w:val="0"/>
      <w:marTop w:val="0"/>
      <w:marBottom w:val="0"/>
      <w:divBdr>
        <w:top w:val="none" w:sz="0" w:space="0" w:color="auto"/>
        <w:left w:val="none" w:sz="0" w:space="0" w:color="auto"/>
        <w:bottom w:val="none" w:sz="0" w:space="0" w:color="auto"/>
        <w:right w:val="none" w:sz="0" w:space="0" w:color="auto"/>
      </w:divBdr>
    </w:div>
    <w:div w:id="100073961">
      <w:bodyDiv w:val="1"/>
      <w:marLeft w:val="0"/>
      <w:marRight w:val="0"/>
      <w:marTop w:val="0"/>
      <w:marBottom w:val="0"/>
      <w:divBdr>
        <w:top w:val="none" w:sz="0" w:space="0" w:color="auto"/>
        <w:left w:val="none" w:sz="0" w:space="0" w:color="auto"/>
        <w:bottom w:val="none" w:sz="0" w:space="0" w:color="auto"/>
        <w:right w:val="none" w:sz="0" w:space="0" w:color="auto"/>
      </w:divBdr>
    </w:div>
    <w:div w:id="108016704">
      <w:bodyDiv w:val="1"/>
      <w:marLeft w:val="0"/>
      <w:marRight w:val="0"/>
      <w:marTop w:val="0"/>
      <w:marBottom w:val="0"/>
      <w:divBdr>
        <w:top w:val="none" w:sz="0" w:space="0" w:color="auto"/>
        <w:left w:val="none" w:sz="0" w:space="0" w:color="auto"/>
        <w:bottom w:val="none" w:sz="0" w:space="0" w:color="auto"/>
        <w:right w:val="none" w:sz="0" w:space="0" w:color="auto"/>
      </w:divBdr>
    </w:div>
    <w:div w:id="108359570">
      <w:bodyDiv w:val="1"/>
      <w:marLeft w:val="0"/>
      <w:marRight w:val="0"/>
      <w:marTop w:val="0"/>
      <w:marBottom w:val="0"/>
      <w:divBdr>
        <w:top w:val="none" w:sz="0" w:space="0" w:color="auto"/>
        <w:left w:val="none" w:sz="0" w:space="0" w:color="auto"/>
        <w:bottom w:val="none" w:sz="0" w:space="0" w:color="auto"/>
        <w:right w:val="none" w:sz="0" w:space="0" w:color="auto"/>
      </w:divBdr>
    </w:div>
    <w:div w:id="113451032">
      <w:bodyDiv w:val="1"/>
      <w:marLeft w:val="0"/>
      <w:marRight w:val="0"/>
      <w:marTop w:val="0"/>
      <w:marBottom w:val="0"/>
      <w:divBdr>
        <w:top w:val="none" w:sz="0" w:space="0" w:color="auto"/>
        <w:left w:val="none" w:sz="0" w:space="0" w:color="auto"/>
        <w:bottom w:val="none" w:sz="0" w:space="0" w:color="auto"/>
        <w:right w:val="none" w:sz="0" w:space="0" w:color="auto"/>
      </w:divBdr>
    </w:div>
    <w:div w:id="120808879">
      <w:bodyDiv w:val="1"/>
      <w:marLeft w:val="0"/>
      <w:marRight w:val="0"/>
      <w:marTop w:val="0"/>
      <w:marBottom w:val="0"/>
      <w:divBdr>
        <w:top w:val="none" w:sz="0" w:space="0" w:color="auto"/>
        <w:left w:val="none" w:sz="0" w:space="0" w:color="auto"/>
        <w:bottom w:val="none" w:sz="0" w:space="0" w:color="auto"/>
        <w:right w:val="none" w:sz="0" w:space="0" w:color="auto"/>
      </w:divBdr>
    </w:div>
    <w:div w:id="132873414">
      <w:bodyDiv w:val="1"/>
      <w:marLeft w:val="0"/>
      <w:marRight w:val="0"/>
      <w:marTop w:val="0"/>
      <w:marBottom w:val="0"/>
      <w:divBdr>
        <w:top w:val="none" w:sz="0" w:space="0" w:color="auto"/>
        <w:left w:val="none" w:sz="0" w:space="0" w:color="auto"/>
        <w:bottom w:val="none" w:sz="0" w:space="0" w:color="auto"/>
        <w:right w:val="none" w:sz="0" w:space="0" w:color="auto"/>
      </w:divBdr>
    </w:div>
    <w:div w:id="145128683">
      <w:bodyDiv w:val="1"/>
      <w:marLeft w:val="0"/>
      <w:marRight w:val="0"/>
      <w:marTop w:val="0"/>
      <w:marBottom w:val="0"/>
      <w:divBdr>
        <w:top w:val="none" w:sz="0" w:space="0" w:color="auto"/>
        <w:left w:val="none" w:sz="0" w:space="0" w:color="auto"/>
        <w:bottom w:val="none" w:sz="0" w:space="0" w:color="auto"/>
        <w:right w:val="none" w:sz="0" w:space="0" w:color="auto"/>
      </w:divBdr>
    </w:div>
    <w:div w:id="168758901">
      <w:bodyDiv w:val="1"/>
      <w:marLeft w:val="0"/>
      <w:marRight w:val="0"/>
      <w:marTop w:val="0"/>
      <w:marBottom w:val="0"/>
      <w:divBdr>
        <w:top w:val="none" w:sz="0" w:space="0" w:color="auto"/>
        <w:left w:val="none" w:sz="0" w:space="0" w:color="auto"/>
        <w:bottom w:val="none" w:sz="0" w:space="0" w:color="auto"/>
        <w:right w:val="none" w:sz="0" w:space="0" w:color="auto"/>
      </w:divBdr>
    </w:div>
    <w:div w:id="169684503">
      <w:bodyDiv w:val="1"/>
      <w:marLeft w:val="0"/>
      <w:marRight w:val="0"/>
      <w:marTop w:val="0"/>
      <w:marBottom w:val="0"/>
      <w:divBdr>
        <w:top w:val="none" w:sz="0" w:space="0" w:color="auto"/>
        <w:left w:val="none" w:sz="0" w:space="0" w:color="auto"/>
        <w:bottom w:val="none" w:sz="0" w:space="0" w:color="auto"/>
        <w:right w:val="none" w:sz="0" w:space="0" w:color="auto"/>
      </w:divBdr>
    </w:div>
    <w:div w:id="175315742">
      <w:bodyDiv w:val="1"/>
      <w:marLeft w:val="0"/>
      <w:marRight w:val="0"/>
      <w:marTop w:val="0"/>
      <w:marBottom w:val="0"/>
      <w:divBdr>
        <w:top w:val="none" w:sz="0" w:space="0" w:color="auto"/>
        <w:left w:val="none" w:sz="0" w:space="0" w:color="auto"/>
        <w:bottom w:val="none" w:sz="0" w:space="0" w:color="auto"/>
        <w:right w:val="none" w:sz="0" w:space="0" w:color="auto"/>
      </w:divBdr>
    </w:div>
    <w:div w:id="196084571">
      <w:bodyDiv w:val="1"/>
      <w:marLeft w:val="0"/>
      <w:marRight w:val="0"/>
      <w:marTop w:val="0"/>
      <w:marBottom w:val="0"/>
      <w:divBdr>
        <w:top w:val="none" w:sz="0" w:space="0" w:color="auto"/>
        <w:left w:val="none" w:sz="0" w:space="0" w:color="auto"/>
        <w:bottom w:val="none" w:sz="0" w:space="0" w:color="auto"/>
        <w:right w:val="none" w:sz="0" w:space="0" w:color="auto"/>
      </w:divBdr>
    </w:div>
    <w:div w:id="211776389">
      <w:bodyDiv w:val="1"/>
      <w:marLeft w:val="0"/>
      <w:marRight w:val="0"/>
      <w:marTop w:val="0"/>
      <w:marBottom w:val="0"/>
      <w:divBdr>
        <w:top w:val="none" w:sz="0" w:space="0" w:color="auto"/>
        <w:left w:val="none" w:sz="0" w:space="0" w:color="auto"/>
        <w:bottom w:val="none" w:sz="0" w:space="0" w:color="auto"/>
        <w:right w:val="none" w:sz="0" w:space="0" w:color="auto"/>
      </w:divBdr>
    </w:div>
    <w:div w:id="235626412">
      <w:bodyDiv w:val="1"/>
      <w:marLeft w:val="0"/>
      <w:marRight w:val="0"/>
      <w:marTop w:val="0"/>
      <w:marBottom w:val="0"/>
      <w:divBdr>
        <w:top w:val="none" w:sz="0" w:space="0" w:color="auto"/>
        <w:left w:val="none" w:sz="0" w:space="0" w:color="auto"/>
        <w:bottom w:val="none" w:sz="0" w:space="0" w:color="auto"/>
        <w:right w:val="none" w:sz="0" w:space="0" w:color="auto"/>
      </w:divBdr>
    </w:div>
    <w:div w:id="241914979">
      <w:bodyDiv w:val="1"/>
      <w:marLeft w:val="0"/>
      <w:marRight w:val="0"/>
      <w:marTop w:val="0"/>
      <w:marBottom w:val="0"/>
      <w:divBdr>
        <w:top w:val="none" w:sz="0" w:space="0" w:color="auto"/>
        <w:left w:val="none" w:sz="0" w:space="0" w:color="auto"/>
        <w:bottom w:val="none" w:sz="0" w:space="0" w:color="auto"/>
        <w:right w:val="none" w:sz="0" w:space="0" w:color="auto"/>
      </w:divBdr>
    </w:div>
    <w:div w:id="254827631">
      <w:bodyDiv w:val="1"/>
      <w:marLeft w:val="0"/>
      <w:marRight w:val="0"/>
      <w:marTop w:val="0"/>
      <w:marBottom w:val="0"/>
      <w:divBdr>
        <w:top w:val="none" w:sz="0" w:space="0" w:color="auto"/>
        <w:left w:val="none" w:sz="0" w:space="0" w:color="auto"/>
        <w:bottom w:val="none" w:sz="0" w:space="0" w:color="auto"/>
        <w:right w:val="none" w:sz="0" w:space="0" w:color="auto"/>
      </w:divBdr>
    </w:div>
    <w:div w:id="260259684">
      <w:bodyDiv w:val="1"/>
      <w:marLeft w:val="0"/>
      <w:marRight w:val="0"/>
      <w:marTop w:val="0"/>
      <w:marBottom w:val="0"/>
      <w:divBdr>
        <w:top w:val="none" w:sz="0" w:space="0" w:color="auto"/>
        <w:left w:val="none" w:sz="0" w:space="0" w:color="auto"/>
        <w:bottom w:val="none" w:sz="0" w:space="0" w:color="auto"/>
        <w:right w:val="none" w:sz="0" w:space="0" w:color="auto"/>
      </w:divBdr>
    </w:div>
    <w:div w:id="261568521">
      <w:bodyDiv w:val="1"/>
      <w:marLeft w:val="0"/>
      <w:marRight w:val="0"/>
      <w:marTop w:val="0"/>
      <w:marBottom w:val="0"/>
      <w:divBdr>
        <w:top w:val="none" w:sz="0" w:space="0" w:color="auto"/>
        <w:left w:val="none" w:sz="0" w:space="0" w:color="auto"/>
        <w:bottom w:val="none" w:sz="0" w:space="0" w:color="auto"/>
        <w:right w:val="none" w:sz="0" w:space="0" w:color="auto"/>
      </w:divBdr>
    </w:div>
    <w:div w:id="272371335">
      <w:bodyDiv w:val="1"/>
      <w:marLeft w:val="0"/>
      <w:marRight w:val="0"/>
      <w:marTop w:val="0"/>
      <w:marBottom w:val="0"/>
      <w:divBdr>
        <w:top w:val="none" w:sz="0" w:space="0" w:color="auto"/>
        <w:left w:val="none" w:sz="0" w:space="0" w:color="auto"/>
        <w:bottom w:val="none" w:sz="0" w:space="0" w:color="auto"/>
        <w:right w:val="none" w:sz="0" w:space="0" w:color="auto"/>
      </w:divBdr>
    </w:div>
    <w:div w:id="276181067">
      <w:bodyDiv w:val="1"/>
      <w:marLeft w:val="0"/>
      <w:marRight w:val="0"/>
      <w:marTop w:val="0"/>
      <w:marBottom w:val="0"/>
      <w:divBdr>
        <w:top w:val="none" w:sz="0" w:space="0" w:color="auto"/>
        <w:left w:val="none" w:sz="0" w:space="0" w:color="auto"/>
        <w:bottom w:val="none" w:sz="0" w:space="0" w:color="auto"/>
        <w:right w:val="none" w:sz="0" w:space="0" w:color="auto"/>
      </w:divBdr>
    </w:div>
    <w:div w:id="281154576">
      <w:bodyDiv w:val="1"/>
      <w:marLeft w:val="0"/>
      <w:marRight w:val="0"/>
      <w:marTop w:val="0"/>
      <w:marBottom w:val="0"/>
      <w:divBdr>
        <w:top w:val="none" w:sz="0" w:space="0" w:color="auto"/>
        <w:left w:val="none" w:sz="0" w:space="0" w:color="auto"/>
        <w:bottom w:val="none" w:sz="0" w:space="0" w:color="auto"/>
        <w:right w:val="none" w:sz="0" w:space="0" w:color="auto"/>
      </w:divBdr>
    </w:div>
    <w:div w:id="283007068">
      <w:bodyDiv w:val="1"/>
      <w:marLeft w:val="0"/>
      <w:marRight w:val="0"/>
      <w:marTop w:val="0"/>
      <w:marBottom w:val="0"/>
      <w:divBdr>
        <w:top w:val="none" w:sz="0" w:space="0" w:color="auto"/>
        <w:left w:val="none" w:sz="0" w:space="0" w:color="auto"/>
        <w:bottom w:val="none" w:sz="0" w:space="0" w:color="auto"/>
        <w:right w:val="none" w:sz="0" w:space="0" w:color="auto"/>
      </w:divBdr>
    </w:div>
    <w:div w:id="291181247">
      <w:bodyDiv w:val="1"/>
      <w:marLeft w:val="0"/>
      <w:marRight w:val="0"/>
      <w:marTop w:val="0"/>
      <w:marBottom w:val="0"/>
      <w:divBdr>
        <w:top w:val="none" w:sz="0" w:space="0" w:color="auto"/>
        <w:left w:val="none" w:sz="0" w:space="0" w:color="auto"/>
        <w:bottom w:val="none" w:sz="0" w:space="0" w:color="auto"/>
        <w:right w:val="none" w:sz="0" w:space="0" w:color="auto"/>
      </w:divBdr>
    </w:div>
    <w:div w:id="299456713">
      <w:bodyDiv w:val="1"/>
      <w:marLeft w:val="0"/>
      <w:marRight w:val="0"/>
      <w:marTop w:val="0"/>
      <w:marBottom w:val="0"/>
      <w:divBdr>
        <w:top w:val="none" w:sz="0" w:space="0" w:color="auto"/>
        <w:left w:val="none" w:sz="0" w:space="0" w:color="auto"/>
        <w:bottom w:val="none" w:sz="0" w:space="0" w:color="auto"/>
        <w:right w:val="none" w:sz="0" w:space="0" w:color="auto"/>
      </w:divBdr>
    </w:div>
    <w:div w:id="304744773">
      <w:bodyDiv w:val="1"/>
      <w:marLeft w:val="0"/>
      <w:marRight w:val="0"/>
      <w:marTop w:val="0"/>
      <w:marBottom w:val="0"/>
      <w:divBdr>
        <w:top w:val="none" w:sz="0" w:space="0" w:color="auto"/>
        <w:left w:val="none" w:sz="0" w:space="0" w:color="auto"/>
        <w:bottom w:val="none" w:sz="0" w:space="0" w:color="auto"/>
        <w:right w:val="none" w:sz="0" w:space="0" w:color="auto"/>
      </w:divBdr>
    </w:div>
    <w:div w:id="313097880">
      <w:bodyDiv w:val="1"/>
      <w:marLeft w:val="0"/>
      <w:marRight w:val="0"/>
      <w:marTop w:val="0"/>
      <w:marBottom w:val="0"/>
      <w:divBdr>
        <w:top w:val="none" w:sz="0" w:space="0" w:color="auto"/>
        <w:left w:val="none" w:sz="0" w:space="0" w:color="auto"/>
        <w:bottom w:val="none" w:sz="0" w:space="0" w:color="auto"/>
        <w:right w:val="none" w:sz="0" w:space="0" w:color="auto"/>
      </w:divBdr>
    </w:div>
    <w:div w:id="320741227">
      <w:bodyDiv w:val="1"/>
      <w:marLeft w:val="0"/>
      <w:marRight w:val="0"/>
      <w:marTop w:val="0"/>
      <w:marBottom w:val="0"/>
      <w:divBdr>
        <w:top w:val="none" w:sz="0" w:space="0" w:color="auto"/>
        <w:left w:val="none" w:sz="0" w:space="0" w:color="auto"/>
        <w:bottom w:val="none" w:sz="0" w:space="0" w:color="auto"/>
        <w:right w:val="none" w:sz="0" w:space="0" w:color="auto"/>
      </w:divBdr>
    </w:div>
    <w:div w:id="327904553">
      <w:bodyDiv w:val="1"/>
      <w:marLeft w:val="0"/>
      <w:marRight w:val="0"/>
      <w:marTop w:val="0"/>
      <w:marBottom w:val="0"/>
      <w:divBdr>
        <w:top w:val="none" w:sz="0" w:space="0" w:color="auto"/>
        <w:left w:val="none" w:sz="0" w:space="0" w:color="auto"/>
        <w:bottom w:val="none" w:sz="0" w:space="0" w:color="auto"/>
        <w:right w:val="none" w:sz="0" w:space="0" w:color="auto"/>
      </w:divBdr>
    </w:div>
    <w:div w:id="336276612">
      <w:bodyDiv w:val="1"/>
      <w:marLeft w:val="0"/>
      <w:marRight w:val="0"/>
      <w:marTop w:val="0"/>
      <w:marBottom w:val="0"/>
      <w:divBdr>
        <w:top w:val="none" w:sz="0" w:space="0" w:color="auto"/>
        <w:left w:val="none" w:sz="0" w:space="0" w:color="auto"/>
        <w:bottom w:val="none" w:sz="0" w:space="0" w:color="auto"/>
        <w:right w:val="none" w:sz="0" w:space="0" w:color="auto"/>
      </w:divBdr>
    </w:div>
    <w:div w:id="350571183">
      <w:bodyDiv w:val="1"/>
      <w:marLeft w:val="0"/>
      <w:marRight w:val="0"/>
      <w:marTop w:val="0"/>
      <w:marBottom w:val="0"/>
      <w:divBdr>
        <w:top w:val="none" w:sz="0" w:space="0" w:color="auto"/>
        <w:left w:val="none" w:sz="0" w:space="0" w:color="auto"/>
        <w:bottom w:val="none" w:sz="0" w:space="0" w:color="auto"/>
        <w:right w:val="none" w:sz="0" w:space="0" w:color="auto"/>
      </w:divBdr>
    </w:div>
    <w:div w:id="355467387">
      <w:bodyDiv w:val="1"/>
      <w:marLeft w:val="0"/>
      <w:marRight w:val="0"/>
      <w:marTop w:val="0"/>
      <w:marBottom w:val="0"/>
      <w:divBdr>
        <w:top w:val="none" w:sz="0" w:space="0" w:color="auto"/>
        <w:left w:val="none" w:sz="0" w:space="0" w:color="auto"/>
        <w:bottom w:val="none" w:sz="0" w:space="0" w:color="auto"/>
        <w:right w:val="none" w:sz="0" w:space="0" w:color="auto"/>
      </w:divBdr>
    </w:div>
    <w:div w:id="359668876">
      <w:bodyDiv w:val="1"/>
      <w:marLeft w:val="0"/>
      <w:marRight w:val="0"/>
      <w:marTop w:val="0"/>
      <w:marBottom w:val="0"/>
      <w:divBdr>
        <w:top w:val="none" w:sz="0" w:space="0" w:color="auto"/>
        <w:left w:val="none" w:sz="0" w:space="0" w:color="auto"/>
        <w:bottom w:val="none" w:sz="0" w:space="0" w:color="auto"/>
        <w:right w:val="none" w:sz="0" w:space="0" w:color="auto"/>
      </w:divBdr>
    </w:div>
    <w:div w:id="365181267">
      <w:bodyDiv w:val="1"/>
      <w:marLeft w:val="0"/>
      <w:marRight w:val="0"/>
      <w:marTop w:val="0"/>
      <w:marBottom w:val="0"/>
      <w:divBdr>
        <w:top w:val="none" w:sz="0" w:space="0" w:color="auto"/>
        <w:left w:val="none" w:sz="0" w:space="0" w:color="auto"/>
        <w:bottom w:val="none" w:sz="0" w:space="0" w:color="auto"/>
        <w:right w:val="none" w:sz="0" w:space="0" w:color="auto"/>
      </w:divBdr>
    </w:div>
    <w:div w:id="365717768">
      <w:bodyDiv w:val="1"/>
      <w:marLeft w:val="0"/>
      <w:marRight w:val="0"/>
      <w:marTop w:val="0"/>
      <w:marBottom w:val="0"/>
      <w:divBdr>
        <w:top w:val="none" w:sz="0" w:space="0" w:color="auto"/>
        <w:left w:val="none" w:sz="0" w:space="0" w:color="auto"/>
        <w:bottom w:val="none" w:sz="0" w:space="0" w:color="auto"/>
        <w:right w:val="none" w:sz="0" w:space="0" w:color="auto"/>
      </w:divBdr>
    </w:div>
    <w:div w:id="369889574">
      <w:bodyDiv w:val="1"/>
      <w:marLeft w:val="0"/>
      <w:marRight w:val="0"/>
      <w:marTop w:val="0"/>
      <w:marBottom w:val="0"/>
      <w:divBdr>
        <w:top w:val="none" w:sz="0" w:space="0" w:color="auto"/>
        <w:left w:val="none" w:sz="0" w:space="0" w:color="auto"/>
        <w:bottom w:val="none" w:sz="0" w:space="0" w:color="auto"/>
        <w:right w:val="none" w:sz="0" w:space="0" w:color="auto"/>
      </w:divBdr>
    </w:div>
    <w:div w:id="372659925">
      <w:bodyDiv w:val="1"/>
      <w:marLeft w:val="0"/>
      <w:marRight w:val="0"/>
      <w:marTop w:val="0"/>
      <w:marBottom w:val="0"/>
      <w:divBdr>
        <w:top w:val="none" w:sz="0" w:space="0" w:color="auto"/>
        <w:left w:val="none" w:sz="0" w:space="0" w:color="auto"/>
        <w:bottom w:val="none" w:sz="0" w:space="0" w:color="auto"/>
        <w:right w:val="none" w:sz="0" w:space="0" w:color="auto"/>
      </w:divBdr>
    </w:div>
    <w:div w:id="378016375">
      <w:bodyDiv w:val="1"/>
      <w:marLeft w:val="0"/>
      <w:marRight w:val="0"/>
      <w:marTop w:val="0"/>
      <w:marBottom w:val="0"/>
      <w:divBdr>
        <w:top w:val="none" w:sz="0" w:space="0" w:color="auto"/>
        <w:left w:val="none" w:sz="0" w:space="0" w:color="auto"/>
        <w:bottom w:val="none" w:sz="0" w:space="0" w:color="auto"/>
        <w:right w:val="none" w:sz="0" w:space="0" w:color="auto"/>
      </w:divBdr>
    </w:div>
    <w:div w:id="381028576">
      <w:bodyDiv w:val="1"/>
      <w:marLeft w:val="0"/>
      <w:marRight w:val="0"/>
      <w:marTop w:val="0"/>
      <w:marBottom w:val="0"/>
      <w:divBdr>
        <w:top w:val="none" w:sz="0" w:space="0" w:color="auto"/>
        <w:left w:val="none" w:sz="0" w:space="0" w:color="auto"/>
        <w:bottom w:val="none" w:sz="0" w:space="0" w:color="auto"/>
        <w:right w:val="none" w:sz="0" w:space="0" w:color="auto"/>
      </w:divBdr>
    </w:div>
    <w:div w:id="389036854">
      <w:bodyDiv w:val="1"/>
      <w:marLeft w:val="0"/>
      <w:marRight w:val="0"/>
      <w:marTop w:val="0"/>
      <w:marBottom w:val="0"/>
      <w:divBdr>
        <w:top w:val="none" w:sz="0" w:space="0" w:color="auto"/>
        <w:left w:val="none" w:sz="0" w:space="0" w:color="auto"/>
        <w:bottom w:val="none" w:sz="0" w:space="0" w:color="auto"/>
        <w:right w:val="none" w:sz="0" w:space="0" w:color="auto"/>
      </w:divBdr>
    </w:div>
    <w:div w:id="425537509">
      <w:bodyDiv w:val="1"/>
      <w:marLeft w:val="0"/>
      <w:marRight w:val="0"/>
      <w:marTop w:val="0"/>
      <w:marBottom w:val="0"/>
      <w:divBdr>
        <w:top w:val="none" w:sz="0" w:space="0" w:color="auto"/>
        <w:left w:val="none" w:sz="0" w:space="0" w:color="auto"/>
        <w:bottom w:val="none" w:sz="0" w:space="0" w:color="auto"/>
        <w:right w:val="none" w:sz="0" w:space="0" w:color="auto"/>
      </w:divBdr>
    </w:div>
    <w:div w:id="479929206">
      <w:bodyDiv w:val="1"/>
      <w:marLeft w:val="0"/>
      <w:marRight w:val="0"/>
      <w:marTop w:val="0"/>
      <w:marBottom w:val="0"/>
      <w:divBdr>
        <w:top w:val="none" w:sz="0" w:space="0" w:color="auto"/>
        <w:left w:val="none" w:sz="0" w:space="0" w:color="auto"/>
        <w:bottom w:val="none" w:sz="0" w:space="0" w:color="auto"/>
        <w:right w:val="none" w:sz="0" w:space="0" w:color="auto"/>
      </w:divBdr>
    </w:div>
    <w:div w:id="483477036">
      <w:bodyDiv w:val="1"/>
      <w:marLeft w:val="0"/>
      <w:marRight w:val="0"/>
      <w:marTop w:val="0"/>
      <w:marBottom w:val="0"/>
      <w:divBdr>
        <w:top w:val="none" w:sz="0" w:space="0" w:color="auto"/>
        <w:left w:val="none" w:sz="0" w:space="0" w:color="auto"/>
        <w:bottom w:val="none" w:sz="0" w:space="0" w:color="auto"/>
        <w:right w:val="none" w:sz="0" w:space="0" w:color="auto"/>
      </w:divBdr>
    </w:div>
    <w:div w:id="506405203">
      <w:bodyDiv w:val="1"/>
      <w:marLeft w:val="0"/>
      <w:marRight w:val="0"/>
      <w:marTop w:val="0"/>
      <w:marBottom w:val="0"/>
      <w:divBdr>
        <w:top w:val="none" w:sz="0" w:space="0" w:color="auto"/>
        <w:left w:val="none" w:sz="0" w:space="0" w:color="auto"/>
        <w:bottom w:val="none" w:sz="0" w:space="0" w:color="auto"/>
        <w:right w:val="none" w:sz="0" w:space="0" w:color="auto"/>
      </w:divBdr>
    </w:div>
    <w:div w:id="532152693">
      <w:bodyDiv w:val="1"/>
      <w:marLeft w:val="0"/>
      <w:marRight w:val="0"/>
      <w:marTop w:val="0"/>
      <w:marBottom w:val="0"/>
      <w:divBdr>
        <w:top w:val="none" w:sz="0" w:space="0" w:color="auto"/>
        <w:left w:val="none" w:sz="0" w:space="0" w:color="auto"/>
        <w:bottom w:val="none" w:sz="0" w:space="0" w:color="auto"/>
        <w:right w:val="none" w:sz="0" w:space="0" w:color="auto"/>
      </w:divBdr>
    </w:div>
    <w:div w:id="542835397">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580214471">
      <w:bodyDiv w:val="1"/>
      <w:marLeft w:val="0"/>
      <w:marRight w:val="0"/>
      <w:marTop w:val="0"/>
      <w:marBottom w:val="0"/>
      <w:divBdr>
        <w:top w:val="none" w:sz="0" w:space="0" w:color="auto"/>
        <w:left w:val="none" w:sz="0" w:space="0" w:color="auto"/>
        <w:bottom w:val="none" w:sz="0" w:space="0" w:color="auto"/>
        <w:right w:val="none" w:sz="0" w:space="0" w:color="auto"/>
      </w:divBdr>
    </w:div>
    <w:div w:id="609971035">
      <w:bodyDiv w:val="1"/>
      <w:marLeft w:val="0"/>
      <w:marRight w:val="0"/>
      <w:marTop w:val="0"/>
      <w:marBottom w:val="0"/>
      <w:divBdr>
        <w:top w:val="none" w:sz="0" w:space="0" w:color="auto"/>
        <w:left w:val="none" w:sz="0" w:space="0" w:color="auto"/>
        <w:bottom w:val="none" w:sz="0" w:space="0" w:color="auto"/>
        <w:right w:val="none" w:sz="0" w:space="0" w:color="auto"/>
      </w:divBdr>
    </w:div>
    <w:div w:id="610358455">
      <w:bodyDiv w:val="1"/>
      <w:marLeft w:val="0"/>
      <w:marRight w:val="0"/>
      <w:marTop w:val="0"/>
      <w:marBottom w:val="0"/>
      <w:divBdr>
        <w:top w:val="none" w:sz="0" w:space="0" w:color="auto"/>
        <w:left w:val="none" w:sz="0" w:space="0" w:color="auto"/>
        <w:bottom w:val="none" w:sz="0" w:space="0" w:color="auto"/>
        <w:right w:val="none" w:sz="0" w:space="0" w:color="auto"/>
      </w:divBdr>
    </w:div>
    <w:div w:id="611282780">
      <w:bodyDiv w:val="1"/>
      <w:marLeft w:val="0"/>
      <w:marRight w:val="0"/>
      <w:marTop w:val="0"/>
      <w:marBottom w:val="0"/>
      <w:divBdr>
        <w:top w:val="none" w:sz="0" w:space="0" w:color="auto"/>
        <w:left w:val="none" w:sz="0" w:space="0" w:color="auto"/>
        <w:bottom w:val="none" w:sz="0" w:space="0" w:color="auto"/>
        <w:right w:val="none" w:sz="0" w:space="0" w:color="auto"/>
      </w:divBdr>
    </w:div>
    <w:div w:id="623075984">
      <w:bodyDiv w:val="1"/>
      <w:marLeft w:val="0"/>
      <w:marRight w:val="0"/>
      <w:marTop w:val="0"/>
      <w:marBottom w:val="0"/>
      <w:divBdr>
        <w:top w:val="none" w:sz="0" w:space="0" w:color="auto"/>
        <w:left w:val="none" w:sz="0" w:space="0" w:color="auto"/>
        <w:bottom w:val="none" w:sz="0" w:space="0" w:color="auto"/>
        <w:right w:val="none" w:sz="0" w:space="0" w:color="auto"/>
      </w:divBdr>
    </w:div>
    <w:div w:id="640694744">
      <w:bodyDiv w:val="1"/>
      <w:marLeft w:val="0"/>
      <w:marRight w:val="0"/>
      <w:marTop w:val="0"/>
      <w:marBottom w:val="0"/>
      <w:divBdr>
        <w:top w:val="none" w:sz="0" w:space="0" w:color="auto"/>
        <w:left w:val="none" w:sz="0" w:space="0" w:color="auto"/>
        <w:bottom w:val="none" w:sz="0" w:space="0" w:color="auto"/>
        <w:right w:val="none" w:sz="0" w:space="0" w:color="auto"/>
      </w:divBdr>
    </w:div>
    <w:div w:id="662242562">
      <w:bodyDiv w:val="1"/>
      <w:marLeft w:val="0"/>
      <w:marRight w:val="0"/>
      <w:marTop w:val="0"/>
      <w:marBottom w:val="0"/>
      <w:divBdr>
        <w:top w:val="none" w:sz="0" w:space="0" w:color="auto"/>
        <w:left w:val="none" w:sz="0" w:space="0" w:color="auto"/>
        <w:bottom w:val="none" w:sz="0" w:space="0" w:color="auto"/>
        <w:right w:val="none" w:sz="0" w:space="0" w:color="auto"/>
      </w:divBdr>
    </w:div>
    <w:div w:id="664479558">
      <w:bodyDiv w:val="1"/>
      <w:marLeft w:val="0"/>
      <w:marRight w:val="0"/>
      <w:marTop w:val="0"/>
      <w:marBottom w:val="0"/>
      <w:divBdr>
        <w:top w:val="none" w:sz="0" w:space="0" w:color="auto"/>
        <w:left w:val="none" w:sz="0" w:space="0" w:color="auto"/>
        <w:bottom w:val="none" w:sz="0" w:space="0" w:color="auto"/>
        <w:right w:val="none" w:sz="0" w:space="0" w:color="auto"/>
      </w:divBdr>
    </w:div>
    <w:div w:id="671491102">
      <w:bodyDiv w:val="1"/>
      <w:marLeft w:val="0"/>
      <w:marRight w:val="0"/>
      <w:marTop w:val="0"/>
      <w:marBottom w:val="0"/>
      <w:divBdr>
        <w:top w:val="none" w:sz="0" w:space="0" w:color="auto"/>
        <w:left w:val="none" w:sz="0" w:space="0" w:color="auto"/>
        <w:bottom w:val="none" w:sz="0" w:space="0" w:color="auto"/>
        <w:right w:val="none" w:sz="0" w:space="0" w:color="auto"/>
      </w:divBdr>
    </w:div>
    <w:div w:id="705057344">
      <w:bodyDiv w:val="1"/>
      <w:marLeft w:val="0"/>
      <w:marRight w:val="0"/>
      <w:marTop w:val="0"/>
      <w:marBottom w:val="0"/>
      <w:divBdr>
        <w:top w:val="none" w:sz="0" w:space="0" w:color="auto"/>
        <w:left w:val="none" w:sz="0" w:space="0" w:color="auto"/>
        <w:bottom w:val="none" w:sz="0" w:space="0" w:color="auto"/>
        <w:right w:val="none" w:sz="0" w:space="0" w:color="auto"/>
      </w:divBdr>
    </w:div>
    <w:div w:id="707071881">
      <w:bodyDiv w:val="1"/>
      <w:marLeft w:val="0"/>
      <w:marRight w:val="0"/>
      <w:marTop w:val="0"/>
      <w:marBottom w:val="0"/>
      <w:divBdr>
        <w:top w:val="none" w:sz="0" w:space="0" w:color="auto"/>
        <w:left w:val="none" w:sz="0" w:space="0" w:color="auto"/>
        <w:bottom w:val="none" w:sz="0" w:space="0" w:color="auto"/>
        <w:right w:val="none" w:sz="0" w:space="0" w:color="auto"/>
      </w:divBdr>
    </w:div>
    <w:div w:id="726075911">
      <w:bodyDiv w:val="1"/>
      <w:marLeft w:val="0"/>
      <w:marRight w:val="0"/>
      <w:marTop w:val="0"/>
      <w:marBottom w:val="0"/>
      <w:divBdr>
        <w:top w:val="none" w:sz="0" w:space="0" w:color="auto"/>
        <w:left w:val="none" w:sz="0" w:space="0" w:color="auto"/>
        <w:bottom w:val="none" w:sz="0" w:space="0" w:color="auto"/>
        <w:right w:val="none" w:sz="0" w:space="0" w:color="auto"/>
      </w:divBdr>
    </w:div>
    <w:div w:id="728962108">
      <w:bodyDiv w:val="1"/>
      <w:marLeft w:val="0"/>
      <w:marRight w:val="0"/>
      <w:marTop w:val="0"/>
      <w:marBottom w:val="0"/>
      <w:divBdr>
        <w:top w:val="none" w:sz="0" w:space="0" w:color="auto"/>
        <w:left w:val="none" w:sz="0" w:space="0" w:color="auto"/>
        <w:bottom w:val="none" w:sz="0" w:space="0" w:color="auto"/>
        <w:right w:val="none" w:sz="0" w:space="0" w:color="auto"/>
      </w:divBdr>
    </w:div>
    <w:div w:id="740450957">
      <w:bodyDiv w:val="1"/>
      <w:marLeft w:val="0"/>
      <w:marRight w:val="0"/>
      <w:marTop w:val="0"/>
      <w:marBottom w:val="0"/>
      <w:divBdr>
        <w:top w:val="none" w:sz="0" w:space="0" w:color="auto"/>
        <w:left w:val="none" w:sz="0" w:space="0" w:color="auto"/>
        <w:bottom w:val="none" w:sz="0" w:space="0" w:color="auto"/>
        <w:right w:val="none" w:sz="0" w:space="0" w:color="auto"/>
      </w:divBdr>
    </w:div>
    <w:div w:id="746004283">
      <w:bodyDiv w:val="1"/>
      <w:marLeft w:val="0"/>
      <w:marRight w:val="0"/>
      <w:marTop w:val="0"/>
      <w:marBottom w:val="0"/>
      <w:divBdr>
        <w:top w:val="none" w:sz="0" w:space="0" w:color="auto"/>
        <w:left w:val="none" w:sz="0" w:space="0" w:color="auto"/>
        <w:bottom w:val="none" w:sz="0" w:space="0" w:color="auto"/>
        <w:right w:val="none" w:sz="0" w:space="0" w:color="auto"/>
      </w:divBdr>
    </w:div>
    <w:div w:id="747843172">
      <w:bodyDiv w:val="1"/>
      <w:marLeft w:val="0"/>
      <w:marRight w:val="0"/>
      <w:marTop w:val="0"/>
      <w:marBottom w:val="0"/>
      <w:divBdr>
        <w:top w:val="none" w:sz="0" w:space="0" w:color="auto"/>
        <w:left w:val="none" w:sz="0" w:space="0" w:color="auto"/>
        <w:bottom w:val="none" w:sz="0" w:space="0" w:color="auto"/>
        <w:right w:val="none" w:sz="0" w:space="0" w:color="auto"/>
      </w:divBdr>
    </w:div>
    <w:div w:id="752899172">
      <w:bodyDiv w:val="1"/>
      <w:marLeft w:val="0"/>
      <w:marRight w:val="0"/>
      <w:marTop w:val="0"/>
      <w:marBottom w:val="0"/>
      <w:divBdr>
        <w:top w:val="none" w:sz="0" w:space="0" w:color="auto"/>
        <w:left w:val="none" w:sz="0" w:space="0" w:color="auto"/>
        <w:bottom w:val="none" w:sz="0" w:space="0" w:color="auto"/>
        <w:right w:val="none" w:sz="0" w:space="0" w:color="auto"/>
      </w:divBdr>
    </w:div>
    <w:div w:id="810440698">
      <w:bodyDiv w:val="1"/>
      <w:marLeft w:val="0"/>
      <w:marRight w:val="0"/>
      <w:marTop w:val="0"/>
      <w:marBottom w:val="0"/>
      <w:divBdr>
        <w:top w:val="none" w:sz="0" w:space="0" w:color="auto"/>
        <w:left w:val="none" w:sz="0" w:space="0" w:color="auto"/>
        <w:bottom w:val="none" w:sz="0" w:space="0" w:color="auto"/>
        <w:right w:val="none" w:sz="0" w:space="0" w:color="auto"/>
      </w:divBdr>
    </w:div>
    <w:div w:id="815610787">
      <w:bodyDiv w:val="1"/>
      <w:marLeft w:val="0"/>
      <w:marRight w:val="0"/>
      <w:marTop w:val="0"/>
      <w:marBottom w:val="0"/>
      <w:divBdr>
        <w:top w:val="none" w:sz="0" w:space="0" w:color="auto"/>
        <w:left w:val="none" w:sz="0" w:space="0" w:color="auto"/>
        <w:bottom w:val="none" w:sz="0" w:space="0" w:color="auto"/>
        <w:right w:val="none" w:sz="0" w:space="0" w:color="auto"/>
      </w:divBdr>
    </w:div>
    <w:div w:id="821627725">
      <w:bodyDiv w:val="1"/>
      <w:marLeft w:val="0"/>
      <w:marRight w:val="0"/>
      <w:marTop w:val="0"/>
      <w:marBottom w:val="0"/>
      <w:divBdr>
        <w:top w:val="none" w:sz="0" w:space="0" w:color="auto"/>
        <w:left w:val="none" w:sz="0" w:space="0" w:color="auto"/>
        <w:bottom w:val="none" w:sz="0" w:space="0" w:color="auto"/>
        <w:right w:val="none" w:sz="0" w:space="0" w:color="auto"/>
      </w:divBdr>
    </w:div>
    <w:div w:id="828790887">
      <w:bodyDiv w:val="1"/>
      <w:marLeft w:val="0"/>
      <w:marRight w:val="0"/>
      <w:marTop w:val="0"/>
      <w:marBottom w:val="0"/>
      <w:divBdr>
        <w:top w:val="none" w:sz="0" w:space="0" w:color="auto"/>
        <w:left w:val="none" w:sz="0" w:space="0" w:color="auto"/>
        <w:bottom w:val="none" w:sz="0" w:space="0" w:color="auto"/>
        <w:right w:val="none" w:sz="0" w:space="0" w:color="auto"/>
      </w:divBdr>
    </w:div>
    <w:div w:id="838931121">
      <w:bodyDiv w:val="1"/>
      <w:marLeft w:val="0"/>
      <w:marRight w:val="0"/>
      <w:marTop w:val="0"/>
      <w:marBottom w:val="0"/>
      <w:divBdr>
        <w:top w:val="none" w:sz="0" w:space="0" w:color="auto"/>
        <w:left w:val="none" w:sz="0" w:space="0" w:color="auto"/>
        <w:bottom w:val="none" w:sz="0" w:space="0" w:color="auto"/>
        <w:right w:val="none" w:sz="0" w:space="0" w:color="auto"/>
      </w:divBdr>
    </w:div>
    <w:div w:id="839544179">
      <w:bodyDiv w:val="1"/>
      <w:marLeft w:val="0"/>
      <w:marRight w:val="0"/>
      <w:marTop w:val="0"/>
      <w:marBottom w:val="0"/>
      <w:divBdr>
        <w:top w:val="none" w:sz="0" w:space="0" w:color="auto"/>
        <w:left w:val="none" w:sz="0" w:space="0" w:color="auto"/>
        <w:bottom w:val="none" w:sz="0" w:space="0" w:color="auto"/>
        <w:right w:val="none" w:sz="0" w:space="0" w:color="auto"/>
      </w:divBdr>
    </w:div>
    <w:div w:id="855771780">
      <w:bodyDiv w:val="1"/>
      <w:marLeft w:val="0"/>
      <w:marRight w:val="0"/>
      <w:marTop w:val="0"/>
      <w:marBottom w:val="0"/>
      <w:divBdr>
        <w:top w:val="none" w:sz="0" w:space="0" w:color="auto"/>
        <w:left w:val="none" w:sz="0" w:space="0" w:color="auto"/>
        <w:bottom w:val="none" w:sz="0" w:space="0" w:color="auto"/>
        <w:right w:val="none" w:sz="0" w:space="0" w:color="auto"/>
      </w:divBdr>
    </w:div>
    <w:div w:id="858155555">
      <w:bodyDiv w:val="1"/>
      <w:marLeft w:val="0"/>
      <w:marRight w:val="0"/>
      <w:marTop w:val="0"/>
      <w:marBottom w:val="0"/>
      <w:divBdr>
        <w:top w:val="none" w:sz="0" w:space="0" w:color="auto"/>
        <w:left w:val="none" w:sz="0" w:space="0" w:color="auto"/>
        <w:bottom w:val="none" w:sz="0" w:space="0" w:color="auto"/>
        <w:right w:val="none" w:sz="0" w:space="0" w:color="auto"/>
      </w:divBdr>
    </w:div>
    <w:div w:id="862670471">
      <w:bodyDiv w:val="1"/>
      <w:marLeft w:val="0"/>
      <w:marRight w:val="0"/>
      <w:marTop w:val="0"/>
      <w:marBottom w:val="0"/>
      <w:divBdr>
        <w:top w:val="none" w:sz="0" w:space="0" w:color="auto"/>
        <w:left w:val="none" w:sz="0" w:space="0" w:color="auto"/>
        <w:bottom w:val="none" w:sz="0" w:space="0" w:color="auto"/>
        <w:right w:val="none" w:sz="0" w:space="0" w:color="auto"/>
      </w:divBdr>
    </w:div>
    <w:div w:id="877205367">
      <w:bodyDiv w:val="1"/>
      <w:marLeft w:val="0"/>
      <w:marRight w:val="0"/>
      <w:marTop w:val="0"/>
      <w:marBottom w:val="0"/>
      <w:divBdr>
        <w:top w:val="none" w:sz="0" w:space="0" w:color="auto"/>
        <w:left w:val="none" w:sz="0" w:space="0" w:color="auto"/>
        <w:bottom w:val="none" w:sz="0" w:space="0" w:color="auto"/>
        <w:right w:val="none" w:sz="0" w:space="0" w:color="auto"/>
      </w:divBdr>
    </w:div>
    <w:div w:id="879242955">
      <w:bodyDiv w:val="1"/>
      <w:marLeft w:val="0"/>
      <w:marRight w:val="0"/>
      <w:marTop w:val="0"/>
      <w:marBottom w:val="0"/>
      <w:divBdr>
        <w:top w:val="none" w:sz="0" w:space="0" w:color="auto"/>
        <w:left w:val="none" w:sz="0" w:space="0" w:color="auto"/>
        <w:bottom w:val="none" w:sz="0" w:space="0" w:color="auto"/>
        <w:right w:val="none" w:sz="0" w:space="0" w:color="auto"/>
      </w:divBdr>
    </w:div>
    <w:div w:id="880214830">
      <w:bodyDiv w:val="1"/>
      <w:marLeft w:val="0"/>
      <w:marRight w:val="0"/>
      <w:marTop w:val="0"/>
      <w:marBottom w:val="0"/>
      <w:divBdr>
        <w:top w:val="none" w:sz="0" w:space="0" w:color="auto"/>
        <w:left w:val="none" w:sz="0" w:space="0" w:color="auto"/>
        <w:bottom w:val="none" w:sz="0" w:space="0" w:color="auto"/>
        <w:right w:val="none" w:sz="0" w:space="0" w:color="auto"/>
      </w:divBdr>
    </w:div>
    <w:div w:id="882328226">
      <w:bodyDiv w:val="1"/>
      <w:marLeft w:val="0"/>
      <w:marRight w:val="0"/>
      <w:marTop w:val="0"/>
      <w:marBottom w:val="0"/>
      <w:divBdr>
        <w:top w:val="none" w:sz="0" w:space="0" w:color="auto"/>
        <w:left w:val="none" w:sz="0" w:space="0" w:color="auto"/>
        <w:bottom w:val="none" w:sz="0" w:space="0" w:color="auto"/>
        <w:right w:val="none" w:sz="0" w:space="0" w:color="auto"/>
      </w:divBdr>
    </w:div>
    <w:div w:id="884410060">
      <w:bodyDiv w:val="1"/>
      <w:marLeft w:val="0"/>
      <w:marRight w:val="0"/>
      <w:marTop w:val="0"/>
      <w:marBottom w:val="0"/>
      <w:divBdr>
        <w:top w:val="none" w:sz="0" w:space="0" w:color="auto"/>
        <w:left w:val="none" w:sz="0" w:space="0" w:color="auto"/>
        <w:bottom w:val="none" w:sz="0" w:space="0" w:color="auto"/>
        <w:right w:val="none" w:sz="0" w:space="0" w:color="auto"/>
      </w:divBdr>
    </w:div>
    <w:div w:id="906499050">
      <w:bodyDiv w:val="1"/>
      <w:marLeft w:val="0"/>
      <w:marRight w:val="0"/>
      <w:marTop w:val="0"/>
      <w:marBottom w:val="0"/>
      <w:divBdr>
        <w:top w:val="none" w:sz="0" w:space="0" w:color="auto"/>
        <w:left w:val="none" w:sz="0" w:space="0" w:color="auto"/>
        <w:bottom w:val="none" w:sz="0" w:space="0" w:color="auto"/>
        <w:right w:val="none" w:sz="0" w:space="0" w:color="auto"/>
      </w:divBdr>
    </w:div>
    <w:div w:id="910888969">
      <w:bodyDiv w:val="1"/>
      <w:marLeft w:val="0"/>
      <w:marRight w:val="0"/>
      <w:marTop w:val="0"/>
      <w:marBottom w:val="0"/>
      <w:divBdr>
        <w:top w:val="none" w:sz="0" w:space="0" w:color="auto"/>
        <w:left w:val="none" w:sz="0" w:space="0" w:color="auto"/>
        <w:bottom w:val="none" w:sz="0" w:space="0" w:color="auto"/>
        <w:right w:val="none" w:sz="0" w:space="0" w:color="auto"/>
      </w:divBdr>
    </w:div>
    <w:div w:id="913197046">
      <w:bodyDiv w:val="1"/>
      <w:marLeft w:val="0"/>
      <w:marRight w:val="0"/>
      <w:marTop w:val="0"/>
      <w:marBottom w:val="0"/>
      <w:divBdr>
        <w:top w:val="none" w:sz="0" w:space="0" w:color="auto"/>
        <w:left w:val="none" w:sz="0" w:space="0" w:color="auto"/>
        <w:bottom w:val="none" w:sz="0" w:space="0" w:color="auto"/>
        <w:right w:val="none" w:sz="0" w:space="0" w:color="auto"/>
      </w:divBdr>
    </w:div>
    <w:div w:id="916011998">
      <w:bodyDiv w:val="1"/>
      <w:marLeft w:val="0"/>
      <w:marRight w:val="0"/>
      <w:marTop w:val="0"/>
      <w:marBottom w:val="0"/>
      <w:divBdr>
        <w:top w:val="none" w:sz="0" w:space="0" w:color="auto"/>
        <w:left w:val="none" w:sz="0" w:space="0" w:color="auto"/>
        <w:bottom w:val="none" w:sz="0" w:space="0" w:color="auto"/>
        <w:right w:val="none" w:sz="0" w:space="0" w:color="auto"/>
      </w:divBdr>
    </w:div>
    <w:div w:id="919099644">
      <w:bodyDiv w:val="1"/>
      <w:marLeft w:val="0"/>
      <w:marRight w:val="0"/>
      <w:marTop w:val="0"/>
      <w:marBottom w:val="0"/>
      <w:divBdr>
        <w:top w:val="none" w:sz="0" w:space="0" w:color="auto"/>
        <w:left w:val="none" w:sz="0" w:space="0" w:color="auto"/>
        <w:bottom w:val="none" w:sz="0" w:space="0" w:color="auto"/>
        <w:right w:val="none" w:sz="0" w:space="0" w:color="auto"/>
      </w:divBdr>
    </w:div>
    <w:div w:id="919411000">
      <w:bodyDiv w:val="1"/>
      <w:marLeft w:val="0"/>
      <w:marRight w:val="0"/>
      <w:marTop w:val="0"/>
      <w:marBottom w:val="0"/>
      <w:divBdr>
        <w:top w:val="none" w:sz="0" w:space="0" w:color="auto"/>
        <w:left w:val="none" w:sz="0" w:space="0" w:color="auto"/>
        <w:bottom w:val="none" w:sz="0" w:space="0" w:color="auto"/>
        <w:right w:val="none" w:sz="0" w:space="0" w:color="auto"/>
      </w:divBdr>
    </w:div>
    <w:div w:id="924462114">
      <w:bodyDiv w:val="1"/>
      <w:marLeft w:val="0"/>
      <w:marRight w:val="0"/>
      <w:marTop w:val="0"/>
      <w:marBottom w:val="0"/>
      <w:divBdr>
        <w:top w:val="none" w:sz="0" w:space="0" w:color="auto"/>
        <w:left w:val="none" w:sz="0" w:space="0" w:color="auto"/>
        <w:bottom w:val="none" w:sz="0" w:space="0" w:color="auto"/>
        <w:right w:val="none" w:sz="0" w:space="0" w:color="auto"/>
      </w:divBdr>
    </w:div>
    <w:div w:id="933435241">
      <w:bodyDiv w:val="1"/>
      <w:marLeft w:val="0"/>
      <w:marRight w:val="0"/>
      <w:marTop w:val="0"/>
      <w:marBottom w:val="0"/>
      <w:divBdr>
        <w:top w:val="none" w:sz="0" w:space="0" w:color="auto"/>
        <w:left w:val="none" w:sz="0" w:space="0" w:color="auto"/>
        <w:bottom w:val="none" w:sz="0" w:space="0" w:color="auto"/>
        <w:right w:val="none" w:sz="0" w:space="0" w:color="auto"/>
      </w:divBdr>
    </w:div>
    <w:div w:id="945843991">
      <w:bodyDiv w:val="1"/>
      <w:marLeft w:val="0"/>
      <w:marRight w:val="0"/>
      <w:marTop w:val="0"/>
      <w:marBottom w:val="0"/>
      <w:divBdr>
        <w:top w:val="none" w:sz="0" w:space="0" w:color="auto"/>
        <w:left w:val="none" w:sz="0" w:space="0" w:color="auto"/>
        <w:bottom w:val="none" w:sz="0" w:space="0" w:color="auto"/>
        <w:right w:val="none" w:sz="0" w:space="0" w:color="auto"/>
      </w:divBdr>
    </w:div>
    <w:div w:id="995956907">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998921464">
      <w:bodyDiv w:val="1"/>
      <w:marLeft w:val="0"/>
      <w:marRight w:val="0"/>
      <w:marTop w:val="0"/>
      <w:marBottom w:val="0"/>
      <w:divBdr>
        <w:top w:val="none" w:sz="0" w:space="0" w:color="auto"/>
        <w:left w:val="none" w:sz="0" w:space="0" w:color="auto"/>
        <w:bottom w:val="none" w:sz="0" w:space="0" w:color="auto"/>
        <w:right w:val="none" w:sz="0" w:space="0" w:color="auto"/>
      </w:divBdr>
    </w:div>
    <w:div w:id="1014382652">
      <w:bodyDiv w:val="1"/>
      <w:marLeft w:val="0"/>
      <w:marRight w:val="0"/>
      <w:marTop w:val="0"/>
      <w:marBottom w:val="0"/>
      <w:divBdr>
        <w:top w:val="none" w:sz="0" w:space="0" w:color="auto"/>
        <w:left w:val="none" w:sz="0" w:space="0" w:color="auto"/>
        <w:bottom w:val="none" w:sz="0" w:space="0" w:color="auto"/>
        <w:right w:val="none" w:sz="0" w:space="0" w:color="auto"/>
      </w:divBdr>
    </w:div>
    <w:div w:id="1030298234">
      <w:bodyDiv w:val="1"/>
      <w:marLeft w:val="0"/>
      <w:marRight w:val="0"/>
      <w:marTop w:val="0"/>
      <w:marBottom w:val="0"/>
      <w:divBdr>
        <w:top w:val="none" w:sz="0" w:space="0" w:color="auto"/>
        <w:left w:val="none" w:sz="0" w:space="0" w:color="auto"/>
        <w:bottom w:val="none" w:sz="0" w:space="0" w:color="auto"/>
        <w:right w:val="none" w:sz="0" w:space="0" w:color="auto"/>
      </w:divBdr>
    </w:div>
    <w:div w:id="1039083858">
      <w:bodyDiv w:val="1"/>
      <w:marLeft w:val="0"/>
      <w:marRight w:val="0"/>
      <w:marTop w:val="0"/>
      <w:marBottom w:val="0"/>
      <w:divBdr>
        <w:top w:val="none" w:sz="0" w:space="0" w:color="auto"/>
        <w:left w:val="none" w:sz="0" w:space="0" w:color="auto"/>
        <w:bottom w:val="none" w:sz="0" w:space="0" w:color="auto"/>
        <w:right w:val="none" w:sz="0" w:space="0" w:color="auto"/>
      </w:divBdr>
    </w:div>
    <w:div w:id="1051657666">
      <w:bodyDiv w:val="1"/>
      <w:marLeft w:val="0"/>
      <w:marRight w:val="0"/>
      <w:marTop w:val="0"/>
      <w:marBottom w:val="0"/>
      <w:divBdr>
        <w:top w:val="none" w:sz="0" w:space="0" w:color="auto"/>
        <w:left w:val="none" w:sz="0" w:space="0" w:color="auto"/>
        <w:bottom w:val="none" w:sz="0" w:space="0" w:color="auto"/>
        <w:right w:val="none" w:sz="0" w:space="0" w:color="auto"/>
      </w:divBdr>
    </w:div>
    <w:div w:id="1057513923">
      <w:bodyDiv w:val="1"/>
      <w:marLeft w:val="0"/>
      <w:marRight w:val="0"/>
      <w:marTop w:val="0"/>
      <w:marBottom w:val="0"/>
      <w:divBdr>
        <w:top w:val="none" w:sz="0" w:space="0" w:color="auto"/>
        <w:left w:val="none" w:sz="0" w:space="0" w:color="auto"/>
        <w:bottom w:val="none" w:sz="0" w:space="0" w:color="auto"/>
        <w:right w:val="none" w:sz="0" w:space="0" w:color="auto"/>
      </w:divBdr>
    </w:div>
    <w:div w:id="1064719659">
      <w:bodyDiv w:val="1"/>
      <w:marLeft w:val="0"/>
      <w:marRight w:val="0"/>
      <w:marTop w:val="0"/>
      <w:marBottom w:val="0"/>
      <w:divBdr>
        <w:top w:val="none" w:sz="0" w:space="0" w:color="auto"/>
        <w:left w:val="none" w:sz="0" w:space="0" w:color="auto"/>
        <w:bottom w:val="none" w:sz="0" w:space="0" w:color="auto"/>
        <w:right w:val="none" w:sz="0" w:space="0" w:color="auto"/>
      </w:divBdr>
    </w:div>
    <w:div w:id="1092773812">
      <w:bodyDiv w:val="1"/>
      <w:marLeft w:val="0"/>
      <w:marRight w:val="0"/>
      <w:marTop w:val="0"/>
      <w:marBottom w:val="0"/>
      <w:divBdr>
        <w:top w:val="none" w:sz="0" w:space="0" w:color="auto"/>
        <w:left w:val="none" w:sz="0" w:space="0" w:color="auto"/>
        <w:bottom w:val="none" w:sz="0" w:space="0" w:color="auto"/>
        <w:right w:val="none" w:sz="0" w:space="0" w:color="auto"/>
      </w:divBdr>
    </w:div>
    <w:div w:id="1100370297">
      <w:bodyDiv w:val="1"/>
      <w:marLeft w:val="0"/>
      <w:marRight w:val="0"/>
      <w:marTop w:val="0"/>
      <w:marBottom w:val="0"/>
      <w:divBdr>
        <w:top w:val="none" w:sz="0" w:space="0" w:color="auto"/>
        <w:left w:val="none" w:sz="0" w:space="0" w:color="auto"/>
        <w:bottom w:val="none" w:sz="0" w:space="0" w:color="auto"/>
        <w:right w:val="none" w:sz="0" w:space="0" w:color="auto"/>
      </w:divBdr>
    </w:div>
    <w:div w:id="1102990187">
      <w:bodyDiv w:val="1"/>
      <w:marLeft w:val="0"/>
      <w:marRight w:val="0"/>
      <w:marTop w:val="0"/>
      <w:marBottom w:val="0"/>
      <w:divBdr>
        <w:top w:val="none" w:sz="0" w:space="0" w:color="auto"/>
        <w:left w:val="none" w:sz="0" w:space="0" w:color="auto"/>
        <w:bottom w:val="none" w:sz="0" w:space="0" w:color="auto"/>
        <w:right w:val="none" w:sz="0" w:space="0" w:color="auto"/>
      </w:divBdr>
    </w:div>
    <w:div w:id="1107315152">
      <w:bodyDiv w:val="1"/>
      <w:marLeft w:val="0"/>
      <w:marRight w:val="0"/>
      <w:marTop w:val="0"/>
      <w:marBottom w:val="0"/>
      <w:divBdr>
        <w:top w:val="none" w:sz="0" w:space="0" w:color="auto"/>
        <w:left w:val="none" w:sz="0" w:space="0" w:color="auto"/>
        <w:bottom w:val="none" w:sz="0" w:space="0" w:color="auto"/>
        <w:right w:val="none" w:sz="0" w:space="0" w:color="auto"/>
      </w:divBdr>
    </w:div>
    <w:div w:id="1111363946">
      <w:bodyDiv w:val="1"/>
      <w:marLeft w:val="0"/>
      <w:marRight w:val="0"/>
      <w:marTop w:val="0"/>
      <w:marBottom w:val="0"/>
      <w:divBdr>
        <w:top w:val="none" w:sz="0" w:space="0" w:color="auto"/>
        <w:left w:val="none" w:sz="0" w:space="0" w:color="auto"/>
        <w:bottom w:val="none" w:sz="0" w:space="0" w:color="auto"/>
        <w:right w:val="none" w:sz="0" w:space="0" w:color="auto"/>
      </w:divBdr>
    </w:div>
    <w:div w:id="1116296798">
      <w:bodyDiv w:val="1"/>
      <w:marLeft w:val="0"/>
      <w:marRight w:val="0"/>
      <w:marTop w:val="0"/>
      <w:marBottom w:val="0"/>
      <w:divBdr>
        <w:top w:val="none" w:sz="0" w:space="0" w:color="auto"/>
        <w:left w:val="none" w:sz="0" w:space="0" w:color="auto"/>
        <w:bottom w:val="none" w:sz="0" w:space="0" w:color="auto"/>
        <w:right w:val="none" w:sz="0" w:space="0" w:color="auto"/>
      </w:divBdr>
    </w:div>
    <w:div w:id="1136918713">
      <w:bodyDiv w:val="1"/>
      <w:marLeft w:val="0"/>
      <w:marRight w:val="0"/>
      <w:marTop w:val="0"/>
      <w:marBottom w:val="0"/>
      <w:divBdr>
        <w:top w:val="none" w:sz="0" w:space="0" w:color="auto"/>
        <w:left w:val="none" w:sz="0" w:space="0" w:color="auto"/>
        <w:bottom w:val="none" w:sz="0" w:space="0" w:color="auto"/>
        <w:right w:val="none" w:sz="0" w:space="0" w:color="auto"/>
      </w:divBdr>
    </w:div>
    <w:div w:id="1157192197">
      <w:bodyDiv w:val="1"/>
      <w:marLeft w:val="0"/>
      <w:marRight w:val="0"/>
      <w:marTop w:val="0"/>
      <w:marBottom w:val="0"/>
      <w:divBdr>
        <w:top w:val="none" w:sz="0" w:space="0" w:color="auto"/>
        <w:left w:val="none" w:sz="0" w:space="0" w:color="auto"/>
        <w:bottom w:val="none" w:sz="0" w:space="0" w:color="auto"/>
        <w:right w:val="none" w:sz="0" w:space="0" w:color="auto"/>
      </w:divBdr>
    </w:div>
    <w:div w:id="1157501259">
      <w:bodyDiv w:val="1"/>
      <w:marLeft w:val="0"/>
      <w:marRight w:val="0"/>
      <w:marTop w:val="0"/>
      <w:marBottom w:val="0"/>
      <w:divBdr>
        <w:top w:val="none" w:sz="0" w:space="0" w:color="auto"/>
        <w:left w:val="none" w:sz="0" w:space="0" w:color="auto"/>
        <w:bottom w:val="none" w:sz="0" w:space="0" w:color="auto"/>
        <w:right w:val="none" w:sz="0" w:space="0" w:color="auto"/>
      </w:divBdr>
    </w:div>
    <w:div w:id="1158108710">
      <w:bodyDiv w:val="1"/>
      <w:marLeft w:val="0"/>
      <w:marRight w:val="0"/>
      <w:marTop w:val="0"/>
      <w:marBottom w:val="0"/>
      <w:divBdr>
        <w:top w:val="none" w:sz="0" w:space="0" w:color="auto"/>
        <w:left w:val="none" w:sz="0" w:space="0" w:color="auto"/>
        <w:bottom w:val="none" w:sz="0" w:space="0" w:color="auto"/>
        <w:right w:val="none" w:sz="0" w:space="0" w:color="auto"/>
      </w:divBdr>
    </w:div>
    <w:div w:id="1168716962">
      <w:bodyDiv w:val="1"/>
      <w:marLeft w:val="0"/>
      <w:marRight w:val="0"/>
      <w:marTop w:val="0"/>
      <w:marBottom w:val="0"/>
      <w:divBdr>
        <w:top w:val="none" w:sz="0" w:space="0" w:color="auto"/>
        <w:left w:val="none" w:sz="0" w:space="0" w:color="auto"/>
        <w:bottom w:val="none" w:sz="0" w:space="0" w:color="auto"/>
        <w:right w:val="none" w:sz="0" w:space="0" w:color="auto"/>
      </w:divBdr>
    </w:div>
    <w:div w:id="1169715753">
      <w:bodyDiv w:val="1"/>
      <w:marLeft w:val="0"/>
      <w:marRight w:val="0"/>
      <w:marTop w:val="0"/>
      <w:marBottom w:val="0"/>
      <w:divBdr>
        <w:top w:val="none" w:sz="0" w:space="0" w:color="auto"/>
        <w:left w:val="none" w:sz="0" w:space="0" w:color="auto"/>
        <w:bottom w:val="none" w:sz="0" w:space="0" w:color="auto"/>
        <w:right w:val="none" w:sz="0" w:space="0" w:color="auto"/>
      </w:divBdr>
    </w:div>
    <w:div w:id="1171260798">
      <w:bodyDiv w:val="1"/>
      <w:marLeft w:val="0"/>
      <w:marRight w:val="0"/>
      <w:marTop w:val="0"/>
      <w:marBottom w:val="0"/>
      <w:divBdr>
        <w:top w:val="none" w:sz="0" w:space="0" w:color="auto"/>
        <w:left w:val="none" w:sz="0" w:space="0" w:color="auto"/>
        <w:bottom w:val="none" w:sz="0" w:space="0" w:color="auto"/>
        <w:right w:val="none" w:sz="0" w:space="0" w:color="auto"/>
      </w:divBdr>
    </w:div>
    <w:div w:id="1178929937">
      <w:bodyDiv w:val="1"/>
      <w:marLeft w:val="0"/>
      <w:marRight w:val="0"/>
      <w:marTop w:val="0"/>
      <w:marBottom w:val="0"/>
      <w:divBdr>
        <w:top w:val="none" w:sz="0" w:space="0" w:color="auto"/>
        <w:left w:val="none" w:sz="0" w:space="0" w:color="auto"/>
        <w:bottom w:val="none" w:sz="0" w:space="0" w:color="auto"/>
        <w:right w:val="none" w:sz="0" w:space="0" w:color="auto"/>
      </w:divBdr>
    </w:div>
    <w:div w:id="1209419269">
      <w:bodyDiv w:val="1"/>
      <w:marLeft w:val="0"/>
      <w:marRight w:val="0"/>
      <w:marTop w:val="0"/>
      <w:marBottom w:val="0"/>
      <w:divBdr>
        <w:top w:val="none" w:sz="0" w:space="0" w:color="auto"/>
        <w:left w:val="none" w:sz="0" w:space="0" w:color="auto"/>
        <w:bottom w:val="none" w:sz="0" w:space="0" w:color="auto"/>
        <w:right w:val="none" w:sz="0" w:space="0" w:color="auto"/>
      </w:divBdr>
    </w:div>
    <w:div w:id="1212233627">
      <w:bodyDiv w:val="1"/>
      <w:marLeft w:val="0"/>
      <w:marRight w:val="0"/>
      <w:marTop w:val="0"/>
      <w:marBottom w:val="0"/>
      <w:divBdr>
        <w:top w:val="none" w:sz="0" w:space="0" w:color="auto"/>
        <w:left w:val="none" w:sz="0" w:space="0" w:color="auto"/>
        <w:bottom w:val="none" w:sz="0" w:space="0" w:color="auto"/>
        <w:right w:val="none" w:sz="0" w:space="0" w:color="auto"/>
      </w:divBdr>
    </w:div>
    <w:div w:id="1241792819">
      <w:bodyDiv w:val="1"/>
      <w:marLeft w:val="0"/>
      <w:marRight w:val="0"/>
      <w:marTop w:val="0"/>
      <w:marBottom w:val="0"/>
      <w:divBdr>
        <w:top w:val="none" w:sz="0" w:space="0" w:color="auto"/>
        <w:left w:val="none" w:sz="0" w:space="0" w:color="auto"/>
        <w:bottom w:val="none" w:sz="0" w:space="0" w:color="auto"/>
        <w:right w:val="none" w:sz="0" w:space="0" w:color="auto"/>
      </w:divBdr>
    </w:div>
    <w:div w:id="1243569530">
      <w:bodyDiv w:val="1"/>
      <w:marLeft w:val="0"/>
      <w:marRight w:val="0"/>
      <w:marTop w:val="0"/>
      <w:marBottom w:val="0"/>
      <w:divBdr>
        <w:top w:val="none" w:sz="0" w:space="0" w:color="auto"/>
        <w:left w:val="none" w:sz="0" w:space="0" w:color="auto"/>
        <w:bottom w:val="none" w:sz="0" w:space="0" w:color="auto"/>
        <w:right w:val="none" w:sz="0" w:space="0" w:color="auto"/>
      </w:divBdr>
    </w:div>
    <w:div w:id="1244029193">
      <w:bodyDiv w:val="1"/>
      <w:marLeft w:val="0"/>
      <w:marRight w:val="0"/>
      <w:marTop w:val="0"/>
      <w:marBottom w:val="0"/>
      <w:divBdr>
        <w:top w:val="none" w:sz="0" w:space="0" w:color="auto"/>
        <w:left w:val="none" w:sz="0" w:space="0" w:color="auto"/>
        <w:bottom w:val="none" w:sz="0" w:space="0" w:color="auto"/>
        <w:right w:val="none" w:sz="0" w:space="0" w:color="auto"/>
      </w:divBdr>
    </w:div>
    <w:div w:id="1244341182">
      <w:bodyDiv w:val="1"/>
      <w:marLeft w:val="0"/>
      <w:marRight w:val="0"/>
      <w:marTop w:val="0"/>
      <w:marBottom w:val="0"/>
      <w:divBdr>
        <w:top w:val="none" w:sz="0" w:space="0" w:color="auto"/>
        <w:left w:val="none" w:sz="0" w:space="0" w:color="auto"/>
        <w:bottom w:val="none" w:sz="0" w:space="0" w:color="auto"/>
        <w:right w:val="none" w:sz="0" w:space="0" w:color="auto"/>
      </w:divBdr>
    </w:div>
    <w:div w:id="1253277364">
      <w:bodyDiv w:val="1"/>
      <w:marLeft w:val="0"/>
      <w:marRight w:val="0"/>
      <w:marTop w:val="0"/>
      <w:marBottom w:val="0"/>
      <w:divBdr>
        <w:top w:val="none" w:sz="0" w:space="0" w:color="auto"/>
        <w:left w:val="none" w:sz="0" w:space="0" w:color="auto"/>
        <w:bottom w:val="none" w:sz="0" w:space="0" w:color="auto"/>
        <w:right w:val="none" w:sz="0" w:space="0" w:color="auto"/>
      </w:divBdr>
    </w:div>
    <w:div w:id="1254165747">
      <w:bodyDiv w:val="1"/>
      <w:marLeft w:val="0"/>
      <w:marRight w:val="0"/>
      <w:marTop w:val="0"/>
      <w:marBottom w:val="0"/>
      <w:divBdr>
        <w:top w:val="none" w:sz="0" w:space="0" w:color="auto"/>
        <w:left w:val="none" w:sz="0" w:space="0" w:color="auto"/>
        <w:bottom w:val="none" w:sz="0" w:space="0" w:color="auto"/>
        <w:right w:val="none" w:sz="0" w:space="0" w:color="auto"/>
      </w:divBdr>
    </w:div>
    <w:div w:id="1256092823">
      <w:bodyDiv w:val="1"/>
      <w:marLeft w:val="0"/>
      <w:marRight w:val="0"/>
      <w:marTop w:val="0"/>
      <w:marBottom w:val="0"/>
      <w:divBdr>
        <w:top w:val="none" w:sz="0" w:space="0" w:color="auto"/>
        <w:left w:val="none" w:sz="0" w:space="0" w:color="auto"/>
        <w:bottom w:val="none" w:sz="0" w:space="0" w:color="auto"/>
        <w:right w:val="none" w:sz="0" w:space="0" w:color="auto"/>
      </w:divBdr>
    </w:div>
    <w:div w:id="1265578680">
      <w:bodyDiv w:val="1"/>
      <w:marLeft w:val="0"/>
      <w:marRight w:val="0"/>
      <w:marTop w:val="0"/>
      <w:marBottom w:val="0"/>
      <w:divBdr>
        <w:top w:val="none" w:sz="0" w:space="0" w:color="auto"/>
        <w:left w:val="none" w:sz="0" w:space="0" w:color="auto"/>
        <w:bottom w:val="none" w:sz="0" w:space="0" w:color="auto"/>
        <w:right w:val="none" w:sz="0" w:space="0" w:color="auto"/>
      </w:divBdr>
    </w:div>
    <w:div w:id="1286426208">
      <w:bodyDiv w:val="1"/>
      <w:marLeft w:val="0"/>
      <w:marRight w:val="0"/>
      <w:marTop w:val="0"/>
      <w:marBottom w:val="0"/>
      <w:divBdr>
        <w:top w:val="none" w:sz="0" w:space="0" w:color="auto"/>
        <w:left w:val="none" w:sz="0" w:space="0" w:color="auto"/>
        <w:bottom w:val="none" w:sz="0" w:space="0" w:color="auto"/>
        <w:right w:val="none" w:sz="0" w:space="0" w:color="auto"/>
      </w:divBdr>
    </w:div>
    <w:div w:id="1295450689">
      <w:bodyDiv w:val="1"/>
      <w:marLeft w:val="0"/>
      <w:marRight w:val="0"/>
      <w:marTop w:val="0"/>
      <w:marBottom w:val="0"/>
      <w:divBdr>
        <w:top w:val="none" w:sz="0" w:space="0" w:color="auto"/>
        <w:left w:val="none" w:sz="0" w:space="0" w:color="auto"/>
        <w:bottom w:val="none" w:sz="0" w:space="0" w:color="auto"/>
        <w:right w:val="none" w:sz="0" w:space="0" w:color="auto"/>
      </w:divBdr>
    </w:div>
    <w:div w:id="1306475532">
      <w:bodyDiv w:val="1"/>
      <w:marLeft w:val="0"/>
      <w:marRight w:val="0"/>
      <w:marTop w:val="0"/>
      <w:marBottom w:val="0"/>
      <w:divBdr>
        <w:top w:val="none" w:sz="0" w:space="0" w:color="auto"/>
        <w:left w:val="none" w:sz="0" w:space="0" w:color="auto"/>
        <w:bottom w:val="none" w:sz="0" w:space="0" w:color="auto"/>
        <w:right w:val="none" w:sz="0" w:space="0" w:color="auto"/>
      </w:divBdr>
    </w:div>
    <w:div w:id="1339967994">
      <w:bodyDiv w:val="1"/>
      <w:marLeft w:val="0"/>
      <w:marRight w:val="0"/>
      <w:marTop w:val="0"/>
      <w:marBottom w:val="0"/>
      <w:divBdr>
        <w:top w:val="none" w:sz="0" w:space="0" w:color="auto"/>
        <w:left w:val="none" w:sz="0" w:space="0" w:color="auto"/>
        <w:bottom w:val="none" w:sz="0" w:space="0" w:color="auto"/>
        <w:right w:val="none" w:sz="0" w:space="0" w:color="auto"/>
      </w:divBdr>
    </w:div>
    <w:div w:id="1340497485">
      <w:bodyDiv w:val="1"/>
      <w:marLeft w:val="0"/>
      <w:marRight w:val="0"/>
      <w:marTop w:val="0"/>
      <w:marBottom w:val="0"/>
      <w:divBdr>
        <w:top w:val="none" w:sz="0" w:space="0" w:color="auto"/>
        <w:left w:val="none" w:sz="0" w:space="0" w:color="auto"/>
        <w:bottom w:val="none" w:sz="0" w:space="0" w:color="auto"/>
        <w:right w:val="none" w:sz="0" w:space="0" w:color="auto"/>
      </w:divBdr>
    </w:div>
    <w:div w:id="1343122679">
      <w:bodyDiv w:val="1"/>
      <w:marLeft w:val="0"/>
      <w:marRight w:val="0"/>
      <w:marTop w:val="0"/>
      <w:marBottom w:val="0"/>
      <w:divBdr>
        <w:top w:val="none" w:sz="0" w:space="0" w:color="auto"/>
        <w:left w:val="none" w:sz="0" w:space="0" w:color="auto"/>
        <w:bottom w:val="none" w:sz="0" w:space="0" w:color="auto"/>
        <w:right w:val="none" w:sz="0" w:space="0" w:color="auto"/>
      </w:divBdr>
    </w:div>
    <w:div w:id="1345866295">
      <w:bodyDiv w:val="1"/>
      <w:marLeft w:val="0"/>
      <w:marRight w:val="0"/>
      <w:marTop w:val="0"/>
      <w:marBottom w:val="0"/>
      <w:divBdr>
        <w:top w:val="none" w:sz="0" w:space="0" w:color="auto"/>
        <w:left w:val="none" w:sz="0" w:space="0" w:color="auto"/>
        <w:bottom w:val="none" w:sz="0" w:space="0" w:color="auto"/>
        <w:right w:val="none" w:sz="0" w:space="0" w:color="auto"/>
      </w:divBdr>
    </w:div>
    <w:div w:id="1358657314">
      <w:bodyDiv w:val="1"/>
      <w:marLeft w:val="0"/>
      <w:marRight w:val="0"/>
      <w:marTop w:val="0"/>
      <w:marBottom w:val="0"/>
      <w:divBdr>
        <w:top w:val="none" w:sz="0" w:space="0" w:color="auto"/>
        <w:left w:val="none" w:sz="0" w:space="0" w:color="auto"/>
        <w:bottom w:val="none" w:sz="0" w:space="0" w:color="auto"/>
        <w:right w:val="none" w:sz="0" w:space="0" w:color="auto"/>
      </w:divBdr>
    </w:div>
    <w:div w:id="1374883116">
      <w:bodyDiv w:val="1"/>
      <w:marLeft w:val="0"/>
      <w:marRight w:val="0"/>
      <w:marTop w:val="0"/>
      <w:marBottom w:val="0"/>
      <w:divBdr>
        <w:top w:val="none" w:sz="0" w:space="0" w:color="auto"/>
        <w:left w:val="none" w:sz="0" w:space="0" w:color="auto"/>
        <w:bottom w:val="none" w:sz="0" w:space="0" w:color="auto"/>
        <w:right w:val="none" w:sz="0" w:space="0" w:color="auto"/>
      </w:divBdr>
    </w:div>
    <w:div w:id="1380205126">
      <w:bodyDiv w:val="1"/>
      <w:marLeft w:val="0"/>
      <w:marRight w:val="0"/>
      <w:marTop w:val="0"/>
      <w:marBottom w:val="0"/>
      <w:divBdr>
        <w:top w:val="none" w:sz="0" w:space="0" w:color="auto"/>
        <w:left w:val="none" w:sz="0" w:space="0" w:color="auto"/>
        <w:bottom w:val="none" w:sz="0" w:space="0" w:color="auto"/>
        <w:right w:val="none" w:sz="0" w:space="0" w:color="auto"/>
      </w:divBdr>
    </w:div>
    <w:div w:id="1384871192">
      <w:bodyDiv w:val="1"/>
      <w:marLeft w:val="0"/>
      <w:marRight w:val="0"/>
      <w:marTop w:val="0"/>
      <w:marBottom w:val="0"/>
      <w:divBdr>
        <w:top w:val="none" w:sz="0" w:space="0" w:color="auto"/>
        <w:left w:val="none" w:sz="0" w:space="0" w:color="auto"/>
        <w:bottom w:val="none" w:sz="0" w:space="0" w:color="auto"/>
        <w:right w:val="none" w:sz="0" w:space="0" w:color="auto"/>
      </w:divBdr>
    </w:div>
    <w:div w:id="1393187739">
      <w:bodyDiv w:val="1"/>
      <w:marLeft w:val="0"/>
      <w:marRight w:val="0"/>
      <w:marTop w:val="0"/>
      <w:marBottom w:val="0"/>
      <w:divBdr>
        <w:top w:val="none" w:sz="0" w:space="0" w:color="auto"/>
        <w:left w:val="none" w:sz="0" w:space="0" w:color="auto"/>
        <w:bottom w:val="none" w:sz="0" w:space="0" w:color="auto"/>
        <w:right w:val="none" w:sz="0" w:space="0" w:color="auto"/>
      </w:divBdr>
    </w:div>
    <w:div w:id="1396859572">
      <w:bodyDiv w:val="1"/>
      <w:marLeft w:val="0"/>
      <w:marRight w:val="0"/>
      <w:marTop w:val="0"/>
      <w:marBottom w:val="0"/>
      <w:divBdr>
        <w:top w:val="none" w:sz="0" w:space="0" w:color="auto"/>
        <w:left w:val="none" w:sz="0" w:space="0" w:color="auto"/>
        <w:bottom w:val="none" w:sz="0" w:space="0" w:color="auto"/>
        <w:right w:val="none" w:sz="0" w:space="0" w:color="auto"/>
      </w:divBdr>
    </w:div>
    <w:div w:id="1399128975">
      <w:bodyDiv w:val="1"/>
      <w:marLeft w:val="0"/>
      <w:marRight w:val="0"/>
      <w:marTop w:val="0"/>
      <w:marBottom w:val="0"/>
      <w:divBdr>
        <w:top w:val="none" w:sz="0" w:space="0" w:color="auto"/>
        <w:left w:val="none" w:sz="0" w:space="0" w:color="auto"/>
        <w:bottom w:val="none" w:sz="0" w:space="0" w:color="auto"/>
        <w:right w:val="none" w:sz="0" w:space="0" w:color="auto"/>
      </w:divBdr>
    </w:div>
    <w:div w:id="1419867162">
      <w:bodyDiv w:val="1"/>
      <w:marLeft w:val="0"/>
      <w:marRight w:val="0"/>
      <w:marTop w:val="0"/>
      <w:marBottom w:val="0"/>
      <w:divBdr>
        <w:top w:val="none" w:sz="0" w:space="0" w:color="auto"/>
        <w:left w:val="none" w:sz="0" w:space="0" w:color="auto"/>
        <w:bottom w:val="none" w:sz="0" w:space="0" w:color="auto"/>
        <w:right w:val="none" w:sz="0" w:space="0" w:color="auto"/>
      </w:divBdr>
    </w:div>
    <w:div w:id="1421292892">
      <w:bodyDiv w:val="1"/>
      <w:marLeft w:val="0"/>
      <w:marRight w:val="0"/>
      <w:marTop w:val="0"/>
      <w:marBottom w:val="0"/>
      <w:divBdr>
        <w:top w:val="none" w:sz="0" w:space="0" w:color="auto"/>
        <w:left w:val="none" w:sz="0" w:space="0" w:color="auto"/>
        <w:bottom w:val="none" w:sz="0" w:space="0" w:color="auto"/>
        <w:right w:val="none" w:sz="0" w:space="0" w:color="auto"/>
      </w:divBdr>
    </w:div>
    <w:div w:id="1433823097">
      <w:bodyDiv w:val="1"/>
      <w:marLeft w:val="0"/>
      <w:marRight w:val="0"/>
      <w:marTop w:val="0"/>
      <w:marBottom w:val="0"/>
      <w:divBdr>
        <w:top w:val="none" w:sz="0" w:space="0" w:color="auto"/>
        <w:left w:val="none" w:sz="0" w:space="0" w:color="auto"/>
        <w:bottom w:val="none" w:sz="0" w:space="0" w:color="auto"/>
        <w:right w:val="none" w:sz="0" w:space="0" w:color="auto"/>
      </w:divBdr>
    </w:div>
    <w:div w:id="1434469916">
      <w:bodyDiv w:val="1"/>
      <w:marLeft w:val="0"/>
      <w:marRight w:val="0"/>
      <w:marTop w:val="0"/>
      <w:marBottom w:val="0"/>
      <w:divBdr>
        <w:top w:val="none" w:sz="0" w:space="0" w:color="auto"/>
        <w:left w:val="none" w:sz="0" w:space="0" w:color="auto"/>
        <w:bottom w:val="none" w:sz="0" w:space="0" w:color="auto"/>
        <w:right w:val="none" w:sz="0" w:space="0" w:color="auto"/>
      </w:divBdr>
    </w:div>
    <w:div w:id="1435318564">
      <w:bodyDiv w:val="1"/>
      <w:marLeft w:val="0"/>
      <w:marRight w:val="0"/>
      <w:marTop w:val="0"/>
      <w:marBottom w:val="0"/>
      <w:divBdr>
        <w:top w:val="none" w:sz="0" w:space="0" w:color="auto"/>
        <w:left w:val="none" w:sz="0" w:space="0" w:color="auto"/>
        <w:bottom w:val="none" w:sz="0" w:space="0" w:color="auto"/>
        <w:right w:val="none" w:sz="0" w:space="0" w:color="auto"/>
      </w:divBdr>
    </w:div>
    <w:div w:id="1452170176">
      <w:bodyDiv w:val="1"/>
      <w:marLeft w:val="0"/>
      <w:marRight w:val="0"/>
      <w:marTop w:val="0"/>
      <w:marBottom w:val="0"/>
      <w:divBdr>
        <w:top w:val="none" w:sz="0" w:space="0" w:color="auto"/>
        <w:left w:val="none" w:sz="0" w:space="0" w:color="auto"/>
        <w:bottom w:val="none" w:sz="0" w:space="0" w:color="auto"/>
        <w:right w:val="none" w:sz="0" w:space="0" w:color="auto"/>
      </w:divBdr>
    </w:div>
    <w:div w:id="1456556886">
      <w:bodyDiv w:val="1"/>
      <w:marLeft w:val="0"/>
      <w:marRight w:val="0"/>
      <w:marTop w:val="0"/>
      <w:marBottom w:val="0"/>
      <w:divBdr>
        <w:top w:val="none" w:sz="0" w:space="0" w:color="auto"/>
        <w:left w:val="none" w:sz="0" w:space="0" w:color="auto"/>
        <w:bottom w:val="none" w:sz="0" w:space="0" w:color="auto"/>
        <w:right w:val="none" w:sz="0" w:space="0" w:color="auto"/>
      </w:divBdr>
    </w:div>
    <w:div w:id="1481385873">
      <w:bodyDiv w:val="1"/>
      <w:marLeft w:val="0"/>
      <w:marRight w:val="0"/>
      <w:marTop w:val="0"/>
      <w:marBottom w:val="0"/>
      <w:divBdr>
        <w:top w:val="none" w:sz="0" w:space="0" w:color="auto"/>
        <w:left w:val="none" w:sz="0" w:space="0" w:color="auto"/>
        <w:bottom w:val="none" w:sz="0" w:space="0" w:color="auto"/>
        <w:right w:val="none" w:sz="0" w:space="0" w:color="auto"/>
      </w:divBdr>
    </w:div>
    <w:div w:id="1483308957">
      <w:bodyDiv w:val="1"/>
      <w:marLeft w:val="0"/>
      <w:marRight w:val="0"/>
      <w:marTop w:val="0"/>
      <w:marBottom w:val="0"/>
      <w:divBdr>
        <w:top w:val="none" w:sz="0" w:space="0" w:color="auto"/>
        <w:left w:val="none" w:sz="0" w:space="0" w:color="auto"/>
        <w:bottom w:val="none" w:sz="0" w:space="0" w:color="auto"/>
        <w:right w:val="none" w:sz="0" w:space="0" w:color="auto"/>
      </w:divBdr>
    </w:div>
    <w:div w:id="1487281198">
      <w:bodyDiv w:val="1"/>
      <w:marLeft w:val="0"/>
      <w:marRight w:val="0"/>
      <w:marTop w:val="0"/>
      <w:marBottom w:val="0"/>
      <w:divBdr>
        <w:top w:val="none" w:sz="0" w:space="0" w:color="auto"/>
        <w:left w:val="none" w:sz="0" w:space="0" w:color="auto"/>
        <w:bottom w:val="none" w:sz="0" w:space="0" w:color="auto"/>
        <w:right w:val="none" w:sz="0" w:space="0" w:color="auto"/>
      </w:divBdr>
    </w:div>
    <w:div w:id="1501431515">
      <w:bodyDiv w:val="1"/>
      <w:marLeft w:val="0"/>
      <w:marRight w:val="0"/>
      <w:marTop w:val="0"/>
      <w:marBottom w:val="0"/>
      <w:divBdr>
        <w:top w:val="none" w:sz="0" w:space="0" w:color="auto"/>
        <w:left w:val="none" w:sz="0" w:space="0" w:color="auto"/>
        <w:bottom w:val="none" w:sz="0" w:space="0" w:color="auto"/>
        <w:right w:val="none" w:sz="0" w:space="0" w:color="auto"/>
      </w:divBdr>
    </w:div>
    <w:div w:id="1509755680">
      <w:bodyDiv w:val="1"/>
      <w:marLeft w:val="0"/>
      <w:marRight w:val="0"/>
      <w:marTop w:val="0"/>
      <w:marBottom w:val="0"/>
      <w:divBdr>
        <w:top w:val="none" w:sz="0" w:space="0" w:color="auto"/>
        <w:left w:val="none" w:sz="0" w:space="0" w:color="auto"/>
        <w:bottom w:val="none" w:sz="0" w:space="0" w:color="auto"/>
        <w:right w:val="none" w:sz="0" w:space="0" w:color="auto"/>
      </w:divBdr>
    </w:div>
    <w:div w:id="1510948411">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517691768">
      <w:bodyDiv w:val="1"/>
      <w:marLeft w:val="0"/>
      <w:marRight w:val="0"/>
      <w:marTop w:val="0"/>
      <w:marBottom w:val="0"/>
      <w:divBdr>
        <w:top w:val="none" w:sz="0" w:space="0" w:color="auto"/>
        <w:left w:val="none" w:sz="0" w:space="0" w:color="auto"/>
        <w:bottom w:val="none" w:sz="0" w:space="0" w:color="auto"/>
        <w:right w:val="none" w:sz="0" w:space="0" w:color="auto"/>
      </w:divBdr>
    </w:div>
    <w:div w:id="1537431727">
      <w:bodyDiv w:val="1"/>
      <w:marLeft w:val="0"/>
      <w:marRight w:val="0"/>
      <w:marTop w:val="0"/>
      <w:marBottom w:val="0"/>
      <w:divBdr>
        <w:top w:val="none" w:sz="0" w:space="0" w:color="auto"/>
        <w:left w:val="none" w:sz="0" w:space="0" w:color="auto"/>
        <w:bottom w:val="none" w:sz="0" w:space="0" w:color="auto"/>
        <w:right w:val="none" w:sz="0" w:space="0" w:color="auto"/>
      </w:divBdr>
    </w:div>
    <w:div w:id="1545173813">
      <w:bodyDiv w:val="1"/>
      <w:marLeft w:val="0"/>
      <w:marRight w:val="0"/>
      <w:marTop w:val="0"/>
      <w:marBottom w:val="0"/>
      <w:divBdr>
        <w:top w:val="none" w:sz="0" w:space="0" w:color="auto"/>
        <w:left w:val="none" w:sz="0" w:space="0" w:color="auto"/>
        <w:bottom w:val="none" w:sz="0" w:space="0" w:color="auto"/>
        <w:right w:val="none" w:sz="0" w:space="0" w:color="auto"/>
      </w:divBdr>
    </w:div>
    <w:div w:id="1564217211">
      <w:bodyDiv w:val="1"/>
      <w:marLeft w:val="0"/>
      <w:marRight w:val="0"/>
      <w:marTop w:val="0"/>
      <w:marBottom w:val="0"/>
      <w:divBdr>
        <w:top w:val="none" w:sz="0" w:space="0" w:color="auto"/>
        <w:left w:val="none" w:sz="0" w:space="0" w:color="auto"/>
        <w:bottom w:val="none" w:sz="0" w:space="0" w:color="auto"/>
        <w:right w:val="none" w:sz="0" w:space="0" w:color="auto"/>
      </w:divBdr>
    </w:div>
    <w:div w:id="1586063226">
      <w:bodyDiv w:val="1"/>
      <w:marLeft w:val="0"/>
      <w:marRight w:val="0"/>
      <w:marTop w:val="0"/>
      <w:marBottom w:val="0"/>
      <w:divBdr>
        <w:top w:val="none" w:sz="0" w:space="0" w:color="auto"/>
        <w:left w:val="none" w:sz="0" w:space="0" w:color="auto"/>
        <w:bottom w:val="none" w:sz="0" w:space="0" w:color="auto"/>
        <w:right w:val="none" w:sz="0" w:space="0" w:color="auto"/>
      </w:divBdr>
    </w:div>
    <w:div w:id="1646735432">
      <w:bodyDiv w:val="1"/>
      <w:marLeft w:val="0"/>
      <w:marRight w:val="0"/>
      <w:marTop w:val="0"/>
      <w:marBottom w:val="0"/>
      <w:divBdr>
        <w:top w:val="none" w:sz="0" w:space="0" w:color="auto"/>
        <w:left w:val="none" w:sz="0" w:space="0" w:color="auto"/>
        <w:bottom w:val="none" w:sz="0" w:space="0" w:color="auto"/>
        <w:right w:val="none" w:sz="0" w:space="0" w:color="auto"/>
      </w:divBdr>
    </w:div>
    <w:div w:id="1650867439">
      <w:bodyDiv w:val="1"/>
      <w:marLeft w:val="0"/>
      <w:marRight w:val="0"/>
      <w:marTop w:val="0"/>
      <w:marBottom w:val="0"/>
      <w:divBdr>
        <w:top w:val="none" w:sz="0" w:space="0" w:color="auto"/>
        <w:left w:val="none" w:sz="0" w:space="0" w:color="auto"/>
        <w:bottom w:val="none" w:sz="0" w:space="0" w:color="auto"/>
        <w:right w:val="none" w:sz="0" w:space="0" w:color="auto"/>
      </w:divBdr>
    </w:div>
    <w:div w:id="1652716585">
      <w:bodyDiv w:val="1"/>
      <w:marLeft w:val="0"/>
      <w:marRight w:val="0"/>
      <w:marTop w:val="0"/>
      <w:marBottom w:val="0"/>
      <w:divBdr>
        <w:top w:val="none" w:sz="0" w:space="0" w:color="auto"/>
        <w:left w:val="none" w:sz="0" w:space="0" w:color="auto"/>
        <w:bottom w:val="none" w:sz="0" w:space="0" w:color="auto"/>
        <w:right w:val="none" w:sz="0" w:space="0" w:color="auto"/>
      </w:divBdr>
    </w:div>
    <w:div w:id="1691029377">
      <w:bodyDiv w:val="1"/>
      <w:marLeft w:val="0"/>
      <w:marRight w:val="0"/>
      <w:marTop w:val="0"/>
      <w:marBottom w:val="0"/>
      <w:divBdr>
        <w:top w:val="none" w:sz="0" w:space="0" w:color="auto"/>
        <w:left w:val="none" w:sz="0" w:space="0" w:color="auto"/>
        <w:bottom w:val="none" w:sz="0" w:space="0" w:color="auto"/>
        <w:right w:val="none" w:sz="0" w:space="0" w:color="auto"/>
      </w:divBdr>
    </w:div>
    <w:div w:id="1710181424">
      <w:bodyDiv w:val="1"/>
      <w:marLeft w:val="0"/>
      <w:marRight w:val="0"/>
      <w:marTop w:val="0"/>
      <w:marBottom w:val="0"/>
      <w:divBdr>
        <w:top w:val="none" w:sz="0" w:space="0" w:color="auto"/>
        <w:left w:val="none" w:sz="0" w:space="0" w:color="auto"/>
        <w:bottom w:val="none" w:sz="0" w:space="0" w:color="auto"/>
        <w:right w:val="none" w:sz="0" w:space="0" w:color="auto"/>
      </w:divBdr>
    </w:div>
    <w:div w:id="1718580281">
      <w:bodyDiv w:val="1"/>
      <w:marLeft w:val="0"/>
      <w:marRight w:val="0"/>
      <w:marTop w:val="0"/>
      <w:marBottom w:val="0"/>
      <w:divBdr>
        <w:top w:val="none" w:sz="0" w:space="0" w:color="auto"/>
        <w:left w:val="none" w:sz="0" w:space="0" w:color="auto"/>
        <w:bottom w:val="none" w:sz="0" w:space="0" w:color="auto"/>
        <w:right w:val="none" w:sz="0" w:space="0" w:color="auto"/>
      </w:divBdr>
    </w:div>
    <w:div w:id="1721436575">
      <w:bodyDiv w:val="1"/>
      <w:marLeft w:val="0"/>
      <w:marRight w:val="0"/>
      <w:marTop w:val="0"/>
      <w:marBottom w:val="0"/>
      <w:divBdr>
        <w:top w:val="none" w:sz="0" w:space="0" w:color="auto"/>
        <w:left w:val="none" w:sz="0" w:space="0" w:color="auto"/>
        <w:bottom w:val="none" w:sz="0" w:space="0" w:color="auto"/>
        <w:right w:val="none" w:sz="0" w:space="0" w:color="auto"/>
      </w:divBdr>
    </w:div>
    <w:div w:id="1733917840">
      <w:bodyDiv w:val="1"/>
      <w:marLeft w:val="0"/>
      <w:marRight w:val="0"/>
      <w:marTop w:val="0"/>
      <w:marBottom w:val="0"/>
      <w:divBdr>
        <w:top w:val="none" w:sz="0" w:space="0" w:color="auto"/>
        <w:left w:val="none" w:sz="0" w:space="0" w:color="auto"/>
        <w:bottom w:val="none" w:sz="0" w:space="0" w:color="auto"/>
        <w:right w:val="none" w:sz="0" w:space="0" w:color="auto"/>
      </w:divBdr>
    </w:div>
    <w:div w:id="1744328249">
      <w:bodyDiv w:val="1"/>
      <w:marLeft w:val="0"/>
      <w:marRight w:val="0"/>
      <w:marTop w:val="0"/>
      <w:marBottom w:val="0"/>
      <w:divBdr>
        <w:top w:val="none" w:sz="0" w:space="0" w:color="auto"/>
        <w:left w:val="none" w:sz="0" w:space="0" w:color="auto"/>
        <w:bottom w:val="none" w:sz="0" w:space="0" w:color="auto"/>
        <w:right w:val="none" w:sz="0" w:space="0" w:color="auto"/>
      </w:divBdr>
    </w:div>
    <w:div w:id="1746956344">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 w:id="1753428157">
      <w:bodyDiv w:val="1"/>
      <w:marLeft w:val="0"/>
      <w:marRight w:val="0"/>
      <w:marTop w:val="0"/>
      <w:marBottom w:val="0"/>
      <w:divBdr>
        <w:top w:val="none" w:sz="0" w:space="0" w:color="auto"/>
        <w:left w:val="none" w:sz="0" w:space="0" w:color="auto"/>
        <w:bottom w:val="none" w:sz="0" w:space="0" w:color="auto"/>
        <w:right w:val="none" w:sz="0" w:space="0" w:color="auto"/>
      </w:divBdr>
    </w:div>
    <w:div w:id="1770927659">
      <w:bodyDiv w:val="1"/>
      <w:marLeft w:val="0"/>
      <w:marRight w:val="0"/>
      <w:marTop w:val="0"/>
      <w:marBottom w:val="0"/>
      <w:divBdr>
        <w:top w:val="none" w:sz="0" w:space="0" w:color="auto"/>
        <w:left w:val="none" w:sz="0" w:space="0" w:color="auto"/>
        <w:bottom w:val="none" w:sz="0" w:space="0" w:color="auto"/>
        <w:right w:val="none" w:sz="0" w:space="0" w:color="auto"/>
      </w:divBdr>
    </w:div>
    <w:div w:id="1775861211">
      <w:bodyDiv w:val="1"/>
      <w:marLeft w:val="0"/>
      <w:marRight w:val="0"/>
      <w:marTop w:val="0"/>
      <w:marBottom w:val="0"/>
      <w:divBdr>
        <w:top w:val="none" w:sz="0" w:space="0" w:color="auto"/>
        <w:left w:val="none" w:sz="0" w:space="0" w:color="auto"/>
        <w:bottom w:val="none" w:sz="0" w:space="0" w:color="auto"/>
        <w:right w:val="none" w:sz="0" w:space="0" w:color="auto"/>
      </w:divBdr>
    </w:div>
    <w:div w:id="1776100156">
      <w:bodyDiv w:val="1"/>
      <w:marLeft w:val="0"/>
      <w:marRight w:val="0"/>
      <w:marTop w:val="0"/>
      <w:marBottom w:val="0"/>
      <w:divBdr>
        <w:top w:val="none" w:sz="0" w:space="0" w:color="auto"/>
        <w:left w:val="none" w:sz="0" w:space="0" w:color="auto"/>
        <w:bottom w:val="none" w:sz="0" w:space="0" w:color="auto"/>
        <w:right w:val="none" w:sz="0" w:space="0" w:color="auto"/>
      </w:divBdr>
    </w:div>
    <w:div w:id="1776630060">
      <w:bodyDiv w:val="1"/>
      <w:marLeft w:val="0"/>
      <w:marRight w:val="0"/>
      <w:marTop w:val="0"/>
      <w:marBottom w:val="0"/>
      <w:divBdr>
        <w:top w:val="none" w:sz="0" w:space="0" w:color="auto"/>
        <w:left w:val="none" w:sz="0" w:space="0" w:color="auto"/>
        <w:bottom w:val="none" w:sz="0" w:space="0" w:color="auto"/>
        <w:right w:val="none" w:sz="0" w:space="0" w:color="auto"/>
      </w:divBdr>
    </w:div>
    <w:div w:id="1798135300">
      <w:bodyDiv w:val="1"/>
      <w:marLeft w:val="0"/>
      <w:marRight w:val="0"/>
      <w:marTop w:val="0"/>
      <w:marBottom w:val="0"/>
      <w:divBdr>
        <w:top w:val="none" w:sz="0" w:space="0" w:color="auto"/>
        <w:left w:val="none" w:sz="0" w:space="0" w:color="auto"/>
        <w:bottom w:val="none" w:sz="0" w:space="0" w:color="auto"/>
        <w:right w:val="none" w:sz="0" w:space="0" w:color="auto"/>
      </w:divBdr>
    </w:div>
    <w:div w:id="1801222017">
      <w:bodyDiv w:val="1"/>
      <w:marLeft w:val="0"/>
      <w:marRight w:val="0"/>
      <w:marTop w:val="0"/>
      <w:marBottom w:val="0"/>
      <w:divBdr>
        <w:top w:val="none" w:sz="0" w:space="0" w:color="auto"/>
        <w:left w:val="none" w:sz="0" w:space="0" w:color="auto"/>
        <w:bottom w:val="none" w:sz="0" w:space="0" w:color="auto"/>
        <w:right w:val="none" w:sz="0" w:space="0" w:color="auto"/>
      </w:divBdr>
    </w:div>
    <w:div w:id="1806308604">
      <w:bodyDiv w:val="1"/>
      <w:marLeft w:val="0"/>
      <w:marRight w:val="0"/>
      <w:marTop w:val="0"/>
      <w:marBottom w:val="0"/>
      <w:divBdr>
        <w:top w:val="none" w:sz="0" w:space="0" w:color="auto"/>
        <w:left w:val="none" w:sz="0" w:space="0" w:color="auto"/>
        <w:bottom w:val="none" w:sz="0" w:space="0" w:color="auto"/>
        <w:right w:val="none" w:sz="0" w:space="0" w:color="auto"/>
      </w:divBdr>
    </w:div>
    <w:div w:id="1808010028">
      <w:bodyDiv w:val="1"/>
      <w:marLeft w:val="0"/>
      <w:marRight w:val="0"/>
      <w:marTop w:val="0"/>
      <w:marBottom w:val="0"/>
      <w:divBdr>
        <w:top w:val="none" w:sz="0" w:space="0" w:color="auto"/>
        <w:left w:val="none" w:sz="0" w:space="0" w:color="auto"/>
        <w:bottom w:val="none" w:sz="0" w:space="0" w:color="auto"/>
        <w:right w:val="none" w:sz="0" w:space="0" w:color="auto"/>
      </w:divBdr>
    </w:div>
    <w:div w:id="1812597811">
      <w:bodyDiv w:val="1"/>
      <w:marLeft w:val="0"/>
      <w:marRight w:val="0"/>
      <w:marTop w:val="0"/>
      <w:marBottom w:val="0"/>
      <w:divBdr>
        <w:top w:val="none" w:sz="0" w:space="0" w:color="auto"/>
        <w:left w:val="none" w:sz="0" w:space="0" w:color="auto"/>
        <w:bottom w:val="none" w:sz="0" w:space="0" w:color="auto"/>
        <w:right w:val="none" w:sz="0" w:space="0" w:color="auto"/>
      </w:divBdr>
    </w:div>
    <w:div w:id="1818958226">
      <w:bodyDiv w:val="1"/>
      <w:marLeft w:val="0"/>
      <w:marRight w:val="0"/>
      <w:marTop w:val="0"/>
      <w:marBottom w:val="0"/>
      <w:divBdr>
        <w:top w:val="none" w:sz="0" w:space="0" w:color="auto"/>
        <w:left w:val="none" w:sz="0" w:space="0" w:color="auto"/>
        <w:bottom w:val="none" w:sz="0" w:space="0" w:color="auto"/>
        <w:right w:val="none" w:sz="0" w:space="0" w:color="auto"/>
      </w:divBdr>
    </w:div>
    <w:div w:id="1826579499">
      <w:bodyDiv w:val="1"/>
      <w:marLeft w:val="0"/>
      <w:marRight w:val="0"/>
      <w:marTop w:val="0"/>
      <w:marBottom w:val="0"/>
      <w:divBdr>
        <w:top w:val="none" w:sz="0" w:space="0" w:color="auto"/>
        <w:left w:val="none" w:sz="0" w:space="0" w:color="auto"/>
        <w:bottom w:val="none" w:sz="0" w:space="0" w:color="auto"/>
        <w:right w:val="none" w:sz="0" w:space="0" w:color="auto"/>
      </w:divBdr>
    </w:div>
    <w:div w:id="1837647334">
      <w:bodyDiv w:val="1"/>
      <w:marLeft w:val="0"/>
      <w:marRight w:val="0"/>
      <w:marTop w:val="0"/>
      <w:marBottom w:val="0"/>
      <w:divBdr>
        <w:top w:val="none" w:sz="0" w:space="0" w:color="auto"/>
        <w:left w:val="none" w:sz="0" w:space="0" w:color="auto"/>
        <w:bottom w:val="none" w:sz="0" w:space="0" w:color="auto"/>
        <w:right w:val="none" w:sz="0" w:space="0" w:color="auto"/>
      </w:divBdr>
    </w:div>
    <w:div w:id="1845124867">
      <w:bodyDiv w:val="1"/>
      <w:marLeft w:val="0"/>
      <w:marRight w:val="0"/>
      <w:marTop w:val="0"/>
      <w:marBottom w:val="0"/>
      <w:divBdr>
        <w:top w:val="none" w:sz="0" w:space="0" w:color="auto"/>
        <w:left w:val="none" w:sz="0" w:space="0" w:color="auto"/>
        <w:bottom w:val="none" w:sz="0" w:space="0" w:color="auto"/>
        <w:right w:val="none" w:sz="0" w:space="0" w:color="auto"/>
      </w:divBdr>
    </w:div>
    <w:div w:id="1863128262">
      <w:bodyDiv w:val="1"/>
      <w:marLeft w:val="0"/>
      <w:marRight w:val="0"/>
      <w:marTop w:val="0"/>
      <w:marBottom w:val="0"/>
      <w:divBdr>
        <w:top w:val="none" w:sz="0" w:space="0" w:color="auto"/>
        <w:left w:val="none" w:sz="0" w:space="0" w:color="auto"/>
        <w:bottom w:val="none" w:sz="0" w:space="0" w:color="auto"/>
        <w:right w:val="none" w:sz="0" w:space="0" w:color="auto"/>
      </w:divBdr>
    </w:div>
    <w:div w:id="1867870502">
      <w:bodyDiv w:val="1"/>
      <w:marLeft w:val="0"/>
      <w:marRight w:val="0"/>
      <w:marTop w:val="0"/>
      <w:marBottom w:val="0"/>
      <w:divBdr>
        <w:top w:val="none" w:sz="0" w:space="0" w:color="auto"/>
        <w:left w:val="none" w:sz="0" w:space="0" w:color="auto"/>
        <w:bottom w:val="none" w:sz="0" w:space="0" w:color="auto"/>
        <w:right w:val="none" w:sz="0" w:space="0" w:color="auto"/>
      </w:divBdr>
    </w:div>
    <w:div w:id="1893734077">
      <w:bodyDiv w:val="1"/>
      <w:marLeft w:val="0"/>
      <w:marRight w:val="0"/>
      <w:marTop w:val="0"/>
      <w:marBottom w:val="0"/>
      <w:divBdr>
        <w:top w:val="none" w:sz="0" w:space="0" w:color="auto"/>
        <w:left w:val="none" w:sz="0" w:space="0" w:color="auto"/>
        <w:bottom w:val="none" w:sz="0" w:space="0" w:color="auto"/>
        <w:right w:val="none" w:sz="0" w:space="0" w:color="auto"/>
      </w:divBdr>
    </w:div>
    <w:div w:id="1900742481">
      <w:bodyDiv w:val="1"/>
      <w:marLeft w:val="0"/>
      <w:marRight w:val="0"/>
      <w:marTop w:val="0"/>
      <w:marBottom w:val="0"/>
      <w:divBdr>
        <w:top w:val="none" w:sz="0" w:space="0" w:color="auto"/>
        <w:left w:val="none" w:sz="0" w:space="0" w:color="auto"/>
        <w:bottom w:val="none" w:sz="0" w:space="0" w:color="auto"/>
        <w:right w:val="none" w:sz="0" w:space="0" w:color="auto"/>
      </w:divBdr>
    </w:div>
    <w:div w:id="1906409326">
      <w:bodyDiv w:val="1"/>
      <w:marLeft w:val="0"/>
      <w:marRight w:val="0"/>
      <w:marTop w:val="0"/>
      <w:marBottom w:val="0"/>
      <w:divBdr>
        <w:top w:val="none" w:sz="0" w:space="0" w:color="auto"/>
        <w:left w:val="none" w:sz="0" w:space="0" w:color="auto"/>
        <w:bottom w:val="none" w:sz="0" w:space="0" w:color="auto"/>
        <w:right w:val="none" w:sz="0" w:space="0" w:color="auto"/>
      </w:divBdr>
    </w:div>
    <w:div w:id="1921865319">
      <w:bodyDiv w:val="1"/>
      <w:marLeft w:val="0"/>
      <w:marRight w:val="0"/>
      <w:marTop w:val="0"/>
      <w:marBottom w:val="0"/>
      <w:divBdr>
        <w:top w:val="none" w:sz="0" w:space="0" w:color="auto"/>
        <w:left w:val="none" w:sz="0" w:space="0" w:color="auto"/>
        <w:bottom w:val="none" w:sz="0" w:space="0" w:color="auto"/>
        <w:right w:val="none" w:sz="0" w:space="0" w:color="auto"/>
      </w:divBdr>
    </w:div>
    <w:div w:id="1923173342">
      <w:bodyDiv w:val="1"/>
      <w:marLeft w:val="0"/>
      <w:marRight w:val="0"/>
      <w:marTop w:val="0"/>
      <w:marBottom w:val="0"/>
      <w:divBdr>
        <w:top w:val="none" w:sz="0" w:space="0" w:color="auto"/>
        <w:left w:val="none" w:sz="0" w:space="0" w:color="auto"/>
        <w:bottom w:val="none" w:sz="0" w:space="0" w:color="auto"/>
        <w:right w:val="none" w:sz="0" w:space="0" w:color="auto"/>
      </w:divBdr>
    </w:div>
    <w:div w:id="1928031643">
      <w:bodyDiv w:val="1"/>
      <w:marLeft w:val="0"/>
      <w:marRight w:val="0"/>
      <w:marTop w:val="0"/>
      <w:marBottom w:val="0"/>
      <w:divBdr>
        <w:top w:val="none" w:sz="0" w:space="0" w:color="auto"/>
        <w:left w:val="none" w:sz="0" w:space="0" w:color="auto"/>
        <w:bottom w:val="none" w:sz="0" w:space="0" w:color="auto"/>
        <w:right w:val="none" w:sz="0" w:space="0" w:color="auto"/>
      </w:divBdr>
    </w:div>
    <w:div w:id="1931506493">
      <w:bodyDiv w:val="1"/>
      <w:marLeft w:val="0"/>
      <w:marRight w:val="0"/>
      <w:marTop w:val="0"/>
      <w:marBottom w:val="0"/>
      <w:divBdr>
        <w:top w:val="none" w:sz="0" w:space="0" w:color="auto"/>
        <w:left w:val="none" w:sz="0" w:space="0" w:color="auto"/>
        <w:bottom w:val="none" w:sz="0" w:space="0" w:color="auto"/>
        <w:right w:val="none" w:sz="0" w:space="0" w:color="auto"/>
      </w:divBdr>
    </w:div>
    <w:div w:id="1969898625">
      <w:bodyDiv w:val="1"/>
      <w:marLeft w:val="0"/>
      <w:marRight w:val="0"/>
      <w:marTop w:val="0"/>
      <w:marBottom w:val="0"/>
      <w:divBdr>
        <w:top w:val="none" w:sz="0" w:space="0" w:color="auto"/>
        <w:left w:val="none" w:sz="0" w:space="0" w:color="auto"/>
        <w:bottom w:val="none" w:sz="0" w:space="0" w:color="auto"/>
        <w:right w:val="none" w:sz="0" w:space="0" w:color="auto"/>
      </w:divBdr>
    </w:div>
    <w:div w:id="2009360329">
      <w:bodyDiv w:val="1"/>
      <w:marLeft w:val="0"/>
      <w:marRight w:val="0"/>
      <w:marTop w:val="0"/>
      <w:marBottom w:val="0"/>
      <w:divBdr>
        <w:top w:val="none" w:sz="0" w:space="0" w:color="auto"/>
        <w:left w:val="none" w:sz="0" w:space="0" w:color="auto"/>
        <w:bottom w:val="none" w:sz="0" w:space="0" w:color="auto"/>
        <w:right w:val="none" w:sz="0" w:space="0" w:color="auto"/>
      </w:divBdr>
    </w:div>
    <w:div w:id="2013096751">
      <w:bodyDiv w:val="1"/>
      <w:marLeft w:val="0"/>
      <w:marRight w:val="0"/>
      <w:marTop w:val="0"/>
      <w:marBottom w:val="0"/>
      <w:divBdr>
        <w:top w:val="none" w:sz="0" w:space="0" w:color="auto"/>
        <w:left w:val="none" w:sz="0" w:space="0" w:color="auto"/>
        <w:bottom w:val="none" w:sz="0" w:space="0" w:color="auto"/>
        <w:right w:val="none" w:sz="0" w:space="0" w:color="auto"/>
      </w:divBdr>
    </w:div>
    <w:div w:id="2019771267">
      <w:bodyDiv w:val="1"/>
      <w:marLeft w:val="0"/>
      <w:marRight w:val="0"/>
      <w:marTop w:val="0"/>
      <w:marBottom w:val="0"/>
      <w:divBdr>
        <w:top w:val="none" w:sz="0" w:space="0" w:color="auto"/>
        <w:left w:val="none" w:sz="0" w:space="0" w:color="auto"/>
        <w:bottom w:val="none" w:sz="0" w:space="0" w:color="auto"/>
        <w:right w:val="none" w:sz="0" w:space="0" w:color="auto"/>
      </w:divBdr>
    </w:div>
    <w:div w:id="2028407887">
      <w:bodyDiv w:val="1"/>
      <w:marLeft w:val="0"/>
      <w:marRight w:val="0"/>
      <w:marTop w:val="0"/>
      <w:marBottom w:val="0"/>
      <w:divBdr>
        <w:top w:val="none" w:sz="0" w:space="0" w:color="auto"/>
        <w:left w:val="none" w:sz="0" w:space="0" w:color="auto"/>
        <w:bottom w:val="none" w:sz="0" w:space="0" w:color="auto"/>
        <w:right w:val="none" w:sz="0" w:space="0" w:color="auto"/>
      </w:divBdr>
    </w:div>
    <w:div w:id="2033452120">
      <w:bodyDiv w:val="1"/>
      <w:marLeft w:val="0"/>
      <w:marRight w:val="0"/>
      <w:marTop w:val="0"/>
      <w:marBottom w:val="0"/>
      <w:divBdr>
        <w:top w:val="none" w:sz="0" w:space="0" w:color="auto"/>
        <w:left w:val="none" w:sz="0" w:space="0" w:color="auto"/>
        <w:bottom w:val="none" w:sz="0" w:space="0" w:color="auto"/>
        <w:right w:val="none" w:sz="0" w:space="0" w:color="auto"/>
      </w:divBdr>
    </w:div>
    <w:div w:id="2035763076">
      <w:bodyDiv w:val="1"/>
      <w:marLeft w:val="0"/>
      <w:marRight w:val="0"/>
      <w:marTop w:val="0"/>
      <w:marBottom w:val="0"/>
      <w:divBdr>
        <w:top w:val="none" w:sz="0" w:space="0" w:color="auto"/>
        <w:left w:val="none" w:sz="0" w:space="0" w:color="auto"/>
        <w:bottom w:val="none" w:sz="0" w:space="0" w:color="auto"/>
        <w:right w:val="none" w:sz="0" w:space="0" w:color="auto"/>
      </w:divBdr>
    </w:div>
    <w:div w:id="2050495656">
      <w:bodyDiv w:val="1"/>
      <w:marLeft w:val="0"/>
      <w:marRight w:val="0"/>
      <w:marTop w:val="0"/>
      <w:marBottom w:val="0"/>
      <w:divBdr>
        <w:top w:val="none" w:sz="0" w:space="0" w:color="auto"/>
        <w:left w:val="none" w:sz="0" w:space="0" w:color="auto"/>
        <w:bottom w:val="none" w:sz="0" w:space="0" w:color="auto"/>
        <w:right w:val="none" w:sz="0" w:space="0" w:color="auto"/>
      </w:divBdr>
    </w:div>
    <w:div w:id="2051802638">
      <w:bodyDiv w:val="1"/>
      <w:marLeft w:val="0"/>
      <w:marRight w:val="0"/>
      <w:marTop w:val="0"/>
      <w:marBottom w:val="0"/>
      <w:divBdr>
        <w:top w:val="none" w:sz="0" w:space="0" w:color="auto"/>
        <w:left w:val="none" w:sz="0" w:space="0" w:color="auto"/>
        <w:bottom w:val="none" w:sz="0" w:space="0" w:color="auto"/>
        <w:right w:val="none" w:sz="0" w:space="0" w:color="auto"/>
      </w:divBdr>
    </w:div>
    <w:div w:id="2055494535">
      <w:bodyDiv w:val="1"/>
      <w:marLeft w:val="0"/>
      <w:marRight w:val="0"/>
      <w:marTop w:val="0"/>
      <w:marBottom w:val="0"/>
      <w:divBdr>
        <w:top w:val="none" w:sz="0" w:space="0" w:color="auto"/>
        <w:left w:val="none" w:sz="0" w:space="0" w:color="auto"/>
        <w:bottom w:val="none" w:sz="0" w:space="0" w:color="auto"/>
        <w:right w:val="none" w:sz="0" w:space="0" w:color="auto"/>
      </w:divBdr>
    </w:div>
    <w:div w:id="2058815560">
      <w:bodyDiv w:val="1"/>
      <w:marLeft w:val="0"/>
      <w:marRight w:val="0"/>
      <w:marTop w:val="0"/>
      <w:marBottom w:val="0"/>
      <w:divBdr>
        <w:top w:val="none" w:sz="0" w:space="0" w:color="auto"/>
        <w:left w:val="none" w:sz="0" w:space="0" w:color="auto"/>
        <w:bottom w:val="none" w:sz="0" w:space="0" w:color="auto"/>
        <w:right w:val="none" w:sz="0" w:space="0" w:color="auto"/>
      </w:divBdr>
    </w:div>
    <w:div w:id="2067757738">
      <w:bodyDiv w:val="1"/>
      <w:marLeft w:val="0"/>
      <w:marRight w:val="0"/>
      <w:marTop w:val="0"/>
      <w:marBottom w:val="0"/>
      <w:divBdr>
        <w:top w:val="none" w:sz="0" w:space="0" w:color="auto"/>
        <w:left w:val="none" w:sz="0" w:space="0" w:color="auto"/>
        <w:bottom w:val="none" w:sz="0" w:space="0" w:color="auto"/>
        <w:right w:val="none" w:sz="0" w:space="0" w:color="auto"/>
      </w:divBdr>
    </w:div>
    <w:div w:id="2068333703">
      <w:bodyDiv w:val="1"/>
      <w:marLeft w:val="0"/>
      <w:marRight w:val="0"/>
      <w:marTop w:val="0"/>
      <w:marBottom w:val="0"/>
      <w:divBdr>
        <w:top w:val="none" w:sz="0" w:space="0" w:color="auto"/>
        <w:left w:val="none" w:sz="0" w:space="0" w:color="auto"/>
        <w:bottom w:val="none" w:sz="0" w:space="0" w:color="auto"/>
        <w:right w:val="none" w:sz="0" w:space="0" w:color="auto"/>
      </w:divBdr>
    </w:div>
    <w:div w:id="2083216338">
      <w:bodyDiv w:val="1"/>
      <w:marLeft w:val="0"/>
      <w:marRight w:val="0"/>
      <w:marTop w:val="0"/>
      <w:marBottom w:val="0"/>
      <w:divBdr>
        <w:top w:val="none" w:sz="0" w:space="0" w:color="auto"/>
        <w:left w:val="none" w:sz="0" w:space="0" w:color="auto"/>
        <w:bottom w:val="none" w:sz="0" w:space="0" w:color="auto"/>
        <w:right w:val="none" w:sz="0" w:space="0" w:color="auto"/>
      </w:divBdr>
    </w:div>
    <w:div w:id="2087261239">
      <w:bodyDiv w:val="1"/>
      <w:marLeft w:val="0"/>
      <w:marRight w:val="0"/>
      <w:marTop w:val="0"/>
      <w:marBottom w:val="0"/>
      <w:divBdr>
        <w:top w:val="none" w:sz="0" w:space="0" w:color="auto"/>
        <w:left w:val="none" w:sz="0" w:space="0" w:color="auto"/>
        <w:bottom w:val="none" w:sz="0" w:space="0" w:color="auto"/>
        <w:right w:val="none" w:sz="0" w:space="0" w:color="auto"/>
      </w:divBdr>
    </w:div>
    <w:div w:id="2106802491">
      <w:bodyDiv w:val="1"/>
      <w:marLeft w:val="0"/>
      <w:marRight w:val="0"/>
      <w:marTop w:val="0"/>
      <w:marBottom w:val="0"/>
      <w:divBdr>
        <w:top w:val="none" w:sz="0" w:space="0" w:color="auto"/>
        <w:left w:val="none" w:sz="0" w:space="0" w:color="auto"/>
        <w:bottom w:val="none" w:sz="0" w:space="0" w:color="auto"/>
        <w:right w:val="none" w:sz="0" w:space="0" w:color="auto"/>
      </w:divBdr>
    </w:div>
    <w:div w:id="2111047130">
      <w:bodyDiv w:val="1"/>
      <w:marLeft w:val="0"/>
      <w:marRight w:val="0"/>
      <w:marTop w:val="0"/>
      <w:marBottom w:val="0"/>
      <w:divBdr>
        <w:top w:val="none" w:sz="0" w:space="0" w:color="auto"/>
        <w:left w:val="none" w:sz="0" w:space="0" w:color="auto"/>
        <w:bottom w:val="none" w:sz="0" w:space="0" w:color="auto"/>
        <w:right w:val="none" w:sz="0" w:space="0" w:color="auto"/>
      </w:divBdr>
    </w:div>
    <w:div w:id="2122217537">
      <w:bodyDiv w:val="1"/>
      <w:marLeft w:val="0"/>
      <w:marRight w:val="0"/>
      <w:marTop w:val="0"/>
      <w:marBottom w:val="0"/>
      <w:divBdr>
        <w:top w:val="none" w:sz="0" w:space="0" w:color="auto"/>
        <w:left w:val="none" w:sz="0" w:space="0" w:color="auto"/>
        <w:bottom w:val="none" w:sz="0" w:space="0" w:color="auto"/>
        <w:right w:val="none" w:sz="0" w:space="0" w:color="auto"/>
      </w:divBdr>
    </w:div>
    <w:div w:id="21448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hyperlink" Target="http://www.itsanhonour.gov.au/coat-arms/" TargetMode="External"/><Relationship Id="rId26" Type="http://schemas.openxmlformats.org/officeDocument/2006/relationships/footer" Target="footer5.xml"/><Relationship Id="rId39" Type="http://schemas.openxmlformats.org/officeDocument/2006/relationships/footer" Target="footer13.xml"/><Relationship Id="rId21" Type="http://schemas.openxmlformats.org/officeDocument/2006/relationships/hyperlink" Target="http://www.cgc.gov.au" TargetMode="External"/><Relationship Id="rId34" Type="http://schemas.openxmlformats.org/officeDocument/2006/relationships/footer" Target="footer8.xml"/><Relationship Id="rId42" Type="http://schemas.openxmlformats.org/officeDocument/2006/relationships/footer" Target="footer16.xml"/><Relationship Id="rId47" Type="http://schemas.openxmlformats.org/officeDocument/2006/relationships/image" Target="media/image11.emf"/><Relationship Id="rId50" Type="http://schemas.openxmlformats.org/officeDocument/2006/relationships/chart" Target="charts/chart1.xml"/><Relationship Id="rId55" Type="http://schemas.openxmlformats.org/officeDocument/2006/relationships/footer" Target="footer17.xml"/><Relationship Id="rId63" Type="http://schemas.openxmlformats.org/officeDocument/2006/relationships/footer" Target="footer20.xml"/><Relationship Id="rId68"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footer" Target="footer11.xml"/><Relationship Id="rId40" Type="http://schemas.openxmlformats.org/officeDocument/2006/relationships/footer" Target="footer14.xml"/><Relationship Id="rId45" Type="http://schemas.openxmlformats.org/officeDocument/2006/relationships/image" Target="media/image9.emf"/><Relationship Id="rId53" Type="http://schemas.openxmlformats.org/officeDocument/2006/relationships/image" Target="media/image14.emf"/><Relationship Id="rId58" Type="http://schemas.openxmlformats.org/officeDocument/2006/relationships/hyperlink" Target="http://abs.gov.au/websitedbs/censushome.nsf/home/panel" TargetMode="External"/><Relationship Id="rId66" Type="http://schemas.openxmlformats.org/officeDocument/2006/relationships/hyperlink" Target="http://www.cgc.gov.au" TargetMode="External"/><Relationship Id="rId5" Type="http://schemas.openxmlformats.org/officeDocument/2006/relationships/settings" Target="settings.xml"/><Relationship Id="rId15" Type="http://schemas.openxmlformats.org/officeDocument/2006/relationships/hyperlink" Target="http://creativecommons.org/licenses/by/3.0" TargetMode="External"/><Relationship Id="rId23" Type="http://schemas.openxmlformats.org/officeDocument/2006/relationships/footer" Target="footer3.xml"/><Relationship Id="rId28" Type="http://schemas.openxmlformats.org/officeDocument/2006/relationships/image" Target="media/image5.emf"/><Relationship Id="rId36" Type="http://schemas.openxmlformats.org/officeDocument/2006/relationships/footer" Target="footer10.xml"/><Relationship Id="rId49" Type="http://schemas.openxmlformats.org/officeDocument/2006/relationships/image" Target="media/image12.emf"/><Relationship Id="rId57" Type="http://schemas.openxmlformats.org/officeDocument/2006/relationships/hyperlink" Target="https://cgc.gov.au/" TargetMode="External"/><Relationship Id="rId61" Type="http://schemas.openxmlformats.org/officeDocument/2006/relationships/hyperlink" Target="https://cgc.gov.au/" TargetMode="External"/><Relationship Id="rId10" Type="http://schemas.openxmlformats.org/officeDocument/2006/relationships/header" Target="header1.xml"/><Relationship Id="rId19" Type="http://schemas.openxmlformats.org/officeDocument/2006/relationships/hyperlink" Target="mailto:gary.markham@cgc.gov.au" TargetMode="External"/><Relationship Id="rId31" Type="http://schemas.openxmlformats.org/officeDocument/2006/relationships/footer" Target="footer6.xml"/><Relationship Id="rId44" Type="http://schemas.openxmlformats.org/officeDocument/2006/relationships/image" Target="media/image8.emf"/><Relationship Id="rId52" Type="http://schemas.openxmlformats.org/officeDocument/2006/relationships/image" Target="media/image13.emf"/><Relationship Id="rId60" Type="http://schemas.openxmlformats.org/officeDocument/2006/relationships/chart" Target="charts/chart2.xml"/><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4.emf"/><Relationship Id="rId30" Type="http://schemas.openxmlformats.org/officeDocument/2006/relationships/hyperlink" Target="https://cgc.gov.au/" TargetMode="External"/><Relationship Id="rId35" Type="http://schemas.openxmlformats.org/officeDocument/2006/relationships/footer" Target="footer9.xml"/><Relationship Id="rId43" Type="http://schemas.openxmlformats.org/officeDocument/2006/relationships/hyperlink" Target="https://cgc.gov.au/" TargetMode="External"/><Relationship Id="rId48" Type="http://schemas.openxmlformats.org/officeDocument/2006/relationships/hyperlink" Target="https://www.cgc.gov.au/" TargetMode="External"/><Relationship Id="rId56" Type="http://schemas.openxmlformats.org/officeDocument/2006/relationships/footer" Target="footer18.xml"/><Relationship Id="rId64" Type="http://schemas.openxmlformats.org/officeDocument/2006/relationships/hyperlink" Target="https://cgc.gov.au/"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cgc.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4.0/legalcode" TargetMode="External"/><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image" Target="media/image10.emf"/><Relationship Id="rId59" Type="http://schemas.openxmlformats.org/officeDocument/2006/relationships/image" Target="media/image15.jpeg"/><Relationship Id="rId67" Type="http://schemas.openxmlformats.org/officeDocument/2006/relationships/footer" Target="footer22.xml"/><Relationship Id="rId20" Type="http://schemas.openxmlformats.org/officeDocument/2006/relationships/header" Target="header2.xml"/><Relationship Id="rId41" Type="http://schemas.openxmlformats.org/officeDocument/2006/relationships/footer" Target="footer15.xml"/><Relationship Id="rId54" Type="http://schemas.openxmlformats.org/officeDocument/2006/relationships/hyperlink" Target="https://cgc.gov.au/" TargetMode="External"/><Relationship Id="rId62" Type="http://schemas.openxmlformats.org/officeDocument/2006/relationships/footer" Target="footer19.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gc.gov.a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GCNA01\ODrive\AssessmentSystem\Temp\U2018%20GST\7.%20R\1.%20U\1.%20C\2018%20Chp%201%20-%20Figure%205-Illustrative%20assessed%20budgets%20per%20capi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GCNA01\ODrive\AssessmentSystem\Temp\U2018%20GST\7.%20R\1.%20U\2.%20C\2.4%20Wage%20Costs%20-%20Tables%20and%20Figures-2.4%20Wage%20Costs%20-%20Tables%20and%20Figures.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57501769285209"/>
          <c:y val="2.1745791245791245E-2"/>
          <c:w val="0.84437951167728242"/>
          <c:h val="0.89581621773288445"/>
        </c:manualLayout>
      </c:layout>
      <c:barChart>
        <c:barDir val="col"/>
        <c:grouping val="stacked"/>
        <c:varyColors val="0"/>
        <c:ser>
          <c:idx val="0"/>
          <c:order val="0"/>
          <c:tx>
            <c:strRef>
              <c:f>Table!$D$39</c:f>
              <c:strCache>
                <c:ptCount val="1"/>
                <c:pt idx="0">
                  <c:v>Expenditure (a)</c:v>
                </c:pt>
              </c:strCache>
            </c:strRef>
          </c:tx>
          <c:spPr>
            <a:solidFill>
              <a:srgbClr val="006666"/>
            </a:solidFill>
            <a:ln>
              <a:solidFill>
                <a:schemeClr val="tx1"/>
              </a:solidFill>
            </a:ln>
          </c:spPr>
          <c:invertIfNegative val="0"/>
          <c:cat>
            <c:strRef>
              <c:f>Table!$C$40:$C$65</c:f>
              <c:strCache>
                <c:ptCount val="25"/>
                <c:pt idx="0">
                  <c:v>NSW</c:v>
                </c:pt>
                <c:pt idx="3">
                  <c:v>Vic</c:v>
                </c:pt>
                <c:pt idx="6">
                  <c:v>Qld</c:v>
                </c:pt>
                <c:pt idx="9">
                  <c:v>WA</c:v>
                </c:pt>
                <c:pt idx="12">
                  <c:v>SA</c:v>
                </c:pt>
                <c:pt idx="15">
                  <c:v>Tas</c:v>
                </c:pt>
                <c:pt idx="18">
                  <c:v>ACT</c:v>
                </c:pt>
                <c:pt idx="21">
                  <c:v>NT</c:v>
                </c:pt>
                <c:pt idx="24">
                  <c:v>Total</c:v>
                </c:pt>
              </c:strCache>
            </c:strRef>
          </c:cat>
          <c:val>
            <c:numRef>
              <c:f>Table!$D$40:$D$65</c:f>
              <c:numCache>
                <c:formatCode>#\ ##0</c:formatCode>
                <c:ptCount val="26"/>
                <c:pt idx="0">
                  <c:v>10060.202912618344</c:v>
                </c:pt>
                <c:pt idx="1">
                  <c:v>0</c:v>
                </c:pt>
                <c:pt idx="2">
                  <c:v>0</c:v>
                </c:pt>
                <c:pt idx="3">
                  <c:v>9748.858271948764</c:v>
                </c:pt>
                <c:pt idx="4">
                  <c:v>0</c:v>
                </c:pt>
                <c:pt idx="5">
                  <c:v>0</c:v>
                </c:pt>
                <c:pt idx="6">
                  <c:v>10555.90211174867</c:v>
                </c:pt>
                <c:pt idx="7">
                  <c:v>0</c:v>
                </c:pt>
                <c:pt idx="8">
                  <c:v>0</c:v>
                </c:pt>
                <c:pt idx="9">
                  <c:v>11022.534850572763</c:v>
                </c:pt>
                <c:pt idx="10">
                  <c:v>0</c:v>
                </c:pt>
                <c:pt idx="11">
                  <c:v>0</c:v>
                </c:pt>
                <c:pt idx="12">
                  <c:v>10401.57517615791</c:v>
                </c:pt>
                <c:pt idx="13">
                  <c:v>0</c:v>
                </c:pt>
                <c:pt idx="14">
                  <c:v>0</c:v>
                </c:pt>
                <c:pt idx="15">
                  <c:v>11040.703612054454</c:v>
                </c:pt>
                <c:pt idx="16">
                  <c:v>0</c:v>
                </c:pt>
                <c:pt idx="17">
                  <c:v>0</c:v>
                </c:pt>
                <c:pt idx="18">
                  <c:v>9810.9128451309225</c:v>
                </c:pt>
                <c:pt idx="19">
                  <c:v>0</c:v>
                </c:pt>
                <c:pt idx="20">
                  <c:v>0</c:v>
                </c:pt>
                <c:pt idx="21">
                  <c:v>20434.69441999331</c:v>
                </c:pt>
                <c:pt idx="22">
                  <c:v>0</c:v>
                </c:pt>
                <c:pt idx="23">
                  <c:v>0</c:v>
                </c:pt>
                <c:pt idx="24">
                  <c:v>10321.155138226077</c:v>
                </c:pt>
                <c:pt idx="25">
                  <c:v>0</c:v>
                </c:pt>
              </c:numCache>
            </c:numRef>
          </c:val>
        </c:ser>
        <c:ser>
          <c:idx val="1"/>
          <c:order val="1"/>
          <c:tx>
            <c:strRef>
              <c:f>Table!$E$39</c:f>
              <c:strCache>
                <c:ptCount val="1"/>
                <c:pt idx="0">
                  <c:v>Own source revenue</c:v>
                </c:pt>
              </c:strCache>
            </c:strRef>
          </c:tx>
          <c:spPr>
            <a:solidFill>
              <a:srgbClr val="009999"/>
            </a:solidFill>
            <a:ln>
              <a:solidFill>
                <a:schemeClr val="tx1"/>
              </a:solidFill>
            </a:ln>
          </c:spPr>
          <c:invertIfNegative val="0"/>
          <c:cat>
            <c:strRef>
              <c:f>Table!$C$40:$C$65</c:f>
              <c:strCache>
                <c:ptCount val="25"/>
                <c:pt idx="0">
                  <c:v>NSW</c:v>
                </c:pt>
                <c:pt idx="3">
                  <c:v>Vic</c:v>
                </c:pt>
                <c:pt idx="6">
                  <c:v>Qld</c:v>
                </c:pt>
                <c:pt idx="9">
                  <c:v>WA</c:v>
                </c:pt>
                <c:pt idx="12">
                  <c:v>SA</c:v>
                </c:pt>
                <c:pt idx="15">
                  <c:v>Tas</c:v>
                </c:pt>
                <c:pt idx="18">
                  <c:v>ACT</c:v>
                </c:pt>
                <c:pt idx="21">
                  <c:v>NT</c:v>
                </c:pt>
                <c:pt idx="24">
                  <c:v>Total</c:v>
                </c:pt>
              </c:strCache>
            </c:strRef>
          </c:cat>
          <c:val>
            <c:numRef>
              <c:f>Table!$E$40:$E$65</c:f>
              <c:numCache>
                <c:formatCode>#\ ##0</c:formatCode>
                <c:ptCount val="26"/>
                <c:pt idx="0">
                  <c:v>0</c:v>
                </c:pt>
                <c:pt idx="1">
                  <c:v>5930.0021892168033</c:v>
                </c:pt>
                <c:pt idx="2">
                  <c:v>0</c:v>
                </c:pt>
                <c:pt idx="3">
                  <c:v>0</c:v>
                </c:pt>
                <c:pt idx="4">
                  <c:v>5367.3048453680622</c:v>
                </c:pt>
                <c:pt idx="5">
                  <c:v>0</c:v>
                </c:pt>
                <c:pt idx="6">
                  <c:v>0</c:v>
                </c:pt>
                <c:pt idx="7">
                  <c:v>5694.7907375608565</c:v>
                </c:pt>
                <c:pt idx="8">
                  <c:v>0</c:v>
                </c:pt>
                <c:pt idx="9">
                  <c:v>0</c:v>
                </c:pt>
                <c:pt idx="10">
                  <c:v>7920.936477978993</c:v>
                </c:pt>
                <c:pt idx="11">
                  <c:v>0</c:v>
                </c:pt>
                <c:pt idx="12">
                  <c:v>0</c:v>
                </c:pt>
                <c:pt idx="13">
                  <c:v>4700.7612162139885</c:v>
                </c:pt>
                <c:pt idx="14">
                  <c:v>0</c:v>
                </c:pt>
                <c:pt idx="15">
                  <c:v>0</c:v>
                </c:pt>
                <c:pt idx="16">
                  <c:v>4443.5610617870225</c:v>
                </c:pt>
                <c:pt idx="17">
                  <c:v>0</c:v>
                </c:pt>
                <c:pt idx="18">
                  <c:v>0</c:v>
                </c:pt>
                <c:pt idx="19">
                  <c:v>5017.4321969213761</c:v>
                </c:pt>
                <c:pt idx="20">
                  <c:v>0</c:v>
                </c:pt>
                <c:pt idx="21">
                  <c:v>0</c:v>
                </c:pt>
                <c:pt idx="22">
                  <c:v>5649.1071451075586</c:v>
                </c:pt>
                <c:pt idx="23">
                  <c:v>0</c:v>
                </c:pt>
                <c:pt idx="24">
                  <c:v>0</c:v>
                </c:pt>
                <c:pt idx="25">
                  <c:v>5810.9702707853367</c:v>
                </c:pt>
              </c:numCache>
            </c:numRef>
          </c:val>
        </c:ser>
        <c:ser>
          <c:idx val="2"/>
          <c:order val="2"/>
          <c:tx>
            <c:strRef>
              <c:f>Table!$F$39</c:f>
              <c:strCache>
                <c:ptCount val="1"/>
                <c:pt idx="0">
                  <c:v>Net borrowing</c:v>
                </c:pt>
              </c:strCache>
            </c:strRef>
          </c:tx>
          <c:spPr>
            <a:solidFill>
              <a:srgbClr val="4F81BD"/>
            </a:solidFill>
            <a:ln>
              <a:solidFill>
                <a:schemeClr val="tx1"/>
              </a:solidFill>
            </a:ln>
          </c:spPr>
          <c:invertIfNegative val="0"/>
          <c:cat>
            <c:strRef>
              <c:f>Table!$C$40:$C$65</c:f>
              <c:strCache>
                <c:ptCount val="25"/>
                <c:pt idx="0">
                  <c:v>NSW</c:v>
                </c:pt>
                <c:pt idx="3">
                  <c:v>Vic</c:v>
                </c:pt>
                <c:pt idx="6">
                  <c:v>Qld</c:v>
                </c:pt>
                <c:pt idx="9">
                  <c:v>WA</c:v>
                </c:pt>
                <c:pt idx="12">
                  <c:v>SA</c:v>
                </c:pt>
                <c:pt idx="15">
                  <c:v>Tas</c:v>
                </c:pt>
                <c:pt idx="18">
                  <c:v>ACT</c:v>
                </c:pt>
                <c:pt idx="21">
                  <c:v>NT</c:v>
                </c:pt>
                <c:pt idx="24">
                  <c:v>Total</c:v>
                </c:pt>
              </c:strCache>
            </c:strRef>
          </c:cat>
          <c:val>
            <c:numRef>
              <c:f>Table!$F$40:$F$65</c:f>
              <c:numCache>
                <c:formatCode>#\ ##0</c:formatCode>
                <c:ptCount val="26"/>
                <c:pt idx="0">
                  <c:v>0</c:v>
                </c:pt>
                <c:pt idx="1">
                  <c:v>411.1947818332543</c:v>
                </c:pt>
                <c:pt idx="2">
                  <c:v>0</c:v>
                </c:pt>
                <c:pt idx="3">
                  <c:v>0</c:v>
                </c:pt>
                <c:pt idx="4">
                  <c:v>440.19803984639429</c:v>
                </c:pt>
                <c:pt idx="5">
                  <c:v>0</c:v>
                </c:pt>
                <c:pt idx="6">
                  <c:v>0</c:v>
                </c:pt>
                <c:pt idx="7">
                  <c:v>406.74839362088636</c:v>
                </c:pt>
                <c:pt idx="8">
                  <c:v>0</c:v>
                </c:pt>
                <c:pt idx="9">
                  <c:v>0</c:v>
                </c:pt>
                <c:pt idx="10">
                  <c:v>385.56453582044674</c:v>
                </c:pt>
                <c:pt idx="11">
                  <c:v>0</c:v>
                </c:pt>
                <c:pt idx="12">
                  <c:v>0</c:v>
                </c:pt>
                <c:pt idx="13">
                  <c:v>384.87870650454465</c:v>
                </c:pt>
                <c:pt idx="14">
                  <c:v>0</c:v>
                </c:pt>
                <c:pt idx="15">
                  <c:v>0</c:v>
                </c:pt>
                <c:pt idx="16">
                  <c:v>369.40245822262</c:v>
                </c:pt>
                <c:pt idx="17">
                  <c:v>0</c:v>
                </c:pt>
                <c:pt idx="18">
                  <c:v>0</c:v>
                </c:pt>
                <c:pt idx="19">
                  <c:v>418.95588198091758</c:v>
                </c:pt>
                <c:pt idx="20">
                  <c:v>0</c:v>
                </c:pt>
                <c:pt idx="21">
                  <c:v>0</c:v>
                </c:pt>
                <c:pt idx="22">
                  <c:v>366.85156193439622</c:v>
                </c:pt>
                <c:pt idx="23">
                  <c:v>0</c:v>
                </c:pt>
                <c:pt idx="24">
                  <c:v>0</c:v>
                </c:pt>
                <c:pt idx="25">
                  <c:v>412.13078146095353</c:v>
                </c:pt>
              </c:numCache>
            </c:numRef>
          </c:val>
        </c:ser>
        <c:ser>
          <c:idx val="3"/>
          <c:order val="3"/>
          <c:tx>
            <c:strRef>
              <c:f>Table!$G$39</c:f>
              <c:strCache>
                <c:ptCount val="1"/>
                <c:pt idx="0">
                  <c:v>Commonwealth payments</c:v>
                </c:pt>
              </c:strCache>
            </c:strRef>
          </c:tx>
          <c:spPr>
            <a:solidFill>
              <a:srgbClr val="7FBCAA"/>
            </a:solidFill>
            <a:ln>
              <a:solidFill>
                <a:schemeClr val="tx1"/>
              </a:solidFill>
            </a:ln>
          </c:spPr>
          <c:invertIfNegative val="0"/>
          <c:cat>
            <c:strRef>
              <c:f>Table!$C$40:$C$65</c:f>
              <c:strCache>
                <c:ptCount val="25"/>
                <c:pt idx="0">
                  <c:v>NSW</c:v>
                </c:pt>
                <c:pt idx="3">
                  <c:v>Vic</c:v>
                </c:pt>
                <c:pt idx="6">
                  <c:v>Qld</c:v>
                </c:pt>
                <c:pt idx="9">
                  <c:v>WA</c:v>
                </c:pt>
                <c:pt idx="12">
                  <c:v>SA</c:v>
                </c:pt>
                <c:pt idx="15">
                  <c:v>Tas</c:v>
                </c:pt>
                <c:pt idx="18">
                  <c:v>ACT</c:v>
                </c:pt>
                <c:pt idx="21">
                  <c:v>NT</c:v>
                </c:pt>
                <c:pt idx="24">
                  <c:v>Total</c:v>
                </c:pt>
              </c:strCache>
            </c:strRef>
          </c:cat>
          <c:val>
            <c:numRef>
              <c:f>Table!$G$40:$G$65</c:f>
              <c:numCache>
                <c:formatCode>#\ ##0</c:formatCode>
                <c:ptCount val="26"/>
                <c:pt idx="0">
                  <c:v>0</c:v>
                </c:pt>
                <c:pt idx="1">
                  <c:v>1473.4615701615278</c:v>
                </c:pt>
                <c:pt idx="2">
                  <c:v>0</c:v>
                </c:pt>
                <c:pt idx="3">
                  <c:v>0</c:v>
                </c:pt>
                <c:pt idx="4">
                  <c:v>1350.4415895459981</c:v>
                </c:pt>
                <c:pt idx="5">
                  <c:v>0</c:v>
                </c:pt>
                <c:pt idx="6">
                  <c:v>0</c:v>
                </c:pt>
                <c:pt idx="7">
                  <c:v>1576.8368894076086</c:v>
                </c:pt>
                <c:pt idx="8">
                  <c:v>0</c:v>
                </c:pt>
                <c:pt idx="9">
                  <c:v>0</c:v>
                </c:pt>
                <c:pt idx="10">
                  <c:v>1474.3618740987317</c:v>
                </c:pt>
                <c:pt idx="11">
                  <c:v>0</c:v>
                </c:pt>
                <c:pt idx="12">
                  <c:v>0</c:v>
                </c:pt>
                <c:pt idx="13">
                  <c:v>1436.8595700823025</c:v>
                </c:pt>
                <c:pt idx="14">
                  <c:v>0</c:v>
                </c:pt>
                <c:pt idx="15">
                  <c:v>0</c:v>
                </c:pt>
                <c:pt idx="16">
                  <c:v>1587.6756381740968</c:v>
                </c:pt>
                <c:pt idx="17">
                  <c:v>0</c:v>
                </c:pt>
                <c:pt idx="18">
                  <c:v>0</c:v>
                </c:pt>
                <c:pt idx="19">
                  <c:v>1274.1943296739871</c:v>
                </c:pt>
                <c:pt idx="20">
                  <c:v>0</c:v>
                </c:pt>
                <c:pt idx="21">
                  <c:v>0</c:v>
                </c:pt>
                <c:pt idx="22">
                  <c:v>3237.4584208125029</c:v>
                </c:pt>
                <c:pt idx="23">
                  <c:v>0</c:v>
                </c:pt>
                <c:pt idx="24">
                  <c:v>0</c:v>
                </c:pt>
                <c:pt idx="25">
                  <c:v>1476.2388941465902</c:v>
                </c:pt>
              </c:numCache>
            </c:numRef>
          </c:val>
        </c:ser>
        <c:ser>
          <c:idx val="4"/>
          <c:order val="4"/>
          <c:tx>
            <c:strRef>
              <c:f>Table!$H$39</c:f>
              <c:strCache>
                <c:ptCount val="1"/>
                <c:pt idx="0">
                  <c:v>GST</c:v>
                </c:pt>
              </c:strCache>
            </c:strRef>
          </c:tx>
          <c:spPr>
            <a:solidFill>
              <a:srgbClr val="C1FFE0"/>
            </a:solidFill>
            <a:ln>
              <a:solidFill>
                <a:schemeClr val="tx1"/>
              </a:solidFill>
            </a:ln>
          </c:spPr>
          <c:invertIfNegative val="0"/>
          <c:cat>
            <c:strRef>
              <c:f>Table!$C$40:$C$65</c:f>
              <c:strCache>
                <c:ptCount val="25"/>
                <c:pt idx="0">
                  <c:v>NSW</c:v>
                </c:pt>
                <c:pt idx="3">
                  <c:v>Vic</c:v>
                </c:pt>
                <c:pt idx="6">
                  <c:v>Qld</c:v>
                </c:pt>
                <c:pt idx="9">
                  <c:v>WA</c:v>
                </c:pt>
                <c:pt idx="12">
                  <c:v>SA</c:v>
                </c:pt>
                <c:pt idx="15">
                  <c:v>Tas</c:v>
                </c:pt>
                <c:pt idx="18">
                  <c:v>ACT</c:v>
                </c:pt>
                <c:pt idx="21">
                  <c:v>NT</c:v>
                </c:pt>
                <c:pt idx="24">
                  <c:v>Total</c:v>
                </c:pt>
              </c:strCache>
            </c:strRef>
          </c:cat>
          <c:val>
            <c:numRef>
              <c:f>Table!$H$40:$H$65</c:f>
              <c:numCache>
                <c:formatCode>#\ ##0</c:formatCode>
                <c:ptCount val="26"/>
                <c:pt idx="0">
                  <c:v>0</c:v>
                </c:pt>
                <c:pt idx="1">
                  <c:v>2245.5418132600457</c:v>
                </c:pt>
                <c:pt idx="2">
                  <c:v>0</c:v>
                </c:pt>
                <c:pt idx="3">
                  <c:v>0</c:v>
                </c:pt>
                <c:pt idx="4">
                  <c:v>2590.9299066938047</c:v>
                </c:pt>
                <c:pt idx="5">
                  <c:v>0</c:v>
                </c:pt>
                <c:pt idx="6">
                  <c:v>0</c:v>
                </c:pt>
                <c:pt idx="7">
                  <c:v>2877.5029134762985</c:v>
                </c:pt>
                <c:pt idx="8">
                  <c:v>0</c:v>
                </c:pt>
                <c:pt idx="9">
                  <c:v>0</c:v>
                </c:pt>
                <c:pt idx="10">
                  <c:v>1241.6755406347813</c:v>
                </c:pt>
                <c:pt idx="11">
                  <c:v>0</c:v>
                </c:pt>
                <c:pt idx="12">
                  <c:v>0</c:v>
                </c:pt>
                <c:pt idx="13">
                  <c:v>3879.091833748178</c:v>
                </c:pt>
                <c:pt idx="14">
                  <c:v>0</c:v>
                </c:pt>
                <c:pt idx="15">
                  <c:v>0</c:v>
                </c:pt>
                <c:pt idx="16">
                  <c:v>4640.038838002185</c:v>
                </c:pt>
                <c:pt idx="17">
                  <c:v>0</c:v>
                </c:pt>
                <c:pt idx="18">
                  <c:v>0</c:v>
                </c:pt>
                <c:pt idx="19">
                  <c:v>3100.3474569049654</c:v>
                </c:pt>
                <c:pt idx="20">
                  <c:v>0</c:v>
                </c:pt>
                <c:pt idx="21">
                  <c:v>0</c:v>
                </c:pt>
                <c:pt idx="22">
                  <c:v>11181.281738829988</c:v>
                </c:pt>
                <c:pt idx="23">
                  <c:v>0</c:v>
                </c:pt>
                <c:pt idx="24">
                  <c:v>0</c:v>
                </c:pt>
                <c:pt idx="25">
                  <c:v>2621.8151918331969</c:v>
                </c:pt>
              </c:numCache>
            </c:numRef>
          </c:val>
        </c:ser>
        <c:dLbls>
          <c:showLegendKey val="0"/>
          <c:showVal val="0"/>
          <c:showCatName val="0"/>
          <c:showSerName val="0"/>
          <c:showPercent val="0"/>
          <c:showBubbleSize val="0"/>
        </c:dLbls>
        <c:gapWidth val="10"/>
        <c:overlap val="100"/>
        <c:axId val="41206528"/>
        <c:axId val="41208064"/>
      </c:barChart>
      <c:catAx>
        <c:axId val="41206528"/>
        <c:scaling>
          <c:orientation val="minMax"/>
        </c:scaling>
        <c:delete val="0"/>
        <c:axPos val="b"/>
        <c:majorTickMark val="out"/>
        <c:minorTickMark val="none"/>
        <c:tickLblPos val="nextTo"/>
        <c:crossAx val="41208064"/>
        <c:crosses val="autoZero"/>
        <c:auto val="1"/>
        <c:lblAlgn val="ctr"/>
        <c:lblOffset val="100"/>
        <c:noMultiLvlLbl val="0"/>
      </c:catAx>
      <c:valAx>
        <c:axId val="41208064"/>
        <c:scaling>
          <c:orientation val="minMax"/>
        </c:scaling>
        <c:delete val="0"/>
        <c:axPos val="l"/>
        <c:majorGridlines>
          <c:spPr>
            <a:ln>
              <a:solidFill>
                <a:schemeClr val="bg1">
                  <a:lumMod val="65000"/>
                </a:schemeClr>
              </a:solidFill>
            </a:ln>
          </c:spPr>
        </c:majorGridlines>
        <c:title>
          <c:tx>
            <c:rich>
              <a:bodyPr rot="-5400000" vert="horz"/>
              <a:lstStyle/>
              <a:p>
                <a:pPr>
                  <a:defRPr/>
                </a:pPr>
                <a:r>
                  <a:rPr lang="en-AU"/>
                  <a:t>$ per capita</a:t>
                </a:r>
              </a:p>
            </c:rich>
          </c:tx>
          <c:layout>
            <c:manualLayout>
              <c:xMode val="edge"/>
              <c:yMode val="edge"/>
              <c:x val="1.6627742392073608E-3"/>
              <c:y val="0.3647382154882155"/>
            </c:manualLayout>
          </c:layout>
          <c:overlay val="0"/>
        </c:title>
        <c:numFmt formatCode="#\ ##0" sourceLinked="0"/>
        <c:majorTickMark val="out"/>
        <c:minorTickMark val="none"/>
        <c:tickLblPos val="nextTo"/>
        <c:crossAx val="41206528"/>
        <c:crosses val="autoZero"/>
        <c:crossBetween val="between"/>
        <c:majorUnit val="2000"/>
      </c:valAx>
    </c:plotArea>
    <c:legend>
      <c:legendPos val="t"/>
      <c:layout>
        <c:manualLayout>
          <c:xMode val="edge"/>
          <c:yMode val="edge"/>
          <c:x val="0.13089171974522293"/>
          <c:y val="2.4943883277216611E-2"/>
          <c:w val="0.31353503184713377"/>
          <c:h val="0.2568611111111111"/>
        </c:manualLayout>
      </c:layout>
      <c:overlay val="0"/>
      <c:spPr>
        <a:solidFill>
          <a:sysClr val="window" lastClr="FFFFFF"/>
        </a:solidFill>
        <a:ln>
          <a:solidFill>
            <a:sysClr val="window" lastClr="FFFFFF">
              <a:lumMod val="65000"/>
            </a:sysClr>
          </a:solidFill>
        </a:ln>
      </c:spPr>
    </c:legend>
    <c:plotVisOnly val="1"/>
    <c:dispBlanksAs val="gap"/>
    <c:showDLblsOverMax val="0"/>
  </c:chart>
  <c:spPr>
    <a:ln w="3175">
      <a:solidFill>
        <a:sysClr val="windowText" lastClr="000000"/>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50709680707387"/>
          <c:y val="4.3228726843927111E-2"/>
          <c:w val="0.83901393879163155"/>
          <c:h val="0.85995328844763974"/>
        </c:manualLayout>
      </c:layout>
      <c:barChart>
        <c:barDir val="col"/>
        <c:grouping val="clustered"/>
        <c:varyColors val="0"/>
        <c:ser>
          <c:idx val="0"/>
          <c:order val="0"/>
          <c:tx>
            <c:strRef>
              <c:f>Figure!$A$12</c:f>
              <c:strCache>
                <c:ptCount val="1"/>
                <c:pt idx="0">
                  <c:v>2013-14</c:v>
                </c:pt>
              </c:strCache>
            </c:strRef>
          </c:tx>
          <c:spPr>
            <a:solidFill>
              <a:srgbClr val="006666"/>
            </a:solidFill>
            <a:ln>
              <a:solidFill>
                <a:schemeClr val="tx1"/>
              </a:solidFill>
            </a:ln>
          </c:spPr>
          <c:invertIfNegative val="0"/>
          <c:cat>
            <c:strRef>
              <c:f>Figure!$B$11:$I$11</c:f>
              <c:strCache>
                <c:ptCount val="8"/>
                <c:pt idx="0">
                  <c:v>NSW</c:v>
                </c:pt>
                <c:pt idx="1">
                  <c:v>Vic</c:v>
                </c:pt>
                <c:pt idx="2">
                  <c:v>Qld</c:v>
                </c:pt>
                <c:pt idx="3">
                  <c:v>WA</c:v>
                </c:pt>
                <c:pt idx="4">
                  <c:v>SA</c:v>
                </c:pt>
                <c:pt idx="5">
                  <c:v>Tas</c:v>
                </c:pt>
                <c:pt idx="6">
                  <c:v>ACT</c:v>
                </c:pt>
                <c:pt idx="7">
                  <c:v>NT</c:v>
                </c:pt>
              </c:strCache>
            </c:strRef>
          </c:cat>
          <c:val>
            <c:numRef>
              <c:f>Figure!$B$12:$I$12</c:f>
              <c:numCache>
                <c:formatCode>0.00</c:formatCode>
                <c:ptCount val="8"/>
                <c:pt idx="0">
                  <c:v>0.78523977547599877</c:v>
                </c:pt>
                <c:pt idx="1">
                  <c:v>-1.9636236006746022</c:v>
                </c:pt>
                <c:pt idx="2">
                  <c:v>-1.8622003241169027</c:v>
                </c:pt>
                <c:pt idx="3">
                  <c:v>6.3391942527180056</c:v>
                </c:pt>
                <c:pt idx="4">
                  <c:v>-1.4398241563556957</c:v>
                </c:pt>
                <c:pt idx="5">
                  <c:v>-4.3813810298686029</c:v>
                </c:pt>
                <c:pt idx="6">
                  <c:v>3.6486556259440084</c:v>
                </c:pt>
                <c:pt idx="7">
                  <c:v>6.9516410175380017</c:v>
                </c:pt>
              </c:numCache>
            </c:numRef>
          </c:val>
        </c:ser>
        <c:ser>
          <c:idx val="1"/>
          <c:order val="1"/>
          <c:tx>
            <c:strRef>
              <c:f>Figure!$A$13</c:f>
              <c:strCache>
                <c:ptCount val="1"/>
                <c:pt idx="0">
                  <c:v>2014-15</c:v>
                </c:pt>
              </c:strCache>
            </c:strRef>
          </c:tx>
          <c:spPr>
            <a:solidFill>
              <a:srgbClr val="009999"/>
            </a:solidFill>
            <a:ln>
              <a:solidFill>
                <a:schemeClr val="tx1"/>
              </a:solidFill>
            </a:ln>
          </c:spPr>
          <c:invertIfNegative val="0"/>
          <c:cat>
            <c:strRef>
              <c:f>Figure!$B$11:$I$11</c:f>
              <c:strCache>
                <c:ptCount val="8"/>
                <c:pt idx="0">
                  <c:v>NSW</c:v>
                </c:pt>
                <c:pt idx="1">
                  <c:v>Vic</c:v>
                </c:pt>
                <c:pt idx="2">
                  <c:v>Qld</c:v>
                </c:pt>
                <c:pt idx="3">
                  <c:v>WA</c:v>
                </c:pt>
                <c:pt idx="4">
                  <c:v>SA</c:v>
                </c:pt>
                <c:pt idx="5">
                  <c:v>Tas</c:v>
                </c:pt>
                <c:pt idx="6">
                  <c:v>ACT</c:v>
                </c:pt>
                <c:pt idx="7">
                  <c:v>NT</c:v>
                </c:pt>
              </c:strCache>
            </c:strRef>
          </c:cat>
          <c:val>
            <c:numRef>
              <c:f>Figure!$B$13:$I$13</c:f>
              <c:numCache>
                <c:formatCode>0.00</c:formatCode>
                <c:ptCount val="8"/>
                <c:pt idx="0">
                  <c:v>0.78230645533099441</c:v>
                </c:pt>
                <c:pt idx="1">
                  <c:v>-1.3004335015371016</c:v>
                </c:pt>
                <c:pt idx="2">
                  <c:v>-1.5281318988443982</c:v>
                </c:pt>
                <c:pt idx="3">
                  <c:v>6.7706645331399917</c:v>
                </c:pt>
                <c:pt idx="4">
                  <c:v>-4.2120540152157044</c:v>
                </c:pt>
                <c:pt idx="5">
                  <c:v>-7.7697285888553953</c:v>
                </c:pt>
                <c:pt idx="6">
                  <c:v>2.8588396980369968</c:v>
                </c:pt>
                <c:pt idx="7">
                  <c:v>8.0432506772120114</c:v>
                </c:pt>
              </c:numCache>
            </c:numRef>
          </c:val>
        </c:ser>
        <c:ser>
          <c:idx val="2"/>
          <c:order val="2"/>
          <c:tx>
            <c:strRef>
              <c:f>Figure!$A$14</c:f>
              <c:strCache>
                <c:ptCount val="1"/>
                <c:pt idx="0">
                  <c:v>2015-16</c:v>
                </c:pt>
              </c:strCache>
            </c:strRef>
          </c:tx>
          <c:spPr>
            <a:solidFill>
              <a:srgbClr val="7FBCAA"/>
            </a:solidFill>
            <a:ln>
              <a:solidFill>
                <a:schemeClr val="tx1"/>
              </a:solidFill>
            </a:ln>
          </c:spPr>
          <c:invertIfNegative val="0"/>
          <c:cat>
            <c:strRef>
              <c:f>Figure!$B$11:$I$11</c:f>
              <c:strCache>
                <c:ptCount val="8"/>
                <c:pt idx="0">
                  <c:v>NSW</c:v>
                </c:pt>
                <c:pt idx="1">
                  <c:v>Vic</c:v>
                </c:pt>
                <c:pt idx="2">
                  <c:v>Qld</c:v>
                </c:pt>
                <c:pt idx="3">
                  <c:v>WA</c:v>
                </c:pt>
                <c:pt idx="4">
                  <c:v>SA</c:v>
                </c:pt>
                <c:pt idx="5">
                  <c:v>Tas</c:v>
                </c:pt>
                <c:pt idx="6">
                  <c:v>ACT</c:v>
                </c:pt>
                <c:pt idx="7">
                  <c:v>NT</c:v>
                </c:pt>
              </c:strCache>
            </c:strRef>
          </c:cat>
          <c:val>
            <c:numRef>
              <c:f>Figure!$B$14:$I$14</c:f>
              <c:numCache>
                <c:formatCode>0.00</c:formatCode>
                <c:ptCount val="8"/>
                <c:pt idx="0">
                  <c:v>0.13711063787700262</c:v>
                </c:pt>
                <c:pt idx="1">
                  <c:v>-1.4210613393219051</c:v>
                </c:pt>
                <c:pt idx="2">
                  <c:v>-0.21845223893329768</c:v>
                </c:pt>
                <c:pt idx="3">
                  <c:v>4.8424093273000013</c:v>
                </c:pt>
                <c:pt idx="4">
                  <c:v>-2.2024790247058945</c:v>
                </c:pt>
                <c:pt idx="5">
                  <c:v>-6.1435852193062024</c:v>
                </c:pt>
                <c:pt idx="6">
                  <c:v>4.9114925030520062</c:v>
                </c:pt>
                <c:pt idx="7">
                  <c:v>5.2268943240020072</c:v>
                </c:pt>
              </c:numCache>
            </c:numRef>
          </c:val>
        </c:ser>
        <c:ser>
          <c:idx val="3"/>
          <c:order val="3"/>
          <c:tx>
            <c:strRef>
              <c:f>Figure!$A$15</c:f>
              <c:strCache>
                <c:ptCount val="1"/>
                <c:pt idx="0">
                  <c:v>2016-17</c:v>
                </c:pt>
              </c:strCache>
            </c:strRef>
          </c:tx>
          <c:spPr>
            <a:solidFill>
              <a:srgbClr val="C1FFE0"/>
            </a:solidFill>
            <a:ln>
              <a:solidFill>
                <a:schemeClr val="tx1"/>
              </a:solidFill>
            </a:ln>
          </c:spPr>
          <c:invertIfNegative val="0"/>
          <c:cat>
            <c:strRef>
              <c:f>Figure!$B$11:$I$11</c:f>
              <c:strCache>
                <c:ptCount val="8"/>
                <c:pt idx="0">
                  <c:v>NSW</c:v>
                </c:pt>
                <c:pt idx="1">
                  <c:v>Vic</c:v>
                </c:pt>
                <c:pt idx="2">
                  <c:v>Qld</c:v>
                </c:pt>
                <c:pt idx="3">
                  <c:v>WA</c:v>
                </c:pt>
                <c:pt idx="4">
                  <c:v>SA</c:v>
                </c:pt>
                <c:pt idx="5">
                  <c:v>Tas</c:v>
                </c:pt>
                <c:pt idx="6">
                  <c:v>ACT</c:v>
                </c:pt>
                <c:pt idx="7">
                  <c:v>NT</c:v>
                </c:pt>
              </c:strCache>
            </c:strRef>
          </c:cat>
          <c:val>
            <c:numRef>
              <c:f>Figure!$B$15:$I$15</c:f>
              <c:numCache>
                <c:formatCode>0.00</c:formatCode>
                <c:ptCount val="8"/>
                <c:pt idx="0">
                  <c:v>0.21348050142500075</c:v>
                </c:pt>
                <c:pt idx="1">
                  <c:v>-0.86558953741250333</c:v>
                </c:pt>
                <c:pt idx="2">
                  <c:v>-0.9617971314041962</c:v>
                </c:pt>
                <c:pt idx="3">
                  <c:v>4.4561578262640067</c:v>
                </c:pt>
                <c:pt idx="4">
                  <c:v>-1.853925392719602</c:v>
                </c:pt>
                <c:pt idx="5">
                  <c:v>-7.3295787822137974</c:v>
                </c:pt>
                <c:pt idx="6">
                  <c:v>6.3335280552369921</c:v>
                </c:pt>
                <c:pt idx="7">
                  <c:v>5.7480115185319924</c:v>
                </c:pt>
              </c:numCache>
            </c:numRef>
          </c:val>
        </c:ser>
        <c:dLbls>
          <c:showLegendKey val="0"/>
          <c:showVal val="0"/>
          <c:showCatName val="0"/>
          <c:showSerName val="0"/>
          <c:showPercent val="0"/>
          <c:showBubbleSize val="0"/>
        </c:dLbls>
        <c:gapWidth val="150"/>
        <c:axId val="132825856"/>
        <c:axId val="132827392"/>
      </c:barChart>
      <c:catAx>
        <c:axId val="132825856"/>
        <c:scaling>
          <c:orientation val="minMax"/>
        </c:scaling>
        <c:delete val="0"/>
        <c:axPos val="b"/>
        <c:majorTickMark val="out"/>
        <c:minorTickMark val="none"/>
        <c:tickLblPos val="low"/>
        <c:crossAx val="132827392"/>
        <c:crosses val="autoZero"/>
        <c:auto val="1"/>
        <c:lblAlgn val="ctr"/>
        <c:lblOffset val="100"/>
        <c:noMultiLvlLbl val="0"/>
      </c:catAx>
      <c:valAx>
        <c:axId val="132827392"/>
        <c:scaling>
          <c:orientation val="minMax"/>
        </c:scaling>
        <c:delete val="0"/>
        <c:axPos val="l"/>
        <c:majorGridlines>
          <c:spPr>
            <a:ln>
              <a:solidFill>
                <a:schemeClr val="bg1">
                  <a:lumMod val="65000"/>
                </a:schemeClr>
              </a:solidFill>
            </a:ln>
          </c:spPr>
        </c:majorGridlines>
        <c:title>
          <c:tx>
            <c:rich>
              <a:bodyPr rot="-5400000" vert="horz"/>
              <a:lstStyle/>
              <a:p>
                <a:pPr>
                  <a:defRPr/>
                </a:pPr>
                <a:r>
                  <a:rPr lang="en-AU"/>
                  <a:t>Difference from average (%)</a:t>
                </a:r>
              </a:p>
            </c:rich>
          </c:tx>
          <c:layout/>
          <c:overlay val="0"/>
        </c:title>
        <c:numFmt formatCode="0" sourceLinked="0"/>
        <c:majorTickMark val="out"/>
        <c:minorTickMark val="none"/>
        <c:tickLblPos val="nextTo"/>
        <c:crossAx val="132825856"/>
        <c:crosses val="autoZero"/>
        <c:crossBetween val="between"/>
      </c:valAx>
    </c:plotArea>
    <c:legend>
      <c:legendPos val="t"/>
      <c:layout>
        <c:manualLayout>
          <c:xMode val="edge"/>
          <c:yMode val="edge"/>
          <c:x val="0.24701679280381214"/>
          <c:y val="4.2512077294685993E-2"/>
          <c:w val="0.55256835613994848"/>
          <c:h val="6.988565559739815E-2"/>
        </c:manualLayout>
      </c:layout>
      <c:overlay val="0"/>
      <c:spPr>
        <a:solidFill>
          <a:sysClr val="window" lastClr="FFFFFF"/>
        </a:solidFill>
        <a:ln>
          <a:solidFill>
            <a:sysClr val="window" lastClr="FFFFFF">
              <a:lumMod val="65000"/>
            </a:sysClr>
          </a:solidFill>
        </a:ln>
      </c:spPr>
    </c:legend>
    <c:plotVisOnly val="1"/>
    <c:dispBlanksAs val="gap"/>
    <c:showDLblsOverMax val="0"/>
  </c:chart>
  <c:spPr>
    <a:ln w="3175">
      <a:solidFill>
        <a:sysClr val="windowText" lastClr="000000"/>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D45E7-7447-4A8A-BA88-50729F3C4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25938</Words>
  <Characters>143573</Characters>
  <Application>Microsoft Office Word</Application>
  <DocSecurity>0</DocSecurity>
  <Lines>1196</Lines>
  <Paragraphs>338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169173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Jeffrey Evans</dc:creator>
  <cp:lastModifiedBy>Jeffrey.Evans</cp:lastModifiedBy>
  <cp:revision>2</cp:revision>
  <cp:lastPrinted>2018-03-28T02:01:00Z</cp:lastPrinted>
  <dcterms:created xsi:type="dcterms:W3CDTF">2018-03-28T02:16:00Z</dcterms:created>
  <dcterms:modified xsi:type="dcterms:W3CDTF">2018-03-28T02:16:00Z</dcterms:modified>
</cp:coreProperties>
</file>