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F4621" w14:textId="5DFCF80A" w:rsidR="00A56BBB" w:rsidRPr="00034E9B" w:rsidRDefault="00A56BBB" w:rsidP="00A56BBB">
      <w:pPr>
        <w:rPr>
          <w:color w:val="FFFFFF" w:themeColor="background1"/>
        </w:rPr>
      </w:pPr>
      <w:bookmarkStart w:id="0" w:name="_Ref7599661"/>
      <w:bookmarkStart w:id="1" w:name="_Toc12023825"/>
      <w:bookmarkStart w:id="2" w:name="_GoBack"/>
      <w:bookmarkEnd w:id="2"/>
      <w:r w:rsidRPr="00034E9B">
        <w:rPr>
          <w:noProof/>
        </w:rPr>
        <mc:AlternateContent>
          <mc:Choice Requires="wps">
            <w:drawing>
              <wp:anchor distT="0" distB="0" distL="114300" distR="114300" simplePos="0" relativeHeight="251658240" behindDoc="1" locked="0" layoutInCell="1" allowOverlap="1" wp14:anchorId="70F7E43A" wp14:editId="3BAFAF02">
                <wp:simplePos x="0" y="0"/>
                <wp:positionH relativeFrom="margin">
                  <wp:align>center</wp:align>
                </wp:positionH>
                <wp:positionV relativeFrom="page">
                  <wp:align>center</wp:align>
                </wp:positionV>
                <wp:extent cx="8542800" cy="11498400"/>
                <wp:effectExtent l="0" t="0" r="0" b="8255"/>
                <wp:wrapNone/>
                <wp:docPr id="3" name="Rectangle 3"/>
                <wp:cNvGraphicFramePr/>
                <a:graphic xmlns:a="http://schemas.openxmlformats.org/drawingml/2006/main">
                  <a:graphicData uri="http://schemas.microsoft.com/office/word/2010/wordprocessingShape">
                    <wps:wsp>
                      <wps:cNvSpPr/>
                      <wps:spPr>
                        <a:xfrm>
                          <a:off x="0" y="0"/>
                          <a:ext cx="8542800" cy="11498400"/>
                        </a:xfrm>
                        <a:prstGeom prst="rect">
                          <a:avLst/>
                        </a:prstGeom>
                        <a:solidFill>
                          <a:srgbClr val="0045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80790" id="Rectangle 3" o:spid="_x0000_s1026" style="position:absolute;margin-left:0;margin-top:0;width:672.65pt;height:905.4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" fillcolor="#004563" stroked="f" strokeweight="2pt">
                <v:textbox inset="0,0,0,0"/>
                <w10:wrap anchorx="margin" anchory="page"/>
              </v:rect>
            </w:pict>
          </mc:Fallback>
        </mc:AlternateContent>
      </w:r>
    </w:p>
    <w:p w14:paraId="2D720288" w14:textId="77777777" w:rsidR="00A56BBB" w:rsidRPr="00034E9B" w:rsidRDefault="00A56BBB" w:rsidP="00A56BBB">
      <w:pPr>
        <w:jc w:val="center"/>
        <w:rPr>
          <w:color w:val="FFFFFF" w:themeColor="background1"/>
        </w:rPr>
      </w:pPr>
      <w:r w:rsidRPr="00034E9B">
        <w:rPr>
          <w:noProof/>
        </w:rPr>
        <w:drawing>
          <wp:inline distT="0" distB="0" distL="0" distR="0" wp14:anchorId="7C06A23E" wp14:editId="5DD9AD33">
            <wp:extent cx="2944800" cy="1425600"/>
            <wp:effectExtent l="0" t="0" r="8255" b="3175"/>
            <wp:docPr id="1475298000"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4800" cy="1425600"/>
                    </a:xfrm>
                    <a:prstGeom prst="rect">
                      <a:avLst/>
                    </a:prstGeom>
                  </pic:spPr>
                </pic:pic>
              </a:graphicData>
            </a:graphic>
          </wp:inline>
        </w:drawing>
      </w:r>
    </w:p>
    <w:p w14:paraId="09D7EB23" w14:textId="77777777" w:rsidR="00A56BBB" w:rsidRPr="00034E9B" w:rsidRDefault="00A56BBB" w:rsidP="00A56BBB"/>
    <w:p w14:paraId="65821B79" w14:textId="71FB615B" w:rsidR="00251D91" w:rsidRDefault="00251D91" w:rsidP="00F81FF4"/>
    <w:p w14:paraId="53D2CE6D" w14:textId="59461ADD" w:rsidR="00F81FF4" w:rsidRDefault="00F81FF4" w:rsidP="00F81FF4"/>
    <w:p w14:paraId="7181865F" w14:textId="77777777" w:rsidR="00F81FF4" w:rsidRPr="00034E9B" w:rsidRDefault="00F81FF4" w:rsidP="00F81FF4"/>
    <w:p w14:paraId="3B644C05" w14:textId="09AA4E14" w:rsidR="00A56BBB" w:rsidRPr="00034E9B" w:rsidRDefault="00A56BBB" w:rsidP="004F5A8B">
      <w:pPr>
        <w:pStyle w:val="Publicationtitle1"/>
        <w:rPr>
          <w:color w:val="FFFFFF" w:themeColor="background1"/>
        </w:rPr>
      </w:pPr>
      <w:r w:rsidRPr="00DB39BE">
        <w:rPr>
          <w:color w:val="FFFFFF" w:themeColor="background1"/>
          <w:lang w:val="en-US"/>
        </w:rPr>
        <w:t>Report</w:t>
      </w:r>
      <w:r w:rsidRPr="00034E9B">
        <w:rPr>
          <w:color w:val="FFFFFF" w:themeColor="background1"/>
        </w:rPr>
        <w:t xml:space="preserve"> on </w:t>
      </w:r>
      <w:r w:rsidRPr="00034E9B">
        <w:rPr>
          <w:color w:val="FFFFFF" w:themeColor="background1"/>
        </w:rPr>
        <w:br/>
        <w:t>GST Revenue Sharing Relativities</w:t>
      </w:r>
    </w:p>
    <w:p w14:paraId="11C53F66" w14:textId="77777777" w:rsidR="00A56BBB" w:rsidRPr="00034E9B" w:rsidRDefault="00A56BBB" w:rsidP="00B60F0C">
      <w:pPr>
        <w:pStyle w:val="Publicationtitle1"/>
        <w:spacing w:before="360"/>
        <w:rPr>
          <w:color w:val="FFFFFF" w:themeColor="background1"/>
        </w:rPr>
      </w:pPr>
      <w:r w:rsidRPr="00034E9B">
        <w:rPr>
          <w:color w:val="FFFFFF" w:themeColor="background1"/>
        </w:rPr>
        <w:t>2020 Review</w:t>
      </w:r>
    </w:p>
    <w:p w14:paraId="571DEEE4" w14:textId="77777777" w:rsidR="00A56BBB" w:rsidRPr="00034E9B" w:rsidRDefault="00A56BBB" w:rsidP="00A56BBB"/>
    <w:p w14:paraId="32627B91" w14:textId="77777777" w:rsidR="00A56BBB" w:rsidRPr="00034E9B" w:rsidRDefault="00A56BBB" w:rsidP="00A56BBB"/>
    <w:p w14:paraId="072B423F" w14:textId="333C680D" w:rsidR="00A56BBB" w:rsidRPr="00034E9B" w:rsidRDefault="00A56BBB" w:rsidP="00E47713">
      <w:pPr>
        <w:pStyle w:val="Publicationtitle2"/>
        <w:spacing w:before="120"/>
      </w:pPr>
      <w:r w:rsidRPr="00034E9B">
        <w:t xml:space="preserve">Volume </w:t>
      </w:r>
      <w:r w:rsidR="00A70FD8" w:rsidRPr="00034E9B">
        <w:t>2</w:t>
      </w:r>
      <w:r w:rsidRPr="00034E9B">
        <w:t xml:space="preserve"> — </w:t>
      </w:r>
      <w:r w:rsidR="00A70FD8" w:rsidRPr="00034E9B">
        <w:t>Methodology for measuring State fiscal capacities</w:t>
      </w:r>
      <w:r w:rsidR="00FD1466" w:rsidRPr="00034E9B">
        <w:br/>
        <w:t>(Part A)</w:t>
      </w:r>
    </w:p>
    <w:p w14:paraId="219912D3" w14:textId="77777777" w:rsidR="00A56BBB" w:rsidRPr="00034E9B" w:rsidRDefault="00A56BBB" w:rsidP="00A56BBB"/>
    <w:p w14:paraId="647F59BB" w14:textId="28D60EF7" w:rsidR="00A56BBB" w:rsidRPr="00034E9B" w:rsidRDefault="00A56BBB" w:rsidP="00A56BBB"/>
    <w:p w14:paraId="04A23C32" w14:textId="5BE63174" w:rsidR="00A56BBB" w:rsidRPr="00034E9B" w:rsidRDefault="00A56BBB" w:rsidP="00755624">
      <w:pPr>
        <w:jc w:val="center"/>
      </w:pPr>
    </w:p>
    <w:p w14:paraId="5EEBF4CC" w14:textId="7BFC1162" w:rsidR="00A56BBB" w:rsidRPr="00034E9B" w:rsidRDefault="00A56BBB" w:rsidP="00A56BBB"/>
    <w:p w14:paraId="27D37BCE" w14:textId="1033E9EC" w:rsidR="005B7C5F" w:rsidRPr="007B2887" w:rsidRDefault="00EE58CA" w:rsidP="00076077">
      <w:pPr>
        <w:pStyle w:val="Publicationtitle3"/>
        <w:jc w:val="left"/>
      </w:pPr>
      <w:r>
        <w:rPr>
          <w:noProof/>
        </w:rPr>
        <w:drawing>
          <wp:anchor distT="0" distB="0" distL="114300" distR="114300" simplePos="0" relativeHeight="251658241" behindDoc="0" locked="0" layoutInCell="1" allowOverlap="1" wp14:anchorId="00C453A9" wp14:editId="79B2D9B6">
            <wp:simplePos x="0" y="0"/>
            <wp:positionH relativeFrom="page">
              <wp:align>center</wp:align>
            </wp:positionH>
            <wp:positionV relativeFrom="bottomMargin">
              <wp:posOffset>-900430</wp:posOffset>
            </wp:positionV>
            <wp:extent cx="1980000" cy="792000"/>
            <wp:effectExtent l="0" t="0" r="1270" b="8255"/>
            <wp:wrapNone/>
            <wp:docPr id="10" name="Picture 10" descr="Canb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0000" cy="792000"/>
                    </a:xfrm>
                    <a:prstGeom prst="rect">
                      <a:avLst/>
                    </a:prstGeom>
                    <a:noFill/>
                  </pic:spPr>
                </pic:pic>
              </a:graphicData>
            </a:graphic>
            <wp14:sizeRelH relativeFrom="margin">
              <wp14:pctWidth>0</wp14:pctWidth>
            </wp14:sizeRelH>
            <wp14:sizeRelV relativeFrom="margin">
              <wp14:pctHeight>0</wp14:pctHeight>
            </wp14:sizeRelV>
          </wp:anchor>
        </w:drawing>
      </w:r>
    </w:p>
    <w:p w14:paraId="6A68180B" w14:textId="77777777" w:rsidR="00A56BBB" w:rsidRPr="00034E9B" w:rsidRDefault="00A56BBB" w:rsidP="00A56BBB">
      <w:pPr>
        <w:sectPr w:rsidR="00A56BBB" w:rsidRPr="00034E9B" w:rsidSect="009B332C">
          <w:footerReference w:type="default" r:id="rId13"/>
          <w:pgSz w:w="11899" w:h="16838" w:code="9"/>
          <w:pgMar w:top="851" w:right="851" w:bottom="851" w:left="851" w:header="567" w:footer="567" w:gutter="0"/>
          <w:pgNumType w:start="1"/>
          <w:cols w:space="720"/>
          <w:titlePg/>
          <w:docGrid w:linePitch="360"/>
        </w:sectPr>
      </w:pPr>
    </w:p>
    <w:p w14:paraId="366F5EE0" w14:textId="77777777" w:rsidR="00A56BBB" w:rsidRPr="00034E9B" w:rsidRDefault="00A56BBB" w:rsidP="00A56BBB">
      <w:pPr>
        <w:rPr>
          <w:rFonts w:ascii="Montserrat ExtraBold" w:hAnsi="Montserrat ExtraBold"/>
          <w:color w:val="004563"/>
          <w:sz w:val="32"/>
          <w:szCs w:val="32"/>
        </w:rPr>
      </w:pPr>
      <w:r w:rsidRPr="00034E9B">
        <w:rPr>
          <w:rFonts w:ascii="Montserrat ExtraBold" w:hAnsi="Montserrat ExtraBold"/>
          <w:color w:val="004563"/>
          <w:sz w:val="32"/>
          <w:szCs w:val="32"/>
        </w:rPr>
        <w:lastRenderedPageBreak/>
        <w:t>Copyright</w:t>
      </w:r>
    </w:p>
    <w:p w14:paraId="69977B08" w14:textId="3A7194D8" w:rsidR="00A56BBB" w:rsidRPr="00034E9B" w:rsidRDefault="00A56BBB" w:rsidP="00A56BBB">
      <w:r w:rsidRPr="00034E9B">
        <w:t>© Commonwealth of Australia 2020</w:t>
      </w:r>
      <w:r w:rsidRPr="00034E9B">
        <w:tab/>
      </w:r>
      <w:r w:rsidRPr="00034E9B">
        <w:tab/>
        <w:t xml:space="preserve">ISBN: </w:t>
      </w:r>
      <w:r w:rsidR="00F92292" w:rsidRPr="00034E9B">
        <w:t>978-0-6485912-1-4</w:t>
      </w:r>
    </w:p>
    <w:p w14:paraId="7357E2EE" w14:textId="53297434" w:rsidR="00A56BBB" w:rsidRPr="00034E9B" w:rsidRDefault="00A56BBB" w:rsidP="00A56BBB">
      <w:r w:rsidRPr="00034E9B">
        <w:t xml:space="preserve">With the exception of the Commonwealth Coat of Arms, all material presented in this document is provided under </w:t>
      </w:r>
      <w:hyperlink r:id="rId14" w:history="1">
        <w:r w:rsidRPr="00034E9B">
          <w:rPr>
            <w:rStyle w:val="Hyperlink"/>
          </w:rPr>
          <w:t>Creative Commons Attribution 4.0</w:t>
        </w:r>
      </w:hyperlink>
      <w:r w:rsidRPr="00034E9B">
        <w:t xml:space="preserve"> (</w:t>
      </w:r>
      <w:r w:rsidR="005F4DA1" w:rsidRPr="00034E9B">
        <w:t xml:space="preserve">https://creativecommons.org/licenses/by/4.0/) </w:t>
      </w:r>
      <w:r w:rsidRPr="00034E9B">
        <w:t xml:space="preserve">licence. The details of the relevant licence conditions are available on the Creative Commons website as is the full legal code for </w:t>
      </w:r>
      <w:hyperlink r:id="rId15" w:history="1">
        <w:r w:rsidRPr="00034E9B">
          <w:rPr>
            <w:rStyle w:val="Hyperlink"/>
          </w:rPr>
          <w:t>CC BY 4.0 International</w:t>
        </w:r>
      </w:hyperlink>
      <w:r w:rsidRPr="00034E9B">
        <w:t xml:space="preserve"> (</w:t>
      </w:r>
      <w:r w:rsidR="00F4074B" w:rsidRPr="00034E9B">
        <w:t>https://creativecommons.org/licenses/by/4.0/legalcode)</w:t>
      </w:r>
      <w:r w:rsidRPr="00034E9B">
        <w:t xml:space="preserve">. </w:t>
      </w:r>
    </w:p>
    <w:p w14:paraId="0DA9BC6D" w14:textId="77777777" w:rsidR="00A56BBB" w:rsidRPr="00034E9B" w:rsidRDefault="00A56BBB" w:rsidP="00A56BBB">
      <w:r w:rsidRPr="00034E9B">
        <w:rPr>
          <w:noProof/>
          <w:lang w:eastAsia="en-AU"/>
        </w:rPr>
        <w:drawing>
          <wp:inline distT="0" distB="0" distL="0" distR="0" wp14:anchorId="656BCC8F" wp14:editId="78940CC2">
            <wp:extent cx="828675" cy="295275"/>
            <wp:effectExtent l="19050" t="0" r="9525" b="0"/>
            <wp:docPr id="16" name="Picture 1" descr="Creative Commons -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6" cstate="print"/>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43AE4DBB" w14:textId="77777777" w:rsidR="00A56BBB" w:rsidRPr="00034E9B" w:rsidRDefault="00A56BBB" w:rsidP="00A56BBB"/>
    <w:p w14:paraId="10E8D840" w14:textId="77777777" w:rsidR="00A56BBB" w:rsidRPr="00034E9B" w:rsidRDefault="00A56BBB" w:rsidP="00A56BBB">
      <w:pPr>
        <w:rPr>
          <w:rFonts w:ascii="Montserrat Semi Bold" w:hAnsi="Montserrat Semi Bold"/>
          <w:color w:val="006991"/>
          <w:sz w:val="28"/>
          <w:szCs w:val="28"/>
        </w:rPr>
      </w:pPr>
      <w:r w:rsidRPr="00034E9B">
        <w:rPr>
          <w:rFonts w:ascii="Montserrat Semi Bold" w:hAnsi="Montserrat Semi Bold"/>
          <w:color w:val="006991"/>
          <w:sz w:val="28"/>
          <w:szCs w:val="28"/>
        </w:rPr>
        <w:t>Use of the Coat of Arms</w:t>
      </w:r>
    </w:p>
    <w:p w14:paraId="4FBCD682" w14:textId="77777777" w:rsidR="00A56BBB" w:rsidRPr="00034E9B" w:rsidRDefault="00A56BBB" w:rsidP="00A56BBB">
      <w:r w:rsidRPr="00034E9B">
        <w:t xml:space="preserve">The terms under which the Coat of Arms can be used are detailed on the </w:t>
      </w:r>
      <w:hyperlink r:id="rId17" w:history="1">
        <w:r w:rsidRPr="00034E9B">
          <w:rPr>
            <w:rStyle w:val="Hyperlink"/>
          </w:rPr>
          <w:t>It’s an Honour website</w:t>
        </w:r>
      </w:hyperlink>
      <w:r w:rsidRPr="00034E9B">
        <w:t xml:space="preserve"> (https://www.pmc.gov.au/government/commonwealth-coat-arms). </w:t>
      </w:r>
    </w:p>
    <w:p w14:paraId="1A7E091A" w14:textId="77777777" w:rsidR="00A56BBB" w:rsidRPr="00034E9B" w:rsidRDefault="00A56BBB" w:rsidP="00A56BBB">
      <w:pPr>
        <w:rPr>
          <w:rFonts w:ascii="Montserrat Semi Bold" w:hAnsi="Montserrat Semi Bold"/>
          <w:color w:val="006991"/>
          <w:sz w:val="28"/>
          <w:szCs w:val="28"/>
        </w:rPr>
      </w:pPr>
      <w:r w:rsidRPr="00034E9B">
        <w:rPr>
          <w:rFonts w:ascii="Montserrat Semi Bold" w:hAnsi="Montserrat Semi Bold"/>
          <w:color w:val="006991"/>
          <w:sz w:val="28"/>
          <w:szCs w:val="28"/>
        </w:rPr>
        <w:t>Attribution</w:t>
      </w:r>
    </w:p>
    <w:p w14:paraId="702FF60C" w14:textId="4BF818AD" w:rsidR="00A56BBB" w:rsidRPr="00034E9B" w:rsidRDefault="00A56BBB" w:rsidP="00A56BBB">
      <w:r w:rsidRPr="00034E9B">
        <w:t xml:space="preserve">The recommended attribution for this document is Commonwealth Grants Commission, </w:t>
      </w:r>
      <w:r w:rsidRPr="00034E9B">
        <w:rPr>
          <w:i/>
        </w:rPr>
        <w:t xml:space="preserve">Report on GST Revenue Sharing Relativities 2020 Review — Volume </w:t>
      </w:r>
      <w:r w:rsidR="0041113E">
        <w:rPr>
          <w:i/>
        </w:rPr>
        <w:t xml:space="preserve">2 </w:t>
      </w:r>
      <w:r w:rsidR="001C0C82">
        <w:rPr>
          <w:i/>
        </w:rPr>
        <w:t>(</w:t>
      </w:r>
      <w:r w:rsidR="0041113E">
        <w:rPr>
          <w:i/>
        </w:rPr>
        <w:t xml:space="preserve">Part </w:t>
      </w:r>
      <w:r w:rsidR="008919F6">
        <w:rPr>
          <w:i/>
        </w:rPr>
        <w:t>A</w:t>
      </w:r>
      <w:r w:rsidR="001C0C82">
        <w:rPr>
          <w:i/>
        </w:rPr>
        <w:t>)</w:t>
      </w:r>
      <w:r>
        <w:rPr>
          <w:i/>
        </w:rPr>
        <w:t>.</w:t>
      </w:r>
    </w:p>
    <w:p w14:paraId="7AFF0EC3" w14:textId="77777777" w:rsidR="00A56BBB" w:rsidRPr="00034E9B" w:rsidRDefault="00A56BBB" w:rsidP="00A56BBB">
      <w:pPr>
        <w:rPr>
          <w:rFonts w:ascii="Montserrat ExtraBold" w:hAnsi="Montserrat ExtraBold"/>
          <w:color w:val="004563"/>
          <w:sz w:val="32"/>
          <w:szCs w:val="32"/>
        </w:rPr>
      </w:pPr>
      <w:r w:rsidRPr="00034E9B">
        <w:rPr>
          <w:rFonts w:ascii="Montserrat ExtraBold" w:hAnsi="Montserrat ExtraBold"/>
          <w:color w:val="004563"/>
          <w:sz w:val="32"/>
          <w:szCs w:val="32"/>
        </w:rPr>
        <w:t>Contact us</w:t>
      </w:r>
    </w:p>
    <w:p w14:paraId="25E637F7" w14:textId="77777777" w:rsidR="00A56BBB" w:rsidRPr="00034E9B" w:rsidRDefault="00A56BBB" w:rsidP="00A56BBB">
      <w:pPr>
        <w:spacing w:before="0"/>
      </w:pPr>
      <w:r w:rsidRPr="00034E9B">
        <w:t>Inquiries regarding the licence and any use of this document should be directed to:</w:t>
      </w:r>
    </w:p>
    <w:p w14:paraId="0BFDD294" w14:textId="77777777" w:rsidR="00A56BBB" w:rsidRPr="00034E9B" w:rsidRDefault="00A56BBB" w:rsidP="00A56BBB">
      <w:r w:rsidRPr="00034E9B">
        <w:t>Secretary</w:t>
      </w:r>
    </w:p>
    <w:p w14:paraId="2384350F" w14:textId="77777777" w:rsidR="00A56BBB" w:rsidRPr="00034E9B" w:rsidRDefault="00A56BBB" w:rsidP="00A56BBB">
      <w:pPr>
        <w:spacing w:before="0"/>
      </w:pPr>
      <w:r w:rsidRPr="00034E9B">
        <w:t>Commonwealth Grants Commission</w:t>
      </w:r>
    </w:p>
    <w:p w14:paraId="21F44A41" w14:textId="37C18C6D" w:rsidR="00A56BBB" w:rsidRPr="00034E9B" w:rsidRDefault="00863B2F" w:rsidP="00A56BBB">
      <w:pPr>
        <w:spacing w:before="0"/>
      </w:pPr>
      <w:r>
        <w:t>Second</w:t>
      </w:r>
      <w:r w:rsidR="00A56BBB" w:rsidRPr="00034E9B">
        <w:t xml:space="preserve"> Floor, Phoenix House</w:t>
      </w:r>
    </w:p>
    <w:p w14:paraId="33D1763B" w14:textId="77777777" w:rsidR="00A56BBB" w:rsidRPr="00034E9B" w:rsidRDefault="00A56BBB" w:rsidP="00A56BBB">
      <w:pPr>
        <w:spacing w:before="0"/>
      </w:pPr>
      <w:r w:rsidRPr="00034E9B">
        <w:t>86-88 Northbourne Avenue</w:t>
      </w:r>
    </w:p>
    <w:p w14:paraId="05B18E61" w14:textId="77777777" w:rsidR="00A56BBB" w:rsidRPr="00034E9B" w:rsidRDefault="00A56BBB" w:rsidP="00A56BBB">
      <w:pPr>
        <w:spacing w:before="0"/>
      </w:pPr>
      <w:r w:rsidRPr="00034E9B">
        <w:t>BRADDON ACT 2612</w:t>
      </w:r>
    </w:p>
    <w:p w14:paraId="07AFC3A8" w14:textId="1435435E" w:rsidR="00A56BBB" w:rsidRPr="00034E9B" w:rsidRDefault="00A56BBB" w:rsidP="00A56BBB">
      <w:pPr>
        <w:spacing w:before="0"/>
      </w:pPr>
      <w:r w:rsidRPr="00034E9B">
        <w:t>Telephone (02) 62</w:t>
      </w:r>
      <w:r w:rsidR="0096779E">
        <w:t>18 5700</w:t>
      </w:r>
    </w:p>
    <w:p w14:paraId="61B1F588" w14:textId="77777777" w:rsidR="00A56BBB" w:rsidRPr="00034E9B" w:rsidRDefault="00A56BBB" w:rsidP="00A56BBB">
      <w:pPr>
        <w:spacing w:before="0"/>
      </w:pPr>
      <w:r w:rsidRPr="00034E9B">
        <w:t xml:space="preserve">Email </w:t>
      </w:r>
      <w:hyperlink r:id="rId18" w:history="1">
        <w:r w:rsidRPr="00034E9B">
          <w:rPr>
            <w:rStyle w:val="Hyperlink"/>
          </w:rPr>
          <w:t>secretary@cgc.gov.au</w:t>
        </w:r>
      </w:hyperlink>
    </w:p>
    <w:p w14:paraId="0325586C" w14:textId="77777777" w:rsidR="00A56BBB" w:rsidRPr="00034E9B" w:rsidRDefault="00A56BBB" w:rsidP="00A56BBB">
      <w:pPr>
        <w:rPr>
          <w:rFonts w:ascii="Montserrat ExtraBold" w:hAnsi="Montserrat ExtraBold"/>
          <w:color w:val="004563"/>
          <w:sz w:val="32"/>
          <w:szCs w:val="32"/>
        </w:rPr>
      </w:pPr>
      <w:r w:rsidRPr="00034E9B">
        <w:rPr>
          <w:rFonts w:ascii="Montserrat ExtraBold" w:hAnsi="Montserrat ExtraBold"/>
          <w:color w:val="004563"/>
          <w:sz w:val="32"/>
          <w:szCs w:val="32"/>
        </w:rPr>
        <w:t>Internet</w:t>
      </w:r>
    </w:p>
    <w:p w14:paraId="4ABDDDEF" w14:textId="77777777" w:rsidR="00A56BBB" w:rsidRPr="00034E9B" w:rsidRDefault="00A56BBB" w:rsidP="00A56BBB">
      <w:r w:rsidRPr="00034E9B">
        <w:t xml:space="preserve">A copy of this report can be obtained from the </w:t>
      </w:r>
      <w:hyperlink r:id="rId19" w:history="1">
        <w:r w:rsidRPr="00034E9B">
          <w:rPr>
            <w:rStyle w:val="Hyperlink"/>
          </w:rPr>
          <w:t>Commission’s website</w:t>
        </w:r>
      </w:hyperlink>
      <w:r w:rsidRPr="00034E9B">
        <w:t xml:space="preserve"> (http://www.cgc.gov.au).</w:t>
      </w:r>
    </w:p>
    <w:p w14:paraId="736A849F" w14:textId="77777777" w:rsidR="003A36CE" w:rsidRPr="00034E9B" w:rsidRDefault="003A36CE" w:rsidP="003A36CE"/>
    <w:p w14:paraId="42BE091D" w14:textId="0E0BBD51" w:rsidR="003A36CE" w:rsidRPr="00034E9B" w:rsidRDefault="003A36CE" w:rsidP="003A36CE">
      <w:pPr>
        <w:sectPr w:rsidR="003A36CE" w:rsidRPr="00034E9B" w:rsidSect="007F754F">
          <w:footerReference w:type="first" r:id="rId20"/>
          <w:footnotePr>
            <w:numRestart w:val="eachSect"/>
          </w:footnotePr>
          <w:pgSz w:w="11899" w:h="16838" w:code="9"/>
          <w:pgMar w:top="1418" w:right="1474" w:bottom="851" w:left="1474" w:header="709" w:footer="709" w:gutter="0"/>
          <w:pgNumType w:fmt="lowerRoman" w:start="1"/>
          <w:cols w:space="708"/>
          <w:vAlign w:val="bottom"/>
          <w:titlePg/>
          <w:docGrid w:linePitch="299"/>
        </w:sectPr>
      </w:pPr>
    </w:p>
    <w:p w14:paraId="63937F51" w14:textId="1D736FBE" w:rsidR="00242AD6" w:rsidRPr="00034E9B" w:rsidRDefault="00242AD6" w:rsidP="0003458B">
      <w:pPr>
        <w:pStyle w:val="Heading1"/>
      </w:pPr>
      <w:bookmarkStart w:id="3" w:name="_Toc33545882"/>
      <w:r w:rsidRPr="00034E9B">
        <w:lastRenderedPageBreak/>
        <w:t xml:space="preserve">Purpose of this </w:t>
      </w:r>
      <w:r w:rsidR="008108AD">
        <w:t>v</w:t>
      </w:r>
      <w:r w:rsidRPr="00034E9B">
        <w:t>olume</w:t>
      </w:r>
      <w:bookmarkEnd w:id="0"/>
      <w:bookmarkEnd w:id="1"/>
      <w:bookmarkEnd w:id="3"/>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3F5"/>
        <w:tblLook w:val="04A0" w:firstRow="1" w:lastRow="0" w:firstColumn="1" w:lastColumn="0" w:noHBand="0" w:noVBand="1"/>
      </w:tblPr>
      <w:tblGrid>
        <w:gridCol w:w="9167"/>
      </w:tblGrid>
      <w:tr w:rsidR="00242AD6" w:rsidRPr="00034E9B" w14:paraId="727FCCAC" w14:textId="77777777" w:rsidTr="00242AD6">
        <w:tc>
          <w:tcPr>
            <w:tcW w:w="9167" w:type="dxa"/>
            <w:shd w:val="clear" w:color="auto" w:fill="EBF3F5"/>
          </w:tcPr>
          <w:p w14:paraId="2C882AE8" w14:textId="77777777" w:rsidR="00242AD6" w:rsidRPr="00034E9B" w:rsidRDefault="00242AD6" w:rsidP="00242AD6">
            <w:r w:rsidRPr="00034E9B">
              <w:t>On 28 November 2016, the Commission received terms of reference for a review of fiscal equalisation methodologies to inform the goods and services tax (GST) distribution from 2020</w:t>
            </w:r>
            <w:r w:rsidRPr="00034E9B">
              <w:noBreakHyphen/>
              <w:t xml:space="preserve">21. </w:t>
            </w:r>
          </w:p>
          <w:p w14:paraId="7EE2D002" w14:textId="77777777" w:rsidR="00242AD6" w:rsidRPr="00034E9B" w:rsidRDefault="00242AD6" w:rsidP="00242AD6">
            <w:r w:rsidRPr="00034E9B">
              <w:t xml:space="preserve">This volume of the report describes the processes, methods and data sources adopted by the Commission in arriving at its assessment of State relative fiscal capacities and hence its recommendations for the distribution of GST revenue in 2020-21. In particular, this volume: </w:t>
            </w:r>
          </w:p>
          <w:p w14:paraId="5E52D2BD" w14:textId="77777777" w:rsidR="00242AD6" w:rsidRPr="00034E9B" w:rsidRDefault="00242AD6" w:rsidP="00DC5A36">
            <w:pPr>
              <w:pStyle w:val="CGCBullet1"/>
              <w:numPr>
                <w:ilvl w:val="0"/>
                <w:numId w:val="3"/>
              </w:numPr>
              <w:ind w:left="924" w:hanging="357"/>
            </w:pPr>
            <w:r w:rsidRPr="00034E9B">
              <w:t xml:space="preserve">describes the context of the review, explains the requirements of the terms of reference and describes the approach taken by the Commission to the review, including the work program </w:t>
            </w:r>
          </w:p>
          <w:p w14:paraId="2A6B79CC" w14:textId="77777777" w:rsidR="00242AD6" w:rsidRPr="00034E9B" w:rsidRDefault="00242AD6" w:rsidP="00DC5A36">
            <w:pPr>
              <w:pStyle w:val="CGCBullet1"/>
              <w:numPr>
                <w:ilvl w:val="0"/>
                <w:numId w:val="3"/>
              </w:numPr>
              <w:ind w:left="924" w:hanging="357"/>
            </w:pPr>
            <w:r w:rsidRPr="00034E9B">
              <w:t>discusses the major changes to the 2015 Review methodology, along with other areas the Commission considered extensively over the review, even where this has not resulted in changed assessments</w:t>
            </w:r>
          </w:p>
          <w:p w14:paraId="782C587A" w14:textId="77777777" w:rsidR="00242AD6" w:rsidRPr="00034E9B" w:rsidRDefault="00242AD6" w:rsidP="00DC5A36">
            <w:pPr>
              <w:pStyle w:val="CGCBullet1"/>
              <w:numPr>
                <w:ilvl w:val="0"/>
                <w:numId w:val="3"/>
              </w:numPr>
              <w:ind w:left="924" w:hanging="357"/>
            </w:pPr>
            <w:r w:rsidRPr="00034E9B">
              <w:t>summarises all changes to 2015 Review methods, as well as the Commission’s response to State proposals</w:t>
            </w:r>
          </w:p>
          <w:p w14:paraId="584B4A90" w14:textId="77777777" w:rsidR="00242AD6" w:rsidRPr="00034E9B" w:rsidRDefault="00242AD6" w:rsidP="00DC5A36">
            <w:pPr>
              <w:pStyle w:val="CGCBullet1"/>
              <w:numPr>
                <w:ilvl w:val="0"/>
                <w:numId w:val="3"/>
              </w:numPr>
              <w:ind w:left="924" w:hanging="357"/>
            </w:pPr>
            <w:r w:rsidRPr="00034E9B">
              <w:t>discusses the equalisation objective and associated principle of horizontal fiscal equalisation (HFE), along with its supporting principles</w:t>
            </w:r>
          </w:p>
          <w:p w14:paraId="5B785518" w14:textId="77777777" w:rsidR="00242AD6" w:rsidRPr="00034E9B" w:rsidRDefault="00242AD6" w:rsidP="00DC5A36">
            <w:pPr>
              <w:pStyle w:val="CGCBullet1"/>
              <w:numPr>
                <w:ilvl w:val="0"/>
                <w:numId w:val="3"/>
              </w:numPr>
              <w:ind w:left="924" w:hanging="357"/>
            </w:pPr>
            <w:r w:rsidRPr="00034E9B">
              <w:t>describes how these principles have been implemented to determine the relative fiscal capacities of the States and hence prepare recommended relativities for the distribution of GST revenue in 2020-21</w:t>
            </w:r>
          </w:p>
          <w:p w14:paraId="3265714E" w14:textId="77777777" w:rsidR="00242AD6" w:rsidRPr="00034E9B" w:rsidRDefault="00242AD6" w:rsidP="00DC5A36">
            <w:pPr>
              <w:pStyle w:val="CGCBullet1"/>
              <w:numPr>
                <w:ilvl w:val="0"/>
                <w:numId w:val="3"/>
              </w:numPr>
              <w:ind w:left="924" w:hanging="357"/>
            </w:pPr>
            <w:r w:rsidRPr="00034E9B">
              <w:t xml:space="preserve">outlines the Commission’s preliminary understanding of the requirements for its future work to implement the </w:t>
            </w:r>
            <w:r w:rsidRPr="00034E9B">
              <w:rPr>
                <w:i/>
              </w:rPr>
              <w:t>Treasury Laws Amendment (Making Sure Every State and Territory Gets Their Fair Share of GST) Act 2018</w:t>
            </w:r>
            <w:r w:rsidRPr="00034E9B">
              <w:t>, including an illustrative approach to how the Commission’s findings might be presented in the future</w:t>
            </w:r>
          </w:p>
          <w:p w14:paraId="78B89347" w14:textId="77777777" w:rsidR="00242AD6" w:rsidRPr="00034E9B" w:rsidRDefault="00242AD6" w:rsidP="00DC5A36">
            <w:pPr>
              <w:pStyle w:val="CGCBullet1"/>
              <w:numPr>
                <w:ilvl w:val="0"/>
                <w:numId w:val="3"/>
              </w:numPr>
              <w:ind w:left="924" w:hanging="357"/>
            </w:pPr>
            <w:r w:rsidRPr="00034E9B">
              <w:t>describes the assessments for each category, including data sources, as well as for each general disability that affects a number of category assessments (for example, wage costs)</w:t>
            </w:r>
          </w:p>
          <w:p w14:paraId="5BF6F1BE" w14:textId="77777777" w:rsidR="00242AD6" w:rsidRPr="00034E9B" w:rsidRDefault="00242AD6" w:rsidP="00DC5A36">
            <w:pPr>
              <w:pStyle w:val="CGCBullet1"/>
              <w:numPr>
                <w:ilvl w:val="0"/>
                <w:numId w:val="3"/>
              </w:numPr>
              <w:ind w:left="924" w:hanging="357"/>
            </w:pPr>
            <w:r w:rsidRPr="00034E9B">
              <w:t xml:space="preserve">describes how the relativities are calculated, how the Commission has used population data in the assessments and the adjusted budget that underpins the Commission’s work </w:t>
            </w:r>
          </w:p>
          <w:p w14:paraId="2BA4F60B" w14:textId="77777777" w:rsidR="00242AD6" w:rsidRPr="00034E9B" w:rsidRDefault="00242AD6" w:rsidP="00DC5A36">
            <w:pPr>
              <w:pStyle w:val="CGCBullet1"/>
              <w:numPr>
                <w:ilvl w:val="0"/>
                <w:numId w:val="3"/>
              </w:numPr>
              <w:spacing w:after="120"/>
              <w:ind w:left="924" w:hanging="357"/>
            </w:pPr>
            <w:r w:rsidRPr="00034E9B">
              <w:t>looks ahead to possible approaches by governments and the Commission to considering method changes in the short to medium term.</w:t>
            </w:r>
          </w:p>
        </w:tc>
      </w:tr>
    </w:tbl>
    <w:p w14:paraId="037B6BCC" w14:textId="77777777" w:rsidR="00242AD6" w:rsidRPr="00034E9B" w:rsidRDefault="00242AD6" w:rsidP="00242AD6">
      <w:pPr>
        <w:spacing w:before="0" w:after="80" w:line="320" w:lineRule="atLeast"/>
      </w:pPr>
      <w:bookmarkStart w:id="4" w:name="_Toc391023211"/>
      <w:bookmarkStart w:id="5" w:name="_Toc7601596"/>
    </w:p>
    <w:p w14:paraId="772DCE7E" w14:textId="36B3EF18" w:rsidR="00335630" w:rsidRDefault="00335630">
      <w:pPr>
        <w:tabs>
          <w:tab w:val="clear" w:pos="567"/>
        </w:tabs>
        <w:spacing w:before="0" w:after="200" w:line="276" w:lineRule="auto"/>
      </w:pPr>
      <w:r>
        <w:br w:type="page"/>
      </w:r>
    </w:p>
    <w:p w14:paraId="2FE84F99" w14:textId="73550DC0" w:rsidR="008A2023" w:rsidRDefault="00335630" w:rsidP="0003458B">
      <w:pPr>
        <w:pStyle w:val="Heading1"/>
        <w:rPr>
          <w:lang w:val="en-US"/>
        </w:rPr>
      </w:pPr>
      <w:bookmarkStart w:id="6" w:name="_Toc31620974"/>
      <w:bookmarkStart w:id="7" w:name="_Toc33545883"/>
      <w:r w:rsidRPr="00335630">
        <w:rPr>
          <w:lang w:val="en-US"/>
        </w:rPr>
        <w:lastRenderedPageBreak/>
        <w:t>List of acronyms</w:t>
      </w:r>
      <w:bookmarkEnd w:id="6"/>
      <w:bookmarkEnd w:id="7"/>
      <w:r w:rsidRPr="00335630">
        <w:rPr>
          <w:lang w:val="en-US"/>
        </w:rPr>
        <w:t xml:space="preserve"> </w:t>
      </w:r>
    </w:p>
    <w:p w14:paraId="7010C0CE" w14:textId="533DE0D0" w:rsidR="00AF311A" w:rsidRPr="00D35965" w:rsidRDefault="006354EC" w:rsidP="00D17123">
      <w:pPr>
        <w:rPr>
          <w:rFonts w:ascii="Montserrat SemiBold" w:hAnsi="Montserrat SemiBold"/>
          <w:color w:val="636466"/>
          <w:sz w:val="24"/>
          <w:szCs w:val="28"/>
          <w:lang w:val="en-US"/>
        </w:rPr>
      </w:pPr>
      <w:r w:rsidRPr="00402246">
        <w:rPr>
          <w:rFonts w:ascii="Montserrat SemiBold" w:hAnsi="Montserrat SemiBold"/>
          <w:color w:val="636466"/>
          <w:sz w:val="24"/>
          <w:szCs w:val="28"/>
          <w:lang w:val="en-US"/>
        </w:rPr>
        <w:t>Volume 2</w:t>
      </w:r>
    </w:p>
    <w:tbl>
      <w:tblPr>
        <w:tblStyle w:val="TableGrid2"/>
        <w:tblW w:w="0" w:type="auto"/>
        <w:tblInd w:w="0" w:type="dxa"/>
        <w:tblBorders>
          <w:top w:val="single" w:sz="4" w:space="0" w:color="ADD6EA"/>
          <w:left w:val="none" w:sz="0" w:space="0" w:color="auto"/>
          <w:bottom w:val="single" w:sz="4" w:space="0" w:color="ADD6EA"/>
          <w:right w:val="none" w:sz="0" w:space="0" w:color="auto"/>
          <w:insideH w:val="single" w:sz="4" w:space="0" w:color="ADD6EA"/>
          <w:insideV w:val="none" w:sz="0" w:space="0" w:color="auto"/>
        </w:tblBorders>
        <w:tblCellMar>
          <w:left w:w="28" w:type="dxa"/>
          <w:right w:w="28" w:type="dxa"/>
        </w:tblCellMar>
        <w:tblLook w:val="04A0" w:firstRow="1" w:lastRow="0" w:firstColumn="1" w:lastColumn="0" w:noHBand="0" w:noVBand="1"/>
      </w:tblPr>
      <w:tblGrid>
        <w:gridCol w:w="1803"/>
        <w:gridCol w:w="7204"/>
      </w:tblGrid>
      <w:tr w:rsidR="00D35965" w:rsidRPr="00D35965" w14:paraId="101A874A"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66ADB01" w14:textId="77777777" w:rsidR="00D35965" w:rsidRPr="00D35965" w:rsidRDefault="00D35965" w:rsidP="00D35965">
            <w:pPr>
              <w:spacing w:before="0" w:line="240" w:lineRule="auto"/>
              <w:rPr>
                <w:lang w:val="en-US"/>
              </w:rPr>
            </w:pPr>
            <w:r w:rsidRPr="00D35965">
              <w:rPr>
                <w:rFonts w:cs="Open Sans Light"/>
                <w:color w:val="000000"/>
                <w:szCs w:val="20"/>
              </w:rPr>
              <w:t>ABF</w:t>
            </w:r>
          </w:p>
        </w:tc>
        <w:tc>
          <w:tcPr>
            <w:tcW w:w="7204" w:type="dxa"/>
            <w:tcBorders>
              <w:top w:val="single" w:sz="4" w:space="0" w:color="ADD6EA"/>
              <w:left w:val="nil"/>
              <w:bottom w:val="single" w:sz="4" w:space="0" w:color="ADD6EA"/>
              <w:right w:val="nil"/>
            </w:tcBorders>
            <w:vAlign w:val="center"/>
            <w:hideMark/>
          </w:tcPr>
          <w:p w14:paraId="2C609400" w14:textId="77777777" w:rsidR="00D35965" w:rsidRPr="00D35965" w:rsidRDefault="00D35965" w:rsidP="00D35965">
            <w:pPr>
              <w:spacing w:before="0" w:line="240" w:lineRule="auto"/>
              <w:rPr>
                <w:lang w:val="en-US"/>
              </w:rPr>
            </w:pPr>
            <w:r w:rsidRPr="00D35965">
              <w:rPr>
                <w:rFonts w:cs="Open Sans Light"/>
                <w:color w:val="000000"/>
                <w:szCs w:val="20"/>
              </w:rPr>
              <w:t>Activity Based Funding</w:t>
            </w:r>
          </w:p>
        </w:tc>
      </w:tr>
      <w:tr w:rsidR="00D35965" w:rsidRPr="00D35965" w14:paraId="3D7CFBC4"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4C4D9B4" w14:textId="77777777" w:rsidR="00D35965" w:rsidRPr="00D35965" w:rsidRDefault="00D35965" w:rsidP="00D35965">
            <w:pPr>
              <w:spacing w:before="0" w:line="240" w:lineRule="auto"/>
            </w:pPr>
            <w:r w:rsidRPr="00D35965">
              <w:rPr>
                <w:rFonts w:cs="Open Sans Light"/>
                <w:color w:val="000000"/>
                <w:szCs w:val="20"/>
              </w:rPr>
              <w:t>ABS</w:t>
            </w:r>
          </w:p>
        </w:tc>
        <w:tc>
          <w:tcPr>
            <w:tcW w:w="7204" w:type="dxa"/>
            <w:tcBorders>
              <w:top w:val="single" w:sz="4" w:space="0" w:color="ADD6EA"/>
              <w:left w:val="nil"/>
              <w:bottom w:val="single" w:sz="4" w:space="0" w:color="ADD6EA"/>
              <w:right w:val="nil"/>
            </w:tcBorders>
            <w:vAlign w:val="center"/>
            <w:hideMark/>
          </w:tcPr>
          <w:p w14:paraId="6EE0B497" w14:textId="77777777" w:rsidR="00D35965" w:rsidRPr="00D35965" w:rsidRDefault="00D35965" w:rsidP="00D35965">
            <w:pPr>
              <w:spacing w:before="0" w:line="240" w:lineRule="auto"/>
            </w:pPr>
            <w:r w:rsidRPr="00D35965">
              <w:rPr>
                <w:rFonts w:cs="Open Sans Light"/>
                <w:color w:val="000000"/>
                <w:szCs w:val="20"/>
              </w:rPr>
              <w:t>Australian Bureau of Statistics</w:t>
            </w:r>
          </w:p>
        </w:tc>
      </w:tr>
      <w:tr w:rsidR="00D35965" w:rsidRPr="00D35965" w14:paraId="6A3E9DCA"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7ED3723B" w14:textId="77777777" w:rsidR="00D35965" w:rsidRPr="00D35965" w:rsidRDefault="00D35965" w:rsidP="00D35965">
            <w:pPr>
              <w:spacing w:before="0" w:line="240" w:lineRule="auto"/>
            </w:pPr>
            <w:r w:rsidRPr="00D35965">
              <w:rPr>
                <w:rFonts w:cs="Open Sans Light"/>
                <w:color w:val="000000"/>
                <w:szCs w:val="20"/>
              </w:rPr>
              <w:t>ACARA</w:t>
            </w:r>
          </w:p>
        </w:tc>
        <w:tc>
          <w:tcPr>
            <w:tcW w:w="7204" w:type="dxa"/>
            <w:tcBorders>
              <w:top w:val="single" w:sz="4" w:space="0" w:color="ADD6EA"/>
              <w:left w:val="nil"/>
              <w:bottom w:val="single" w:sz="4" w:space="0" w:color="ADD6EA"/>
              <w:right w:val="nil"/>
            </w:tcBorders>
            <w:vAlign w:val="center"/>
            <w:hideMark/>
          </w:tcPr>
          <w:p w14:paraId="10D22E15" w14:textId="77777777" w:rsidR="00D35965" w:rsidRPr="00D35965" w:rsidRDefault="00D35965" w:rsidP="00D35965">
            <w:pPr>
              <w:spacing w:before="0" w:line="240" w:lineRule="auto"/>
            </w:pPr>
            <w:r w:rsidRPr="00D35965">
              <w:rPr>
                <w:rFonts w:cs="Open Sans Light"/>
                <w:color w:val="000000"/>
                <w:szCs w:val="20"/>
              </w:rPr>
              <w:t>Australian Curriculum, Assessment and Reporting Authority</w:t>
            </w:r>
          </w:p>
        </w:tc>
      </w:tr>
      <w:tr w:rsidR="00D35965" w:rsidRPr="00D35965" w14:paraId="06E186F3"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7F383721" w14:textId="77777777" w:rsidR="00D35965" w:rsidRPr="00D35965" w:rsidRDefault="00D35965" w:rsidP="00D35965">
            <w:pPr>
              <w:spacing w:before="0" w:line="240" w:lineRule="auto"/>
            </w:pPr>
            <w:r w:rsidRPr="00D35965">
              <w:rPr>
                <w:rFonts w:cs="Open Sans Light"/>
                <w:color w:val="000000"/>
                <w:szCs w:val="20"/>
              </w:rPr>
              <w:t>ACCHS</w:t>
            </w:r>
          </w:p>
        </w:tc>
        <w:tc>
          <w:tcPr>
            <w:tcW w:w="7204" w:type="dxa"/>
            <w:tcBorders>
              <w:top w:val="single" w:sz="4" w:space="0" w:color="ADD6EA"/>
              <w:left w:val="nil"/>
              <w:bottom w:val="single" w:sz="4" w:space="0" w:color="ADD6EA"/>
              <w:right w:val="nil"/>
            </w:tcBorders>
            <w:vAlign w:val="center"/>
            <w:hideMark/>
          </w:tcPr>
          <w:p w14:paraId="2AA7EAA5" w14:textId="77777777" w:rsidR="00D35965" w:rsidRPr="00D35965" w:rsidRDefault="00D35965" w:rsidP="00D35965">
            <w:pPr>
              <w:spacing w:before="0" w:line="240" w:lineRule="auto"/>
            </w:pPr>
            <w:r w:rsidRPr="00D35965">
              <w:rPr>
                <w:rFonts w:cs="Open Sans Light"/>
                <w:color w:val="000000"/>
                <w:szCs w:val="20"/>
              </w:rPr>
              <w:t>Aboriginal Community Controlled Health Services</w:t>
            </w:r>
          </w:p>
        </w:tc>
      </w:tr>
      <w:tr w:rsidR="00D35965" w:rsidRPr="00D35965" w14:paraId="7C6B605B"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1502C4F0" w14:textId="77777777" w:rsidR="00D35965" w:rsidRPr="00D35965" w:rsidRDefault="00D35965" w:rsidP="00D35965">
            <w:pPr>
              <w:spacing w:before="0" w:line="240" w:lineRule="auto"/>
            </w:pPr>
            <w:r w:rsidRPr="00D35965">
              <w:rPr>
                <w:rFonts w:cs="Open Sans Light"/>
                <w:color w:val="000000"/>
                <w:szCs w:val="20"/>
              </w:rPr>
              <w:t>ACEM</w:t>
            </w:r>
          </w:p>
        </w:tc>
        <w:tc>
          <w:tcPr>
            <w:tcW w:w="7204" w:type="dxa"/>
            <w:tcBorders>
              <w:top w:val="single" w:sz="4" w:space="0" w:color="ADD6EA"/>
              <w:left w:val="nil"/>
              <w:bottom w:val="single" w:sz="4" w:space="0" w:color="ADD6EA"/>
              <w:right w:val="nil"/>
            </w:tcBorders>
            <w:vAlign w:val="center"/>
            <w:hideMark/>
          </w:tcPr>
          <w:p w14:paraId="2649E88E" w14:textId="77777777" w:rsidR="00D35965" w:rsidRPr="00D35965" w:rsidRDefault="00D35965" w:rsidP="00D35965">
            <w:pPr>
              <w:spacing w:before="0" w:line="240" w:lineRule="auto"/>
            </w:pPr>
            <w:r w:rsidRPr="00D35965">
              <w:rPr>
                <w:rFonts w:cs="Open Sans Light"/>
                <w:color w:val="000000"/>
                <w:szCs w:val="20"/>
              </w:rPr>
              <w:t>Australasian College for Emergency Medicine</w:t>
            </w:r>
          </w:p>
        </w:tc>
      </w:tr>
      <w:tr w:rsidR="00D35965" w:rsidRPr="00D35965" w14:paraId="206B6A11"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3E5C7BEB" w14:textId="77777777" w:rsidR="00D35965" w:rsidRPr="00D35965" w:rsidRDefault="00D35965" w:rsidP="00D35965">
            <w:pPr>
              <w:spacing w:before="0" w:line="240" w:lineRule="auto"/>
            </w:pPr>
            <w:r w:rsidRPr="00D35965">
              <w:rPr>
                <w:rFonts w:cs="Open Sans Light"/>
                <w:color w:val="000000"/>
                <w:szCs w:val="20"/>
              </w:rPr>
              <w:t>ACTPS</w:t>
            </w:r>
          </w:p>
        </w:tc>
        <w:tc>
          <w:tcPr>
            <w:tcW w:w="7204" w:type="dxa"/>
            <w:tcBorders>
              <w:top w:val="single" w:sz="4" w:space="0" w:color="ADD6EA"/>
              <w:left w:val="nil"/>
              <w:bottom w:val="single" w:sz="4" w:space="0" w:color="ADD6EA"/>
              <w:right w:val="nil"/>
            </w:tcBorders>
            <w:vAlign w:val="center"/>
            <w:hideMark/>
          </w:tcPr>
          <w:p w14:paraId="7D0ABFC2" w14:textId="77777777" w:rsidR="00D35965" w:rsidRPr="00D35965" w:rsidRDefault="00D35965" w:rsidP="00D35965">
            <w:pPr>
              <w:spacing w:before="0" w:line="240" w:lineRule="auto"/>
            </w:pPr>
            <w:r w:rsidRPr="00D35965">
              <w:rPr>
                <w:rFonts w:cs="Open Sans Light"/>
                <w:color w:val="000000"/>
                <w:szCs w:val="20"/>
              </w:rPr>
              <w:t>ACT Public Service</w:t>
            </w:r>
          </w:p>
        </w:tc>
      </w:tr>
      <w:tr w:rsidR="00D35965" w:rsidRPr="00D35965" w14:paraId="136BE893"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3D0D9ED" w14:textId="77777777" w:rsidR="00D35965" w:rsidRPr="00D35965" w:rsidRDefault="00D35965" w:rsidP="00D35965">
            <w:pPr>
              <w:spacing w:before="0" w:line="240" w:lineRule="auto"/>
            </w:pPr>
            <w:r w:rsidRPr="00D35965">
              <w:rPr>
                <w:rFonts w:cs="Open Sans Light"/>
                <w:color w:val="000000"/>
                <w:szCs w:val="20"/>
              </w:rPr>
              <w:t>AECC</w:t>
            </w:r>
          </w:p>
        </w:tc>
        <w:tc>
          <w:tcPr>
            <w:tcW w:w="7204" w:type="dxa"/>
            <w:tcBorders>
              <w:top w:val="single" w:sz="4" w:space="0" w:color="ADD6EA"/>
              <w:left w:val="nil"/>
              <w:bottom w:val="single" w:sz="4" w:space="0" w:color="ADD6EA"/>
              <w:right w:val="nil"/>
            </w:tcBorders>
            <w:vAlign w:val="center"/>
            <w:hideMark/>
          </w:tcPr>
          <w:p w14:paraId="0E454B71" w14:textId="77777777" w:rsidR="00D35965" w:rsidRPr="00D35965" w:rsidRDefault="00D35965" w:rsidP="00D35965">
            <w:pPr>
              <w:spacing w:before="0" w:line="240" w:lineRule="auto"/>
            </w:pPr>
            <w:r w:rsidRPr="00D35965">
              <w:rPr>
                <w:rFonts w:cs="Open Sans Light"/>
                <w:color w:val="000000"/>
                <w:szCs w:val="20"/>
              </w:rPr>
              <w:t>Australian Emergency Care Classification</w:t>
            </w:r>
          </w:p>
        </w:tc>
      </w:tr>
      <w:tr w:rsidR="00D35965" w:rsidRPr="00D35965" w14:paraId="6BC48E4B"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2DC5FD8F" w14:textId="77777777" w:rsidR="00D35965" w:rsidRPr="00D35965" w:rsidRDefault="00D35965" w:rsidP="00D35965">
            <w:pPr>
              <w:spacing w:before="0" w:line="240" w:lineRule="auto"/>
            </w:pPr>
            <w:r w:rsidRPr="00D35965">
              <w:rPr>
                <w:rFonts w:cs="Open Sans Light"/>
                <w:color w:val="000000"/>
                <w:szCs w:val="20"/>
              </w:rPr>
              <w:t>AEMC</w:t>
            </w:r>
          </w:p>
        </w:tc>
        <w:tc>
          <w:tcPr>
            <w:tcW w:w="7204" w:type="dxa"/>
            <w:tcBorders>
              <w:top w:val="single" w:sz="4" w:space="0" w:color="ADD6EA"/>
              <w:left w:val="nil"/>
              <w:bottom w:val="single" w:sz="4" w:space="0" w:color="ADD6EA"/>
              <w:right w:val="nil"/>
            </w:tcBorders>
            <w:vAlign w:val="center"/>
            <w:hideMark/>
          </w:tcPr>
          <w:p w14:paraId="1F9D2C98" w14:textId="77777777" w:rsidR="00D35965" w:rsidRPr="00D35965" w:rsidRDefault="00D35965" w:rsidP="00D35965">
            <w:pPr>
              <w:spacing w:before="0" w:line="240" w:lineRule="auto"/>
            </w:pPr>
            <w:r w:rsidRPr="00D35965">
              <w:rPr>
                <w:rFonts w:cs="Open Sans Light"/>
                <w:color w:val="000000"/>
                <w:szCs w:val="20"/>
              </w:rPr>
              <w:t>Australian Energy Market Commission</w:t>
            </w:r>
          </w:p>
        </w:tc>
      </w:tr>
      <w:tr w:rsidR="00D35965" w:rsidRPr="00D35965" w14:paraId="295E2CE5"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E93D399" w14:textId="77777777" w:rsidR="00D35965" w:rsidRPr="00D35965" w:rsidRDefault="00D35965" w:rsidP="00D35965">
            <w:pPr>
              <w:spacing w:before="0" w:line="240" w:lineRule="auto"/>
            </w:pPr>
            <w:r w:rsidRPr="00D35965">
              <w:rPr>
                <w:rFonts w:cs="Open Sans Light"/>
                <w:color w:val="000000"/>
                <w:szCs w:val="20"/>
              </w:rPr>
              <w:t>AER</w:t>
            </w:r>
          </w:p>
        </w:tc>
        <w:tc>
          <w:tcPr>
            <w:tcW w:w="7204" w:type="dxa"/>
            <w:tcBorders>
              <w:top w:val="single" w:sz="4" w:space="0" w:color="ADD6EA"/>
              <w:left w:val="nil"/>
              <w:bottom w:val="single" w:sz="4" w:space="0" w:color="ADD6EA"/>
              <w:right w:val="nil"/>
            </w:tcBorders>
            <w:vAlign w:val="center"/>
            <w:hideMark/>
          </w:tcPr>
          <w:p w14:paraId="38297444" w14:textId="77777777" w:rsidR="00D35965" w:rsidRPr="00D35965" w:rsidRDefault="00D35965" w:rsidP="00D35965">
            <w:pPr>
              <w:spacing w:before="0" w:line="240" w:lineRule="auto"/>
            </w:pPr>
            <w:r w:rsidRPr="00D35965">
              <w:rPr>
                <w:rFonts w:cs="Open Sans Light"/>
                <w:color w:val="000000"/>
                <w:szCs w:val="20"/>
              </w:rPr>
              <w:t>Australian Energy Regulator</w:t>
            </w:r>
          </w:p>
        </w:tc>
      </w:tr>
      <w:tr w:rsidR="00D35965" w:rsidRPr="00D35965" w14:paraId="5162D7DA"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1CED1F04" w14:textId="77777777" w:rsidR="00D35965" w:rsidRPr="00D35965" w:rsidRDefault="00D35965" w:rsidP="00D35965">
            <w:pPr>
              <w:spacing w:before="0" w:line="240" w:lineRule="auto"/>
            </w:pPr>
            <w:r w:rsidRPr="00D35965">
              <w:rPr>
                <w:rFonts w:cs="Open Sans Light"/>
                <w:color w:val="000000"/>
                <w:szCs w:val="20"/>
              </w:rPr>
              <w:t>AFP</w:t>
            </w:r>
          </w:p>
        </w:tc>
        <w:tc>
          <w:tcPr>
            <w:tcW w:w="7204" w:type="dxa"/>
            <w:tcBorders>
              <w:top w:val="single" w:sz="4" w:space="0" w:color="ADD6EA"/>
              <w:left w:val="nil"/>
              <w:bottom w:val="single" w:sz="4" w:space="0" w:color="ADD6EA"/>
              <w:right w:val="nil"/>
            </w:tcBorders>
            <w:vAlign w:val="center"/>
            <w:hideMark/>
          </w:tcPr>
          <w:p w14:paraId="4FCB9D6A" w14:textId="77777777" w:rsidR="00D35965" w:rsidRPr="00D35965" w:rsidRDefault="00D35965" w:rsidP="00D35965">
            <w:pPr>
              <w:spacing w:before="0" w:line="240" w:lineRule="auto"/>
            </w:pPr>
            <w:r w:rsidRPr="00D35965">
              <w:rPr>
                <w:rFonts w:cs="Open Sans Light"/>
                <w:color w:val="000000"/>
                <w:szCs w:val="20"/>
              </w:rPr>
              <w:t>Australian Federal Police</w:t>
            </w:r>
          </w:p>
        </w:tc>
      </w:tr>
      <w:tr w:rsidR="00D35965" w:rsidRPr="00D35965" w14:paraId="1A45006D"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7FFB90F" w14:textId="77777777" w:rsidR="00D35965" w:rsidRPr="00D35965" w:rsidRDefault="00D35965" w:rsidP="00D35965">
            <w:pPr>
              <w:spacing w:before="0" w:line="240" w:lineRule="auto"/>
            </w:pPr>
            <w:r w:rsidRPr="00D35965">
              <w:rPr>
                <w:rFonts w:cs="Open Sans Light"/>
                <w:color w:val="000000"/>
                <w:szCs w:val="20"/>
              </w:rPr>
              <w:t>AGFS15</w:t>
            </w:r>
          </w:p>
        </w:tc>
        <w:tc>
          <w:tcPr>
            <w:tcW w:w="7204" w:type="dxa"/>
            <w:tcBorders>
              <w:top w:val="single" w:sz="4" w:space="0" w:color="ADD6EA"/>
              <w:left w:val="nil"/>
              <w:bottom w:val="single" w:sz="4" w:space="0" w:color="ADD6EA"/>
              <w:right w:val="nil"/>
            </w:tcBorders>
            <w:vAlign w:val="center"/>
            <w:hideMark/>
          </w:tcPr>
          <w:p w14:paraId="086B5FC0" w14:textId="77777777" w:rsidR="00D35965" w:rsidRPr="00D35965" w:rsidRDefault="00D35965" w:rsidP="00D35965">
            <w:pPr>
              <w:spacing w:before="0" w:line="240" w:lineRule="auto"/>
            </w:pPr>
            <w:r w:rsidRPr="00D35965">
              <w:rPr>
                <w:rFonts w:cs="Open Sans Light"/>
                <w:color w:val="000000"/>
                <w:szCs w:val="20"/>
              </w:rPr>
              <w:t>Australian System of Government Finance Statistics 2015</w:t>
            </w:r>
          </w:p>
        </w:tc>
      </w:tr>
      <w:tr w:rsidR="00D35965" w:rsidRPr="00D35965" w14:paraId="13130417"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42E077F" w14:textId="77777777" w:rsidR="00D35965" w:rsidRPr="00D35965" w:rsidRDefault="00D35965" w:rsidP="00D35965">
            <w:pPr>
              <w:spacing w:before="0" w:line="240" w:lineRule="auto"/>
            </w:pPr>
            <w:r w:rsidRPr="00D35965">
              <w:rPr>
                <w:rFonts w:cs="Open Sans Light"/>
                <w:color w:val="000000"/>
                <w:szCs w:val="20"/>
              </w:rPr>
              <w:t>AGM-km</w:t>
            </w:r>
          </w:p>
        </w:tc>
        <w:tc>
          <w:tcPr>
            <w:tcW w:w="7204" w:type="dxa"/>
            <w:tcBorders>
              <w:top w:val="single" w:sz="4" w:space="0" w:color="ADD6EA"/>
              <w:left w:val="nil"/>
              <w:bottom w:val="single" w:sz="4" w:space="0" w:color="ADD6EA"/>
              <w:right w:val="nil"/>
            </w:tcBorders>
            <w:vAlign w:val="center"/>
            <w:hideMark/>
          </w:tcPr>
          <w:p w14:paraId="54E2924A" w14:textId="77777777" w:rsidR="00D35965" w:rsidRPr="00D35965" w:rsidRDefault="00D35965" w:rsidP="00D35965">
            <w:pPr>
              <w:spacing w:before="0" w:line="240" w:lineRule="auto"/>
            </w:pPr>
            <w:r w:rsidRPr="00D35965">
              <w:rPr>
                <w:rFonts w:cs="Open Sans Light"/>
                <w:color w:val="000000"/>
                <w:szCs w:val="20"/>
              </w:rPr>
              <w:t>Average gross mass-kilometres</w:t>
            </w:r>
          </w:p>
        </w:tc>
      </w:tr>
      <w:tr w:rsidR="00D35965" w:rsidRPr="00D35965" w14:paraId="782AD28E"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B90ACB6" w14:textId="77777777" w:rsidR="00D35965" w:rsidRPr="00D35965" w:rsidRDefault="00D35965" w:rsidP="00D35965">
            <w:pPr>
              <w:spacing w:before="0" w:line="240" w:lineRule="auto"/>
            </w:pPr>
            <w:r w:rsidRPr="00D35965">
              <w:rPr>
                <w:rFonts w:cs="Open Sans Light"/>
                <w:color w:val="000000"/>
                <w:szCs w:val="20"/>
              </w:rPr>
              <w:t>AIHW</w:t>
            </w:r>
          </w:p>
        </w:tc>
        <w:tc>
          <w:tcPr>
            <w:tcW w:w="7204" w:type="dxa"/>
            <w:tcBorders>
              <w:top w:val="single" w:sz="4" w:space="0" w:color="ADD6EA"/>
              <w:left w:val="nil"/>
              <w:bottom w:val="single" w:sz="4" w:space="0" w:color="ADD6EA"/>
              <w:right w:val="nil"/>
            </w:tcBorders>
            <w:vAlign w:val="center"/>
            <w:hideMark/>
          </w:tcPr>
          <w:p w14:paraId="583EB176" w14:textId="77777777" w:rsidR="00D35965" w:rsidRPr="00D35965" w:rsidRDefault="00D35965" w:rsidP="00D35965">
            <w:pPr>
              <w:spacing w:before="0" w:line="240" w:lineRule="auto"/>
            </w:pPr>
            <w:r w:rsidRPr="00D35965">
              <w:rPr>
                <w:rFonts w:cs="Open Sans Light"/>
                <w:color w:val="000000"/>
                <w:szCs w:val="20"/>
              </w:rPr>
              <w:t>Australian Institute of Health and Welfare</w:t>
            </w:r>
          </w:p>
        </w:tc>
      </w:tr>
      <w:tr w:rsidR="00D35965" w:rsidRPr="00D35965" w14:paraId="3BA2A79F"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1DDC97DC" w14:textId="77777777" w:rsidR="00D35965" w:rsidRPr="00D35965" w:rsidRDefault="00D35965" w:rsidP="00D35965">
            <w:pPr>
              <w:spacing w:before="0" w:line="240" w:lineRule="auto"/>
            </w:pPr>
            <w:r w:rsidRPr="00D35965">
              <w:rPr>
                <w:rFonts w:cs="Open Sans Light"/>
                <w:color w:val="000000"/>
                <w:szCs w:val="20"/>
              </w:rPr>
              <w:t>AP</w:t>
            </w:r>
          </w:p>
        </w:tc>
        <w:tc>
          <w:tcPr>
            <w:tcW w:w="7204" w:type="dxa"/>
            <w:tcBorders>
              <w:top w:val="single" w:sz="4" w:space="0" w:color="ADD6EA"/>
              <w:left w:val="nil"/>
              <w:bottom w:val="single" w:sz="4" w:space="0" w:color="ADD6EA"/>
              <w:right w:val="nil"/>
            </w:tcBorders>
            <w:vAlign w:val="center"/>
            <w:hideMark/>
          </w:tcPr>
          <w:p w14:paraId="32BA9995" w14:textId="77777777" w:rsidR="00D35965" w:rsidRPr="00D35965" w:rsidRDefault="00D35965" w:rsidP="00D35965">
            <w:pPr>
              <w:spacing w:before="0" w:line="240" w:lineRule="auto"/>
            </w:pPr>
            <w:r w:rsidRPr="00D35965">
              <w:rPr>
                <w:rFonts w:cs="Open Sans Light"/>
                <w:color w:val="000000"/>
                <w:szCs w:val="20"/>
              </w:rPr>
              <w:t>Admitted patients</w:t>
            </w:r>
          </w:p>
        </w:tc>
      </w:tr>
      <w:tr w:rsidR="00D35965" w:rsidRPr="00D35965" w14:paraId="4746706F"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A0544F8" w14:textId="77777777" w:rsidR="00D35965" w:rsidRPr="00D35965" w:rsidRDefault="00D35965" w:rsidP="00D35965">
            <w:pPr>
              <w:spacing w:before="0" w:line="240" w:lineRule="auto"/>
            </w:pPr>
            <w:r w:rsidRPr="00D35965">
              <w:rPr>
                <w:rFonts w:cs="Open Sans Light"/>
                <w:color w:val="000000"/>
                <w:szCs w:val="20"/>
              </w:rPr>
              <w:t>APC</w:t>
            </w:r>
          </w:p>
        </w:tc>
        <w:tc>
          <w:tcPr>
            <w:tcW w:w="7204" w:type="dxa"/>
            <w:tcBorders>
              <w:top w:val="single" w:sz="4" w:space="0" w:color="ADD6EA"/>
              <w:left w:val="nil"/>
              <w:bottom w:val="single" w:sz="4" w:space="0" w:color="ADD6EA"/>
              <w:right w:val="nil"/>
            </w:tcBorders>
            <w:vAlign w:val="center"/>
            <w:hideMark/>
          </w:tcPr>
          <w:p w14:paraId="6733BF80" w14:textId="77777777" w:rsidR="00D35965" w:rsidRPr="00D35965" w:rsidRDefault="00D35965" w:rsidP="00D35965">
            <w:pPr>
              <w:spacing w:before="0" w:line="240" w:lineRule="auto"/>
            </w:pPr>
            <w:r w:rsidRPr="00D35965">
              <w:rPr>
                <w:rFonts w:cs="Open Sans Light"/>
                <w:color w:val="000000"/>
                <w:szCs w:val="20"/>
              </w:rPr>
              <w:t>Actual per capita</w:t>
            </w:r>
          </w:p>
        </w:tc>
      </w:tr>
      <w:tr w:rsidR="00D35965" w:rsidRPr="00D35965" w14:paraId="2B639A2A"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7454317B" w14:textId="77777777" w:rsidR="00D35965" w:rsidRPr="00D35965" w:rsidRDefault="00D35965" w:rsidP="00D35965">
            <w:pPr>
              <w:spacing w:before="0" w:line="240" w:lineRule="auto"/>
            </w:pPr>
            <w:r w:rsidRPr="00D35965">
              <w:rPr>
                <w:rFonts w:cs="Open Sans Light"/>
                <w:color w:val="000000"/>
                <w:szCs w:val="20"/>
              </w:rPr>
              <w:t>APRA</w:t>
            </w:r>
          </w:p>
        </w:tc>
        <w:tc>
          <w:tcPr>
            <w:tcW w:w="7204" w:type="dxa"/>
            <w:tcBorders>
              <w:top w:val="single" w:sz="4" w:space="0" w:color="ADD6EA"/>
              <w:left w:val="nil"/>
              <w:bottom w:val="single" w:sz="4" w:space="0" w:color="ADD6EA"/>
              <w:right w:val="nil"/>
            </w:tcBorders>
            <w:vAlign w:val="center"/>
            <w:hideMark/>
          </w:tcPr>
          <w:p w14:paraId="5CFB2FBF" w14:textId="77777777" w:rsidR="00D35965" w:rsidRPr="00D35965" w:rsidRDefault="00D35965" w:rsidP="00D35965">
            <w:pPr>
              <w:spacing w:before="0" w:line="240" w:lineRule="auto"/>
            </w:pPr>
            <w:r w:rsidRPr="00D35965">
              <w:rPr>
                <w:rFonts w:cs="Open Sans Light"/>
                <w:color w:val="000000"/>
                <w:szCs w:val="20"/>
              </w:rPr>
              <w:t>Australian Prudential Regulation Authority</w:t>
            </w:r>
          </w:p>
        </w:tc>
      </w:tr>
      <w:tr w:rsidR="00D35965" w:rsidRPr="00D35965" w14:paraId="25EC8E73"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271E06B0" w14:textId="77777777" w:rsidR="00D35965" w:rsidRPr="00D35965" w:rsidRDefault="00D35965" w:rsidP="00D35965">
            <w:pPr>
              <w:spacing w:before="0" w:line="240" w:lineRule="auto"/>
            </w:pPr>
            <w:r w:rsidRPr="00D35965">
              <w:rPr>
                <w:rFonts w:cs="Open Sans Light"/>
                <w:color w:val="000000"/>
                <w:szCs w:val="20"/>
              </w:rPr>
              <w:t>APS</w:t>
            </w:r>
          </w:p>
        </w:tc>
        <w:tc>
          <w:tcPr>
            <w:tcW w:w="7204" w:type="dxa"/>
            <w:tcBorders>
              <w:top w:val="single" w:sz="4" w:space="0" w:color="ADD6EA"/>
              <w:left w:val="nil"/>
              <w:bottom w:val="single" w:sz="4" w:space="0" w:color="ADD6EA"/>
              <w:right w:val="nil"/>
            </w:tcBorders>
            <w:vAlign w:val="center"/>
            <w:hideMark/>
          </w:tcPr>
          <w:p w14:paraId="45F36814" w14:textId="77777777" w:rsidR="00D35965" w:rsidRPr="00D35965" w:rsidRDefault="00D35965" w:rsidP="00D35965">
            <w:pPr>
              <w:spacing w:before="0" w:line="240" w:lineRule="auto"/>
            </w:pPr>
            <w:r w:rsidRPr="00D35965">
              <w:rPr>
                <w:rFonts w:cs="Open Sans Light"/>
                <w:color w:val="000000"/>
                <w:szCs w:val="20"/>
              </w:rPr>
              <w:t>Australian Public Service</w:t>
            </w:r>
          </w:p>
        </w:tc>
      </w:tr>
      <w:tr w:rsidR="00D35965" w:rsidRPr="00D35965" w14:paraId="49B076A3"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7F219AAE" w14:textId="77777777" w:rsidR="00D35965" w:rsidRPr="00D35965" w:rsidRDefault="00D35965" w:rsidP="00D35965">
            <w:pPr>
              <w:spacing w:before="0" w:line="240" w:lineRule="auto"/>
            </w:pPr>
            <w:r w:rsidRPr="00D35965">
              <w:rPr>
                <w:rFonts w:cs="Open Sans Light"/>
                <w:color w:val="000000"/>
                <w:szCs w:val="20"/>
              </w:rPr>
              <w:t>ARIA</w:t>
            </w:r>
          </w:p>
        </w:tc>
        <w:tc>
          <w:tcPr>
            <w:tcW w:w="7204" w:type="dxa"/>
            <w:tcBorders>
              <w:top w:val="single" w:sz="4" w:space="0" w:color="ADD6EA"/>
              <w:left w:val="nil"/>
              <w:bottom w:val="single" w:sz="4" w:space="0" w:color="ADD6EA"/>
              <w:right w:val="nil"/>
            </w:tcBorders>
            <w:vAlign w:val="center"/>
            <w:hideMark/>
          </w:tcPr>
          <w:p w14:paraId="4737FB4C" w14:textId="77777777" w:rsidR="00D35965" w:rsidRPr="00D35965" w:rsidRDefault="00D35965" w:rsidP="00D35965">
            <w:pPr>
              <w:spacing w:before="0" w:line="240" w:lineRule="auto"/>
            </w:pPr>
            <w:r w:rsidRPr="00D35965">
              <w:rPr>
                <w:rFonts w:cs="Open Sans Light"/>
                <w:color w:val="000000"/>
                <w:szCs w:val="20"/>
              </w:rPr>
              <w:t>Accessibility/Remoteness Index of Australia</w:t>
            </w:r>
          </w:p>
        </w:tc>
      </w:tr>
      <w:tr w:rsidR="00D35965" w:rsidRPr="00D35965" w14:paraId="22ACCD6D"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11C437DD" w14:textId="77777777" w:rsidR="00D35965" w:rsidRPr="00D35965" w:rsidRDefault="00D35965" w:rsidP="00D35965">
            <w:pPr>
              <w:spacing w:before="0" w:line="240" w:lineRule="auto"/>
            </w:pPr>
            <w:r w:rsidRPr="00D35965">
              <w:rPr>
                <w:rFonts w:cs="Open Sans Light"/>
                <w:color w:val="000000"/>
                <w:szCs w:val="20"/>
              </w:rPr>
              <w:t>ASGS</w:t>
            </w:r>
          </w:p>
        </w:tc>
        <w:tc>
          <w:tcPr>
            <w:tcW w:w="7204" w:type="dxa"/>
            <w:tcBorders>
              <w:top w:val="single" w:sz="4" w:space="0" w:color="ADD6EA"/>
              <w:left w:val="nil"/>
              <w:bottom w:val="single" w:sz="4" w:space="0" w:color="ADD6EA"/>
              <w:right w:val="nil"/>
            </w:tcBorders>
            <w:vAlign w:val="center"/>
            <w:hideMark/>
          </w:tcPr>
          <w:p w14:paraId="2F9FDB4C" w14:textId="77777777" w:rsidR="00D35965" w:rsidRPr="00D35965" w:rsidRDefault="00D35965" w:rsidP="00D35965">
            <w:pPr>
              <w:spacing w:before="0" w:line="240" w:lineRule="auto"/>
            </w:pPr>
            <w:r w:rsidRPr="00D35965">
              <w:rPr>
                <w:rFonts w:cs="Open Sans Light"/>
                <w:color w:val="000000"/>
                <w:szCs w:val="20"/>
              </w:rPr>
              <w:t>Australian Statistical Geography Standard</w:t>
            </w:r>
          </w:p>
        </w:tc>
      </w:tr>
      <w:tr w:rsidR="00D35965" w:rsidRPr="00D35965" w14:paraId="14F0247C" w14:textId="77777777" w:rsidTr="00D35965">
        <w:trPr>
          <w:trHeight w:val="318"/>
        </w:trPr>
        <w:tc>
          <w:tcPr>
            <w:tcW w:w="1803" w:type="dxa"/>
            <w:tcBorders>
              <w:top w:val="single" w:sz="4" w:space="0" w:color="ADD6EA"/>
              <w:left w:val="nil"/>
              <w:bottom w:val="single" w:sz="4" w:space="0" w:color="ADD6EA"/>
              <w:right w:val="nil"/>
            </w:tcBorders>
            <w:noWrap/>
            <w:vAlign w:val="center"/>
            <w:hideMark/>
          </w:tcPr>
          <w:p w14:paraId="5A5187C4" w14:textId="77777777" w:rsidR="00D35965" w:rsidRPr="00D35965" w:rsidRDefault="00D35965" w:rsidP="00D35965">
            <w:pPr>
              <w:spacing w:before="0" w:line="240" w:lineRule="auto"/>
            </w:pPr>
            <w:r w:rsidRPr="00D35965">
              <w:rPr>
                <w:rFonts w:cs="Open Sans Light"/>
                <w:color w:val="000000"/>
                <w:szCs w:val="20"/>
              </w:rPr>
              <w:t>ATS</w:t>
            </w:r>
          </w:p>
        </w:tc>
        <w:tc>
          <w:tcPr>
            <w:tcW w:w="7204" w:type="dxa"/>
            <w:tcBorders>
              <w:top w:val="single" w:sz="4" w:space="0" w:color="ADD6EA"/>
              <w:left w:val="nil"/>
              <w:bottom w:val="single" w:sz="4" w:space="0" w:color="ADD6EA"/>
              <w:right w:val="nil"/>
            </w:tcBorders>
            <w:noWrap/>
            <w:vAlign w:val="center"/>
            <w:hideMark/>
          </w:tcPr>
          <w:p w14:paraId="04D25AC0" w14:textId="77777777" w:rsidR="00D35965" w:rsidRPr="00D35965" w:rsidRDefault="00D35965" w:rsidP="00D35965">
            <w:pPr>
              <w:spacing w:before="0" w:line="240" w:lineRule="auto"/>
            </w:pPr>
            <w:r w:rsidRPr="00D35965">
              <w:rPr>
                <w:rFonts w:cs="Open Sans Light"/>
                <w:color w:val="000000"/>
                <w:szCs w:val="20"/>
              </w:rPr>
              <w:t>Australian Triage System</w:t>
            </w:r>
          </w:p>
        </w:tc>
      </w:tr>
      <w:tr w:rsidR="00D35965" w:rsidRPr="00D35965" w14:paraId="109D317D"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BB46D61" w14:textId="77777777" w:rsidR="00D35965" w:rsidRPr="00D35965" w:rsidRDefault="00D35965" w:rsidP="00D35965">
            <w:pPr>
              <w:spacing w:before="0" w:line="240" w:lineRule="auto"/>
            </w:pPr>
            <w:r w:rsidRPr="00D35965">
              <w:rPr>
                <w:rFonts w:cs="Open Sans Light"/>
                <w:color w:val="000000"/>
                <w:szCs w:val="20"/>
              </w:rPr>
              <w:t>AWE</w:t>
            </w:r>
          </w:p>
        </w:tc>
        <w:tc>
          <w:tcPr>
            <w:tcW w:w="7204" w:type="dxa"/>
            <w:tcBorders>
              <w:top w:val="single" w:sz="4" w:space="0" w:color="ADD6EA"/>
              <w:left w:val="nil"/>
              <w:bottom w:val="single" w:sz="4" w:space="0" w:color="ADD6EA"/>
              <w:right w:val="nil"/>
            </w:tcBorders>
            <w:vAlign w:val="center"/>
            <w:hideMark/>
          </w:tcPr>
          <w:p w14:paraId="33D51541" w14:textId="77777777" w:rsidR="00D35965" w:rsidRPr="00D35965" w:rsidRDefault="00D35965" w:rsidP="00D35965">
            <w:pPr>
              <w:spacing w:before="0" w:line="240" w:lineRule="auto"/>
            </w:pPr>
            <w:r w:rsidRPr="00D35965">
              <w:rPr>
                <w:rFonts w:cs="Open Sans Light"/>
                <w:color w:val="000000"/>
                <w:szCs w:val="20"/>
              </w:rPr>
              <w:t>Average weekly earnings</w:t>
            </w:r>
          </w:p>
        </w:tc>
      </w:tr>
      <w:tr w:rsidR="00D35965" w:rsidRPr="00D35965" w14:paraId="423CD302"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798037D6" w14:textId="77777777" w:rsidR="00D35965" w:rsidRPr="00D35965" w:rsidRDefault="00D35965" w:rsidP="00D35965">
            <w:pPr>
              <w:spacing w:before="0" w:line="240" w:lineRule="auto"/>
            </w:pPr>
            <w:r w:rsidRPr="00D35965">
              <w:rPr>
                <w:rFonts w:cs="Open Sans Light"/>
                <w:color w:val="000000"/>
                <w:szCs w:val="20"/>
              </w:rPr>
              <w:t>BF</w:t>
            </w:r>
          </w:p>
        </w:tc>
        <w:tc>
          <w:tcPr>
            <w:tcW w:w="7204" w:type="dxa"/>
            <w:tcBorders>
              <w:top w:val="single" w:sz="4" w:space="0" w:color="ADD6EA"/>
              <w:left w:val="nil"/>
              <w:bottom w:val="single" w:sz="4" w:space="0" w:color="ADD6EA"/>
              <w:right w:val="nil"/>
            </w:tcBorders>
            <w:vAlign w:val="center"/>
            <w:hideMark/>
          </w:tcPr>
          <w:p w14:paraId="46EB0C1F" w14:textId="77777777" w:rsidR="00D35965" w:rsidRPr="00D35965" w:rsidRDefault="00D35965" w:rsidP="00D35965">
            <w:pPr>
              <w:spacing w:before="0" w:line="240" w:lineRule="auto"/>
            </w:pPr>
            <w:r w:rsidRPr="00D35965">
              <w:rPr>
                <w:rFonts w:cs="Open Sans Light"/>
                <w:color w:val="000000"/>
                <w:szCs w:val="20"/>
              </w:rPr>
              <w:t>Block funded</w:t>
            </w:r>
          </w:p>
        </w:tc>
      </w:tr>
      <w:tr w:rsidR="00D35965" w:rsidRPr="00D35965" w14:paraId="16C5FD36"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3277D416" w14:textId="77777777" w:rsidR="00D35965" w:rsidRPr="00D35965" w:rsidRDefault="00D35965" w:rsidP="00D35965">
            <w:pPr>
              <w:spacing w:before="0" w:line="240" w:lineRule="auto"/>
            </w:pPr>
            <w:r w:rsidRPr="00D35965">
              <w:rPr>
                <w:rFonts w:cs="Open Sans Light"/>
                <w:color w:val="000000"/>
                <w:szCs w:val="20"/>
              </w:rPr>
              <w:t>BITRE</w:t>
            </w:r>
          </w:p>
        </w:tc>
        <w:tc>
          <w:tcPr>
            <w:tcW w:w="7204" w:type="dxa"/>
            <w:tcBorders>
              <w:top w:val="single" w:sz="4" w:space="0" w:color="ADD6EA"/>
              <w:left w:val="nil"/>
              <w:bottom w:val="single" w:sz="4" w:space="0" w:color="ADD6EA"/>
              <w:right w:val="nil"/>
            </w:tcBorders>
            <w:vAlign w:val="center"/>
            <w:hideMark/>
          </w:tcPr>
          <w:p w14:paraId="3A101A19" w14:textId="77777777" w:rsidR="00D35965" w:rsidRPr="00D35965" w:rsidRDefault="00D35965" w:rsidP="00D35965">
            <w:pPr>
              <w:spacing w:before="0" w:line="240" w:lineRule="auto"/>
            </w:pPr>
            <w:r w:rsidRPr="00D35965">
              <w:rPr>
                <w:rFonts w:cs="Open Sans Light"/>
                <w:color w:val="000000"/>
                <w:szCs w:val="20"/>
              </w:rPr>
              <w:t xml:space="preserve">Bureau of Infrastructure, Transport and Regional Economics </w:t>
            </w:r>
          </w:p>
        </w:tc>
      </w:tr>
      <w:tr w:rsidR="00D35965" w:rsidRPr="00D35965" w14:paraId="358A7D1B"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448FC913" w14:textId="77777777" w:rsidR="00D35965" w:rsidRPr="00D35965" w:rsidRDefault="00D35965" w:rsidP="00D35965">
            <w:pPr>
              <w:spacing w:before="0" w:line="240" w:lineRule="auto"/>
            </w:pPr>
            <w:r w:rsidRPr="00D35965">
              <w:rPr>
                <w:rFonts w:cs="Open Sans Light"/>
                <w:color w:val="000000"/>
                <w:szCs w:val="20"/>
              </w:rPr>
              <w:t>BLADE</w:t>
            </w:r>
          </w:p>
        </w:tc>
        <w:tc>
          <w:tcPr>
            <w:tcW w:w="7204" w:type="dxa"/>
            <w:tcBorders>
              <w:top w:val="single" w:sz="4" w:space="0" w:color="ADD6EA"/>
              <w:left w:val="nil"/>
              <w:bottom w:val="single" w:sz="4" w:space="0" w:color="ADD6EA"/>
              <w:right w:val="nil"/>
            </w:tcBorders>
            <w:vAlign w:val="center"/>
            <w:hideMark/>
          </w:tcPr>
          <w:p w14:paraId="5B21AA2E" w14:textId="77777777" w:rsidR="00D35965" w:rsidRPr="00D35965" w:rsidRDefault="00D35965" w:rsidP="00D35965">
            <w:pPr>
              <w:spacing w:before="0" w:line="240" w:lineRule="auto"/>
            </w:pPr>
            <w:r w:rsidRPr="00D35965">
              <w:rPr>
                <w:rFonts w:cs="Open Sans Light"/>
                <w:color w:val="000000"/>
                <w:szCs w:val="20"/>
              </w:rPr>
              <w:t>Business and Longitudinal Analysis Data Environment</w:t>
            </w:r>
          </w:p>
        </w:tc>
      </w:tr>
      <w:tr w:rsidR="00D35965" w:rsidRPr="00D35965" w14:paraId="0ED07D08"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1CEE38D9" w14:textId="77777777" w:rsidR="00D35965" w:rsidRPr="00D35965" w:rsidRDefault="00D35965" w:rsidP="00D35965">
            <w:pPr>
              <w:spacing w:before="0" w:line="240" w:lineRule="auto"/>
            </w:pPr>
            <w:r w:rsidRPr="00D35965">
              <w:rPr>
                <w:rFonts w:cs="Open Sans Light"/>
                <w:color w:val="000000"/>
                <w:szCs w:val="20"/>
              </w:rPr>
              <w:t>CAEPR</w:t>
            </w:r>
          </w:p>
        </w:tc>
        <w:tc>
          <w:tcPr>
            <w:tcW w:w="7204" w:type="dxa"/>
            <w:tcBorders>
              <w:top w:val="single" w:sz="4" w:space="0" w:color="ADD6EA"/>
              <w:left w:val="nil"/>
              <w:bottom w:val="single" w:sz="4" w:space="0" w:color="ADD6EA"/>
              <w:right w:val="nil"/>
            </w:tcBorders>
            <w:vAlign w:val="center"/>
            <w:hideMark/>
          </w:tcPr>
          <w:p w14:paraId="7A078D9B" w14:textId="77777777" w:rsidR="00D35965" w:rsidRPr="00D35965" w:rsidRDefault="00D35965" w:rsidP="00D35965">
            <w:pPr>
              <w:spacing w:before="0" w:line="240" w:lineRule="auto"/>
            </w:pPr>
            <w:r w:rsidRPr="00D35965">
              <w:rPr>
                <w:rFonts w:cs="Open Sans Light"/>
                <w:color w:val="000000"/>
                <w:szCs w:val="20"/>
              </w:rPr>
              <w:t>Centre for Aboriginal Economic Policy Research</w:t>
            </w:r>
          </w:p>
        </w:tc>
      </w:tr>
      <w:tr w:rsidR="00D35965" w:rsidRPr="00D35965" w14:paraId="52DF72D7"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F5949FC" w14:textId="77777777" w:rsidR="00D35965" w:rsidRPr="00D35965" w:rsidRDefault="00D35965" w:rsidP="00D35965">
            <w:pPr>
              <w:spacing w:before="0" w:line="240" w:lineRule="auto"/>
            </w:pPr>
            <w:r w:rsidRPr="00D35965">
              <w:rPr>
                <w:rFonts w:cs="Open Sans Light"/>
                <w:color w:val="000000"/>
                <w:szCs w:val="20"/>
              </w:rPr>
              <w:t>CALD</w:t>
            </w:r>
          </w:p>
        </w:tc>
        <w:tc>
          <w:tcPr>
            <w:tcW w:w="7204" w:type="dxa"/>
            <w:tcBorders>
              <w:top w:val="single" w:sz="4" w:space="0" w:color="ADD6EA"/>
              <w:left w:val="nil"/>
              <w:bottom w:val="single" w:sz="4" w:space="0" w:color="ADD6EA"/>
              <w:right w:val="nil"/>
            </w:tcBorders>
            <w:vAlign w:val="center"/>
            <w:hideMark/>
          </w:tcPr>
          <w:p w14:paraId="4F783D96" w14:textId="77777777" w:rsidR="00D35965" w:rsidRPr="00D35965" w:rsidRDefault="00D35965" w:rsidP="00D35965">
            <w:pPr>
              <w:spacing w:before="0" w:line="240" w:lineRule="auto"/>
            </w:pPr>
            <w:r w:rsidRPr="00D35965">
              <w:rPr>
                <w:rFonts w:cs="Open Sans Light"/>
                <w:color w:val="000000"/>
                <w:szCs w:val="20"/>
              </w:rPr>
              <w:t>Cultural and linguistic diversity</w:t>
            </w:r>
          </w:p>
        </w:tc>
      </w:tr>
      <w:tr w:rsidR="00D35965" w:rsidRPr="00D35965" w14:paraId="09C839E0"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14589A8" w14:textId="77777777" w:rsidR="00D35965" w:rsidRPr="00D35965" w:rsidRDefault="00D35965" w:rsidP="00D35965">
            <w:pPr>
              <w:spacing w:before="0" w:line="240" w:lineRule="auto"/>
            </w:pPr>
            <w:r w:rsidRPr="00D35965">
              <w:rPr>
                <w:rFonts w:cs="Open Sans Light"/>
                <w:color w:val="000000"/>
                <w:szCs w:val="20"/>
              </w:rPr>
              <w:t>CBD</w:t>
            </w:r>
          </w:p>
        </w:tc>
        <w:tc>
          <w:tcPr>
            <w:tcW w:w="7204" w:type="dxa"/>
            <w:tcBorders>
              <w:top w:val="single" w:sz="4" w:space="0" w:color="ADD6EA"/>
              <w:left w:val="nil"/>
              <w:bottom w:val="single" w:sz="4" w:space="0" w:color="ADD6EA"/>
              <w:right w:val="nil"/>
            </w:tcBorders>
            <w:vAlign w:val="center"/>
            <w:hideMark/>
          </w:tcPr>
          <w:p w14:paraId="43BECCEB" w14:textId="77777777" w:rsidR="00D35965" w:rsidRPr="00D35965" w:rsidRDefault="00D35965" w:rsidP="00D35965">
            <w:pPr>
              <w:spacing w:before="0" w:line="240" w:lineRule="auto"/>
            </w:pPr>
            <w:r w:rsidRPr="00D35965">
              <w:rPr>
                <w:rFonts w:cs="Open Sans Light"/>
                <w:color w:val="000000"/>
                <w:szCs w:val="20"/>
              </w:rPr>
              <w:t>Central Business District</w:t>
            </w:r>
          </w:p>
        </w:tc>
      </w:tr>
      <w:tr w:rsidR="00D35965" w:rsidRPr="00D35965" w14:paraId="634B3FEC"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1610C6E" w14:textId="77777777" w:rsidR="00D35965" w:rsidRPr="00D35965" w:rsidRDefault="00D35965" w:rsidP="00D35965">
            <w:pPr>
              <w:spacing w:before="0" w:line="240" w:lineRule="auto"/>
            </w:pPr>
            <w:r w:rsidRPr="00D35965">
              <w:rPr>
                <w:rFonts w:cs="Open Sans Light"/>
                <w:color w:val="000000"/>
                <w:szCs w:val="20"/>
              </w:rPr>
              <w:t>CH</w:t>
            </w:r>
          </w:p>
        </w:tc>
        <w:tc>
          <w:tcPr>
            <w:tcW w:w="7204" w:type="dxa"/>
            <w:tcBorders>
              <w:top w:val="single" w:sz="4" w:space="0" w:color="ADD6EA"/>
              <w:left w:val="nil"/>
              <w:bottom w:val="single" w:sz="4" w:space="0" w:color="ADD6EA"/>
              <w:right w:val="nil"/>
            </w:tcBorders>
            <w:vAlign w:val="center"/>
            <w:hideMark/>
          </w:tcPr>
          <w:p w14:paraId="6326D1CB" w14:textId="77777777" w:rsidR="00D35965" w:rsidRPr="00D35965" w:rsidRDefault="00D35965" w:rsidP="00D35965">
            <w:pPr>
              <w:spacing w:before="0" w:line="240" w:lineRule="auto"/>
            </w:pPr>
            <w:r w:rsidRPr="00D35965">
              <w:rPr>
                <w:rFonts w:cs="Open Sans Light"/>
                <w:color w:val="000000"/>
                <w:szCs w:val="20"/>
              </w:rPr>
              <w:t>Community and public health</w:t>
            </w:r>
          </w:p>
        </w:tc>
      </w:tr>
      <w:tr w:rsidR="00D35965" w:rsidRPr="00D35965" w14:paraId="0ADC2CA0"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8E01F25" w14:textId="77777777" w:rsidR="00D35965" w:rsidRPr="00D35965" w:rsidRDefault="00D35965" w:rsidP="00D35965">
            <w:pPr>
              <w:spacing w:before="0" w:line="240" w:lineRule="auto"/>
            </w:pPr>
            <w:r w:rsidRPr="00D35965">
              <w:rPr>
                <w:rFonts w:cs="Open Sans Light"/>
                <w:color w:val="000000"/>
                <w:szCs w:val="20"/>
              </w:rPr>
              <w:t>CoE</w:t>
            </w:r>
          </w:p>
        </w:tc>
        <w:tc>
          <w:tcPr>
            <w:tcW w:w="7204" w:type="dxa"/>
            <w:tcBorders>
              <w:top w:val="single" w:sz="4" w:space="0" w:color="ADD6EA"/>
              <w:left w:val="nil"/>
              <w:bottom w:val="single" w:sz="4" w:space="0" w:color="ADD6EA"/>
              <w:right w:val="nil"/>
            </w:tcBorders>
            <w:vAlign w:val="center"/>
            <w:hideMark/>
          </w:tcPr>
          <w:p w14:paraId="2917A330" w14:textId="77777777" w:rsidR="00D35965" w:rsidRPr="00D35965" w:rsidRDefault="00D35965" w:rsidP="00D35965">
            <w:pPr>
              <w:spacing w:before="0" w:line="240" w:lineRule="auto"/>
            </w:pPr>
            <w:r w:rsidRPr="00D35965">
              <w:rPr>
                <w:rFonts w:cs="Open Sans Light"/>
                <w:color w:val="000000"/>
                <w:szCs w:val="20"/>
              </w:rPr>
              <w:t>Compensation of Employees</w:t>
            </w:r>
          </w:p>
        </w:tc>
      </w:tr>
      <w:tr w:rsidR="00D35965" w:rsidRPr="00D35965" w14:paraId="5BA07463"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3BA8B4D7" w14:textId="77777777" w:rsidR="00D35965" w:rsidRPr="00D35965" w:rsidRDefault="00D35965" w:rsidP="00D35965">
            <w:pPr>
              <w:spacing w:before="0" w:line="240" w:lineRule="auto"/>
            </w:pPr>
            <w:r w:rsidRPr="00D35965">
              <w:rPr>
                <w:rFonts w:cs="Open Sans Light"/>
                <w:color w:val="000000"/>
                <w:szCs w:val="20"/>
              </w:rPr>
              <w:t>CoES</w:t>
            </w:r>
          </w:p>
        </w:tc>
        <w:tc>
          <w:tcPr>
            <w:tcW w:w="7204" w:type="dxa"/>
            <w:tcBorders>
              <w:top w:val="single" w:sz="4" w:space="0" w:color="ADD6EA"/>
              <w:left w:val="nil"/>
              <w:bottom w:val="single" w:sz="4" w:space="0" w:color="ADD6EA"/>
              <w:right w:val="nil"/>
            </w:tcBorders>
            <w:vAlign w:val="center"/>
            <w:hideMark/>
          </w:tcPr>
          <w:p w14:paraId="522E7738" w14:textId="77777777" w:rsidR="00D35965" w:rsidRPr="00D35965" w:rsidRDefault="00D35965" w:rsidP="00D35965">
            <w:pPr>
              <w:spacing w:before="0" w:line="240" w:lineRule="auto"/>
            </w:pPr>
            <w:r w:rsidRPr="00D35965">
              <w:rPr>
                <w:rFonts w:cs="Open Sans Light"/>
                <w:color w:val="000000"/>
                <w:szCs w:val="20"/>
              </w:rPr>
              <w:t>Characteristics of Employment Survey</w:t>
            </w:r>
          </w:p>
        </w:tc>
      </w:tr>
      <w:tr w:rsidR="00D35965" w:rsidRPr="00D35965" w14:paraId="41A5448B"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359DDA06" w14:textId="77777777" w:rsidR="00D35965" w:rsidRPr="00D35965" w:rsidRDefault="00D35965" w:rsidP="00D35965">
            <w:pPr>
              <w:spacing w:before="0" w:line="240" w:lineRule="auto"/>
            </w:pPr>
            <w:r w:rsidRPr="00D35965">
              <w:rPr>
                <w:rFonts w:cs="Open Sans Light"/>
                <w:color w:val="000000"/>
                <w:szCs w:val="20"/>
              </w:rPr>
              <w:t>COFOG-A</w:t>
            </w:r>
          </w:p>
        </w:tc>
        <w:tc>
          <w:tcPr>
            <w:tcW w:w="7204" w:type="dxa"/>
            <w:tcBorders>
              <w:top w:val="single" w:sz="4" w:space="0" w:color="ADD6EA"/>
              <w:left w:val="nil"/>
              <w:bottom w:val="single" w:sz="4" w:space="0" w:color="ADD6EA"/>
              <w:right w:val="nil"/>
            </w:tcBorders>
            <w:vAlign w:val="center"/>
            <w:hideMark/>
          </w:tcPr>
          <w:p w14:paraId="03C1ECC7" w14:textId="77777777" w:rsidR="00D35965" w:rsidRPr="00D35965" w:rsidRDefault="00D35965" w:rsidP="00D35965">
            <w:pPr>
              <w:spacing w:before="0" w:line="240" w:lineRule="auto"/>
            </w:pPr>
            <w:r w:rsidRPr="00D35965">
              <w:rPr>
                <w:rFonts w:cs="Open Sans Light"/>
                <w:color w:val="000000"/>
                <w:szCs w:val="20"/>
              </w:rPr>
              <w:t>Classification of the functions of government — Australia</w:t>
            </w:r>
          </w:p>
        </w:tc>
      </w:tr>
      <w:tr w:rsidR="00D35965" w:rsidRPr="00D35965" w14:paraId="2530041A"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7C434F73" w14:textId="77777777" w:rsidR="00D35965" w:rsidRPr="00D35965" w:rsidRDefault="00D35965" w:rsidP="00D35965">
            <w:pPr>
              <w:spacing w:before="0" w:line="240" w:lineRule="auto"/>
            </w:pPr>
            <w:r w:rsidRPr="00D35965">
              <w:rPr>
                <w:rFonts w:cs="Open Sans Light"/>
                <w:color w:val="000000"/>
                <w:szCs w:val="20"/>
              </w:rPr>
              <w:t>COPEs</w:t>
            </w:r>
          </w:p>
        </w:tc>
        <w:tc>
          <w:tcPr>
            <w:tcW w:w="7204" w:type="dxa"/>
            <w:tcBorders>
              <w:top w:val="single" w:sz="4" w:space="0" w:color="ADD6EA"/>
              <w:left w:val="nil"/>
              <w:bottom w:val="single" w:sz="4" w:space="0" w:color="ADD6EA"/>
              <w:right w:val="nil"/>
            </w:tcBorders>
            <w:vAlign w:val="center"/>
            <w:hideMark/>
          </w:tcPr>
          <w:p w14:paraId="3D4BEF81" w14:textId="77777777" w:rsidR="00D35965" w:rsidRPr="00D35965" w:rsidRDefault="00D35965" w:rsidP="00D35965">
            <w:pPr>
              <w:spacing w:before="0" w:line="240" w:lineRule="auto"/>
            </w:pPr>
            <w:r w:rsidRPr="00D35965">
              <w:rPr>
                <w:rFonts w:cs="Open Sans Light"/>
                <w:color w:val="000000"/>
                <w:szCs w:val="20"/>
              </w:rPr>
              <w:t>Commonwealth Own Purpose Expenses</w:t>
            </w:r>
          </w:p>
        </w:tc>
      </w:tr>
      <w:tr w:rsidR="00D35965" w:rsidRPr="00D35965" w14:paraId="5257EA9A"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3E1A23ED" w14:textId="77777777" w:rsidR="00D35965" w:rsidRPr="00D35965" w:rsidRDefault="00D35965" w:rsidP="00D35965">
            <w:pPr>
              <w:spacing w:before="0" w:line="240" w:lineRule="auto"/>
            </w:pPr>
            <w:r w:rsidRPr="00D35965">
              <w:rPr>
                <w:rFonts w:cs="Open Sans Light"/>
                <w:color w:val="000000"/>
                <w:szCs w:val="20"/>
              </w:rPr>
              <w:t>CSS</w:t>
            </w:r>
          </w:p>
        </w:tc>
        <w:tc>
          <w:tcPr>
            <w:tcW w:w="7204" w:type="dxa"/>
            <w:tcBorders>
              <w:top w:val="single" w:sz="4" w:space="0" w:color="ADD6EA"/>
              <w:left w:val="nil"/>
              <w:bottom w:val="single" w:sz="4" w:space="0" w:color="ADD6EA"/>
              <w:right w:val="nil"/>
            </w:tcBorders>
            <w:vAlign w:val="center"/>
            <w:hideMark/>
          </w:tcPr>
          <w:p w14:paraId="0BE103B5" w14:textId="77777777" w:rsidR="00D35965" w:rsidRPr="00D35965" w:rsidRDefault="00D35965" w:rsidP="00D35965">
            <w:pPr>
              <w:spacing w:before="0" w:line="240" w:lineRule="auto"/>
            </w:pPr>
            <w:r w:rsidRPr="00D35965">
              <w:rPr>
                <w:rFonts w:cs="Open Sans Light"/>
                <w:color w:val="000000"/>
                <w:szCs w:val="20"/>
              </w:rPr>
              <w:t>Commonwealth Superannuation Scheme</w:t>
            </w:r>
          </w:p>
        </w:tc>
      </w:tr>
      <w:tr w:rsidR="00D35965" w:rsidRPr="00D35965" w14:paraId="040177C5"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11D00A76" w14:textId="77777777" w:rsidR="00D35965" w:rsidRPr="00D35965" w:rsidRDefault="00D35965" w:rsidP="00D35965">
            <w:pPr>
              <w:spacing w:before="0" w:line="240" w:lineRule="auto"/>
            </w:pPr>
            <w:r w:rsidRPr="00D35965">
              <w:rPr>
                <w:rFonts w:cs="Open Sans Light"/>
                <w:color w:val="000000"/>
                <w:szCs w:val="20"/>
              </w:rPr>
              <w:t>CTP</w:t>
            </w:r>
          </w:p>
        </w:tc>
        <w:tc>
          <w:tcPr>
            <w:tcW w:w="7204" w:type="dxa"/>
            <w:tcBorders>
              <w:top w:val="single" w:sz="4" w:space="0" w:color="ADD6EA"/>
              <w:left w:val="nil"/>
              <w:bottom w:val="single" w:sz="4" w:space="0" w:color="ADD6EA"/>
              <w:right w:val="nil"/>
            </w:tcBorders>
            <w:vAlign w:val="center"/>
            <w:hideMark/>
          </w:tcPr>
          <w:p w14:paraId="752E15A6" w14:textId="77777777" w:rsidR="00D35965" w:rsidRPr="00D35965" w:rsidRDefault="00D35965" w:rsidP="00D35965">
            <w:pPr>
              <w:spacing w:before="0" w:line="240" w:lineRule="auto"/>
            </w:pPr>
            <w:r w:rsidRPr="00D35965">
              <w:rPr>
                <w:rFonts w:cs="Open Sans Light"/>
                <w:color w:val="000000"/>
                <w:szCs w:val="20"/>
              </w:rPr>
              <w:t>Compulsory Third Party</w:t>
            </w:r>
          </w:p>
        </w:tc>
      </w:tr>
      <w:tr w:rsidR="00D35965" w:rsidRPr="00D35965" w14:paraId="2F0E02AC"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475C7AC9" w14:textId="77777777" w:rsidR="00D35965" w:rsidRPr="00D35965" w:rsidRDefault="00D35965" w:rsidP="00D35965">
            <w:pPr>
              <w:spacing w:before="0" w:line="240" w:lineRule="auto"/>
            </w:pPr>
            <w:r w:rsidRPr="00D35965">
              <w:rPr>
                <w:rFonts w:cs="Open Sans Light"/>
                <w:color w:val="000000"/>
                <w:szCs w:val="20"/>
              </w:rPr>
              <w:t>CTWSSP</w:t>
            </w:r>
          </w:p>
        </w:tc>
        <w:tc>
          <w:tcPr>
            <w:tcW w:w="7204" w:type="dxa"/>
            <w:tcBorders>
              <w:top w:val="single" w:sz="4" w:space="0" w:color="ADD6EA"/>
              <w:left w:val="nil"/>
              <w:bottom w:val="single" w:sz="4" w:space="0" w:color="ADD6EA"/>
              <w:right w:val="nil"/>
            </w:tcBorders>
            <w:vAlign w:val="center"/>
            <w:hideMark/>
          </w:tcPr>
          <w:p w14:paraId="41DF5007" w14:textId="77777777" w:rsidR="00D35965" w:rsidRPr="00D35965" w:rsidRDefault="00D35965" w:rsidP="00D35965">
            <w:pPr>
              <w:spacing w:before="0" w:line="240" w:lineRule="auto"/>
            </w:pPr>
            <w:r w:rsidRPr="00D35965">
              <w:rPr>
                <w:rFonts w:cs="Open Sans Light"/>
                <w:color w:val="000000"/>
                <w:szCs w:val="20"/>
              </w:rPr>
              <w:t>Country Towns Water Supply and Sewerage Program</w:t>
            </w:r>
          </w:p>
        </w:tc>
      </w:tr>
      <w:tr w:rsidR="00D35965" w:rsidRPr="00D35965" w14:paraId="7198FCC4"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47894A10" w14:textId="77777777" w:rsidR="00D35965" w:rsidRPr="00D35965" w:rsidRDefault="00D35965" w:rsidP="00D35965">
            <w:pPr>
              <w:spacing w:before="0" w:line="240" w:lineRule="auto"/>
            </w:pPr>
            <w:r w:rsidRPr="00D35965">
              <w:rPr>
                <w:rFonts w:cs="Open Sans Light"/>
                <w:color w:val="000000"/>
                <w:szCs w:val="20"/>
              </w:rPr>
              <w:t>DCM</w:t>
            </w:r>
          </w:p>
        </w:tc>
        <w:tc>
          <w:tcPr>
            <w:tcW w:w="7204" w:type="dxa"/>
            <w:tcBorders>
              <w:top w:val="single" w:sz="4" w:space="0" w:color="ADD6EA"/>
              <w:left w:val="nil"/>
              <w:bottom w:val="single" w:sz="4" w:space="0" w:color="ADD6EA"/>
              <w:right w:val="nil"/>
            </w:tcBorders>
            <w:vAlign w:val="center"/>
            <w:hideMark/>
          </w:tcPr>
          <w:p w14:paraId="78EB2FE2" w14:textId="77777777" w:rsidR="00D35965" w:rsidRPr="00D35965" w:rsidRDefault="00D35965" w:rsidP="00D35965">
            <w:pPr>
              <w:spacing w:before="0" w:line="240" w:lineRule="auto"/>
            </w:pPr>
            <w:r w:rsidRPr="00D35965">
              <w:rPr>
                <w:rFonts w:cs="Open Sans Light"/>
                <w:color w:val="000000"/>
                <w:szCs w:val="20"/>
              </w:rPr>
              <w:t>Department of the Chief Minister</w:t>
            </w:r>
          </w:p>
        </w:tc>
      </w:tr>
      <w:tr w:rsidR="00D35965" w:rsidRPr="00D35965" w14:paraId="0E97B105"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1525DB39" w14:textId="77777777" w:rsidR="00D35965" w:rsidRPr="00D35965" w:rsidRDefault="00D35965" w:rsidP="00D35965">
            <w:pPr>
              <w:spacing w:before="0" w:line="240" w:lineRule="auto"/>
            </w:pPr>
            <w:r w:rsidRPr="00D35965">
              <w:rPr>
                <w:rFonts w:cs="Open Sans Light"/>
                <w:color w:val="000000"/>
                <w:szCs w:val="20"/>
              </w:rPr>
              <w:t>DRFA</w:t>
            </w:r>
          </w:p>
        </w:tc>
        <w:tc>
          <w:tcPr>
            <w:tcW w:w="7204" w:type="dxa"/>
            <w:tcBorders>
              <w:top w:val="single" w:sz="4" w:space="0" w:color="ADD6EA"/>
              <w:left w:val="nil"/>
              <w:bottom w:val="single" w:sz="4" w:space="0" w:color="ADD6EA"/>
              <w:right w:val="nil"/>
            </w:tcBorders>
            <w:vAlign w:val="center"/>
            <w:hideMark/>
          </w:tcPr>
          <w:p w14:paraId="6857E276" w14:textId="77777777" w:rsidR="00D35965" w:rsidRPr="00D35965" w:rsidRDefault="00D35965" w:rsidP="00D35965">
            <w:pPr>
              <w:spacing w:before="0" w:line="240" w:lineRule="auto"/>
            </w:pPr>
            <w:r w:rsidRPr="00D35965">
              <w:rPr>
                <w:rFonts w:cs="Open Sans Light"/>
                <w:color w:val="000000"/>
                <w:szCs w:val="20"/>
              </w:rPr>
              <w:t>Disaster Recovery Funding Arrangements</w:t>
            </w:r>
          </w:p>
        </w:tc>
      </w:tr>
      <w:tr w:rsidR="00D35965" w:rsidRPr="00D35965" w14:paraId="235FA7DE"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C6ED2B9" w14:textId="77777777" w:rsidR="00D35965" w:rsidRPr="00D35965" w:rsidRDefault="00D35965" w:rsidP="00D35965">
            <w:pPr>
              <w:spacing w:before="0" w:line="240" w:lineRule="auto"/>
            </w:pPr>
            <w:r w:rsidRPr="00D35965">
              <w:rPr>
                <w:rFonts w:cs="Open Sans Light"/>
                <w:color w:val="000000"/>
                <w:szCs w:val="20"/>
              </w:rPr>
              <w:lastRenderedPageBreak/>
              <w:t>ED</w:t>
            </w:r>
          </w:p>
        </w:tc>
        <w:tc>
          <w:tcPr>
            <w:tcW w:w="7204" w:type="dxa"/>
            <w:tcBorders>
              <w:top w:val="single" w:sz="4" w:space="0" w:color="ADD6EA"/>
              <w:left w:val="nil"/>
              <w:bottom w:val="single" w:sz="4" w:space="0" w:color="ADD6EA"/>
              <w:right w:val="nil"/>
            </w:tcBorders>
            <w:vAlign w:val="center"/>
            <w:hideMark/>
          </w:tcPr>
          <w:p w14:paraId="7296EF1A" w14:textId="77777777" w:rsidR="00D35965" w:rsidRPr="00D35965" w:rsidRDefault="00D35965" w:rsidP="00D35965">
            <w:pPr>
              <w:spacing w:before="0" w:line="240" w:lineRule="auto"/>
            </w:pPr>
            <w:r w:rsidRPr="00D35965">
              <w:rPr>
                <w:rFonts w:cs="Open Sans Light"/>
                <w:color w:val="000000"/>
                <w:szCs w:val="20"/>
              </w:rPr>
              <w:t>Emergency Department</w:t>
            </w:r>
          </w:p>
        </w:tc>
      </w:tr>
      <w:tr w:rsidR="00D35965" w:rsidRPr="00D35965" w14:paraId="539FC350"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27B7A706" w14:textId="77777777" w:rsidR="00D35965" w:rsidRPr="00D35965" w:rsidRDefault="00D35965" w:rsidP="00D35965">
            <w:pPr>
              <w:spacing w:before="0" w:line="240" w:lineRule="auto"/>
            </w:pPr>
            <w:r w:rsidRPr="00D35965">
              <w:rPr>
                <w:rFonts w:cs="Open Sans Light"/>
                <w:color w:val="000000"/>
                <w:szCs w:val="20"/>
              </w:rPr>
              <w:t>EMA</w:t>
            </w:r>
          </w:p>
        </w:tc>
        <w:tc>
          <w:tcPr>
            <w:tcW w:w="7204" w:type="dxa"/>
            <w:tcBorders>
              <w:top w:val="single" w:sz="4" w:space="0" w:color="ADD6EA"/>
              <w:left w:val="nil"/>
              <w:bottom w:val="single" w:sz="4" w:space="0" w:color="ADD6EA"/>
              <w:right w:val="nil"/>
            </w:tcBorders>
            <w:vAlign w:val="center"/>
            <w:hideMark/>
          </w:tcPr>
          <w:p w14:paraId="4B8F4D92" w14:textId="77777777" w:rsidR="00D35965" w:rsidRPr="00D35965" w:rsidRDefault="00D35965" w:rsidP="00D35965">
            <w:pPr>
              <w:spacing w:before="0" w:line="240" w:lineRule="auto"/>
            </w:pPr>
            <w:r w:rsidRPr="00D35965">
              <w:rPr>
                <w:rFonts w:cs="Open Sans Light"/>
                <w:color w:val="000000"/>
                <w:szCs w:val="20"/>
              </w:rPr>
              <w:t>Emergency Management Australia</w:t>
            </w:r>
          </w:p>
        </w:tc>
      </w:tr>
      <w:tr w:rsidR="00D35965" w:rsidRPr="00D35965" w14:paraId="32AF10C4"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3314B5C5" w14:textId="77777777" w:rsidR="00D35965" w:rsidRPr="00D35965" w:rsidRDefault="00D35965" w:rsidP="00D35965">
            <w:pPr>
              <w:spacing w:before="0" w:line="240" w:lineRule="auto"/>
            </w:pPr>
            <w:r w:rsidRPr="00D35965">
              <w:rPr>
                <w:rFonts w:cs="Open Sans Light"/>
                <w:color w:val="000000"/>
                <w:szCs w:val="20"/>
              </w:rPr>
              <w:t>EPC</w:t>
            </w:r>
          </w:p>
        </w:tc>
        <w:tc>
          <w:tcPr>
            <w:tcW w:w="7204" w:type="dxa"/>
            <w:tcBorders>
              <w:top w:val="single" w:sz="4" w:space="0" w:color="ADD6EA"/>
              <w:left w:val="nil"/>
              <w:bottom w:val="single" w:sz="4" w:space="0" w:color="ADD6EA"/>
              <w:right w:val="nil"/>
            </w:tcBorders>
            <w:vAlign w:val="center"/>
            <w:hideMark/>
          </w:tcPr>
          <w:p w14:paraId="3C8E1B03" w14:textId="77777777" w:rsidR="00D35965" w:rsidRPr="00D35965" w:rsidRDefault="00D35965" w:rsidP="00D35965">
            <w:pPr>
              <w:spacing w:before="0" w:line="240" w:lineRule="auto"/>
            </w:pPr>
            <w:r w:rsidRPr="00D35965">
              <w:rPr>
                <w:rFonts w:cs="Open Sans Light"/>
                <w:color w:val="000000"/>
                <w:szCs w:val="20"/>
              </w:rPr>
              <w:t>Equal per capita</w:t>
            </w:r>
          </w:p>
        </w:tc>
      </w:tr>
      <w:tr w:rsidR="00D35965" w:rsidRPr="00D35965" w14:paraId="632A0909"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0122FE68" w14:textId="77777777" w:rsidR="00D35965" w:rsidRPr="00D35965" w:rsidRDefault="00D35965" w:rsidP="00D35965">
            <w:pPr>
              <w:spacing w:before="0" w:line="240" w:lineRule="auto"/>
            </w:pPr>
            <w:r w:rsidRPr="00D35965">
              <w:rPr>
                <w:rFonts w:cs="Open Sans Light"/>
                <w:color w:val="000000"/>
                <w:szCs w:val="20"/>
              </w:rPr>
              <w:t>ERP</w:t>
            </w:r>
          </w:p>
        </w:tc>
        <w:tc>
          <w:tcPr>
            <w:tcW w:w="7204" w:type="dxa"/>
            <w:tcBorders>
              <w:top w:val="single" w:sz="4" w:space="0" w:color="ADD6EA"/>
              <w:left w:val="nil"/>
              <w:bottom w:val="single" w:sz="4" w:space="0" w:color="ADD6EA"/>
              <w:right w:val="nil"/>
            </w:tcBorders>
            <w:vAlign w:val="center"/>
            <w:hideMark/>
          </w:tcPr>
          <w:p w14:paraId="36868F08" w14:textId="77777777" w:rsidR="00D35965" w:rsidRPr="00D35965" w:rsidRDefault="00D35965" w:rsidP="00D35965">
            <w:pPr>
              <w:spacing w:before="0" w:line="240" w:lineRule="auto"/>
            </w:pPr>
            <w:r w:rsidRPr="00D35965">
              <w:rPr>
                <w:rFonts w:cs="Open Sans Light"/>
                <w:color w:val="000000"/>
                <w:szCs w:val="20"/>
              </w:rPr>
              <w:t>Estimated Resident Population</w:t>
            </w:r>
          </w:p>
        </w:tc>
      </w:tr>
      <w:tr w:rsidR="00D35965" w:rsidRPr="00D35965" w14:paraId="554594BE"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EA98F7C" w14:textId="77777777" w:rsidR="00D35965" w:rsidRPr="00D35965" w:rsidRDefault="00D35965" w:rsidP="00D35965">
            <w:pPr>
              <w:spacing w:before="0" w:line="240" w:lineRule="auto"/>
            </w:pPr>
            <w:r w:rsidRPr="00D35965">
              <w:rPr>
                <w:rFonts w:cs="Open Sans Light"/>
                <w:color w:val="000000"/>
                <w:szCs w:val="20"/>
              </w:rPr>
              <w:t>ETF</w:t>
            </w:r>
          </w:p>
        </w:tc>
        <w:tc>
          <w:tcPr>
            <w:tcW w:w="7204" w:type="dxa"/>
            <w:tcBorders>
              <w:top w:val="single" w:sz="4" w:space="0" w:color="ADD6EA"/>
              <w:left w:val="nil"/>
              <w:bottom w:val="single" w:sz="4" w:space="0" w:color="ADD6EA"/>
              <w:right w:val="nil"/>
            </w:tcBorders>
            <w:vAlign w:val="center"/>
            <w:hideMark/>
          </w:tcPr>
          <w:p w14:paraId="29F2737F" w14:textId="77777777" w:rsidR="00D35965" w:rsidRPr="00D35965" w:rsidRDefault="00D35965" w:rsidP="00D35965">
            <w:pPr>
              <w:spacing w:before="0" w:line="240" w:lineRule="auto"/>
            </w:pPr>
            <w:r w:rsidRPr="00D35965">
              <w:rPr>
                <w:rFonts w:cs="Open Sans Light"/>
                <w:color w:val="000000"/>
                <w:szCs w:val="20"/>
              </w:rPr>
              <w:t>Economic type framework</w:t>
            </w:r>
          </w:p>
        </w:tc>
      </w:tr>
      <w:tr w:rsidR="00D35965" w:rsidRPr="00D35965" w14:paraId="701E41BC"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9683368" w14:textId="77777777" w:rsidR="00D35965" w:rsidRPr="00D35965" w:rsidRDefault="00D35965" w:rsidP="00D35965">
            <w:pPr>
              <w:spacing w:before="0" w:line="240" w:lineRule="auto"/>
            </w:pPr>
            <w:r w:rsidRPr="00D35965">
              <w:rPr>
                <w:rFonts w:cs="Open Sans Light"/>
                <w:color w:val="000000"/>
                <w:szCs w:val="20"/>
              </w:rPr>
              <w:t>FESLs</w:t>
            </w:r>
          </w:p>
        </w:tc>
        <w:tc>
          <w:tcPr>
            <w:tcW w:w="7204" w:type="dxa"/>
            <w:tcBorders>
              <w:top w:val="single" w:sz="4" w:space="0" w:color="ADD6EA"/>
              <w:left w:val="nil"/>
              <w:bottom w:val="single" w:sz="4" w:space="0" w:color="ADD6EA"/>
              <w:right w:val="nil"/>
            </w:tcBorders>
            <w:vAlign w:val="center"/>
            <w:hideMark/>
          </w:tcPr>
          <w:p w14:paraId="5D891CAF" w14:textId="77777777" w:rsidR="00D35965" w:rsidRPr="00D35965" w:rsidRDefault="00D35965" w:rsidP="00D35965">
            <w:pPr>
              <w:spacing w:before="0" w:line="240" w:lineRule="auto"/>
            </w:pPr>
            <w:r w:rsidRPr="00D35965">
              <w:rPr>
                <w:rFonts w:cs="Open Sans Light"/>
                <w:color w:val="000000"/>
                <w:szCs w:val="20"/>
              </w:rPr>
              <w:t>Fire and emergency services levies</w:t>
            </w:r>
          </w:p>
        </w:tc>
      </w:tr>
      <w:tr w:rsidR="00D35965" w:rsidRPr="00D35965" w14:paraId="4AEDDED4"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3CCB32B" w14:textId="77777777" w:rsidR="00D35965" w:rsidRPr="00D35965" w:rsidRDefault="00D35965" w:rsidP="00D35965">
            <w:pPr>
              <w:spacing w:before="0" w:line="240" w:lineRule="auto"/>
            </w:pPr>
            <w:r w:rsidRPr="00D35965">
              <w:rPr>
                <w:rFonts w:cs="Open Sans Light"/>
                <w:color w:val="000000"/>
                <w:szCs w:val="20"/>
              </w:rPr>
              <w:t>FHOG</w:t>
            </w:r>
          </w:p>
        </w:tc>
        <w:tc>
          <w:tcPr>
            <w:tcW w:w="7204" w:type="dxa"/>
            <w:tcBorders>
              <w:top w:val="single" w:sz="4" w:space="0" w:color="ADD6EA"/>
              <w:left w:val="nil"/>
              <w:bottom w:val="single" w:sz="4" w:space="0" w:color="ADD6EA"/>
              <w:right w:val="nil"/>
            </w:tcBorders>
            <w:vAlign w:val="center"/>
            <w:hideMark/>
          </w:tcPr>
          <w:p w14:paraId="6F026BC9" w14:textId="77777777" w:rsidR="00D35965" w:rsidRPr="00D35965" w:rsidRDefault="00D35965" w:rsidP="00D35965">
            <w:pPr>
              <w:spacing w:before="0" w:line="240" w:lineRule="auto"/>
            </w:pPr>
            <w:r w:rsidRPr="00D35965">
              <w:rPr>
                <w:rFonts w:cs="Open Sans Light"/>
                <w:color w:val="000000"/>
                <w:szCs w:val="20"/>
              </w:rPr>
              <w:t>First Home Owner Grant</w:t>
            </w:r>
          </w:p>
        </w:tc>
      </w:tr>
      <w:tr w:rsidR="00D35965" w:rsidRPr="00D35965" w14:paraId="0A8375C2"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228A3892" w14:textId="77777777" w:rsidR="00D35965" w:rsidRPr="00D35965" w:rsidRDefault="00D35965" w:rsidP="00D35965">
            <w:pPr>
              <w:spacing w:before="0" w:line="240" w:lineRule="auto"/>
            </w:pPr>
            <w:r w:rsidRPr="00D35965">
              <w:rPr>
                <w:rFonts w:cs="Open Sans Light"/>
                <w:color w:val="000000"/>
                <w:szCs w:val="20"/>
              </w:rPr>
              <w:t>FIFO</w:t>
            </w:r>
          </w:p>
        </w:tc>
        <w:tc>
          <w:tcPr>
            <w:tcW w:w="7204" w:type="dxa"/>
            <w:tcBorders>
              <w:top w:val="single" w:sz="4" w:space="0" w:color="ADD6EA"/>
              <w:left w:val="nil"/>
              <w:bottom w:val="single" w:sz="4" w:space="0" w:color="ADD6EA"/>
              <w:right w:val="nil"/>
            </w:tcBorders>
            <w:vAlign w:val="center"/>
            <w:hideMark/>
          </w:tcPr>
          <w:p w14:paraId="2BA8EC71" w14:textId="77777777" w:rsidR="00D35965" w:rsidRPr="00D35965" w:rsidRDefault="00D35965" w:rsidP="00D35965">
            <w:pPr>
              <w:spacing w:before="0" w:line="240" w:lineRule="auto"/>
            </w:pPr>
            <w:r w:rsidRPr="00D35965">
              <w:rPr>
                <w:rFonts w:cs="Open Sans Light"/>
                <w:color w:val="000000"/>
                <w:szCs w:val="20"/>
              </w:rPr>
              <w:t>Fly in/fly out</w:t>
            </w:r>
          </w:p>
        </w:tc>
      </w:tr>
      <w:tr w:rsidR="00D35965" w:rsidRPr="00D35965" w14:paraId="6845AB2B"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70494A9F" w14:textId="77777777" w:rsidR="00D35965" w:rsidRPr="00D35965" w:rsidRDefault="00D35965" w:rsidP="00D35965">
            <w:pPr>
              <w:spacing w:before="0" w:line="240" w:lineRule="auto"/>
            </w:pPr>
            <w:r w:rsidRPr="00D35965">
              <w:rPr>
                <w:rFonts w:cs="Open Sans Light"/>
                <w:color w:val="000000"/>
                <w:szCs w:val="20"/>
              </w:rPr>
              <w:t>FIRS</w:t>
            </w:r>
          </w:p>
        </w:tc>
        <w:tc>
          <w:tcPr>
            <w:tcW w:w="7204" w:type="dxa"/>
            <w:tcBorders>
              <w:top w:val="single" w:sz="4" w:space="0" w:color="ADD6EA"/>
              <w:left w:val="nil"/>
              <w:bottom w:val="single" w:sz="4" w:space="0" w:color="ADD6EA"/>
              <w:right w:val="nil"/>
            </w:tcBorders>
            <w:vAlign w:val="center"/>
            <w:hideMark/>
          </w:tcPr>
          <w:p w14:paraId="46C0A9FA" w14:textId="77777777" w:rsidR="00D35965" w:rsidRPr="00D35965" w:rsidRDefault="00D35965" w:rsidP="00D35965">
            <w:pPr>
              <w:spacing w:before="0" w:line="240" w:lineRule="auto"/>
            </w:pPr>
            <w:r w:rsidRPr="00D35965">
              <w:rPr>
                <w:rFonts w:cs="Open Sans Light"/>
                <w:color w:val="000000"/>
                <w:szCs w:val="20"/>
              </w:rPr>
              <w:t>Federal Interstate Registration Scheme</w:t>
            </w:r>
          </w:p>
        </w:tc>
      </w:tr>
      <w:tr w:rsidR="00D35965" w:rsidRPr="00D35965" w14:paraId="2E04F384"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3C4782C" w14:textId="77777777" w:rsidR="00D35965" w:rsidRPr="00D35965" w:rsidRDefault="00D35965" w:rsidP="00D35965">
            <w:pPr>
              <w:spacing w:before="0" w:line="240" w:lineRule="auto"/>
            </w:pPr>
            <w:r w:rsidRPr="00D35965">
              <w:rPr>
                <w:rFonts w:cs="Open Sans Light"/>
                <w:color w:val="000000"/>
                <w:szCs w:val="20"/>
              </w:rPr>
              <w:t>FME</w:t>
            </w:r>
          </w:p>
        </w:tc>
        <w:tc>
          <w:tcPr>
            <w:tcW w:w="7204" w:type="dxa"/>
            <w:tcBorders>
              <w:top w:val="single" w:sz="4" w:space="0" w:color="ADD6EA"/>
              <w:left w:val="nil"/>
              <w:bottom w:val="single" w:sz="4" w:space="0" w:color="ADD6EA"/>
              <w:right w:val="nil"/>
            </w:tcBorders>
            <w:vAlign w:val="center"/>
            <w:hideMark/>
          </w:tcPr>
          <w:p w14:paraId="33430AE0" w14:textId="77777777" w:rsidR="00D35965" w:rsidRPr="00D35965" w:rsidRDefault="00D35965" w:rsidP="00D35965">
            <w:pPr>
              <w:spacing w:before="0" w:line="240" w:lineRule="auto"/>
            </w:pPr>
            <w:r w:rsidRPr="00D35965">
              <w:rPr>
                <w:rFonts w:cs="Open Sans Light"/>
                <w:color w:val="000000"/>
                <w:szCs w:val="20"/>
              </w:rPr>
              <w:t>Feature Manipulation Engine</w:t>
            </w:r>
          </w:p>
        </w:tc>
      </w:tr>
      <w:tr w:rsidR="00D35965" w:rsidRPr="00D35965" w14:paraId="3BAF0020"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0EFED504" w14:textId="77777777" w:rsidR="00D35965" w:rsidRPr="00D35965" w:rsidRDefault="00D35965" w:rsidP="00D35965">
            <w:pPr>
              <w:spacing w:before="0" w:line="240" w:lineRule="auto"/>
            </w:pPr>
            <w:r w:rsidRPr="00D35965">
              <w:rPr>
                <w:rFonts w:cs="Open Sans Light"/>
                <w:color w:val="000000"/>
                <w:szCs w:val="20"/>
              </w:rPr>
              <w:t>FOB</w:t>
            </w:r>
          </w:p>
        </w:tc>
        <w:tc>
          <w:tcPr>
            <w:tcW w:w="7204" w:type="dxa"/>
            <w:tcBorders>
              <w:top w:val="single" w:sz="4" w:space="0" w:color="ADD6EA"/>
              <w:left w:val="nil"/>
              <w:bottom w:val="single" w:sz="4" w:space="0" w:color="ADD6EA"/>
              <w:right w:val="nil"/>
            </w:tcBorders>
            <w:vAlign w:val="center"/>
            <w:hideMark/>
          </w:tcPr>
          <w:p w14:paraId="613EA78F" w14:textId="77777777" w:rsidR="00D35965" w:rsidRPr="00D35965" w:rsidRDefault="00D35965" w:rsidP="00D35965">
            <w:pPr>
              <w:spacing w:before="0" w:line="240" w:lineRule="auto"/>
            </w:pPr>
            <w:r w:rsidRPr="00D35965">
              <w:rPr>
                <w:rFonts w:cs="Open Sans Light"/>
                <w:color w:val="000000"/>
                <w:szCs w:val="20"/>
              </w:rPr>
              <w:t>Free on board</w:t>
            </w:r>
          </w:p>
        </w:tc>
      </w:tr>
      <w:tr w:rsidR="00D35965" w:rsidRPr="00D35965" w14:paraId="0DD38DA4"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43A4AA09" w14:textId="77777777" w:rsidR="00D35965" w:rsidRPr="00D35965" w:rsidRDefault="00D35965" w:rsidP="00D35965">
            <w:pPr>
              <w:spacing w:before="0" w:line="240" w:lineRule="auto"/>
            </w:pPr>
            <w:r w:rsidRPr="00D35965">
              <w:rPr>
                <w:rFonts w:cs="Open Sans Light"/>
                <w:color w:val="000000"/>
                <w:szCs w:val="20"/>
              </w:rPr>
              <w:t>FTE</w:t>
            </w:r>
          </w:p>
        </w:tc>
        <w:tc>
          <w:tcPr>
            <w:tcW w:w="7204" w:type="dxa"/>
            <w:tcBorders>
              <w:top w:val="single" w:sz="4" w:space="0" w:color="ADD6EA"/>
              <w:left w:val="nil"/>
              <w:bottom w:val="single" w:sz="4" w:space="0" w:color="ADD6EA"/>
              <w:right w:val="nil"/>
            </w:tcBorders>
            <w:vAlign w:val="center"/>
            <w:hideMark/>
          </w:tcPr>
          <w:p w14:paraId="1F1BF004" w14:textId="77777777" w:rsidR="00D35965" w:rsidRPr="00D35965" w:rsidRDefault="00D35965" w:rsidP="00D35965">
            <w:pPr>
              <w:spacing w:before="0" w:line="240" w:lineRule="auto"/>
            </w:pPr>
            <w:r w:rsidRPr="00D35965">
              <w:rPr>
                <w:rFonts w:cs="Open Sans Light"/>
                <w:color w:val="000000"/>
                <w:szCs w:val="20"/>
              </w:rPr>
              <w:t>Full time equivalent</w:t>
            </w:r>
          </w:p>
        </w:tc>
      </w:tr>
      <w:tr w:rsidR="00D35965" w:rsidRPr="00D35965" w14:paraId="548C7977"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07ED8B4C" w14:textId="77777777" w:rsidR="00D35965" w:rsidRPr="00D35965" w:rsidRDefault="00D35965" w:rsidP="00D35965">
            <w:pPr>
              <w:spacing w:before="0" w:line="240" w:lineRule="auto"/>
            </w:pPr>
            <w:r w:rsidRPr="00D35965">
              <w:rPr>
                <w:rFonts w:cs="Open Sans Light"/>
                <w:color w:val="000000"/>
                <w:szCs w:val="20"/>
              </w:rPr>
              <w:t>GDH</w:t>
            </w:r>
          </w:p>
        </w:tc>
        <w:tc>
          <w:tcPr>
            <w:tcW w:w="7204" w:type="dxa"/>
            <w:tcBorders>
              <w:top w:val="single" w:sz="4" w:space="0" w:color="ADD6EA"/>
              <w:left w:val="nil"/>
              <w:bottom w:val="single" w:sz="4" w:space="0" w:color="ADD6EA"/>
              <w:right w:val="nil"/>
            </w:tcBorders>
            <w:vAlign w:val="center"/>
            <w:hideMark/>
          </w:tcPr>
          <w:p w14:paraId="3F05975C" w14:textId="77777777" w:rsidR="00D35965" w:rsidRPr="00D35965" w:rsidRDefault="00D35965" w:rsidP="00D35965">
            <w:pPr>
              <w:spacing w:before="0" w:line="240" w:lineRule="auto"/>
            </w:pPr>
            <w:r w:rsidRPr="00D35965">
              <w:rPr>
                <w:rFonts w:cs="Open Sans Light"/>
                <w:color w:val="000000"/>
                <w:szCs w:val="20"/>
              </w:rPr>
              <w:t>Gove District Hospital</w:t>
            </w:r>
          </w:p>
        </w:tc>
      </w:tr>
      <w:tr w:rsidR="00D35965" w:rsidRPr="00D35965" w14:paraId="21B4FDEF"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2C1CAA4A" w14:textId="77777777" w:rsidR="00D35965" w:rsidRPr="00D35965" w:rsidRDefault="00D35965" w:rsidP="00D35965">
            <w:pPr>
              <w:spacing w:before="0" w:line="240" w:lineRule="auto"/>
            </w:pPr>
            <w:r w:rsidRPr="00D35965">
              <w:rPr>
                <w:rFonts w:cs="Open Sans Light"/>
                <w:color w:val="000000"/>
                <w:szCs w:val="20"/>
              </w:rPr>
              <w:t>GFC</w:t>
            </w:r>
          </w:p>
        </w:tc>
        <w:tc>
          <w:tcPr>
            <w:tcW w:w="7204" w:type="dxa"/>
            <w:tcBorders>
              <w:top w:val="single" w:sz="4" w:space="0" w:color="ADD6EA"/>
              <w:left w:val="nil"/>
              <w:bottom w:val="single" w:sz="4" w:space="0" w:color="ADD6EA"/>
              <w:right w:val="nil"/>
            </w:tcBorders>
            <w:vAlign w:val="center"/>
            <w:hideMark/>
          </w:tcPr>
          <w:p w14:paraId="62BDAD7A" w14:textId="77777777" w:rsidR="00D35965" w:rsidRPr="00D35965" w:rsidRDefault="00D35965" w:rsidP="00D35965">
            <w:pPr>
              <w:spacing w:before="0" w:line="240" w:lineRule="auto"/>
            </w:pPr>
            <w:r w:rsidRPr="00D35965">
              <w:rPr>
                <w:rFonts w:cs="Open Sans Light"/>
                <w:color w:val="000000"/>
                <w:szCs w:val="20"/>
              </w:rPr>
              <w:t>Global Financial Crisis</w:t>
            </w:r>
          </w:p>
        </w:tc>
      </w:tr>
      <w:tr w:rsidR="00D35965" w:rsidRPr="00D35965" w14:paraId="4BC0C2E7"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377E80C8" w14:textId="77777777" w:rsidR="00D35965" w:rsidRPr="00D35965" w:rsidRDefault="00D35965" w:rsidP="00D35965">
            <w:pPr>
              <w:spacing w:before="0" w:line="240" w:lineRule="auto"/>
            </w:pPr>
            <w:r w:rsidRPr="00D35965">
              <w:rPr>
                <w:rFonts w:cs="Open Sans Light"/>
                <w:color w:val="000000"/>
                <w:szCs w:val="20"/>
              </w:rPr>
              <w:t>GFS</w:t>
            </w:r>
          </w:p>
        </w:tc>
        <w:tc>
          <w:tcPr>
            <w:tcW w:w="7204" w:type="dxa"/>
            <w:tcBorders>
              <w:top w:val="single" w:sz="4" w:space="0" w:color="ADD6EA"/>
              <w:left w:val="nil"/>
              <w:bottom w:val="single" w:sz="4" w:space="0" w:color="ADD6EA"/>
              <w:right w:val="nil"/>
            </w:tcBorders>
            <w:vAlign w:val="center"/>
            <w:hideMark/>
          </w:tcPr>
          <w:p w14:paraId="0B1F5306" w14:textId="77777777" w:rsidR="00D35965" w:rsidRPr="00D35965" w:rsidRDefault="00D35965" w:rsidP="00D35965">
            <w:pPr>
              <w:spacing w:before="0" w:line="240" w:lineRule="auto"/>
            </w:pPr>
            <w:r w:rsidRPr="00D35965">
              <w:rPr>
                <w:rFonts w:cs="Open Sans Light"/>
                <w:color w:val="000000"/>
                <w:szCs w:val="20"/>
              </w:rPr>
              <w:t>Government finance statistics</w:t>
            </w:r>
          </w:p>
        </w:tc>
      </w:tr>
      <w:tr w:rsidR="00D35965" w:rsidRPr="00D35965" w14:paraId="74DDA4F6"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3D01FAD3" w14:textId="77777777" w:rsidR="00D35965" w:rsidRPr="00D35965" w:rsidRDefault="00D35965" w:rsidP="00D35965">
            <w:pPr>
              <w:spacing w:before="0" w:line="240" w:lineRule="auto"/>
            </w:pPr>
            <w:r w:rsidRPr="00D35965">
              <w:rPr>
                <w:rFonts w:cs="Open Sans Light"/>
                <w:color w:val="000000"/>
                <w:szCs w:val="20"/>
              </w:rPr>
              <w:t>GG</w:t>
            </w:r>
          </w:p>
        </w:tc>
        <w:tc>
          <w:tcPr>
            <w:tcW w:w="7204" w:type="dxa"/>
            <w:tcBorders>
              <w:top w:val="single" w:sz="4" w:space="0" w:color="ADD6EA"/>
              <w:left w:val="nil"/>
              <w:bottom w:val="single" w:sz="4" w:space="0" w:color="ADD6EA"/>
              <w:right w:val="nil"/>
            </w:tcBorders>
            <w:vAlign w:val="center"/>
            <w:hideMark/>
          </w:tcPr>
          <w:p w14:paraId="10004181" w14:textId="77777777" w:rsidR="00D35965" w:rsidRPr="00D35965" w:rsidRDefault="00D35965" w:rsidP="00D35965">
            <w:pPr>
              <w:spacing w:before="0" w:line="240" w:lineRule="auto"/>
            </w:pPr>
            <w:r w:rsidRPr="00D35965">
              <w:rPr>
                <w:rFonts w:cs="Open Sans Light"/>
                <w:color w:val="000000"/>
                <w:szCs w:val="20"/>
              </w:rPr>
              <w:t>General Government</w:t>
            </w:r>
          </w:p>
        </w:tc>
      </w:tr>
      <w:tr w:rsidR="00D35965" w:rsidRPr="00D35965" w14:paraId="11E7BD3C"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760E6CEC" w14:textId="77777777" w:rsidR="00D35965" w:rsidRPr="00D35965" w:rsidRDefault="00D35965" w:rsidP="00D35965">
            <w:pPr>
              <w:spacing w:before="0" w:line="240" w:lineRule="auto"/>
            </w:pPr>
            <w:r w:rsidRPr="00D35965">
              <w:rPr>
                <w:rFonts w:cs="Open Sans Light"/>
                <w:color w:val="000000"/>
                <w:szCs w:val="20"/>
              </w:rPr>
              <w:t>GP</w:t>
            </w:r>
          </w:p>
        </w:tc>
        <w:tc>
          <w:tcPr>
            <w:tcW w:w="7204" w:type="dxa"/>
            <w:tcBorders>
              <w:top w:val="single" w:sz="4" w:space="0" w:color="ADD6EA"/>
              <w:left w:val="nil"/>
              <w:bottom w:val="single" w:sz="4" w:space="0" w:color="ADD6EA"/>
              <w:right w:val="nil"/>
            </w:tcBorders>
            <w:vAlign w:val="center"/>
            <w:hideMark/>
          </w:tcPr>
          <w:p w14:paraId="227587CE" w14:textId="77777777" w:rsidR="00D35965" w:rsidRPr="00D35965" w:rsidRDefault="00D35965" w:rsidP="00D35965">
            <w:pPr>
              <w:spacing w:before="0" w:line="240" w:lineRule="auto"/>
            </w:pPr>
            <w:r w:rsidRPr="00D35965">
              <w:rPr>
                <w:rFonts w:cs="Open Sans Light"/>
                <w:color w:val="000000"/>
                <w:szCs w:val="20"/>
              </w:rPr>
              <w:t>General Practitioner</w:t>
            </w:r>
          </w:p>
        </w:tc>
      </w:tr>
      <w:tr w:rsidR="00D35965" w:rsidRPr="00D35965" w14:paraId="0887448C"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025360A5" w14:textId="77777777" w:rsidR="00D35965" w:rsidRPr="00D35965" w:rsidRDefault="00D35965" w:rsidP="00D35965">
            <w:pPr>
              <w:spacing w:before="0" w:line="240" w:lineRule="auto"/>
            </w:pPr>
            <w:r w:rsidRPr="00D35965">
              <w:rPr>
                <w:rFonts w:cs="Open Sans Light"/>
                <w:color w:val="000000"/>
                <w:szCs w:val="20"/>
              </w:rPr>
              <w:t>GST</w:t>
            </w:r>
          </w:p>
        </w:tc>
        <w:tc>
          <w:tcPr>
            <w:tcW w:w="7204" w:type="dxa"/>
            <w:tcBorders>
              <w:top w:val="single" w:sz="4" w:space="0" w:color="ADD6EA"/>
              <w:left w:val="nil"/>
              <w:bottom w:val="single" w:sz="4" w:space="0" w:color="ADD6EA"/>
              <w:right w:val="nil"/>
            </w:tcBorders>
            <w:vAlign w:val="center"/>
            <w:hideMark/>
          </w:tcPr>
          <w:p w14:paraId="53AF561C" w14:textId="77777777" w:rsidR="00D35965" w:rsidRPr="00D35965" w:rsidRDefault="00D35965" w:rsidP="00D35965">
            <w:pPr>
              <w:spacing w:before="0" w:line="240" w:lineRule="auto"/>
            </w:pPr>
            <w:r w:rsidRPr="00D35965">
              <w:rPr>
                <w:rFonts w:cs="Open Sans Light"/>
                <w:color w:val="000000"/>
                <w:szCs w:val="20"/>
              </w:rPr>
              <w:t>Goods and Services Tax</w:t>
            </w:r>
          </w:p>
        </w:tc>
      </w:tr>
      <w:tr w:rsidR="00D35965" w:rsidRPr="00D35965" w14:paraId="24CB234B"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485D6735" w14:textId="77777777" w:rsidR="00D35965" w:rsidRPr="00D35965" w:rsidRDefault="00D35965" w:rsidP="00D35965">
            <w:pPr>
              <w:spacing w:before="0" w:line="240" w:lineRule="auto"/>
            </w:pPr>
            <w:r w:rsidRPr="00D35965">
              <w:rPr>
                <w:rFonts w:cs="Open Sans Light"/>
                <w:color w:val="000000"/>
                <w:szCs w:val="20"/>
              </w:rPr>
              <w:t>HACC</w:t>
            </w:r>
          </w:p>
        </w:tc>
        <w:tc>
          <w:tcPr>
            <w:tcW w:w="7204" w:type="dxa"/>
            <w:tcBorders>
              <w:top w:val="single" w:sz="4" w:space="0" w:color="ADD6EA"/>
              <w:left w:val="nil"/>
              <w:bottom w:val="single" w:sz="4" w:space="0" w:color="ADD6EA"/>
              <w:right w:val="nil"/>
            </w:tcBorders>
            <w:vAlign w:val="center"/>
            <w:hideMark/>
          </w:tcPr>
          <w:p w14:paraId="424D2682" w14:textId="77777777" w:rsidR="00D35965" w:rsidRPr="00D35965" w:rsidRDefault="00D35965" w:rsidP="00D35965">
            <w:pPr>
              <w:spacing w:before="0" w:line="240" w:lineRule="auto"/>
            </w:pPr>
            <w:r w:rsidRPr="00D35965">
              <w:rPr>
                <w:rFonts w:cs="Open Sans Light"/>
                <w:color w:val="000000"/>
                <w:szCs w:val="20"/>
              </w:rPr>
              <w:t>Home and Community Care</w:t>
            </w:r>
          </w:p>
        </w:tc>
      </w:tr>
      <w:tr w:rsidR="00D35965" w:rsidRPr="00D35965" w14:paraId="7E722389"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2015B476" w14:textId="77777777" w:rsidR="00D35965" w:rsidRPr="00D35965" w:rsidRDefault="00D35965" w:rsidP="00D35965">
            <w:pPr>
              <w:spacing w:before="0" w:line="240" w:lineRule="auto"/>
            </w:pPr>
            <w:r w:rsidRPr="00D35965">
              <w:rPr>
                <w:rFonts w:cs="Open Sans Light"/>
                <w:color w:val="000000"/>
                <w:szCs w:val="20"/>
              </w:rPr>
              <w:t>HAPHF</w:t>
            </w:r>
          </w:p>
        </w:tc>
        <w:tc>
          <w:tcPr>
            <w:tcW w:w="7204" w:type="dxa"/>
            <w:tcBorders>
              <w:top w:val="single" w:sz="4" w:space="0" w:color="ADD6EA"/>
              <w:left w:val="nil"/>
              <w:bottom w:val="single" w:sz="4" w:space="0" w:color="ADD6EA"/>
              <w:right w:val="nil"/>
            </w:tcBorders>
            <w:vAlign w:val="center"/>
            <w:hideMark/>
          </w:tcPr>
          <w:p w14:paraId="7BB8DFE4" w14:textId="77777777" w:rsidR="00D35965" w:rsidRPr="00D35965" w:rsidRDefault="00D35965" w:rsidP="00D35965">
            <w:pPr>
              <w:spacing w:before="0" w:line="240" w:lineRule="auto"/>
            </w:pPr>
            <w:r w:rsidRPr="00D35965">
              <w:rPr>
                <w:rFonts w:cs="Open Sans Light"/>
                <w:color w:val="000000"/>
                <w:szCs w:val="20"/>
              </w:rPr>
              <w:t>Heads of Agreement for Public Hospitals Funding</w:t>
            </w:r>
          </w:p>
        </w:tc>
      </w:tr>
      <w:tr w:rsidR="00D35965" w:rsidRPr="00D35965" w14:paraId="7383CF34"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7BCA4CC1" w14:textId="77777777" w:rsidR="00D35965" w:rsidRPr="00D35965" w:rsidRDefault="00D35965" w:rsidP="00D35965">
            <w:pPr>
              <w:spacing w:before="0" w:line="240" w:lineRule="auto"/>
            </w:pPr>
            <w:r w:rsidRPr="00D35965">
              <w:rPr>
                <w:rFonts w:cs="Open Sans Light"/>
                <w:color w:val="000000"/>
                <w:szCs w:val="20"/>
              </w:rPr>
              <w:t>HCC</w:t>
            </w:r>
          </w:p>
        </w:tc>
        <w:tc>
          <w:tcPr>
            <w:tcW w:w="7204" w:type="dxa"/>
            <w:tcBorders>
              <w:top w:val="single" w:sz="4" w:space="0" w:color="ADD6EA"/>
              <w:left w:val="nil"/>
              <w:bottom w:val="single" w:sz="4" w:space="0" w:color="ADD6EA"/>
              <w:right w:val="nil"/>
            </w:tcBorders>
            <w:vAlign w:val="center"/>
            <w:hideMark/>
          </w:tcPr>
          <w:p w14:paraId="1AEF9069" w14:textId="77777777" w:rsidR="00D35965" w:rsidRPr="00D35965" w:rsidRDefault="00D35965" w:rsidP="00D35965">
            <w:pPr>
              <w:spacing w:before="0" w:line="240" w:lineRule="auto"/>
            </w:pPr>
            <w:r w:rsidRPr="00D35965">
              <w:rPr>
                <w:rFonts w:cs="Open Sans Light"/>
                <w:color w:val="000000"/>
                <w:szCs w:val="20"/>
              </w:rPr>
              <w:t>Health care card</w:t>
            </w:r>
          </w:p>
        </w:tc>
      </w:tr>
      <w:tr w:rsidR="00D35965" w:rsidRPr="00D35965" w14:paraId="17881BA0"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22B0ED89" w14:textId="77777777" w:rsidR="00D35965" w:rsidRPr="00D35965" w:rsidRDefault="00D35965" w:rsidP="00D35965">
            <w:pPr>
              <w:spacing w:before="0" w:line="240" w:lineRule="auto"/>
            </w:pPr>
            <w:r w:rsidRPr="00D35965">
              <w:rPr>
                <w:rFonts w:cs="Open Sans Light"/>
                <w:color w:val="000000"/>
                <w:szCs w:val="20"/>
              </w:rPr>
              <w:t>HEI</w:t>
            </w:r>
          </w:p>
        </w:tc>
        <w:tc>
          <w:tcPr>
            <w:tcW w:w="7204" w:type="dxa"/>
            <w:tcBorders>
              <w:top w:val="single" w:sz="4" w:space="0" w:color="ADD6EA"/>
              <w:left w:val="nil"/>
              <w:bottom w:val="single" w:sz="4" w:space="0" w:color="ADD6EA"/>
              <w:right w:val="nil"/>
            </w:tcBorders>
            <w:vAlign w:val="center"/>
            <w:hideMark/>
          </w:tcPr>
          <w:p w14:paraId="78956D1E" w14:textId="77777777" w:rsidR="00D35965" w:rsidRPr="00D35965" w:rsidRDefault="00D35965" w:rsidP="00D35965">
            <w:pPr>
              <w:spacing w:before="0" w:line="240" w:lineRule="auto"/>
            </w:pPr>
            <w:r w:rsidRPr="00D35965">
              <w:rPr>
                <w:rFonts w:cs="Open Sans Light"/>
                <w:color w:val="000000"/>
                <w:szCs w:val="20"/>
              </w:rPr>
              <w:t>Higher education institution</w:t>
            </w:r>
          </w:p>
        </w:tc>
      </w:tr>
      <w:tr w:rsidR="00D35965" w:rsidRPr="00D35965" w14:paraId="2BA7916C"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B988930" w14:textId="77777777" w:rsidR="00D35965" w:rsidRPr="00D35965" w:rsidRDefault="00D35965" w:rsidP="00D35965">
            <w:pPr>
              <w:spacing w:before="0" w:line="240" w:lineRule="auto"/>
            </w:pPr>
            <w:r w:rsidRPr="00D35965">
              <w:rPr>
                <w:rFonts w:cs="Open Sans Light"/>
                <w:color w:val="000000"/>
                <w:szCs w:val="20"/>
              </w:rPr>
              <w:t>HFE</w:t>
            </w:r>
          </w:p>
        </w:tc>
        <w:tc>
          <w:tcPr>
            <w:tcW w:w="7204" w:type="dxa"/>
            <w:tcBorders>
              <w:top w:val="single" w:sz="4" w:space="0" w:color="ADD6EA"/>
              <w:left w:val="nil"/>
              <w:bottom w:val="single" w:sz="4" w:space="0" w:color="ADD6EA"/>
              <w:right w:val="nil"/>
            </w:tcBorders>
            <w:vAlign w:val="center"/>
            <w:hideMark/>
          </w:tcPr>
          <w:p w14:paraId="05D3DBE5" w14:textId="77777777" w:rsidR="00D35965" w:rsidRPr="00D35965" w:rsidRDefault="00D35965" w:rsidP="00D35965">
            <w:pPr>
              <w:spacing w:before="0" w:line="240" w:lineRule="auto"/>
            </w:pPr>
            <w:r w:rsidRPr="00D35965">
              <w:rPr>
                <w:rFonts w:cs="Open Sans Light"/>
                <w:color w:val="000000"/>
                <w:szCs w:val="20"/>
              </w:rPr>
              <w:t>Horizontal fiscal equalisation</w:t>
            </w:r>
          </w:p>
        </w:tc>
      </w:tr>
      <w:tr w:rsidR="00D35965" w:rsidRPr="00D35965" w14:paraId="72D04FDB"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6829CAC" w14:textId="77777777" w:rsidR="00D35965" w:rsidRPr="00D35965" w:rsidRDefault="00D35965" w:rsidP="00D35965">
            <w:pPr>
              <w:spacing w:before="0" w:line="240" w:lineRule="auto"/>
            </w:pPr>
            <w:r w:rsidRPr="00D35965">
              <w:rPr>
                <w:rFonts w:cs="Open Sans Light"/>
                <w:color w:val="000000"/>
                <w:szCs w:val="20"/>
              </w:rPr>
              <w:t>HILDA</w:t>
            </w:r>
          </w:p>
        </w:tc>
        <w:tc>
          <w:tcPr>
            <w:tcW w:w="7204" w:type="dxa"/>
            <w:tcBorders>
              <w:top w:val="single" w:sz="4" w:space="0" w:color="ADD6EA"/>
              <w:left w:val="nil"/>
              <w:bottom w:val="single" w:sz="4" w:space="0" w:color="ADD6EA"/>
              <w:right w:val="nil"/>
            </w:tcBorders>
            <w:vAlign w:val="center"/>
            <w:hideMark/>
          </w:tcPr>
          <w:p w14:paraId="6BC1546A" w14:textId="77777777" w:rsidR="00D35965" w:rsidRPr="00D35965" w:rsidRDefault="00D35965" w:rsidP="00D35965">
            <w:pPr>
              <w:spacing w:before="0" w:line="240" w:lineRule="auto"/>
            </w:pPr>
            <w:r w:rsidRPr="00D35965">
              <w:rPr>
                <w:rFonts w:cs="Open Sans Light"/>
                <w:color w:val="000000"/>
                <w:szCs w:val="20"/>
              </w:rPr>
              <w:t>Household, Income and Labour Dynamics in Australia</w:t>
            </w:r>
          </w:p>
        </w:tc>
      </w:tr>
      <w:tr w:rsidR="00D35965" w:rsidRPr="00D35965" w14:paraId="032392F8"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3C946D62" w14:textId="77777777" w:rsidR="00D35965" w:rsidRPr="00D35965" w:rsidRDefault="00D35965" w:rsidP="00D35965">
            <w:pPr>
              <w:spacing w:before="0" w:line="240" w:lineRule="auto"/>
            </w:pPr>
            <w:r w:rsidRPr="00D35965">
              <w:rPr>
                <w:rFonts w:cs="Open Sans Light"/>
                <w:color w:val="000000"/>
                <w:szCs w:val="20"/>
              </w:rPr>
              <w:t>HoTs</w:t>
            </w:r>
          </w:p>
        </w:tc>
        <w:tc>
          <w:tcPr>
            <w:tcW w:w="7204" w:type="dxa"/>
            <w:tcBorders>
              <w:top w:val="single" w:sz="4" w:space="0" w:color="ADD6EA"/>
              <w:left w:val="nil"/>
              <w:bottom w:val="single" w:sz="4" w:space="0" w:color="ADD6EA"/>
              <w:right w:val="nil"/>
            </w:tcBorders>
            <w:vAlign w:val="center"/>
            <w:hideMark/>
          </w:tcPr>
          <w:p w14:paraId="253526F0" w14:textId="77777777" w:rsidR="00D35965" w:rsidRPr="00D35965" w:rsidRDefault="00D35965" w:rsidP="00D35965">
            <w:pPr>
              <w:spacing w:before="0" w:line="240" w:lineRule="auto"/>
            </w:pPr>
            <w:r w:rsidRPr="00D35965">
              <w:rPr>
                <w:rFonts w:cs="Open Sans Light"/>
                <w:color w:val="000000"/>
                <w:szCs w:val="20"/>
              </w:rPr>
              <w:t>Heads of Treasury</w:t>
            </w:r>
          </w:p>
        </w:tc>
      </w:tr>
      <w:tr w:rsidR="00D35965" w:rsidRPr="00D35965" w14:paraId="0DE37517"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06C9D60A" w14:textId="77777777" w:rsidR="00D35965" w:rsidRPr="00D35965" w:rsidRDefault="00D35965" w:rsidP="00D35965">
            <w:pPr>
              <w:spacing w:before="0" w:line="240" w:lineRule="auto"/>
            </w:pPr>
            <w:r w:rsidRPr="00D35965">
              <w:rPr>
                <w:rFonts w:cs="Open Sans Light"/>
                <w:color w:val="000000"/>
                <w:szCs w:val="20"/>
              </w:rPr>
              <w:t>HPF</w:t>
            </w:r>
          </w:p>
        </w:tc>
        <w:tc>
          <w:tcPr>
            <w:tcW w:w="7204" w:type="dxa"/>
            <w:tcBorders>
              <w:top w:val="single" w:sz="4" w:space="0" w:color="ADD6EA"/>
              <w:left w:val="nil"/>
              <w:bottom w:val="single" w:sz="4" w:space="0" w:color="ADD6EA"/>
              <w:right w:val="nil"/>
            </w:tcBorders>
            <w:vAlign w:val="center"/>
            <w:hideMark/>
          </w:tcPr>
          <w:p w14:paraId="0824FBFB" w14:textId="77777777" w:rsidR="00D35965" w:rsidRPr="00D35965" w:rsidRDefault="00D35965" w:rsidP="00D35965">
            <w:pPr>
              <w:spacing w:before="0" w:line="240" w:lineRule="auto"/>
            </w:pPr>
            <w:r w:rsidRPr="00D35965">
              <w:rPr>
                <w:rFonts w:cs="Open Sans Light"/>
                <w:color w:val="000000"/>
                <w:szCs w:val="20"/>
              </w:rPr>
              <w:t>Health Performance Framework</w:t>
            </w:r>
          </w:p>
        </w:tc>
      </w:tr>
      <w:tr w:rsidR="00D35965" w:rsidRPr="00D35965" w14:paraId="5A346745"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A0F9E51" w14:textId="77777777" w:rsidR="00D35965" w:rsidRPr="00D35965" w:rsidRDefault="00D35965" w:rsidP="00D35965">
            <w:pPr>
              <w:spacing w:before="0" w:line="240" w:lineRule="auto"/>
            </w:pPr>
            <w:r w:rsidRPr="00D35965">
              <w:rPr>
                <w:rFonts w:cs="Open Sans Light"/>
                <w:color w:val="000000"/>
                <w:szCs w:val="20"/>
              </w:rPr>
              <w:t>IAHP</w:t>
            </w:r>
          </w:p>
        </w:tc>
        <w:tc>
          <w:tcPr>
            <w:tcW w:w="7204" w:type="dxa"/>
            <w:tcBorders>
              <w:top w:val="single" w:sz="4" w:space="0" w:color="ADD6EA"/>
              <w:left w:val="nil"/>
              <w:bottom w:val="single" w:sz="4" w:space="0" w:color="ADD6EA"/>
              <w:right w:val="nil"/>
            </w:tcBorders>
            <w:vAlign w:val="center"/>
            <w:hideMark/>
          </w:tcPr>
          <w:p w14:paraId="74396DC0" w14:textId="77777777" w:rsidR="00D35965" w:rsidRPr="00D35965" w:rsidRDefault="00D35965" w:rsidP="00D35965">
            <w:pPr>
              <w:spacing w:before="0" w:line="240" w:lineRule="auto"/>
            </w:pPr>
            <w:r w:rsidRPr="00D35965">
              <w:rPr>
                <w:rFonts w:cs="Open Sans Light"/>
                <w:color w:val="000000"/>
                <w:szCs w:val="20"/>
              </w:rPr>
              <w:t xml:space="preserve">Indigenous Australians’ Health Program </w:t>
            </w:r>
          </w:p>
        </w:tc>
      </w:tr>
      <w:tr w:rsidR="00D35965" w:rsidRPr="00D35965" w14:paraId="012150A9"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276A9A1C" w14:textId="77777777" w:rsidR="00D35965" w:rsidRPr="00D35965" w:rsidRDefault="00D35965" w:rsidP="00D35965">
            <w:pPr>
              <w:spacing w:before="0" w:line="240" w:lineRule="auto"/>
            </w:pPr>
            <w:r w:rsidRPr="00D35965">
              <w:rPr>
                <w:rFonts w:cs="Open Sans Light"/>
                <w:color w:val="000000"/>
                <w:szCs w:val="20"/>
              </w:rPr>
              <w:t>ICH</w:t>
            </w:r>
          </w:p>
        </w:tc>
        <w:tc>
          <w:tcPr>
            <w:tcW w:w="7204" w:type="dxa"/>
            <w:tcBorders>
              <w:top w:val="single" w:sz="4" w:space="0" w:color="ADD6EA"/>
              <w:left w:val="nil"/>
              <w:bottom w:val="single" w:sz="4" w:space="0" w:color="ADD6EA"/>
              <w:right w:val="nil"/>
            </w:tcBorders>
            <w:vAlign w:val="center"/>
            <w:hideMark/>
          </w:tcPr>
          <w:p w14:paraId="3FA6E80F" w14:textId="77777777" w:rsidR="00D35965" w:rsidRPr="00D35965" w:rsidRDefault="00D35965" w:rsidP="00D35965">
            <w:pPr>
              <w:spacing w:before="0" w:line="240" w:lineRule="auto"/>
            </w:pPr>
            <w:r w:rsidRPr="00D35965">
              <w:rPr>
                <w:rFonts w:cs="Open Sans Light"/>
                <w:color w:val="000000"/>
                <w:szCs w:val="20"/>
              </w:rPr>
              <w:t>Indigenous community housing</w:t>
            </w:r>
          </w:p>
        </w:tc>
      </w:tr>
      <w:tr w:rsidR="00D35965" w:rsidRPr="00D35965" w14:paraId="3BA670A5"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76200243" w14:textId="77777777" w:rsidR="00D35965" w:rsidRPr="00D35965" w:rsidRDefault="00D35965" w:rsidP="00D35965">
            <w:pPr>
              <w:spacing w:before="0" w:line="240" w:lineRule="auto"/>
            </w:pPr>
            <w:r w:rsidRPr="00D35965">
              <w:rPr>
                <w:rFonts w:cs="Open Sans Light"/>
                <w:color w:val="000000"/>
                <w:szCs w:val="20"/>
              </w:rPr>
              <w:t>ICHO</w:t>
            </w:r>
          </w:p>
        </w:tc>
        <w:tc>
          <w:tcPr>
            <w:tcW w:w="7204" w:type="dxa"/>
            <w:tcBorders>
              <w:top w:val="single" w:sz="4" w:space="0" w:color="ADD6EA"/>
              <w:left w:val="nil"/>
              <w:bottom w:val="single" w:sz="4" w:space="0" w:color="ADD6EA"/>
              <w:right w:val="nil"/>
            </w:tcBorders>
            <w:vAlign w:val="center"/>
            <w:hideMark/>
          </w:tcPr>
          <w:p w14:paraId="4503BE40" w14:textId="77777777" w:rsidR="00D35965" w:rsidRPr="00D35965" w:rsidRDefault="00D35965" w:rsidP="00D35965">
            <w:pPr>
              <w:spacing w:before="0" w:line="240" w:lineRule="auto"/>
            </w:pPr>
            <w:r w:rsidRPr="00D35965">
              <w:rPr>
                <w:rFonts w:cs="Open Sans Light"/>
                <w:color w:val="000000"/>
                <w:szCs w:val="20"/>
              </w:rPr>
              <w:t>Indigenous community housing organisation</w:t>
            </w:r>
          </w:p>
        </w:tc>
      </w:tr>
      <w:tr w:rsidR="00D35965" w:rsidRPr="00D35965" w14:paraId="2DC995B0"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7B3C4A25" w14:textId="77777777" w:rsidR="00D35965" w:rsidRPr="00D35965" w:rsidRDefault="00D35965" w:rsidP="00D35965">
            <w:pPr>
              <w:spacing w:before="0" w:line="240" w:lineRule="auto"/>
            </w:pPr>
            <w:r w:rsidRPr="00D35965">
              <w:rPr>
                <w:rFonts w:cs="Open Sans Light"/>
                <w:color w:val="000000"/>
                <w:szCs w:val="20"/>
              </w:rPr>
              <w:t>ICSEA</w:t>
            </w:r>
          </w:p>
        </w:tc>
        <w:tc>
          <w:tcPr>
            <w:tcW w:w="7204" w:type="dxa"/>
            <w:tcBorders>
              <w:top w:val="single" w:sz="4" w:space="0" w:color="ADD6EA"/>
              <w:left w:val="nil"/>
              <w:bottom w:val="single" w:sz="4" w:space="0" w:color="ADD6EA"/>
              <w:right w:val="nil"/>
            </w:tcBorders>
            <w:vAlign w:val="center"/>
            <w:hideMark/>
          </w:tcPr>
          <w:p w14:paraId="52F57656" w14:textId="77777777" w:rsidR="00D35965" w:rsidRPr="00D35965" w:rsidRDefault="00D35965" w:rsidP="00D35965">
            <w:pPr>
              <w:spacing w:before="0" w:line="240" w:lineRule="auto"/>
            </w:pPr>
            <w:r w:rsidRPr="00D35965">
              <w:rPr>
                <w:rFonts w:cs="Open Sans Light"/>
                <w:color w:val="000000"/>
                <w:szCs w:val="20"/>
              </w:rPr>
              <w:t>Index of Community Socio-Educational Advantage</w:t>
            </w:r>
          </w:p>
        </w:tc>
      </w:tr>
      <w:tr w:rsidR="00D35965" w:rsidRPr="00D35965" w14:paraId="1D1E1C6A"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29804F9D" w14:textId="77777777" w:rsidR="00D35965" w:rsidRPr="00D35965" w:rsidRDefault="00D35965" w:rsidP="00D35965">
            <w:pPr>
              <w:spacing w:before="0" w:line="240" w:lineRule="auto"/>
            </w:pPr>
            <w:r w:rsidRPr="00D35965">
              <w:rPr>
                <w:rFonts w:cs="Open Sans Light"/>
                <w:color w:val="000000"/>
                <w:szCs w:val="20"/>
              </w:rPr>
              <w:t>ICT</w:t>
            </w:r>
          </w:p>
        </w:tc>
        <w:tc>
          <w:tcPr>
            <w:tcW w:w="7204" w:type="dxa"/>
            <w:tcBorders>
              <w:top w:val="single" w:sz="4" w:space="0" w:color="ADD6EA"/>
              <w:left w:val="nil"/>
              <w:bottom w:val="single" w:sz="4" w:space="0" w:color="ADD6EA"/>
              <w:right w:val="nil"/>
            </w:tcBorders>
            <w:vAlign w:val="center"/>
            <w:hideMark/>
          </w:tcPr>
          <w:p w14:paraId="3A7B093C" w14:textId="77777777" w:rsidR="00D35965" w:rsidRPr="00D35965" w:rsidRDefault="00D35965" w:rsidP="00D35965">
            <w:pPr>
              <w:spacing w:before="0" w:line="240" w:lineRule="auto"/>
            </w:pPr>
            <w:r w:rsidRPr="00D35965">
              <w:rPr>
                <w:rFonts w:cs="Open Sans Light"/>
                <w:color w:val="000000"/>
                <w:szCs w:val="20"/>
              </w:rPr>
              <w:t>Information and communications technology</w:t>
            </w:r>
          </w:p>
        </w:tc>
      </w:tr>
      <w:tr w:rsidR="00D35965" w:rsidRPr="00D35965" w14:paraId="2297322D"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2734CB47" w14:textId="77777777" w:rsidR="00D35965" w:rsidRPr="00D35965" w:rsidRDefault="00D35965" w:rsidP="00D35965">
            <w:pPr>
              <w:spacing w:before="0" w:line="240" w:lineRule="auto"/>
            </w:pPr>
            <w:r w:rsidRPr="00D35965">
              <w:rPr>
                <w:rFonts w:cs="Open Sans Light"/>
                <w:color w:val="000000"/>
                <w:szCs w:val="20"/>
              </w:rPr>
              <w:t>IGA</w:t>
            </w:r>
          </w:p>
        </w:tc>
        <w:tc>
          <w:tcPr>
            <w:tcW w:w="7204" w:type="dxa"/>
            <w:tcBorders>
              <w:top w:val="single" w:sz="4" w:space="0" w:color="ADD6EA"/>
              <w:left w:val="nil"/>
              <w:bottom w:val="single" w:sz="4" w:space="0" w:color="ADD6EA"/>
              <w:right w:val="nil"/>
            </w:tcBorders>
            <w:vAlign w:val="center"/>
            <w:hideMark/>
          </w:tcPr>
          <w:p w14:paraId="2F67222F" w14:textId="77777777" w:rsidR="00D35965" w:rsidRPr="00D35965" w:rsidRDefault="00D35965" w:rsidP="00D35965">
            <w:pPr>
              <w:spacing w:before="0" w:line="240" w:lineRule="auto"/>
            </w:pPr>
            <w:r w:rsidRPr="00D35965">
              <w:rPr>
                <w:rFonts w:cs="Open Sans Light"/>
                <w:color w:val="000000"/>
                <w:szCs w:val="20"/>
              </w:rPr>
              <w:t>Intergovernmental Agreement on Federal Financial Relations</w:t>
            </w:r>
          </w:p>
        </w:tc>
      </w:tr>
      <w:tr w:rsidR="00D35965" w:rsidRPr="00D35965" w14:paraId="4E7903B3"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1D6CBEAB" w14:textId="77777777" w:rsidR="00D35965" w:rsidRPr="00D35965" w:rsidRDefault="00D35965" w:rsidP="00D35965">
            <w:pPr>
              <w:spacing w:before="0" w:line="240" w:lineRule="auto"/>
            </w:pPr>
            <w:r w:rsidRPr="00D35965">
              <w:rPr>
                <w:rFonts w:cs="Open Sans Light"/>
                <w:color w:val="000000"/>
                <w:szCs w:val="20"/>
              </w:rPr>
              <w:t>IHPA</w:t>
            </w:r>
          </w:p>
        </w:tc>
        <w:tc>
          <w:tcPr>
            <w:tcW w:w="7204" w:type="dxa"/>
            <w:tcBorders>
              <w:top w:val="single" w:sz="4" w:space="0" w:color="ADD6EA"/>
              <w:left w:val="nil"/>
              <w:bottom w:val="single" w:sz="4" w:space="0" w:color="ADD6EA"/>
              <w:right w:val="nil"/>
            </w:tcBorders>
            <w:vAlign w:val="center"/>
            <w:hideMark/>
          </w:tcPr>
          <w:p w14:paraId="6FDB632F" w14:textId="77777777" w:rsidR="00D35965" w:rsidRPr="00D35965" w:rsidRDefault="00D35965" w:rsidP="00D35965">
            <w:pPr>
              <w:spacing w:before="0" w:line="240" w:lineRule="auto"/>
            </w:pPr>
            <w:r w:rsidRPr="00D35965">
              <w:rPr>
                <w:rFonts w:cs="Open Sans Light"/>
                <w:color w:val="000000"/>
                <w:szCs w:val="20"/>
              </w:rPr>
              <w:t>Independent Hospital Pricing Authority</w:t>
            </w:r>
          </w:p>
        </w:tc>
      </w:tr>
      <w:tr w:rsidR="00D35965" w:rsidRPr="00D35965" w14:paraId="380D869F"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138FCD29" w14:textId="77777777" w:rsidR="00D35965" w:rsidRPr="00D35965" w:rsidRDefault="00D35965" w:rsidP="00D35965">
            <w:pPr>
              <w:spacing w:before="0" w:line="240" w:lineRule="auto"/>
            </w:pPr>
            <w:r w:rsidRPr="00D35965">
              <w:rPr>
                <w:rFonts w:cs="Open Sans Light"/>
                <w:color w:val="000000"/>
                <w:szCs w:val="20"/>
              </w:rPr>
              <w:t>INST</w:t>
            </w:r>
          </w:p>
        </w:tc>
        <w:tc>
          <w:tcPr>
            <w:tcW w:w="7204" w:type="dxa"/>
            <w:tcBorders>
              <w:top w:val="single" w:sz="4" w:space="0" w:color="ADD6EA"/>
              <w:left w:val="nil"/>
              <w:bottom w:val="single" w:sz="4" w:space="0" w:color="ADD6EA"/>
              <w:right w:val="nil"/>
            </w:tcBorders>
            <w:vAlign w:val="center"/>
            <w:hideMark/>
          </w:tcPr>
          <w:p w14:paraId="0EBE5D4A" w14:textId="77777777" w:rsidR="00D35965" w:rsidRPr="00D35965" w:rsidRDefault="00D35965" w:rsidP="00D35965">
            <w:pPr>
              <w:spacing w:before="0" w:line="240" w:lineRule="auto"/>
            </w:pPr>
            <w:r w:rsidRPr="00D35965">
              <w:rPr>
                <w:rFonts w:cs="Open Sans Light"/>
                <w:color w:val="000000"/>
                <w:szCs w:val="20"/>
              </w:rPr>
              <w:t>Institutional sector classification</w:t>
            </w:r>
          </w:p>
        </w:tc>
      </w:tr>
      <w:tr w:rsidR="00D35965" w:rsidRPr="00D35965" w14:paraId="1DB7BA01"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79F25813" w14:textId="77777777" w:rsidR="00D35965" w:rsidRPr="00D35965" w:rsidRDefault="00D35965" w:rsidP="00D35965">
            <w:pPr>
              <w:spacing w:before="0" w:line="240" w:lineRule="auto"/>
            </w:pPr>
            <w:r w:rsidRPr="00D35965">
              <w:rPr>
                <w:rFonts w:cs="Open Sans Light"/>
                <w:color w:val="000000"/>
                <w:szCs w:val="20"/>
              </w:rPr>
              <w:t>IRSD</w:t>
            </w:r>
          </w:p>
        </w:tc>
        <w:tc>
          <w:tcPr>
            <w:tcW w:w="7204" w:type="dxa"/>
            <w:tcBorders>
              <w:top w:val="single" w:sz="4" w:space="0" w:color="ADD6EA"/>
              <w:left w:val="nil"/>
              <w:bottom w:val="single" w:sz="4" w:space="0" w:color="ADD6EA"/>
              <w:right w:val="nil"/>
            </w:tcBorders>
            <w:vAlign w:val="center"/>
            <w:hideMark/>
          </w:tcPr>
          <w:p w14:paraId="6129DAB2" w14:textId="77777777" w:rsidR="00D35965" w:rsidRPr="00D35965" w:rsidRDefault="00D35965" w:rsidP="00D35965">
            <w:pPr>
              <w:spacing w:before="0" w:line="240" w:lineRule="auto"/>
            </w:pPr>
            <w:r w:rsidRPr="00D35965">
              <w:rPr>
                <w:rFonts w:cs="Open Sans Light"/>
                <w:color w:val="000000"/>
                <w:szCs w:val="20"/>
              </w:rPr>
              <w:t>Index of Relative Socio-Economic Disadvantage</w:t>
            </w:r>
          </w:p>
        </w:tc>
      </w:tr>
      <w:tr w:rsidR="00D35965" w:rsidRPr="00D35965" w14:paraId="5331E22D"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2C677BF3" w14:textId="77777777" w:rsidR="00D35965" w:rsidRPr="00D35965" w:rsidRDefault="00D35965" w:rsidP="00D35965">
            <w:pPr>
              <w:spacing w:before="0" w:line="240" w:lineRule="auto"/>
            </w:pPr>
            <w:r w:rsidRPr="00D35965">
              <w:rPr>
                <w:rFonts w:cs="Open Sans Light"/>
                <w:color w:val="000000"/>
                <w:szCs w:val="20"/>
              </w:rPr>
              <w:t>IRSEO</w:t>
            </w:r>
          </w:p>
        </w:tc>
        <w:tc>
          <w:tcPr>
            <w:tcW w:w="7204" w:type="dxa"/>
            <w:tcBorders>
              <w:top w:val="single" w:sz="4" w:space="0" w:color="ADD6EA"/>
              <w:left w:val="nil"/>
              <w:bottom w:val="single" w:sz="4" w:space="0" w:color="ADD6EA"/>
              <w:right w:val="nil"/>
            </w:tcBorders>
            <w:vAlign w:val="center"/>
            <w:hideMark/>
          </w:tcPr>
          <w:p w14:paraId="190AECFA" w14:textId="77777777" w:rsidR="00D35965" w:rsidRPr="00D35965" w:rsidRDefault="00D35965" w:rsidP="00D35965">
            <w:pPr>
              <w:spacing w:before="0" w:line="240" w:lineRule="auto"/>
            </w:pPr>
            <w:r w:rsidRPr="00D35965">
              <w:rPr>
                <w:rFonts w:cs="Open Sans Light"/>
                <w:color w:val="000000"/>
                <w:szCs w:val="20"/>
              </w:rPr>
              <w:t>Indigenous Relative Socio-economic Outcomes (index)</w:t>
            </w:r>
          </w:p>
        </w:tc>
      </w:tr>
      <w:tr w:rsidR="00D35965" w:rsidRPr="00D35965" w14:paraId="1D50DFEF"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3BBEAA65" w14:textId="77777777" w:rsidR="00D35965" w:rsidRPr="00D35965" w:rsidRDefault="00D35965" w:rsidP="00D35965">
            <w:pPr>
              <w:spacing w:before="0" w:line="240" w:lineRule="auto"/>
            </w:pPr>
            <w:r w:rsidRPr="00D35965">
              <w:rPr>
                <w:rFonts w:cs="Open Sans Light"/>
                <w:color w:val="000000"/>
                <w:szCs w:val="20"/>
              </w:rPr>
              <w:t>JUR</w:t>
            </w:r>
          </w:p>
        </w:tc>
        <w:tc>
          <w:tcPr>
            <w:tcW w:w="7204" w:type="dxa"/>
            <w:tcBorders>
              <w:top w:val="single" w:sz="4" w:space="0" w:color="ADD6EA"/>
              <w:left w:val="nil"/>
              <w:bottom w:val="single" w:sz="4" w:space="0" w:color="ADD6EA"/>
              <w:right w:val="nil"/>
            </w:tcBorders>
            <w:vAlign w:val="center"/>
            <w:hideMark/>
          </w:tcPr>
          <w:p w14:paraId="1C9BBA90" w14:textId="77777777" w:rsidR="00D35965" w:rsidRPr="00D35965" w:rsidRDefault="00D35965" w:rsidP="00D35965">
            <w:pPr>
              <w:spacing w:before="0" w:line="240" w:lineRule="auto"/>
            </w:pPr>
            <w:r w:rsidRPr="00D35965">
              <w:rPr>
                <w:rFonts w:cs="Open Sans Light"/>
                <w:color w:val="000000"/>
                <w:szCs w:val="20"/>
              </w:rPr>
              <w:t>Jurisdiction classification</w:t>
            </w:r>
          </w:p>
        </w:tc>
      </w:tr>
      <w:tr w:rsidR="00D35965" w:rsidRPr="00D35965" w14:paraId="1AD6FD2D"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42ABA173" w14:textId="77777777" w:rsidR="00D35965" w:rsidRPr="00D35965" w:rsidRDefault="00D35965" w:rsidP="00D35965">
            <w:pPr>
              <w:spacing w:before="0" w:line="240" w:lineRule="auto"/>
            </w:pPr>
            <w:r w:rsidRPr="00D35965">
              <w:rPr>
                <w:rFonts w:cs="Open Sans Light"/>
                <w:color w:val="000000"/>
                <w:szCs w:val="20"/>
              </w:rPr>
              <w:t>LBOTE</w:t>
            </w:r>
          </w:p>
        </w:tc>
        <w:tc>
          <w:tcPr>
            <w:tcW w:w="7204" w:type="dxa"/>
            <w:tcBorders>
              <w:top w:val="single" w:sz="4" w:space="0" w:color="ADD6EA"/>
              <w:left w:val="nil"/>
              <w:bottom w:val="single" w:sz="4" w:space="0" w:color="ADD6EA"/>
              <w:right w:val="nil"/>
            </w:tcBorders>
            <w:vAlign w:val="center"/>
            <w:hideMark/>
          </w:tcPr>
          <w:p w14:paraId="4D5D9982" w14:textId="77777777" w:rsidR="00D35965" w:rsidRPr="00D35965" w:rsidRDefault="00D35965" w:rsidP="00D35965">
            <w:pPr>
              <w:spacing w:before="0" w:line="240" w:lineRule="auto"/>
            </w:pPr>
            <w:r w:rsidRPr="00D35965">
              <w:rPr>
                <w:rFonts w:cs="Open Sans Light"/>
                <w:color w:val="000000"/>
                <w:szCs w:val="20"/>
              </w:rPr>
              <w:t>Language background other than English</w:t>
            </w:r>
          </w:p>
        </w:tc>
      </w:tr>
      <w:tr w:rsidR="00D35965" w:rsidRPr="00D35965" w14:paraId="4443F9A3"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44BB5EDF" w14:textId="77777777" w:rsidR="00D35965" w:rsidRPr="00D35965" w:rsidRDefault="00D35965" w:rsidP="00D35965">
            <w:pPr>
              <w:spacing w:before="0" w:line="240" w:lineRule="auto"/>
            </w:pPr>
            <w:r w:rsidRPr="00D35965">
              <w:rPr>
                <w:rFonts w:cs="Open Sans Light"/>
                <w:color w:val="000000"/>
                <w:szCs w:val="20"/>
              </w:rPr>
              <w:t>LOG</w:t>
            </w:r>
          </w:p>
        </w:tc>
        <w:tc>
          <w:tcPr>
            <w:tcW w:w="7204" w:type="dxa"/>
            <w:tcBorders>
              <w:top w:val="single" w:sz="4" w:space="0" w:color="ADD6EA"/>
              <w:left w:val="nil"/>
              <w:bottom w:val="single" w:sz="4" w:space="0" w:color="ADD6EA"/>
              <w:right w:val="nil"/>
            </w:tcBorders>
            <w:vAlign w:val="center"/>
            <w:hideMark/>
          </w:tcPr>
          <w:p w14:paraId="63335B57" w14:textId="77777777" w:rsidR="00D35965" w:rsidRPr="00D35965" w:rsidRDefault="00D35965" w:rsidP="00D35965">
            <w:pPr>
              <w:spacing w:before="0" w:line="240" w:lineRule="auto"/>
            </w:pPr>
            <w:r w:rsidRPr="00D35965">
              <w:rPr>
                <w:rFonts w:cs="Open Sans Light"/>
                <w:color w:val="000000"/>
                <w:szCs w:val="20"/>
              </w:rPr>
              <w:t>Level of government classification</w:t>
            </w:r>
          </w:p>
        </w:tc>
      </w:tr>
      <w:tr w:rsidR="00D35965" w:rsidRPr="00D35965" w14:paraId="297E1B5E"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7ECCC4AB" w14:textId="77777777" w:rsidR="00D35965" w:rsidRPr="00D35965" w:rsidRDefault="00D35965" w:rsidP="00D35965">
            <w:pPr>
              <w:spacing w:before="0" w:line="240" w:lineRule="auto"/>
            </w:pPr>
            <w:r w:rsidRPr="00D35965">
              <w:rPr>
                <w:rFonts w:cs="Open Sans Light"/>
                <w:color w:val="000000"/>
                <w:szCs w:val="20"/>
              </w:rPr>
              <w:t>MBS</w:t>
            </w:r>
          </w:p>
        </w:tc>
        <w:tc>
          <w:tcPr>
            <w:tcW w:w="7204" w:type="dxa"/>
            <w:tcBorders>
              <w:top w:val="single" w:sz="4" w:space="0" w:color="ADD6EA"/>
              <w:left w:val="nil"/>
              <w:bottom w:val="single" w:sz="4" w:space="0" w:color="ADD6EA"/>
              <w:right w:val="nil"/>
            </w:tcBorders>
            <w:vAlign w:val="center"/>
            <w:hideMark/>
          </w:tcPr>
          <w:p w14:paraId="10A1C7E3" w14:textId="77777777" w:rsidR="00D35965" w:rsidRPr="00D35965" w:rsidRDefault="00D35965" w:rsidP="00D35965">
            <w:pPr>
              <w:spacing w:before="0" w:line="240" w:lineRule="auto"/>
            </w:pPr>
            <w:r w:rsidRPr="00D35965">
              <w:rPr>
                <w:rFonts w:cs="Open Sans Light"/>
                <w:color w:val="000000"/>
                <w:szCs w:val="20"/>
              </w:rPr>
              <w:t>Medicare Benefits Schedule</w:t>
            </w:r>
          </w:p>
        </w:tc>
      </w:tr>
      <w:tr w:rsidR="00D35965" w:rsidRPr="00D35965" w14:paraId="03C0B46A"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5ECBF0F" w14:textId="77777777" w:rsidR="00D35965" w:rsidRPr="00D35965" w:rsidRDefault="00D35965" w:rsidP="00D35965">
            <w:pPr>
              <w:spacing w:before="0" w:line="240" w:lineRule="auto"/>
            </w:pPr>
            <w:r w:rsidRPr="00D35965">
              <w:rPr>
                <w:rFonts w:cs="Open Sans Light"/>
                <w:color w:val="000000"/>
                <w:szCs w:val="20"/>
              </w:rPr>
              <w:lastRenderedPageBreak/>
              <w:t>MoU</w:t>
            </w:r>
          </w:p>
        </w:tc>
        <w:tc>
          <w:tcPr>
            <w:tcW w:w="7204" w:type="dxa"/>
            <w:tcBorders>
              <w:top w:val="single" w:sz="4" w:space="0" w:color="ADD6EA"/>
              <w:left w:val="nil"/>
              <w:bottom w:val="single" w:sz="4" w:space="0" w:color="ADD6EA"/>
              <w:right w:val="nil"/>
            </w:tcBorders>
            <w:vAlign w:val="center"/>
            <w:hideMark/>
          </w:tcPr>
          <w:p w14:paraId="466AA174" w14:textId="77777777" w:rsidR="00D35965" w:rsidRPr="00D35965" w:rsidRDefault="00D35965" w:rsidP="00D35965">
            <w:pPr>
              <w:spacing w:before="0" w:line="240" w:lineRule="auto"/>
            </w:pPr>
            <w:r w:rsidRPr="00D35965">
              <w:rPr>
                <w:rFonts w:cs="Open Sans Light"/>
                <w:color w:val="000000"/>
                <w:szCs w:val="20"/>
              </w:rPr>
              <w:t>Memorandum of Understanding</w:t>
            </w:r>
          </w:p>
        </w:tc>
      </w:tr>
      <w:tr w:rsidR="00D35965" w:rsidRPr="00D35965" w14:paraId="6B26D422"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12D5EEBF" w14:textId="77777777" w:rsidR="00D35965" w:rsidRPr="00D35965" w:rsidRDefault="00D35965" w:rsidP="00D35965">
            <w:pPr>
              <w:spacing w:before="0" w:line="240" w:lineRule="auto"/>
            </w:pPr>
            <w:r w:rsidRPr="00D35965">
              <w:rPr>
                <w:rFonts w:cs="Open Sans Light"/>
                <w:color w:val="000000"/>
                <w:szCs w:val="20"/>
              </w:rPr>
              <w:t>NAP</w:t>
            </w:r>
          </w:p>
        </w:tc>
        <w:tc>
          <w:tcPr>
            <w:tcW w:w="7204" w:type="dxa"/>
            <w:tcBorders>
              <w:top w:val="single" w:sz="4" w:space="0" w:color="ADD6EA"/>
              <w:left w:val="nil"/>
              <w:bottom w:val="single" w:sz="4" w:space="0" w:color="ADD6EA"/>
              <w:right w:val="nil"/>
            </w:tcBorders>
            <w:vAlign w:val="center"/>
            <w:hideMark/>
          </w:tcPr>
          <w:p w14:paraId="3434DD9E" w14:textId="77777777" w:rsidR="00D35965" w:rsidRPr="00D35965" w:rsidRDefault="00D35965" w:rsidP="00D35965">
            <w:pPr>
              <w:spacing w:before="0" w:line="240" w:lineRule="auto"/>
            </w:pPr>
            <w:r w:rsidRPr="00D35965">
              <w:rPr>
                <w:rFonts w:cs="Open Sans Light"/>
                <w:color w:val="000000"/>
                <w:szCs w:val="20"/>
              </w:rPr>
              <w:t>Non-admitted patients</w:t>
            </w:r>
          </w:p>
        </w:tc>
      </w:tr>
      <w:tr w:rsidR="00D35965" w:rsidRPr="00D35965" w14:paraId="6A6BFF13"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4BA4FF1B" w14:textId="77777777" w:rsidR="00D35965" w:rsidRPr="00D35965" w:rsidRDefault="00D35965" w:rsidP="00D35965">
            <w:pPr>
              <w:spacing w:before="0" w:line="240" w:lineRule="auto"/>
            </w:pPr>
            <w:r w:rsidRPr="00D35965">
              <w:rPr>
                <w:rFonts w:cs="Open Sans Light"/>
                <w:color w:val="000000"/>
                <w:szCs w:val="20"/>
              </w:rPr>
              <w:t>NCA</w:t>
            </w:r>
          </w:p>
        </w:tc>
        <w:tc>
          <w:tcPr>
            <w:tcW w:w="7204" w:type="dxa"/>
            <w:tcBorders>
              <w:top w:val="single" w:sz="4" w:space="0" w:color="ADD6EA"/>
              <w:left w:val="nil"/>
              <w:bottom w:val="single" w:sz="4" w:space="0" w:color="ADD6EA"/>
              <w:right w:val="nil"/>
            </w:tcBorders>
            <w:vAlign w:val="center"/>
            <w:hideMark/>
          </w:tcPr>
          <w:p w14:paraId="13DB983C" w14:textId="77777777" w:rsidR="00D35965" w:rsidRPr="00D35965" w:rsidRDefault="00D35965" w:rsidP="00D35965">
            <w:pPr>
              <w:spacing w:before="0" w:line="240" w:lineRule="auto"/>
            </w:pPr>
            <w:r w:rsidRPr="00D35965">
              <w:rPr>
                <w:rFonts w:cs="Open Sans Light"/>
                <w:color w:val="000000"/>
                <w:szCs w:val="20"/>
              </w:rPr>
              <w:t>National Capital Authority</w:t>
            </w:r>
          </w:p>
        </w:tc>
      </w:tr>
      <w:tr w:rsidR="00D35965" w:rsidRPr="00D35965" w14:paraId="04F8A4FA"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4C256E78" w14:textId="77777777" w:rsidR="00D35965" w:rsidRPr="00D35965" w:rsidRDefault="00D35965" w:rsidP="00D35965">
            <w:pPr>
              <w:spacing w:before="0" w:line="240" w:lineRule="auto"/>
            </w:pPr>
            <w:r w:rsidRPr="00D35965">
              <w:rPr>
                <w:rFonts w:cs="Open Sans Light"/>
                <w:color w:val="000000"/>
                <w:szCs w:val="20"/>
              </w:rPr>
              <w:t>NCCD</w:t>
            </w:r>
          </w:p>
        </w:tc>
        <w:tc>
          <w:tcPr>
            <w:tcW w:w="7204" w:type="dxa"/>
            <w:tcBorders>
              <w:top w:val="single" w:sz="4" w:space="0" w:color="ADD6EA"/>
              <w:left w:val="nil"/>
              <w:bottom w:val="single" w:sz="4" w:space="0" w:color="ADD6EA"/>
              <w:right w:val="nil"/>
            </w:tcBorders>
            <w:vAlign w:val="center"/>
            <w:hideMark/>
          </w:tcPr>
          <w:p w14:paraId="530BC104" w14:textId="77777777" w:rsidR="00D35965" w:rsidRPr="00D35965" w:rsidRDefault="00D35965" w:rsidP="00D35965">
            <w:pPr>
              <w:spacing w:before="0" w:line="240" w:lineRule="auto"/>
            </w:pPr>
            <w:r w:rsidRPr="00D35965">
              <w:rPr>
                <w:rFonts w:cs="Open Sans Light"/>
                <w:color w:val="000000"/>
                <w:szCs w:val="20"/>
              </w:rPr>
              <w:t>Nationally Consistent Collection of Data on School Students with Disability</w:t>
            </w:r>
          </w:p>
        </w:tc>
      </w:tr>
      <w:tr w:rsidR="00D35965" w:rsidRPr="00D35965" w14:paraId="1FDA1D08"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1DDBB39" w14:textId="77777777" w:rsidR="00D35965" w:rsidRPr="00D35965" w:rsidRDefault="00D35965" w:rsidP="00D35965">
            <w:pPr>
              <w:spacing w:before="0" w:line="240" w:lineRule="auto"/>
            </w:pPr>
            <w:r w:rsidRPr="00D35965">
              <w:rPr>
                <w:rFonts w:cs="Open Sans Light"/>
                <w:color w:val="000000"/>
                <w:szCs w:val="20"/>
              </w:rPr>
              <w:t>NCP</w:t>
            </w:r>
          </w:p>
        </w:tc>
        <w:tc>
          <w:tcPr>
            <w:tcW w:w="7204" w:type="dxa"/>
            <w:tcBorders>
              <w:top w:val="single" w:sz="4" w:space="0" w:color="ADD6EA"/>
              <w:left w:val="nil"/>
              <w:bottom w:val="single" w:sz="4" w:space="0" w:color="ADD6EA"/>
              <w:right w:val="nil"/>
            </w:tcBorders>
            <w:vAlign w:val="center"/>
            <w:hideMark/>
          </w:tcPr>
          <w:p w14:paraId="42646095" w14:textId="77777777" w:rsidR="00D35965" w:rsidRPr="00D35965" w:rsidRDefault="00D35965" w:rsidP="00D35965">
            <w:pPr>
              <w:spacing w:before="0" w:line="240" w:lineRule="auto"/>
            </w:pPr>
            <w:r w:rsidRPr="00D35965">
              <w:rPr>
                <w:rFonts w:cs="Open Sans Light"/>
                <w:color w:val="000000"/>
                <w:szCs w:val="20"/>
              </w:rPr>
              <w:t>National Capital Plan</w:t>
            </w:r>
          </w:p>
        </w:tc>
      </w:tr>
      <w:tr w:rsidR="00D35965" w:rsidRPr="00D35965" w14:paraId="0AAC3A34"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0D987AC6" w14:textId="77777777" w:rsidR="00D35965" w:rsidRPr="00D35965" w:rsidRDefault="00D35965" w:rsidP="00D35965">
            <w:pPr>
              <w:spacing w:before="0" w:line="240" w:lineRule="auto"/>
            </w:pPr>
            <w:r w:rsidRPr="00D35965">
              <w:rPr>
                <w:rFonts w:cs="Open Sans Light"/>
                <w:color w:val="000000"/>
                <w:szCs w:val="20"/>
              </w:rPr>
              <w:t>NCVER</w:t>
            </w:r>
          </w:p>
        </w:tc>
        <w:tc>
          <w:tcPr>
            <w:tcW w:w="7204" w:type="dxa"/>
            <w:tcBorders>
              <w:top w:val="single" w:sz="4" w:space="0" w:color="ADD6EA"/>
              <w:left w:val="nil"/>
              <w:bottom w:val="single" w:sz="4" w:space="0" w:color="ADD6EA"/>
              <w:right w:val="nil"/>
            </w:tcBorders>
            <w:vAlign w:val="center"/>
            <w:hideMark/>
          </w:tcPr>
          <w:p w14:paraId="2DAAC09E" w14:textId="77777777" w:rsidR="00D35965" w:rsidRPr="00D35965" w:rsidRDefault="00D35965" w:rsidP="00D35965">
            <w:pPr>
              <w:spacing w:before="0" w:line="240" w:lineRule="auto"/>
            </w:pPr>
            <w:r w:rsidRPr="00D35965">
              <w:rPr>
                <w:rFonts w:cs="Open Sans Light"/>
                <w:color w:val="000000"/>
                <w:szCs w:val="20"/>
              </w:rPr>
              <w:t>National Centre for Vocational Education Research</w:t>
            </w:r>
          </w:p>
        </w:tc>
      </w:tr>
      <w:tr w:rsidR="00D35965" w:rsidRPr="00D35965" w14:paraId="789AC482"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0C419757" w14:textId="77777777" w:rsidR="00D35965" w:rsidRPr="00D35965" w:rsidRDefault="00D35965" w:rsidP="00D35965">
            <w:pPr>
              <w:spacing w:before="0" w:line="240" w:lineRule="auto"/>
            </w:pPr>
            <w:r w:rsidRPr="00D35965">
              <w:rPr>
                <w:rFonts w:cs="Open Sans Light"/>
                <w:color w:val="000000"/>
                <w:szCs w:val="20"/>
              </w:rPr>
              <w:t>NDIA</w:t>
            </w:r>
          </w:p>
        </w:tc>
        <w:tc>
          <w:tcPr>
            <w:tcW w:w="7204" w:type="dxa"/>
            <w:tcBorders>
              <w:top w:val="single" w:sz="4" w:space="0" w:color="ADD6EA"/>
              <w:left w:val="nil"/>
              <w:bottom w:val="single" w:sz="4" w:space="0" w:color="ADD6EA"/>
              <w:right w:val="nil"/>
            </w:tcBorders>
            <w:vAlign w:val="center"/>
            <w:hideMark/>
          </w:tcPr>
          <w:p w14:paraId="4B578BCB" w14:textId="77777777" w:rsidR="00D35965" w:rsidRPr="00D35965" w:rsidRDefault="00D35965" w:rsidP="00D35965">
            <w:pPr>
              <w:spacing w:before="0" w:line="240" w:lineRule="auto"/>
            </w:pPr>
            <w:r w:rsidRPr="00D35965">
              <w:rPr>
                <w:rFonts w:cs="Open Sans Light"/>
                <w:color w:val="000000"/>
                <w:szCs w:val="20"/>
              </w:rPr>
              <w:t>National Disability Insurance Agency</w:t>
            </w:r>
          </w:p>
        </w:tc>
      </w:tr>
      <w:tr w:rsidR="00D35965" w:rsidRPr="00D35965" w14:paraId="2720D233"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471A04B" w14:textId="77777777" w:rsidR="00D35965" w:rsidRPr="00D35965" w:rsidRDefault="00D35965" w:rsidP="00D35965">
            <w:pPr>
              <w:spacing w:before="0" w:line="240" w:lineRule="auto"/>
            </w:pPr>
            <w:r w:rsidRPr="00D35965">
              <w:rPr>
                <w:rFonts w:cs="Open Sans Light"/>
                <w:color w:val="000000"/>
                <w:szCs w:val="20"/>
              </w:rPr>
              <w:t>NDIS</w:t>
            </w:r>
          </w:p>
        </w:tc>
        <w:tc>
          <w:tcPr>
            <w:tcW w:w="7204" w:type="dxa"/>
            <w:tcBorders>
              <w:top w:val="single" w:sz="4" w:space="0" w:color="ADD6EA"/>
              <w:left w:val="nil"/>
              <w:bottom w:val="single" w:sz="4" w:space="0" w:color="ADD6EA"/>
              <w:right w:val="nil"/>
            </w:tcBorders>
            <w:vAlign w:val="center"/>
            <w:hideMark/>
          </w:tcPr>
          <w:p w14:paraId="761F3AD4" w14:textId="77777777" w:rsidR="00D35965" w:rsidRPr="00D35965" w:rsidRDefault="00D35965" w:rsidP="00D35965">
            <w:pPr>
              <w:spacing w:before="0" w:line="240" w:lineRule="auto"/>
            </w:pPr>
            <w:r w:rsidRPr="00D35965">
              <w:rPr>
                <w:rFonts w:cs="Open Sans Light"/>
                <w:color w:val="000000"/>
                <w:szCs w:val="20"/>
              </w:rPr>
              <w:t>National Disability Insurance Scheme</w:t>
            </w:r>
          </w:p>
        </w:tc>
      </w:tr>
      <w:tr w:rsidR="00D35965" w:rsidRPr="00D35965" w14:paraId="6824321B"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312CB9AF" w14:textId="77777777" w:rsidR="00D35965" w:rsidRPr="00D35965" w:rsidRDefault="00D35965" w:rsidP="00D35965">
            <w:pPr>
              <w:spacing w:before="0" w:line="240" w:lineRule="auto"/>
            </w:pPr>
            <w:r w:rsidRPr="00D35965">
              <w:rPr>
                <w:rFonts w:cs="Open Sans Light"/>
                <w:color w:val="000000"/>
                <w:szCs w:val="20"/>
              </w:rPr>
              <w:t>NEC</w:t>
            </w:r>
          </w:p>
        </w:tc>
        <w:tc>
          <w:tcPr>
            <w:tcW w:w="7204" w:type="dxa"/>
            <w:tcBorders>
              <w:top w:val="single" w:sz="4" w:space="0" w:color="ADD6EA"/>
              <w:left w:val="nil"/>
              <w:bottom w:val="single" w:sz="4" w:space="0" w:color="ADD6EA"/>
              <w:right w:val="nil"/>
            </w:tcBorders>
            <w:vAlign w:val="center"/>
            <w:hideMark/>
          </w:tcPr>
          <w:p w14:paraId="1BDC292C" w14:textId="77777777" w:rsidR="00D35965" w:rsidRPr="00D35965" w:rsidRDefault="00D35965" w:rsidP="00D35965">
            <w:pPr>
              <w:spacing w:before="0" w:line="240" w:lineRule="auto"/>
            </w:pPr>
            <w:r w:rsidRPr="00D35965">
              <w:rPr>
                <w:rFonts w:cs="Open Sans Light"/>
                <w:color w:val="000000"/>
                <w:szCs w:val="20"/>
              </w:rPr>
              <w:t>National Efficient Cost</w:t>
            </w:r>
          </w:p>
        </w:tc>
      </w:tr>
      <w:tr w:rsidR="00D35965" w:rsidRPr="00D35965" w14:paraId="668F425D"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4FA32DB1" w14:textId="77777777" w:rsidR="00D35965" w:rsidRPr="00D35965" w:rsidRDefault="00D35965" w:rsidP="00D35965">
            <w:pPr>
              <w:spacing w:before="0" w:line="240" w:lineRule="auto"/>
            </w:pPr>
            <w:r w:rsidRPr="00D35965">
              <w:rPr>
                <w:rFonts w:cs="Open Sans Light"/>
                <w:color w:val="000000"/>
                <w:szCs w:val="20"/>
              </w:rPr>
              <w:t>NEM</w:t>
            </w:r>
          </w:p>
        </w:tc>
        <w:tc>
          <w:tcPr>
            <w:tcW w:w="7204" w:type="dxa"/>
            <w:tcBorders>
              <w:top w:val="single" w:sz="4" w:space="0" w:color="ADD6EA"/>
              <w:left w:val="nil"/>
              <w:bottom w:val="single" w:sz="4" w:space="0" w:color="ADD6EA"/>
              <w:right w:val="nil"/>
            </w:tcBorders>
            <w:vAlign w:val="center"/>
            <w:hideMark/>
          </w:tcPr>
          <w:p w14:paraId="421CD11E" w14:textId="77777777" w:rsidR="00D35965" w:rsidRPr="00D35965" w:rsidRDefault="00D35965" w:rsidP="00D35965">
            <w:pPr>
              <w:spacing w:before="0" w:line="240" w:lineRule="auto"/>
            </w:pPr>
            <w:r w:rsidRPr="00D35965">
              <w:rPr>
                <w:rFonts w:cs="Open Sans Light"/>
                <w:color w:val="000000"/>
                <w:szCs w:val="20"/>
              </w:rPr>
              <w:t>National Electricity Market</w:t>
            </w:r>
          </w:p>
        </w:tc>
      </w:tr>
      <w:tr w:rsidR="00D35965" w:rsidRPr="00D35965" w14:paraId="07D2272C"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20F1DB27" w14:textId="77777777" w:rsidR="00D35965" w:rsidRPr="00D35965" w:rsidRDefault="00D35965" w:rsidP="00D35965">
            <w:pPr>
              <w:spacing w:before="0" w:line="240" w:lineRule="auto"/>
            </w:pPr>
            <w:r w:rsidRPr="00D35965">
              <w:rPr>
                <w:rFonts w:cs="Open Sans Light"/>
                <w:color w:val="000000"/>
                <w:szCs w:val="20"/>
              </w:rPr>
              <w:t>NEP</w:t>
            </w:r>
          </w:p>
        </w:tc>
        <w:tc>
          <w:tcPr>
            <w:tcW w:w="7204" w:type="dxa"/>
            <w:tcBorders>
              <w:top w:val="single" w:sz="4" w:space="0" w:color="ADD6EA"/>
              <w:left w:val="nil"/>
              <w:bottom w:val="single" w:sz="4" w:space="0" w:color="ADD6EA"/>
              <w:right w:val="nil"/>
            </w:tcBorders>
            <w:vAlign w:val="center"/>
            <w:hideMark/>
          </w:tcPr>
          <w:p w14:paraId="79713A2F" w14:textId="77777777" w:rsidR="00D35965" w:rsidRPr="00D35965" w:rsidRDefault="00D35965" w:rsidP="00D35965">
            <w:pPr>
              <w:spacing w:before="0" w:line="240" w:lineRule="auto"/>
            </w:pPr>
            <w:r w:rsidRPr="00D35965">
              <w:rPr>
                <w:rFonts w:cs="Open Sans Light"/>
                <w:color w:val="000000"/>
                <w:szCs w:val="20"/>
              </w:rPr>
              <w:t xml:space="preserve">National Efficient Price </w:t>
            </w:r>
          </w:p>
        </w:tc>
      </w:tr>
      <w:tr w:rsidR="00D35965" w:rsidRPr="00D35965" w14:paraId="3B4C0AA5"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24356D79" w14:textId="77777777" w:rsidR="00D35965" w:rsidRPr="00D35965" w:rsidRDefault="00D35965" w:rsidP="00D35965">
            <w:pPr>
              <w:spacing w:before="0" w:line="240" w:lineRule="auto"/>
            </w:pPr>
            <w:r w:rsidRPr="00D35965">
              <w:rPr>
                <w:rFonts w:cs="Open Sans Light"/>
                <w:color w:val="000000"/>
                <w:szCs w:val="20"/>
              </w:rPr>
              <w:t>NERA</w:t>
            </w:r>
          </w:p>
        </w:tc>
        <w:tc>
          <w:tcPr>
            <w:tcW w:w="7204" w:type="dxa"/>
            <w:tcBorders>
              <w:top w:val="single" w:sz="4" w:space="0" w:color="ADD6EA"/>
              <w:left w:val="nil"/>
              <w:bottom w:val="single" w:sz="4" w:space="0" w:color="ADD6EA"/>
              <w:right w:val="nil"/>
            </w:tcBorders>
            <w:vAlign w:val="center"/>
            <w:hideMark/>
          </w:tcPr>
          <w:p w14:paraId="30B56E0F" w14:textId="77777777" w:rsidR="00D35965" w:rsidRPr="00D35965" w:rsidRDefault="00D35965" w:rsidP="00D35965">
            <w:pPr>
              <w:spacing w:before="0" w:line="240" w:lineRule="auto"/>
            </w:pPr>
            <w:r w:rsidRPr="00D35965">
              <w:rPr>
                <w:rFonts w:cs="Open Sans Light"/>
                <w:color w:val="000000"/>
                <w:szCs w:val="20"/>
              </w:rPr>
              <w:t>National Education Reform Agreement</w:t>
            </w:r>
          </w:p>
        </w:tc>
      </w:tr>
      <w:tr w:rsidR="00D35965" w:rsidRPr="00D35965" w14:paraId="301DEB8D"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F412392" w14:textId="77777777" w:rsidR="00D35965" w:rsidRPr="00D35965" w:rsidRDefault="00D35965" w:rsidP="00D35965">
            <w:pPr>
              <w:spacing w:before="0" w:line="240" w:lineRule="auto"/>
            </w:pPr>
            <w:r w:rsidRPr="00D35965">
              <w:rPr>
                <w:rFonts w:cs="Open Sans Light"/>
                <w:color w:val="000000"/>
                <w:szCs w:val="20"/>
              </w:rPr>
              <w:t>NFW</w:t>
            </w:r>
          </w:p>
        </w:tc>
        <w:tc>
          <w:tcPr>
            <w:tcW w:w="7204" w:type="dxa"/>
            <w:tcBorders>
              <w:top w:val="single" w:sz="4" w:space="0" w:color="ADD6EA"/>
              <w:left w:val="nil"/>
              <w:bottom w:val="single" w:sz="4" w:space="0" w:color="ADD6EA"/>
              <w:right w:val="nil"/>
            </w:tcBorders>
            <w:vAlign w:val="center"/>
            <w:hideMark/>
          </w:tcPr>
          <w:p w14:paraId="30FE8AC1" w14:textId="77777777" w:rsidR="00D35965" w:rsidRPr="00D35965" w:rsidRDefault="00D35965" w:rsidP="00D35965">
            <w:pPr>
              <w:spacing w:before="0" w:line="240" w:lineRule="auto"/>
            </w:pPr>
            <w:r w:rsidRPr="00D35965">
              <w:rPr>
                <w:rFonts w:cs="Open Sans Light"/>
                <w:color w:val="000000"/>
                <w:szCs w:val="20"/>
              </w:rPr>
              <w:t>Net financial worth</w:t>
            </w:r>
          </w:p>
        </w:tc>
      </w:tr>
      <w:tr w:rsidR="00D35965" w:rsidRPr="00D35965" w14:paraId="60646D19"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06E2471C" w14:textId="77777777" w:rsidR="00D35965" w:rsidRPr="00D35965" w:rsidRDefault="00D35965" w:rsidP="00D35965">
            <w:pPr>
              <w:spacing w:before="0" w:line="240" w:lineRule="auto"/>
            </w:pPr>
            <w:r w:rsidRPr="00D35965">
              <w:rPr>
                <w:rFonts w:cs="Open Sans Light"/>
                <w:color w:val="000000"/>
                <w:szCs w:val="20"/>
              </w:rPr>
              <w:t>NHCDC</w:t>
            </w:r>
          </w:p>
        </w:tc>
        <w:tc>
          <w:tcPr>
            <w:tcW w:w="7204" w:type="dxa"/>
            <w:tcBorders>
              <w:top w:val="single" w:sz="4" w:space="0" w:color="ADD6EA"/>
              <w:left w:val="nil"/>
              <w:bottom w:val="single" w:sz="4" w:space="0" w:color="ADD6EA"/>
              <w:right w:val="nil"/>
            </w:tcBorders>
            <w:vAlign w:val="center"/>
            <w:hideMark/>
          </w:tcPr>
          <w:p w14:paraId="31CEAA34" w14:textId="77777777" w:rsidR="00D35965" w:rsidRPr="00D35965" w:rsidRDefault="00D35965" w:rsidP="00D35965">
            <w:pPr>
              <w:spacing w:before="0" w:line="240" w:lineRule="auto"/>
            </w:pPr>
            <w:r w:rsidRPr="00D35965">
              <w:rPr>
                <w:rFonts w:cs="Open Sans Light"/>
                <w:color w:val="000000"/>
                <w:szCs w:val="20"/>
              </w:rPr>
              <w:t xml:space="preserve">National Hospital Cost Data Collection </w:t>
            </w:r>
          </w:p>
        </w:tc>
      </w:tr>
      <w:tr w:rsidR="00D35965" w:rsidRPr="00D35965" w14:paraId="30DCF67D"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07BA3A9E" w14:textId="77777777" w:rsidR="00D35965" w:rsidRPr="00D35965" w:rsidRDefault="00D35965" w:rsidP="00D35965">
            <w:pPr>
              <w:spacing w:before="0" w:line="240" w:lineRule="auto"/>
            </w:pPr>
            <w:r w:rsidRPr="00D35965">
              <w:rPr>
                <w:rFonts w:cs="Open Sans Light"/>
                <w:color w:val="000000"/>
                <w:szCs w:val="20"/>
              </w:rPr>
              <w:t>NHHA</w:t>
            </w:r>
          </w:p>
        </w:tc>
        <w:tc>
          <w:tcPr>
            <w:tcW w:w="7204" w:type="dxa"/>
            <w:tcBorders>
              <w:top w:val="single" w:sz="4" w:space="0" w:color="ADD6EA"/>
              <w:left w:val="nil"/>
              <w:bottom w:val="single" w:sz="4" w:space="0" w:color="ADD6EA"/>
              <w:right w:val="nil"/>
            </w:tcBorders>
            <w:vAlign w:val="center"/>
            <w:hideMark/>
          </w:tcPr>
          <w:p w14:paraId="0E676D68" w14:textId="77777777" w:rsidR="00D35965" w:rsidRPr="00D35965" w:rsidRDefault="00D35965" w:rsidP="00D35965">
            <w:pPr>
              <w:spacing w:before="0" w:line="240" w:lineRule="auto"/>
            </w:pPr>
            <w:r w:rsidRPr="00D35965">
              <w:rPr>
                <w:rFonts w:cs="Open Sans Light"/>
                <w:color w:val="000000"/>
                <w:szCs w:val="20"/>
              </w:rPr>
              <w:t>National Housing and Homelessness Agreement</w:t>
            </w:r>
          </w:p>
        </w:tc>
      </w:tr>
      <w:tr w:rsidR="00D35965" w:rsidRPr="00D35965" w14:paraId="6A23CDA2"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27E8ECBB" w14:textId="77777777" w:rsidR="00D35965" w:rsidRPr="00D35965" w:rsidRDefault="00D35965" w:rsidP="00D35965">
            <w:pPr>
              <w:spacing w:before="0" w:line="240" w:lineRule="auto"/>
            </w:pPr>
            <w:r w:rsidRPr="00D35965">
              <w:rPr>
                <w:rFonts w:cs="Open Sans Light"/>
                <w:color w:val="000000"/>
                <w:szCs w:val="20"/>
              </w:rPr>
              <w:t>NHR</w:t>
            </w:r>
          </w:p>
        </w:tc>
        <w:tc>
          <w:tcPr>
            <w:tcW w:w="7204" w:type="dxa"/>
            <w:tcBorders>
              <w:top w:val="single" w:sz="4" w:space="0" w:color="ADD6EA"/>
              <w:left w:val="nil"/>
              <w:bottom w:val="single" w:sz="4" w:space="0" w:color="ADD6EA"/>
              <w:right w:val="nil"/>
            </w:tcBorders>
            <w:vAlign w:val="center"/>
            <w:hideMark/>
          </w:tcPr>
          <w:p w14:paraId="2DCE9B2D" w14:textId="77777777" w:rsidR="00D35965" w:rsidRPr="00D35965" w:rsidRDefault="00D35965" w:rsidP="00D35965">
            <w:pPr>
              <w:spacing w:before="0" w:line="240" w:lineRule="auto"/>
            </w:pPr>
            <w:r w:rsidRPr="00D35965">
              <w:rPr>
                <w:rFonts w:cs="Open Sans Light"/>
                <w:color w:val="000000"/>
                <w:szCs w:val="20"/>
              </w:rPr>
              <w:t>National Health Reform</w:t>
            </w:r>
          </w:p>
        </w:tc>
      </w:tr>
      <w:tr w:rsidR="00D35965" w:rsidRPr="00D35965" w14:paraId="5D676A65"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7A94BA35" w14:textId="77777777" w:rsidR="00D35965" w:rsidRPr="00D35965" w:rsidRDefault="00D35965" w:rsidP="00D35965">
            <w:pPr>
              <w:spacing w:before="0" w:line="240" w:lineRule="auto"/>
            </w:pPr>
            <w:r w:rsidRPr="00D35965">
              <w:rPr>
                <w:rFonts w:cs="Open Sans Light"/>
                <w:color w:val="000000"/>
                <w:szCs w:val="20"/>
              </w:rPr>
              <w:t>NHRA</w:t>
            </w:r>
          </w:p>
        </w:tc>
        <w:tc>
          <w:tcPr>
            <w:tcW w:w="7204" w:type="dxa"/>
            <w:tcBorders>
              <w:top w:val="single" w:sz="4" w:space="0" w:color="ADD6EA"/>
              <w:left w:val="nil"/>
              <w:bottom w:val="single" w:sz="4" w:space="0" w:color="ADD6EA"/>
              <w:right w:val="nil"/>
            </w:tcBorders>
            <w:vAlign w:val="center"/>
            <w:hideMark/>
          </w:tcPr>
          <w:p w14:paraId="36B874D9" w14:textId="77777777" w:rsidR="00D35965" w:rsidRPr="00D35965" w:rsidRDefault="00D35965" w:rsidP="00D35965">
            <w:pPr>
              <w:spacing w:before="0" w:line="240" w:lineRule="auto"/>
            </w:pPr>
            <w:r w:rsidRPr="00D35965">
              <w:rPr>
                <w:rFonts w:cs="Open Sans Light"/>
                <w:color w:val="000000"/>
                <w:szCs w:val="20"/>
              </w:rPr>
              <w:t xml:space="preserve">National Health Reform Agreement </w:t>
            </w:r>
          </w:p>
        </w:tc>
      </w:tr>
      <w:tr w:rsidR="00D35965" w:rsidRPr="00D35965" w14:paraId="1E77A744"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3697C0E" w14:textId="77777777" w:rsidR="00D35965" w:rsidRPr="00D35965" w:rsidRDefault="00D35965" w:rsidP="00D35965">
            <w:pPr>
              <w:spacing w:before="0" w:line="240" w:lineRule="auto"/>
            </w:pPr>
            <w:r w:rsidRPr="00D35965">
              <w:rPr>
                <w:rFonts w:cs="Open Sans Light"/>
                <w:color w:val="000000"/>
                <w:szCs w:val="20"/>
              </w:rPr>
              <w:t>NISEIFA</w:t>
            </w:r>
          </w:p>
        </w:tc>
        <w:tc>
          <w:tcPr>
            <w:tcW w:w="7204" w:type="dxa"/>
            <w:tcBorders>
              <w:top w:val="single" w:sz="4" w:space="0" w:color="ADD6EA"/>
              <w:left w:val="nil"/>
              <w:bottom w:val="single" w:sz="4" w:space="0" w:color="ADD6EA"/>
              <w:right w:val="nil"/>
            </w:tcBorders>
            <w:vAlign w:val="center"/>
            <w:hideMark/>
          </w:tcPr>
          <w:p w14:paraId="60C91D58" w14:textId="77777777" w:rsidR="00D35965" w:rsidRPr="00D35965" w:rsidRDefault="00D35965" w:rsidP="00D35965">
            <w:pPr>
              <w:spacing w:before="0" w:line="240" w:lineRule="auto"/>
            </w:pPr>
            <w:r w:rsidRPr="00D35965">
              <w:rPr>
                <w:rFonts w:cs="Open Sans Light"/>
                <w:color w:val="000000"/>
                <w:szCs w:val="20"/>
              </w:rPr>
              <w:t>Non-Indigenous Socioeconomic Index for Areas</w:t>
            </w:r>
          </w:p>
        </w:tc>
      </w:tr>
      <w:tr w:rsidR="00D35965" w:rsidRPr="00D35965" w14:paraId="12335927"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F589D90" w14:textId="77777777" w:rsidR="00D35965" w:rsidRPr="00D35965" w:rsidRDefault="00D35965" w:rsidP="00D35965">
            <w:pPr>
              <w:spacing w:before="0" w:line="240" w:lineRule="auto"/>
            </w:pPr>
            <w:r w:rsidRPr="00D35965">
              <w:rPr>
                <w:rFonts w:cs="Open Sans Light"/>
                <w:color w:val="000000"/>
                <w:szCs w:val="20"/>
              </w:rPr>
              <w:t>NNR</w:t>
            </w:r>
          </w:p>
        </w:tc>
        <w:tc>
          <w:tcPr>
            <w:tcW w:w="7204" w:type="dxa"/>
            <w:tcBorders>
              <w:top w:val="single" w:sz="4" w:space="0" w:color="ADD6EA"/>
              <w:left w:val="nil"/>
              <w:bottom w:val="single" w:sz="4" w:space="0" w:color="ADD6EA"/>
              <w:right w:val="nil"/>
            </w:tcBorders>
            <w:vAlign w:val="center"/>
            <w:hideMark/>
          </w:tcPr>
          <w:p w14:paraId="35A1908E" w14:textId="77777777" w:rsidR="00D35965" w:rsidRPr="00D35965" w:rsidRDefault="00D35965" w:rsidP="00D35965">
            <w:pPr>
              <w:spacing w:before="0" w:line="240" w:lineRule="auto"/>
            </w:pPr>
            <w:r w:rsidRPr="00D35965">
              <w:rPr>
                <w:rFonts w:cs="Open Sans Light"/>
                <w:color w:val="000000"/>
                <w:szCs w:val="20"/>
              </w:rPr>
              <w:t>National network roads</w:t>
            </w:r>
          </w:p>
        </w:tc>
      </w:tr>
      <w:tr w:rsidR="00D35965" w:rsidRPr="00D35965" w14:paraId="4E0D1908"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6EFDE2C" w14:textId="77777777" w:rsidR="00D35965" w:rsidRPr="00D35965" w:rsidRDefault="00D35965" w:rsidP="00D35965">
            <w:pPr>
              <w:spacing w:before="0" w:line="240" w:lineRule="auto"/>
            </w:pPr>
            <w:r w:rsidRPr="00D35965">
              <w:rPr>
                <w:rFonts w:cs="Open Sans Light"/>
                <w:color w:val="000000"/>
                <w:szCs w:val="20"/>
              </w:rPr>
              <w:t>NPPs</w:t>
            </w:r>
          </w:p>
        </w:tc>
        <w:tc>
          <w:tcPr>
            <w:tcW w:w="7204" w:type="dxa"/>
            <w:tcBorders>
              <w:top w:val="single" w:sz="4" w:space="0" w:color="ADD6EA"/>
              <w:left w:val="nil"/>
              <w:bottom w:val="single" w:sz="4" w:space="0" w:color="ADD6EA"/>
              <w:right w:val="nil"/>
            </w:tcBorders>
            <w:vAlign w:val="center"/>
            <w:hideMark/>
          </w:tcPr>
          <w:p w14:paraId="4B2B0FE1" w14:textId="77777777" w:rsidR="00D35965" w:rsidRPr="00D35965" w:rsidRDefault="00D35965" w:rsidP="00D35965">
            <w:pPr>
              <w:spacing w:before="0" w:line="240" w:lineRule="auto"/>
            </w:pPr>
            <w:r w:rsidRPr="00D35965">
              <w:rPr>
                <w:rFonts w:cs="Open Sans Light"/>
                <w:color w:val="000000"/>
                <w:szCs w:val="20"/>
              </w:rPr>
              <w:t>National partnership payments</w:t>
            </w:r>
          </w:p>
        </w:tc>
      </w:tr>
      <w:tr w:rsidR="00D35965" w:rsidRPr="00D35965" w14:paraId="425F79D9"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7863021" w14:textId="77777777" w:rsidR="00D35965" w:rsidRPr="00D35965" w:rsidRDefault="00D35965" w:rsidP="00D35965">
            <w:pPr>
              <w:spacing w:before="0" w:line="240" w:lineRule="auto"/>
            </w:pPr>
            <w:r w:rsidRPr="00D35965">
              <w:rPr>
                <w:rFonts w:cs="Open Sans Light"/>
                <w:color w:val="000000"/>
                <w:szCs w:val="20"/>
              </w:rPr>
              <w:t>NPRH</w:t>
            </w:r>
          </w:p>
        </w:tc>
        <w:tc>
          <w:tcPr>
            <w:tcW w:w="7204" w:type="dxa"/>
            <w:tcBorders>
              <w:top w:val="single" w:sz="4" w:space="0" w:color="ADD6EA"/>
              <w:left w:val="nil"/>
              <w:bottom w:val="single" w:sz="4" w:space="0" w:color="ADD6EA"/>
              <w:right w:val="nil"/>
            </w:tcBorders>
            <w:vAlign w:val="center"/>
            <w:hideMark/>
          </w:tcPr>
          <w:p w14:paraId="21F1553B" w14:textId="77777777" w:rsidR="00D35965" w:rsidRPr="00D35965" w:rsidRDefault="00D35965" w:rsidP="00D35965">
            <w:pPr>
              <w:spacing w:before="0" w:line="240" w:lineRule="auto"/>
            </w:pPr>
            <w:r w:rsidRPr="00D35965">
              <w:rPr>
                <w:rFonts w:cs="Open Sans Light"/>
                <w:color w:val="000000"/>
                <w:szCs w:val="20"/>
              </w:rPr>
              <w:t>National Partnership on Remote Housing</w:t>
            </w:r>
          </w:p>
        </w:tc>
      </w:tr>
      <w:tr w:rsidR="00D35965" w:rsidRPr="00D35965" w14:paraId="70D5A4DD"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3D24343" w14:textId="77777777" w:rsidR="00D35965" w:rsidRPr="00D35965" w:rsidRDefault="00D35965" w:rsidP="00D35965">
            <w:pPr>
              <w:spacing w:before="0" w:line="240" w:lineRule="auto"/>
            </w:pPr>
            <w:r w:rsidRPr="00D35965">
              <w:rPr>
                <w:rFonts w:cs="Open Sans Light"/>
                <w:color w:val="000000"/>
                <w:szCs w:val="20"/>
              </w:rPr>
              <w:t>NRN</w:t>
            </w:r>
          </w:p>
        </w:tc>
        <w:tc>
          <w:tcPr>
            <w:tcW w:w="7204" w:type="dxa"/>
            <w:tcBorders>
              <w:top w:val="single" w:sz="4" w:space="0" w:color="ADD6EA"/>
              <w:left w:val="nil"/>
              <w:bottom w:val="single" w:sz="4" w:space="0" w:color="ADD6EA"/>
              <w:right w:val="nil"/>
            </w:tcBorders>
            <w:vAlign w:val="center"/>
            <w:hideMark/>
          </w:tcPr>
          <w:p w14:paraId="146B3B7B" w14:textId="77777777" w:rsidR="00D35965" w:rsidRPr="00D35965" w:rsidRDefault="00D35965" w:rsidP="00D35965">
            <w:pPr>
              <w:spacing w:before="0" w:line="240" w:lineRule="auto"/>
            </w:pPr>
            <w:r w:rsidRPr="00D35965">
              <w:rPr>
                <w:rFonts w:cs="Open Sans Light"/>
                <w:color w:val="000000"/>
                <w:szCs w:val="20"/>
              </w:rPr>
              <w:t>National Rail Network</w:t>
            </w:r>
          </w:p>
        </w:tc>
      </w:tr>
      <w:tr w:rsidR="00D35965" w:rsidRPr="00D35965" w14:paraId="57F55E99"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4F22A18E" w14:textId="77777777" w:rsidR="00D35965" w:rsidRPr="00D35965" w:rsidRDefault="00D35965" w:rsidP="00D35965">
            <w:pPr>
              <w:spacing w:before="0" w:line="240" w:lineRule="auto"/>
            </w:pPr>
            <w:r w:rsidRPr="00D35965">
              <w:rPr>
                <w:rFonts w:cs="Open Sans Light"/>
                <w:color w:val="000000"/>
                <w:szCs w:val="20"/>
              </w:rPr>
              <w:t>NSPPs</w:t>
            </w:r>
          </w:p>
        </w:tc>
        <w:tc>
          <w:tcPr>
            <w:tcW w:w="7204" w:type="dxa"/>
            <w:tcBorders>
              <w:top w:val="single" w:sz="4" w:space="0" w:color="ADD6EA"/>
              <w:left w:val="nil"/>
              <w:bottom w:val="single" w:sz="4" w:space="0" w:color="ADD6EA"/>
              <w:right w:val="nil"/>
            </w:tcBorders>
            <w:vAlign w:val="center"/>
            <w:hideMark/>
          </w:tcPr>
          <w:p w14:paraId="7E9C9462" w14:textId="77777777" w:rsidR="00D35965" w:rsidRPr="00D35965" w:rsidRDefault="00D35965" w:rsidP="00D35965">
            <w:pPr>
              <w:spacing w:before="0" w:line="240" w:lineRule="auto"/>
            </w:pPr>
            <w:r w:rsidRPr="00D35965">
              <w:rPr>
                <w:rFonts w:cs="Open Sans Light"/>
                <w:color w:val="000000"/>
                <w:szCs w:val="20"/>
              </w:rPr>
              <w:t>National Specific Purpose Payments</w:t>
            </w:r>
          </w:p>
        </w:tc>
      </w:tr>
      <w:tr w:rsidR="00D35965" w:rsidRPr="00D35965" w14:paraId="45DEC564"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7B3AFC1B" w14:textId="77777777" w:rsidR="00D35965" w:rsidRPr="00D35965" w:rsidRDefault="00D35965" w:rsidP="00D35965">
            <w:pPr>
              <w:spacing w:before="0" w:line="240" w:lineRule="auto"/>
            </w:pPr>
            <w:r w:rsidRPr="00D35965">
              <w:rPr>
                <w:rFonts w:cs="Open Sans Light"/>
                <w:color w:val="000000"/>
                <w:szCs w:val="20"/>
              </w:rPr>
              <w:t>NSRA</w:t>
            </w:r>
          </w:p>
        </w:tc>
        <w:tc>
          <w:tcPr>
            <w:tcW w:w="7204" w:type="dxa"/>
            <w:tcBorders>
              <w:top w:val="single" w:sz="4" w:space="0" w:color="ADD6EA"/>
              <w:left w:val="nil"/>
              <w:bottom w:val="single" w:sz="4" w:space="0" w:color="ADD6EA"/>
              <w:right w:val="nil"/>
            </w:tcBorders>
            <w:vAlign w:val="center"/>
            <w:hideMark/>
          </w:tcPr>
          <w:p w14:paraId="20E68090" w14:textId="77777777" w:rsidR="00D35965" w:rsidRPr="00D35965" w:rsidRDefault="00D35965" w:rsidP="00D35965">
            <w:pPr>
              <w:spacing w:before="0" w:line="240" w:lineRule="auto"/>
            </w:pPr>
            <w:r w:rsidRPr="00D35965">
              <w:rPr>
                <w:rFonts w:cs="Open Sans Light"/>
                <w:color w:val="000000"/>
                <w:szCs w:val="20"/>
              </w:rPr>
              <w:t>National School Reform Agreement</w:t>
            </w:r>
          </w:p>
        </w:tc>
      </w:tr>
      <w:tr w:rsidR="00D35965" w:rsidRPr="00D35965" w14:paraId="7990EC0E"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0E476632" w14:textId="77777777" w:rsidR="00D35965" w:rsidRPr="00D35965" w:rsidRDefault="00D35965" w:rsidP="00D35965">
            <w:pPr>
              <w:spacing w:before="0" w:line="240" w:lineRule="auto"/>
            </w:pPr>
            <w:r w:rsidRPr="00D35965">
              <w:rPr>
                <w:rFonts w:cs="Open Sans Light"/>
                <w:color w:val="000000"/>
                <w:szCs w:val="20"/>
              </w:rPr>
              <w:t>NTC</w:t>
            </w:r>
          </w:p>
        </w:tc>
        <w:tc>
          <w:tcPr>
            <w:tcW w:w="7204" w:type="dxa"/>
            <w:tcBorders>
              <w:top w:val="single" w:sz="4" w:space="0" w:color="ADD6EA"/>
              <w:left w:val="nil"/>
              <w:bottom w:val="single" w:sz="4" w:space="0" w:color="ADD6EA"/>
              <w:right w:val="nil"/>
            </w:tcBorders>
            <w:vAlign w:val="center"/>
            <w:hideMark/>
          </w:tcPr>
          <w:p w14:paraId="64284FF9" w14:textId="77777777" w:rsidR="00D35965" w:rsidRPr="00D35965" w:rsidRDefault="00D35965" w:rsidP="00D35965">
            <w:pPr>
              <w:spacing w:before="0" w:line="240" w:lineRule="auto"/>
            </w:pPr>
            <w:r w:rsidRPr="00D35965">
              <w:rPr>
                <w:rFonts w:cs="Open Sans Light"/>
                <w:color w:val="000000"/>
                <w:szCs w:val="20"/>
              </w:rPr>
              <w:t>National Transport Commission</w:t>
            </w:r>
          </w:p>
        </w:tc>
      </w:tr>
      <w:tr w:rsidR="00D35965" w:rsidRPr="00D35965" w14:paraId="624585E6"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47BCC4CE" w14:textId="77777777" w:rsidR="00D35965" w:rsidRPr="00D35965" w:rsidRDefault="00D35965" w:rsidP="00D35965">
            <w:pPr>
              <w:spacing w:before="0" w:line="240" w:lineRule="auto"/>
            </w:pPr>
            <w:r w:rsidRPr="00D35965">
              <w:rPr>
                <w:rFonts w:cs="Open Sans Light"/>
                <w:color w:val="000000"/>
                <w:szCs w:val="20"/>
              </w:rPr>
              <w:t>NWAU</w:t>
            </w:r>
          </w:p>
        </w:tc>
        <w:tc>
          <w:tcPr>
            <w:tcW w:w="7204" w:type="dxa"/>
            <w:tcBorders>
              <w:top w:val="single" w:sz="4" w:space="0" w:color="ADD6EA"/>
              <w:left w:val="nil"/>
              <w:bottom w:val="single" w:sz="4" w:space="0" w:color="ADD6EA"/>
              <w:right w:val="nil"/>
            </w:tcBorders>
            <w:vAlign w:val="center"/>
            <w:hideMark/>
          </w:tcPr>
          <w:p w14:paraId="2FD6E615" w14:textId="77777777" w:rsidR="00D35965" w:rsidRPr="00D35965" w:rsidRDefault="00D35965" w:rsidP="00D35965">
            <w:pPr>
              <w:spacing w:before="0" w:line="240" w:lineRule="auto"/>
            </w:pPr>
            <w:r w:rsidRPr="00D35965">
              <w:rPr>
                <w:rFonts w:cs="Open Sans Light"/>
                <w:color w:val="000000"/>
                <w:szCs w:val="20"/>
              </w:rPr>
              <w:t>National Weighted Activity Unit</w:t>
            </w:r>
          </w:p>
        </w:tc>
      </w:tr>
      <w:tr w:rsidR="00D35965" w:rsidRPr="00D35965" w14:paraId="04DB1A78"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202EB354" w14:textId="77777777" w:rsidR="00D35965" w:rsidRPr="00D35965" w:rsidRDefault="00D35965" w:rsidP="00D35965">
            <w:pPr>
              <w:spacing w:before="0" w:line="240" w:lineRule="auto"/>
            </w:pPr>
            <w:r w:rsidRPr="00D35965">
              <w:rPr>
                <w:rFonts w:cs="Open Sans Light"/>
                <w:color w:val="000000"/>
                <w:szCs w:val="20"/>
              </w:rPr>
              <w:t>NWAUs</w:t>
            </w:r>
          </w:p>
        </w:tc>
        <w:tc>
          <w:tcPr>
            <w:tcW w:w="7204" w:type="dxa"/>
            <w:tcBorders>
              <w:top w:val="single" w:sz="4" w:space="0" w:color="ADD6EA"/>
              <w:left w:val="nil"/>
              <w:bottom w:val="single" w:sz="4" w:space="0" w:color="ADD6EA"/>
              <w:right w:val="nil"/>
            </w:tcBorders>
            <w:vAlign w:val="center"/>
            <w:hideMark/>
          </w:tcPr>
          <w:p w14:paraId="3AA27123" w14:textId="77777777" w:rsidR="00D35965" w:rsidRPr="00D35965" w:rsidRDefault="00D35965" w:rsidP="00D35965">
            <w:pPr>
              <w:spacing w:before="0" w:line="240" w:lineRule="auto"/>
            </w:pPr>
            <w:r w:rsidRPr="00D35965">
              <w:rPr>
                <w:rFonts w:cs="Open Sans Light"/>
                <w:color w:val="000000"/>
                <w:szCs w:val="20"/>
              </w:rPr>
              <w:t>National Weighted Activity Units</w:t>
            </w:r>
          </w:p>
        </w:tc>
      </w:tr>
      <w:tr w:rsidR="00D35965" w:rsidRPr="00D35965" w14:paraId="57B7895D"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4931D65" w14:textId="77777777" w:rsidR="00D35965" w:rsidRPr="00D35965" w:rsidRDefault="00D35965" w:rsidP="00D35965">
            <w:pPr>
              <w:spacing w:before="0" w:line="240" w:lineRule="auto"/>
            </w:pPr>
            <w:r w:rsidRPr="00D35965">
              <w:rPr>
                <w:rFonts w:cs="Open Sans Light"/>
                <w:color w:val="000000"/>
                <w:szCs w:val="20"/>
              </w:rPr>
              <w:t>NWIPP</w:t>
            </w:r>
          </w:p>
        </w:tc>
        <w:tc>
          <w:tcPr>
            <w:tcW w:w="7204" w:type="dxa"/>
            <w:tcBorders>
              <w:top w:val="single" w:sz="4" w:space="0" w:color="ADD6EA"/>
              <w:left w:val="nil"/>
              <w:bottom w:val="single" w:sz="4" w:space="0" w:color="ADD6EA"/>
              <w:right w:val="nil"/>
            </w:tcBorders>
            <w:vAlign w:val="center"/>
            <w:hideMark/>
          </w:tcPr>
          <w:p w14:paraId="7ADBA78B" w14:textId="77777777" w:rsidR="00D35965" w:rsidRPr="00D35965" w:rsidRDefault="00D35965" w:rsidP="00D35965">
            <w:pPr>
              <w:spacing w:before="0" w:line="240" w:lineRule="auto"/>
            </w:pPr>
            <w:r w:rsidRPr="00D35965">
              <w:rPr>
                <w:rFonts w:cs="Open Sans Light"/>
                <w:color w:val="000000"/>
                <w:szCs w:val="20"/>
              </w:rPr>
              <w:t>National Water Initiative Pricing Principles</w:t>
            </w:r>
          </w:p>
        </w:tc>
      </w:tr>
      <w:tr w:rsidR="00D35965" w:rsidRPr="00D35965" w14:paraId="3683FC41"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371D9704" w14:textId="77777777" w:rsidR="00D35965" w:rsidRPr="00D35965" w:rsidRDefault="00D35965" w:rsidP="00D35965">
            <w:pPr>
              <w:spacing w:before="0" w:line="240" w:lineRule="auto"/>
            </w:pPr>
            <w:r w:rsidRPr="00D35965">
              <w:rPr>
                <w:rFonts w:cs="Open Sans Light"/>
                <w:color w:val="000000"/>
                <w:szCs w:val="20"/>
              </w:rPr>
              <w:t>NWIS</w:t>
            </w:r>
          </w:p>
        </w:tc>
        <w:tc>
          <w:tcPr>
            <w:tcW w:w="7204" w:type="dxa"/>
            <w:tcBorders>
              <w:top w:val="single" w:sz="4" w:space="0" w:color="ADD6EA"/>
              <w:left w:val="nil"/>
              <w:bottom w:val="single" w:sz="4" w:space="0" w:color="ADD6EA"/>
              <w:right w:val="nil"/>
            </w:tcBorders>
            <w:vAlign w:val="center"/>
            <w:hideMark/>
          </w:tcPr>
          <w:p w14:paraId="05375351" w14:textId="77777777" w:rsidR="00D35965" w:rsidRPr="00D35965" w:rsidRDefault="00D35965" w:rsidP="00D35965">
            <w:pPr>
              <w:spacing w:before="0" w:line="240" w:lineRule="auto"/>
            </w:pPr>
            <w:r w:rsidRPr="00D35965">
              <w:rPr>
                <w:rFonts w:cs="Open Sans Light"/>
                <w:color w:val="000000"/>
                <w:szCs w:val="20"/>
              </w:rPr>
              <w:t>North West Interconnected System</w:t>
            </w:r>
          </w:p>
        </w:tc>
      </w:tr>
      <w:tr w:rsidR="00D35965" w:rsidRPr="00D35965" w14:paraId="55F3C4A7"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00711B70" w14:textId="77777777" w:rsidR="00D35965" w:rsidRPr="00D35965" w:rsidRDefault="00D35965" w:rsidP="00D35965">
            <w:pPr>
              <w:spacing w:before="0" w:line="240" w:lineRule="auto"/>
            </w:pPr>
            <w:r w:rsidRPr="00D35965">
              <w:rPr>
                <w:rFonts w:cs="Open Sans Light"/>
                <w:color w:val="000000"/>
                <w:szCs w:val="20"/>
              </w:rPr>
              <w:t>NWS</w:t>
            </w:r>
          </w:p>
        </w:tc>
        <w:tc>
          <w:tcPr>
            <w:tcW w:w="7204" w:type="dxa"/>
            <w:tcBorders>
              <w:top w:val="single" w:sz="4" w:space="0" w:color="ADD6EA"/>
              <w:left w:val="nil"/>
              <w:bottom w:val="single" w:sz="4" w:space="0" w:color="ADD6EA"/>
              <w:right w:val="nil"/>
            </w:tcBorders>
            <w:vAlign w:val="center"/>
            <w:hideMark/>
          </w:tcPr>
          <w:p w14:paraId="0E3658A7" w14:textId="77777777" w:rsidR="00D35965" w:rsidRPr="00D35965" w:rsidRDefault="00D35965" w:rsidP="00D35965">
            <w:pPr>
              <w:spacing w:before="0" w:line="240" w:lineRule="auto"/>
            </w:pPr>
            <w:r w:rsidRPr="00D35965">
              <w:rPr>
                <w:rFonts w:cs="Open Sans Light"/>
                <w:color w:val="000000"/>
                <w:szCs w:val="20"/>
              </w:rPr>
              <w:t>North West Shelf</w:t>
            </w:r>
          </w:p>
        </w:tc>
      </w:tr>
      <w:tr w:rsidR="00D35965" w:rsidRPr="00D35965" w14:paraId="4576EE8F"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03CC12AD" w14:textId="77777777" w:rsidR="00D35965" w:rsidRPr="00D35965" w:rsidRDefault="00D35965" w:rsidP="00D35965">
            <w:pPr>
              <w:spacing w:before="0" w:line="240" w:lineRule="auto"/>
            </w:pPr>
            <w:r w:rsidRPr="00D35965">
              <w:rPr>
                <w:rFonts w:cs="Open Sans Light"/>
                <w:color w:val="000000"/>
                <w:szCs w:val="20"/>
              </w:rPr>
              <w:t>OOHC</w:t>
            </w:r>
          </w:p>
        </w:tc>
        <w:tc>
          <w:tcPr>
            <w:tcW w:w="7204" w:type="dxa"/>
            <w:tcBorders>
              <w:top w:val="single" w:sz="4" w:space="0" w:color="ADD6EA"/>
              <w:left w:val="nil"/>
              <w:bottom w:val="single" w:sz="4" w:space="0" w:color="ADD6EA"/>
              <w:right w:val="nil"/>
            </w:tcBorders>
            <w:vAlign w:val="center"/>
            <w:hideMark/>
          </w:tcPr>
          <w:p w14:paraId="46F5241B" w14:textId="77777777" w:rsidR="00D35965" w:rsidRPr="00D35965" w:rsidRDefault="00D35965" w:rsidP="00D35965">
            <w:pPr>
              <w:spacing w:before="0" w:line="240" w:lineRule="auto"/>
            </w:pPr>
            <w:r w:rsidRPr="00D35965">
              <w:rPr>
                <w:rFonts w:cs="Open Sans Light"/>
                <w:color w:val="000000"/>
                <w:szCs w:val="20"/>
              </w:rPr>
              <w:t>Out-of-home-care</w:t>
            </w:r>
          </w:p>
        </w:tc>
      </w:tr>
      <w:tr w:rsidR="00D35965" w:rsidRPr="00D35965" w14:paraId="483D6DE8"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7EAABA1D" w14:textId="77777777" w:rsidR="00D35965" w:rsidRPr="00D35965" w:rsidRDefault="00D35965" w:rsidP="00D35965">
            <w:pPr>
              <w:spacing w:before="0" w:line="240" w:lineRule="auto"/>
            </w:pPr>
            <w:r w:rsidRPr="00D35965">
              <w:rPr>
                <w:rFonts w:cs="Open Sans Light"/>
                <w:color w:val="000000"/>
                <w:szCs w:val="20"/>
              </w:rPr>
              <w:t>PATS</w:t>
            </w:r>
          </w:p>
        </w:tc>
        <w:tc>
          <w:tcPr>
            <w:tcW w:w="7204" w:type="dxa"/>
            <w:tcBorders>
              <w:top w:val="single" w:sz="4" w:space="0" w:color="ADD6EA"/>
              <w:left w:val="nil"/>
              <w:bottom w:val="single" w:sz="4" w:space="0" w:color="ADD6EA"/>
              <w:right w:val="nil"/>
            </w:tcBorders>
            <w:vAlign w:val="center"/>
            <w:hideMark/>
          </w:tcPr>
          <w:p w14:paraId="76B2E663" w14:textId="77777777" w:rsidR="00D35965" w:rsidRPr="00D35965" w:rsidRDefault="00D35965" w:rsidP="00D35965">
            <w:pPr>
              <w:spacing w:before="0" w:line="240" w:lineRule="auto"/>
            </w:pPr>
            <w:r w:rsidRPr="00D35965">
              <w:rPr>
                <w:rFonts w:cs="Open Sans Light"/>
                <w:color w:val="000000"/>
                <w:szCs w:val="20"/>
              </w:rPr>
              <w:t>Patient Assisted Travel/Transport Scheme</w:t>
            </w:r>
          </w:p>
        </w:tc>
      </w:tr>
      <w:tr w:rsidR="00D35965" w:rsidRPr="00D35965" w14:paraId="6419ECB0"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77AE468D" w14:textId="77777777" w:rsidR="00D35965" w:rsidRPr="00D35965" w:rsidRDefault="00D35965" w:rsidP="00D35965">
            <w:pPr>
              <w:spacing w:before="0" w:line="240" w:lineRule="auto"/>
            </w:pPr>
            <w:r w:rsidRPr="00D35965">
              <w:rPr>
                <w:rFonts w:cs="Open Sans Light"/>
                <w:color w:val="000000"/>
                <w:szCs w:val="20"/>
              </w:rPr>
              <w:t>PC</w:t>
            </w:r>
          </w:p>
        </w:tc>
        <w:tc>
          <w:tcPr>
            <w:tcW w:w="7204" w:type="dxa"/>
            <w:tcBorders>
              <w:top w:val="single" w:sz="4" w:space="0" w:color="ADD6EA"/>
              <w:left w:val="nil"/>
              <w:bottom w:val="single" w:sz="4" w:space="0" w:color="ADD6EA"/>
              <w:right w:val="nil"/>
            </w:tcBorders>
            <w:vAlign w:val="center"/>
            <w:hideMark/>
          </w:tcPr>
          <w:p w14:paraId="73D5974A" w14:textId="77777777" w:rsidR="00D35965" w:rsidRPr="00D35965" w:rsidRDefault="00D35965" w:rsidP="00D35965">
            <w:pPr>
              <w:spacing w:before="0" w:line="240" w:lineRule="auto"/>
            </w:pPr>
            <w:r w:rsidRPr="00D35965">
              <w:rPr>
                <w:rFonts w:cs="Open Sans Light"/>
                <w:color w:val="000000"/>
                <w:szCs w:val="20"/>
              </w:rPr>
              <w:t>Productivity Commission</w:t>
            </w:r>
          </w:p>
        </w:tc>
      </w:tr>
      <w:tr w:rsidR="00D35965" w:rsidRPr="00D35965" w14:paraId="20C20153"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19A110D" w14:textId="77777777" w:rsidR="00D35965" w:rsidRPr="00D35965" w:rsidRDefault="00D35965" w:rsidP="00D35965">
            <w:pPr>
              <w:spacing w:before="0" w:line="240" w:lineRule="auto"/>
            </w:pPr>
            <w:r w:rsidRPr="00D35965">
              <w:rPr>
                <w:rFonts w:cs="Open Sans Light"/>
                <w:color w:val="000000"/>
                <w:szCs w:val="20"/>
              </w:rPr>
              <w:t>PCC</w:t>
            </w:r>
          </w:p>
        </w:tc>
        <w:tc>
          <w:tcPr>
            <w:tcW w:w="7204" w:type="dxa"/>
            <w:tcBorders>
              <w:top w:val="single" w:sz="4" w:space="0" w:color="ADD6EA"/>
              <w:left w:val="nil"/>
              <w:bottom w:val="single" w:sz="4" w:space="0" w:color="ADD6EA"/>
              <w:right w:val="nil"/>
            </w:tcBorders>
            <w:vAlign w:val="center"/>
            <w:hideMark/>
          </w:tcPr>
          <w:p w14:paraId="1E8CF5E4" w14:textId="77777777" w:rsidR="00D35965" w:rsidRPr="00D35965" w:rsidRDefault="00D35965" w:rsidP="00D35965">
            <w:pPr>
              <w:spacing w:before="0" w:line="240" w:lineRule="auto"/>
            </w:pPr>
            <w:r w:rsidRPr="00D35965">
              <w:rPr>
                <w:rFonts w:cs="Open Sans Light"/>
                <w:color w:val="000000"/>
                <w:szCs w:val="20"/>
              </w:rPr>
              <w:t>Pensioner concession card</w:t>
            </w:r>
          </w:p>
        </w:tc>
      </w:tr>
      <w:tr w:rsidR="00D35965" w:rsidRPr="00D35965" w14:paraId="7F0BC42D"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4DB98A4B" w14:textId="77777777" w:rsidR="00D35965" w:rsidRPr="00D35965" w:rsidRDefault="00D35965" w:rsidP="00D35965">
            <w:pPr>
              <w:spacing w:before="0" w:line="240" w:lineRule="auto"/>
            </w:pPr>
            <w:r w:rsidRPr="00D35965">
              <w:rPr>
                <w:rFonts w:cs="Open Sans Light"/>
                <w:color w:val="000000"/>
                <w:szCs w:val="20"/>
              </w:rPr>
              <w:t>PFC</w:t>
            </w:r>
          </w:p>
        </w:tc>
        <w:tc>
          <w:tcPr>
            <w:tcW w:w="7204" w:type="dxa"/>
            <w:tcBorders>
              <w:top w:val="single" w:sz="4" w:space="0" w:color="ADD6EA"/>
              <w:left w:val="nil"/>
              <w:bottom w:val="single" w:sz="4" w:space="0" w:color="ADD6EA"/>
              <w:right w:val="nil"/>
            </w:tcBorders>
            <w:vAlign w:val="center"/>
            <w:hideMark/>
          </w:tcPr>
          <w:p w14:paraId="61FB417A" w14:textId="77777777" w:rsidR="00D35965" w:rsidRPr="00D35965" w:rsidRDefault="00D35965" w:rsidP="00D35965">
            <w:pPr>
              <w:spacing w:before="0" w:line="240" w:lineRule="auto"/>
            </w:pPr>
            <w:r w:rsidRPr="00D35965">
              <w:rPr>
                <w:rFonts w:cs="Open Sans Light"/>
                <w:color w:val="000000"/>
                <w:szCs w:val="20"/>
              </w:rPr>
              <w:t>Public financial corporation</w:t>
            </w:r>
          </w:p>
        </w:tc>
      </w:tr>
      <w:tr w:rsidR="00D35965" w:rsidRPr="00D35965" w14:paraId="5686DCDB"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0171F0E8" w14:textId="77777777" w:rsidR="00D35965" w:rsidRPr="00D35965" w:rsidRDefault="00D35965" w:rsidP="00D35965">
            <w:pPr>
              <w:spacing w:before="0" w:line="240" w:lineRule="auto"/>
            </w:pPr>
            <w:r w:rsidRPr="00D35965">
              <w:rPr>
                <w:rFonts w:cs="Open Sans Light"/>
                <w:color w:val="000000"/>
                <w:szCs w:val="20"/>
              </w:rPr>
              <w:t>PH</w:t>
            </w:r>
          </w:p>
        </w:tc>
        <w:tc>
          <w:tcPr>
            <w:tcW w:w="7204" w:type="dxa"/>
            <w:tcBorders>
              <w:top w:val="single" w:sz="4" w:space="0" w:color="ADD6EA"/>
              <w:left w:val="nil"/>
              <w:bottom w:val="single" w:sz="4" w:space="0" w:color="ADD6EA"/>
              <w:right w:val="nil"/>
            </w:tcBorders>
            <w:vAlign w:val="center"/>
            <w:hideMark/>
          </w:tcPr>
          <w:p w14:paraId="0B339FD1" w14:textId="77777777" w:rsidR="00D35965" w:rsidRPr="00D35965" w:rsidRDefault="00D35965" w:rsidP="00D35965">
            <w:pPr>
              <w:spacing w:before="0" w:line="240" w:lineRule="auto"/>
            </w:pPr>
            <w:r w:rsidRPr="00D35965">
              <w:rPr>
                <w:rFonts w:cs="Open Sans Light"/>
                <w:color w:val="000000"/>
                <w:szCs w:val="20"/>
              </w:rPr>
              <w:t>Public Housing</w:t>
            </w:r>
          </w:p>
        </w:tc>
      </w:tr>
      <w:tr w:rsidR="00D35965" w:rsidRPr="00D35965" w14:paraId="77E0131E"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0ED3B14A" w14:textId="77777777" w:rsidR="00D35965" w:rsidRPr="00D35965" w:rsidRDefault="00D35965" w:rsidP="00D35965">
            <w:pPr>
              <w:spacing w:before="0" w:line="240" w:lineRule="auto"/>
            </w:pPr>
            <w:r w:rsidRPr="00D35965">
              <w:rPr>
                <w:rFonts w:cs="Open Sans Light"/>
                <w:color w:val="000000"/>
                <w:szCs w:val="20"/>
              </w:rPr>
              <w:t>PNFC</w:t>
            </w:r>
          </w:p>
        </w:tc>
        <w:tc>
          <w:tcPr>
            <w:tcW w:w="7204" w:type="dxa"/>
            <w:tcBorders>
              <w:top w:val="single" w:sz="4" w:space="0" w:color="ADD6EA"/>
              <w:left w:val="nil"/>
              <w:bottom w:val="single" w:sz="4" w:space="0" w:color="ADD6EA"/>
              <w:right w:val="nil"/>
            </w:tcBorders>
            <w:vAlign w:val="center"/>
            <w:hideMark/>
          </w:tcPr>
          <w:p w14:paraId="6A451914" w14:textId="77777777" w:rsidR="00D35965" w:rsidRPr="00D35965" w:rsidRDefault="00D35965" w:rsidP="00D35965">
            <w:pPr>
              <w:spacing w:before="0" w:line="240" w:lineRule="auto"/>
            </w:pPr>
            <w:r w:rsidRPr="00D35965">
              <w:rPr>
                <w:rFonts w:cs="Open Sans Light"/>
                <w:color w:val="000000"/>
                <w:szCs w:val="20"/>
              </w:rPr>
              <w:t>Public non-financial corporations</w:t>
            </w:r>
          </w:p>
        </w:tc>
      </w:tr>
      <w:tr w:rsidR="00D35965" w:rsidRPr="00D35965" w14:paraId="0115BE4C"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A4A5397" w14:textId="77777777" w:rsidR="00D35965" w:rsidRPr="00D35965" w:rsidRDefault="00D35965" w:rsidP="00D35965">
            <w:pPr>
              <w:spacing w:before="0" w:line="240" w:lineRule="auto"/>
            </w:pPr>
            <w:r w:rsidRPr="00D35965">
              <w:rPr>
                <w:rFonts w:cs="Open Sans Light"/>
                <w:color w:val="000000"/>
                <w:szCs w:val="20"/>
              </w:rPr>
              <w:t>PNFS</w:t>
            </w:r>
          </w:p>
        </w:tc>
        <w:tc>
          <w:tcPr>
            <w:tcW w:w="7204" w:type="dxa"/>
            <w:tcBorders>
              <w:top w:val="single" w:sz="4" w:space="0" w:color="ADD6EA"/>
              <w:left w:val="nil"/>
              <w:bottom w:val="single" w:sz="4" w:space="0" w:color="ADD6EA"/>
              <w:right w:val="nil"/>
            </w:tcBorders>
            <w:vAlign w:val="center"/>
            <w:hideMark/>
          </w:tcPr>
          <w:p w14:paraId="4075C510" w14:textId="77777777" w:rsidR="00D35965" w:rsidRPr="00D35965" w:rsidRDefault="00D35965" w:rsidP="00D35965">
            <w:pPr>
              <w:spacing w:before="0" w:line="240" w:lineRule="auto"/>
            </w:pPr>
            <w:r w:rsidRPr="00D35965">
              <w:rPr>
                <w:rFonts w:cs="Open Sans Light"/>
                <w:color w:val="000000"/>
                <w:szCs w:val="20"/>
              </w:rPr>
              <w:t>Public non-financial sector</w:t>
            </w:r>
          </w:p>
        </w:tc>
      </w:tr>
      <w:tr w:rsidR="00D35965" w:rsidRPr="00D35965" w14:paraId="0C3910A7"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3A322806" w14:textId="77777777" w:rsidR="00D35965" w:rsidRPr="00D35965" w:rsidRDefault="00D35965" w:rsidP="00D35965">
            <w:pPr>
              <w:spacing w:before="0" w:line="240" w:lineRule="auto"/>
            </w:pPr>
            <w:r w:rsidRPr="00D35965">
              <w:rPr>
                <w:rFonts w:cs="Open Sans Light"/>
                <w:color w:val="000000"/>
                <w:szCs w:val="20"/>
              </w:rPr>
              <w:t>PoC</w:t>
            </w:r>
          </w:p>
        </w:tc>
        <w:tc>
          <w:tcPr>
            <w:tcW w:w="7204" w:type="dxa"/>
            <w:tcBorders>
              <w:top w:val="single" w:sz="4" w:space="0" w:color="ADD6EA"/>
              <w:left w:val="nil"/>
              <w:bottom w:val="single" w:sz="4" w:space="0" w:color="ADD6EA"/>
              <w:right w:val="nil"/>
            </w:tcBorders>
            <w:vAlign w:val="center"/>
            <w:hideMark/>
          </w:tcPr>
          <w:p w14:paraId="313653C9" w14:textId="77777777" w:rsidR="00D35965" w:rsidRPr="00D35965" w:rsidRDefault="00D35965" w:rsidP="00D35965">
            <w:pPr>
              <w:spacing w:before="0" w:line="240" w:lineRule="auto"/>
            </w:pPr>
            <w:r w:rsidRPr="00D35965">
              <w:rPr>
                <w:rFonts w:cs="Open Sans Light"/>
                <w:color w:val="000000"/>
                <w:szCs w:val="20"/>
              </w:rPr>
              <w:t>Point of consumption</w:t>
            </w:r>
          </w:p>
        </w:tc>
      </w:tr>
      <w:tr w:rsidR="00D35965" w:rsidRPr="00D35965" w14:paraId="28FF21BD"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044086DA" w14:textId="77777777" w:rsidR="00D35965" w:rsidRPr="00D35965" w:rsidRDefault="00D35965" w:rsidP="00D35965">
            <w:pPr>
              <w:spacing w:before="0" w:line="240" w:lineRule="auto"/>
            </w:pPr>
            <w:r w:rsidRPr="00D35965">
              <w:rPr>
                <w:rFonts w:cs="Open Sans Light"/>
                <w:color w:val="000000"/>
                <w:szCs w:val="20"/>
              </w:rPr>
              <w:t>PPPs</w:t>
            </w:r>
          </w:p>
        </w:tc>
        <w:tc>
          <w:tcPr>
            <w:tcW w:w="7204" w:type="dxa"/>
            <w:tcBorders>
              <w:top w:val="single" w:sz="4" w:space="0" w:color="ADD6EA"/>
              <w:left w:val="nil"/>
              <w:bottom w:val="single" w:sz="4" w:space="0" w:color="ADD6EA"/>
              <w:right w:val="nil"/>
            </w:tcBorders>
            <w:vAlign w:val="center"/>
            <w:hideMark/>
          </w:tcPr>
          <w:p w14:paraId="3A8204CE" w14:textId="77777777" w:rsidR="00D35965" w:rsidRPr="00D35965" w:rsidRDefault="00D35965" w:rsidP="00D35965">
            <w:pPr>
              <w:spacing w:before="0" w:line="240" w:lineRule="auto"/>
            </w:pPr>
            <w:r w:rsidRPr="00D35965">
              <w:rPr>
                <w:rFonts w:cs="Open Sans Light"/>
                <w:color w:val="000000"/>
                <w:szCs w:val="20"/>
              </w:rPr>
              <w:t>Public Private Partnerships</w:t>
            </w:r>
          </w:p>
        </w:tc>
      </w:tr>
      <w:tr w:rsidR="00D35965" w:rsidRPr="00D35965" w14:paraId="0B218561"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EBE0D66" w14:textId="77777777" w:rsidR="00D35965" w:rsidRPr="00D35965" w:rsidRDefault="00D35965" w:rsidP="00D35965">
            <w:pPr>
              <w:spacing w:before="0" w:line="240" w:lineRule="auto"/>
            </w:pPr>
            <w:r w:rsidRPr="00D35965">
              <w:rPr>
                <w:rFonts w:cs="Open Sans Light"/>
                <w:color w:val="000000"/>
                <w:szCs w:val="20"/>
              </w:rPr>
              <w:lastRenderedPageBreak/>
              <w:t>PRRT</w:t>
            </w:r>
          </w:p>
        </w:tc>
        <w:tc>
          <w:tcPr>
            <w:tcW w:w="7204" w:type="dxa"/>
            <w:tcBorders>
              <w:top w:val="single" w:sz="4" w:space="0" w:color="ADD6EA"/>
              <w:left w:val="nil"/>
              <w:bottom w:val="single" w:sz="4" w:space="0" w:color="ADD6EA"/>
              <w:right w:val="nil"/>
            </w:tcBorders>
            <w:vAlign w:val="center"/>
            <w:hideMark/>
          </w:tcPr>
          <w:p w14:paraId="3C14F5AB" w14:textId="77777777" w:rsidR="00D35965" w:rsidRPr="00D35965" w:rsidRDefault="00D35965" w:rsidP="00D35965">
            <w:pPr>
              <w:spacing w:before="0" w:line="240" w:lineRule="auto"/>
            </w:pPr>
            <w:r w:rsidRPr="00D35965">
              <w:rPr>
                <w:rFonts w:cs="Open Sans Light"/>
                <w:color w:val="000000"/>
                <w:szCs w:val="20"/>
              </w:rPr>
              <w:t>Petroleum Resource Rent Tax</w:t>
            </w:r>
          </w:p>
        </w:tc>
      </w:tr>
      <w:tr w:rsidR="00D35965" w:rsidRPr="00D35965" w14:paraId="61165E96"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20068F11" w14:textId="77777777" w:rsidR="00D35965" w:rsidRPr="00D35965" w:rsidRDefault="00D35965" w:rsidP="00D35965">
            <w:pPr>
              <w:spacing w:before="0" w:line="240" w:lineRule="auto"/>
            </w:pPr>
            <w:r w:rsidRPr="00D35965">
              <w:rPr>
                <w:rFonts w:cs="Open Sans Light"/>
                <w:color w:val="000000"/>
                <w:szCs w:val="20"/>
              </w:rPr>
              <w:t>PSLA</w:t>
            </w:r>
          </w:p>
        </w:tc>
        <w:tc>
          <w:tcPr>
            <w:tcW w:w="7204" w:type="dxa"/>
            <w:tcBorders>
              <w:top w:val="single" w:sz="4" w:space="0" w:color="ADD6EA"/>
              <w:left w:val="nil"/>
              <w:bottom w:val="single" w:sz="4" w:space="0" w:color="ADD6EA"/>
              <w:right w:val="nil"/>
            </w:tcBorders>
            <w:vAlign w:val="center"/>
            <w:hideMark/>
          </w:tcPr>
          <w:p w14:paraId="36AB34D3" w14:textId="77777777" w:rsidR="00D35965" w:rsidRPr="00D35965" w:rsidRDefault="00D35965" w:rsidP="00D35965">
            <w:pPr>
              <w:spacing w:before="0" w:line="240" w:lineRule="auto"/>
            </w:pPr>
            <w:r w:rsidRPr="00D35965">
              <w:rPr>
                <w:rFonts w:cs="Open Sans Light"/>
                <w:color w:val="000000"/>
                <w:szCs w:val="20"/>
              </w:rPr>
              <w:t>Petroleum (Submerged Lands) Act</w:t>
            </w:r>
          </w:p>
        </w:tc>
      </w:tr>
      <w:tr w:rsidR="00D35965" w:rsidRPr="00D35965" w14:paraId="34123FBD"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32379BD3" w14:textId="77777777" w:rsidR="00D35965" w:rsidRPr="00D35965" w:rsidRDefault="00D35965" w:rsidP="00D35965">
            <w:pPr>
              <w:spacing w:before="0" w:line="240" w:lineRule="auto"/>
            </w:pPr>
            <w:r w:rsidRPr="00D35965">
              <w:rPr>
                <w:rFonts w:cs="Open Sans Light"/>
                <w:color w:val="000000"/>
                <w:szCs w:val="20"/>
              </w:rPr>
              <w:t>PSPs</w:t>
            </w:r>
          </w:p>
        </w:tc>
        <w:tc>
          <w:tcPr>
            <w:tcW w:w="7204" w:type="dxa"/>
            <w:tcBorders>
              <w:top w:val="single" w:sz="4" w:space="0" w:color="ADD6EA"/>
              <w:left w:val="nil"/>
              <w:bottom w:val="single" w:sz="4" w:space="0" w:color="ADD6EA"/>
              <w:right w:val="nil"/>
            </w:tcBorders>
            <w:vAlign w:val="center"/>
            <w:hideMark/>
          </w:tcPr>
          <w:p w14:paraId="1A61C6BF" w14:textId="77777777" w:rsidR="00D35965" w:rsidRPr="00D35965" w:rsidRDefault="00D35965" w:rsidP="00D35965">
            <w:pPr>
              <w:spacing w:before="0" w:line="240" w:lineRule="auto"/>
            </w:pPr>
            <w:r w:rsidRPr="00D35965">
              <w:rPr>
                <w:rFonts w:cs="Open Sans Light"/>
                <w:color w:val="000000"/>
                <w:szCs w:val="20"/>
              </w:rPr>
              <w:t>Payments for specific purposes</w:t>
            </w:r>
          </w:p>
        </w:tc>
      </w:tr>
      <w:tr w:rsidR="00D35965" w:rsidRPr="00D35965" w14:paraId="3DE374E0"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3B2411E6" w14:textId="77777777" w:rsidR="00D35965" w:rsidRPr="00D35965" w:rsidRDefault="00D35965" w:rsidP="00D35965">
            <w:pPr>
              <w:spacing w:before="0" w:line="240" w:lineRule="auto"/>
            </w:pPr>
            <w:r w:rsidRPr="00D35965">
              <w:rPr>
                <w:rFonts w:cs="Open Sans Light"/>
                <w:color w:val="000000"/>
                <w:szCs w:val="20"/>
              </w:rPr>
              <w:t>PSS</w:t>
            </w:r>
          </w:p>
        </w:tc>
        <w:tc>
          <w:tcPr>
            <w:tcW w:w="7204" w:type="dxa"/>
            <w:tcBorders>
              <w:top w:val="single" w:sz="4" w:space="0" w:color="ADD6EA"/>
              <w:left w:val="nil"/>
              <w:bottom w:val="single" w:sz="4" w:space="0" w:color="ADD6EA"/>
              <w:right w:val="nil"/>
            </w:tcBorders>
            <w:vAlign w:val="center"/>
            <w:hideMark/>
          </w:tcPr>
          <w:p w14:paraId="71CF6F08" w14:textId="77777777" w:rsidR="00D35965" w:rsidRPr="00D35965" w:rsidRDefault="00D35965" w:rsidP="00D35965">
            <w:pPr>
              <w:spacing w:before="0" w:line="240" w:lineRule="auto"/>
            </w:pPr>
            <w:r w:rsidRPr="00D35965">
              <w:rPr>
                <w:rFonts w:cs="Open Sans Light"/>
                <w:color w:val="000000"/>
                <w:szCs w:val="20"/>
              </w:rPr>
              <w:t>Public Sector Superannuation scheme</w:t>
            </w:r>
          </w:p>
        </w:tc>
      </w:tr>
      <w:tr w:rsidR="00D35965" w:rsidRPr="00D35965" w14:paraId="1D2F1567"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A078FAA" w14:textId="77777777" w:rsidR="00D35965" w:rsidRPr="00D35965" w:rsidRDefault="00D35965" w:rsidP="00D35965">
            <w:pPr>
              <w:spacing w:before="0" w:line="240" w:lineRule="auto"/>
            </w:pPr>
            <w:r w:rsidRPr="00D35965">
              <w:rPr>
                <w:rFonts w:cs="Open Sans Light"/>
                <w:color w:val="000000"/>
                <w:szCs w:val="20"/>
              </w:rPr>
              <w:t>PWD</w:t>
            </w:r>
          </w:p>
        </w:tc>
        <w:tc>
          <w:tcPr>
            <w:tcW w:w="7204" w:type="dxa"/>
            <w:tcBorders>
              <w:top w:val="single" w:sz="4" w:space="0" w:color="ADD6EA"/>
              <w:left w:val="nil"/>
              <w:bottom w:val="single" w:sz="4" w:space="0" w:color="ADD6EA"/>
              <w:right w:val="nil"/>
            </w:tcBorders>
            <w:vAlign w:val="center"/>
            <w:hideMark/>
          </w:tcPr>
          <w:p w14:paraId="6F1F41E0" w14:textId="77777777" w:rsidR="00D35965" w:rsidRPr="00D35965" w:rsidRDefault="00D35965" w:rsidP="00D35965">
            <w:pPr>
              <w:spacing w:before="0" w:line="240" w:lineRule="auto"/>
            </w:pPr>
            <w:r w:rsidRPr="00D35965">
              <w:rPr>
                <w:rFonts w:cs="Open Sans Light"/>
                <w:color w:val="000000"/>
                <w:szCs w:val="20"/>
              </w:rPr>
              <w:t>Population-weighted density</w:t>
            </w:r>
          </w:p>
        </w:tc>
      </w:tr>
      <w:tr w:rsidR="00D35965" w:rsidRPr="00D35965" w14:paraId="3295EA41"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3254E0F8" w14:textId="77777777" w:rsidR="00D35965" w:rsidRPr="00D35965" w:rsidRDefault="00D35965" w:rsidP="00D35965">
            <w:pPr>
              <w:spacing w:before="0" w:line="240" w:lineRule="auto"/>
            </w:pPr>
            <w:r w:rsidRPr="00D35965">
              <w:rPr>
                <w:rFonts w:cs="Open Sans Light"/>
                <w:color w:val="000000"/>
                <w:szCs w:val="20"/>
              </w:rPr>
              <w:t>RC</w:t>
            </w:r>
          </w:p>
        </w:tc>
        <w:tc>
          <w:tcPr>
            <w:tcW w:w="7204" w:type="dxa"/>
            <w:tcBorders>
              <w:top w:val="single" w:sz="4" w:space="0" w:color="ADD6EA"/>
              <w:left w:val="nil"/>
              <w:bottom w:val="single" w:sz="4" w:space="0" w:color="ADD6EA"/>
              <w:right w:val="nil"/>
            </w:tcBorders>
            <w:vAlign w:val="center"/>
            <w:hideMark/>
          </w:tcPr>
          <w:p w14:paraId="7D4747AE" w14:textId="77777777" w:rsidR="00D35965" w:rsidRPr="00D35965" w:rsidRDefault="00D35965" w:rsidP="00D35965">
            <w:pPr>
              <w:spacing w:before="0" w:line="240" w:lineRule="auto"/>
            </w:pPr>
            <w:r w:rsidRPr="00D35965">
              <w:rPr>
                <w:rFonts w:cs="Open Sans Light"/>
                <w:color w:val="000000"/>
                <w:szCs w:val="20"/>
              </w:rPr>
              <w:t>Regional costs</w:t>
            </w:r>
          </w:p>
        </w:tc>
      </w:tr>
      <w:tr w:rsidR="00D35965" w:rsidRPr="00D35965" w14:paraId="299B4D9A"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3C4885D2" w14:textId="77777777" w:rsidR="00D35965" w:rsidRPr="00D35965" w:rsidRDefault="00D35965" w:rsidP="00D35965">
            <w:pPr>
              <w:spacing w:before="0" w:line="240" w:lineRule="auto"/>
            </w:pPr>
            <w:r w:rsidRPr="00D35965">
              <w:rPr>
                <w:rFonts w:cs="Open Sans Light"/>
                <w:color w:val="000000"/>
                <w:szCs w:val="20"/>
              </w:rPr>
              <w:t>RCM</w:t>
            </w:r>
          </w:p>
        </w:tc>
        <w:tc>
          <w:tcPr>
            <w:tcW w:w="7204" w:type="dxa"/>
            <w:tcBorders>
              <w:top w:val="single" w:sz="4" w:space="0" w:color="ADD6EA"/>
              <w:left w:val="nil"/>
              <w:bottom w:val="single" w:sz="4" w:space="0" w:color="ADD6EA"/>
              <w:right w:val="nil"/>
            </w:tcBorders>
            <w:vAlign w:val="center"/>
            <w:hideMark/>
          </w:tcPr>
          <w:p w14:paraId="4542AAB2" w14:textId="77777777" w:rsidR="00D35965" w:rsidRPr="00D35965" w:rsidRDefault="00D35965" w:rsidP="00D35965">
            <w:pPr>
              <w:spacing w:before="0" w:line="240" w:lineRule="auto"/>
            </w:pPr>
            <w:r w:rsidRPr="00D35965">
              <w:rPr>
                <w:rFonts w:cs="Open Sans Light"/>
                <w:color w:val="000000"/>
                <w:szCs w:val="20"/>
              </w:rPr>
              <w:t>Reserve Capacity Mechanism</w:t>
            </w:r>
          </w:p>
        </w:tc>
      </w:tr>
      <w:tr w:rsidR="00D35965" w:rsidRPr="00D35965" w14:paraId="2572BBE9"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45FCC5BE" w14:textId="77777777" w:rsidR="00D35965" w:rsidRPr="00D35965" w:rsidRDefault="00D35965" w:rsidP="00D35965">
            <w:pPr>
              <w:spacing w:before="0" w:line="240" w:lineRule="auto"/>
            </w:pPr>
            <w:r w:rsidRPr="00D35965">
              <w:rPr>
                <w:rFonts w:cs="Open Sans Light"/>
                <w:color w:val="000000"/>
                <w:szCs w:val="20"/>
              </w:rPr>
              <w:t>RoGS</w:t>
            </w:r>
          </w:p>
        </w:tc>
        <w:tc>
          <w:tcPr>
            <w:tcW w:w="7204" w:type="dxa"/>
            <w:tcBorders>
              <w:top w:val="single" w:sz="4" w:space="0" w:color="ADD6EA"/>
              <w:left w:val="nil"/>
              <w:bottom w:val="single" w:sz="4" w:space="0" w:color="ADD6EA"/>
              <w:right w:val="nil"/>
            </w:tcBorders>
            <w:vAlign w:val="center"/>
            <w:hideMark/>
          </w:tcPr>
          <w:p w14:paraId="0D3AD7BA" w14:textId="77777777" w:rsidR="00D35965" w:rsidRPr="00D35965" w:rsidRDefault="00D35965" w:rsidP="00D35965">
            <w:pPr>
              <w:spacing w:before="0" w:line="240" w:lineRule="auto"/>
            </w:pPr>
            <w:r w:rsidRPr="00D35965">
              <w:rPr>
                <w:rFonts w:cs="Open Sans Light"/>
                <w:color w:val="000000"/>
                <w:szCs w:val="20"/>
              </w:rPr>
              <w:t>Report on Government Services</w:t>
            </w:r>
          </w:p>
        </w:tc>
      </w:tr>
      <w:tr w:rsidR="00D35965" w:rsidRPr="00D35965" w14:paraId="0F6DF759"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3D9F9C1B" w14:textId="77777777" w:rsidR="00D35965" w:rsidRPr="00D35965" w:rsidRDefault="00D35965" w:rsidP="00D35965">
            <w:pPr>
              <w:spacing w:before="0" w:line="240" w:lineRule="auto"/>
            </w:pPr>
            <w:r w:rsidRPr="00D35965">
              <w:rPr>
                <w:rFonts w:cs="Open Sans Light"/>
                <w:color w:val="000000"/>
                <w:szCs w:val="20"/>
              </w:rPr>
              <w:t>RTOs</w:t>
            </w:r>
          </w:p>
        </w:tc>
        <w:tc>
          <w:tcPr>
            <w:tcW w:w="7204" w:type="dxa"/>
            <w:tcBorders>
              <w:top w:val="single" w:sz="4" w:space="0" w:color="ADD6EA"/>
              <w:left w:val="nil"/>
              <w:bottom w:val="single" w:sz="4" w:space="0" w:color="ADD6EA"/>
              <w:right w:val="nil"/>
            </w:tcBorders>
            <w:vAlign w:val="center"/>
            <w:hideMark/>
          </w:tcPr>
          <w:p w14:paraId="2F349612" w14:textId="77777777" w:rsidR="00D35965" w:rsidRPr="00D35965" w:rsidRDefault="00D35965" w:rsidP="00D35965">
            <w:pPr>
              <w:spacing w:before="0" w:line="240" w:lineRule="auto"/>
            </w:pPr>
            <w:r w:rsidRPr="00D35965">
              <w:rPr>
                <w:rFonts w:cs="Open Sans Light"/>
                <w:color w:val="000000"/>
                <w:szCs w:val="20"/>
              </w:rPr>
              <w:t>Registered training organisations</w:t>
            </w:r>
          </w:p>
        </w:tc>
      </w:tr>
      <w:tr w:rsidR="00D35965" w:rsidRPr="00D35965" w14:paraId="6FAAA3FD"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08B6DDC3" w14:textId="77777777" w:rsidR="00D35965" w:rsidRPr="00D35965" w:rsidRDefault="00D35965" w:rsidP="00D35965">
            <w:pPr>
              <w:spacing w:before="0" w:line="240" w:lineRule="auto"/>
            </w:pPr>
            <w:r w:rsidRPr="00D35965">
              <w:rPr>
                <w:rFonts w:cs="Open Sans Light"/>
                <w:color w:val="000000"/>
                <w:szCs w:val="20"/>
              </w:rPr>
              <w:t>SA1</w:t>
            </w:r>
          </w:p>
        </w:tc>
        <w:tc>
          <w:tcPr>
            <w:tcW w:w="7204" w:type="dxa"/>
            <w:tcBorders>
              <w:top w:val="single" w:sz="4" w:space="0" w:color="ADD6EA"/>
              <w:left w:val="nil"/>
              <w:bottom w:val="single" w:sz="4" w:space="0" w:color="ADD6EA"/>
              <w:right w:val="nil"/>
            </w:tcBorders>
            <w:vAlign w:val="center"/>
            <w:hideMark/>
          </w:tcPr>
          <w:p w14:paraId="6A663FCE" w14:textId="77777777" w:rsidR="00D35965" w:rsidRPr="00D35965" w:rsidRDefault="00D35965" w:rsidP="00D35965">
            <w:pPr>
              <w:spacing w:before="0" w:line="240" w:lineRule="auto"/>
            </w:pPr>
            <w:r w:rsidRPr="00D35965">
              <w:rPr>
                <w:rFonts w:cs="Open Sans Light"/>
                <w:color w:val="000000"/>
                <w:szCs w:val="20"/>
              </w:rPr>
              <w:t>Statistical Area Level 1</w:t>
            </w:r>
          </w:p>
        </w:tc>
      </w:tr>
      <w:tr w:rsidR="00D35965" w:rsidRPr="00D35965" w14:paraId="27D2145C"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00621F2B" w14:textId="77777777" w:rsidR="00D35965" w:rsidRPr="00D35965" w:rsidRDefault="00D35965" w:rsidP="00D35965">
            <w:pPr>
              <w:spacing w:before="0" w:line="240" w:lineRule="auto"/>
            </w:pPr>
            <w:r w:rsidRPr="00D35965">
              <w:rPr>
                <w:rFonts w:cs="Open Sans Light"/>
                <w:color w:val="000000"/>
                <w:szCs w:val="20"/>
              </w:rPr>
              <w:t>SA2</w:t>
            </w:r>
          </w:p>
        </w:tc>
        <w:tc>
          <w:tcPr>
            <w:tcW w:w="7204" w:type="dxa"/>
            <w:tcBorders>
              <w:top w:val="single" w:sz="4" w:space="0" w:color="ADD6EA"/>
              <w:left w:val="nil"/>
              <w:bottom w:val="single" w:sz="4" w:space="0" w:color="ADD6EA"/>
              <w:right w:val="nil"/>
            </w:tcBorders>
            <w:vAlign w:val="center"/>
            <w:hideMark/>
          </w:tcPr>
          <w:p w14:paraId="4F526AA5" w14:textId="77777777" w:rsidR="00D35965" w:rsidRPr="00D35965" w:rsidRDefault="00D35965" w:rsidP="00D35965">
            <w:pPr>
              <w:spacing w:before="0" w:line="240" w:lineRule="auto"/>
            </w:pPr>
            <w:r w:rsidRPr="00D35965">
              <w:rPr>
                <w:rFonts w:cs="Open Sans Light"/>
                <w:color w:val="000000"/>
                <w:szCs w:val="20"/>
              </w:rPr>
              <w:t>Statistical Area Level 2</w:t>
            </w:r>
          </w:p>
        </w:tc>
      </w:tr>
      <w:tr w:rsidR="00D35965" w:rsidRPr="00D35965" w14:paraId="08495FAA"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4163DC2C" w14:textId="77777777" w:rsidR="00D35965" w:rsidRPr="00D35965" w:rsidRDefault="00D35965" w:rsidP="00D35965">
            <w:pPr>
              <w:spacing w:before="0" w:line="240" w:lineRule="auto"/>
            </w:pPr>
            <w:r w:rsidRPr="00D35965">
              <w:rPr>
                <w:rFonts w:cs="Open Sans Light"/>
                <w:color w:val="000000"/>
                <w:szCs w:val="20"/>
              </w:rPr>
              <w:t>SAF</w:t>
            </w:r>
          </w:p>
        </w:tc>
        <w:tc>
          <w:tcPr>
            <w:tcW w:w="7204" w:type="dxa"/>
            <w:tcBorders>
              <w:top w:val="single" w:sz="4" w:space="0" w:color="ADD6EA"/>
              <w:left w:val="nil"/>
              <w:bottom w:val="single" w:sz="4" w:space="0" w:color="ADD6EA"/>
              <w:right w:val="nil"/>
            </w:tcBorders>
            <w:vAlign w:val="center"/>
            <w:hideMark/>
          </w:tcPr>
          <w:p w14:paraId="2F025A27" w14:textId="77777777" w:rsidR="00D35965" w:rsidRPr="00D35965" w:rsidRDefault="00D35965" w:rsidP="00D35965">
            <w:pPr>
              <w:spacing w:before="0" w:line="240" w:lineRule="auto"/>
            </w:pPr>
            <w:r w:rsidRPr="00D35965">
              <w:rPr>
                <w:rFonts w:cs="Open Sans Light"/>
                <w:color w:val="000000"/>
                <w:szCs w:val="20"/>
              </w:rPr>
              <w:t>Skilling Australia Fund</w:t>
            </w:r>
          </w:p>
        </w:tc>
      </w:tr>
      <w:tr w:rsidR="00D35965" w:rsidRPr="00D35965" w14:paraId="1C1993E2"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01E7B9E7" w14:textId="77777777" w:rsidR="00D35965" w:rsidRPr="00D35965" w:rsidRDefault="00D35965" w:rsidP="00D35965">
            <w:pPr>
              <w:spacing w:before="0" w:line="240" w:lineRule="auto"/>
            </w:pPr>
            <w:r w:rsidRPr="00D35965">
              <w:rPr>
                <w:rFonts w:cs="Open Sans Light"/>
                <w:color w:val="000000"/>
                <w:szCs w:val="20"/>
              </w:rPr>
              <w:t>SARIA</w:t>
            </w:r>
          </w:p>
        </w:tc>
        <w:tc>
          <w:tcPr>
            <w:tcW w:w="7204" w:type="dxa"/>
            <w:tcBorders>
              <w:top w:val="single" w:sz="4" w:space="0" w:color="ADD6EA"/>
              <w:left w:val="nil"/>
              <w:bottom w:val="single" w:sz="4" w:space="0" w:color="ADD6EA"/>
              <w:right w:val="nil"/>
            </w:tcBorders>
            <w:vAlign w:val="center"/>
            <w:hideMark/>
          </w:tcPr>
          <w:p w14:paraId="31D38EC9" w14:textId="77777777" w:rsidR="00D35965" w:rsidRPr="00D35965" w:rsidRDefault="00D35965" w:rsidP="00D35965">
            <w:pPr>
              <w:spacing w:before="0" w:line="240" w:lineRule="auto"/>
            </w:pPr>
            <w:r w:rsidRPr="00D35965">
              <w:rPr>
                <w:rFonts w:cs="Open Sans Light"/>
                <w:color w:val="000000"/>
                <w:szCs w:val="20"/>
              </w:rPr>
              <w:t>State Accessibility/Remoteness Index of Australia</w:t>
            </w:r>
          </w:p>
        </w:tc>
      </w:tr>
      <w:tr w:rsidR="00D35965" w:rsidRPr="00D35965" w14:paraId="0506DFEB"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1C4B0DEF" w14:textId="77777777" w:rsidR="00D35965" w:rsidRPr="00D35965" w:rsidRDefault="00D35965" w:rsidP="00D35965">
            <w:pPr>
              <w:spacing w:before="0" w:line="240" w:lineRule="auto"/>
            </w:pPr>
            <w:r w:rsidRPr="00D35965">
              <w:rPr>
                <w:rFonts w:cs="Open Sans Light"/>
                <w:color w:val="000000"/>
                <w:szCs w:val="20"/>
              </w:rPr>
              <w:t>SDC</w:t>
            </w:r>
          </w:p>
        </w:tc>
        <w:tc>
          <w:tcPr>
            <w:tcW w:w="7204" w:type="dxa"/>
            <w:tcBorders>
              <w:top w:val="single" w:sz="4" w:space="0" w:color="ADD6EA"/>
              <w:left w:val="nil"/>
              <w:bottom w:val="single" w:sz="4" w:space="0" w:color="ADD6EA"/>
              <w:right w:val="nil"/>
            </w:tcBorders>
            <w:vAlign w:val="center"/>
            <w:hideMark/>
          </w:tcPr>
          <w:p w14:paraId="06625295" w14:textId="77777777" w:rsidR="00D35965" w:rsidRPr="00D35965" w:rsidRDefault="00D35965" w:rsidP="00D35965">
            <w:pPr>
              <w:spacing w:before="0" w:line="240" w:lineRule="auto"/>
            </w:pPr>
            <w:r w:rsidRPr="00D35965">
              <w:rPr>
                <w:rFonts w:cs="Open Sans Light"/>
                <w:color w:val="000000"/>
                <w:szCs w:val="20"/>
              </w:rPr>
              <w:t>Socio-demographic composition</w:t>
            </w:r>
          </w:p>
        </w:tc>
      </w:tr>
      <w:tr w:rsidR="00D35965" w:rsidRPr="00D35965" w14:paraId="3FC1425B"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73C90047" w14:textId="77777777" w:rsidR="00D35965" w:rsidRPr="00D35965" w:rsidRDefault="00D35965" w:rsidP="00D35965">
            <w:pPr>
              <w:spacing w:before="0" w:line="240" w:lineRule="auto"/>
            </w:pPr>
            <w:r w:rsidRPr="00D35965">
              <w:rPr>
                <w:rFonts w:cs="Open Sans Light"/>
                <w:color w:val="000000"/>
                <w:szCs w:val="20"/>
              </w:rPr>
              <w:t>SDS</w:t>
            </w:r>
          </w:p>
        </w:tc>
        <w:tc>
          <w:tcPr>
            <w:tcW w:w="7204" w:type="dxa"/>
            <w:tcBorders>
              <w:top w:val="single" w:sz="4" w:space="0" w:color="ADD6EA"/>
              <w:left w:val="nil"/>
              <w:bottom w:val="single" w:sz="4" w:space="0" w:color="ADD6EA"/>
              <w:right w:val="nil"/>
            </w:tcBorders>
            <w:vAlign w:val="center"/>
            <w:hideMark/>
          </w:tcPr>
          <w:p w14:paraId="011C8FB2" w14:textId="77777777" w:rsidR="00D35965" w:rsidRPr="00D35965" w:rsidRDefault="00D35965" w:rsidP="00D35965">
            <w:pPr>
              <w:spacing w:before="0" w:line="240" w:lineRule="auto"/>
            </w:pPr>
            <w:r w:rsidRPr="00D35965">
              <w:rPr>
                <w:rFonts w:cs="Open Sans Light"/>
                <w:color w:val="000000"/>
                <w:szCs w:val="20"/>
              </w:rPr>
              <w:t>Service delivery scale</w:t>
            </w:r>
          </w:p>
        </w:tc>
      </w:tr>
      <w:tr w:rsidR="00D35965" w:rsidRPr="00D35965" w14:paraId="73859A3E"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741B7AB8" w14:textId="77777777" w:rsidR="00D35965" w:rsidRPr="00D35965" w:rsidRDefault="00D35965" w:rsidP="00D35965">
            <w:pPr>
              <w:spacing w:before="0" w:line="240" w:lineRule="auto"/>
            </w:pPr>
            <w:r w:rsidRPr="00D35965">
              <w:rPr>
                <w:rFonts w:cs="Open Sans Light"/>
                <w:color w:val="000000"/>
                <w:szCs w:val="20"/>
              </w:rPr>
              <w:t>SEIFA</w:t>
            </w:r>
          </w:p>
        </w:tc>
        <w:tc>
          <w:tcPr>
            <w:tcW w:w="7204" w:type="dxa"/>
            <w:tcBorders>
              <w:top w:val="single" w:sz="4" w:space="0" w:color="ADD6EA"/>
              <w:left w:val="nil"/>
              <w:bottom w:val="single" w:sz="4" w:space="0" w:color="ADD6EA"/>
              <w:right w:val="nil"/>
            </w:tcBorders>
            <w:vAlign w:val="center"/>
            <w:hideMark/>
          </w:tcPr>
          <w:p w14:paraId="5D3FCC18" w14:textId="77777777" w:rsidR="00D35965" w:rsidRPr="00D35965" w:rsidRDefault="00D35965" w:rsidP="00D35965">
            <w:pPr>
              <w:spacing w:before="0" w:line="240" w:lineRule="auto"/>
            </w:pPr>
            <w:r w:rsidRPr="00D35965">
              <w:rPr>
                <w:rFonts w:cs="Open Sans Light"/>
                <w:color w:val="000000"/>
                <w:szCs w:val="20"/>
              </w:rPr>
              <w:t>Socio-economic indexes for areas</w:t>
            </w:r>
          </w:p>
        </w:tc>
      </w:tr>
      <w:tr w:rsidR="00D35965" w:rsidRPr="00D35965" w14:paraId="258C5BC5"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77B4172" w14:textId="77777777" w:rsidR="00D35965" w:rsidRPr="00D35965" w:rsidRDefault="00D35965" w:rsidP="00D35965">
            <w:pPr>
              <w:spacing w:before="0" w:line="240" w:lineRule="auto"/>
            </w:pPr>
            <w:r w:rsidRPr="00D35965">
              <w:rPr>
                <w:rFonts w:cs="Open Sans Light"/>
                <w:color w:val="000000"/>
                <w:szCs w:val="20"/>
              </w:rPr>
              <w:t>SES</w:t>
            </w:r>
          </w:p>
        </w:tc>
        <w:tc>
          <w:tcPr>
            <w:tcW w:w="7204" w:type="dxa"/>
            <w:tcBorders>
              <w:top w:val="single" w:sz="4" w:space="0" w:color="ADD6EA"/>
              <w:left w:val="nil"/>
              <w:bottom w:val="single" w:sz="4" w:space="0" w:color="ADD6EA"/>
              <w:right w:val="nil"/>
            </w:tcBorders>
            <w:vAlign w:val="center"/>
            <w:hideMark/>
          </w:tcPr>
          <w:p w14:paraId="7E8A953E" w14:textId="77777777" w:rsidR="00D35965" w:rsidRPr="00D35965" w:rsidRDefault="00D35965" w:rsidP="00D35965">
            <w:pPr>
              <w:spacing w:before="0" w:line="240" w:lineRule="auto"/>
            </w:pPr>
            <w:r w:rsidRPr="00D35965">
              <w:rPr>
                <w:rFonts w:cs="Open Sans Light"/>
                <w:color w:val="000000"/>
                <w:szCs w:val="20"/>
              </w:rPr>
              <w:t>Socio-economic status</w:t>
            </w:r>
          </w:p>
        </w:tc>
      </w:tr>
      <w:tr w:rsidR="00D35965" w:rsidRPr="00D35965" w14:paraId="6670BED3"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14A94BF1" w14:textId="77777777" w:rsidR="00D35965" w:rsidRPr="00D35965" w:rsidRDefault="00D35965" w:rsidP="00D35965">
            <w:pPr>
              <w:spacing w:before="0" w:line="240" w:lineRule="auto"/>
            </w:pPr>
            <w:r w:rsidRPr="00D35965">
              <w:rPr>
                <w:rFonts w:cs="Open Sans Light"/>
                <w:color w:val="000000"/>
                <w:szCs w:val="20"/>
              </w:rPr>
              <w:t>SET</w:t>
            </w:r>
          </w:p>
        </w:tc>
        <w:tc>
          <w:tcPr>
            <w:tcW w:w="7204" w:type="dxa"/>
            <w:tcBorders>
              <w:top w:val="single" w:sz="4" w:space="0" w:color="ADD6EA"/>
              <w:left w:val="nil"/>
              <w:bottom w:val="single" w:sz="4" w:space="0" w:color="ADD6EA"/>
              <w:right w:val="nil"/>
            </w:tcBorders>
            <w:vAlign w:val="center"/>
            <w:hideMark/>
          </w:tcPr>
          <w:p w14:paraId="3DD318F2" w14:textId="77777777" w:rsidR="00D35965" w:rsidRPr="00D35965" w:rsidRDefault="00D35965" w:rsidP="00D35965">
            <w:pPr>
              <w:spacing w:before="0" w:line="240" w:lineRule="auto"/>
            </w:pPr>
            <w:r w:rsidRPr="00D35965">
              <w:rPr>
                <w:rFonts w:cs="Open Sans Light"/>
                <w:color w:val="000000"/>
                <w:szCs w:val="20"/>
              </w:rPr>
              <w:t>Survey of Education and Training</w:t>
            </w:r>
          </w:p>
        </w:tc>
      </w:tr>
      <w:tr w:rsidR="00D35965" w:rsidRPr="00D35965" w14:paraId="463B5253"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0E55865D" w14:textId="77777777" w:rsidR="00D35965" w:rsidRPr="00D35965" w:rsidRDefault="00D35965" w:rsidP="00D35965">
            <w:pPr>
              <w:spacing w:before="0" w:line="240" w:lineRule="auto"/>
            </w:pPr>
            <w:r w:rsidRPr="00D35965">
              <w:rPr>
                <w:rFonts w:cs="Open Sans Light"/>
                <w:color w:val="000000"/>
                <w:szCs w:val="20"/>
              </w:rPr>
              <w:t>SLGFCE</w:t>
            </w:r>
          </w:p>
        </w:tc>
        <w:tc>
          <w:tcPr>
            <w:tcW w:w="7204" w:type="dxa"/>
            <w:tcBorders>
              <w:top w:val="single" w:sz="4" w:space="0" w:color="ADD6EA"/>
              <w:left w:val="nil"/>
              <w:bottom w:val="single" w:sz="4" w:space="0" w:color="ADD6EA"/>
              <w:right w:val="nil"/>
            </w:tcBorders>
            <w:vAlign w:val="center"/>
            <w:hideMark/>
          </w:tcPr>
          <w:p w14:paraId="02104BDF" w14:textId="77777777" w:rsidR="00D35965" w:rsidRPr="00D35965" w:rsidRDefault="00D35965" w:rsidP="00D35965">
            <w:pPr>
              <w:spacing w:before="0" w:line="240" w:lineRule="auto"/>
            </w:pPr>
            <w:r w:rsidRPr="00D35965">
              <w:rPr>
                <w:rFonts w:cs="Open Sans Light"/>
                <w:color w:val="000000"/>
                <w:szCs w:val="20"/>
              </w:rPr>
              <w:t>State and local government final consumption expenditure</w:t>
            </w:r>
          </w:p>
        </w:tc>
      </w:tr>
      <w:tr w:rsidR="00D35965" w:rsidRPr="00D35965" w14:paraId="186E8134"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CD2095A" w14:textId="77777777" w:rsidR="00D35965" w:rsidRPr="00D35965" w:rsidRDefault="00D35965" w:rsidP="00D35965">
            <w:pPr>
              <w:spacing w:before="0" w:line="240" w:lineRule="auto"/>
            </w:pPr>
            <w:r w:rsidRPr="00D35965">
              <w:rPr>
                <w:rFonts w:cs="Open Sans Light"/>
                <w:color w:val="000000"/>
                <w:szCs w:val="20"/>
              </w:rPr>
              <w:t>SMVU</w:t>
            </w:r>
          </w:p>
        </w:tc>
        <w:tc>
          <w:tcPr>
            <w:tcW w:w="7204" w:type="dxa"/>
            <w:tcBorders>
              <w:top w:val="single" w:sz="4" w:space="0" w:color="ADD6EA"/>
              <w:left w:val="nil"/>
              <w:bottom w:val="single" w:sz="4" w:space="0" w:color="ADD6EA"/>
              <w:right w:val="nil"/>
            </w:tcBorders>
            <w:vAlign w:val="center"/>
            <w:hideMark/>
          </w:tcPr>
          <w:p w14:paraId="50BDB250" w14:textId="77777777" w:rsidR="00D35965" w:rsidRPr="00D35965" w:rsidRDefault="00D35965" w:rsidP="00D35965">
            <w:pPr>
              <w:spacing w:before="0" w:line="240" w:lineRule="auto"/>
            </w:pPr>
            <w:r w:rsidRPr="00D35965">
              <w:rPr>
                <w:rFonts w:cs="Open Sans Light"/>
                <w:color w:val="000000"/>
                <w:szCs w:val="20"/>
              </w:rPr>
              <w:t>ABS’ Survey of Motor Vehicle Usage</w:t>
            </w:r>
          </w:p>
        </w:tc>
      </w:tr>
      <w:tr w:rsidR="00D35965" w:rsidRPr="00D35965" w14:paraId="44A078EC"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25F6F12" w14:textId="77777777" w:rsidR="00D35965" w:rsidRPr="00D35965" w:rsidRDefault="00D35965" w:rsidP="00D35965">
            <w:pPr>
              <w:spacing w:before="0" w:line="240" w:lineRule="auto"/>
            </w:pPr>
            <w:r w:rsidRPr="00D35965">
              <w:rPr>
                <w:rFonts w:cs="Open Sans Light"/>
                <w:color w:val="000000"/>
                <w:szCs w:val="20"/>
              </w:rPr>
              <w:t>SOMIH</w:t>
            </w:r>
          </w:p>
        </w:tc>
        <w:tc>
          <w:tcPr>
            <w:tcW w:w="7204" w:type="dxa"/>
            <w:tcBorders>
              <w:top w:val="single" w:sz="4" w:space="0" w:color="ADD6EA"/>
              <w:left w:val="nil"/>
              <w:bottom w:val="single" w:sz="4" w:space="0" w:color="ADD6EA"/>
              <w:right w:val="nil"/>
            </w:tcBorders>
            <w:vAlign w:val="center"/>
            <w:hideMark/>
          </w:tcPr>
          <w:p w14:paraId="0234F4D0" w14:textId="77777777" w:rsidR="00D35965" w:rsidRPr="00D35965" w:rsidRDefault="00D35965" w:rsidP="00D35965">
            <w:pPr>
              <w:spacing w:before="0" w:line="240" w:lineRule="auto"/>
            </w:pPr>
            <w:r w:rsidRPr="00D35965">
              <w:rPr>
                <w:rFonts w:cs="Open Sans Light"/>
                <w:color w:val="000000"/>
                <w:szCs w:val="20"/>
              </w:rPr>
              <w:t>State owned and managed Indigenous housing</w:t>
            </w:r>
          </w:p>
        </w:tc>
      </w:tr>
      <w:tr w:rsidR="00D35965" w:rsidRPr="00D35965" w14:paraId="5321C7B8"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B4BD9C4" w14:textId="77777777" w:rsidR="00D35965" w:rsidRPr="00D35965" w:rsidRDefault="00D35965" w:rsidP="00D35965">
            <w:pPr>
              <w:spacing w:before="0" w:line="240" w:lineRule="auto"/>
            </w:pPr>
            <w:r w:rsidRPr="00D35965">
              <w:rPr>
                <w:rFonts w:cs="Open Sans Light"/>
                <w:color w:val="000000"/>
                <w:szCs w:val="20"/>
              </w:rPr>
              <w:t>SPPs</w:t>
            </w:r>
          </w:p>
        </w:tc>
        <w:tc>
          <w:tcPr>
            <w:tcW w:w="7204" w:type="dxa"/>
            <w:tcBorders>
              <w:top w:val="single" w:sz="4" w:space="0" w:color="ADD6EA"/>
              <w:left w:val="nil"/>
              <w:bottom w:val="single" w:sz="4" w:space="0" w:color="ADD6EA"/>
              <w:right w:val="nil"/>
            </w:tcBorders>
            <w:vAlign w:val="center"/>
            <w:hideMark/>
          </w:tcPr>
          <w:p w14:paraId="07EE117E" w14:textId="77777777" w:rsidR="00D35965" w:rsidRPr="00D35965" w:rsidRDefault="00D35965" w:rsidP="00D35965">
            <w:pPr>
              <w:spacing w:before="0" w:line="240" w:lineRule="auto"/>
            </w:pPr>
            <w:r w:rsidRPr="00D35965">
              <w:rPr>
                <w:rFonts w:cs="Open Sans Light"/>
                <w:color w:val="000000"/>
                <w:szCs w:val="20"/>
              </w:rPr>
              <w:t>Specific purpose payments</w:t>
            </w:r>
          </w:p>
        </w:tc>
      </w:tr>
      <w:tr w:rsidR="00D35965" w:rsidRPr="00D35965" w14:paraId="611AE5A7"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1F7B97B" w14:textId="77777777" w:rsidR="00D35965" w:rsidRPr="00D35965" w:rsidRDefault="00D35965" w:rsidP="00D35965">
            <w:pPr>
              <w:spacing w:before="0" w:line="240" w:lineRule="auto"/>
            </w:pPr>
            <w:r w:rsidRPr="00D35965">
              <w:rPr>
                <w:rFonts w:cs="Open Sans Light"/>
                <w:color w:val="000000"/>
                <w:szCs w:val="20"/>
              </w:rPr>
              <w:t>SRO</w:t>
            </w:r>
          </w:p>
        </w:tc>
        <w:tc>
          <w:tcPr>
            <w:tcW w:w="7204" w:type="dxa"/>
            <w:tcBorders>
              <w:top w:val="single" w:sz="4" w:space="0" w:color="ADD6EA"/>
              <w:left w:val="nil"/>
              <w:bottom w:val="single" w:sz="4" w:space="0" w:color="ADD6EA"/>
              <w:right w:val="nil"/>
            </w:tcBorders>
            <w:vAlign w:val="center"/>
            <w:hideMark/>
          </w:tcPr>
          <w:p w14:paraId="27938325" w14:textId="77777777" w:rsidR="00D35965" w:rsidRPr="00D35965" w:rsidRDefault="00D35965" w:rsidP="00D35965">
            <w:pPr>
              <w:spacing w:before="0" w:line="240" w:lineRule="auto"/>
            </w:pPr>
            <w:r w:rsidRPr="00D35965">
              <w:rPr>
                <w:rFonts w:cs="Open Sans Light"/>
                <w:color w:val="000000"/>
                <w:szCs w:val="20"/>
              </w:rPr>
              <w:t>State Revenue Office</w:t>
            </w:r>
          </w:p>
        </w:tc>
      </w:tr>
      <w:tr w:rsidR="00D35965" w:rsidRPr="00D35965" w14:paraId="3C1DCBC6"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FE90EE2" w14:textId="77777777" w:rsidR="00D35965" w:rsidRPr="00D35965" w:rsidRDefault="00D35965" w:rsidP="00D35965">
            <w:pPr>
              <w:spacing w:before="0" w:line="240" w:lineRule="auto"/>
            </w:pPr>
            <w:r w:rsidRPr="00D35965">
              <w:rPr>
                <w:rFonts w:cs="Open Sans Light"/>
                <w:color w:val="000000"/>
                <w:szCs w:val="20"/>
              </w:rPr>
              <w:t>SRS</w:t>
            </w:r>
          </w:p>
        </w:tc>
        <w:tc>
          <w:tcPr>
            <w:tcW w:w="7204" w:type="dxa"/>
            <w:tcBorders>
              <w:top w:val="single" w:sz="4" w:space="0" w:color="ADD6EA"/>
              <w:left w:val="nil"/>
              <w:bottom w:val="single" w:sz="4" w:space="0" w:color="ADD6EA"/>
              <w:right w:val="nil"/>
            </w:tcBorders>
            <w:vAlign w:val="center"/>
            <w:hideMark/>
          </w:tcPr>
          <w:p w14:paraId="0AECDE6E" w14:textId="77777777" w:rsidR="00D35965" w:rsidRPr="00D35965" w:rsidRDefault="00D35965" w:rsidP="00D35965">
            <w:pPr>
              <w:spacing w:before="0" w:line="240" w:lineRule="auto"/>
            </w:pPr>
            <w:r w:rsidRPr="00D35965">
              <w:rPr>
                <w:rFonts w:cs="Open Sans Light"/>
                <w:color w:val="000000"/>
                <w:szCs w:val="20"/>
              </w:rPr>
              <w:t>Schooling Resource Standard</w:t>
            </w:r>
          </w:p>
        </w:tc>
      </w:tr>
      <w:tr w:rsidR="00D35965" w:rsidRPr="00D35965" w14:paraId="535D7CA1"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E1F2C0A" w14:textId="77777777" w:rsidR="00D35965" w:rsidRPr="00D35965" w:rsidRDefault="00D35965" w:rsidP="00D35965">
            <w:pPr>
              <w:spacing w:before="0" w:line="240" w:lineRule="auto"/>
            </w:pPr>
            <w:r w:rsidRPr="00D35965">
              <w:rPr>
                <w:rFonts w:cs="Open Sans Light"/>
                <w:color w:val="000000"/>
                <w:szCs w:val="20"/>
              </w:rPr>
              <w:t>SUA</w:t>
            </w:r>
          </w:p>
        </w:tc>
        <w:tc>
          <w:tcPr>
            <w:tcW w:w="7204" w:type="dxa"/>
            <w:tcBorders>
              <w:top w:val="single" w:sz="4" w:space="0" w:color="ADD6EA"/>
              <w:left w:val="nil"/>
              <w:bottom w:val="single" w:sz="4" w:space="0" w:color="ADD6EA"/>
              <w:right w:val="nil"/>
            </w:tcBorders>
            <w:vAlign w:val="center"/>
            <w:hideMark/>
          </w:tcPr>
          <w:p w14:paraId="6CE975EA" w14:textId="77777777" w:rsidR="00D35965" w:rsidRPr="00D35965" w:rsidRDefault="00D35965" w:rsidP="00D35965">
            <w:pPr>
              <w:spacing w:before="0" w:line="240" w:lineRule="auto"/>
            </w:pPr>
            <w:r w:rsidRPr="00D35965">
              <w:rPr>
                <w:rFonts w:cs="Open Sans Light"/>
                <w:color w:val="000000"/>
                <w:szCs w:val="20"/>
              </w:rPr>
              <w:t>Significant Urban Area</w:t>
            </w:r>
          </w:p>
        </w:tc>
      </w:tr>
      <w:tr w:rsidR="00D35965" w:rsidRPr="00D35965" w14:paraId="54297626"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4483189C" w14:textId="77777777" w:rsidR="00D35965" w:rsidRPr="00D35965" w:rsidRDefault="00D35965" w:rsidP="00D35965">
            <w:pPr>
              <w:spacing w:before="0" w:line="240" w:lineRule="auto"/>
            </w:pPr>
            <w:r w:rsidRPr="00D35965">
              <w:rPr>
                <w:rFonts w:cs="Open Sans Light"/>
                <w:color w:val="000000"/>
                <w:szCs w:val="20"/>
              </w:rPr>
              <w:t>SWIS</w:t>
            </w:r>
          </w:p>
        </w:tc>
        <w:tc>
          <w:tcPr>
            <w:tcW w:w="7204" w:type="dxa"/>
            <w:tcBorders>
              <w:top w:val="single" w:sz="4" w:space="0" w:color="ADD6EA"/>
              <w:left w:val="nil"/>
              <w:bottom w:val="single" w:sz="4" w:space="0" w:color="ADD6EA"/>
              <w:right w:val="nil"/>
            </w:tcBorders>
            <w:vAlign w:val="center"/>
            <w:hideMark/>
          </w:tcPr>
          <w:p w14:paraId="7453F6A1" w14:textId="77777777" w:rsidR="00D35965" w:rsidRPr="00D35965" w:rsidRDefault="00D35965" w:rsidP="00D35965">
            <w:pPr>
              <w:spacing w:before="0" w:line="240" w:lineRule="auto"/>
            </w:pPr>
            <w:r w:rsidRPr="00D35965">
              <w:rPr>
                <w:rFonts w:cs="Open Sans Light"/>
                <w:color w:val="000000"/>
                <w:szCs w:val="20"/>
              </w:rPr>
              <w:t>South West Interconnected System</w:t>
            </w:r>
          </w:p>
        </w:tc>
      </w:tr>
      <w:tr w:rsidR="00D35965" w:rsidRPr="00D35965" w14:paraId="1424AFD6"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5A66CCA" w14:textId="77777777" w:rsidR="00D35965" w:rsidRPr="00D35965" w:rsidRDefault="00D35965" w:rsidP="00D35965">
            <w:pPr>
              <w:spacing w:before="0" w:line="240" w:lineRule="auto"/>
            </w:pPr>
            <w:r w:rsidRPr="00D35965">
              <w:rPr>
                <w:rFonts w:cs="Open Sans Light"/>
                <w:color w:val="000000"/>
                <w:szCs w:val="20"/>
              </w:rPr>
              <w:t>TAFE</w:t>
            </w:r>
          </w:p>
        </w:tc>
        <w:tc>
          <w:tcPr>
            <w:tcW w:w="7204" w:type="dxa"/>
            <w:tcBorders>
              <w:top w:val="single" w:sz="4" w:space="0" w:color="ADD6EA"/>
              <w:left w:val="nil"/>
              <w:bottom w:val="single" w:sz="4" w:space="0" w:color="ADD6EA"/>
              <w:right w:val="nil"/>
            </w:tcBorders>
            <w:vAlign w:val="center"/>
            <w:hideMark/>
          </w:tcPr>
          <w:p w14:paraId="6CA86B2E" w14:textId="77777777" w:rsidR="00D35965" w:rsidRPr="00D35965" w:rsidRDefault="00D35965" w:rsidP="00D35965">
            <w:pPr>
              <w:spacing w:before="0" w:line="240" w:lineRule="auto"/>
            </w:pPr>
            <w:r w:rsidRPr="00D35965">
              <w:rPr>
                <w:rFonts w:cs="Open Sans Light"/>
                <w:color w:val="000000"/>
                <w:szCs w:val="20"/>
              </w:rPr>
              <w:t>Technical and further education</w:t>
            </w:r>
          </w:p>
        </w:tc>
      </w:tr>
      <w:tr w:rsidR="00D35965" w:rsidRPr="00D35965" w14:paraId="603452B8"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E7A5C6A" w14:textId="77777777" w:rsidR="00D35965" w:rsidRPr="00D35965" w:rsidRDefault="00D35965" w:rsidP="00D35965">
            <w:pPr>
              <w:spacing w:before="0" w:line="240" w:lineRule="auto"/>
            </w:pPr>
            <w:r w:rsidRPr="00D35965">
              <w:rPr>
                <w:rFonts w:cs="Open Sans Light"/>
                <w:color w:val="000000"/>
                <w:szCs w:val="20"/>
              </w:rPr>
              <w:t>TALC</w:t>
            </w:r>
          </w:p>
        </w:tc>
        <w:tc>
          <w:tcPr>
            <w:tcW w:w="7204" w:type="dxa"/>
            <w:tcBorders>
              <w:top w:val="single" w:sz="4" w:space="0" w:color="ADD6EA"/>
              <w:left w:val="nil"/>
              <w:bottom w:val="single" w:sz="4" w:space="0" w:color="ADD6EA"/>
              <w:right w:val="nil"/>
            </w:tcBorders>
            <w:vAlign w:val="center"/>
            <w:hideMark/>
          </w:tcPr>
          <w:p w14:paraId="173826C7" w14:textId="77777777" w:rsidR="00D35965" w:rsidRPr="00D35965" w:rsidRDefault="00D35965" w:rsidP="00D35965">
            <w:pPr>
              <w:spacing w:before="0" w:line="240" w:lineRule="auto"/>
            </w:pPr>
            <w:r w:rsidRPr="00D35965">
              <w:rPr>
                <w:rFonts w:cs="Open Sans Light"/>
                <w:color w:val="000000"/>
                <w:szCs w:val="20"/>
              </w:rPr>
              <w:t>Type of asset and liability classification</w:t>
            </w:r>
          </w:p>
        </w:tc>
      </w:tr>
      <w:tr w:rsidR="00D35965" w:rsidRPr="00D35965" w14:paraId="31D7639C"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256400C" w14:textId="77777777" w:rsidR="00D35965" w:rsidRPr="00D35965" w:rsidRDefault="00D35965" w:rsidP="00D35965">
            <w:pPr>
              <w:spacing w:before="0" w:line="240" w:lineRule="auto"/>
            </w:pPr>
            <w:r w:rsidRPr="00D35965">
              <w:rPr>
                <w:rFonts w:cs="Open Sans Light"/>
                <w:color w:val="000000"/>
                <w:szCs w:val="20"/>
              </w:rPr>
              <w:t>TC</w:t>
            </w:r>
          </w:p>
        </w:tc>
        <w:tc>
          <w:tcPr>
            <w:tcW w:w="7204" w:type="dxa"/>
            <w:tcBorders>
              <w:top w:val="single" w:sz="4" w:space="0" w:color="ADD6EA"/>
              <w:left w:val="nil"/>
              <w:bottom w:val="single" w:sz="4" w:space="0" w:color="ADD6EA"/>
              <w:right w:val="nil"/>
            </w:tcBorders>
            <w:vAlign w:val="center"/>
            <w:hideMark/>
          </w:tcPr>
          <w:p w14:paraId="51E3F914" w14:textId="77777777" w:rsidR="00D35965" w:rsidRPr="00D35965" w:rsidRDefault="00D35965" w:rsidP="00D35965">
            <w:pPr>
              <w:spacing w:before="0" w:line="240" w:lineRule="auto"/>
            </w:pPr>
            <w:r w:rsidRPr="00D35965">
              <w:rPr>
                <w:rFonts w:cs="Open Sans Light"/>
                <w:color w:val="000000"/>
                <w:szCs w:val="20"/>
              </w:rPr>
              <w:t>Taxes classification</w:t>
            </w:r>
          </w:p>
        </w:tc>
      </w:tr>
      <w:tr w:rsidR="00D35965" w:rsidRPr="00D35965" w14:paraId="5B35C452"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2F152E5E" w14:textId="77777777" w:rsidR="00D35965" w:rsidRPr="00D35965" w:rsidRDefault="00D35965" w:rsidP="00D35965">
            <w:pPr>
              <w:spacing w:before="0" w:line="240" w:lineRule="auto"/>
            </w:pPr>
            <w:r w:rsidRPr="00D35965">
              <w:rPr>
                <w:rFonts w:cs="Open Sans Light"/>
                <w:color w:val="000000"/>
                <w:szCs w:val="20"/>
              </w:rPr>
              <w:t>ToR</w:t>
            </w:r>
          </w:p>
        </w:tc>
        <w:tc>
          <w:tcPr>
            <w:tcW w:w="7204" w:type="dxa"/>
            <w:tcBorders>
              <w:top w:val="single" w:sz="4" w:space="0" w:color="ADD6EA"/>
              <w:left w:val="nil"/>
              <w:bottom w:val="single" w:sz="4" w:space="0" w:color="ADD6EA"/>
              <w:right w:val="nil"/>
            </w:tcBorders>
            <w:vAlign w:val="center"/>
            <w:hideMark/>
          </w:tcPr>
          <w:p w14:paraId="5AA085B1" w14:textId="77777777" w:rsidR="00D35965" w:rsidRPr="00D35965" w:rsidRDefault="00D35965" w:rsidP="00D35965">
            <w:pPr>
              <w:spacing w:before="0" w:line="240" w:lineRule="auto"/>
            </w:pPr>
            <w:r w:rsidRPr="00D35965">
              <w:rPr>
                <w:rFonts w:cs="Open Sans Light"/>
                <w:color w:val="000000"/>
                <w:szCs w:val="20"/>
              </w:rPr>
              <w:t>Terms of reference</w:t>
            </w:r>
          </w:p>
        </w:tc>
      </w:tr>
      <w:tr w:rsidR="00D35965" w:rsidRPr="00D35965" w14:paraId="0D9A0537"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38B962A5" w14:textId="77777777" w:rsidR="00D35965" w:rsidRPr="00D35965" w:rsidRDefault="00D35965" w:rsidP="00D35965">
            <w:pPr>
              <w:spacing w:before="0" w:line="240" w:lineRule="auto"/>
            </w:pPr>
            <w:r w:rsidRPr="00D35965">
              <w:rPr>
                <w:rFonts w:cs="Open Sans Light"/>
                <w:color w:val="000000"/>
                <w:szCs w:val="20"/>
              </w:rPr>
              <w:t>TOS Act</w:t>
            </w:r>
          </w:p>
        </w:tc>
        <w:tc>
          <w:tcPr>
            <w:tcW w:w="7204" w:type="dxa"/>
            <w:tcBorders>
              <w:top w:val="single" w:sz="4" w:space="0" w:color="ADD6EA"/>
              <w:left w:val="nil"/>
              <w:bottom w:val="single" w:sz="4" w:space="0" w:color="ADD6EA"/>
              <w:right w:val="nil"/>
            </w:tcBorders>
            <w:vAlign w:val="center"/>
            <w:hideMark/>
          </w:tcPr>
          <w:p w14:paraId="3B0A1A26" w14:textId="77777777" w:rsidR="00D35965" w:rsidRPr="00D35965" w:rsidRDefault="00D35965" w:rsidP="00D35965">
            <w:pPr>
              <w:spacing w:before="0" w:line="240" w:lineRule="auto"/>
            </w:pPr>
            <w:r w:rsidRPr="00D35965">
              <w:rPr>
                <w:rFonts w:cs="Open Sans Light"/>
                <w:color w:val="000000"/>
                <w:szCs w:val="20"/>
              </w:rPr>
              <w:t>Traditional Owner Settlement Act 2010</w:t>
            </w:r>
          </w:p>
        </w:tc>
      </w:tr>
      <w:tr w:rsidR="00D35965" w:rsidRPr="00D35965" w14:paraId="0072BC4E"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8C6C78D" w14:textId="77777777" w:rsidR="00D35965" w:rsidRPr="00D35965" w:rsidRDefault="00D35965" w:rsidP="00D35965">
            <w:pPr>
              <w:spacing w:before="0" w:line="240" w:lineRule="auto"/>
            </w:pPr>
            <w:r w:rsidRPr="00D35965">
              <w:rPr>
                <w:rFonts w:cs="Open Sans Light"/>
                <w:color w:val="000000"/>
                <w:szCs w:val="20"/>
              </w:rPr>
              <w:t>UCLs</w:t>
            </w:r>
          </w:p>
        </w:tc>
        <w:tc>
          <w:tcPr>
            <w:tcW w:w="7204" w:type="dxa"/>
            <w:tcBorders>
              <w:top w:val="single" w:sz="4" w:space="0" w:color="ADD6EA"/>
              <w:left w:val="nil"/>
              <w:bottom w:val="single" w:sz="4" w:space="0" w:color="ADD6EA"/>
              <w:right w:val="nil"/>
            </w:tcBorders>
            <w:vAlign w:val="center"/>
            <w:hideMark/>
          </w:tcPr>
          <w:p w14:paraId="2CE24B62" w14:textId="77777777" w:rsidR="00D35965" w:rsidRPr="00D35965" w:rsidRDefault="00D35965" w:rsidP="00D35965">
            <w:pPr>
              <w:spacing w:before="0" w:line="240" w:lineRule="auto"/>
            </w:pPr>
            <w:r w:rsidRPr="00D35965">
              <w:rPr>
                <w:rFonts w:cs="Open Sans Light"/>
                <w:color w:val="000000"/>
                <w:szCs w:val="20"/>
              </w:rPr>
              <w:t>Urban Centres and Localities</w:t>
            </w:r>
          </w:p>
        </w:tc>
      </w:tr>
      <w:tr w:rsidR="00D35965" w:rsidRPr="00D35965" w14:paraId="6FDBB86C"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4CAEBDAC" w14:textId="77777777" w:rsidR="00D35965" w:rsidRPr="00D35965" w:rsidRDefault="00D35965" w:rsidP="00D35965">
            <w:pPr>
              <w:spacing w:before="0" w:line="240" w:lineRule="auto"/>
            </w:pPr>
            <w:r w:rsidRPr="00D35965">
              <w:rPr>
                <w:rFonts w:cs="Open Sans Light"/>
                <w:color w:val="000000"/>
                <w:szCs w:val="20"/>
              </w:rPr>
              <w:t>VDA</w:t>
            </w:r>
          </w:p>
        </w:tc>
        <w:tc>
          <w:tcPr>
            <w:tcW w:w="7204" w:type="dxa"/>
            <w:tcBorders>
              <w:top w:val="single" w:sz="4" w:space="0" w:color="ADD6EA"/>
              <w:left w:val="nil"/>
              <w:bottom w:val="single" w:sz="4" w:space="0" w:color="ADD6EA"/>
              <w:right w:val="nil"/>
            </w:tcBorders>
            <w:vAlign w:val="center"/>
            <w:hideMark/>
          </w:tcPr>
          <w:p w14:paraId="66AF584F" w14:textId="77777777" w:rsidR="00D35965" w:rsidRPr="00D35965" w:rsidRDefault="00D35965" w:rsidP="00D35965">
            <w:pPr>
              <w:spacing w:before="0" w:line="240" w:lineRule="auto"/>
            </w:pPr>
            <w:r w:rsidRPr="00D35965">
              <w:rPr>
                <w:rFonts w:cs="Open Sans Light"/>
                <w:color w:val="000000"/>
                <w:szCs w:val="20"/>
              </w:rPr>
              <w:t>Value distribution adjustment</w:t>
            </w:r>
          </w:p>
        </w:tc>
      </w:tr>
      <w:tr w:rsidR="00D35965" w:rsidRPr="00D35965" w14:paraId="3E198106"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5B3EEC63" w14:textId="77777777" w:rsidR="00D35965" w:rsidRPr="00D35965" w:rsidRDefault="00D35965" w:rsidP="00D35965">
            <w:pPr>
              <w:spacing w:before="0" w:line="240" w:lineRule="auto"/>
            </w:pPr>
            <w:r w:rsidRPr="00D35965">
              <w:rPr>
                <w:rFonts w:cs="Open Sans Light"/>
                <w:color w:val="000000"/>
                <w:szCs w:val="20"/>
              </w:rPr>
              <w:t>VET</w:t>
            </w:r>
          </w:p>
        </w:tc>
        <w:tc>
          <w:tcPr>
            <w:tcW w:w="7204" w:type="dxa"/>
            <w:tcBorders>
              <w:top w:val="single" w:sz="4" w:space="0" w:color="ADD6EA"/>
              <w:left w:val="nil"/>
              <w:bottom w:val="single" w:sz="4" w:space="0" w:color="ADD6EA"/>
              <w:right w:val="nil"/>
            </w:tcBorders>
            <w:vAlign w:val="center"/>
            <w:hideMark/>
          </w:tcPr>
          <w:p w14:paraId="17FF7433" w14:textId="77777777" w:rsidR="00D35965" w:rsidRPr="00D35965" w:rsidRDefault="00D35965" w:rsidP="00D35965">
            <w:pPr>
              <w:spacing w:before="0" w:line="240" w:lineRule="auto"/>
            </w:pPr>
            <w:r w:rsidRPr="00D35965">
              <w:rPr>
                <w:rFonts w:cs="Open Sans Light"/>
                <w:color w:val="000000"/>
                <w:szCs w:val="20"/>
              </w:rPr>
              <w:t>Vocational Education and Training</w:t>
            </w:r>
          </w:p>
        </w:tc>
      </w:tr>
      <w:tr w:rsidR="00D35965" w:rsidRPr="00D35965" w14:paraId="13596D35"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73779B5E" w14:textId="77777777" w:rsidR="00D35965" w:rsidRPr="00D35965" w:rsidRDefault="00D35965" w:rsidP="00D35965">
            <w:pPr>
              <w:spacing w:before="0" w:line="240" w:lineRule="auto"/>
            </w:pPr>
            <w:r w:rsidRPr="00D35965">
              <w:rPr>
                <w:rFonts w:cs="Open Sans Light"/>
                <w:color w:val="000000"/>
                <w:szCs w:val="20"/>
              </w:rPr>
              <w:t>VG</w:t>
            </w:r>
          </w:p>
        </w:tc>
        <w:tc>
          <w:tcPr>
            <w:tcW w:w="7204" w:type="dxa"/>
            <w:tcBorders>
              <w:top w:val="single" w:sz="4" w:space="0" w:color="ADD6EA"/>
              <w:left w:val="nil"/>
              <w:bottom w:val="single" w:sz="4" w:space="0" w:color="ADD6EA"/>
              <w:right w:val="nil"/>
            </w:tcBorders>
            <w:vAlign w:val="center"/>
            <w:hideMark/>
          </w:tcPr>
          <w:p w14:paraId="4E905D55" w14:textId="77777777" w:rsidR="00D35965" w:rsidRPr="00D35965" w:rsidRDefault="00D35965" w:rsidP="00D35965">
            <w:pPr>
              <w:spacing w:before="0" w:line="240" w:lineRule="auto"/>
            </w:pPr>
            <w:r w:rsidRPr="00D35965">
              <w:rPr>
                <w:rFonts w:cs="Open Sans Light"/>
                <w:color w:val="000000"/>
                <w:szCs w:val="20"/>
              </w:rPr>
              <w:t>Valuer-General</w:t>
            </w:r>
          </w:p>
        </w:tc>
      </w:tr>
      <w:tr w:rsidR="00D35965" w:rsidRPr="00D35965" w14:paraId="60043EB1"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68BF503C" w14:textId="77777777" w:rsidR="00D35965" w:rsidRPr="00D35965" w:rsidRDefault="00D35965" w:rsidP="00D35965">
            <w:pPr>
              <w:spacing w:before="0" w:line="240" w:lineRule="auto"/>
            </w:pPr>
            <w:r w:rsidRPr="00D35965">
              <w:rPr>
                <w:rFonts w:cs="Open Sans Light"/>
                <w:color w:val="000000"/>
                <w:szCs w:val="20"/>
              </w:rPr>
              <w:t>VKT</w:t>
            </w:r>
          </w:p>
        </w:tc>
        <w:tc>
          <w:tcPr>
            <w:tcW w:w="7204" w:type="dxa"/>
            <w:tcBorders>
              <w:top w:val="single" w:sz="4" w:space="0" w:color="ADD6EA"/>
              <w:left w:val="nil"/>
              <w:bottom w:val="single" w:sz="4" w:space="0" w:color="ADD6EA"/>
              <w:right w:val="nil"/>
            </w:tcBorders>
            <w:vAlign w:val="center"/>
            <w:hideMark/>
          </w:tcPr>
          <w:p w14:paraId="0E7600AA" w14:textId="77777777" w:rsidR="00D35965" w:rsidRPr="00D35965" w:rsidRDefault="00D35965" w:rsidP="00D35965">
            <w:pPr>
              <w:spacing w:before="0" w:line="240" w:lineRule="auto"/>
            </w:pPr>
            <w:r w:rsidRPr="00D35965">
              <w:rPr>
                <w:rFonts w:cs="Open Sans Light"/>
                <w:color w:val="000000"/>
                <w:szCs w:val="20"/>
              </w:rPr>
              <w:t>Vehicle kilometres travelled</w:t>
            </w:r>
          </w:p>
        </w:tc>
      </w:tr>
      <w:tr w:rsidR="00D35965" w:rsidRPr="00D35965" w14:paraId="1281FD05"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1DE5EA57" w14:textId="77777777" w:rsidR="00D35965" w:rsidRPr="00D35965" w:rsidRDefault="00D35965" w:rsidP="00D35965">
            <w:pPr>
              <w:spacing w:before="0" w:line="240" w:lineRule="auto"/>
            </w:pPr>
            <w:r w:rsidRPr="00D35965">
              <w:rPr>
                <w:rFonts w:cs="Open Sans Light"/>
                <w:color w:val="000000"/>
                <w:szCs w:val="20"/>
              </w:rPr>
              <w:t>VLC</w:t>
            </w:r>
          </w:p>
        </w:tc>
        <w:tc>
          <w:tcPr>
            <w:tcW w:w="7204" w:type="dxa"/>
            <w:tcBorders>
              <w:top w:val="single" w:sz="4" w:space="0" w:color="ADD6EA"/>
              <w:left w:val="nil"/>
              <w:bottom w:val="single" w:sz="4" w:space="0" w:color="ADD6EA"/>
              <w:right w:val="nil"/>
            </w:tcBorders>
            <w:vAlign w:val="center"/>
            <w:hideMark/>
          </w:tcPr>
          <w:p w14:paraId="185BBD83" w14:textId="77777777" w:rsidR="00D35965" w:rsidRPr="00D35965" w:rsidRDefault="00D35965" w:rsidP="00D35965">
            <w:pPr>
              <w:spacing w:before="0" w:line="240" w:lineRule="auto"/>
            </w:pPr>
            <w:r w:rsidRPr="00D35965">
              <w:rPr>
                <w:rFonts w:cs="Open Sans Light"/>
                <w:color w:val="000000"/>
                <w:szCs w:val="20"/>
              </w:rPr>
              <w:t>Veitch Lister Consulting</w:t>
            </w:r>
          </w:p>
        </w:tc>
      </w:tr>
      <w:tr w:rsidR="00D35965" w:rsidRPr="00D35965" w14:paraId="470B1718"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1FD465A9" w14:textId="77777777" w:rsidR="00D35965" w:rsidRPr="00D35965" w:rsidRDefault="00D35965" w:rsidP="00D35965">
            <w:pPr>
              <w:spacing w:before="0" w:line="240" w:lineRule="auto"/>
            </w:pPr>
            <w:r w:rsidRPr="00D35965">
              <w:rPr>
                <w:rFonts w:cs="Open Sans Light"/>
                <w:color w:val="000000"/>
                <w:szCs w:val="20"/>
              </w:rPr>
              <w:t>WEM</w:t>
            </w:r>
          </w:p>
        </w:tc>
        <w:tc>
          <w:tcPr>
            <w:tcW w:w="7204" w:type="dxa"/>
            <w:tcBorders>
              <w:top w:val="single" w:sz="4" w:space="0" w:color="ADD6EA"/>
              <w:left w:val="nil"/>
              <w:bottom w:val="single" w:sz="4" w:space="0" w:color="ADD6EA"/>
              <w:right w:val="nil"/>
            </w:tcBorders>
            <w:vAlign w:val="center"/>
            <w:hideMark/>
          </w:tcPr>
          <w:p w14:paraId="324CCAC1" w14:textId="77777777" w:rsidR="00D35965" w:rsidRPr="00D35965" w:rsidRDefault="00D35965" w:rsidP="00D35965">
            <w:pPr>
              <w:spacing w:before="0" w:line="240" w:lineRule="auto"/>
            </w:pPr>
            <w:r w:rsidRPr="00D35965">
              <w:rPr>
                <w:rFonts w:cs="Open Sans Light"/>
                <w:color w:val="000000"/>
                <w:szCs w:val="20"/>
              </w:rPr>
              <w:t>Wholesale electricity market</w:t>
            </w:r>
          </w:p>
        </w:tc>
      </w:tr>
      <w:tr w:rsidR="00D35965" w:rsidRPr="00D35965" w14:paraId="68A525BE"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0F81CA6A" w14:textId="77777777" w:rsidR="00D35965" w:rsidRPr="00D35965" w:rsidRDefault="00D35965" w:rsidP="00D35965">
            <w:pPr>
              <w:spacing w:before="0" w:line="240" w:lineRule="auto"/>
            </w:pPr>
            <w:r w:rsidRPr="00D35965">
              <w:rPr>
                <w:rFonts w:cs="Open Sans Light"/>
                <w:color w:val="000000"/>
                <w:szCs w:val="20"/>
              </w:rPr>
              <w:t>WPCLP</w:t>
            </w:r>
          </w:p>
        </w:tc>
        <w:tc>
          <w:tcPr>
            <w:tcW w:w="7204" w:type="dxa"/>
            <w:tcBorders>
              <w:top w:val="single" w:sz="4" w:space="0" w:color="ADD6EA"/>
              <w:left w:val="nil"/>
              <w:bottom w:val="single" w:sz="4" w:space="0" w:color="ADD6EA"/>
              <w:right w:val="nil"/>
            </w:tcBorders>
            <w:vAlign w:val="center"/>
            <w:hideMark/>
          </w:tcPr>
          <w:p w14:paraId="013EFE0F" w14:textId="77777777" w:rsidR="00D35965" w:rsidRPr="00D35965" w:rsidRDefault="00D35965" w:rsidP="00D35965">
            <w:pPr>
              <w:spacing w:before="0" w:line="240" w:lineRule="auto"/>
            </w:pPr>
            <w:r w:rsidRPr="00D35965">
              <w:rPr>
                <w:rFonts w:cs="Open Sans Light"/>
                <w:color w:val="000000"/>
                <w:szCs w:val="20"/>
              </w:rPr>
              <w:t>Western Parkland City Liveability Program</w:t>
            </w:r>
          </w:p>
        </w:tc>
      </w:tr>
      <w:tr w:rsidR="00D35965" w:rsidRPr="00D35965" w14:paraId="329F1889" w14:textId="77777777" w:rsidTr="00D35965">
        <w:trPr>
          <w:trHeight w:val="318"/>
        </w:trPr>
        <w:tc>
          <w:tcPr>
            <w:tcW w:w="1803" w:type="dxa"/>
            <w:tcBorders>
              <w:top w:val="single" w:sz="4" w:space="0" w:color="ADD6EA"/>
              <w:left w:val="nil"/>
              <w:bottom w:val="single" w:sz="4" w:space="0" w:color="ADD6EA"/>
              <w:right w:val="nil"/>
            </w:tcBorders>
            <w:vAlign w:val="center"/>
            <w:hideMark/>
          </w:tcPr>
          <w:p w14:paraId="22A5CEE1" w14:textId="77777777" w:rsidR="00D35965" w:rsidRPr="00D35965" w:rsidRDefault="00D35965" w:rsidP="00D35965">
            <w:pPr>
              <w:spacing w:before="0" w:line="240" w:lineRule="auto"/>
            </w:pPr>
            <w:r w:rsidRPr="00D35965">
              <w:rPr>
                <w:rFonts w:cs="Open Sans Light"/>
                <w:color w:val="000000"/>
                <w:szCs w:val="20"/>
              </w:rPr>
              <w:t>WSHP</w:t>
            </w:r>
          </w:p>
        </w:tc>
        <w:tc>
          <w:tcPr>
            <w:tcW w:w="7204" w:type="dxa"/>
            <w:tcBorders>
              <w:top w:val="single" w:sz="4" w:space="0" w:color="ADD6EA"/>
              <w:left w:val="nil"/>
              <w:bottom w:val="single" w:sz="4" w:space="0" w:color="ADD6EA"/>
              <w:right w:val="nil"/>
            </w:tcBorders>
            <w:vAlign w:val="center"/>
            <w:hideMark/>
          </w:tcPr>
          <w:p w14:paraId="4DFE5F69" w14:textId="77777777" w:rsidR="00D35965" w:rsidRPr="00D35965" w:rsidRDefault="00D35965" w:rsidP="00D35965">
            <w:pPr>
              <w:spacing w:before="0" w:line="240" w:lineRule="auto"/>
            </w:pPr>
            <w:r w:rsidRPr="00D35965">
              <w:rPr>
                <w:rFonts w:cs="Open Sans Light"/>
                <w:color w:val="000000"/>
                <w:szCs w:val="20"/>
              </w:rPr>
              <w:t>Western Sydney Housing Package</w:t>
            </w:r>
          </w:p>
        </w:tc>
      </w:tr>
    </w:tbl>
    <w:p w14:paraId="28CC76EA" w14:textId="799418FD" w:rsidR="00D17123" w:rsidRPr="00034E9B" w:rsidRDefault="008A2023" w:rsidP="006B5063">
      <w:pPr>
        <w:pStyle w:val="TOCtitle"/>
        <w:rPr>
          <w:lang w:val="en-AU"/>
        </w:rPr>
      </w:pPr>
      <w:r w:rsidRPr="00034E9B">
        <w:rPr>
          <w:lang w:val="en-AU"/>
        </w:rPr>
        <w:lastRenderedPageBreak/>
        <w:t>Contents</w:t>
      </w:r>
    </w:p>
    <w:p w14:paraId="03BE27BD" w14:textId="6FC242E6" w:rsidR="00DE754E" w:rsidRPr="00034E9B" w:rsidRDefault="0055467C" w:rsidP="000537A1">
      <w:pPr>
        <w:pStyle w:val="TOCtitle"/>
        <w:rPr>
          <w:lang w:val="en-AU"/>
        </w:rPr>
      </w:pPr>
      <w:r w:rsidRPr="00034E9B">
        <w:rPr>
          <w:lang w:val="en-AU"/>
        </w:rPr>
        <w:t>Volume 2</w:t>
      </w:r>
      <w:r w:rsidR="0052689A" w:rsidRPr="00034E9B">
        <w:rPr>
          <w:lang w:val="en-AU"/>
        </w:rPr>
        <w:t xml:space="preserve"> — Part A</w:t>
      </w:r>
    </w:p>
    <w:sdt>
      <w:sdtPr>
        <w:rPr>
          <w:rFonts w:cs="Open Sans Light"/>
          <w:caps/>
          <w:sz w:val="16"/>
          <w:szCs w:val="16"/>
        </w:rPr>
        <w:id w:val="-1766684492"/>
        <w:docPartObj>
          <w:docPartGallery w:val="Table of Contents"/>
          <w:docPartUnique/>
        </w:docPartObj>
      </w:sdtPr>
      <w:sdtEndPr>
        <w:rPr>
          <w:rFonts w:cstheme="minorBidi"/>
          <w:b/>
          <w:bCs/>
          <w:caps w:val="0"/>
          <w:noProof/>
          <w:sz w:val="20"/>
          <w:szCs w:val="22"/>
        </w:rPr>
      </w:sdtEndPr>
      <w:sdtContent>
        <w:p w14:paraId="5E089116" w14:textId="6F017E73" w:rsidR="001C4417" w:rsidRPr="00062F75" w:rsidRDefault="001C4417" w:rsidP="00D97F37">
          <w:pPr>
            <w:spacing w:before="0" w:line="240" w:lineRule="auto"/>
            <w:rPr>
              <w:rFonts w:cs="Open Sans Light"/>
              <w:sz w:val="10"/>
              <w:szCs w:val="10"/>
            </w:rPr>
          </w:pPr>
        </w:p>
        <w:p w14:paraId="62BED50A" w14:textId="301EAB42" w:rsidR="00BA54FF" w:rsidRDefault="001C4417" w:rsidP="00062F75">
          <w:pPr>
            <w:pStyle w:val="TOC1"/>
            <w:spacing w:before="0"/>
            <w:rPr>
              <w:rFonts w:asciiTheme="minorHAnsi" w:eastAsiaTheme="minorEastAsia" w:hAnsiTheme="minorHAnsi"/>
              <w:b w:val="0"/>
              <w:bCs w:val="0"/>
              <w:noProof/>
              <w:color w:val="auto"/>
              <w:sz w:val="22"/>
              <w:szCs w:val="22"/>
              <w:lang w:eastAsia="en-AU"/>
            </w:rPr>
          </w:pPr>
          <w:r w:rsidRPr="00034E9B">
            <w:rPr>
              <w:b w:val="0"/>
              <w:bCs w:val="0"/>
            </w:rPr>
            <w:fldChar w:fldCharType="begin"/>
          </w:r>
          <w:r w:rsidRPr="00034E9B">
            <w:instrText xml:space="preserve"> TOC \o "1-3" \h \z \u </w:instrText>
          </w:r>
          <w:r w:rsidRPr="00034E9B">
            <w:rPr>
              <w:b w:val="0"/>
              <w:bCs w:val="0"/>
            </w:rPr>
            <w:fldChar w:fldCharType="separate"/>
          </w:r>
          <w:hyperlink w:anchor="_Toc33545882" w:history="1">
            <w:r w:rsidR="00BA54FF" w:rsidRPr="00586EA2">
              <w:rPr>
                <w:rStyle w:val="Hyperlink"/>
                <w:noProof/>
              </w:rPr>
              <w:t>Purpose of this volume</w:t>
            </w:r>
            <w:r w:rsidR="00BA54FF">
              <w:rPr>
                <w:noProof/>
                <w:webHidden/>
              </w:rPr>
              <w:tab/>
            </w:r>
            <w:r w:rsidR="00BA54FF">
              <w:rPr>
                <w:noProof/>
                <w:webHidden/>
              </w:rPr>
              <w:fldChar w:fldCharType="begin"/>
            </w:r>
            <w:r w:rsidR="00BA54FF">
              <w:rPr>
                <w:noProof/>
                <w:webHidden/>
              </w:rPr>
              <w:instrText xml:space="preserve"> PAGEREF _Toc33545882 \h </w:instrText>
            </w:r>
            <w:r w:rsidR="00BA54FF">
              <w:rPr>
                <w:noProof/>
                <w:webHidden/>
              </w:rPr>
            </w:r>
            <w:r w:rsidR="00BA54FF">
              <w:rPr>
                <w:noProof/>
                <w:webHidden/>
              </w:rPr>
              <w:fldChar w:fldCharType="separate"/>
            </w:r>
            <w:r w:rsidR="004A0DFA">
              <w:rPr>
                <w:noProof/>
                <w:webHidden/>
              </w:rPr>
              <w:t>i</w:t>
            </w:r>
            <w:r w:rsidR="00BA54FF">
              <w:rPr>
                <w:noProof/>
                <w:webHidden/>
              </w:rPr>
              <w:fldChar w:fldCharType="end"/>
            </w:r>
          </w:hyperlink>
        </w:p>
        <w:p w14:paraId="4DFFBB00" w14:textId="7D4E8D93" w:rsidR="00BA54FF" w:rsidRDefault="009063F1">
          <w:pPr>
            <w:pStyle w:val="TOC1"/>
            <w:rPr>
              <w:rFonts w:asciiTheme="minorHAnsi" w:eastAsiaTheme="minorEastAsia" w:hAnsiTheme="minorHAnsi"/>
              <w:b w:val="0"/>
              <w:bCs w:val="0"/>
              <w:noProof/>
              <w:color w:val="auto"/>
              <w:sz w:val="22"/>
              <w:szCs w:val="22"/>
              <w:lang w:eastAsia="en-AU"/>
            </w:rPr>
          </w:pPr>
          <w:hyperlink w:anchor="_Toc33545883" w:history="1">
            <w:r w:rsidR="00BA54FF" w:rsidRPr="00586EA2">
              <w:rPr>
                <w:rStyle w:val="Hyperlink"/>
                <w:noProof/>
                <w:lang w:val="en-US"/>
              </w:rPr>
              <w:t>List of acronyms</w:t>
            </w:r>
            <w:r w:rsidR="00BA54FF">
              <w:rPr>
                <w:noProof/>
                <w:webHidden/>
              </w:rPr>
              <w:tab/>
            </w:r>
            <w:r w:rsidR="00BA54FF">
              <w:rPr>
                <w:noProof/>
                <w:webHidden/>
              </w:rPr>
              <w:fldChar w:fldCharType="begin"/>
            </w:r>
            <w:r w:rsidR="00BA54FF">
              <w:rPr>
                <w:noProof/>
                <w:webHidden/>
              </w:rPr>
              <w:instrText xml:space="preserve"> PAGEREF _Toc33545883 \h </w:instrText>
            </w:r>
            <w:r w:rsidR="00BA54FF">
              <w:rPr>
                <w:noProof/>
                <w:webHidden/>
              </w:rPr>
            </w:r>
            <w:r w:rsidR="00BA54FF">
              <w:rPr>
                <w:noProof/>
                <w:webHidden/>
              </w:rPr>
              <w:fldChar w:fldCharType="separate"/>
            </w:r>
            <w:r w:rsidR="004A0DFA">
              <w:rPr>
                <w:noProof/>
                <w:webHidden/>
              </w:rPr>
              <w:t>ii</w:t>
            </w:r>
            <w:r w:rsidR="00BA54FF">
              <w:rPr>
                <w:noProof/>
                <w:webHidden/>
              </w:rPr>
              <w:fldChar w:fldCharType="end"/>
            </w:r>
          </w:hyperlink>
        </w:p>
        <w:p w14:paraId="66B5BBB9" w14:textId="3EF4FD50" w:rsidR="00BA54FF" w:rsidRDefault="009063F1">
          <w:pPr>
            <w:pStyle w:val="TOC1"/>
            <w:tabs>
              <w:tab w:val="left" w:pos="680"/>
            </w:tabs>
            <w:rPr>
              <w:rFonts w:asciiTheme="minorHAnsi" w:eastAsiaTheme="minorEastAsia" w:hAnsiTheme="minorHAnsi"/>
              <w:b w:val="0"/>
              <w:bCs w:val="0"/>
              <w:noProof/>
              <w:color w:val="auto"/>
              <w:sz w:val="22"/>
              <w:szCs w:val="22"/>
              <w:lang w:eastAsia="en-AU"/>
            </w:rPr>
          </w:pPr>
          <w:hyperlink w:anchor="_Toc33545884" w:history="1">
            <w:r w:rsidR="00BA54FF" w:rsidRPr="00586EA2">
              <w:rPr>
                <w:rStyle w:val="Hyperlink"/>
                <w:noProof/>
              </w:rPr>
              <w:t>1</w:t>
            </w:r>
            <w:r w:rsidR="00BA54FF">
              <w:rPr>
                <w:rFonts w:asciiTheme="minorHAnsi" w:eastAsiaTheme="minorEastAsia" w:hAnsiTheme="minorHAnsi"/>
                <w:b w:val="0"/>
                <w:bCs w:val="0"/>
                <w:noProof/>
                <w:color w:val="auto"/>
                <w:sz w:val="22"/>
                <w:szCs w:val="22"/>
                <w:lang w:eastAsia="en-AU"/>
              </w:rPr>
              <w:tab/>
            </w:r>
            <w:r w:rsidR="00BA54FF" w:rsidRPr="00586EA2">
              <w:rPr>
                <w:rStyle w:val="Hyperlink"/>
                <w:noProof/>
              </w:rPr>
              <w:t>Approach and main issues for the 2020 Review</w:t>
            </w:r>
            <w:r w:rsidR="00BA54FF">
              <w:rPr>
                <w:noProof/>
                <w:webHidden/>
              </w:rPr>
              <w:tab/>
            </w:r>
            <w:r w:rsidR="00BA54FF">
              <w:rPr>
                <w:noProof/>
                <w:webHidden/>
              </w:rPr>
              <w:fldChar w:fldCharType="begin"/>
            </w:r>
            <w:r w:rsidR="00BA54FF">
              <w:rPr>
                <w:noProof/>
                <w:webHidden/>
              </w:rPr>
              <w:instrText xml:space="preserve"> PAGEREF _Toc33545884 \h </w:instrText>
            </w:r>
            <w:r w:rsidR="00BA54FF">
              <w:rPr>
                <w:noProof/>
                <w:webHidden/>
              </w:rPr>
            </w:r>
            <w:r w:rsidR="00BA54FF">
              <w:rPr>
                <w:noProof/>
                <w:webHidden/>
              </w:rPr>
              <w:fldChar w:fldCharType="separate"/>
            </w:r>
            <w:r w:rsidR="004A0DFA">
              <w:rPr>
                <w:noProof/>
                <w:webHidden/>
              </w:rPr>
              <w:t>1</w:t>
            </w:r>
            <w:r w:rsidR="00BA54FF">
              <w:rPr>
                <w:noProof/>
                <w:webHidden/>
              </w:rPr>
              <w:fldChar w:fldCharType="end"/>
            </w:r>
          </w:hyperlink>
        </w:p>
        <w:p w14:paraId="64EFA868" w14:textId="32ACB7A2" w:rsidR="00BA54FF" w:rsidRDefault="009063F1">
          <w:pPr>
            <w:pStyle w:val="TOC3"/>
            <w:rPr>
              <w:rFonts w:asciiTheme="minorHAnsi" w:eastAsiaTheme="minorEastAsia" w:hAnsiTheme="minorHAnsi"/>
              <w:iCs w:val="0"/>
              <w:noProof/>
              <w:color w:val="auto"/>
              <w:sz w:val="22"/>
              <w:lang w:eastAsia="en-AU"/>
            </w:rPr>
          </w:pPr>
          <w:hyperlink w:anchor="_Toc33545885" w:history="1">
            <w:r w:rsidR="00BA54FF" w:rsidRPr="00586EA2">
              <w:rPr>
                <w:rStyle w:val="Hyperlink"/>
                <w:noProof/>
              </w:rPr>
              <w:t>Context of the review</w:t>
            </w:r>
            <w:r w:rsidR="00BA54FF">
              <w:rPr>
                <w:noProof/>
                <w:webHidden/>
              </w:rPr>
              <w:tab/>
            </w:r>
            <w:r w:rsidR="00BA54FF">
              <w:rPr>
                <w:noProof/>
                <w:webHidden/>
              </w:rPr>
              <w:fldChar w:fldCharType="begin"/>
            </w:r>
            <w:r w:rsidR="00BA54FF">
              <w:rPr>
                <w:noProof/>
                <w:webHidden/>
              </w:rPr>
              <w:instrText xml:space="preserve"> PAGEREF _Toc33545885 \h </w:instrText>
            </w:r>
            <w:r w:rsidR="00BA54FF">
              <w:rPr>
                <w:noProof/>
                <w:webHidden/>
              </w:rPr>
            </w:r>
            <w:r w:rsidR="00BA54FF">
              <w:rPr>
                <w:noProof/>
                <w:webHidden/>
              </w:rPr>
              <w:fldChar w:fldCharType="separate"/>
            </w:r>
            <w:r w:rsidR="004A0DFA">
              <w:rPr>
                <w:noProof/>
                <w:webHidden/>
              </w:rPr>
              <w:t>1</w:t>
            </w:r>
            <w:r w:rsidR="00BA54FF">
              <w:rPr>
                <w:noProof/>
                <w:webHidden/>
              </w:rPr>
              <w:fldChar w:fldCharType="end"/>
            </w:r>
          </w:hyperlink>
        </w:p>
        <w:p w14:paraId="591C95D1" w14:textId="51203B34" w:rsidR="00BA54FF" w:rsidRDefault="009063F1">
          <w:pPr>
            <w:pStyle w:val="TOC3"/>
            <w:rPr>
              <w:rFonts w:asciiTheme="minorHAnsi" w:eastAsiaTheme="minorEastAsia" w:hAnsiTheme="minorHAnsi"/>
              <w:iCs w:val="0"/>
              <w:noProof/>
              <w:color w:val="auto"/>
              <w:sz w:val="22"/>
              <w:lang w:eastAsia="en-AU"/>
            </w:rPr>
          </w:pPr>
          <w:hyperlink w:anchor="_Toc33545886" w:history="1">
            <w:r w:rsidR="00BA54FF" w:rsidRPr="00586EA2">
              <w:rPr>
                <w:rStyle w:val="Hyperlink"/>
                <w:noProof/>
              </w:rPr>
              <w:t>Methodology requirements of the terms of reference</w:t>
            </w:r>
            <w:r w:rsidR="00BA54FF">
              <w:rPr>
                <w:noProof/>
                <w:webHidden/>
              </w:rPr>
              <w:tab/>
            </w:r>
            <w:r w:rsidR="00BA54FF">
              <w:rPr>
                <w:noProof/>
                <w:webHidden/>
              </w:rPr>
              <w:fldChar w:fldCharType="begin"/>
            </w:r>
            <w:r w:rsidR="00BA54FF">
              <w:rPr>
                <w:noProof/>
                <w:webHidden/>
              </w:rPr>
              <w:instrText xml:space="preserve"> PAGEREF _Toc33545886 \h </w:instrText>
            </w:r>
            <w:r w:rsidR="00BA54FF">
              <w:rPr>
                <w:noProof/>
                <w:webHidden/>
              </w:rPr>
            </w:r>
            <w:r w:rsidR="00BA54FF">
              <w:rPr>
                <w:noProof/>
                <w:webHidden/>
              </w:rPr>
              <w:fldChar w:fldCharType="separate"/>
            </w:r>
            <w:r w:rsidR="004A0DFA">
              <w:rPr>
                <w:noProof/>
                <w:webHidden/>
              </w:rPr>
              <w:t>2</w:t>
            </w:r>
            <w:r w:rsidR="00BA54FF">
              <w:rPr>
                <w:noProof/>
                <w:webHidden/>
              </w:rPr>
              <w:fldChar w:fldCharType="end"/>
            </w:r>
          </w:hyperlink>
        </w:p>
        <w:p w14:paraId="38AC4C51" w14:textId="06171083" w:rsidR="00BA54FF" w:rsidRDefault="009063F1">
          <w:pPr>
            <w:pStyle w:val="TOC3"/>
            <w:rPr>
              <w:rFonts w:asciiTheme="minorHAnsi" w:eastAsiaTheme="minorEastAsia" w:hAnsiTheme="minorHAnsi"/>
              <w:iCs w:val="0"/>
              <w:noProof/>
              <w:color w:val="auto"/>
              <w:sz w:val="22"/>
              <w:lang w:eastAsia="en-AU"/>
            </w:rPr>
          </w:pPr>
          <w:hyperlink w:anchor="_Toc33545887" w:history="1">
            <w:r w:rsidR="00BA54FF" w:rsidRPr="00586EA2">
              <w:rPr>
                <w:rStyle w:val="Hyperlink"/>
                <w:noProof/>
              </w:rPr>
              <w:t>Approach to the review</w:t>
            </w:r>
            <w:r w:rsidR="00BA54FF">
              <w:rPr>
                <w:noProof/>
                <w:webHidden/>
              </w:rPr>
              <w:tab/>
            </w:r>
            <w:r w:rsidR="00BA54FF">
              <w:rPr>
                <w:noProof/>
                <w:webHidden/>
              </w:rPr>
              <w:fldChar w:fldCharType="begin"/>
            </w:r>
            <w:r w:rsidR="00BA54FF">
              <w:rPr>
                <w:noProof/>
                <w:webHidden/>
              </w:rPr>
              <w:instrText xml:space="preserve"> PAGEREF _Toc33545887 \h </w:instrText>
            </w:r>
            <w:r w:rsidR="00BA54FF">
              <w:rPr>
                <w:noProof/>
                <w:webHidden/>
              </w:rPr>
            </w:r>
            <w:r w:rsidR="00BA54FF">
              <w:rPr>
                <w:noProof/>
                <w:webHidden/>
              </w:rPr>
              <w:fldChar w:fldCharType="separate"/>
            </w:r>
            <w:r w:rsidR="004A0DFA">
              <w:rPr>
                <w:noProof/>
                <w:webHidden/>
              </w:rPr>
              <w:t>4</w:t>
            </w:r>
            <w:r w:rsidR="00BA54FF">
              <w:rPr>
                <w:noProof/>
                <w:webHidden/>
              </w:rPr>
              <w:fldChar w:fldCharType="end"/>
            </w:r>
          </w:hyperlink>
        </w:p>
        <w:p w14:paraId="44F88DA7" w14:textId="02F2DC5C" w:rsidR="00BA54FF" w:rsidRDefault="009063F1">
          <w:pPr>
            <w:pStyle w:val="TOC3"/>
            <w:rPr>
              <w:rFonts w:asciiTheme="minorHAnsi" w:eastAsiaTheme="minorEastAsia" w:hAnsiTheme="minorHAnsi"/>
              <w:iCs w:val="0"/>
              <w:noProof/>
              <w:color w:val="auto"/>
              <w:sz w:val="22"/>
              <w:lang w:eastAsia="en-AU"/>
            </w:rPr>
          </w:pPr>
          <w:hyperlink w:anchor="_Toc33545888" w:history="1">
            <w:r w:rsidR="00BA54FF" w:rsidRPr="00586EA2">
              <w:rPr>
                <w:rStyle w:val="Hyperlink"/>
                <w:noProof/>
              </w:rPr>
              <w:t>Main assessment issues, method changes and responses to State proposals</w:t>
            </w:r>
            <w:r w:rsidR="00BA54FF">
              <w:rPr>
                <w:noProof/>
                <w:webHidden/>
              </w:rPr>
              <w:tab/>
            </w:r>
            <w:r w:rsidR="00BA54FF">
              <w:rPr>
                <w:noProof/>
                <w:webHidden/>
              </w:rPr>
              <w:fldChar w:fldCharType="begin"/>
            </w:r>
            <w:r w:rsidR="00BA54FF">
              <w:rPr>
                <w:noProof/>
                <w:webHidden/>
              </w:rPr>
              <w:instrText xml:space="preserve"> PAGEREF _Toc33545888 \h </w:instrText>
            </w:r>
            <w:r w:rsidR="00BA54FF">
              <w:rPr>
                <w:noProof/>
                <w:webHidden/>
              </w:rPr>
            </w:r>
            <w:r w:rsidR="00BA54FF">
              <w:rPr>
                <w:noProof/>
                <w:webHidden/>
              </w:rPr>
              <w:fldChar w:fldCharType="separate"/>
            </w:r>
            <w:r w:rsidR="004A0DFA">
              <w:rPr>
                <w:noProof/>
                <w:webHidden/>
              </w:rPr>
              <w:t>5</w:t>
            </w:r>
            <w:r w:rsidR="00BA54FF">
              <w:rPr>
                <w:noProof/>
                <w:webHidden/>
              </w:rPr>
              <w:fldChar w:fldCharType="end"/>
            </w:r>
          </w:hyperlink>
        </w:p>
        <w:p w14:paraId="0E5F0B6D" w14:textId="212C09EF" w:rsidR="00BA54FF" w:rsidRDefault="009063F1">
          <w:pPr>
            <w:pStyle w:val="TOC3"/>
            <w:rPr>
              <w:rFonts w:asciiTheme="minorHAnsi" w:eastAsiaTheme="minorEastAsia" w:hAnsiTheme="minorHAnsi"/>
              <w:iCs w:val="0"/>
              <w:noProof/>
              <w:color w:val="auto"/>
              <w:sz w:val="22"/>
              <w:lang w:eastAsia="en-AU"/>
            </w:rPr>
          </w:pPr>
          <w:hyperlink w:anchor="_Toc33545889" w:history="1">
            <w:r w:rsidR="00BA54FF" w:rsidRPr="00586EA2">
              <w:rPr>
                <w:rStyle w:val="Hyperlink"/>
                <w:noProof/>
              </w:rPr>
              <w:t>Looking ahead</w:t>
            </w:r>
            <w:r w:rsidR="00BA54FF">
              <w:rPr>
                <w:noProof/>
                <w:webHidden/>
              </w:rPr>
              <w:tab/>
            </w:r>
            <w:r w:rsidR="00BA54FF">
              <w:rPr>
                <w:noProof/>
                <w:webHidden/>
              </w:rPr>
              <w:fldChar w:fldCharType="begin"/>
            </w:r>
            <w:r w:rsidR="00BA54FF">
              <w:rPr>
                <w:noProof/>
                <w:webHidden/>
              </w:rPr>
              <w:instrText xml:space="preserve"> PAGEREF _Toc33545889 \h </w:instrText>
            </w:r>
            <w:r w:rsidR="00BA54FF">
              <w:rPr>
                <w:noProof/>
                <w:webHidden/>
              </w:rPr>
            </w:r>
            <w:r w:rsidR="00BA54FF">
              <w:rPr>
                <w:noProof/>
                <w:webHidden/>
              </w:rPr>
              <w:fldChar w:fldCharType="separate"/>
            </w:r>
            <w:r w:rsidR="004A0DFA">
              <w:rPr>
                <w:noProof/>
                <w:webHidden/>
              </w:rPr>
              <w:t>33</w:t>
            </w:r>
            <w:r w:rsidR="00BA54FF">
              <w:rPr>
                <w:noProof/>
                <w:webHidden/>
              </w:rPr>
              <w:fldChar w:fldCharType="end"/>
            </w:r>
          </w:hyperlink>
        </w:p>
        <w:p w14:paraId="6F45FA36" w14:textId="752399A8" w:rsidR="00BA54FF" w:rsidRDefault="009063F1">
          <w:pPr>
            <w:pStyle w:val="TOC1"/>
            <w:tabs>
              <w:tab w:val="left" w:pos="680"/>
            </w:tabs>
            <w:rPr>
              <w:rFonts w:asciiTheme="minorHAnsi" w:eastAsiaTheme="minorEastAsia" w:hAnsiTheme="minorHAnsi"/>
              <w:b w:val="0"/>
              <w:bCs w:val="0"/>
              <w:noProof/>
              <w:color w:val="auto"/>
              <w:sz w:val="22"/>
              <w:szCs w:val="22"/>
              <w:lang w:eastAsia="en-AU"/>
            </w:rPr>
          </w:pPr>
          <w:hyperlink w:anchor="_Toc33545890" w:history="1">
            <w:r w:rsidR="00BA54FF" w:rsidRPr="00586EA2">
              <w:rPr>
                <w:rStyle w:val="Hyperlink"/>
                <w:noProof/>
              </w:rPr>
              <w:t>2</w:t>
            </w:r>
            <w:r w:rsidR="00BA54FF">
              <w:rPr>
                <w:rFonts w:asciiTheme="minorHAnsi" w:eastAsiaTheme="minorEastAsia" w:hAnsiTheme="minorHAnsi"/>
                <w:b w:val="0"/>
                <w:bCs w:val="0"/>
                <w:noProof/>
                <w:color w:val="auto"/>
                <w:sz w:val="22"/>
                <w:szCs w:val="22"/>
                <w:lang w:eastAsia="en-AU"/>
              </w:rPr>
              <w:tab/>
            </w:r>
            <w:r w:rsidR="00BA54FF" w:rsidRPr="00586EA2">
              <w:rPr>
                <w:rStyle w:val="Hyperlink"/>
                <w:noProof/>
              </w:rPr>
              <w:t>Measuring relative fiscal capacity</w:t>
            </w:r>
            <w:r w:rsidR="00BA54FF">
              <w:rPr>
                <w:noProof/>
                <w:webHidden/>
              </w:rPr>
              <w:tab/>
            </w:r>
            <w:r w:rsidR="00BA54FF">
              <w:rPr>
                <w:noProof/>
                <w:webHidden/>
              </w:rPr>
              <w:fldChar w:fldCharType="begin"/>
            </w:r>
            <w:r w:rsidR="00BA54FF">
              <w:rPr>
                <w:noProof/>
                <w:webHidden/>
              </w:rPr>
              <w:instrText xml:space="preserve"> PAGEREF _Toc33545890 \h </w:instrText>
            </w:r>
            <w:r w:rsidR="00BA54FF">
              <w:rPr>
                <w:noProof/>
                <w:webHidden/>
              </w:rPr>
            </w:r>
            <w:r w:rsidR="00BA54FF">
              <w:rPr>
                <w:noProof/>
                <w:webHidden/>
              </w:rPr>
              <w:fldChar w:fldCharType="separate"/>
            </w:r>
            <w:r w:rsidR="004A0DFA">
              <w:rPr>
                <w:noProof/>
                <w:webHidden/>
              </w:rPr>
              <w:t>36</w:t>
            </w:r>
            <w:r w:rsidR="00BA54FF">
              <w:rPr>
                <w:noProof/>
                <w:webHidden/>
              </w:rPr>
              <w:fldChar w:fldCharType="end"/>
            </w:r>
          </w:hyperlink>
        </w:p>
        <w:p w14:paraId="6A9CCA7F" w14:textId="0B9E3D22" w:rsidR="00BA54FF" w:rsidRDefault="009063F1">
          <w:pPr>
            <w:pStyle w:val="TOC3"/>
            <w:rPr>
              <w:rFonts w:asciiTheme="minorHAnsi" w:eastAsiaTheme="minorEastAsia" w:hAnsiTheme="minorHAnsi"/>
              <w:iCs w:val="0"/>
              <w:noProof/>
              <w:color w:val="auto"/>
              <w:sz w:val="22"/>
              <w:lang w:eastAsia="en-AU"/>
            </w:rPr>
          </w:pPr>
          <w:hyperlink w:anchor="_Toc33545891" w:history="1">
            <w:r w:rsidR="00BA54FF" w:rsidRPr="00586EA2">
              <w:rPr>
                <w:rStyle w:val="Hyperlink"/>
                <w:noProof/>
              </w:rPr>
              <w:t>The Commission’s task</w:t>
            </w:r>
            <w:r w:rsidR="00BA54FF">
              <w:rPr>
                <w:noProof/>
                <w:webHidden/>
              </w:rPr>
              <w:tab/>
            </w:r>
            <w:r w:rsidR="00BA54FF">
              <w:rPr>
                <w:noProof/>
                <w:webHidden/>
              </w:rPr>
              <w:fldChar w:fldCharType="begin"/>
            </w:r>
            <w:r w:rsidR="00BA54FF">
              <w:rPr>
                <w:noProof/>
                <w:webHidden/>
              </w:rPr>
              <w:instrText xml:space="preserve"> PAGEREF _Toc33545891 \h </w:instrText>
            </w:r>
            <w:r w:rsidR="00BA54FF">
              <w:rPr>
                <w:noProof/>
                <w:webHidden/>
              </w:rPr>
            </w:r>
            <w:r w:rsidR="00BA54FF">
              <w:rPr>
                <w:noProof/>
                <w:webHidden/>
              </w:rPr>
              <w:fldChar w:fldCharType="separate"/>
            </w:r>
            <w:r w:rsidR="004A0DFA">
              <w:rPr>
                <w:noProof/>
                <w:webHidden/>
              </w:rPr>
              <w:t>36</w:t>
            </w:r>
            <w:r w:rsidR="00BA54FF">
              <w:rPr>
                <w:noProof/>
                <w:webHidden/>
              </w:rPr>
              <w:fldChar w:fldCharType="end"/>
            </w:r>
          </w:hyperlink>
        </w:p>
        <w:p w14:paraId="1C116519" w14:textId="093D4401" w:rsidR="00BA54FF" w:rsidRDefault="009063F1">
          <w:pPr>
            <w:pStyle w:val="TOC3"/>
            <w:rPr>
              <w:rFonts w:asciiTheme="minorHAnsi" w:eastAsiaTheme="minorEastAsia" w:hAnsiTheme="minorHAnsi"/>
              <w:iCs w:val="0"/>
              <w:noProof/>
              <w:color w:val="auto"/>
              <w:sz w:val="22"/>
              <w:lang w:eastAsia="en-AU"/>
            </w:rPr>
          </w:pPr>
          <w:hyperlink w:anchor="_Toc33545892" w:history="1">
            <w:r w:rsidR="00BA54FF" w:rsidRPr="00586EA2">
              <w:rPr>
                <w:rStyle w:val="Hyperlink"/>
                <w:noProof/>
              </w:rPr>
              <w:t>Supporting principles</w:t>
            </w:r>
            <w:r w:rsidR="00BA54FF">
              <w:rPr>
                <w:noProof/>
                <w:webHidden/>
              </w:rPr>
              <w:tab/>
            </w:r>
            <w:r w:rsidR="00BA54FF">
              <w:rPr>
                <w:noProof/>
                <w:webHidden/>
              </w:rPr>
              <w:fldChar w:fldCharType="begin"/>
            </w:r>
            <w:r w:rsidR="00BA54FF">
              <w:rPr>
                <w:noProof/>
                <w:webHidden/>
              </w:rPr>
              <w:instrText xml:space="preserve"> PAGEREF _Toc33545892 \h </w:instrText>
            </w:r>
            <w:r w:rsidR="00BA54FF">
              <w:rPr>
                <w:noProof/>
                <w:webHidden/>
              </w:rPr>
            </w:r>
            <w:r w:rsidR="00BA54FF">
              <w:rPr>
                <w:noProof/>
                <w:webHidden/>
              </w:rPr>
              <w:fldChar w:fldCharType="separate"/>
            </w:r>
            <w:r w:rsidR="004A0DFA">
              <w:rPr>
                <w:noProof/>
                <w:webHidden/>
              </w:rPr>
              <w:t>41</w:t>
            </w:r>
            <w:r w:rsidR="00BA54FF">
              <w:rPr>
                <w:noProof/>
                <w:webHidden/>
              </w:rPr>
              <w:fldChar w:fldCharType="end"/>
            </w:r>
          </w:hyperlink>
        </w:p>
        <w:p w14:paraId="62602654" w14:textId="0DC41525" w:rsidR="00BA54FF" w:rsidRDefault="009063F1">
          <w:pPr>
            <w:pStyle w:val="TOC1"/>
            <w:tabs>
              <w:tab w:val="left" w:pos="680"/>
            </w:tabs>
            <w:rPr>
              <w:rFonts w:asciiTheme="minorHAnsi" w:eastAsiaTheme="minorEastAsia" w:hAnsiTheme="minorHAnsi"/>
              <w:b w:val="0"/>
              <w:bCs w:val="0"/>
              <w:noProof/>
              <w:color w:val="auto"/>
              <w:sz w:val="22"/>
              <w:szCs w:val="22"/>
              <w:lang w:eastAsia="en-AU"/>
            </w:rPr>
          </w:pPr>
          <w:hyperlink w:anchor="_Toc33545893" w:history="1">
            <w:r w:rsidR="00BA54FF" w:rsidRPr="00586EA2">
              <w:rPr>
                <w:rStyle w:val="Hyperlink"/>
                <w:noProof/>
              </w:rPr>
              <w:t>3</w:t>
            </w:r>
            <w:r w:rsidR="00BA54FF">
              <w:rPr>
                <w:rFonts w:asciiTheme="minorHAnsi" w:eastAsiaTheme="minorEastAsia" w:hAnsiTheme="minorHAnsi"/>
                <w:b w:val="0"/>
                <w:bCs w:val="0"/>
                <w:noProof/>
                <w:color w:val="auto"/>
                <w:sz w:val="22"/>
                <w:szCs w:val="22"/>
                <w:lang w:eastAsia="en-AU"/>
              </w:rPr>
              <w:tab/>
            </w:r>
            <w:r w:rsidR="00BA54FF" w:rsidRPr="00586EA2">
              <w:rPr>
                <w:rStyle w:val="Hyperlink"/>
                <w:noProof/>
              </w:rPr>
              <w:t>Implementation issues and assessment guidelines</w:t>
            </w:r>
            <w:r w:rsidR="00BA54FF">
              <w:rPr>
                <w:noProof/>
                <w:webHidden/>
              </w:rPr>
              <w:tab/>
            </w:r>
            <w:r w:rsidR="00BA54FF">
              <w:rPr>
                <w:noProof/>
                <w:webHidden/>
              </w:rPr>
              <w:fldChar w:fldCharType="begin"/>
            </w:r>
            <w:r w:rsidR="00BA54FF">
              <w:rPr>
                <w:noProof/>
                <w:webHidden/>
              </w:rPr>
              <w:instrText xml:space="preserve"> PAGEREF _Toc33545893 \h </w:instrText>
            </w:r>
            <w:r w:rsidR="00BA54FF">
              <w:rPr>
                <w:noProof/>
                <w:webHidden/>
              </w:rPr>
            </w:r>
            <w:r w:rsidR="00BA54FF">
              <w:rPr>
                <w:noProof/>
                <w:webHidden/>
              </w:rPr>
              <w:fldChar w:fldCharType="separate"/>
            </w:r>
            <w:r w:rsidR="004A0DFA">
              <w:rPr>
                <w:noProof/>
                <w:webHidden/>
              </w:rPr>
              <w:t>63</w:t>
            </w:r>
            <w:r w:rsidR="00BA54FF">
              <w:rPr>
                <w:noProof/>
                <w:webHidden/>
              </w:rPr>
              <w:fldChar w:fldCharType="end"/>
            </w:r>
          </w:hyperlink>
        </w:p>
        <w:p w14:paraId="1DAB51D7" w14:textId="64DE7C01" w:rsidR="00BA54FF" w:rsidRDefault="009063F1">
          <w:pPr>
            <w:pStyle w:val="TOC1"/>
            <w:tabs>
              <w:tab w:val="left" w:pos="680"/>
            </w:tabs>
            <w:rPr>
              <w:rFonts w:asciiTheme="minorHAnsi" w:eastAsiaTheme="minorEastAsia" w:hAnsiTheme="minorHAnsi"/>
              <w:b w:val="0"/>
              <w:bCs w:val="0"/>
              <w:noProof/>
              <w:color w:val="auto"/>
              <w:sz w:val="22"/>
              <w:szCs w:val="22"/>
              <w:lang w:eastAsia="en-AU"/>
            </w:rPr>
          </w:pPr>
          <w:hyperlink w:anchor="_Toc33545894" w:history="1">
            <w:r w:rsidR="00BA54FF" w:rsidRPr="00586EA2">
              <w:rPr>
                <w:rStyle w:val="Hyperlink"/>
                <w:noProof/>
              </w:rPr>
              <w:t>4</w:t>
            </w:r>
            <w:r w:rsidR="00BA54FF">
              <w:rPr>
                <w:rFonts w:asciiTheme="minorHAnsi" w:eastAsiaTheme="minorEastAsia" w:hAnsiTheme="minorHAnsi"/>
                <w:b w:val="0"/>
                <w:bCs w:val="0"/>
                <w:noProof/>
                <w:color w:val="auto"/>
                <w:sz w:val="22"/>
                <w:szCs w:val="22"/>
                <w:lang w:eastAsia="en-AU"/>
              </w:rPr>
              <w:tab/>
            </w:r>
            <w:r w:rsidR="00BA54FF" w:rsidRPr="00586EA2">
              <w:rPr>
                <w:rStyle w:val="Hyperlink"/>
                <w:noProof/>
              </w:rPr>
              <w:t>Implementing legislated changes to the GST distribution</w:t>
            </w:r>
            <w:r w:rsidR="00BA54FF">
              <w:rPr>
                <w:noProof/>
                <w:webHidden/>
              </w:rPr>
              <w:tab/>
            </w:r>
            <w:r w:rsidR="00BA54FF">
              <w:rPr>
                <w:noProof/>
                <w:webHidden/>
              </w:rPr>
              <w:fldChar w:fldCharType="begin"/>
            </w:r>
            <w:r w:rsidR="00BA54FF">
              <w:rPr>
                <w:noProof/>
                <w:webHidden/>
              </w:rPr>
              <w:instrText xml:space="preserve"> PAGEREF _Toc33545894 \h </w:instrText>
            </w:r>
            <w:r w:rsidR="00BA54FF">
              <w:rPr>
                <w:noProof/>
                <w:webHidden/>
              </w:rPr>
            </w:r>
            <w:r w:rsidR="00BA54FF">
              <w:rPr>
                <w:noProof/>
                <w:webHidden/>
              </w:rPr>
              <w:fldChar w:fldCharType="separate"/>
            </w:r>
            <w:r w:rsidR="004A0DFA">
              <w:rPr>
                <w:noProof/>
                <w:webHidden/>
              </w:rPr>
              <w:t>71</w:t>
            </w:r>
            <w:r w:rsidR="00BA54FF">
              <w:rPr>
                <w:noProof/>
                <w:webHidden/>
              </w:rPr>
              <w:fldChar w:fldCharType="end"/>
            </w:r>
          </w:hyperlink>
        </w:p>
        <w:p w14:paraId="506F591B" w14:textId="58E00C55" w:rsidR="00BA54FF" w:rsidRDefault="009063F1">
          <w:pPr>
            <w:pStyle w:val="TOC3"/>
            <w:rPr>
              <w:rFonts w:asciiTheme="minorHAnsi" w:eastAsiaTheme="minorEastAsia" w:hAnsiTheme="minorHAnsi"/>
              <w:iCs w:val="0"/>
              <w:noProof/>
              <w:color w:val="auto"/>
              <w:sz w:val="22"/>
              <w:lang w:eastAsia="en-AU"/>
            </w:rPr>
          </w:pPr>
          <w:hyperlink w:anchor="_Toc33545895" w:history="1">
            <w:r w:rsidR="00BA54FF" w:rsidRPr="00586EA2">
              <w:rPr>
                <w:rStyle w:val="Hyperlink"/>
                <w:noProof/>
              </w:rPr>
              <w:t>Objective of Horizontal Fiscal Equalisation in Australia</w:t>
            </w:r>
            <w:r w:rsidR="00BA54FF">
              <w:rPr>
                <w:noProof/>
                <w:webHidden/>
              </w:rPr>
              <w:tab/>
            </w:r>
            <w:r w:rsidR="00BA54FF">
              <w:rPr>
                <w:noProof/>
                <w:webHidden/>
              </w:rPr>
              <w:fldChar w:fldCharType="begin"/>
            </w:r>
            <w:r w:rsidR="00BA54FF">
              <w:rPr>
                <w:noProof/>
                <w:webHidden/>
              </w:rPr>
              <w:instrText xml:space="preserve"> PAGEREF _Toc33545895 \h </w:instrText>
            </w:r>
            <w:r w:rsidR="00BA54FF">
              <w:rPr>
                <w:noProof/>
                <w:webHidden/>
              </w:rPr>
            </w:r>
            <w:r w:rsidR="00BA54FF">
              <w:rPr>
                <w:noProof/>
                <w:webHidden/>
              </w:rPr>
              <w:fldChar w:fldCharType="separate"/>
            </w:r>
            <w:r w:rsidR="004A0DFA">
              <w:rPr>
                <w:noProof/>
                <w:webHidden/>
              </w:rPr>
              <w:t>71</w:t>
            </w:r>
            <w:r w:rsidR="00BA54FF">
              <w:rPr>
                <w:noProof/>
                <w:webHidden/>
              </w:rPr>
              <w:fldChar w:fldCharType="end"/>
            </w:r>
          </w:hyperlink>
        </w:p>
        <w:p w14:paraId="5ABA3CE5" w14:textId="65ED3DF6" w:rsidR="00BA54FF" w:rsidRDefault="009063F1">
          <w:pPr>
            <w:pStyle w:val="TOC3"/>
            <w:rPr>
              <w:rFonts w:asciiTheme="minorHAnsi" w:eastAsiaTheme="minorEastAsia" w:hAnsiTheme="minorHAnsi"/>
              <w:iCs w:val="0"/>
              <w:noProof/>
              <w:color w:val="auto"/>
              <w:sz w:val="22"/>
              <w:lang w:eastAsia="en-AU"/>
            </w:rPr>
          </w:pPr>
          <w:hyperlink w:anchor="_Toc33545896" w:history="1">
            <w:r w:rsidR="00BA54FF" w:rsidRPr="00586EA2">
              <w:rPr>
                <w:rStyle w:val="Hyperlink"/>
                <w:noProof/>
              </w:rPr>
              <w:t>Implementing the new legislation</w:t>
            </w:r>
            <w:r w:rsidR="00BA54FF">
              <w:rPr>
                <w:noProof/>
                <w:webHidden/>
              </w:rPr>
              <w:tab/>
            </w:r>
            <w:r w:rsidR="00BA54FF">
              <w:rPr>
                <w:noProof/>
                <w:webHidden/>
              </w:rPr>
              <w:fldChar w:fldCharType="begin"/>
            </w:r>
            <w:r w:rsidR="00BA54FF">
              <w:rPr>
                <w:noProof/>
                <w:webHidden/>
              </w:rPr>
              <w:instrText xml:space="preserve"> PAGEREF _Toc33545896 \h </w:instrText>
            </w:r>
            <w:r w:rsidR="00BA54FF">
              <w:rPr>
                <w:noProof/>
                <w:webHidden/>
              </w:rPr>
            </w:r>
            <w:r w:rsidR="00BA54FF">
              <w:rPr>
                <w:noProof/>
                <w:webHidden/>
              </w:rPr>
              <w:fldChar w:fldCharType="separate"/>
            </w:r>
            <w:r w:rsidR="004A0DFA">
              <w:rPr>
                <w:noProof/>
                <w:webHidden/>
              </w:rPr>
              <w:t>71</w:t>
            </w:r>
            <w:r w:rsidR="00BA54FF">
              <w:rPr>
                <w:noProof/>
                <w:webHidden/>
              </w:rPr>
              <w:fldChar w:fldCharType="end"/>
            </w:r>
          </w:hyperlink>
        </w:p>
        <w:p w14:paraId="35BF0019" w14:textId="0EFAD327" w:rsidR="00BA54FF" w:rsidRDefault="009063F1">
          <w:pPr>
            <w:pStyle w:val="TOC1"/>
            <w:rPr>
              <w:rFonts w:asciiTheme="minorHAnsi" w:eastAsiaTheme="minorEastAsia" w:hAnsiTheme="minorHAnsi"/>
              <w:b w:val="0"/>
              <w:bCs w:val="0"/>
              <w:noProof/>
              <w:color w:val="auto"/>
              <w:sz w:val="22"/>
              <w:szCs w:val="22"/>
              <w:lang w:eastAsia="en-AU"/>
            </w:rPr>
          </w:pPr>
          <w:hyperlink w:anchor="_Toc33545897" w:history="1">
            <w:r w:rsidR="00BA54FF" w:rsidRPr="00586EA2">
              <w:rPr>
                <w:rStyle w:val="Hyperlink"/>
                <w:noProof/>
              </w:rPr>
              <w:t>Attachment 4A: Proposed presentation approach from 2021</w:t>
            </w:r>
            <w:r w:rsidR="00BA54FF">
              <w:rPr>
                <w:noProof/>
                <w:webHidden/>
              </w:rPr>
              <w:tab/>
            </w:r>
            <w:r w:rsidR="00BA54FF">
              <w:rPr>
                <w:noProof/>
                <w:webHidden/>
              </w:rPr>
              <w:fldChar w:fldCharType="begin"/>
            </w:r>
            <w:r w:rsidR="00BA54FF">
              <w:rPr>
                <w:noProof/>
                <w:webHidden/>
              </w:rPr>
              <w:instrText xml:space="preserve"> PAGEREF _Toc33545897 \h </w:instrText>
            </w:r>
            <w:r w:rsidR="00BA54FF">
              <w:rPr>
                <w:noProof/>
                <w:webHidden/>
              </w:rPr>
            </w:r>
            <w:r w:rsidR="00BA54FF">
              <w:rPr>
                <w:noProof/>
                <w:webHidden/>
              </w:rPr>
              <w:fldChar w:fldCharType="separate"/>
            </w:r>
            <w:r w:rsidR="004A0DFA">
              <w:rPr>
                <w:noProof/>
                <w:webHidden/>
              </w:rPr>
              <w:t>77</w:t>
            </w:r>
            <w:r w:rsidR="00BA54FF">
              <w:rPr>
                <w:noProof/>
                <w:webHidden/>
              </w:rPr>
              <w:fldChar w:fldCharType="end"/>
            </w:r>
          </w:hyperlink>
        </w:p>
        <w:p w14:paraId="7B738FED" w14:textId="0E8E3D60" w:rsidR="00BA54FF" w:rsidRDefault="009063F1">
          <w:pPr>
            <w:pStyle w:val="TOC3"/>
            <w:rPr>
              <w:rFonts w:asciiTheme="minorHAnsi" w:eastAsiaTheme="minorEastAsia" w:hAnsiTheme="minorHAnsi"/>
              <w:iCs w:val="0"/>
              <w:noProof/>
              <w:color w:val="auto"/>
              <w:sz w:val="22"/>
              <w:lang w:eastAsia="en-AU"/>
            </w:rPr>
          </w:pPr>
          <w:hyperlink w:anchor="_Toc33545898" w:history="1">
            <w:r w:rsidR="00BA54FF" w:rsidRPr="00586EA2">
              <w:rPr>
                <w:rStyle w:val="Hyperlink"/>
                <w:noProof/>
              </w:rPr>
              <w:t>Chapter 1 Recommended grant distribution</w:t>
            </w:r>
            <w:r w:rsidR="00BA54FF">
              <w:rPr>
                <w:noProof/>
                <w:webHidden/>
              </w:rPr>
              <w:tab/>
            </w:r>
            <w:r w:rsidR="00BA54FF">
              <w:rPr>
                <w:noProof/>
                <w:webHidden/>
              </w:rPr>
              <w:fldChar w:fldCharType="begin"/>
            </w:r>
            <w:r w:rsidR="00BA54FF">
              <w:rPr>
                <w:noProof/>
                <w:webHidden/>
              </w:rPr>
              <w:instrText xml:space="preserve"> PAGEREF _Toc33545898 \h </w:instrText>
            </w:r>
            <w:r w:rsidR="00BA54FF">
              <w:rPr>
                <w:noProof/>
                <w:webHidden/>
              </w:rPr>
            </w:r>
            <w:r w:rsidR="00BA54FF">
              <w:rPr>
                <w:noProof/>
                <w:webHidden/>
              </w:rPr>
              <w:fldChar w:fldCharType="separate"/>
            </w:r>
            <w:r w:rsidR="004A0DFA">
              <w:rPr>
                <w:noProof/>
                <w:webHidden/>
              </w:rPr>
              <w:t>77</w:t>
            </w:r>
            <w:r w:rsidR="00BA54FF">
              <w:rPr>
                <w:noProof/>
                <w:webHidden/>
              </w:rPr>
              <w:fldChar w:fldCharType="end"/>
            </w:r>
          </w:hyperlink>
        </w:p>
        <w:p w14:paraId="1B6576EE" w14:textId="6F6A54A7" w:rsidR="00BA54FF" w:rsidRDefault="009063F1">
          <w:pPr>
            <w:pStyle w:val="TOC3"/>
            <w:rPr>
              <w:rFonts w:asciiTheme="minorHAnsi" w:eastAsiaTheme="minorEastAsia" w:hAnsiTheme="minorHAnsi"/>
              <w:iCs w:val="0"/>
              <w:noProof/>
              <w:color w:val="auto"/>
              <w:sz w:val="22"/>
              <w:lang w:eastAsia="en-AU"/>
            </w:rPr>
          </w:pPr>
          <w:hyperlink w:anchor="_Toc33545899" w:history="1">
            <w:r w:rsidR="00BA54FF" w:rsidRPr="00586EA2">
              <w:rPr>
                <w:rStyle w:val="Hyperlink"/>
                <w:noProof/>
              </w:rPr>
              <w:t>Chapter 2: Changes since the 2019 Update</w:t>
            </w:r>
            <w:r w:rsidR="00BA54FF">
              <w:rPr>
                <w:noProof/>
                <w:webHidden/>
              </w:rPr>
              <w:tab/>
            </w:r>
            <w:r w:rsidR="00BA54FF">
              <w:rPr>
                <w:noProof/>
                <w:webHidden/>
              </w:rPr>
              <w:fldChar w:fldCharType="begin"/>
            </w:r>
            <w:r w:rsidR="00BA54FF">
              <w:rPr>
                <w:noProof/>
                <w:webHidden/>
              </w:rPr>
              <w:instrText xml:space="preserve"> PAGEREF _Toc33545899 \h </w:instrText>
            </w:r>
            <w:r w:rsidR="00BA54FF">
              <w:rPr>
                <w:noProof/>
                <w:webHidden/>
              </w:rPr>
            </w:r>
            <w:r w:rsidR="00BA54FF">
              <w:rPr>
                <w:noProof/>
                <w:webHidden/>
              </w:rPr>
              <w:fldChar w:fldCharType="separate"/>
            </w:r>
            <w:r w:rsidR="004A0DFA">
              <w:rPr>
                <w:noProof/>
                <w:webHidden/>
              </w:rPr>
              <w:t>80</w:t>
            </w:r>
            <w:r w:rsidR="00BA54FF">
              <w:rPr>
                <w:noProof/>
                <w:webHidden/>
              </w:rPr>
              <w:fldChar w:fldCharType="end"/>
            </w:r>
          </w:hyperlink>
        </w:p>
        <w:p w14:paraId="1E903771" w14:textId="44316C60" w:rsidR="00BA54FF" w:rsidRDefault="009063F1">
          <w:pPr>
            <w:pStyle w:val="TOC3"/>
            <w:rPr>
              <w:rFonts w:asciiTheme="minorHAnsi" w:eastAsiaTheme="minorEastAsia" w:hAnsiTheme="minorHAnsi"/>
              <w:iCs w:val="0"/>
              <w:noProof/>
              <w:color w:val="auto"/>
              <w:sz w:val="22"/>
              <w:lang w:eastAsia="en-AU"/>
            </w:rPr>
          </w:pPr>
          <w:hyperlink w:anchor="_Toc33545900" w:history="1">
            <w:r w:rsidR="00BA54FF" w:rsidRPr="00586EA2">
              <w:rPr>
                <w:rStyle w:val="Hyperlink"/>
                <w:noProof/>
              </w:rPr>
              <w:t>Chapter 3: State by State changes</w:t>
            </w:r>
            <w:r w:rsidR="00BA54FF">
              <w:rPr>
                <w:noProof/>
                <w:webHidden/>
              </w:rPr>
              <w:tab/>
            </w:r>
            <w:r w:rsidR="00BA54FF">
              <w:rPr>
                <w:noProof/>
                <w:webHidden/>
              </w:rPr>
              <w:fldChar w:fldCharType="begin"/>
            </w:r>
            <w:r w:rsidR="00BA54FF">
              <w:rPr>
                <w:noProof/>
                <w:webHidden/>
              </w:rPr>
              <w:instrText xml:space="preserve"> PAGEREF _Toc33545900 \h </w:instrText>
            </w:r>
            <w:r w:rsidR="00BA54FF">
              <w:rPr>
                <w:noProof/>
                <w:webHidden/>
              </w:rPr>
            </w:r>
            <w:r w:rsidR="00BA54FF">
              <w:rPr>
                <w:noProof/>
                <w:webHidden/>
              </w:rPr>
              <w:fldChar w:fldCharType="separate"/>
            </w:r>
            <w:r w:rsidR="004A0DFA">
              <w:rPr>
                <w:noProof/>
                <w:webHidden/>
              </w:rPr>
              <w:t>80</w:t>
            </w:r>
            <w:r w:rsidR="00BA54FF">
              <w:rPr>
                <w:noProof/>
                <w:webHidden/>
              </w:rPr>
              <w:fldChar w:fldCharType="end"/>
            </w:r>
          </w:hyperlink>
        </w:p>
        <w:p w14:paraId="1DABBF9F" w14:textId="1A98B4FE" w:rsidR="00BA54FF" w:rsidRDefault="009063F1">
          <w:pPr>
            <w:pStyle w:val="TOC3"/>
            <w:rPr>
              <w:rFonts w:asciiTheme="minorHAnsi" w:eastAsiaTheme="minorEastAsia" w:hAnsiTheme="minorHAnsi"/>
              <w:iCs w:val="0"/>
              <w:noProof/>
              <w:color w:val="auto"/>
              <w:sz w:val="22"/>
              <w:lang w:eastAsia="en-AU"/>
            </w:rPr>
          </w:pPr>
          <w:hyperlink w:anchor="_Toc33545901" w:history="1">
            <w:r w:rsidR="00BA54FF" w:rsidRPr="00586EA2">
              <w:rPr>
                <w:rStyle w:val="Hyperlink"/>
                <w:noProof/>
              </w:rPr>
              <w:t>Chapter 4: Why State relative fiscal capacities differ</w:t>
            </w:r>
            <w:r w:rsidR="00BA54FF">
              <w:rPr>
                <w:noProof/>
                <w:webHidden/>
              </w:rPr>
              <w:tab/>
            </w:r>
            <w:r w:rsidR="00BA54FF">
              <w:rPr>
                <w:noProof/>
                <w:webHidden/>
              </w:rPr>
              <w:fldChar w:fldCharType="begin"/>
            </w:r>
            <w:r w:rsidR="00BA54FF">
              <w:rPr>
                <w:noProof/>
                <w:webHidden/>
              </w:rPr>
              <w:instrText xml:space="preserve"> PAGEREF _Toc33545901 \h </w:instrText>
            </w:r>
            <w:r w:rsidR="00BA54FF">
              <w:rPr>
                <w:noProof/>
                <w:webHidden/>
              </w:rPr>
            </w:r>
            <w:r w:rsidR="00BA54FF">
              <w:rPr>
                <w:noProof/>
                <w:webHidden/>
              </w:rPr>
              <w:fldChar w:fldCharType="separate"/>
            </w:r>
            <w:r w:rsidR="004A0DFA">
              <w:rPr>
                <w:noProof/>
                <w:webHidden/>
              </w:rPr>
              <w:t>80</w:t>
            </w:r>
            <w:r w:rsidR="00BA54FF">
              <w:rPr>
                <w:noProof/>
                <w:webHidden/>
              </w:rPr>
              <w:fldChar w:fldCharType="end"/>
            </w:r>
          </w:hyperlink>
        </w:p>
        <w:p w14:paraId="60E2FADF" w14:textId="707560FF" w:rsidR="00BA54FF" w:rsidRDefault="009063F1">
          <w:pPr>
            <w:pStyle w:val="TOC3"/>
            <w:rPr>
              <w:rFonts w:asciiTheme="minorHAnsi" w:eastAsiaTheme="minorEastAsia" w:hAnsiTheme="minorHAnsi"/>
              <w:iCs w:val="0"/>
              <w:noProof/>
              <w:color w:val="auto"/>
              <w:sz w:val="22"/>
              <w:lang w:eastAsia="en-AU"/>
            </w:rPr>
          </w:pPr>
          <w:hyperlink w:anchor="_Toc33545902" w:history="1">
            <w:r w:rsidR="00BA54FF" w:rsidRPr="00586EA2">
              <w:rPr>
                <w:rStyle w:val="Hyperlink"/>
                <w:noProof/>
              </w:rPr>
              <w:t>No State worse off</w:t>
            </w:r>
            <w:r w:rsidR="00BA54FF">
              <w:rPr>
                <w:noProof/>
                <w:webHidden/>
              </w:rPr>
              <w:tab/>
            </w:r>
            <w:r w:rsidR="00BA54FF">
              <w:rPr>
                <w:noProof/>
                <w:webHidden/>
              </w:rPr>
              <w:fldChar w:fldCharType="begin"/>
            </w:r>
            <w:r w:rsidR="00BA54FF">
              <w:rPr>
                <w:noProof/>
                <w:webHidden/>
              </w:rPr>
              <w:instrText xml:space="preserve"> PAGEREF _Toc33545902 \h </w:instrText>
            </w:r>
            <w:r w:rsidR="00BA54FF">
              <w:rPr>
                <w:noProof/>
                <w:webHidden/>
              </w:rPr>
            </w:r>
            <w:r w:rsidR="00BA54FF">
              <w:rPr>
                <w:noProof/>
                <w:webHidden/>
              </w:rPr>
              <w:fldChar w:fldCharType="separate"/>
            </w:r>
            <w:r w:rsidR="004A0DFA">
              <w:rPr>
                <w:noProof/>
                <w:webHidden/>
              </w:rPr>
              <w:t>81</w:t>
            </w:r>
            <w:r w:rsidR="00BA54FF">
              <w:rPr>
                <w:noProof/>
                <w:webHidden/>
              </w:rPr>
              <w:fldChar w:fldCharType="end"/>
            </w:r>
          </w:hyperlink>
        </w:p>
        <w:p w14:paraId="4CA8A2FF" w14:textId="7EBF1B1E" w:rsidR="00D17123" w:rsidRDefault="001C4417" w:rsidP="00790242">
          <w:r w:rsidRPr="00034E9B">
            <w:rPr>
              <w:b/>
              <w:bCs/>
              <w:noProof/>
            </w:rPr>
            <w:fldChar w:fldCharType="end"/>
          </w:r>
        </w:p>
      </w:sdtContent>
    </w:sdt>
    <w:p w14:paraId="7AF7CA3C" w14:textId="77777777" w:rsidR="009D187C" w:rsidRDefault="009D187C" w:rsidP="00F3387B">
      <w:pPr>
        <w:tabs>
          <w:tab w:val="clear" w:pos="567"/>
        </w:tabs>
        <w:spacing w:before="0" w:after="200" w:line="276" w:lineRule="auto"/>
      </w:pPr>
    </w:p>
    <w:p w14:paraId="224F79C1" w14:textId="3C469610" w:rsidR="00790242" w:rsidRDefault="004A3C53" w:rsidP="00F3387B">
      <w:pPr>
        <w:tabs>
          <w:tab w:val="clear" w:pos="567"/>
        </w:tabs>
        <w:spacing w:before="0" w:after="200" w:line="276" w:lineRule="auto"/>
      </w:pPr>
      <w:r>
        <w:br w:type="page"/>
      </w:r>
    </w:p>
    <w:p w14:paraId="2BDBEA08" w14:textId="64476736" w:rsidR="00B96DE6" w:rsidRPr="00034E9B" w:rsidRDefault="00B96DE6" w:rsidP="00230DC8">
      <w:pPr>
        <w:sectPr w:rsidR="00B96DE6" w:rsidRPr="00034E9B" w:rsidSect="00062F75">
          <w:footerReference w:type="first" r:id="rId21"/>
          <w:footnotePr>
            <w:numRestart w:val="eachSect"/>
          </w:footnotePr>
          <w:pgSz w:w="11899" w:h="16838" w:code="9"/>
          <w:pgMar w:top="1701" w:right="1474" w:bottom="1701" w:left="1474" w:header="709" w:footer="709" w:gutter="0"/>
          <w:pgNumType w:fmt="lowerRoman" w:start="1"/>
          <w:cols w:space="708"/>
          <w:titlePg/>
          <w:docGrid w:linePitch="299"/>
        </w:sectPr>
      </w:pPr>
    </w:p>
    <w:p w14:paraId="2EADFF03" w14:textId="77777777" w:rsidR="00242AD6" w:rsidRPr="00034E9B" w:rsidRDefault="00242AD6" w:rsidP="0052689A">
      <w:pPr>
        <w:pStyle w:val="Heading1"/>
      </w:pPr>
      <w:bookmarkStart w:id="8" w:name="_Toc9319953"/>
      <w:bookmarkStart w:id="9" w:name="_Toc12023826"/>
      <w:bookmarkStart w:id="10" w:name="_Toc9319954"/>
      <w:bookmarkStart w:id="11" w:name="_Toc12023827"/>
      <w:bookmarkStart w:id="12" w:name="_Toc26890293"/>
      <w:bookmarkStart w:id="13" w:name="_Toc33545884"/>
      <w:bookmarkEnd w:id="8"/>
      <w:bookmarkEnd w:id="9"/>
      <w:r w:rsidRPr="00034E9B">
        <w:lastRenderedPageBreak/>
        <w:t>1</w:t>
      </w:r>
      <w:r w:rsidRPr="00034E9B">
        <w:tab/>
        <w:t>Approach and main issues for the 2020 Review</w:t>
      </w:r>
      <w:bookmarkEnd w:id="10"/>
      <w:bookmarkEnd w:id="11"/>
      <w:bookmarkEnd w:id="12"/>
      <w:bookmarkEnd w:id="13"/>
    </w:p>
    <w:p w14:paraId="641CE237" w14:textId="771B0B6E" w:rsidR="00242AD6" w:rsidRPr="00034E9B" w:rsidRDefault="00242AD6" w:rsidP="00DC5A36">
      <w:pPr>
        <w:pStyle w:val="CGCParaNumber"/>
        <w:numPr>
          <w:ilvl w:val="0"/>
          <w:numId w:val="2"/>
        </w:numPr>
        <w:ind w:left="567" w:hanging="567"/>
        <w:rPr>
          <w:lang w:val="en-AU"/>
        </w:rPr>
      </w:pPr>
      <w:r w:rsidRPr="00034E9B">
        <w:rPr>
          <w:lang w:val="en-AU"/>
        </w:rPr>
        <w:t>On 28 November 2016, the Commission received terms of reference for a review of fiscal equalisation methodologies to inform the goods and services tax (GST) distribution from 2020</w:t>
      </w:r>
      <w:r w:rsidRPr="00034E9B">
        <w:rPr>
          <w:lang w:val="en-AU"/>
        </w:rPr>
        <w:noBreakHyphen/>
        <w:t>21. This chapter:</w:t>
      </w:r>
    </w:p>
    <w:p w14:paraId="431F46CD" w14:textId="77777777" w:rsidR="00242AD6" w:rsidRPr="00034E9B" w:rsidRDefault="00242AD6" w:rsidP="00DC5A36">
      <w:pPr>
        <w:pStyle w:val="CGCBullet1"/>
        <w:numPr>
          <w:ilvl w:val="0"/>
          <w:numId w:val="3"/>
        </w:numPr>
        <w:ind w:left="924" w:hanging="357"/>
      </w:pPr>
      <w:r w:rsidRPr="00034E9B">
        <w:t>describes the context of the review</w:t>
      </w:r>
    </w:p>
    <w:p w14:paraId="21EBF2C0" w14:textId="77777777" w:rsidR="00242AD6" w:rsidRPr="00034E9B" w:rsidRDefault="00242AD6" w:rsidP="00DC5A36">
      <w:pPr>
        <w:pStyle w:val="CGCBullet1"/>
        <w:numPr>
          <w:ilvl w:val="0"/>
          <w:numId w:val="3"/>
        </w:numPr>
        <w:ind w:left="924" w:hanging="357"/>
      </w:pPr>
      <w:r w:rsidRPr="00034E9B">
        <w:t xml:space="preserve">explains the methodology related requirements of the terms of reference </w:t>
      </w:r>
    </w:p>
    <w:p w14:paraId="73CC8624" w14:textId="77777777" w:rsidR="00242AD6" w:rsidRPr="00034E9B" w:rsidRDefault="00242AD6" w:rsidP="00DC5A36">
      <w:pPr>
        <w:pStyle w:val="CGCBullet1"/>
        <w:numPr>
          <w:ilvl w:val="0"/>
          <w:numId w:val="3"/>
        </w:numPr>
        <w:ind w:left="924" w:hanging="357"/>
      </w:pPr>
      <w:r w:rsidRPr="00034E9B">
        <w:t>describes the approach taken by the Commission to the review, including the work program</w:t>
      </w:r>
    </w:p>
    <w:p w14:paraId="0842FD7B" w14:textId="77777777" w:rsidR="00242AD6" w:rsidRPr="00034E9B" w:rsidRDefault="00242AD6" w:rsidP="00DC5A36">
      <w:pPr>
        <w:pStyle w:val="CGCBullet1"/>
        <w:numPr>
          <w:ilvl w:val="0"/>
          <w:numId w:val="3"/>
        </w:numPr>
        <w:ind w:left="924" w:hanging="357"/>
      </w:pPr>
      <w:r w:rsidRPr="00034E9B">
        <w:t>discusses the major changes to the 2015 Review methodology, along with other areas the Commission considered extensively over the review, even where this has not resulted in changed assessments</w:t>
      </w:r>
    </w:p>
    <w:p w14:paraId="0D030877" w14:textId="77777777" w:rsidR="00242AD6" w:rsidRPr="00034E9B" w:rsidRDefault="00242AD6" w:rsidP="00DC5A36">
      <w:pPr>
        <w:pStyle w:val="CGCBullet1"/>
        <w:numPr>
          <w:ilvl w:val="0"/>
          <w:numId w:val="3"/>
        </w:numPr>
        <w:ind w:left="924" w:hanging="357"/>
      </w:pPr>
      <w:r w:rsidRPr="00034E9B">
        <w:t>summarises all changes to 2015 Review methods, as well as the Commission’s response to State proposals</w:t>
      </w:r>
    </w:p>
    <w:p w14:paraId="48687A39" w14:textId="77777777" w:rsidR="00242AD6" w:rsidRPr="00034E9B" w:rsidRDefault="00242AD6" w:rsidP="00DC5A36">
      <w:pPr>
        <w:pStyle w:val="CGCBullet1"/>
        <w:numPr>
          <w:ilvl w:val="0"/>
          <w:numId w:val="3"/>
        </w:numPr>
        <w:ind w:left="924" w:hanging="357"/>
      </w:pPr>
      <w:r w:rsidRPr="00034E9B">
        <w:t xml:space="preserve">looks ahead to possible approaches by governments and the Commission to considering method changes in the short to medium term. </w:t>
      </w:r>
    </w:p>
    <w:p w14:paraId="6B25B100" w14:textId="77777777" w:rsidR="00242AD6" w:rsidRPr="00034E9B" w:rsidRDefault="00242AD6" w:rsidP="00242AD6">
      <w:pPr>
        <w:pStyle w:val="Heading3"/>
      </w:pPr>
      <w:bookmarkStart w:id="14" w:name="_Toc26890294"/>
      <w:bookmarkStart w:id="15" w:name="_Toc33545885"/>
      <w:r w:rsidRPr="00034E9B">
        <w:t>Context of the review</w:t>
      </w:r>
      <w:bookmarkEnd w:id="14"/>
      <w:bookmarkEnd w:id="15"/>
    </w:p>
    <w:p w14:paraId="2004341B" w14:textId="77777777" w:rsidR="00242AD6" w:rsidRPr="00034E9B" w:rsidRDefault="00242AD6" w:rsidP="00DC5A36">
      <w:pPr>
        <w:pStyle w:val="CGCParaNumber"/>
        <w:numPr>
          <w:ilvl w:val="0"/>
          <w:numId w:val="2"/>
        </w:numPr>
        <w:ind w:left="567" w:hanging="567"/>
        <w:rPr>
          <w:lang w:val="en-AU"/>
        </w:rPr>
      </w:pPr>
      <w:r w:rsidRPr="00034E9B">
        <w:rPr>
          <w:lang w:val="en-AU"/>
        </w:rPr>
        <w:t>Since 1976, fiscal equalisation has been an agreed Commonwealth and State policy, with the Commission being tasked with advising governments on how that could be achieved through the distribution of general revenue assistance from the Commonwealth to the States.</w:t>
      </w:r>
    </w:p>
    <w:p w14:paraId="5C4FA0E3" w14:textId="77777777" w:rsidR="00242AD6" w:rsidRPr="00034E9B" w:rsidRDefault="00242AD6" w:rsidP="00DC5A36">
      <w:pPr>
        <w:pStyle w:val="CGCParaNumber"/>
        <w:numPr>
          <w:ilvl w:val="0"/>
          <w:numId w:val="2"/>
        </w:numPr>
        <w:ind w:left="567" w:hanging="567"/>
        <w:rPr>
          <w:lang w:val="en-AU"/>
        </w:rPr>
      </w:pPr>
      <w:r w:rsidRPr="00034E9B">
        <w:rPr>
          <w:lang w:val="en-AU"/>
        </w:rPr>
        <w:t>Intergovernmental agreements in 1999 and 2008 and, most recently, the Intergovernmental Agreement on Federal Financial Relations 2011 (the IGA), signed by the Commonwealth and all State governments, provide for the revenue collected from the GST to be paid to the States for them to use for any purpose. The agreements also said the GST revenue is to be distributed among the States in accordance with the principle of horizontal fiscal equalisation (HFE).</w:t>
      </w:r>
    </w:p>
    <w:p w14:paraId="75DBFD54" w14:textId="77777777" w:rsidR="00242AD6" w:rsidRPr="00034E9B" w:rsidRDefault="00242AD6" w:rsidP="00DC5A36">
      <w:pPr>
        <w:pStyle w:val="CGCParaNumber"/>
        <w:numPr>
          <w:ilvl w:val="0"/>
          <w:numId w:val="2"/>
        </w:numPr>
        <w:ind w:left="567" w:hanging="567"/>
        <w:rPr>
          <w:lang w:val="en-AU"/>
        </w:rPr>
      </w:pPr>
      <w:r w:rsidRPr="00034E9B">
        <w:rPr>
          <w:lang w:val="en-AU"/>
        </w:rPr>
        <w:t>At its simplest, equalisation aims to put all States on a level fiscal playing field. It aims to ensure they all have the same fiscal capacity to provide the same standard of services to their residents.</w:t>
      </w:r>
    </w:p>
    <w:p w14:paraId="139269B1" w14:textId="77777777" w:rsidR="00242AD6" w:rsidRPr="00034E9B" w:rsidRDefault="00242AD6" w:rsidP="00DC5A36">
      <w:pPr>
        <w:pStyle w:val="CGCParaNumber"/>
        <w:numPr>
          <w:ilvl w:val="0"/>
          <w:numId w:val="2"/>
        </w:numPr>
        <w:ind w:left="567" w:hanging="567"/>
        <w:rPr>
          <w:lang w:val="en-AU"/>
        </w:rPr>
      </w:pPr>
      <w:r w:rsidRPr="00034E9B">
        <w:rPr>
          <w:lang w:val="en-AU"/>
        </w:rPr>
        <w:t>Determining a distribution of the GST revenue that equalises State fiscal capacities involves a comprehensive examination of the impact of State social, physical and economic circumstances on the costs of providing the full range of State services and acquiring the associated infrastructure, and on the revenues they can raise. This approach ensures all fiscal advantages and disadvantages of the States are taken into account. To ensure the continuing relevance of the recommended distributions, the Commission has reviewed its methods at about five yearly intervals since 1981 and updated the distribution between reviews since 1989.</w:t>
      </w:r>
    </w:p>
    <w:p w14:paraId="72ED6D9C" w14:textId="77777777" w:rsidR="00242AD6" w:rsidRPr="00034E9B" w:rsidRDefault="00242AD6" w:rsidP="00DC5A36">
      <w:pPr>
        <w:pStyle w:val="CGCParaNumber"/>
        <w:numPr>
          <w:ilvl w:val="0"/>
          <w:numId w:val="2"/>
        </w:numPr>
        <w:ind w:left="567" w:hanging="567"/>
        <w:rPr>
          <w:lang w:val="en-AU"/>
        </w:rPr>
      </w:pPr>
      <w:r w:rsidRPr="00034E9B">
        <w:rPr>
          <w:lang w:val="en-AU"/>
        </w:rPr>
        <w:lastRenderedPageBreak/>
        <w:t xml:space="preserve">This review has taken the 2015 Review methodology as its starting point. To assist States, the main changes to this methodology are summarised in this chapter, and at the end of the chapters in this volume dealing with individual assessments. </w:t>
      </w:r>
    </w:p>
    <w:p w14:paraId="1992F05C" w14:textId="5B672235" w:rsidR="00242AD6" w:rsidRPr="00034E9B" w:rsidRDefault="00242AD6" w:rsidP="00DC5A36">
      <w:pPr>
        <w:pStyle w:val="CGCParaNumber"/>
        <w:numPr>
          <w:ilvl w:val="0"/>
          <w:numId w:val="2"/>
        </w:numPr>
        <w:ind w:left="567" w:hanging="567"/>
        <w:rPr>
          <w:lang w:val="en-AU"/>
        </w:rPr>
      </w:pPr>
      <w:r w:rsidRPr="00034E9B">
        <w:rPr>
          <w:lang w:val="en-AU"/>
        </w:rPr>
        <w:t xml:space="preserve">Development of the methodology review benefited from substantial consultation with all States, including a program of visits by Commissioners to each State, along with detailed submissions from them. The Commission understands that the conduct of its reviews imposes a burden on States, and that the annual updates have a smaller, though not negligible, impact as well. It appreciates the efforts of States in hosting Commission visits and in responding to the Commission’s discussion papers in accordance with the work program. </w:t>
      </w:r>
    </w:p>
    <w:p w14:paraId="351BC879" w14:textId="38F5C388" w:rsidR="00242AD6" w:rsidRPr="00034E9B" w:rsidRDefault="00242AD6" w:rsidP="00DC5A36">
      <w:pPr>
        <w:pStyle w:val="CGCParaNumber"/>
        <w:numPr>
          <w:ilvl w:val="0"/>
          <w:numId w:val="2"/>
        </w:numPr>
        <w:ind w:left="567" w:hanging="567"/>
        <w:rPr>
          <w:lang w:val="en-AU"/>
        </w:rPr>
      </w:pPr>
      <w:r w:rsidRPr="00034E9B">
        <w:rPr>
          <w:lang w:val="en-AU"/>
        </w:rPr>
        <w:t xml:space="preserve">The Commission has attempted to respond to the issues States have raised in sufficient detail to allow an understanding of its decision process. However, the report does not attempt to exhaustively document each and every State argument in detail. In this regard, State submissions are allowed to speak for themselves. They can be found on the </w:t>
      </w:r>
      <w:hyperlink w:history="1">
        <w:r w:rsidRPr="00034E9B">
          <w:rPr>
            <w:rStyle w:val="Hyperlink"/>
            <w:lang w:val="en-AU"/>
          </w:rPr>
          <w:t>Commission website</w:t>
        </w:r>
      </w:hyperlink>
      <w:r w:rsidRPr="00034E9B">
        <w:rPr>
          <w:lang w:val="en-AU"/>
        </w:rPr>
        <w:t xml:space="preserve"> (https://cgc.gov.au/), classified by the issue or discussion paper to which they are responding. </w:t>
      </w:r>
    </w:p>
    <w:p w14:paraId="05E695A3" w14:textId="77777777" w:rsidR="00242AD6" w:rsidRPr="00034E9B" w:rsidRDefault="00242AD6" w:rsidP="00DC5A36">
      <w:pPr>
        <w:pStyle w:val="CGCParaNumber"/>
        <w:numPr>
          <w:ilvl w:val="0"/>
          <w:numId w:val="2"/>
        </w:numPr>
        <w:ind w:left="567" w:hanging="567"/>
        <w:rPr>
          <w:lang w:val="en-AU"/>
        </w:rPr>
      </w:pPr>
      <w:r w:rsidRPr="00034E9B">
        <w:rPr>
          <w:lang w:val="en-AU"/>
        </w:rPr>
        <w:t xml:space="preserve">From 2021-22, legislated changes will see a graduated transition from the current arrangements for distributing GST revenue (based directly upon the Commission’s assessment of relative fiscal capacities), to new arrangements based upon a standard State, being the fiscally stronger of New South Wales and Victoria. This transition will be completed in 2026-27. The new arrangements are set out in the </w:t>
      </w:r>
      <w:r w:rsidRPr="00034E9B">
        <w:rPr>
          <w:i/>
          <w:lang w:val="en-AU"/>
        </w:rPr>
        <w:t>Treasury Laws Amendment (Making Sure Every State and Territory Gets Their Fair Share of GST) Act 2018,</w:t>
      </w:r>
      <w:r w:rsidRPr="00034E9B">
        <w:rPr>
          <w:lang w:val="en-AU"/>
        </w:rPr>
        <w:t xml:space="preserve"> which amends the </w:t>
      </w:r>
      <w:r w:rsidRPr="00034E9B">
        <w:rPr>
          <w:i/>
          <w:lang w:val="en-AU"/>
        </w:rPr>
        <w:t>Commonwealth Grants Commission Act 1973</w:t>
      </w:r>
      <w:r w:rsidRPr="00034E9B">
        <w:rPr>
          <w:lang w:val="en-AU"/>
        </w:rPr>
        <w:t xml:space="preserve"> and the </w:t>
      </w:r>
      <w:r w:rsidRPr="00034E9B">
        <w:rPr>
          <w:i/>
          <w:lang w:val="en-AU"/>
        </w:rPr>
        <w:t>Federal Financial Relations Act 2009</w:t>
      </w:r>
      <w:r w:rsidRPr="00034E9B">
        <w:rPr>
          <w:lang w:val="en-AU"/>
        </w:rPr>
        <w:t xml:space="preserve">. </w:t>
      </w:r>
    </w:p>
    <w:p w14:paraId="7A075338" w14:textId="77777777" w:rsidR="00242AD6" w:rsidRPr="00034E9B" w:rsidRDefault="00242AD6" w:rsidP="00DC5A36">
      <w:pPr>
        <w:pStyle w:val="CGCParaNumber"/>
        <w:numPr>
          <w:ilvl w:val="0"/>
          <w:numId w:val="2"/>
        </w:numPr>
        <w:ind w:left="567" w:hanging="567"/>
        <w:rPr>
          <w:lang w:val="en-AU"/>
        </w:rPr>
      </w:pPr>
      <w:r w:rsidRPr="00034E9B">
        <w:rPr>
          <w:lang w:val="en-AU"/>
        </w:rPr>
        <w:t>The Commission expects the methodologies determined in this review will continue to form the basis for relativity assessments under the new arrangements. Accordingly, whilst the legislated changes do not affect the work of the Commission until the update for 2021</w:t>
      </w:r>
      <w:r w:rsidRPr="00034E9B">
        <w:rPr>
          <w:lang w:val="en-AU"/>
        </w:rPr>
        <w:noBreakHyphen/>
        <w:t>22, this report includes a description of the Commission’s understanding of how to give effect to the new legislation at that time, along with an illustrative example of how the Commission might present its findings during the change. The Commission welcomes State feedback on the illustrative approach.</w:t>
      </w:r>
    </w:p>
    <w:p w14:paraId="061096B7" w14:textId="77777777" w:rsidR="00242AD6" w:rsidRPr="00034E9B" w:rsidRDefault="00242AD6" w:rsidP="00883762">
      <w:pPr>
        <w:pStyle w:val="Heading3"/>
        <w:spacing w:before="200"/>
      </w:pPr>
      <w:bookmarkStart w:id="16" w:name="_Toc391023212"/>
      <w:bookmarkStart w:id="17" w:name="_Toc7601597"/>
      <w:bookmarkStart w:id="18" w:name="_Toc9319956"/>
      <w:bookmarkStart w:id="19" w:name="_Toc12023829"/>
      <w:bookmarkStart w:id="20" w:name="_Toc26890295"/>
      <w:bookmarkStart w:id="21" w:name="_Toc33545886"/>
      <w:bookmarkStart w:id="22" w:name="_Toc9319955"/>
      <w:bookmarkStart w:id="23" w:name="_Toc12023828"/>
      <w:r w:rsidRPr="00034E9B">
        <w:t>Methodology requirements of the terms of reference</w:t>
      </w:r>
      <w:bookmarkEnd w:id="16"/>
      <w:bookmarkEnd w:id="17"/>
      <w:bookmarkEnd w:id="18"/>
      <w:bookmarkEnd w:id="19"/>
      <w:bookmarkEnd w:id="20"/>
      <w:bookmarkEnd w:id="21"/>
    </w:p>
    <w:p w14:paraId="45729843" w14:textId="77777777" w:rsidR="00242AD6" w:rsidRPr="00034E9B" w:rsidRDefault="00242AD6" w:rsidP="00DC5A36">
      <w:pPr>
        <w:pStyle w:val="CGCParaNumber"/>
        <w:numPr>
          <w:ilvl w:val="0"/>
          <w:numId w:val="2"/>
        </w:numPr>
        <w:ind w:left="567" w:hanging="567"/>
        <w:rPr>
          <w:lang w:val="en-AU"/>
        </w:rPr>
      </w:pPr>
      <w:r w:rsidRPr="00034E9B">
        <w:rPr>
          <w:lang w:val="en-AU"/>
        </w:rPr>
        <w:t>The terms of reference ask the Commission to inquire into the methodological approach used to distribute the GST revenue among the States from 2020-21. They contain instructions and guidance on how the Commission should approach the task of developing this methodology. They ask the Commission to:</w:t>
      </w:r>
    </w:p>
    <w:p w14:paraId="58481B81" w14:textId="77777777" w:rsidR="00242AD6" w:rsidRPr="00034E9B" w:rsidRDefault="00242AD6" w:rsidP="00DC5A36">
      <w:pPr>
        <w:pStyle w:val="CGCBullet1"/>
        <w:numPr>
          <w:ilvl w:val="0"/>
          <w:numId w:val="3"/>
        </w:numPr>
        <w:ind w:left="924" w:hanging="357"/>
      </w:pPr>
      <w:r w:rsidRPr="00034E9B">
        <w:t>take into account the Intergovernmental Agreement on Federal Financial Relations (as amended), which provides that the GST should be distributed among the States in accordance with the principle of horizontal fiscal equalisation (HFE)</w:t>
      </w:r>
    </w:p>
    <w:p w14:paraId="6154038C" w14:textId="77777777" w:rsidR="00242AD6" w:rsidRPr="00034E9B" w:rsidRDefault="00242AD6" w:rsidP="00DC5A36">
      <w:pPr>
        <w:pStyle w:val="CGCBullet1"/>
        <w:numPr>
          <w:ilvl w:val="0"/>
          <w:numId w:val="3"/>
        </w:numPr>
        <w:ind w:left="924" w:hanging="357"/>
      </w:pPr>
      <w:r w:rsidRPr="00034E9B">
        <w:t>aim for assessments that are simple and consistent with the quality and fitness for purpose of the available data</w:t>
      </w:r>
    </w:p>
    <w:p w14:paraId="6F18E9F9" w14:textId="77777777" w:rsidR="00242AD6" w:rsidRPr="00034E9B" w:rsidRDefault="00242AD6" w:rsidP="00DC5A36">
      <w:pPr>
        <w:pStyle w:val="CGCBullet1"/>
        <w:numPr>
          <w:ilvl w:val="0"/>
          <w:numId w:val="3"/>
        </w:numPr>
        <w:ind w:left="924" w:hanging="357"/>
      </w:pPr>
      <w:r w:rsidRPr="00034E9B">
        <w:t>use the latest available data consistent with this</w:t>
      </w:r>
    </w:p>
    <w:p w14:paraId="29D4E6AD" w14:textId="77777777" w:rsidR="00242AD6" w:rsidRPr="00034E9B" w:rsidRDefault="00242AD6" w:rsidP="00DC5A36">
      <w:pPr>
        <w:pStyle w:val="CGCBullet1"/>
        <w:numPr>
          <w:ilvl w:val="0"/>
          <w:numId w:val="3"/>
        </w:numPr>
        <w:ind w:left="924" w:hanging="357"/>
      </w:pPr>
      <w:r w:rsidRPr="00034E9B">
        <w:lastRenderedPageBreak/>
        <w:t>ensure robust quality assurance procedures.</w:t>
      </w:r>
      <w:r w:rsidRPr="00034E9B">
        <w:rPr>
          <w:vertAlign w:val="superscript"/>
        </w:rPr>
        <w:footnoteReference w:id="2"/>
      </w:r>
    </w:p>
    <w:p w14:paraId="67A24001" w14:textId="77777777" w:rsidR="00242AD6" w:rsidRPr="00034E9B" w:rsidRDefault="00242AD6" w:rsidP="00DC5A36">
      <w:pPr>
        <w:pStyle w:val="CGCParaNumber"/>
        <w:numPr>
          <w:ilvl w:val="0"/>
          <w:numId w:val="2"/>
        </w:numPr>
        <w:ind w:left="567" w:hanging="567"/>
        <w:rPr>
          <w:lang w:val="en-AU"/>
        </w:rPr>
      </w:pPr>
      <w:r w:rsidRPr="00034E9B">
        <w:rPr>
          <w:lang w:val="en-AU"/>
        </w:rPr>
        <w:t>They also ask the Commission to consider whether the supporting principles it uses to guide its work remain appropriate, including whether different weights should apply to different supporting principles. In coming to a judgment, the terms of reference ask the Commission to seek State views on the supporting principles and the appropriate balance between them.</w:t>
      </w:r>
      <w:r w:rsidRPr="00034E9B">
        <w:rPr>
          <w:vertAlign w:val="superscript"/>
          <w:lang w:val="en-AU"/>
        </w:rPr>
        <w:footnoteReference w:id="3"/>
      </w:r>
    </w:p>
    <w:p w14:paraId="567E594D" w14:textId="77777777" w:rsidR="00242AD6" w:rsidRPr="00034E9B" w:rsidRDefault="00242AD6" w:rsidP="00DC5A36">
      <w:pPr>
        <w:pStyle w:val="CGCParaNumber"/>
        <w:numPr>
          <w:ilvl w:val="0"/>
          <w:numId w:val="2"/>
        </w:numPr>
        <w:ind w:left="567" w:hanging="567"/>
        <w:rPr>
          <w:lang w:val="en-AU"/>
        </w:rPr>
      </w:pPr>
      <w:r w:rsidRPr="00034E9B">
        <w:rPr>
          <w:lang w:val="en-AU"/>
        </w:rPr>
        <w:t>Specific guidance is provided in relation to the treatment of Commonwealth specific purpose payments (SPPs) and national partnership payments (NPPs), collectively referred to as payments for specific purposes (PSPs). The terms of reference require the Commission:</w:t>
      </w:r>
    </w:p>
    <w:p w14:paraId="4834D13D" w14:textId="77777777" w:rsidR="00242AD6" w:rsidRPr="00034E9B" w:rsidRDefault="00242AD6" w:rsidP="00DC5A36">
      <w:pPr>
        <w:pStyle w:val="CGCBullet1"/>
        <w:numPr>
          <w:ilvl w:val="0"/>
          <w:numId w:val="3"/>
        </w:numPr>
        <w:ind w:left="924" w:hanging="357"/>
      </w:pPr>
      <w:r w:rsidRPr="00034E9B">
        <w:t>to ensure some specified payments including reward NPPs (or some part of specified payments, usually 50%), have no impact on the GST distribution (collectively these payments are usually referred to as quarantined payments)</w:t>
      </w:r>
    </w:p>
    <w:p w14:paraId="2D4BEB13" w14:textId="77777777" w:rsidR="00242AD6" w:rsidRPr="00034E9B" w:rsidRDefault="00242AD6" w:rsidP="00DC5A36">
      <w:pPr>
        <w:pStyle w:val="CGCBullet1"/>
        <w:numPr>
          <w:ilvl w:val="0"/>
          <w:numId w:val="3"/>
        </w:numPr>
        <w:ind w:left="924" w:hanging="357"/>
      </w:pPr>
      <w:r w:rsidRPr="00034E9B">
        <w:t>to treat national SPPs, National Health Reform funding, Quality Schools funding (for government schools), national partnership project payments and general revenue assistance (GRA), other than the GST, so that they would affect GST shares, but treat facilitation NPPs so that they would not.</w:t>
      </w:r>
      <w:r w:rsidRPr="00034E9B">
        <w:rPr>
          <w:vertAlign w:val="superscript"/>
        </w:rPr>
        <w:footnoteReference w:id="4"/>
      </w:r>
    </w:p>
    <w:p w14:paraId="5486108B" w14:textId="77777777" w:rsidR="00242AD6" w:rsidRPr="00034E9B" w:rsidRDefault="00242AD6" w:rsidP="00242AD6">
      <w:pPr>
        <w:ind w:left="720"/>
      </w:pPr>
      <w:r w:rsidRPr="00034E9B">
        <w:t>The terms of reference also give the Commission discretion to vary the treatment of the second group of payments where considered appropriate, ‘reflecting the nature of the payment and the role of State governments in providing services’.</w:t>
      </w:r>
      <w:r w:rsidRPr="00034E9B">
        <w:rPr>
          <w:vertAlign w:val="superscript"/>
        </w:rPr>
        <w:footnoteReference w:id="5"/>
      </w:r>
    </w:p>
    <w:p w14:paraId="363579C4" w14:textId="77777777" w:rsidR="00242AD6" w:rsidRPr="00034E9B" w:rsidRDefault="00242AD6" w:rsidP="00DC5A36">
      <w:pPr>
        <w:pStyle w:val="CGCParaNumber"/>
        <w:numPr>
          <w:ilvl w:val="0"/>
          <w:numId w:val="2"/>
        </w:numPr>
        <w:ind w:left="567" w:hanging="567"/>
        <w:rPr>
          <w:lang w:val="en-AU"/>
        </w:rPr>
      </w:pPr>
      <w:r w:rsidRPr="00034E9B">
        <w:rPr>
          <w:lang w:val="en-AU"/>
        </w:rPr>
        <w:t>Supplementary terms of reference directed the Commission not to change the mining revenue assessment methodology.</w:t>
      </w:r>
    </w:p>
    <w:p w14:paraId="3C8D22CE" w14:textId="31118A54" w:rsidR="00242AD6" w:rsidRPr="00034E9B" w:rsidRDefault="00242AD6" w:rsidP="00DC5A36">
      <w:pPr>
        <w:pStyle w:val="CGCParaNumber"/>
        <w:numPr>
          <w:ilvl w:val="0"/>
          <w:numId w:val="2"/>
        </w:numPr>
        <w:ind w:left="567" w:hanging="567"/>
        <w:rPr>
          <w:lang w:val="en-AU"/>
        </w:rPr>
      </w:pPr>
      <w:r w:rsidRPr="00034E9B">
        <w:rPr>
          <w:lang w:val="en-AU"/>
        </w:rPr>
        <w:fldChar w:fldCharType="begin"/>
      </w:r>
      <w:r w:rsidRPr="00034E9B">
        <w:rPr>
          <w:lang w:val="en-AU"/>
        </w:rPr>
        <w:instrText xml:space="preserve"> REF _Ref389647008 \h  \* MERGEFORMAT </w:instrText>
      </w:r>
      <w:r w:rsidRPr="00034E9B">
        <w:rPr>
          <w:lang w:val="en-AU"/>
        </w:rPr>
      </w:r>
      <w:r w:rsidRPr="00034E9B">
        <w:rPr>
          <w:lang w:val="en-AU"/>
        </w:rPr>
        <w:fldChar w:fldCharType="separate"/>
      </w:r>
      <w:r w:rsidR="004A0DFA" w:rsidRPr="004A0DFA">
        <w:rPr>
          <w:lang w:val="en-AU"/>
        </w:rPr>
        <w:t>Table 1</w:t>
      </w:r>
      <w:r w:rsidR="004A0DFA" w:rsidRPr="004A0DFA">
        <w:rPr>
          <w:lang w:val="en-AU"/>
        </w:rPr>
        <w:noBreakHyphen/>
        <w:t>1</w:t>
      </w:r>
      <w:r w:rsidRPr="00034E9B">
        <w:rPr>
          <w:lang w:val="en-AU"/>
        </w:rPr>
        <w:fldChar w:fldCharType="end"/>
      </w:r>
      <w:r w:rsidRPr="00034E9B">
        <w:rPr>
          <w:lang w:val="en-AU"/>
        </w:rPr>
        <w:t xml:space="preserve"> identifies the matters the terms of reference require the Commission to address and indicates where it has responded to them in this report.</w:t>
      </w:r>
    </w:p>
    <w:p w14:paraId="0D7D0112" w14:textId="3CFC6017" w:rsidR="00242AD6" w:rsidRPr="00034E9B" w:rsidRDefault="00242AD6" w:rsidP="00242AD6">
      <w:pPr>
        <w:pStyle w:val="Caption"/>
      </w:pPr>
      <w:bookmarkStart w:id="24" w:name="_Ref389647008"/>
      <w:r w:rsidRPr="00034E9B">
        <w:t>Table </w:t>
      </w:r>
      <w:r w:rsidRPr="00034E9B">
        <w:rPr>
          <w:noProof/>
        </w:rPr>
        <w:t>1</w:t>
      </w:r>
      <w:r w:rsidRPr="00034E9B">
        <w:noBreakHyphen/>
      </w:r>
      <w:r w:rsidRPr="00034E9B">
        <w:rPr>
          <w:noProof/>
        </w:rPr>
        <w:fldChar w:fldCharType="begin"/>
      </w:r>
      <w:r w:rsidRPr="00034E9B">
        <w:rPr>
          <w:noProof/>
        </w:rPr>
        <w:instrText xml:space="preserve"> SEQ Table \* ARABIC \s 1 </w:instrText>
      </w:r>
      <w:r w:rsidRPr="00034E9B">
        <w:rPr>
          <w:noProof/>
        </w:rPr>
        <w:fldChar w:fldCharType="separate"/>
      </w:r>
      <w:r w:rsidR="004A0DFA">
        <w:rPr>
          <w:noProof/>
        </w:rPr>
        <w:t>1</w:t>
      </w:r>
      <w:r w:rsidRPr="00034E9B">
        <w:rPr>
          <w:noProof/>
        </w:rPr>
        <w:fldChar w:fldCharType="end"/>
      </w:r>
      <w:bookmarkEnd w:id="24"/>
      <w:r w:rsidRPr="00034E9B">
        <w:tab/>
        <w:t>Requirements of the terms of reference and the Commission’s response</w:t>
      </w:r>
    </w:p>
    <w:tbl>
      <w:tblPr>
        <w:tblStyle w:val="TableGrid1"/>
        <w:tblW w:w="9067" w:type="dxa"/>
        <w:tblBorders>
          <w:top w:val="single" w:sz="4" w:space="0" w:color="ADD6EA"/>
          <w:left w:val="none" w:sz="0" w:space="0" w:color="auto"/>
          <w:bottom w:val="single" w:sz="4" w:space="0" w:color="ADD6EA"/>
          <w:right w:val="none" w:sz="0" w:space="0" w:color="auto"/>
          <w:insideH w:val="single" w:sz="4" w:space="0" w:color="ADD6EA"/>
          <w:insideV w:val="none" w:sz="0" w:space="0" w:color="auto"/>
        </w:tblBorders>
        <w:tblLayout w:type="fixed"/>
        <w:tblCellMar>
          <w:left w:w="28" w:type="dxa"/>
        </w:tblCellMar>
        <w:tblLook w:val="04A0" w:firstRow="1" w:lastRow="0" w:firstColumn="1" w:lastColumn="0" w:noHBand="0" w:noVBand="1"/>
      </w:tblPr>
      <w:tblGrid>
        <w:gridCol w:w="4644"/>
        <w:gridCol w:w="4423"/>
      </w:tblGrid>
      <w:tr w:rsidR="00242AD6" w:rsidRPr="00034E9B" w14:paraId="49BF2154" w14:textId="77777777" w:rsidTr="00C01414">
        <w:trPr>
          <w:trHeight w:val="340"/>
          <w:tblHeader/>
        </w:trPr>
        <w:tc>
          <w:tcPr>
            <w:tcW w:w="4644" w:type="dxa"/>
            <w:shd w:val="clear" w:color="auto" w:fill="006991"/>
            <w:vAlign w:val="center"/>
          </w:tcPr>
          <w:p w14:paraId="0F9EC6EA" w14:textId="77777777" w:rsidR="00242AD6" w:rsidRPr="00034E9B" w:rsidRDefault="00242AD6" w:rsidP="00242AD6">
            <w:pPr>
              <w:pStyle w:val="CGCTableheader"/>
              <w:rPr>
                <w:lang w:val="en-AU"/>
              </w:rPr>
            </w:pPr>
            <w:bookmarkStart w:id="25" w:name="_Toc391023213"/>
            <w:bookmarkStart w:id="26" w:name="_Toc7601598"/>
            <w:bookmarkStart w:id="27" w:name="_Toc9319957"/>
            <w:r w:rsidRPr="00034E9B">
              <w:rPr>
                <w:lang w:val="en-AU"/>
              </w:rPr>
              <w:t>2020 Review reference clause</w:t>
            </w:r>
          </w:p>
        </w:tc>
        <w:tc>
          <w:tcPr>
            <w:tcW w:w="4423" w:type="dxa"/>
            <w:shd w:val="clear" w:color="auto" w:fill="006991"/>
            <w:vAlign w:val="center"/>
          </w:tcPr>
          <w:p w14:paraId="5941BB66" w14:textId="77777777" w:rsidR="00242AD6" w:rsidRPr="00034E9B" w:rsidRDefault="00242AD6" w:rsidP="00242AD6">
            <w:pPr>
              <w:pStyle w:val="CGCTableheader"/>
              <w:rPr>
                <w:lang w:val="en-AU"/>
              </w:rPr>
            </w:pPr>
            <w:r w:rsidRPr="00034E9B">
              <w:rPr>
                <w:lang w:val="en-AU"/>
              </w:rPr>
              <w:t>Response</w:t>
            </w:r>
          </w:p>
        </w:tc>
      </w:tr>
      <w:tr w:rsidR="00242AD6" w:rsidRPr="00034E9B" w14:paraId="300B06D8" w14:textId="77777777" w:rsidTr="00C01414">
        <w:trPr>
          <w:trHeight w:val="284"/>
        </w:trPr>
        <w:tc>
          <w:tcPr>
            <w:tcW w:w="4644" w:type="dxa"/>
            <w:shd w:val="clear" w:color="auto" w:fill="auto"/>
          </w:tcPr>
          <w:p w14:paraId="446E7539" w14:textId="176F17BC" w:rsidR="00242AD6" w:rsidRPr="00034E9B" w:rsidRDefault="00242AD6" w:rsidP="00242AD6">
            <w:pPr>
              <w:pStyle w:val="CGCTablerow"/>
            </w:pPr>
            <w:r w:rsidRPr="00034E9B">
              <w:t xml:space="preserve">1(b) </w:t>
            </w:r>
            <w:r w:rsidR="00E32BCD">
              <w:t>per</w:t>
            </w:r>
            <w:r w:rsidRPr="00034E9B">
              <w:t xml:space="preserve"> capita relativities for 2020</w:t>
            </w:r>
            <w:r w:rsidRPr="00034E9B">
              <w:noBreakHyphen/>
              <w:t>21</w:t>
            </w:r>
          </w:p>
        </w:tc>
        <w:tc>
          <w:tcPr>
            <w:tcW w:w="4423" w:type="dxa"/>
            <w:shd w:val="clear" w:color="auto" w:fill="auto"/>
          </w:tcPr>
          <w:p w14:paraId="5C93E026" w14:textId="77777777" w:rsidR="00242AD6" w:rsidRPr="00034E9B" w:rsidRDefault="00242AD6" w:rsidP="00242AD6">
            <w:pPr>
              <w:pStyle w:val="CGCTablerow"/>
            </w:pPr>
            <w:r w:rsidRPr="00034E9B">
              <w:t>Volume 1</w:t>
            </w:r>
          </w:p>
        </w:tc>
      </w:tr>
      <w:tr w:rsidR="00242AD6" w:rsidRPr="00034E9B" w14:paraId="633F7659" w14:textId="77777777" w:rsidTr="00C01414">
        <w:tc>
          <w:tcPr>
            <w:tcW w:w="4644" w:type="dxa"/>
            <w:shd w:val="clear" w:color="auto" w:fill="auto"/>
          </w:tcPr>
          <w:p w14:paraId="32125BAB" w14:textId="77777777" w:rsidR="00242AD6" w:rsidRPr="00034E9B" w:rsidRDefault="00242AD6" w:rsidP="00242AD6">
            <w:pPr>
              <w:pStyle w:val="CGCTablerow"/>
            </w:pPr>
            <w:r w:rsidRPr="00034E9B">
              <w:t>5 take into account the Intergovernmental Agreement on Federal Financial Relations … the principle of horizontal fiscal equalisation</w:t>
            </w:r>
          </w:p>
        </w:tc>
        <w:tc>
          <w:tcPr>
            <w:tcW w:w="4423" w:type="dxa"/>
            <w:shd w:val="clear" w:color="auto" w:fill="auto"/>
          </w:tcPr>
          <w:p w14:paraId="055388BD" w14:textId="77777777" w:rsidR="00242AD6" w:rsidRPr="00034E9B" w:rsidRDefault="00242AD6" w:rsidP="00242AD6">
            <w:pPr>
              <w:pStyle w:val="CGCTablerow"/>
            </w:pPr>
            <w:r w:rsidRPr="00034E9B">
              <w:t>Volume 2, Chapter 2</w:t>
            </w:r>
          </w:p>
          <w:p w14:paraId="70B1776D" w14:textId="77777777" w:rsidR="00242AD6" w:rsidRPr="00034E9B" w:rsidRDefault="00242AD6" w:rsidP="00242AD6">
            <w:pPr>
              <w:pStyle w:val="CGCTablerow"/>
            </w:pPr>
          </w:p>
        </w:tc>
      </w:tr>
      <w:tr w:rsidR="00242AD6" w:rsidRPr="00034E9B" w14:paraId="34D473CF" w14:textId="77777777" w:rsidTr="00C01414">
        <w:tc>
          <w:tcPr>
            <w:tcW w:w="4644" w:type="dxa"/>
            <w:shd w:val="clear" w:color="auto" w:fill="auto"/>
          </w:tcPr>
          <w:p w14:paraId="14AC27F3" w14:textId="77777777" w:rsidR="00242AD6" w:rsidRPr="00034E9B" w:rsidRDefault="00242AD6" w:rsidP="00242AD6">
            <w:pPr>
              <w:pStyle w:val="CGCTablerow"/>
            </w:pPr>
            <w:r w:rsidRPr="00034E9B">
              <w:t>6 consider appropriate supporting principles and appropriate balance / weighting</w:t>
            </w:r>
          </w:p>
        </w:tc>
        <w:tc>
          <w:tcPr>
            <w:tcW w:w="4423" w:type="dxa"/>
            <w:shd w:val="clear" w:color="auto" w:fill="auto"/>
          </w:tcPr>
          <w:p w14:paraId="2B85532B" w14:textId="77777777" w:rsidR="00242AD6" w:rsidRPr="00034E9B" w:rsidRDefault="00242AD6" w:rsidP="00242AD6">
            <w:pPr>
              <w:pStyle w:val="CGCTablerow"/>
            </w:pPr>
            <w:r w:rsidRPr="00034E9B">
              <w:t>Volume 2, Chapter 2</w:t>
            </w:r>
          </w:p>
        </w:tc>
      </w:tr>
      <w:tr w:rsidR="00242AD6" w:rsidRPr="00034E9B" w14:paraId="725F4B8D" w14:textId="77777777" w:rsidTr="00C01414">
        <w:tc>
          <w:tcPr>
            <w:tcW w:w="4644" w:type="dxa"/>
            <w:shd w:val="clear" w:color="auto" w:fill="auto"/>
          </w:tcPr>
          <w:p w14:paraId="556BA836" w14:textId="7BEC152E" w:rsidR="00242AD6" w:rsidRPr="00034E9B" w:rsidRDefault="00242AD6" w:rsidP="00242AD6">
            <w:pPr>
              <w:pStyle w:val="CGCTablerow"/>
            </w:pPr>
            <w:r w:rsidRPr="00034E9B">
              <w:t>7(a) aim for assessments that are simple and consistent with the quality and fitness for purpose of the available data</w:t>
            </w:r>
          </w:p>
        </w:tc>
        <w:tc>
          <w:tcPr>
            <w:tcW w:w="4423" w:type="dxa"/>
            <w:shd w:val="clear" w:color="auto" w:fill="auto"/>
          </w:tcPr>
          <w:p w14:paraId="1E20FB8E" w14:textId="77777777" w:rsidR="00242AD6" w:rsidRPr="00034E9B" w:rsidRDefault="00242AD6" w:rsidP="00242AD6">
            <w:pPr>
              <w:pStyle w:val="CGCTablerow"/>
            </w:pPr>
            <w:r w:rsidRPr="00034E9B">
              <w:t>Volume 2, Chapter 1 and chapters describing individual assessments</w:t>
            </w:r>
          </w:p>
        </w:tc>
      </w:tr>
      <w:tr w:rsidR="00242AD6" w:rsidRPr="00034E9B" w14:paraId="1858786C" w14:textId="77777777" w:rsidTr="00C01414">
        <w:tc>
          <w:tcPr>
            <w:tcW w:w="4644" w:type="dxa"/>
            <w:shd w:val="clear" w:color="auto" w:fill="auto"/>
          </w:tcPr>
          <w:p w14:paraId="4CE25FAD" w14:textId="3E64B188" w:rsidR="00242AD6" w:rsidRPr="00034E9B" w:rsidRDefault="00242AD6" w:rsidP="00242AD6">
            <w:pPr>
              <w:pStyle w:val="CGCTablerow"/>
            </w:pPr>
            <w:r w:rsidRPr="00034E9B">
              <w:t>7(c) ensure robust quality assurance procedures</w:t>
            </w:r>
          </w:p>
        </w:tc>
        <w:tc>
          <w:tcPr>
            <w:tcW w:w="4423" w:type="dxa"/>
            <w:shd w:val="clear" w:color="auto" w:fill="auto"/>
          </w:tcPr>
          <w:p w14:paraId="237D48A4" w14:textId="77777777" w:rsidR="00242AD6" w:rsidRPr="00034E9B" w:rsidRDefault="00242AD6" w:rsidP="00242AD6">
            <w:pPr>
              <w:pStyle w:val="CGCTablerow"/>
            </w:pPr>
            <w:r w:rsidRPr="00034E9B">
              <w:t>The Quality Assurance Strategic Plan, which is available on the Commission website and Volume 1, Chapter 5</w:t>
            </w:r>
          </w:p>
        </w:tc>
      </w:tr>
      <w:tr w:rsidR="00242AD6" w:rsidRPr="00034E9B" w14:paraId="33778038" w14:textId="77777777" w:rsidTr="00C01414">
        <w:trPr>
          <w:trHeight w:val="284"/>
        </w:trPr>
        <w:tc>
          <w:tcPr>
            <w:tcW w:w="4644" w:type="dxa"/>
            <w:shd w:val="clear" w:color="auto" w:fill="auto"/>
          </w:tcPr>
          <w:p w14:paraId="15108D98" w14:textId="77777777" w:rsidR="00242AD6" w:rsidRPr="00034E9B" w:rsidRDefault="00242AD6" w:rsidP="00242AD6">
            <w:pPr>
              <w:pStyle w:val="CGCTablerow"/>
            </w:pPr>
            <w:r w:rsidRPr="00034E9B">
              <w:t>8 Treatment of Commonwealth payments</w:t>
            </w:r>
          </w:p>
        </w:tc>
        <w:tc>
          <w:tcPr>
            <w:tcW w:w="4423" w:type="dxa"/>
            <w:shd w:val="clear" w:color="auto" w:fill="auto"/>
          </w:tcPr>
          <w:p w14:paraId="3714C933" w14:textId="77777777" w:rsidR="00242AD6" w:rsidRPr="00034E9B" w:rsidRDefault="00242AD6" w:rsidP="00242AD6">
            <w:pPr>
              <w:pStyle w:val="CGCTablerow"/>
            </w:pPr>
            <w:r w:rsidRPr="00034E9B">
              <w:t>Volume 2, Chapter 5 Commonwealth payments</w:t>
            </w:r>
          </w:p>
        </w:tc>
      </w:tr>
    </w:tbl>
    <w:p w14:paraId="0A7EC441" w14:textId="1DC88EDC" w:rsidR="00242AD6" w:rsidRPr="00034E9B" w:rsidRDefault="00242AD6" w:rsidP="007F754F">
      <w:pPr>
        <w:pStyle w:val="Heading3"/>
        <w:keepLines/>
      </w:pPr>
      <w:bookmarkStart w:id="28" w:name="_Toc26890296"/>
      <w:bookmarkStart w:id="29" w:name="_Toc33545887"/>
      <w:bookmarkEnd w:id="25"/>
      <w:bookmarkEnd w:id="26"/>
      <w:bookmarkEnd w:id="27"/>
      <w:r w:rsidRPr="00034E9B">
        <w:lastRenderedPageBreak/>
        <w:t>Approach to the review</w:t>
      </w:r>
      <w:bookmarkEnd w:id="4"/>
      <w:bookmarkEnd w:id="5"/>
      <w:bookmarkEnd w:id="22"/>
      <w:bookmarkEnd w:id="23"/>
      <w:bookmarkEnd w:id="28"/>
      <w:bookmarkEnd w:id="29"/>
    </w:p>
    <w:p w14:paraId="3C3BB845" w14:textId="6F67E468" w:rsidR="00242AD6" w:rsidRPr="00034E9B" w:rsidRDefault="00242AD6" w:rsidP="007F754F">
      <w:pPr>
        <w:pStyle w:val="CGCParaNumber"/>
        <w:keepNext/>
        <w:keepLines/>
        <w:numPr>
          <w:ilvl w:val="0"/>
          <w:numId w:val="2"/>
        </w:numPr>
        <w:ind w:left="567" w:hanging="567"/>
        <w:rPr>
          <w:lang w:val="en-AU"/>
        </w:rPr>
      </w:pPr>
      <w:r w:rsidRPr="00034E9B">
        <w:rPr>
          <w:lang w:val="en-AU"/>
        </w:rPr>
        <w:t xml:space="preserve">The terms of reference asked the Commission to develop a work program for the </w:t>
      </w:r>
      <w:r w:rsidR="00590A3C" w:rsidRPr="00034E9B">
        <w:rPr>
          <w:lang w:val="en-AU"/>
        </w:rPr>
        <w:t>review</w:t>
      </w:r>
      <w:r w:rsidRPr="00034E9B">
        <w:rPr>
          <w:lang w:val="en-AU"/>
        </w:rPr>
        <w:t>, in consultation with the Commonwealth and States.</w:t>
      </w:r>
      <w:r w:rsidRPr="00034E9B">
        <w:rPr>
          <w:vertAlign w:val="superscript"/>
          <w:lang w:val="en-AU"/>
        </w:rPr>
        <w:footnoteReference w:id="6"/>
      </w:r>
      <w:r w:rsidRPr="00034E9B">
        <w:rPr>
          <w:lang w:val="en-AU"/>
        </w:rPr>
        <w:t xml:space="preserve"> This is set out in </w:t>
      </w:r>
      <w:r w:rsidRPr="00034E9B">
        <w:rPr>
          <w:lang w:val="en-AU"/>
        </w:rPr>
        <w:fldChar w:fldCharType="begin"/>
      </w:r>
      <w:r w:rsidRPr="00034E9B">
        <w:rPr>
          <w:lang w:val="en-AU"/>
        </w:rPr>
        <w:instrText xml:space="preserve"> REF _Ref389646743 \h </w:instrText>
      </w:r>
      <w:r w:rsidRPr="00034E9B">
        <w:rPr>
          <w:lang w:val="en-AU"/>
        </w:rPr>
      </w:r>
      <w:r w:rsidRPr="00034E9B">
        <w:rPr>
          <w:lang w:val="en-AU"/>
        </w:rPr>
        <w:fldChar w:fldCharType="separate"/>
      </w:r>
      <w:r w:rsidR="004A0DFA" w:rsidRPr="00034E9B">
        <w:t>Table 1</w:t>
      </w:r>
      <w:r w:rsidR="004A0DFA" w:rsidRPr="00034E9B">
        <w:noBreakHyphen/>
      </w:r>
      <w:r w:rsidR="004A0DFA">
        <w:rPr>
          <w:noProof/>
        </w:rPr>
        <w:t>2</w:t>
      </w:r>
      <w:r w:rsidRPr="00034E9B">
        <w:rPr>
          <w:lang w:val="en-AU"/>
        </w:rPr>
        <w:fldChar w:fldCharType="end"/>
      </w:r>
      <w:r w:rsidRPr="00034E9B">
        <w:rPr>
          <w:lang w:val="en-AU"/>
        </w:rPr>
        <w:t>. Broadly, the work program included:</w:t>
      </w:r>
    </w:p>
    <w:p w14:paraId="5A1913EB" w14:textId="77777777" w:rsidR="00242AD6" w:rsidRPr="00034E9B" w:rsidRDefault="00242AD6" w:rsidP="007F754F">
      <w:pPr>
        <w:pStyle w:val="CGCBullet1"/>
        <w:keepNext/>
        <w:keepLines/>
        <w:numPr>
          <w:ilvl w:val="0"/>
          <w:numId w:val="3"/>
        </w:numPr>
        <w:ind w:left="924" w:hanging="357"/>
      </w:pPr>
      <w:r w:rsidRPr="00034E9B">
        <w:t>in 2017, consultations with State Treasuries on the principles and methods which should be reviewed, followed by a Commission position paper on the principle of HFE and its implementation</w:t>
      </w:r>
    </w:p>
    <w:p w14:paraId="0F1E0AF2" w14:textId="77777777" w:rsidR="00242AD6" w:rsidRPr="00034E9B" w:rsidRDefault="00242AD6" w:rsidP="00DC5A36">
      <w:pPr>
        <w:pStyle w:val="CGCBullet1"/>
        <w:numPr>
          <w:ilvl w:val="0"/>
          <w:numId w:val="3"/>
        </w:numPr>
        <w:ind w:left="924" w:hanging="357"/>
      </w:pPr>
      <w:r w:rsidRPr="00034E9B">
        <w:t>in 2018, Commission staff released discussion papers relating to each specific assessment, identifying material factors beyond the control of States affecting their revenue raising capacities and expenditure needs</w:t>
      </w:r>
    </w:p>
    <w:p w14:paraId="0E96A0F6" w14:textId="18159E14" w:rsidR="00242AD6" w:rsidRPr="00034E9B" w:rsidRDefault="00242AD6" w:rsidP="00DC5A36">
      <w:pPr>
        <w:pStyle w:val="CGCBullet2"/>
        <w:numPr>
          <w:ilvl w:val="0"/>
          <w:numId w:val="4"/>
        </w:numPr>
        <w:ind w:left="1208" w:hanging="357"/>
      </w:pPr>
      <w:r w:rsidRPr="00034E9B">
        <w:t xml:space="preserve">the Commission followed this with visits to each State, and subsequently received from States their detailed submissions on the discussion papers; further discussions have also taken place between State </w:t>
      </w:r>
      <w:r w:rsidRPr="00066FAD">
        <w:t>Treasur</w:t>
      </w:r>
      <w:r w:rsidR="00BC5F26">
        <w:t>ies</w:t>
      </w:r>
      <w:r w:rsidRPr="00034E9B">
        <w:t xml:space="preserve"> and Commission staff, for example through the Officer Working Party forum.</w:t>
      </w:r>
    </w:p>
    <w:p w14:paraId="43A9B5F0" w14:textId="77777777" w:rsidR="00242AD6" w:rsidRPr="00034E9B" w:rsidRDefault="00242AD6" w:rsidP="00DC5A36">
      <w:pPr>
        <w:pStyle w:val="CGCBullet1"/>
        <w:numPr>
          <w:ilvl w:val="0"/>
          <w:numId w:val="3"/>
        </w:numPr>
        <w:ind w:left="924" w:hanging="357"/>
      </w:pPr>
      <w:r w:rsidRPr="00034E9B">
        <w:t>in 2019, provision of a draft report to the Commonwealth and States</w:t>
      </w:r>
    </w:p>
    <w:p w14:paraId="60B59758" w14:textId="77777777" w:rsidR="00242AD6" w:rsidRPr="00034E9B" w:rsidRDefault="00242AD6" w:rsidP="00DC5A36">
      <w:pPr>
        <w:pStyle w:val="CGCBullet2"/>
        <w:numPr>
          <w:ilvl w:val="0"/>
          <w:numId w:val="4"/>
        </w:numPr>
        <w:ind w:left="1208" w:hanging="357"/>
      </w:pPr>
      <w:r w:rsidRPr="00034E9B">
        <w:t>this was followed by discussions between Commission staff and State officials, consideration by the Commission of State submissions on the draft report, and informing States of any significant changes to the Commission’s views subsequent to the draft report</w:t>
      </w:r>
      <w:r w:rsidRPr="00034E9B">
        <w:rPr>
          <w:vertAlign w:val="superscript"/>
        </w:rPr>
        <w:footnoteReference w:id="7"/>
      </w:r>
    </w:p>
    <w:p w14:paraId="317BFF09" w14:textId="77777777" w:rsidR="00242AD6" w:rsidRPr="00034E9B" w:rsidRDefault="00242AD6" w:rsidP="00DC5A36">
      <w:pPr>
        <w:pStyle w:val="CGCBullet1"/>
        <w:numPr>
          <w:ilvl w:val="0"/>
          <w:numId w:val="3"/>
        </w:numPr>
        <w:ind w:left="924" w:hanging="357"/>
      </w:pPr>
      <w:r w:rsidRPr="00034E9B">
        <w:t>in 2020, provision of the Commission’s final report, including the recommended per capita relativities to be used to distribute GST revenue among the States in 2020-21.</w:t>
      </w:r>
      <w:r w:rsidRPr="00034E9B">
        <w:rPr>
          <w:vertAlign w:val="superscript"/>
        </w:rPr>
        <w:footnoteReference w:id="8"/>
      </w:r>
      <w:r w:rsidRPr="00034E9B">
        <w:t xml:space="preserve"> </w:t>
      </w:r>
    </w:p>
    <w:p w14:paraId="7CF3BD9B" w14:textId="77777777" w:rsidR="00242AD6" w:rsidRPr="00034E9B" w:rsidRDefault="00242AD6" w:rsidP="00DC5A36">
      <w:pPr>
        <w:pStyle w:val="CGCParaNumber"/>
        <w:numPr>
          <w:ilvl w:val="0"/>
          <w:numId w:val="2"/>
        </w:numPr>
        <w:ind w:left="567" w:hanging="567"/>
        <w:rPr>
          <w:lang w:val="en-AU"/>
        </w:rPr>
      </w:pPr>
      <w:r w:rsidRPr="00034E9B">
        <w:rPr>
          <w:lang w:val="en-AU"/>
        </w:rPr>
        <w:t xml:space="preserve">Commission papers, State submissions and consultations held as part of the review process are available on the </w:t>
      </w:r>
      <w:hyperlink r:id="rId22" w:history="1">
        <w:r w:rsidRPr="00034E9B">
          <w:rPr>
            <w:rStyle w:val="Hyperlink"/>
            <w:lang w:val="en-AU"/>
          </w:rPr>
          <w:t>Commission website</w:t>
        </w:r>
      </w:hyperlink>
      <w:r w:rsidRPr="00034E9B">
        <w:rPr>
          <w:lang w:val="en-AU"/>
        </w:rPr>
        <w:t>, (https://cgc.gov.au/).</w:t>
      </w:r>
    </w:p>
    <w:p w14:paraId="2DBDCC22" w14:textId="77777777" w:rsidR="00242AD6" w:rsidRPr="00034E9B" w:rsidRDefault="00242AD6" w:rsidP="00DC5A36">
      <w:pPr>
        <w:pStyle w:val="CGCParaNumber"/>
        <w:numPr>
          <w:ilvl w:val="0"/>
          <w:numId w:val="2"/>
        </w:numPr>
        <w:ind w:left="567" w:hanging="567"/>
        <w:rPr>
          <w:lang w:val="en-AU"/>
        </w:rPr>
      </w:pPr>
      <w:r w:rsidRPr="00034E9B">
        <w:rPr>
          <w:lang w:val="en-AU"/>
        </w:rPr>
        <w:t xml:space="preserve">In the 2015 Review, given its shorter timeframe, the Commission adopted an approach of focusing attention on areas where, in consultation with the States and consistent with the terms of reference, change was considered most warranted. While that resulted in significant changes in certain areas, it also showed that much of the existing methodology was robust. </w:t>
      </w:r>
    </w:p>
    <w:p w14:paraId="654D12AF" w14:textId="77777777" w:rsidR="00242AD6" w:rsidRPr="00034E9B" w:rsidRDefault="00242AD6" w:rsidP="00DC5A36">
      <w:pPr>
        <w:pStyle w:val="CGCParaNumber"/>
        <w:numPr>
          <w:ilvl w:val="0"/>
          <w:numId w:val="2"/>
        </w:numPr>
        <w:ind w:left="567" w:hanging="567"/>
        <w:rPr>
          <w:lang w:val="en-AU"/>
        </w:rPr>
      </w:pPr>
      <w:r w:rsidRPr="00034E9B">
        <w:rPr>
          <w:lang w:val="en-AU"/>
        </w:rPr>
        <w:t xml:space="preserve">Consequently, in this review, while changes to all aspects of the methodology were within the terms of reference, the Commission adopted the 2015 Review methodology as its starting point. Changes have been proposed where State circumstances have changed, better data have become available or where other evidence, including the work of consultants and in State submissions, has convinced the Commission to do so. </w:t>
      </w:r>
    </w:p>
    <w:p w14:paraId="58D2B7B6" w14:textId="47E24F61" w:rsidR="00242AD6" w:rsidRPr="00034E9B" w:rsidRDefault="00242AD6" w:rsidP="00242AD6">
      <w:pPr>
        <w:pStyle w:val="Caption"/>
      </w:pPr>
      <w:bookmarkStart w:id="30" w:name="_Ref389646743"/>
      <w:r w:rsidRPr="00034E9B">
        <w:lastRenderedPageBreak/>
        <w:t>Table 1</w:t>
      </w:r>
      <w:r w:rsidRPr="00034E9B">
        <w:noBreakHyphen/>
      </w:r>
      <w:r w:rsidR="009063F1">
        <w:fldChar w:fldCharType="begin"/>
      </w:r>
      <w:r w:rsidR="009063F1">
        <w:instrText xml:space="preserve"> SEQ Table \* ARABIC \s 1 </w:instrText>
      </w:r>
      <w:r w:rsidR="009063F1">
        <w:fldChar w:fldCharType="separate"/>
      </w:r>
      <w:r w:rsidR="004A0DFA">
        <w:rPr>
          <w:noProof/>
        </w:rPr>
        <w:t>2</w:t>
      </w:r>
      <w:r w:rsidR="009063F1">
        <w:rPr>
          <w:noProof/>
        </w:rPr>
        <w:fldChar w:fldCharType="end"/>
      </w:r>
      <w:bookmarkEnd w:id="30"/>
      <w:r w:rsidRPr="00034E9B">
        <w:tab/>
        <w:t>2020 Review program</w:t>
      </w:r>
    </w:p>
    <w:tbl>
      <w:tblPr>
        <w:tblW w:w="8919" w:type="dxa"/>
        <w:tblBorders>
          <w:top w:val="single" w:sz="4" w:space="0" w:color="ADD6EA"/>
          <w:bottom w:val="single" w:sz="4" w:space="0" w:color="ADD6EA"/>
          <w:insideH w:val="single" w:sz="4" w:space="0" w:color="ADD6EA"/>
        </w:tblBorders>
        <w:tblLayout w:type="fixed"/>
        <w:tblCellMar>
          <w:left w:w="28" w:type="dxa"/>
          <w:right w:w="0" w:type="dxa"/>
        </w:tblCellMar>
        <w:tblLook w:val="04A0" w:firstRow="1" w:lastRow="0" w:firstColumn="1" w:lastColumn="0" w:noHBand="0" w:noVBand="1"/>
      </w:tblPr>
      <w:tblGrid>
        <w:gridCol w:w="1843"/>
        <w:gridCol w:w="7076"/>
      </w:tblGrid>
      <w:tr w:rsidR="00242AD6" w:rsidRPr="00034E9B" w14:paraId="594515D7" w14:textId="77777777" w:rsidTr="00591BF8">
        <w:trPr>
          <w:trHeight w:val="340"/>
        </w:trPr>
        <w:tc>
          <w:tcPr>
            <w:tcW w:w="1843" w:type="dxa"/>
            <w:tcBorders>
              <w:bottom w:val="single" w:sz="4" w:space="0" w:color="ADD6EA"/>
            </w:tcBorders>
            <w:shd w:val="clear" w:color="auto" w:fill="006991"/>
            <w:vAlign w:val="center"/>
            <w:hideMark/>
          </w:tcPr>
          <w:p w14:paraId="26DEAFCA" w14:textId="77777777" w:rsidR="00242AD6" w:rsidRPr="00034E9B" w:rsidRDefault="00242AD6" w:rsidP="00242AD6">
            <w:pPr>
              <w:pStyle w:val="CGCTableheader"/>
              <w:keepNext/>
              <w:keepLines/>
              <w:rPr>
                <w:lang w:val="en-AU" w:eastAsia="en-AU"/>
              </w:rPr>
            </w:pPr>
            <w:r w:rsidRPr="00034E9B">
              <w:rPr>
                <w:lang w:val="en-AU" w:eastAsia="en-AU"/>
              </w:rPr>
              <w:t>Date</w:t>
            </w:r>
          </w:p>
        </w:tc>
        <w:tc>
          <w:tcPr>
            <w:tcW w:w="7076" w:type="dxa"/>
            <w:tcBorders>
              <w:bottom w:val="single" w:sz="4" w:space="0" w:color="ADD6EA"/>
            </w:tcBorders>
            <w:shd w:val="clear" w:color="auto" w:fill="006991"/>
            <w:vAlign w:val="center"/>
            <w:hideMark/>
          </w:tcPr>
          <w:p w14:paraId="480A96B9" w14:textId="77777777" w:rsidR="00242AD6" w:rsidRPr="00034E9B" w:rsidRDefault="00242AD6" w:rsidP="00242AD6">
            <w:pPr>
              <w:pStyle w:val="CGCTableheader"/>
              <w:keepNext/>
              <w:keepLines/>
              <w:rPr>
                <w:lang w:val="en-AU" w:eastAsia="en-AU"/>
              </w:rPr>
            </w:pPr>
            <w:r w:rsidRPr="00034E9B">
              <w:rPr>
                <w:lang w:val="en-AU" w:eastAsia="en-AU"/>
              </w:rPr>
              <w:t>Event</w:t>
            </w:r>
          </w:p>
        </w:tc>
      </w:tr>
      <w:tr w:rsidR="00242AD6" w:rsidRPr="00034E9B" w14:paraId="79CFFDCF" w14:textId="77777777" w:rsidTr="00591BF8">
        <w:trPr>
          <w:trHeight w:val="227"/>
        </w:trPr>
        <w:tc>
          <w:tcPr>
            <w:tcW w:w="1843" w:type="dxa"/>
            <w:shd w:val="clear" w:color="auto" w:fill="B6D5E4"/>
            <w:hideMark/>
          </w:tcPr>
          <w:p w14:paraId="4A63C2C1" w14:textId="77777777" w:rsidR="00242AD6" w:rsidRPr="00034E9B" w:rsidRDefault="00242AD6" w:rsidP="00242AD6">
            <w:pPr>
              <w:pStyle w:val="CGCTablerow"/>
              <w:keepNext/>
              <w:keepLines/>
              <w:spacing w:before="20" w:after="20"/>
              <w:rPr>
                <w:rFonts w:ascii="Open Sans Semibold" w:hAnsi="Open Sans Semibold" w:cs="Open Sans Semibold"/>
                <w:bCs/>
                <w:lang w:eastAsia="en-AU"/>
              </w:rPr>
            </w:pPr>
            <w:r w:rsidRPr="00034E9B">
              <w:rPr>
                <w:rFonts w:ascii="Open Sans Semibold" w:hAnsi="Open Sans Semibold" w:cs="Open Sans Semibold"/>
                <w:bCs/>
                <w:lang w:eastAsia="en-AU"/>
              </w:rPr>
              <w:t>2016</w:t>
            </w:r>
          </w:p>
        </w:tc>
        <w:tc>
          <w:tcPr>
            <w:tcW w:w="7076" w:type="dxa"/>
            <w:shd w:val="clear" w:color="auto" w:fill="B6D5E4"/>
            <w:hideMark/>
          </w:tcPr>
          <w:p w14:paraId="7033444C" w14:textId="77777777" w:rsidR="00242AD6" w:rsidRPr="00034E9B" w:rsidRDefault="00242AD6" w:rsidP="00242AD6">
            <w:pPr>
              <w:pStyle w:val="CGCTablerow"/>
              <w:keepNext/>
              <w:keepLines/>
              <w:spacing w:before="20" w:after="20"/>
              <w:rPr>
                <w:rFonts w:ascii="Open Sans Semibold" w:hAnsi="Open Sans Semibold" w:cs="Open Sans Semibold"/>
                <w:bCs/>
                <w:lang w:eastAsia="en-AU"/>
              </w:rPr>
            </w:pPr>
            <w:r w:rsidRPr="00034E9B">
              <w:rPr>
                <w:rFonts w:ascii="Open Sans Semibold" w:hAnsi="Open Sans Semibold" w:cs="Open Sans Semibold"/>
                <w:bCs/>
                <w:lang w:eastAsia="en-AU"/>
              </w:rPr>
              <w:t> </w:t>
            </w:r>
          </w:p>
        </w:tc>
      </w:tr>
      <w:tr w:rsidR="00242AD6" w:rsidRPr="00034E9B" w14:paraId="31DA5C2D" w14:textId="77777777" w:rsidTr="00591BF8">
        <w:tc>
          <w:tcPr>
            <w:tcW w:w="1843" w:type="dxa"/>
            <w:shd w:val="clear" w:color="auto" w:fill="auto"/>
            <w:hideMark/>
          </w:tcPr>
          <w:p w14:paraId="3B48E51C" w14:textId="77777777" w:rsidR="00242AD6" w:rsidRPr="00034E9B" w:rsidRDefault="00242AD6" w:rsidP="00242AD6">
            <w:pPr>
              <w:pStyle w:val="CGCTablerow"/>
              <w:keepNext/>
              <w:keepLines/>
              <w:spacing w:before="20" w:after="20"/>
              <w:rPr>
                <w:lang w:eastAsia="en-AU"/>
              </w:rPr>
            </w:pPr>
            <w:r w:rsidRPr="00034E9B">
              <w:rPr>
                <w:lang w:eastAsia="en-AU"/>
              </w:rPr>
              <w:t>28 November</w:t>
            </w:r>
          </w:p>
        </w:tc>
        <w:tc>
          <w:tcPr>
            <w:tcW w:w="7076" w:type="dxa"/>
            <w:shd w:val="clear" w:color="auto" w:fill="auto"/>
            <w:hideMark/>
          </w:tcPr>
          <w:p w14:paraId="768A4733" w14:textId="77777777" w:rsidR="00242AD6" w:rsidRPr="00034E9B" w:rsidRDefault="00242AD6" w:rsidP="00242AD6">
            <w:pPr>
              <w:pStyle w:val="CGCTablerow"/>
              <w:keepNext/>
              <w:keepLines/>
              <w:spacing w:before="20" w:after="20"/>
              <w:rPr>
                <w:lang w:eastAsia="en-AU"/>
              </w:rPr>
            </w:pPr>
            <w:r w:rsidRPr="00034E9B">
              <w:rPr>
                <w:lang w:eastAsia="en-AU"/>
              </w:rPr>
              <w:t>Terms of reference received.</w:t>
            </w:r>
          </w:p>
        </w:tc>
      </w:tr>
      <w:tr w:rsidR="00242AD6" w:rsidRPr="00034E9B" w14:paraId="519B911C" w14:textId="77777777" w:rsidTr="00591BF8">
        <w:tc>
          <w:tcPr>
            <w:tcW w:w="1843" w:type="dxa"/>
            <w:tcBorders>
              <w:bottom w:val="single" w:sz="4" w:space="0" w:color="ADD6EA"/>
            </w:tcBorders>
            <w:shd w:val="clear" w:color="auto" w:fill="auto"/>
            <w:hideMark/>
          </w:tcPr>
          <w:p w14:paraId="210EEC83" w14:textId="77777777" w:rsidR="00242AD6" w:rsidRPr="00034E9B" w:rsidRDefault="00242AD6" w:rsidP="00242AD6">
            <w:pPr>
              <w:pStyle w:val="CGCTablerow"/>
              <w:keepNext/>
              <w:keepLines/>
              <w:spacing w:before="20" w:after="20"/>
              <w:rPr>
                <w:lang w:eastAsia="en-AU"/>
              </w:rPr>
            </w:pPr>
            <w:r w:rsidRPr="00034E9B">
              <w:rPr>
                <w:lang w:eastAsia="en-AU"/>
              </w:rPr>
              <w:t>1 December</w:t>
            </w:r>
          </w:p>
        </w:tc>
        <w:tc>
          <w:tcPr>
            <w:tcW w:w="7076" w:type="dxa"/>
            <w:tcBorders>
              <w:bottom w:val="single" w:sz="4" w:space="0" w:color="ADD6EA"/>
            </w:tcBorders>
            <w:shd w:val="clear" w:color="auto" w:fill="auto"/>
            <w:hideMark/>
          </w:tcPr>
          <w:p w14:paraId="54941FFA" w14:textId="77777777" w:rsidR="00242AD6" w:rsidRPr="00034E9B" w:rsidRDefault="00242AD6" w:rsidP="00242AD6">
            <w:pPr>
              <w:pStyle w:val="CGCTablerow"/>
              <w:keepNext/>
              <w:keepLines/>
              <w:spacing w:before="20" w:after="20"/>
              <w:rPr>
                <w:lang w:eastAsia="en-AU"/>
              </w:rPr>
            </w:pPr>
            <w:r w:rsidRPr="00034E9B">
              <w:rPr>
                <w:lang w:eastAsia="en-AU"/>
              </w:rPr>
              <w:t>State views on work program processes sought.</w:t>
            </w:r>
          </w:p>
        </w:tc>
      </w:tr>
      <w:tr w:rsidR="00242AD6" w:rsidRPr="00034E9B" w14:paraId="29BB7F02" w14:textId="77777777" w:rsidTr="00591BF8">
        <w:tc>
          <w:tcPr>
            <w:tcW w:w="1843" w:type="dxa"/>
            <w:shd w:val="clear" w:color="auto" w:fill="B6D5E4"/>
            <w:hideMark/>
          </w:tcPr>
          <w:p w14:paraId="581AD076" w14:textId="77777777" w:rsidR="00242AD6" w:rsidRPr="00034E9B" w:rsidRDefault="00242AD6" w:rsidP="00242AD6">
            <w:pPr>
              <w:pStyle w:val="CGCTablerow"/>
              <w:keepNext/>
              <w:keepLines/>
              <w:spacing w:before="20" w:after="20"/>
              <w:rPr>
                <w:rFonts w:ascii="Open Sans Semibold" w:hAnsi="Open Sans Semibold" w:cs="Open Sans Semibold"/>
                <w:bCs/>
                <w:lang w:eastAsia="en-AU"/>
              </w:rPr>
            </w:pPr>
            <w:r w:rsidRPr="00034E9B">
              <w:rPr>
                <w:rFonts w:ascii="Open Sans Semibold" w:hAnsi="Open Sans Semibold" w:cs="Open Sans Semibold"/>
                <w:bCs/>
                <w:lang w:eastAsia="en-AU"/>
              </w:rPr>
              <w:t>2017</w:t>
            </w:r>
          </w:p>
        </w:tc>
        <w:tc>
          <w:tcPr>
            <w:tcW w:w="7076" w:type="dxa"/>
            <w:shd w:val="clear" w:color="auto" w:fill="B6D5E4"/>
            <w:hideMark/>
          </w:tcPr>
          <w:p w14:paraId="17BC3149" w14:textId="77777777" w:rsidR="00242AD6" w:rsidRPr="00034E9B" w:rsidRDefault="00242AD6" w:rsidP="00242AD6">
            <w:pPr>
              <w:pStyle w:val="CGCTablerow"/>
              <w:keepNext/>
              <w:keepLines/>
              <w:spacing w:before="20" w:after="20"/>
              <w:rPr>
                <w:rFonts w:ascii="Open Sans Semibold" w:hAnsi="Open Sans Semibold" w:cs="Open Sans Semibold"/>
                <w:bCs/>
                <w:lang w:eastAsia="en-AU"/>
              </w:rPr>
            </w:pPr>
          </w:p>
        </w:tc>
      </w:tr>
      <w:tr w:rsidR="00242AD6" w:rsidRPr="00034E9B" w14:paraId="16093E80" w14:textId="77777777" w:rsidTr="00591BF8">
        <w:tc>
          <w:tcPr>
            <w:tcW w:w="1843" w:type="dxa"/>
            <w:shd w:val="clear" w:color="auto" w:fill="auto"/>
            <w:hideMark/>
          </w:tcPr>
          <w:p w14:paraId="19044021" w14:textId="77777777" w:rsidR="00242AD6" w:rsidRPr="00034E9B" w:rsidRDefault="00242AD6" w:rsidP="00242AD6">
            <w:pPr>
              <w:pStyle w:val="CGCTablerow"/>
              <w:keepNext/>
              <w:keepLines/>
              <w:spacing w:before="20" w:after="20"/>
              <w:rPr>
                <w:lang w:eastAsia="en-AU"/>
              </w:rPr>
            </w:pPr>
            <w:r w:rsidRPr="00034E9B">
              <w:rPr>
                <w:lang w:eastAsia="en-AU"/>
              </w:rPr>
              <w:t>February-March</w:t>
            </w:r>
          </w:p>
        </w:tc>
        <w:tc>
          <w:tcPr>
            <w:tcW w:w="7076" w:type="dxa"/>
            <w:shd w:val="clear" w:color="auto" w:fill="auto"/>
            <w:hideMark/>
          </w:tcPr>
          <w:p w14:paraId="531CE1A4" w14:textId="77777777" w:rsidR="00242AD6" w:rsidRPr="00034E9B" w:rsidRDefault="00242AD6" w:rsidP="00242AD6">
            <w:pPr>
              <w:pStyle w:val="CGCTablerow"/>
              <w:keepNext/>
              <w:keepLines/>
              <w:spacing w:before="20" w:after="20"/>
              <w:rPr>
                <w:lang w:eastAsia="en-AU"/>
              </w:rPr>
            </w:pPr>
            <w:r w:rsidRPr="00034E9B">
              <w:rPr>
                <w:lang w:eastAsia="en-AU"/>
              </w:rPr>
              <w:t>States and Commonwealth consulted and work program finalised.</w:t>
            </w:r>
          </w:p>
        </w:tc>
      </w:tr>
      <w:tr w:rsidR="00242AD6" w:rsidRPr="00034E9B" w14:paraId="5B939E1B" w14:textId="77777777" w:rsidTr="00591BF8">
        <w:tc>
          <w:tcPr>
            <w:tcW w:w="1843" w:type="dxa"/>
            <w:shd w:val="clear" w:color="auto" w:fill="auto"/>
            <w:hideMark/>
          </w:tcPr>
          <w:p w14:paraId="7BAF79E1" w14:textId="77777777" w:rsidR="00242AD6" w:rsidRPr="00034E9B" w:rsidRDefault="00242AD6" w:rsidP="00242AD6">
            <w:pPr>
              <w:pStyle w:val="CGCTablerow"/>
              <w:keepNext/>
              <w:keepLines/>
              <w:spacing w:before="20" w:after="20"/>
              <w:rPr>
                <w:lang w:eastAsia="en-AU"/>
              </w:rPr>
            </w:pPr>
            <w:r w:rsidRPr="00034E9B">
              <w:rPr>
                <w:lang w:eastAsia="en-AU"/>
              </w:rPr>
              <w:t>April</w:t>
            </w:r>
          </w:p>
        </w:tc>
        <w:tc>
          <w:tcPr>
            <w:tcW w:w="7076" w:type="dxa"/>
            <w:shd w:val="clear" w:color="auto" w:fill="auto"/>
            <w:hideMark/>
          </w:tcPr>
          <w:p w14:paraId="15E3B496" w14:textId="77777777" w:rsidR="00242AD6" w:rsidRPr="00034E9B" w:rsidRDefault="00242AD6" w:rsidP="00242AD6">
            <w:pPr>
              <w:pStyle w:val="CGCTablerow"/>
              <w:keepNext/>
              <w:keepLines/>
              <w:spacing w:before="20" w:after="20"/>
              <w:rPr>
                <w:lang w:eastAsia="en-AU"/>
              </w:rPr>
            </w:pPr>
            <w:r w:rsidRPr="00034E9B">
              <w:rPr>
                <w:lang w:eastAsia="en-AU"/>
              </w:rPr>
              <w:t>Officer Working Party (OWP) of Commission and State officials commenced examination of specific assessment issues. Work program agreed and work started.</w:t>
            </w:r>
          </w:p>
        </w:tc>
      </w:tr>
      <w:tr w:rsidR="00242AD6" w:rsidRPr="00034E9B" w14:paraId="6FCB964A" w14:textId="77777777" w:rsidTr="00591BF8">
        <w:tc>
          <w:tcPr>
            <w:tcW w:w="1843" w:type="dxa"/>
            <w:shd w:val="clear" w:color="auto" w:fill="auto"/>
            <w:hideMark/>
          </w:tcPr>
          <w:p w14:paraId="492553D1" w14:textId="77777777" w:rsidR="00242AD6" w:rsidRPr="00034E9B" w:rsidRDefault="00242AD6" w:rsidP="00242AD6">
            <w:pPr>
              <w:pStyle w:val="CGCTablerow"/>
              <w:keepNext/>
              <w:keepLines/>
              <w:spacing w:before="20" w:after="20"/>
              <w:rPr>
                <w:lang w:eastAsia="en-AU"/>
              </w:rPr>
            </w:pPr>
            <w:r w:rsidRPr="00034E9B">
              <w:rPr>
                <w:lang w:eastAsia="en-AU"/>
              </w:rPr>
              <w:t>Mid May</w:t>
            </w:r>
          </w:p>
        </w:tc>
        <w:tc>
          <w:tcPr>
            <w:tcW w:w="7076" w:type="dxa"/>
            <w:shd w:val="clear" w:color="auto" w:fill="auto"/>
            <w:hideMark/>
          </w:tcPr>
          <w:p w14:paraId="380D42E1" w14:textId="77777777" w:rsidR="00242AD6" w:rsidRPr="00034E9B" w:rsidRDefault="00242AD6" w:rsidP="00242AD6">
            <w:pPr>
              <w:pStyle w:val="CGCTablerow"/>
              <w:keepNext/>
              <w:keepLines/>
              <w:spacing w:before="20" w:after="20"/>
              <w:rPr>
                <w:lang w:eastAsia="en-AU"/>
              </w:rPr>
            </w:pPr>
            <w:r w:rsidRPr="00034E9B">
              <w:rPr>
                <w:lang w:eastAsia="en-AU"/>
              </w:rPr>
              <w:t>Staff released a paper on approach to the review, HFE, supporting principles and their implementation, including assessment guidelines. Series of supporting research/background papers released.</w:t>
            </w:r>
          </w:p>
        </w:tc>
      </w:tr>
      <w:tr w:rsidR="00242AD6" w:rsidRPr="00034E9B" w14:paraId="5CD2426E" w14:textId="77777777" w:rsidTr="00591BF8">
        <w:tc>
          <w:tcPr>
            <w:tcW w:w="1843" w:type="dxa"/>
            <w:shd w:val="clear" w:color="auto" w:fill="auto"/>
            <w:hideMark/>
          </w:tcPr>
          <w:p w14:paraId="70518BF1" w14:textId="77777777" w:rsidR="00242AD6" w:rsidRPr="00034E9B" w:rsidRDefault="00242AD6" w:rsidP="00242AD6">
            <w:pPr>
              <w:pStyle w:val="CGCTablerow"/>
              <w:keepNext/>
              <w:keepLines/>
              <w:spacing w:before="20" w:after="20"/>
              <w:rPr>
                <w:lang w:eastAsia="en-AU"/>
              </w:rPr>
            </w:pPr>
            <w:r w:rsidRPr="00034E9B">
              <w:rPr>
                <w:lang w:eastAsia="en-AU"/>
              </w:rPr>
              <w:t>End July</w:t>
            </w:r>
          </w:p>
        </w:tc>
        <w:tc>
          <w:tcPr>
            <w:tcW w:w="7076" w:type="dxa"/>
            <w:shd w:val="clear" w:color="auto" w:fill="auto"/>
            <w:hideMark/>
          </w:tcPr>
          <w:p w14:paraId="03728E85" w14:textId="77777777" w:rsidR="00242AD6" w:rsidRPr="00034E9B" w:rsidRDefault="00242AD6" w:rsidP="00242AD6">
            <w:pPr>
              <w:pStyle w:val="CGCTablerow"/>
              <w:keepNext/>
              <w:keepLines/>
              <w:spacing w:before="20" w:after="20"/>
              <w:rPr>
                <w:lang w:eastAsia="en-AU"/>
              </w:rPr>
            </w:pPr>
            <w:r w:rsidRPr="00034E9B">
              <w:rPr>
                <w:lang w:eastAsia="en-AU"/>
              </w:rPr>
              <w:t>State submissions received on staff paper on approach to the review, HFE, supporting principles and their implementation, including assessment guidelines.</w:t>
            </w:r>
          </w:p>
        </w:tc>
      </w:tr>
      <w:tr w:rsidR="00242AD6" w:rsidRPr="00034E9B" w14:paraId="3684675C" w14:textId="77777777" w:rsidTr="00591BF8">
        <w:tc>
          <w:tcPr>
            <w:tcW w:w="1843" w:type="dxa"/>
            <w:shd w:val="clear" w:color="auto" w:fill="auto"/>
            <w:hideMark/>
          </w:tcPr>
          <w:p w14:paraId="094B660F" w14:textId="77777777" w:rsidR="00242AD6" w:rsidRPr="00034E9B" w:rsidRDefault="00242AD6" w:rsidP="00242AD6">
            <w:pPr>
              <w:pStyle w:val="CGCTablerow"/>
              <w:keepNext/>
              <w:keepLines/>
              <w:spacing w:before="20" w:after="20"/>
              <w:rPr>
                <w:lang w:eastAsia="en-AU"/>
              </w:rPr>
            </w:pPr>
            <w:r w:rsidRPr="00034E9B">
              <w:rPr>
                <w:lang w:eastAsia="en-AU"/>
              </w:rPr>
              <w:t>Late August/Sept</w:t>
            </w:r>
          </w:p>
        </w:tc>
        <w:tc>
          <w:tcPr>
            <w:tcW w:w="7076" w:type="dxa"/>
            <w:shd w:val="clear" w:color="auto" w:fill="auto"/>
            <w:hideMark/>
          </w:tcPr>
          <w:p w14:paraId="2C96F6BC" w14:textId="77777777" w:rsidR="00242AD6" w:rsidRPr="00034E9B" w:rsidRDefault="00242AD6" w:rsidP="00242AD6">
            <w:pPr>
              <w:pStyle w:val="CGCTablerow"/>
              <w:keepNext/>
              <w:keepLines/>
              <w:spacing w:before="20" w:after="20"/>
              <w:rPr>
                <w:lang w:eastAsia="en-AU"/>
              </w:rPr>
            </w:pPr>
            <w:r w:rsidRPr="00034E9B">
              <w:rPr>
                <w:lang w:eastAsia="en-AU"/>
              </w:rPr>
              <w:t xml:space="preserve">Bilateral discussions between the Commission and States on submissions. </w:t>
            </w:r>
          </w:p>
        </w:tc>
      </w:tr>
      <w:tr w:rsidR="00242AD6" w:rsidRPr="00034E9B" w14:paraId="0FA90102" w14:textId="77777777" w:rsidTr="00591BF8">
        <w:tc>
          <w:tcPr>
            <w:tcW w:w="1843" w:type="dxa"/>
            <w:shd w:val="clear" w:color="auto" w:fill="auto"/>
            <w:hideMark/>
          </w:tcPr>
          <w:p w14:paraId="107DFED4" w14:textId="77777777" w:rsidR="00242AD6" w:rsidRPr="00034E9B" w:rsidRDefault="00242AD6" w:rsidP="00242AD6">
            <w:pPr>
              <w:pStyle w:val="CGCTablerow"/>
              <w:keepNext/>
              <w:keepLines/>
              <w:spacing w:before="20" w:after="20"/>
              <w:rPr>
                <w:lang w:eastAsia="en-AU"/>
              </w:rPr>
            </w:pPr>
            <w:r w:rsidRPr="00034E9B">
              <w:rPr>
                <w:lang w:eastAsia="en-AU"/>
              </w:rPr>
              <w:t>End September</w:t>
            </w:r>
          </w:p>
        </w:tc>
        <w:tc>
          <w:tcPr>
            <w:tcW w:w="7076" w:type="dxa"/>
            <w:shd w:val="clear" w:color="auto" w:fill="auto"/>
            <w:hideMark/>
          </w:tcPr>
          <w:p w14:paraId="4CA5CCA7" w14:textId="77777777" w:rsidR="00242AD6" w:rsidRPr="00034E9B" w:rsidRDefault="00242AD6" w:rsidP="00242AD6">
            <w:pPr>
              <w:pStyle w:val="CGCTablerow"/>
              <w:keepNext/>
              <w:keepLines/>
              <w:spacing w:before="20" w:after="20"/>
              <w:rPr>
                <w:lang w:eastAsia="en-AU"/>
              </w:rPr>
            </w:pPr>
            <w:r w:rsidRPr="00034E9B">
              <w:rPr>
                <w:lang w:eastAsia="en-AU"/>
              </w:rPr>
              <w:t xml:space="preserve">Commission paper sent to States on approach to the review, HFE, supporting principles and their implementation, including assessment guidelines. </w:t>
            </w:r>
          </w:p>
        </w:tc>
      </w:tr>
      <w:tr w:rsidR="00242AD6" w:rsidRPr="00034E9B" w14:paraId="26C8864F" w14:textId="77777777" w:rsidTr="00591BF8">
        <w:tc>
          <w:tcPr>
            <w:tcW w:w="1843" w:type="dxa"/>
            <w:tcBorders>
              <w:bottom w:val="single" w:sz="4" w:space="0" w:color="ADD6EA"/>
            </w:tcBorders>
            <w:shd w:val="clear" w:color="auto" w:fill="auto"/>
            <w:hideMark/>
          </w:tcPr>
          <w:p w14:paraId="61985123" w14:textId="77777777" w:rsidR="00242AD6" w:rsidRPr="00034E9B" w:rsidRDefault="00242AD6" w:rsidP="00242AD6">
            <w:pPr>
              <w:pStyle w:val="CGCTablerow"/>
              <w:keepNext/>
              <w:keepLines/>
              <w:spacing w:before="20" w:after="20"/>
              <w:rPr>
                <w:lang w:eastAsia="en-AU"/>
              </w:rPr>
            </w:pPr>
            <w:r w:rsidRPr="00034E9B">
              <w:rPr>
                <w:lang w:eastAsia="en-AU"/>
              </w:rPr>
              <w:t>October-November</w:t>
            </w:r>
          </w:p>
        </w:tc>
        <w:tc>
          <w:tcPr>
            <w:tcW w:w="7076" w:type="dxa"/>
            <w:tcBorders>
              <w:bottom w:val="single" w:sz="4" w:space="0" w:color="ADD6EA"/>
            </w:tcBorders>
            <w:shd w:val="clear" w:color="auto" w:fill="auto"/>
            <w:hideMark/>
          </w:tcPr>
          <w:p w14:paraId="2B6D9A63" w14:textId="77777777" w:rsidR="00242AD6" w:rsidRPr="00034E9B" w:rsidRDefault="00242AD6" w:rsidP="00242AD6">
            <w:pPr>
              <w:pStyle w:val="CGCTablerow"/>
              <w:keepNext/>
              <w:keepLines/>
              <w:spacing w:before="20" w:after="20"/>
              <w:rPr>
                <w:lang w:eastAsia="en-AU"/>
              </w:rPr>
            </w:pPr>
            <w:r w:rsidRPr="00034E9B">
              <w:rPr>
                <w:lang w:eastAsia="en-AU"/>
              </w:rPr>
              <w:t xml:space="preserve">Staff and Treasury officer initial discussions on assessment issues for the 2020 Review. </w:t>
            </w:r>
          </w:p>
        </w:tc>
      </w:tr>
      <w:tr w:rsidR="00242AD6" w:rsidRPr="00034E9B" w14:paraId="20E45A5C" w14:textId="77777777" w:rsidTr="00591BF8">
        <w:tc>
          <w:tcPr>
            <w:tcW w:w="1843" w:type="dxa"/>
            <w:shd w:val="clear" w:color="auto" w:fill="B6D5E4"/>
            <w:hideMark/>
          </w:tcPr>
          <w:p w14:paraId="75D53CF8" w14:textId="77777777" w:rsidR="00242AD6" w:rsidRPr="00034E9B" w:rsidRDefault="00242AD6" w:rsidP="00242AD6">
            <w:pPr>
              <w:pStyle w:val="CGCTablerow"/>
              <w:keepNext/>
              <w:keepLines/>
              <w:spacing w:before="20" w:after="20"/>
              <w:rPr>
                <w:rFonts w:ascii="Open Sans Semibold" w:hAnsi="Open Sans Semibold" w:cs="Open Sans Semibold"/>
                <w:bCs/>
                <w:lang w:eastAsia="en-AU"/>
              </w:rPr>
            </w:pPr>
            <w:r w:rsidRPr="00034E9B">
              <w:rPr>
                <w:rFonts w:ascii="Open Sans Semibold" w:hAnsi="Open Sans Semibold" w:cs="Open Sans Semibold"/>
                <w:bCs/>
                <w:lang w:eastAsia="en-AU"/>
              </w:rPr>
              <w:t>2018</w:t>
            </w:r>
          </w:p>
        </w:tc>
        <w:tc>
          <w:tcPr>
            <w:tcW w:w="7076" w:type="dxa"/>
            <w:shd w:val="clear" w:color="auto" w:fill="B6D5E4"/>
            <w:hideMark/>
          </w:tcPr>
          <w:p w14:paraId="1090DFBF" w14:textId="77777777" w:rsidR="00242AD6" w:rsidRPr="00034E9B" w:rsidRDefault="00242AD6" w:rsidP="00242AD6">
            <w:pPr>
              <w:pStyle w:val="CGCTablerow"/>
              <w:keepNext/>
              <w:keepLines/>
              <w:spacing w:before="20" w:after="20"/>
              <w:rPr>
                <w:rFonts w:ascii="Open Sans Semibold" w:hAnsi="Open Sans Semibold" w:cs="Open Sans Semibold"/>
                <w:bCs/>
                <w:lang w:eastAsia="en-AU"/>
              </w:rPr>
            </w:pPr>
          </w:p>
        </w:tc>
      </w:tr>
      <w:tr w:rsidR="00242AD6" w:rsidRPr="00034E9B" w14:paraId="44C15D28" w14:textId="77777777" w:rsidTr="00591BF8">
        <w:tc>
          <w:tcPr>
            <w:tcW w:w="1843" w:type="dxa"/>
            <w:shd w:val="clear" w:color="auto" w:fill="auto"/>
            <w:hideMark/>
          </w:tcPr>
          <w:p w14:paraId="736B4932" w14:textId="77777777" w:rsidR="00242AD6" w:rsidRPr="00034E9B" w:rsidRDefault="00242AD6" w:rsidP="00242AD6">
            <w:pPr>
              <w:pStyle w:val="CGCTablerow"/>
              <w:keepNext/>
              <w:keepLines/>
              <w:spacing w:before="20" w:after="20"/>
              <w:rPr>
                <w:lang w:eastAsia="en-AU"/>
              </w:rPr>
            </w:pPr>
            <w:r w:rsidRPr="00034E9B">
              <w:rPr>
                <w:lang w:eastAsia="en-AU"/>
              </w:rPr>
              <w:t>End Feb</w:t>
            </w:r>
          </w:p>
        </w:tc>
        <w:tc>
          <w:tcPr>
            <w:tcW w:w="7076" w:type="dxa"/>
            <w:shd w:val="clear" w:color="auto" w:fill="auto"/>
            <w:hideMark/>
          </w:tcPr>
          <w:p w14:paraId="75E3F1D5" w14:textId="77777777" w:rsidR="00242AD6" w:rsidRPr="00034E9B" w:rsidRDefault="00242AD6" w:rsidP="00242AD6">
            <w:pPr>
              <w:pStyle w:val="CGCTablerow"/>
              <w:keepNext/>
              <w:keepLines/>
              <w:spacing w:before="20" w:after="20"/>
              <w:rPr>
                <w:lang w:eastAsia="en-AU"/>
              </w:rPr>
            </w:pPr>
            <w:r w:rsidRPr="00034E9B">
              <w:rPr>
                <w:lang w:eastAsia="en-AU"/>
              </w:rPr>
              <w:t>State submissions on approach to review, the objective(s), supporting principles and their implementation.</w:t>
            </w:r>
          </w:p>
        </w:tc>
      </w:tr>
      <w:tr w:rsidR="00242AD6" w:rsidRPr="00034E9B" w14:paraId="6A23BE30" w14:textId="77777777" w:rsidTr="00591BF8">
        <w:tc>
          <w:tcPr>
            <w:tcW w:w="1843" w:type="dxa"/>
            <w:shd w:val="clear" w:color="auto" w:fill="auto"/>
            <w:hideMark/>
          </w:tcPr>
          <w:p w14:paraId="491FAD35" w14:textId="77777777" w:rsidR="00242AD6" w:rsidRPr="00034E9B" w:rsidRDefault="00242AD6" w:rsidP="00242AD6">
            <w:pPr>
              <w:pStyle w:val="CGCTablerow"/>
              <w:keepNext/>
              <w:keepLines/>
              <w:spacing w:before="20" w:after="20"/>
              <w:rPr>
                <w:lang w:eastAsia="en-AU"/>
              </w:rPr>
            </w:pPr>
            <w:r w:rsidRPr="00034E9B">
              <w:rPr>
                <w:lang w:eastAsia="en-AU"/>
              </w:rPr>
              <w:t>April</w:t>
            </w:r>
          </w:p>
        </w:tc>
        <w:tc>
          <w:tcPr>
            <w:tcW w:w="7076" w:type="dxa"/>
            <w:shd w:val="clear" w:color="auto" w:fill="auto"/>
            <w:hideMark/>
          </w:tcPr>
          <w:p w14:paraId="5F44B6C0" w14:textId="77777777" w:rsidR="00242AD6" w:rsidRPr="00034E9B" w:rsidRDefault="00242AD6" w:rsidP="00242AD6">
            <w:pPr>
              <w:pStyle w:val="CGCTablerow"/>
              <w:keepNext/>
              <w:keepLines/>
              <w:spacing w:before="20" w:after="20"/>
              <w:rPr>
                <w:lang w:eastAsia="en-AU"/>
              </w:rPr>
            </w:pPr>
            <w:r w:rsidRPr="00034E9B">
              <w:rPr>
                <w:lang w:eastAsia="en-AU"/>
              </w:rPr>
              <w:t xml:space="preserve">Preliminary staff papers released to States on the scope of HFE and assessment structure, treatment of Commonwealth payments, category and factor assessments. </w:t>
            </w:r>
          </w:p>
        </w:tc>
      </w:tr>
      <w:tr w:rsidR="00242AD6" w:rsidRPr="00034E9B" w14:paraId="46D5693F" w14:textId="77777777" w:rsidTr="00591BF8">
        <w:tc>
          <w:tcPr>
            <w:tcW w:w="1843" w:type="dxa"/>
            <w:shd w:val="clear" w:color="auto" w:fill="auto"/>
            <w:hideMark/>
          </w:tcPr>
          <w:p w14:paraId="78441A7D" w14:textId="77777777" w:rsidR="00242AD6" w:rsidRPr="00034E9B" w:rsidDel="009A7BA6" w:rsidRDefault="00242AD6" w:rsidP="00242AD6">
            <w:pPr>
              <w:pStyle w:val="CGCTablerow"/>
              <w:keepNext/>
              <w:keepLines/>
              <w:spacing w:before="20" w:after="20"/>
              <w:rPr>
                <w:lang w:eastAsia="en-AU"/>
              </w:rPr>
            </w:pPr>
            <w:r w:rsidRPr="00034E9B">
              <w:rPr>
                <w:lang w:eastAsia="en-AU"/>
              </w:rPr>
              <w:t>June to September</w:t>
            </w:r>
          </w:p>
        </w:tc>
        <w:tc>
          <w:tcPr>
            <w:tcW w:w="7076" w:type="dxa"/>
            <w:shd w:val="clear" w:color="auto" w:fill="auto"/>
            <w:hideMark/>
          </w:tcPr>
          <w:p w14:paraId="67B9328E" w14:textId="2BEE07F7" w:rsidR="00242AD6" w:rsidRPr="00034E9B" w:rsidRDefault="00242AD6" w:rsidP="00242AD6">
            <w:pPr>
              <w:pStyle w:val="CGCTablerow"/>
              <w:keepNext/>
              <w:keepLines/>
              <w:spacing w:before="20" w:after="20"/>
              <w:rPr>
                <w:lang w:eastAsia="en-AU"/>
              </w:rPr>
            </w:pPr>
            <w:r w:rsidRPr="00034E9B">
              <w:rPr>
                <w:lang w:eastAsia="en-AU"/>
              </w:rPr>
              <w:t>Commission visits to States for discussions on assessment issues, including service delivery needs. Bilateral meetings with Treasurers/</w:t>
            </w:r>
            <w:r w:rsidR="00174B75">
              <w:rPr>
                <w:lang w:eastAsia="en-AU"/>
              </w:rPr>
              <w:t>Heads of Treasuries</w:t>
            </w:r>
            <w:r w:rsidRPr="00034E9B">
              <w:rPr>
                <w:lang w:eastAsia="en-AU"/>
              </w:rPr>
              <w:t xml:space="preserve"> to cover key issues, if required.</w:t>
            </w:r>
          </w:p>
        </w:tc>
      </w:tr>
      <w:tr w:rsidR="00242AD6" w:rsidRPr="00034E9B" w14:paraId="42C08D6E" w14:textId="77777777" w:rsidTr="00591BF8">
        <w:tc>
          <w:tcPr>
            <w:tcW w:w="1843" w:type="dxa"/>
            <w:shd w:val="clear" w:color="auto" w:fill="auto"/>
            <w:hideMark/>
          </w:tcPr>
          <w:p w14:paraId="043372CD" w14:textId="77777777" w:rsidR="00242AD6" w:rsidRPr="00034E9B" w:rsidRDefault="00242AD6" w:rsidP="00242AD6">
            <w:pPr>
              <w:pStyle w:val="CGCTablerow"/>
              <w:keepNext/>
              <w:keepLines/>
              <w:spacing w:before="20" w:after="20"/>
              <w:rPr>
                <w:lang w:eastAsia="en-AU"/>
              </w:rPr>
            </w:pPr>
            <w:r w:rsidRPr="00034E9B">
              <w:rPr>
                <w:lang w:eastAsia="en-AU"/>
              </w:rPr>
              <w:t>June to December</w:t>
            </w:r>
          </w:p>
        </w:tc>
        <w:tc>
          <w:tcPr>
            <w:tcW w:w="7076" w:type="dxa"/>
            <w:shd w:val="clear" w:color="auto" w:fill="auto"/>
            <w:hideMark/>
          </w:tcPr>
          <w:p w14:paraId="44C7DEF1" w14:textId="77777777" w:rsidR="00242AD6" w:rsidRPr="00034E9B" w:rsidRDefault="00242AD6" w:rsidP="00242AD6">
            <w:pPr>
              <w:pStyle w:val="CGCTablerow"/>
              <w:keepNext/>
              <w:keepLines/>
              <w:spacing w:before="20" w:after="20"/>
              <w:rPr>
                <w:lang w:eastAsia="en-AU"/>
              </w:rPr>
            </w:pPr>
            <w:r w:rsidRPr="00034E9B">
              <w:rPr>
                <w:lang w:eastAsia="en-AU"/>
              </w:rPr>
              <w:t xml:space="preserve">OWP meetings to discuss/report on specific issues. </w:t>
            </w:r>
          </w:p>
        </w:tc>
      </w:tr>
      <w:tr w:rsidR="00242AD6" w:rsidRPr="00034E9B" w14:paraId="49D3B35D" w14:textId="77777777" w:rsidTr="00591BF8">
        <w:tc>
          <w:tcPr>
            <w:tcW w:w="1843" w:type="dxa"/>
            <w:tcBorders>
              <w:bottom w:val="single" w:sz="4" w:space="0" w:color="ADD6EA"/>
            </w:tcBorders>
            <w:shd w:val="clear" w:color="auto" w:fill="auto"/>
            <w:hideMark/>
          </w:tcPr>
          <w:p w14:paraId="6FFE928B" w14:textId="77777777" w:rsidR="00242AD6" w:rsidRPr="00034E9B" w:rsidRDefault="00242AD6" w:rsidP="00242AD6">
            <w:pPr>
              <w:pStyle w:val="CGCTablerow"/>
              <w:spacing w:before="20" w:after="20"/>
              <w:rPr>
                <w:lang w:eastAsia="en-AU"/>
              </w:rPr>
            </w:pPr>
            <w:r w:rsidRPr="00034E9B">
              <w:rPr>
                <w:lang w:eastAsia="en-AU"/>
              </w:rPr>
              <w:t>End August</w:t>
            </w:r>
          </w:p>
        </w:tc>
        <w:tc>
          <w:tcPr>
            <w:tcW w:w="7076" w:type="dxa"/>
            <w:tcBorders>
              <w:bottom w:val="single" w:sz="4" w:space="0" w:color="ADD6EA"/>
            </w:tcBorders>
            <w:shd w:val="clear" w:color="auto" w:fill="auto"/>
            <w:hideMark/>
          </w:tcPr>
          <w:p w14:paraId="1448D9AE" w14:textId="77777777" w:rsidR="00242AD6" w:rsidRPr="00034E9B" w:rsidRDefault="00242AD6" w:rsidP="00242AD6">
            <w:pPr>
              <w:pStyle w:val="CGCTablerow"/>
              <w:spacing w:before="20" w:after="20"/>
              <w:rPr>
                <w:lang w:eastAsia="en-AU"/>
              </w:rPr>
            </w:pPr>
            <w:r w:rsidRPr="00034E9B">
              <w:rPr>
                <w:lang w:eastAsia="en-AU"/>
              </w:rPr>
              <w:t>State submissions on scope and structure, treatment of Commonwealth payments, category and factor assessments.</w:t>
            </w:r>
          </w:p>
        </w:tc>
      </w:tr>
      <w:tr w:rsidR="00242AD6" w:rsidRPr="00034E9B" w14:paraId="3D33C61D" w14:textId="77777777" w:rsidTr="00591BF8">
        <w:tc>
          <w:tcPr>
            <w:tcW w:w="1843" w:type="dxa"/>
            <w:shd w:val="clear" w:color="auto" w:fill="B6D5E4"/>
            <w:hideMark/>
          </w:tcPr>
          <w:p w14:paraId="5994D7BE" w14:textId="77777777" w:rsidR="00242AD6" w:rsidRPr="00034E9B" w:rsidRDefault="00242AD6" w:rsidP="00242AD6">
            <w:pPr>
              <w:pStyle w:val="CGCTablerow"/>
              <w:spacing w:before="20" w:after="20"/>
              <w:rPr>
                <w:rFonts w:ascii="Open Sans Semibold" w:hAnsi="Open Sans Semibold" w:cs="Open Sans Semibold"/>
                <w:bCs/>
                <w:lang w:eastAsia="en-AU"/>
              </w:rPr>
            </w:pPr>
            <w:r w:rsidRPr="00034E9B">
              <w:rPr>
                <w:rFonts w:ascii="Open Sans Semibold" w:hAnsi="Open Sans Semibold" w:cs="Open Sans Semibold"/>
                <w:bCs/>
                <w:lang w:eastAsia="en-AU"/>
              </w:rPr>
              <w:t>2019</w:t>
            </w:r>
          </w:p>
        </w:tc>
        <w:tc>
          <w:tcPr>
            <w:tcW w:w="7076" w:type="dxa"/>
            <w:shd w:val="clear" w:color="auto" w:fill="B6D5E4"/>
            <w:hideMark/>
          </w:tcPr>
          <w:p w14:paraId="3E256F83" w14:textId="77777777" w:rsidR="00242AD6" w:rsidRPr="00034E9B" w:rsidRDefault="00242AD6" w:rsidP="00242AD6">
            <w:pPr>
              <w:pStyle w:val="CGCTablerow"/>
              <w:spacing w:before="20" w:after="20"/>
              <w:rPr>
                <w:rFonts w:ascii="Open Sans Semibold" w:hAnsi="Open Sans Semibold" w:cs="Open Sans Semibold"/>
                <w:bCs/>
                <w:lang w:eastAsia="en-AU"/>
              </w:rPr>
            </w:pPr>
          </w:p>
        </w:tc>
      </w:tr>
      <w:tr w:rsidR="00242AD6" w:rsidRPr="00034E9B" w14:paraId="60096D3D" w14:textId="77777777" w:rsidTr="00591BF8">
        <w:tc>
          <w:tcPr>
            <w:tcW w:w="1843" w:type="dxa"/>
            <w:shd w:val="clear" w:color="auto" w:fill="auto"/>
            <w:hideMark/>
          </w:tcPr>
          <w:p w14:paraId="064411FE" w14:textId="77777777" w:rsidR="00242AD6" w:rsidRPr="00034E9B" w:rsidRDefault="00242AD6" w:rsidP="00242AD6">
            <w:pPr>
              <w:pStyle w:val="CGCTablerow"/>
              <w:spacing w:before="20" w:after="20"/>
              <w:rPr>
                <w:lang w:eastAsia="en-AU"/>
              </w:rPr>
            </w:pPr>
            <w:r w:rsidRPr="00034E9B">
              <w:rPr>
                <w:lang w:eastAsia="en-AU"/>
              </w:rPr>
              <w:t>25 June</w:t>
            </w:r>
          </w:p>
        </w:tc>
        <w:tc>
          <w:tcPr>
            <w:tcW w:w="7076" w:type="dxa"/>
            <w:shd w:val="clear" w:color="auto" w:fill="auto"/>
            <w:hideMark/>
          </w:tcPr>
          <w:p w14:paraId="7C72ED60" w14:textId="77777777" w:rsidR="00242AD6" w:rsidRPr="00034E9B" w:rsidRDefault="00242AD6" w:rsidP="00242AD6">
            <w:pPr>
              <w:pStyle w:val="CGCTablerow"/>
              <w:spacing w:before="20" w:after="20"/>
              <w:rPr>
                <w:lang w:eastAsia="en-AU"/>
              </w:rPr>
            </w:pPr>
            <w:r w:rsidRPr="00034E9B">
              <w:rPr>
                <w:lang w:eastAsia="en-AU"/>
              </w:rPr>
              <w:t>Release of draft report to the Commonwealth.</w:t>
            </w:r>
          </w:p>
        </w:tc>
      </w:tr>
      <w:tr w:rsidR="00242AD6" w:rsidRPr="00034E9B" w14:paraId="3508A9BC" w14:textId="77777777" w:rsidTr="00591BF8">
        <w:tc>
          <w:tcPr>
            <w:tcW w:w="1843" w:type="dxa"/>
            <w:shd w:val="clear" w:color="auto" w:fill="auto"/>
          </w:tcPr>
          <w:p w14:paraId="64B0B69E" w14:textId="77777777" w:rsidR="00242AD6" w:rsidRPr="00034E9B" w:rsidRDefault="00242AD6" w:rsidP="00242AD6">
            <w:pPr>
              <w:pStyle w:val="CGCTablerow"/>
              <w:spacing w:before="20" w:after="20"/>
              <w:rPr>
                <w:lang w:eastAsia="en-AU"/>
              </w:rPr>
            </w:pPr>
            <w:r w:rsidRPr="00034E9B">
              <w:rPr>
                <w:lang w:eastAsia="en-AU"/>
              </w:rPr>
              <w:t>6 August</w:t>
            </w:r>
          </w:p>
        </w:tc>
        <w:tc>
          <w:tcPr>
            <w:tcW w:w="7076" w:type="dxa"/>
            <w:shd w:val="clear" w:color="auto" w:fill="auto"/>
          </w:tcPr>
          <w:p w14:paraId="6A5AB618" w14:textId="77777777" w:rsidR="00242AD6" w:rsidRPr="00034E9B" w:rsidRDefault="00242AD6" w:rsidP="00242AD6">
            <w:pPr>
              <w:pStyle w:val="CGCTablerow"/>
              <w:spacing w:before="20" w:after="20"/>
              <w:rPr>
                <w:lang w:eastAsia="en-AU"/>
              </w:rPr>
            </w:pPr>
            <w:r w:rsidRPr="00034E9B">
              <w:rPr>
                <w:lang w:eastAsia="en-AU"/>
              </w:rPr>
              <w:t>Release of draft report to the States.</w:t>
            </w:r>
          </w:p>
        </w:tc>
      </w:tr>
      <w:tr w:rsidR="00242AD6" w:rsidRPr="00034E9B" w14:paraId="3E4E0A86" w14:textId="77777777" w:rsidTr="00591BF8">
        <w:tc>
          <w:tcPr>
            <w:tcW w:w="1843" w:type="dxa"/>
            <w:shd w:val="clear" w:color="auto" w:fill="auto"/>
            <w:hideMark/>
          </w:tcPr>
          <w:p w14:paraId="2864642B" w14:textId="77777777" w:rsidR="00242AD6" w:rsidRPr="00034E9B" w:rsidRDefault="00242AD6" w:rsidP="00242AD6">
            <w:pPr>
              <w:pStyle w:val="CGCTablerow"/>
              <w:spacing w:before="20" w:after="20"/>
              <w:rPr>
                <w:lang w:eastAsia="en-AU"/>
              </w:rPr>
            </w:pPr>
            <w:r w:rsidRPr="00034E9B">
              <w:rPr>
                <w:lang w:eastAsia="en-AU"/>
              </w:rPr>
              <w:t>Aug/Sept</w:t>
            </w:r>
          </w:p>
        </w:tc>
        <w:tc>
          <w:tcPr>
            <w:tcW w:w="7076" w:type="dxa"/>
            <w:shd w:val="clear" w:color="auto" w:fill="auto"/>
            <w:hideMark/>
          </w:tcPr>
          <w:p w14:paraId="2E639B6A" w14:textId="06C3F10A" w:rsidR="00242AD6" w:rsidRPr="00034E9B" w:rsidRDefault="00242AD6" w:rsidP="00242AD6">
            <w:pPr>
              <w:pStyle w:val="CGCTablerow"/>
              <w:spacing w:before="20" w:after="20"/>
              <w:rPr>
                <w:lang w:eastAsia="en-AU"/>
              </w:rPr>
            </w:pPr>
            <w:r w:rsidRPr="00034E9B">
              <w:rPr>
                <w:lang w:eastAsia="en-AU"/>
              </w:rPr>
              <w:t>Commission staff bilateral meetings with State</w:t>
            </w:r>
            <w:r w:rsidR="00D02CBA">
              <w:rPr>
                <w:lang w:eastAsia="en-AU"/>
              </w:rPr>
              <w:t xml:space="preserve"> officials</w:t>
            </w:r>
            <w:r w:rsidRPr="00034E9B">
              <w:rPr>
                <w:lang w:eastAsia="en-AU"/>
              </w:rPr>
              <w:t xml:space="preserve"> to discuss the draft report.</w:t>
            </w:r>
          </w:p>
        </w:tc>
      </w:tr>
      <w:tr w:rsidR="00242AD6" w:rsidRPr="00034E9B" w14:paraId="68A48A1B" w14:textId="77777777" w:rsidTr="00591BF8">
        <w:tc>
          <w:tcPr>
            <w:tcW w:w="1843" w:type="dxa"/>
            <w:shd w:val="clear" w:color="auto" w:fill="auto"/>
            <w:hideMark/>
          </w:tcPr>
          <w:p w14:paraId="52F6886D" w14:textId="77777777" w:rsidR="00242AD6" w:rsidRPr="00034E9B" w:rsidRDefault="00242AD6" w:rsidP="00242AD6">
            <w:pPr>
              <w:pStyle w:val="CGCTablerow"/>
              <w:spacing w:before="20" w:after="20"/>
              <w:rPr>
                <w:lang w:eastAsia="en-AU"/>
              </w:rPr>
            </w:pPr>
            <w:r w:rsidRPr="00034E9B">
              <w:rPr>
                <w:lang w:eastAsia="en-AU"/>
              </w:rPr>
              <w:t>27 September</w:t>
            </w:r>
          </w:p>
        </w:tc>
        <w:tc>
          <w:tcPr>
            <w:tcW w:w="7076" w:type="dxa"/>
            <w:shd w:val="clear" w:color="auto" w:fill="auto"/>
            <w:hideMark/>
          </w:tcPr>
          <w:p w14:paraId="56DC9DF4" w14:textId="77777777" w:rsidR="00242AD6" w:rsidRPr="00034E9B" w:rsidRDefault="00242AD6" w:rsidP="00242AD6">
            <w:pPr>
              <w:pStyle w:val="CGCTablerow"/>
              <w:spacing w:before="20" w:after="20"/>
              <w:rPr>
                <w:lang w:eastAsia="en-AU"/>
              </w:rPr>
            </w:pPr>
            <w:r w:rsidRPr="00034E9B">
              <w:rPr>
                <w:lang w:eastAsia="en-AU"/>
              </w:rPr>
              <w:t>State submissions on draft report due.</w:t>
            </w:r>
          </w:p>
        </w:tc>
      </w:tr>
      <w:tr w:rsidR="00242AD6" w:rsidRPr="00034E9B" w14:paraId="3203323D" w14:textId="77777777" w:rsidTr="00591BF8">
        <w:tc>
          <w:tcPr>
            <w:tcW w:w="1843" w:type="dxa"/>
            <w:shd w:val="clear" w:color="auto" w:fill="auto"/>
            <w:hideMark/>
          </w:tcPr>
          <w:p w14:paraId="0B53204D" w14:textId="77777777" w:rsidR="00242AD6" w:rsidRPr="00034E9B" w:rsidRDefault="00242AD6" w:rsidP="00242AD6">
            <w:pPr>
              <w:pStyle w:val="CGCTablerow"/>
              <w:spacing w:before="20" w:after="20"/>
              <w:rPr>
                <w:lang w:eastAsia="en-AU"/>
              </w:rPr>
            </w:pPr>
            <w:r w:rsidRPr="00034E9B">
              <w:rPr>
                <w:lang w:eastAsia="en-AU"/>
              </w:rPr>
              <w:t>8 October</w:t>
            </w:r>
          </w:p>
        </w:tc>
        <w:tc>
          <w:tcPr>
            <w:tcW w:w="7076" w:type="dxa"/>
            <w:shd w:val="clear" w:color="auto" w:fill="auto"/>
            <w:hideMark/>
          </w:tcPr>
          <w:p w14:paraId="0F0AF26E" w14:textId="77777777" w:rsidR="00242AD6" w:rsidRPr="00034E9B" w:rsidRDefault="00242AD6" w:rsidP="00242AD6">
            <w:pPr>
              <w:pStyle w:val="CGCTablerow"/>
              <w:spacing w:before="20" w:after="20"/>
              <w:rPr>
                <w:lang w:eastAsia="en-AU"/>
              </w:rPr>
            </w:pPr>
            <w:r w:rsidRPr="00034E9B">
              <w:rPr>
                <w:lang w:eastAsia="en-AU"/>
              </w:rPr>
              <w:t>New issues paper issued by Commission staff.</w:t>
            </w:r>
          </w:p>
        </w:tc>
      </w:tr>
      <w:tr w:rsidR="00242AD6" w:rsidRPr="00034E9B" w14:paraId="3717EDE7" w14:textId="77777777" w:rsidTr="00591BF8">
        <w:tc>
          <w:tcPr>
            <w:tcW w:w="1843" w:type="dxa"/>
            <w:shd w:val="clear" w:color="auto" w:fill="auto"/>
            <w:hideMark/>
          </w:tcPr>
          <w:p w14:paraId="3FAB248E" w14:textId="77777777" w:rsidR="00242AD6" w:rsidRPr="00034E9B" w:rsidRDefault="00242AD6" w:rsidP="00242AD6">
            <w:pPr>
              <w:pStyle w:val="CGCTablerow"/>
              <w:spacing w:before="20" w:after="20"/>
              <w:rPr>
                <w:lang w:eastAsia="en-AU"/>
              </w:rPr>
            </w:pPr>
            <w:r w:rsidRPr="00034E9B">
              <w:rPr>
                <w:lang w:eastAsia="en-AU"/>
              </w:rPr>
              <w:t>22 November</w:t>
            </w:r>
          </w:p>
        </w:tc>
        <w:tc>
          <w:tcPr>
            <w:tcW w:w="7076" w:type="dxa"/>
            <w:shd w:val="clear" w:color="auto" w:fill="auto"/>
            <w:hideMark/>
          </w:tcPr>
          <w:p w14:paraId="23A61F9F" w14:textId="77777777" w:rsidR="00242AD6" w:rsidRPr="00034E9B" w:rsidRDefault="00242AD6" w:rsidP="00242AD6">
            <w:pPr>
              <w:pStyle w:val="CGCTablerow"/>
              <w:spacing w:before="20" w:after="20"/>
              <w:rPr>
                <w:lang w:eastAsia="en-AU"/>
              </w:rPr>
            </w:pPr>
            <w:r w:rsidRPr="00034E9B">
              <w:rPr>
                <w:lang w:eastAsia="en-AU"/>
              </w:rPr>
              <w:t>State submissions on new issues due.</w:t>
            </w:r>
          </w:p>
        </w:tc>
      </w:tr>
      <w:tr w:rsidR="00242AD6" w:rsidRPr="00034E9B" w14:paraId="2DCFF74F" w14:textId="77777777" w:rsidTr="00591BF8">
        <w:tc>
          <w:tcPr>
            <w:tcW w:w="1843" w:type="dxa"/>
            <w:tcBorders>
              <w:bottom w:val="single" w:sz="4" w:space="0" w:color="ADD6EA"/>
            </w:tcBorders>
            <w:shd w:val="clear" w:color="auto" w:fill="auto"/>
            <w:hideMark/>
          </w:tcPr>
          <w:p w14:paraId="2C0E9A46" w14:textId="77777777" w:rsidR="00242AD6" w:rsidRPr="00034E9B" w:rsidRDefault="00242AD6" w:rsidP="00242AD6">
            <w:pPr>
              <w:pStyle w:val="CGCTablerow"/>
              <w:spacing w:before="20" w:after="20"/>
              <w:rPr>
                <w:lang w:eastAsia="en-AU"/>
              </w:rPr>
            </w:pPr>
            <w:r w:rsidRPr="00034E9B">
              <w:rPr>
                <w:lang w:eastAsia="en-AU"/>
              </w:rPr>
              <w:t>29 November</w:t>
            </w:r>
          </w:p>
        </w:tc>
        <w:tc>
          <w:tcPr>
            <w:tcW w:w="7076" w:type="dxa"/>
            <w:tcBorders>
              <w:bottom w:val="single" w:sz="4" w:space="0" w:color="ADD6EA"/>
            </w:tcBorders>
            <w:shd w:val="clear" w:color="auto" w:fill="auto"/>
            <w:hideMark/>
          </w:tcPr>
          <w:p w14:paraId="474143B9" w14:textId="77777777" w:rsidR="00242AD6" w:rsidRPr="00034E9B" w:rsidRDefault="00242AD6" w:rsidP="00242AD6">
            <w:pPr>
              <w:pStyle w:val="CGCTablerow"/>
              <w:spacing w:before="20" w:after="20"/>
              <w:rPr>
                <w:lang w:eastAsia="en-AU"/>
              </w:rPr>
            </w:pPr>
            <w:r w:rsidRPr="00034E9B">
              <w:rPr>
                <w:lang w:eastAsia="en-AU"/>
              </w:rPr>
              <w:t xml:space="preserve">Commission paper on significant changes since the draft report, as required by the terms of reference. </w:t>
            </w:r>
          </w:p>
        </w:tc>
      </w:tr>
      <w:tr w:rsidR="00242AD6" w:rsidRPr="00034E9B" w14:paraId="69BDA1B9" w14:textId="77777777" w:rsidTr="00591BF8">
        <w:tc>
          <w:tcPr>
            <w:tcW w:w="1843" w:type="dxa"/>
            <w:shd w:val="clear" w:color="auto" w:fill="B6D5E4"/>
            <w:hideMark/>
          </w:tcPr>
          <w:p w14:paraId="1E4F6925" w14:textId="77777777" w:rsidR="00242AD6" w:rsidRPr="00034E9B" w:rsidRDefault="00242AD6" w:rsidP="00242AD6">
            <w:pPr>
              <w:pStyle w:val="CGCTablerow"/>
              <w:spacing w:before="20" w:after="20"/>
              <w:rPr>
                <w:rFonts w:ascii="Open Sans Semibold" w:hAnsi="Open Sans Semibold" w:cs="Open Sans Semibold"/>
                <w:bCs/>
                <w:lang w:eastAsia="en-AU"/>
              </w:rPr>
            </w:pPr>
            <w:r w:rsidRPr="00034E9B">
              <w:rPr>
                <w:rFonts w:ascii="Open Sans Semibold" w:hAnsi="Open Sans Semibold" w:cs="Open Sans Semibold"/>
                <w:bCs/>
                <w:lang w:eastAsia="en-AU"/>
              </w:rPr>
              <w:t>2020</w:t>
            </w:r>
          </w:p>
        </w:tc>
        <w:tc>
          <w:tcPr>
            <w:tcW w:w="7076" w:type="dxa"/>
            <w:shd w:val="clear" w:color="auto" w:fill="B6D5E4"/>
            <w:hideMark/>
          </w:tcPr>
          <w:p w14:paraId="678162F1" w14:textId="77777777" w:rsidR="00242AD6" w:rsidRPr="00034E9B" w:rsidRDefault="00242AD6" w:rsidP="00242AD6">
            <w:pPr>
              <w:pStyle w:val="CGCTablerow"/>
              <w:spacing w:before="20" w:after="20"/>
              <w:rPr>
                <w:rFonts w:ascii="Open Sans Semibold" w:hAnsi="Open Sans Semibold" w:cs="Open Sans Semibold"/>
                <w:bCs/>
                <w:lang w:eastAsia="en-AU"/>
              </w:rPr>
            </w:pPr>
          </w:p>
        </w:tc>
      </w:tr>
      <w:tr w:rsidR="00242AD6" w:rsidRPr="00034E9B" w14:paraId="54DF7EC1" w14:textId="77777777" w:rsidTr="00591BF8">
        <w:tc>
          <w:tcPr>
            <w:tcW w:w="1843" w:type="dxa"/>
            <w:shd w:val="clear" w:color="auto" w:fill="auto"/>
            <w:hideMark/>
          </w:tcPr>
          <w:p w14:paraId="2AF21ECF" w14:textId="77777777" w:rsidR="00242AD6" w:rsidRPr="00034E9B" w:rsidRDefault="00242AD6" w:rsidP="00242AD6">
            <w:pPr>
              <w:pStyle w:val="CGCTablerow"/>
              <w:spacing w:before="20" w:after="20"/>
              <w:rPr>
                <w:lang w:eastAsia="en-AU"/>
              </w:rPr>
            </w:pPr>
            <w:r w:rsidRPr="00034E9B">
              <w:rPr>
                <w:lang w:eastAsia="en-AU"/>
              </w:rPr>
              <w:t>3 January</w:t>
            </w:r>
          </w:p>
        </w:tc>
        <w:tc>
          <w:tcPr>
            <w:tcW w:w="7076" w:type="dxa"/>
            <w:shd w:val="clear" w:color="auto" w:fill="auto"/>
            <w:hideMark/>
          </w:tcPr>
          <w:p w14:paraId="2594B48E" w14:textId="484F8D8E" w:rsidR="00242AD6" w:rsidRPr="00034E9B" w:rsidRDefault="00242AD6" w:rsidP="00242AD6">
            <w:pPr>
              <w:pStyle w:val="CGCTablerow"/>
              <w:spacing w:before="20" w:after="20"/>
              <w:rPr>
                <w:lang w:eastAsia="en-AU"/>
              </w:rPr>
            </w:pPr>
            <w:r w:rsidRPr="00034E9B">
              <w:rPr>
                <w:lang w:eastAsia="en-AU"/>
              </w:rPr>
              <w:t>Final State comments on significant changes to draft report</w:t>
            </w:r>
            <w:r w:rsidR="00AF0E4D">
              <w:rPr>
                <w:lang w:eastAsia="en-AU"/>
              </w:rPr>
              <w:t xml:space="preserve"> due</w:t>
            </w:r>
            <w:r w:rsidRPr="00034E9B">
              <w:rPr>
                <w:lang w:eastAsia="en-AU"/>
              </w:rPr>
              <w:t>.</w:t>
            </w:r>
          </w:p>
        </w:tc>
      </w:tr>
      <w:tr w:rsidR="00242AD6" w:rsidRPr="00034E9B" w14:paraId="0E171CB0" w14:textId="77777777" w:rsidTr="00591BF8">
        <w:tc>
          <w:tcPr>
            <w:tcW w:w="1843" w:type="dxa"/>
            <w:shd w:val="clear" w:color="auto" w:fill="auto"/>
            <w:hideMark/>
          </w:tcPr>
          <w:p w14:paraId="1D0EA3C8" w14:textId="77777777" w:rsidR="00242AD6" w:rsidRPr="00034E9B" w:rsidRDefault="00242AD6" w:rsidP="00242AD6">
            <w:pPr>
              <w:pStyle w:val="CGCTablerow"/>
              <w:spacing w:before="20" w:after="20"/>
              <w:rPr>
                <w:lang w:eastAsia="en-AU"/>
              </w:rPr>
            </w:pPr>
            <w:r w:rsidRPr="00034E9B">
              <w:rPr>
                <w:lang w:eastAsia="en-AU"/>
              </w:rPr>
              <w:t>28 February</w:t>
            </w:r>
          </w:p>
        </w:tc>
        <w:tc>
          <w:tcPr>
            <w:tcW w:w="7076" w:type="dxa"/>
            <w:shd w:val="clear" w:color="auto" w:fill="auto"/>
            <w:hideMark/>
          </w:tcPr>
          <w:p w14:paraId="55ADF830" w14:textId="77777777" w:rsidR="00242AD6" w:rsidRPr="00034E9B" w:rsidRDefault="00242AD6" w:rsidP="00242AD6">
            <w:pPr>
              <w:pStyle w:val="CGCTablerow"/>
              <w:spacing w:before="20" w:after="20"/>
              <w:rPr>
                <w:lang w:eastAsia="en-AU"/>
              </w:rPr>
            </w:pPr>
            <w:r w:rsidRPr="00034E9B">
              <w:rPr>
                <w:lang w:eastAsia="en-AU"/>
              </w:rPr>
              <w:t>Release of final report to the Commonwealth and States.</w:t>
            </w:r>
          </w:p>
        </w:tc>
      </w:tr>
      <w:tr w:rsidR="00AF0E4D" w:rsidRPr="00034E9B" w14:paraId="6567B777" w14:textId="77777777" w:rsidTr="00591BF8">
        <w:tc>
          <w:tcPr>
            <w:tcW w:w="1843" w:type="dxa"/>
            <w:shd w:val="clear" w:color="auto" w:fill="auto"/>
          </w:tcPr>
          <w:p w14:paraId="7D364577" w14:textId="1796F861" w:rsidR="00AF0E4D" w:rsidRPr="00034E9B" w:rsidRDefault="007D7C31" w:rsidP="00242AD6">
            <w:pPr>
              <w:pStyle w:val="CGCTablerow"/>
              <w:spacing w:before="20" w:after="20"/>
              <w:rPr>
                <w:lang w:eastAsia="en-AU"/>
              </w:rPr>
            </w:pPr>
            <w:r>
              <w:rPr>
                <w:lang w:eastAsia="en-AU"/>
              </w:rPr>
              <w:t>16 March</w:t>
            </w:r>
          </w:p>
        </w:tc>
        <w:tc>
          <w:tcPr>
            <w:tcW w:w="7076" w:type="dxa"/>
            <w:shd w:val="clear" w:color="auto" w:fill="auto"/>
          </w:tcPr>
          <w:p w14:paraId="2613EC94" w14:textId="2F9346F7" w:rsidR="00AF0E4D" w:rsidRPr="00034E9B" w:rsidRDefault="007D7C31" w:rsidP="00242AD6">
            <w:pPr>
              <w:pStyle w:val="CGCTablerow"/>
              <w:spacing w:before="20" w:after="20"/>
              <w:rPr>
                <w:lang w:eastAsia="en-AU"/>
              </w:rPr>
            </w:pPr>
            <w:r>
              <w:rPr>
                <w:lang w:eastAsia="en-AU"/>
              </w:rPr>
              <w:t>Public release of final report</w:t>
            </w:r>
            <w:r w:rsidR="0009041B">
              <w:rPr>
                <w:lang w:eastAsia="en-AU"/>
              </w:rPr>
              <w:t>.</w:t>
            </w:r>
          </w:p>
        </w:tc>
      </w:tr>
    </w:tbl>
    <w:p w14:paraId="27B437D9" w14:textId="317EC6E3" w:rsidR="00242AD6" w:rsidRPr="00034E9B" w:rsidRDefault="00242AD6" w:rsidP="00242AD6">
      <w:pPr>
        <w:pStyle w:val="Heading3"/>
      </w:pPr>
      <w:bookmarkStart w:id="31" w:name="_Toc391023214"/>
      <w:bookmarkStart w:id="32" w:name="_Toc7601599"/>
      <w:bookmarkStart w:id="33" w:name="_Toc9319958"/>
      <w:bookmarkStart w:id="34" w:name="_Toc12023831"/>
      <w:bookmarkStart w:id="35" w:name="_Toc26890297"/>
      <w:bookmarkStart w:id="36" w:name="_Toc33545888"/>
      <w:r w:rsidRPr="00034E9B">
        <w:t>Main assessment issues, method changes</w:t>
      </w:r>
      <w:bookmarkEnd w:id="31"/>
      <w:bookmarkEnd w:id="32"/>
      <w:bookmarkEnd w:id="33"/>
      <w:bookmarkEnd w:id="34"/>
      <w:r w:rsidRPr="00034E9B">
        <w:t xml:space="preserve"> and responses to State proposals</w:t>
      </w:r>
      <w:bookmarkEnd w:id="35"/>
      <w:bookmarkEnd w:id="36"/>
    </w:p>
    <w:p w14:paraId="47CF443E" w14:textId="77777777" w:rsidR="00242AD6" w:rsidRPr="00034E9B" w:rsidRDefault="00242AD6" w:rsidP="00DC5A36">
      <w:pPr>
        <w:pStyle w:val="CGCParaNumber"/>
        <w:numPr>
          <w:ilvl w:val="0"/>
          <w:numId w:val="2"/>
        </w:numPr>
        <w:ind w:left="567" w:hanging="567"/>
        <w:rPr>
          <w:lang w:val="en-AU"/>
        </w:rPr>
      </w:pPr>
      <w:r w:rsidRPr="00034E9B">
        <w:rPr>
          <w:lang w:val="en-AU"/>
        </w:rPr>
        <w:t>In this review the Commission has developed new urban transport assessments, which are based on an econometric model developed with the help of transport consultants. The model better captures the effects of population density, passenger numbers and urban centre characteristics, on the cost of providing urban public transport.</w:t>
      </w:r>
    </w:p>
    <w:p w14:paraId="7579D224" w14:textId="36329964" w:rsidR="00242AD6" w:rsidRPr="00034E9B" w:rsidRDefault="00242AD6" w:rsidP="00DC5A36">
      <w:pPr>
        <w:pStyle w:val="CGCParaNumber"/>
        <w:numPr>
          <w:ilvl w:val="0"/>
          <w:numId w:val="2"/>
        </w:numPr>
        <w:ind w:left="567" w:hanging="567"/>
        <w:rPr>
          <w:lang w:val="en-AU"/>
        </w:rPr>
      </w:pPr>
      <w:r w:rsidRPr="00034E9B">
        <w:rPr>
          <w:lang w:val="en-AU"/>
        </w:rPr>
        <w:t xml:space="preserve">Other assessment methodology changes that have had noteworthy effects on the GST distribution are largely evolutionary, as changes to the activity taxed by States, improved knowledge of service delivery approaches and better data have led to changes in how </w:t>
      </w:r>
      <w:r w:rsidRPr="00034E9B">
        <w:rPr>
          <w:lang w:val="en-AU"/>
        </w:rPr>
        <w:lastRenderedPageBreak/>
        <w:t>disabilities are measured. For example, recogni</w:t>
      </w:r>
      <w:r w:rsidR="008D0B3C">
        <w:rPr>
          <w:lang w:val="en-AU"/>
        </w:rPr>
        <w:t>s</w:t>
      </w:r>
      <w:r w:rsidRPr="00034E9B">
        <w:rPr>
          <w:lang w:val="en-AU"/>
        </w:rPr>
        <w:t>ing changes to the taxing of property transfer activity, the Commission has changed the scope of those revenues differentially assessed. Improved data for electricity and water subsidies and Indigenous community development expenses ha</w:t>
      </w:r>
      <w:r w:rsidR="00D45C1E">
        <w:rPr>
          <w:lang w:val="en-AU"/>
        </w:rPr>
        <w:t>ve</w:t>
      </w:r>
      <w:r w:rsidRPr="00034E9B">
        <w:rPr>
          <w:lang w:val="en-AU"/>
        </w:rPr>
        <w:t xml:space="preserve"> affected assessments, as has a comprehensive review of the assessment of the minimum costs faced by States in preparing to deliver services.</w:t>
      </w:r>
    </w:p>
    <w:p w14:paraId="5D7FA431" w14:textId="6F0DF86D" w:rsidR="00242AD6" w:rsidRPr="00034E9B" w:rsidRDefault="00242AD6" w:rsidP="00DC5A36">
      <w:pPr>
        <w:pStyle w:val="CGCParaNumber"/>
        <w:numPr>
          <w:ilvl w:val="0"/>
          <w:numId w:val="2"/>
        </w:numPr>
        <w:ind w:left="567" w:hanging="567"/>
        <w:rPr>
          <w:lang w:val="en-AU"/>
        </w:rPr>
      </w:pPr>
      <w:r w:rsidRPr="00034E9B">
        <w:rPr>
          <w:lang w:val="en-AU"/>
        </w:rPr>
        <w:t xml:space="preserve">In other changes, more detailed data from States on spending on police services, and greater utilisation of Independent Hospital Pricing Authority (IHPA) </w:t>
      </w:r>
      <w:r w:rsidR="00283B21">
        <w:rPr>
          <w:lang w:val="en-AU"/>
        </w:rPr>
        <w:t xml:space="preserve">data </w:t>
      </w:r>
      <w:r w:rsidRPr="00034E9B">
        <w:rPr>
          <w:lang w:val="en-AU"/>
        </w:rPr>
        <w:t>on the costs of hospital services, have enabled better recognition of the effects of increasing remoteness on the costs of service delivery. More generally, the Commission has been able to measure directly the effects of remoteness across more categories in this review compared to the previous review. Feedback from States on the drivers of funding for schools has led to changes in the characteristics recognised as leading to differential costs in providing education services.</w:t>
      </w:r>
    </w:p>
    <w:p w14:paraId="04CAC20C" w14:textId="77777777" w:rsidR="00242AD6" w:rsidRPr="00034E9B" w:rsidRDefault="00242AD6" w:rsidP="00DC5A36">
      <w:pPr>
        <w:pStyle w:val="CGCParaNumber"/>
        <w:numPr>
          <w:ilvl w:val="0"/>
          <w:numId w:val="2"/>
        </w:numPr>
        <w:ind w:left="567" w:hanging="567"/>
        <w:rPr>
          <w:lang w:val="en-AU"/>
        </w:rPr>
      </w:pPr>
      <w:r w:rsidRPr="00034E9B">
        <w:rPr>
          <w:lang w:val="en-AU"/>
        </w:rPr>
        <w:t>Following is a short discussion of each of the areas where there has been a major change from the approach adopted in the 2015 Review, along with instances where the Commission has considered an issue in some depth over the course of the review, even where the outcome has been not to change existing methods.</w:t>
      </w:r>
    </w:p>
    <w:p w14:paraId="7182FC74" w14:textId="77777777" w:rsidR="00242AD6" w:rsidRPr="00034E9B" w:rsidRDefault="00242AD6" w:rsidP="00242AD6">
      <w:pPr>
        <w:pStyle w:val="Heading4"/>
      </w:pPr>
      <w:bookmarkStart w:id="37" w:name="_Toc26890298"/>
      <w:r w:rsidRPr="00034E9B">
        <w:t>Elasticity adjustments to State tax bases</w:t>
      </w:r>
      <w:bookmarkEnd w:id="37"/>
    </w:p>
    <w:p w14:paraId="491BF3E3" w14:textId="77777777" w:rsidR="00242AD6" w:rsidRPr="00034E9B" w:rsidRDefault="00242AD6" w:rsidP="00DC5A36">
      <w:pPr>
        <w:pStyle w:val="CGCParaNumber"/>
        <w:numPr>
          <w:ilvl w:val="0"/>
          <w:numId w:val="2"/>
        </w:numPr>
        <w:ind w:left="567" w:hanging="567"/>
        <w:rPr>
          <w:lang w:val="en-AU"/>
        </w:rPr>
      </w:pPr>
      <w:r w:rsidRPr="00034E9B">
        <w:rPr>
          <w:lang w:val="en-AU"/>
        </w:rPr>
        <w:t>The Commission determines States’ capacities to raise revenue in each category by applying an average tax rate to each State’s assessed revenue base. The Commission currently measures State revenue bases using data that closely reflect the actual revenue bases accessed by States. Economic theory suggests that differences in State tax rates (and other tax policies) can affect the level of activity and, therefore, the observed revenue base. A State imposing an above average tax rate would have a smaller revenue base than if it were to impose the average rate, and vice versa. If differences in tax rates had material effects on observed revenue bases, incorporating elasticity adjustments would improve the policy neutrality of the Commission’s revenue assessments.</w:t>
      </w:r>
    </w:p>
    <w:p w14:paraId="50682E25" w14:textId="77777777" w:rsidR="00242AD6" w:rsidRPr="00034E9B" w:rsidRDefault="00242AD6" w:rsidP="00DC5A36">
      <w:pPr>
        <w:pStyle w:val="CGCParaNumber"/>
        <w:numPr>
          <w:ilvl w:val="0"/>
          <w:numId w:val="2"/>
        </w:numPr>
        <w:ind w:left="567" w:hanging="567"/>
        <w:rPr>
          <w:lang w:val="en-AU"/>
        </w:rPr>
      </w:pPr>
      <w:r w:rsidRPr="00034E9B">
        <w:rPr>
          <w:lang w:val="en-AU"/>
        </w:rPr>
        <w:t xml:space="preserve">The Commission engaged consultants to provide, where possible, estimates of the size of elasticity effects for each revenue base. This would inform its decision on whether to make elasticity adjustments in the 2020 Review. The consultants’ report can be found on the </w:t>
      </w:r>
      <w:hyperlink r:id="rId23" w:history="1">
        <w:r w:rsidRPr="00034E9B">
          <w:rPr>
            <w:rStyle w:val="Hyperlink"/>
            <w:lang w:val="en-AU"/>
          </w:rPr>
          <w:t>Commission website</w:t>
        </w:r>
      </w:hyperlink>
      <w:r w:rsidRPr="00034E9B">
        <w:rPr>
          <w:lang w:val="en-AU"/>
        </w:rPr>
        <w:t xml:space="preserve"> (https://cgc.gov.au/). The consultants developed models to estimate elasticities for five revenue categories: Payroll tax, Land tax, Stamp duty on conveyances, Insurance tax and Motor taxes. Due to data limitations and methodological difficulties, the consultants concluded they could not estimate elasticities for mining royalties at this time.</w:t>
      </w:r>
    </w:p>
    <w:p w14:paraId="47BF23BF" w14:textId="77777777" w:rsidR="00242AD6" w:rsidRPr="00034E9B" w:rsidRDefault="00242AD6" w:rsidP="00DC5A36">
      <w:pPr>
        <w:pStyle w:val="CGCParaNumber"/>
        <w:numPr>
          <w:ilvl w:val="0"/>
          <w:numId w:val="2"/>
        </w:numPr>
        <w:ind w:left="567" w:hanging="567"/>
        <w:rPr>
          <w:lang w:val="en-AU"/>
        </w:rPr>
      </w:pPr>
      <w:r w:rsidRPr="00034E9B">
        <w:rPr>
          <w:lang w:val="en-AU"/>
        </w:rPr>
        <w:t>Of the five elasticities modelled, four were found to be statistically significant. The consultants found no measurable behavioural effect of changes in payroll tax on labour market outcomes (wages and employment).</w:t>
      </w:r>
    </w:p>
    <w:p w14:paraId="0ACB3C38" w14:textId="5940F34D" w:rsidR="00242AD6" w:rsidRPr="00034E9B" w:rsidRDefault="00242AD6" w:rsidP="00DC5A36">
      <w:pPr>
        <w:pStyle w:val="CGCParaNumber"/>
        <w:numPr>
          <w:ilvl w:val="0"/>
          <w:numId w:val="2"/>
        </w:numPr>
        <w:ind w:left="567" w:hanging="567"/>
        <w:rPr>
          <w:lang w:val="en-AU"/>
        </w:rPr>
      </w:pPr>
      <w:r w:rsidRPr="00034E9B">
        <w:rPr>
          <w:lang w:val="en-AU"/>
        </w:rPr>
        <w:t>Elasticities were estimated using data from the Commission's assessments and, in two cases, data from other sources.</w:t>
      </w:r>
      <w:r w:rsidRPr="00034E9B">
        <w:rPr>
          <w:vertAlign w:val="superscript"/>
          <w:lang w:val="en-AU"/>
        </w:rPr>
        <w:footnoteReference w:id="9"/>
      </w:r>
      <w:r w:rsidRPr="00034E9B">
        <w:rPr>
          <w:lang w:val="en-AU"/>
        </w:rPr>
        <w:t xml:space="preserve"> The consultants’ findings are set out in </w:t>
      </w:r>
      <w:r w:rsidRPr="00034E9B">
        <w:rPr>
          <w:lang w:val="en-AU"/>
        </w:rPr>
        <w:fldChar w:fldCharType="begin"/>
      </w:r>
      <w:r w:rsidRPr="00034E9B">
        <w:rPr>
          <w:lang w:val="en-AU"/>
        </w:rPr>
        <w:instrText xml:space="preserve"> REF _Ref25914127 \h  \* MERGEFORMAT </w:instrText>
      </w:r>
      <w:r w:rsidRPr="00034E9B">
        <w:rPr>
          <w:lang w:val="en-AU"/>
        </w:rPr>
      </w:r>
      <w:r w:rsidRPr="00034E9B">
        <w:rPr>
          <w:lang w:val="en-AU"/>
        </w:rPr>
        <w:fldChar w:fldCharType="separate"/>
      </w:r>
      <w:r w:rsidR="004A0DFA" w:rsidRPr="004A0DFA">
        <w:rPr>
          <w:lang w:val="en-AU"/>
        </w:rPr>
        <w:t xml:space="preserve">Table </w:t>
      </w:r>
      <w:r w:rsidR="004A0DFA" w:rsidRPr="004A0DFA">
        <w:rPr>
          <w:noProof/>
          <w:lang w:val="en-AU"/>
        </w:rPr>
        <w:t>1</w:t>
      </w:r>
      <w:r w:rsidR="004A0DFA" w:rsidRPr="004A0DFA">
        <w:rPr>
          <w:noProof/>
          <w:lang w:val="en-AU"/>
        </w:rPr>
        <w:noBreakHyphen/>
        <w:t>3</w:t>
      </w:r>
      <w:r w:rsidRPr="00034E9B">
        <w:rPr>
          <w:lang w:val="en-AU"/>
        </w:rPr>
        <w:fldChar w:fldCharType="end"/>
      </w:r>
      <w:r w:rsidRPr="00034E9B">
        <w:rPr>
          <w:lang w:val="en-AU"/>
        </w:rPr>
        <w:t>.</w:t>
      </w:r>
    </w:p>
    <w:p w14:paraId="31D1DE0D" w14:textId="2567E177" w:rsidR="00242AD6" w:rsidRPr="00034E9B" w:rsidRDefault="00242AD6" w:rsidP="00242AD6">
      <w:pPr>
        <w:pStyle w:val="Caption"/>
      </w:pPr>
      <w:bookmarkStart w:id="38" w:name="_Ref25914127"/>
      <w:r w:rsidRPr="00034E9B">
        <w:lastRenderedPageBreak/>
        <w:t xml:space="preserve">Table </w:t>
      </w:r>
      <w:r w:rsidRPr="00034E9B">
        <w:rPr>
          <w:noProof/>
        </w:rPr>
        <w:t>1</w:t>
      </w:r>
      <w:r w:rsidRPr="00034E9B">
        <w:noBreakHyphen/>
      </w:r>
      <w:r w:rsidRPr="00034E9B">
        <w:rPr>
          <w:noProof/>
        </w:rPr>
        <w:fldChar w:fldCharType="begin"/>
      </w:r>
      <w:r w:rsidRPr="00034E9B">
        <w:rPr>
          <w:noProof/>
        </w:rPr>
        <w:instrText xml:space="preserve"> SEQ Table \* ARABIC \s 1 </w:instrText>
      </w:r>
      <w:r w:rsidRPr="00034E9B">
        <w:rPr>
          <w:noProof/>
        </w:rPr>
        <w:fldChar w:fldCharType="separate"/>
      </w:r>
      <w:r w:rsidR="004A0DFA">
        <w:rPr>
          <w:noProof/>
        </w:rPr>
        <w:t>3</w:t>
      </w:r>
      <w:r w:rsidRPr="00034E9B">
        <w:rPr>
          <w:noProof/>
        </w:rPr>
        <w:fldChar w:fldCharType="end"/>
      </w:r>
      <w:bookmarkEnd w:id="38"/>
      <w:r w:rsidRPr="00034E9B">
        <w:t xml:space="preserve"> </w:t>
      </w:r>
      <w:r w:rsidRPr="00034E9B">
        <w:tab/>
        <w:t>Estimated elasticities by revenue category</w:t>
      </w:r>
    </w:p>
    <w:tbl>
      <w:tblPr>
        <w:tblW w:w="8951" w:type="dxa"/>
        <w:tblBorders>
          <w:top w:val="single" w:sz="4" w:space="0" w:color="ADD6EA"/>
          <w:bottom w:val="single" w:sz="4" w:space="0" w:color="ADD6EA"/>
          <w:insideH w:val="single" w:sz="4" w:space="0" w:color="ADD6EA"/>
        </w:tblBorders>
        <w:tblCellMar>
          <w:left w:w="28" w:type="dxa"/>
        </w:tblCellMar>
        <w:tblLook w:val="04A0" w:firstRow="1" w:lastRow="0" w:firstColumn="1" w:lastColumn="0" w:noHBand="0" w:noVBand="1"/>
      </w:tblPr>
      <w:tblGrid>
        <w:gridCol w:w="1843"/>
        <w:gridCol w:w="2686"/>
        <w:gridCol w:w="4422"/>
      </w:tblGrid>
      <w:tr w:rsidR="00242AD6" w:rsidRPr="00034E9B" w14:paraId="543803BB" w14:textId="77777777" w:rsidTr="00C01414">
        <w:trPr>
          <w:trHeight w:val="340"/>
        </w:trPr>
        <w:tc>
          <w:tcPr>
            <w:tcW w:w="1843" w:type="dxa"/>
            <w:shd w:val="clear" w:color="auto" w:fill="006991"/>
            <w:noWrap/>
            <w:vAlign w:val="center"/>
            <w:hideMark/>
          </w:tcPr>
          <w:p w14:paraId="5B406AEB" w14:textId="77777777" w:rsidR="00242AD6" w:rsidRPr="00034E9B" w:rsidRDefault="00242AD6" w:rsidP="00242AD6">
            <w:pPr>
              <w:pStyle w:val="CGCTableheader"/>
              <w:keepNext/>
              <w:keepLines/>
              <w:rPr>
                <w:lang w:val="en-AU" w:eastAsia="en-AU"/>
              </w:rPr>
            </w:pPr>
            <w:r w:rsidRPr="00034E9B">
              <w:rPr>
                <w:lang w:val="en-AU" w:eastAsia="en-AU"/>
              </w:rPr>
              <w:t>Revenue</w:t>
            </w:r>
          </w:p>
        </w:tc>
        <w:tc>
          <w:tcPr>
            <w:tcW w:w="2686" w:type="dxa"/>
            <w:shd w:val="clear" w:color="auto" w:fill="006991"/>
            <w:noWrap/>
            <w:vAlign w:val="center"/>
            <w:hideMark/>
          </w:tcPr>
          <w:p w14:paraId="51529D2D" w14:textId="77777777" w:rsidR="00242AD6" w:rsidRPr="00034E9B" w:rsidRDefault="00242AD6" w:rsidP="00242AD6">
            <w:pPr>
              <w:pStyle w:val="CGCTableheader"/>
              <w:keepNext/>
              <w:keepLines/>
              <w:rPr>
                <w:lang w:val="en-AU" w:eastAsia="en-AU"/>
              </w:rPr>
            </w:pPr>
            <w:r w:rsidRPr="00034E9B">
              <w:rPr>
                <w:lang w:val="en-AU" w:eastAsia="en-AU"/>
              </w:rPr>
              <w:t>Elasticity</w:t>
            </w:r>
          </w:p>
        </w:tc>
        <w:tc>
          <w:tcPr>
            <w:tcW w:w="4422" w:type="dxa"/>
            <w:shd w:val="clear" w:color="auto" w:fill="006991"/>
            <w:noWrap/>
            <w:vAlign w:val="center"/>
            <w:hideMark/>
          </w:tcPr>
          <w:p w14:paraId="69649F16" w14:textId="77777777" w:rsidR="00242AD6" w:rsidRPr="00034E9B" w:rsidRDefault="00242AD6" w:rsidP="00242AD6">
            <w:pPr>
              <w:pStyle w:val="CGCTableheader"/>
              <w:keepNext/>
              <w:keepLines/>
              <w:rPr>
                <w:lang w:val="en-AU" w:eastAsia="en-AU"/>
              </w:rPr>
            </w:pPr>
            <w:r w:rsidRPr="00034E9B">
              <w:rPr>
                <w:lang w:val="en-AU" w:eastAsia="en-AU"/>
              </w:rPr>
              <w:t>Interpretation</w:t>
            </w:r>
          </w:p>
        </w:tc>
      </w:tr>
      <w:tr w:rsidR="00242AD6" w:rsidRPr="00034E9B" w14:paraId="29551D10" w14:textId="77777777" w:rsidTr="00C01414">
        <w:tc>
          <w:tcPr>
            <w:tcW w:w="1843" w:type="dxa"/>
            <w:shd w:val="clear" w:color="auto" w:fill="auto"/>
            <w:noWrap/>
            <w:hideMark/>
          </w:tcPr>
          <w:p w14:paraId="03F3F6A0" w14:textId="77777777" w:rsidR="00242AD6" w:rsidRPr="00034E9B" w:rsidRDefault="00242AD6" w:rsidP="00242AD6">
            <w:pPr>
              <w:pStyle w:val="CGCTablerow"/>
              <w:keepNext/>
              <w:keepLines/>
              <w:spacing w:before="20" w:after="20"/>
              <w:rPr>
                <w:lang w:eastAsia="en-AU"/>
              </w:rPr>
            </w:pPr>
            <w:r w:rsidRPr="00034E9B">
              <w:rPr>
                <w:lang w:eastAsia="en-AU"/>
              </w:rPr>
              <w:t>Payroll tax</w:t>
            </w:r>
          </w:p>
        </w:tc>
        <w:tc>
          <w:tcPr>
            <w:tcW w:w="2686" w:type="dxa"/>
            <w:shd w:val="clear" w:color="auto" w:fill="auto"/>
            <w:hideMark/>
          </w:tcPr>
          <w:p w14:paraId="41491BDC" w14:textId="77777777" w:rsidR="00242AD6" w:rsidRPr="00034E9B" w:rsidRDefault="00242AD6" w:rsidP="00242AD6">
            <w:pPr>
              <w:pStyle w:val="CGCTablerow"/>
              <w:keepNext/>
              <w:keepLines/>
              <w:spacing w:before="20" w:after="20"/>
              <w:rPr>
                <w:lang w:eastAsia="en-AU"/>
              </w:rPr>
            </w:pPr>
            <w:r w:rsidRPr="00034E9B">
              <w:rPr>
                <w:lang w:eastAsia="en-AU"/>
              </w:rPr>
              <w:t>Statistically insignificant</w:t>
            </w:r>
          </w:p>
        </w:tc>
        <w:tc>
          <w:tcPr>
            <w:tcW w:w="4422" w:type="dxa"/>
            <w:shd w:val="clear" w:color="auto" w:fill="auto"/>
            <w:noWrap/>
            <w:hideMark/>
          </w:tcPr>
          <w:p w14:paraId="2CBEA88E" w14:textId="77777777" w:rsidR="00242AD6" w:rsidRPr="00034E9B" w:rsidRDefault="00242AD6" w:rsidP="00242AD6">
            <w:pPr>
              <w:pStyle w:val="CGCTablerow"/>
              <w:keepNext/>
              <w:keepLines/>
              <w:spacing w:before="20" w:after="20"/>
              <w:rPr>
                <w:lang w:eastAsia="en-AU"/>
              </w:rPr>
            </w:pPr>
            <w:r w:rsidRPr="00034E9B">
              <w:rPr>
                <w:lang w:eastAsia="en-AU"/>
              </w:rPr>
              <w:t>Not applicable.</w:t>
            </w:r>
          </w:p>
        </w:tc>
      </w:tr>
      <w:tr w:rsidR="00242AD6" w:rsidRPr="00034E9B" w14:paraId="78FB2BCC" w14:textId="77777777" w:rsidTr="00C01414">
        <w:tc>
          <w:tcPr>
            <w:tcW w:w="1843" w:type="dxa"/>
            <w:shd w:val="clear" w:color="auto" w:fill="auto"/>
            <w:noWrap/>
          </w:tcPr>
          <w:p w14:paraId="4148C19C" w14:textId="77777777" w:rsidR="00242AD6" w:rsidRPr="00034E9B" w:rsidRDefault="00242AD6" w:rsidP="00242AD6">
            <w:pPr>
              <w:pStyle w:val="CGCTablerow"/>
              <w:keepNext/>
              <w:keepLines/>
              <w:spacing w:before="20" w:after="20"/>
              <w:rPr>
                <w:lang w:eastAsia="en-AU"/>
              </w:rPr>
            </w:pPr>
            <w:r w:rsidRPr="00034E9B">
              <w:rPr>
                <w:lang w:eastAsia="en-AU"/>
              </w:rPr>
              <w:t>Land tax</w:t>
            </w:r>
          </w:p>
        </w:tc>
        <w:tc>
          <w:tcPr>
            <w:tcW w:w="2686" w:type="dxa"/>
            <w:shd w:val="clear" w:color="auto" w:fill="auto"/>
            <w:noWrap/>
          </w:tcPr>
          <w:p w14:paraId="1F384C80" w14:textId="77777777" w:rsidR="00242AD6" w:rsidRPr="00034E9B" w:rsidRDefault="00242AD6" w:rsidP="00242AD6">
            <w:pPr>
              <w:pStyle w:val="CGCTablerow"/>
              <w:keepNext/>
              <w:keepLines/>
              <w:spacing w:before="20" w:after="20"/>
              <w:rPr>
                <w:lang w:eastAsia="en-AU"/>
              </w:rPr>
            </w:pPr>
            <w:r w:rsidRPr="00034E9B">
              <w:rPr>
                <w:lang w:eastAsia="en-AU"/>
              </w:rPr>
              <w:t>-0.054 to -0.062 (CGC data)</w:t>
            </w:r>
          </w:p>
        </w:tc>
        <w:tc>
          <w:tcPr>
            <w:tcW w:w="4422" w:type="dxa"/>
            <w:shd w:val="clear" w:color="auto" w:fill="auto"/>
          </w:tcPr>
          <w:p w14:paraId="4DDB8146" w14:textId="77777777" w:rsidR="00242AD6" w:rsidRPr="00034E9B" w:rsidRDefault="00242AD6" w:rsidP="00242AD6">
            <w:pPr>
              <w:pStyle w:val="CGCTablerow"/>
              <w:keepNext/>
              <w:keepLines/>
              <w:spacing w:before="20" w:after="20"/>
              <w:rPr>
                <w:lang w:eastAsia="en-AU"/>
              </w:rPr>
            </w:pPr>
            <w:r w:rsidRPr="00034E9B">
              <w:rPr>
                <w:lang w:eastAsia="en-AU"/>
              </w:rPr>
              <w:t>A 10% increase in the tax rate will reduce the overall unimproved value of taxable properties by about 0.6%.</w:t>
            </w:r>
          </w:p>
        </w:tc>
      </w:tr>
      <w:tr w:rsidR="00242AD6" w:rsidRPr="00034E9B" w14:paraId="1BD9173A" w14:textId="77777777" w:rsidTr="00C01414">
        <w:tc>
          <w:tcPr>
            <w:tcW w:w="1843" w:type="dxa"/>
            <w:shd w:val="clear" w:color="auto" w:fill="auto"/>
            <w:noWrap/>
          </w:tcPr>
          <w:p w14:paraId="56CC3B5A" w14:textId="77777777" w:rsidR="00242AD6" w:rsidRPr="00034E9B" w:rsidRDefault="00242AD6" w:rsidP="00242AD6">
            <w:pPr>
              <w:pStyle w:val="CGCTablerow"/>
              <w:keepNext/>
              <w:keepLines/>
              <w:spacing w:before="20" w:after="20"/>
              <w:rPr>
                <w:lang w:eastAsia="en-AU"/>
              </w:rPr>
            </w:pPr>
            <w:r w:rsidRPr="00034E9B">
              <w:rPr>
                <w:lang w:eastAsia="en-AU"/>
              </w:rPr>
              <w:t>Stamp duty on conveyances</w:t>
            </w:r>
          </w:p>
        </w:tc>
        <w:tc>
          <w:tcPr>
            <w:tcW w:w="2686" w:type="dxa"/>
            <w:shd w:val="clear" w:color="auto" w:fill="auto"/>
            <w:noWrap/>
          </w:tcPr>
          <w:p w14:paraId="740DCA7A" w14:textId="77777777" w:rsidR="00242AD6" w:rsidRPr="00034E9B" w:rsidRDefault="00242AD6" w:rsidP="00242AD6">
            <w:pPr>
              <w:pStyle w:val="CGCTablerow"/>
              <w:keepNext/>
              <w:keepLines/>
              <w:spacing w:before="20" w:after="20"/>
              <w:rPr>
                <w:lang w:eastAsia="en-AU"/>
              </w:rPr>
            </w:pPr>
            <w:r w:rsidRPr="00034E9B">
              <w:rPr>
                <w:lang w:eastAsia="en-AU"/>
              </w:rPr>
              <w:t>-0.29 to -0.43 (CGC data)</w:t>
            </w:r>
            <w:r w:rsidRPr="00034E9B">
              <w:rPr>
                <w:lang w:eastAsia="en-AU"/>
              </w:rPr>
              <w:br/>
            </w:r>
            <w:r w:rsidRPr="00034E9B">
              <w:rPr>
                <w:lang w:eastAsia="en-AU"/>
              </w:rPr>
              <w:br/>
              <w:t>-0.01 to -0.37 (CoreLogic data)</w:t>
            </w:r>
          </w:p>
        </w:tc>
        <w:tc>
          <w:tcPr>
            <w:tcW w:w="4422" w:type="dxa"/>
            <w:shd w:val="clear" w:color="auto" w:fill="auto"/>
          </w:tcPr>
          <w:p w14:paraId="501DA1E8" w14:textId="77777777" w:rsidR="00242AD6" w:rsidRPr="00034E9B" w:rsidRDefault="00242AD6" w:rsidP="00242AD6">
            <w:pPr>
              <w:pStyle w:val="CGCTablerow"/>
              <w:keepNext/>
              <w:keepLines/>
              <w:spacing w:before="20" w:after="20"/>
              <w:rPr>
                <w:lang w:eastAsia="en-AU"/>
              </w:rPr>
            </w:pPr>
            <w:r w:rsidRPr="00034E9B">
              <w:rPr>
                <w:lang w:eastAsia="en-AU"/>
              </w:rPr>
              <w:t>A 10% increase in the tax rate reduces the overall value of sold properties by 3 to 4%.</w:t>
            </w:r>
            <w:r w:rsidRPr="00034E9B">
              <w:rPr>
                <w:lang w:eastAsia="en-AU"/>
              </w:rPr>
              <w:br/>
              <w:t xml:space="preserve">A 10% increase in the tax rate reduces the value of sold properties by 0.1 to 3.7%, depending on the specification chosen. </w:t>
            </w:r>
          </w:p>
        </w:tc>
      </w:tr>
      <w:tr w:rsidR="00242AD6" w:rsidRPr="00034E9B" w14:paraId="39340CC4" w14:textId="77777777" w:rsidTr="00C01414">
        <w:tc>
          <w:tcPr>
            <w:tcW w:w="1843" w:type="dxa"/>
            <w:shd w:val="clear" w:color="auto" w:fill="auto"/>
            <w:noWrap/>
            <w:hideMark/>
          </w:tcPr>
          <w:p w14:paraId="725CCCA8" w14:textId="77777777" w:rsidR="00242AD6" w:rsidRPr="00034E9B" w:rsidRDefault="00242AD6" w:rsidP="00242AD6">
            <w:pPr>
              <w:pStyle w:val="CGCTablerow"/>
              <w:keepNext/>
              <w:keepLines/>
              <w:spacing w:before="20" w:after="20"/>
              <w:rPr>
                <w:lang w:eastAsia="en-AU"/>
              </w:rPr>
            </w:pPr>
            <w:r w:rsidRPr="00034E9B">
              <w:rPr>
                <w:lang w:eastAsia="en-AU"/>
              </w:rPr>
              <w:t>Insurance tax</w:t>
            </w:r>
          </w:p>
        </w:tc>
        <w:tc>
          <w:tcPr>
            <w:tcW w:w="2686" w:type="dxa"/>
            <w:shd w:val="clear" w:color="auto" w:fill="auto"/>
            <w:noWrap/>
            <w:hideMark/>
          </w:tcPr>
          <w:p w14:paraId="6D2438E6" w14:textId="77777777" w:rsidR="00242AD6" w:rsidRPr="00034E9B" w:rsidRDefault="00242AD6" w:rsidP="00242AD6">
            <w:pPr>
              <w:pStyle w:val="CGCTablerow"/>
              <w:keepNext/>
              <w:keepLines/>
              <w:spacing w:before="20" w:after="20"/>
              <w:rPr>
                <w:lang w:eastAsia="en-AU"/>
              </w:rPr>
            </w:pPr>
            <w:r w:rsidRPr="00034E9B">
              <w:rPr>
                <w:lang w:eastAsia="en-AU"/>
              </w:rPr>
              <w:t>-0.057 (CGC data)</w:t>
            </w:r>
          </w:p>
        </w:tc>
        <w:tc>
          <w:tcPr>
            <w:tcW w:w="4422" w:type="dxa"/>
            <w:shd w:val="clear" w:color="auto" w:fill="auto"/>
            <w:hideMark/>
          </w:tcPr>
          <w:p w14:paraId="21A7B0BD" w14:textId="77777777" w:rsidR="00242AD6" w:rsidRPr="00034E9B" w:rsidRDefault="00242AD6" w:rsidP="00242AD6">
            <w:pPr>
              <w:pStyle w:val="CGCTablerow"/>
              <w:keepNext/>
              <w:keepLines/>
              <w:spacing w:before="20" w:after="20"/>
              <w:rPr>
                <w:lang w:eastAsia="en-AU"/>
              </w:rPr>
            </w:pPr>
            <w:r w:rsidRPr="00034E9B">
              <w:rPr>
                <w:lang w:eastAsia="en-AU"/>
              </w:rPr>
              <w:t>A one percentage point increase in the tax rate (equivalent to about a 10% increase) reduces expenditure on total premiums by 0.6%.</w:t>
            </w:r>
          </w:p>
        </w:tc>
      </w:tr>
      <w:tr w:rsidR="00242AD6" w:rsidRPr="00034E9B" w14:paraId="2B6667B6" w14:textId="77777777" w:rsidTr="00C01414">
        <w:tc>
          <w:tcPr>
            <w:tcW w:w="1843" w:type="dxa"/>
            <w:shd w:val="clear" w:color="auto" w:fill="auto"/>
            <w:noWrap/>
            <w:hideMark/>
          </w:tcPr>
          <w:p w14:paraId="1CDA8755" w14:textId="77777777" w:rsidR="00242AD6" w:rsidRPr="00034E9B" w:rsidRDefault="00242AD6" w:rsidP="00242AD6">
            <w:pPr>
              <w:pStyle w:val="CGCTablerow"/>
              <w:keepNext/>
              <w:keepLines/>
              <w:spacing w:before="20" w:after="20"/>
              <w:rPr>
                <w:lang w:eastAsia="en-AU"/>
              </w:rPr>
            </w:pPr>
            <w:r w:rsidRPr="00034E9B">
              <w:rPr>
                <w:lang w:eastAsia="en-AU"/>
              </w:rPr>
              <w:t>Motor taxes</w:t>
            </w:r>
          </w:p>
        </w:tc>
        <w:tc>
          <w:tcPr>
            <w:tcW w:w="2686" w:type="dxa"/>
            <w:shd w:val="clear" w:color="auto" w:fill="auto"/>
            <w:hideMark/>
          </w:tcPr>
          <w:p w14:paraId="06869057" w14:textId="77777777" w:rsidR="00242AD6" w:rsidRPr="00034E9B" w:rsidRDefault="00242AD6" w:rsidP="00242AD6">
            <w:pPr>
              <w:pStyle w:val="CGCTablerow"/>
              <w:keepNext/>
              <w:keepLines/>
              <w:spacing w:before="20" w:after="20"/>
              <w:rPr>
                <w:lang w:eastAsia="en-AU"/>
              </w:rPr>
            </w:pPr>
            <w:r w:rsidRPr="00034E9B">
              <w:rPr>
                <w:lang w:eastAsia="en-AU"/>
              </w:rPr>
              <w:t>-0.056 (CGC data)</w:t>
            </w:r>
            <w:r w:rsidRPr="00034E9B">
              <w:rPr>
                <w:lang w:eastAsia="en-AU"/>
              </w:rPr>
              <w:br/>
            </w:r>
            <w:r w:rsidRPr="00034E9B">
              <w:rPr>
                <w:lang w:eastAsia="en-AU"/>
              </w:rPr>
              <w:br/>
              <w:t>-0.035 (HILDA data)</w:t>
            </w:r>
          </w:p>
        </w:tc>
        <w:tc>
          <w:tcPr>
            <w:tcW w:w="4422" w:type="dxa"/>
            <w:shd w:val="clear" w:color="auto" w:fill="auto"/>
            <w:hideMark/>
          </w:tcPr>
          <w:p w14:paraId="735BFF84" w14:textId="77777777" w:rsidR="00242AD6" w:rsidRPr="00034E9B" w:rsidRDefault="00242AD6" w:rsidP="00242AD6">
            <w:pPr>
              <w:pStyle w:val="CGCTablerow"/>
              <w:keepNext/>
              <w:keepLines/>
              <w:spacing w:before="20" w:after="20"/>
              <w:rPr>
                <w:lang w:eastAsia="en-AU"/>
              </w:rPr>
            </w:pPr>
            <w:r w:rsidRPr="00034E9B">
              <w:rPr>
                <w:lang w:eastAsia="en-AU"/>
              </w:rPr>
              <w:t>A 10% increase in licence fees reduces vehicle ownership by 0.6%.</w:t>
            </w:r>
            <w:r w:rsidRPr="00034E9B">
              <w:rPr>
                <w:lang w:eastAsia="en-AU"/>
              </w:rPr>
              <w:br/>
              <w:t xml:space="preserve">A 10% increase in licence fees reduces car ownership by 0.35%. </w:t>
            </w:r>
          </w:p>
        </w:tc>
      </w:tr>
      <w:tr w:rsidR="00242AD6" w:rsidRPr="00034E9B" w14:paraId="4F747FA8" w14:textId="77777777" w:rsidTr="00C01414">
        <w:tc>
          <w:tcPr>
            <w:tcW w:w="1843" w:type="dxa"/>
            <w:shd w:val="clear" w:color="auto" w:fill="auto"/>
            <w:noWrap/>
            <w:hideMark/>
          </w:tcPr>
          <w:p w14:paraId="12A5753B" w14:textId="77777777" w:rsidR="00242AD6" w:rsidRPr="00034E9B" w:rsidRDefault="00242AD6" w:rsidP="00242AD6">
            <w:pPr>
              <w:pStyle w:val="CGCTablerow"/>
              <w:keepNext/>
              <w:keepLines/>
              <w:spacing w:before="20" w:after="20"/>
              <w:rPr>
                <w:lang w:eastAsia="en-AU"/>
              </w:rPr>
            </w:pPr>
            <w:r w:rsidRPr="00034E9B">
              <w:rPr>
                <w:lang w:eastAsia="en-AU"/>
              </w:rPr>
              <w:t>Mining revenue</w:t>
            </w:r>
          </w:p>
        </w:tc>
        <w:tc>
          <w:tcPr>
            <w:tcW w:w="2686" w:type="dxa"/>
            <w:shd w:val="clear" w:color="auto" w:fill="auto"/>
            <w:noWrap/>
            <w:hideMark/>
          </w:tcPr>
          <w:p w14:paraId="708F102D" w14:textId="77777777" w:rsidR="00242AD6" w:rsidRPr="00034E9B" w:rsidRDefault="00242AD6" w:rsidP="00242AD6">
            <w:pPr>
              <w:pStyle w:val="CGCTablerow"/>
              <w:keepNext/>
              <w:keepLines/>
              <w:spacing w:before="20" w:after="20"/>
              <w:rPr>
                <w:lang w:eastAsia="en-AU"/>
              </w:rPr>
            </w:pPr>
            <w:r w:rsidRPr="00034E9B">
              <w:rPr>
                <w:lang w:eastAsia="en-AU"/>
              </w:rPr>
              <w:t>Could not be estimated</w:t>
            </w:r>
          </w:p>
        </w:tc>
        <w:tc>
          <w:tcPr>
            <w:tcW w:w="4422" w:type="dxa"/>
            <w:shd w:val="clear" w:color="auto" w:fill="auto"/>
            <w:noWrap/>
            <w:hideMark/>
          </w:tcPr>
          <w:p w14:paraId="3B6C93F2" w14:textId="77777777" w:rsidR="00242AD6" w:rsidRPr="00034E9B" w:rsidRDefault="00242AD6" w:rsidP="00242AD6">
            <w:pPr>
              <w:pStyle w:val="CGCTablerow"/>
              <w:keepNext/>
              <w:keepLines/>
              <w:spacing w:before="20" w:after="20"/>
              <w:rPr>
                <w:lang w:eastAsia="en-AU"/>
              </w:rPr>
            </w:pPr>
            <w:r w:rsidRPr="00034E9B">
              <w:rPr>
                <w:lang w:eastAsia="en-AU"/>
              </w:rPr>
              <w:t>Not applicable.</w:t>
            </w:r>
          </w:p>
        </w:tc>
      </w:tr>
    </w:tbl>
    <w:p w14:paraId="43523A94" w14:textId="77777777" w:rsidR="00242AD6" w:rsidRPr="00034E9B" w:rsidRDefault="00242AD6" w:rsidP="00242AD6">
      <w:pPr>
        <w:pStyle w:val="CGCTablenote"/>
      </w:pPr>
      <w:r w:rsidRPr="00034E9B">
        <w:t>Note:</w:t>
      </w:r>
      <w:r w:rsidRPr="00034E9B">
        <w:tab/>
        <w:t>The insurance tax elasticity was expressed as a percentage point change so that it could be more easily compared to the international literature.</w:t>
      </w:r>
    </w:p>
    <w:p w14:paraId="449E24D8" w14:textId="77777777" w:rsidR="00242AD6" w:rsidRPr="00034E9B" w:rsidRDefault="00242AD6" w:rsidP="00242AD6">
      <w:pPr>
        <w:pStyle w:val="CGCTablenote"/>
      </w:pPr>
      <w:r w:rsidRPr="00034E9B">
        <w:t>Source:</w:t>
      </w:r>
      <w:r w:rsidRPr="00034E9B">
        <w:tab/>
        <w:t xml:space="preserve">Tax and Transfer Policy Institute, </w:t>
      </w:r>
      <w:r w:rsidRPr="00034E9B">
        <w:rPr>
          <w:i/>
          <w:iCs/>
        </w:rPr>
        <w:t>State Tax Elasticities of Revenue Bases</w:t>
      </w:r>
      <w:r w:rsidRPr="00034E9B">
        <w:t>, page 4.</w:t>
      </w:r>
    </w:p>
    <w:p w14:paraId="01F84D96" w14:textId="77777777" w:rsidR="00242AD6" w:rsidRPr="00034E9B" w:rsidRDefault="00242AD6" w:rsidP="00DC5A36">
      <w:pPr>
        <w:pStyle w:val="CGCParaNumber"/>
        <w:numPr>
          <w:ilvl w:val="0"/>
          <w:numId w:val="2"/>
        </w:numPr>
        <w:ind w:left="567" w:hanging="567"/>
        <w:rPr>
          <w:lang w:val="en-AU"/>
        </w:rPr>
      </w:pPr>
      <w:r w:rsidRPr="00034E9B">
        <w:rPr>
          <w:lang w:val="en-AU"/>
        </w:rPr>
        <w:t>Of the six States that commented on whether the Commission should make elasticity adjustments, only two supported their introduction. New South Wales and the ACT argued that, where material, elasticity adjustments should be introduced to improve the policy neutrality of revenue assessments. The ACT said the methodology used by the consultants to estimate elasticities was thorough and comprehensive.</w:t>
      </w:r>
    </w:p>
    <w:p w14:paraId="2DC5222D" w14:textId="77777777" w:rsidR="00242AD6" w:rsidRPr="00034E9B" w:rsidRDefault="00242AD6" w:rsidP="00DC5A36">
      <w:pPr>
        <w:pStyle w:val="CGCParaNumber"/>
        <w:numPr>
          <w:ilvl w:val="0"/>
          <w:numId w:val="2"/>
        </w:numPr>
        <w:ind w:left="567" w:hanging="567"/>
        <w:rPr>
          <w:lang w:val="en-AU"/>
        </w:rPr>
      </w:pPr>
      <w:r w:rsidRPr="00034E9B">
        <w:rPr>
          <w:lang w:val="en-AU"/>
        </w:rPr>
        <w:t>Three States questioned whether elasticity adjustments would be reliable or material. Victoria said there were uncertainties regarding the estimation of the elasticities. Western Australia did not have confidence in the size of the estimates or the data used. It said that elasticity adjustments would represent another micro adjustment to an already unreliable revenue approach and, instead, the Commission should move to broader measures of revenue capacity. South Australia questioned whether adjustments based on the consultants’ estimates would be material.</w:t>
      </w:r>
    </w:p>
    <w:p w14:paraId="7EBCD20B" w14:textId="77777777" w:rsidR="00242AD6" w:rsidRPr="00034E9B" w:rsidRDefault="00242AD6" w:rsidP="00DC5A36">
      <w:pPr>
        <w:pStyle w:val="CGCParaNumber"/>
        <w:numPr>
          <w:ilvl w:val="0"/>
          <w:numId w:val="2"/>
        </w:numPr>
        <w:ind w:left="567" w:hanging="567"/>
        <w:rPr>
          <w:lang w:val="en-AU"/>
        </w:rPr>
      </w:pPr>
      <w:r w:rsidRPr="00034E9B">
        <w:rPr>
          <w:lang w:val="en-AU"/>
        </w:rPr>
        <w:t>The Commission tested the materiality of elasticity adjustments and found that an elasticity adjustment would be material only for stamp duty on conveyances at the $10 per capita data adjustment materiality threshold.</w:t>
      </w:r>
      <w:r w:rsidRPr="00034E9B">
        <w:rPr>
          <w:vertAlign w:val="superscript"/>
          <w:lang w:val="en-AU"/>
        </w:rPr>
        <w:footnoteReference w:id="10"/>
      </w:r>
      <w:r w:rsidRPr="00034E9B">
        <w:rPr>
          <w:lang w:val="en-AU"/>
        </w:rPr>
        <w:t xml:space="preserve"> </w:t>
      </w:r>
    </w:p>
    <w:p w14:paraId="2CD2DB98" w14:textId="77777777" w:rsidR="00242AD6" w:rsidRPr="00034E9B" w:rsidRDefault="00242AD6" w:rsidP="00DC5A36">
      <w:pPr>
        <w:pStyle w:val="CGCParaNumber"/>
        <w:numPr>
          <w:ilvl w:val="0"/>
          <w:numId w:val="2"/>
        </w:numPr>
        <w:ind w:left="567" w:hanging="567"/>
        <w:rPr>
          <w:lang w:val="en-AU"/>
        </w:rPr>
      </w:pPr>
      <w:r w:rsidRPr="00034E9B">
        <w:rPr>
          <w:lang w:val="en-AU"/>
        </w:rPr>
        <w:t>The Commission has a number of concerns about making elasticity adjustments. The nature of internally generated elasticities is that they are highly sensitive to Commission decisions about what to include in the revenue assessments and associated revenue bases.</w:t>
      </w:r>
      <w:r w:rsidRPr="00034E9B">
        <w:rPr>
          <w:vertAlign w:val="superscript"/>
          <w:lang w:val="en-AU"/>
        </w:rPr>
        <w:footnoteReference w:id="11"/>
      </w:r>
      <w:r w:rsidRPr="00034E9B">
        <w:rPr>
          <w:lang w:val="en-AU"/>
        </w:rPr>
        <w:t xml:space="preserve"> </w:t>
      </w:r>
    </w:p>
    <w:p w14:paraId="303F29C4" w14:textId="77777777" w:rsidR="00242AD6" w:rsidRPr="00034E9B" w:rsidRDefault="00242AD6" w:rsidP="00DC5A36">
      <w:pPr>
        <w:pStyle w:val="CGCParaNumber"/>
        <w:numPr>
          <w:ilvl w:val="0"/>
          <w:numId w:val="2"/>
        </w:numPr>
        <w:ind w:left="567" w:hanging="567"/>
        <w:rPr>
          <w:lang w:val="en-AU"/>
        </w:rPr>
      </w:pPr>
      <w:r w:rsidRPr="00034E9B">
        <w:rPr>
          <w:lang w:val="en-AU"/>
        </w:rPr>
        <w:t>The introduction of an elasticity adjustment in the Stamp duty on conveyances assessment would require a series of judgments, such as:</w:t>
      </w:r>
    </w:p>
    <w:p w14:paraId="02320BFD" w14:textId="77777777" w:rsidR="00242AD6" w:rsidRPr="00034E9B" w:rsidRDefault="00242AD6" w:rsidP="00DC5A36">
      <w:pPr>
        <w:pStyle w:val="CGCBullet1"/>
        <w:numPr>
          <w:ilvl w:val="0"/>
          <w:numId w:val="3"/>
        </w:numPr>
        <w:ind w:left="924" w:hanging="357"/>
      </w:pPr>
      <w:r w:rsidRPr="00034E9B">
        <w:t>whether to use the estimate based on Commission data or CoreLogic data</w:t>
      </w:r>
    </w:p>
    <w:p w14:paraId="55029CD6" w14:textId="77777777" w:rsidR="00242AD6" w:rsidRPr="00034E9B" w:rsidRDefault="00242AD6" w:rsidP="00DC5A36">
      <w:pPr>
        <w:pStyle w:val="CGCBullet1"/>
        <w:numPr>
          <w:ilvl w:val="0"/>
          <w:numId w:val="3"/>
        </w:numPr>
        <w:ind w:left="924" w:hanging="357"/>
      </w:pPr>
      <w:r w:rsidRPr="00034E9B">
        <w:lastRenderedPageBreak/>
        <w:t>where within the elasticity ranges the Commission would set the adjustment</w:t>
      </w:r>
    </w:p>
    <w:p w14:paraId="604792DD" w14:textId="77777777" w:rsidR="00242AD6" w:rsidRPr="00034E9B" w:rsidRDefault="00242AD6" w:rsidP="00DC5A36">
      <w:pPr>
        <w:pStyle w:val="CGCBullet1"/>
        <w:numPr>
          <w:ilvl w:val="0"/>
          <w:numId w:val="3"/>
        </w:numPr>
        <w:ind w:left="924" w:hanging="357"/>
      </w:pPr>
      <w:r w:rsidRPr="00034E9B">
        <w:t xml:space="preserve">whether the Commission should reconsider the composition of the category when determining effective and average rates of duty. </w:t>
      </w:r>
    </w:p>
    <w:p w14:paraId="34D9FFF4" w14:textId="77777777" w:rsidR="00242AD6" w:rsidRPr="00034E9B" w:rsidRDefault="00242AD6" w:rsidP="00DC5A36">
      <w:pPr>
        <w:pStyle w:val="CGCParaNumber"/>
        <w:numPr>
          <w:ilvl w:val="0"/>
          <w:numId w:val="2"/>
        </w:numPr>
        <w:ind w:left="567" w:hanging="567"/>
        <w:rPr>
          <w:lang w:val="en-AU"/>
        </w:rPr>
      </w:pPr>
      <w:r w:rsidRPr="00034E9B">
        <w:rPr>
          <w:lang w:val="en-AU"/>
        </w:rPr>
        <w:t xml:space="preserve">The practical implementation of an adjustment cannot be made without this series of judgments. </w:t>
      </w:r>
    </w:p>
    <w:p w14:paraId="2A3CFB0D" w14:textId="77777777" w:rsidR="00242AD6" w:rsidRPr="00034E9B" w:rsidRDefault="00242AD6" w:rsidP="00DC5A36">
      <w:pPr>
        <w:pStyle w:val="CGCParaNumber"/>
        <w:numPr>
          <w:ilvl w:val="0"/>
          <w:numId w:val="2"/>
        </w:numPr>
        <w:ind w:left="567" w:hanging="567"/>
        <w:rPr>
          <w:lang w:val="en-AU"/>
        </w:rPr>
      </w:pPr>
      <w:r w:rsidRPr="00034E9B">
        <w:rPr>
          <w:lang w:val="en-AU"/>
        </w:rPr>
        <w:t>The Commission considers the consultants have produced a major analytical work that considerably improves knowledge of this issue in the Australian context. It considers that the consultants’ methodology is thorough and comprehensive and that elasticity adjustments would address some policy neutrality concerns. On the other hand, implementation issues within the HFE context include a degree of uncertainty about the magnitude of the adjustment (for example, the size of the elasticity effect based on the CoreLogic data is somewhat lower than that based on Commission data) and the sensitivity to the classification of revenues.</w:t>
      </w:r>
    </w:p>
    <w:p w14:paraId="0077D92C" w14:textId="77777777" w:rsidR="00242AD6" w:rsidRPr="00034E9B" w:rsidRDefault="00242AD6" w:rsidP="00DC5A36">
      <w:pPr>
        <w:pStyle w:val="CGCParaNumber"/>
        <w:numPr>
          <w:ilvl w:val="0"/>
          <w:numId w:val="2"/>
        </w:numPr>
        <w:ind w:left="567" w:hanging="567"/>
        <w:rPr>
          <w:lang w:val="en-AU"/>
        </w:rPr>
      </w:pPr>
      <w:r w:rsidRPr="00034E9B">
        <w:rPr>
          <w:lang w:val="en-AU"/>
        </w:rPr>
        <w:t xml:space="preserve">The Commission considers the consultants’ report and related staff analysis provide evidence that HFE is not being unduly compromised by elasticity effects, as these are very small for all but one tax base, stamp duties on conveyances, for which they are also not substantial. On this basis, and given its concerns about the practical implementation of making an adjustment, the Commission decided not to make any elasticity adjustments to revenue bases. </w:t>
      </w:r>
    </w:p>
    <w:p w14:paraId="10D33059" w14:textId="77777777" w:rsidR="00242AD6" w:rsidRPr="00034E9B" w:rsidRDefault="00242AD6" w:rsidP="00242AD6">
      <w:pPr>
        <w:pStyle w:val="Heading4"/>
      </w:pPr>
      <w:bookmarkStart w:id="39" w:name="_Toc26890299"/>
      <w:r w:rsidRPr="00034E9B">
        <w:t>Stamp duty on conveyances</w:t>
      </w:r>
    </w:p>
    <w:p w14:paraId="10F28520" w14:textId="13475FA4" w:rsidR="00242AD6" w:rsidRPr="00034E9B" w:rsidRDefault="00242AD6" w:rsidP="00DC5A36">
      <w:pPr>
        <w:pStyle w:val="CGCParaNumber"/>
        <w:numPr>
          <w:ilvl w:val="0"/>
          <w:numId w:val="2"/>
        </w:numPr>
        <w:ind w:left="567" w:hanging="567"/>
        <w:rPr>
          <w:lang w:val="en-AU"/>
        </w:rPr>
      </w:pPr>
      <w:r w:rsidRPr="00034E9B">
        <w:rPr>
          <w:lang w:val="en-AU"/>
        </w:rPr>
        <w:t>Changes to the property transfer activity taxed by States has changed the scope of those revenues differentially assessed. Fewer States taxing non</w:t>
      </w:r>
      <w:r w:rsidRPr="00034E9B">
        <w:rPr>
          <w:lang w:val="en-AU"/>
        </w:rPr>
        <w:noBreakHyphen/>
        <w:t xml:space="preserve">real property transfers, but an increasing </w:t>
      </w:r>
      <w:r w:rsidR="004251BD">
        <w:rPr>
          <w:lang w:val="en-AU"/>
        </w:rPr>
        <w:t>occurrence</w:t>
      </w:r>
      <w:r w:rsidRPr="00034E9B">
        <w:rPr>
          <w:lang w:val="en-AU"/>
        </w:rPr>
        <w:t xml:space="preserve"> </w:t>
      </w:r>
      <w:r w:rsidR="004251BD">
        <w:rPr>
          <w:lang w:val="en-AU"/>
        </w:rPr>
        <w:t>of</w:t>
      </w:r>
      <w:r w:rsidRPr="00034E9B">
        <w:rPr>
          <w:lang w:val="en-AU"/>
        </w:rPr>
        <w:t xml:space="preserve"> taxing land rich transactions by listed companies, has </w:t>
      </w:r>
      <w:r w:rsidR="00914C64">
        <w:rPr>
          <w:lang w:val="en-AU"/>
        </w:rPr>
        <w:t>led to changes in</w:t>
      </w:r>
      <w:r w:rsidRPr="00034E9B">
        <w:rPr>
          <w:lang w:val="en-AU"/>
        </w:rPr>
        <w:t xml:space="preserve"> the scope of revenue differentially assessed by the Commission.</w:t>
      </w:r>
    </w:p>
    <w:p w14:paraId="5AA8293D" w14:textId="77777777" w:rsidR="00EF2937" w:rsidRDefault="00853EF7" w:rsidP="00DC5A36">
      <w:pPr>
        <w:pStyle w:val="CGCParaNumber"/>
        <w:numPr>
          <w:ilvl w:val="0"/>
          <w:numId w:val="2"/>
        </w:numPr>
        <w:ind w:left="567" w:hanging="567"/>
        <w:rPr>
          <w:lang w:val="en-AU"/>
        </w:rPr>
      </w:pPr>
      <w:r>
        <w:rPr>
          <w:lang w:val="en-AU"/>
        </w:rPr>
        <w:t xml:space="preserve">Only three States </w:t>
      </w:r>
      <w:r w:rsidR="00C32B61">
        <w:rPr>
          <w:lang w:val="en-AU"/>
        </w:rPr>
        <w:t>continue</w:t>
      </w:r>
      <w:r w:rsidR="00242AD6" w:rsidRPr="00034E9B">
        <w:rPr>
          <w:lang w:val="en-AU"/>
        </w:rPr>
        <w:t xml:space="preserve"> to </w:t>
      </w:r>
      <w:r w:rsidR="00D84030">
        <w:rPr>
          <w:lang w:val="en-AU"/>
        </w:rPr>
        <w:t>impose duty</w:t>
      </w:r>
      <w:r w:rsidR="0006768B">
        <w:rPr>
          <w:lang w:val="en-AU"/>
        </w:rPr>
        <w:t xml:space="preserve"> on non-real</w:t>
      </w:r>
      <w:r w:rsidR="00AD3D89">
        <w:rPr>
          <w:lang w:val="en-AU"/>
        </w:rPr>
        <w:t xml:space="preserve"> property</w:t>
      </w:r>
      <w:r w:rsidR="00C32B61">
        <w:rPr>
          <w:lang w:val="en-AU"/>
        </w:rPr>
        <w:t xml:space="preserve"> transactions</w:t>
      </w:r>
      <w:r w:rsidR="00012454">
        <w:rPr>
          <w:lang w:val="en-AU"/>
        </w:rPr>
        <w:t xml:space="preserve">. </w:t>
      </w:r>
      <w:r w:rsidR="002178DD">
        <w:rPr>
          <w:lang w:val="en-AU"/>
        </w:rPr>
        <w:t xml:space="preserve">The Commission has ceased differentially assessing </w:t>
      </w:r>
      <w:r w:rsidR="00D77822">
        <w:rPr>
          <w:lang w:val="en-AU"/>
        </w:rPr>
        <w:t>these duties in this revie</w:t>
      </w:r>
      <w:r w:rsidR="00A03763">
        <w:rPr>
          <w:lang w:val="en-AU"/>
        </w:rPr>
        <w:t xml:space="preserve">w </w:t>
      </w:r>
      <w:r w:rsidR="0023388D">
        <w:rPr>
          <w:lang w:val="en-AU"/>
        </w:rPr>
        <w:t xml:space="preserve">on </w:t>
      </w:r>
      <w:r w:rsidR="00A03763">
        <w:rPr>
          <w:lang w:val="en-AU"/>
        </w:rPr>
        <w:t xml:space="preserve">practicality and simplicity </w:t>
      </w:r>
      <w:r w:rsidR="0023388D">
        <w:rPr>
          <w:lang w:val="en-AU"/>
        </w:rPr>
        <w:t>grounds</w:t>
      </w:r>
      <w:r w:rsidR="006C0586">
        <w:rPr>
          <w:lang w:val="en-AU"/>
        </w:rPr>
        <w:t xml:space="preserve">, given the non-real and real </w:t>
      </w:r>
      <w:r w:rsidR="00FC754B">
        <w:rPr>
          <w:lang w:val="en-AU"/>
        </w:rPr>
        <w:t>property tax bases are very differen</w:t>
      </w:r>
      <w:r w:rsidR="002C6ECE">
        <w:rPr>
          <w:lang w:val="en-AU"/>
        </w:rPr>
        <w:t xml:space="preserve">t, making it difficult </w:t>
      </w:r>
      <w:r w:rsidR="005B56B8">
        <w:rPr>
          <w:lang w:val="en-AU"/>
        </w:rPr>
        <w:t xml:space="preserve">to reliably estimate a tax base for the majority of </w:t>
      </w:r>
      <w:r w:rsidR="00416579">
        <w:rPr>
          <w:lang w:val="en-AU"/>
        </w:rPr>
        <w:t>S</w:t>
      </w:r>
      <w:r w:rsidR="004C56AB">
        <w:rPr>
          <w:lang w:val="en-AU"/>
        </w:rPr>
        <w:t>t</w:t>
      </w:r>
      <w:r w:rsidR="00416579">
        <w:rPr>
          <w:lang w:val="en-AU"/>
        </w:rPr>
        <w:t>ates that do not impose this duty.</w:t>
      </w:r>
      <w:r w:rsidR="004A3E74">
        <w:rPr>
          <w:lang w:val="en-AU"/>
        </w:rPr>
        <w:t xml:space="preserve"> </w:t>
      </w:r>
    </w:p>
    <w:p w14:paraId="42E9E3D8" w14:textId="50044A8E" w:rsidR="00242AD6" w:rsidRPr="00034E9B" w:rsidRDefault="00EF2937" w:rsidP="00DC5A36">
      <w:pPr>
        <w:pStyle w:val="CGCParaNumber"/>
        <w:numPr>
          <w:ilvl w:val="0"/>
          <w:numId w:val="2"/>
        </w:numPr>
        <w:ind w:left="567" w:hanging="567"/>
        <w:rPr>
          <w:lang w:val="en-AU"/>
        </w:rPr>
      </w:pPr>
      <w:r>
        <w:rPr>
          <w:lang w:val="en-AU"/>
        </w:rPr>
        <w:t xml:space="preserve">Seven States </w:t>
      </w:r>
      <w:r w:rsidR="0006283B">
        <w:rPr>
          <w:lang w:val="en-AU"/>
        </w:rPr>
        <w:t>impose duty on land rich transactions by listed companies</w:t>
      </w:r>
      <w:r w:rsidR="00427604">
        <w:rPr>
          <w:lang w:val="en-AU"/>
        </w:rPr>
        <w:t xml:space="preserve"> </w:t>
      </w:r>
      <w:r w:rsidR="00761B1C">
        <w:rPr>
          <w:lang w:val="en-AU"/>
        </w:rPr>
        <w:t xml:space="preserve">and the Commission has differentially </w:t>
      </w:r>
      <w:r w:rsidR="00345333">
        <w:rPr>
          <w:lang w:val="en-AU"/>
        </w:rPr>
        <w:t xml:space="preserve">assessed these duties </w:t>
      </w:r>
      <w:r w:rsidR="00D41506">
        <w:rPr>
          <w:lang w:val="en-AU"/>
        </w:rPr>
        <w:t xml:space="preserve">for the first time </w:t>
      </w:r>
      <w:r w:rsidR="008E7D30">
        <w:rPr>
          <w:lang w:val="en-AU"/>
        </w:rPr>
        <w:t>in this review.</w:t>
      </w:r>
      <w:r w:rsidR="003B0764">
        <w:rPr>
          <w:lang w:val="en-AU"/>
        </w:rPr>
        <w:t xml:space="preserve"> However, as a majority of States impose the duty at 10% of their general rates</w:t>
      </w:r>
      <w:r w:rsidR="002D1166">
        <w:rPr>
          <w:lang w:val="en-AU"/>
        </w:rPr>
        <w:t>, only 10%</w:t>
      </w:r>
      <w:r w:rsidR="00C17255">
        <w:rPr>
          <w:lang w:val="en-AU"/>
        </w:rPr>
        <w:t xml:space="preserve"> of the value of these transactions are included </w:t>
      </w:r>
      <w:r w:rsidR="00997945">
        <w:rPr>
          <w:lang w:val="en-AU"/>
        </w:rPr>
        <w:t>in the category’s capacity measure</w:t>
      </w:r>
      <w:r w:rsidR="00D56447">
        <w:rPr>
          <w:lang w:val="en-AU"/>
        </w:rPr>
        <w:t>.</w:t>
      </w:r>
      <w:r w:rsidR="00242AD6" w:rsidRPr="00034E9B">
        <w:rPr>
          <w:lang w:val="en-AU"/>
        </w:rPr>
        <w:t xml:space="preserve"> Chapter 8 Stamp duty on conveyances discusses these issues in more detail.</w:t>
      </w:r>
    </w:p>
    <w:p w14:paraId="21D6B50B" w14:textId="77777777" w:rsidR="00242AD6" w:rsidRPr="00034E9B" w:rsidRDefault="00242AD6" w:rsidP="00242AD6">
      <w:pPr>
        <w:pStyle w:val="Heading4"/>
      </w:pPr>
      <w:r w:rsidRPr="00034E9B">
        <w:t>Mining revenue</w:t>
      </w:r>
      <w:bookmarkEnd w:id="39"/>
    </w:p>
    <w:p w14:paraId="44EC2171" w14:textId="7207256B" w:rsidR="00242AD6" w:rsidRPr="00034E9B" w:rsidRDefault="00242AD6" w:rsidP="00DC5A36">
      <w:pPr>
        <w:pStyle w:val="CGCParaNumber"/>
        <w:numPr>
          <w:ilvl w:val="0"/>
          <w:numId w:val="2"/>
        </w:numPr>
        <w:ind w:left="567" w:hanging="567"/>
        <w:rPr>
          <w:lang w:val="en-AU"/>
        </w:rPr>
      </w:pPr>
      <w:r w:rsidRPr="00034E9B">
        <w:rPr>
          <w:lang w:val="en-AU"/>
        </w:rPr>
        <w:t xml:space="preserve">The most contentious issue with the 2015 Review mining revenue assessment was the Commission’s approach to policy neutrality. Policy neutrality concerns arose because of the uneven distribution of mineral endowments across States. When one State dominates production of a mineral, its royalty rate determines the average royalty rate. This carries a risk to policy neutrality because changes to its rate could be influenced by expectations of resulting offsetting effects on </w:t>
      </w:r>
      <w:r w:rsidR="00937BEF">
        <w:rPr>
          <w:lang w:val="en-AU"/>
        </w:rPr>
        <w:t>GST</w:t>
      </w:r>
      <w:r w:rsidRPr="00034E9B">
        <w:rPr>
          <w:lang w:val="en-AU"/>
        </w:rPr>
        <w:t xml:space="preserve"> shares. For this reason, the Commission initially consulted with the States on two </w:t>
      </w:r>
      <w:r w:rsidR="00C21BD2">
        <w:rPr>
          <w:lang w:val="en-AU"/>
        </w:rPr>
        <w:t xml:space="preserve">possible </w:t>
      </w:r>
      <w:r w:rsidRPr="00034E9B">
        <w:rPr>
          <w:lang w:val="en-AU"/>
        </w:rPr>
        <w:t>adjustments to improve the policy neutrality of the mining assessment.</w:t>
      </w:r>
    </w:p>
    <w:p w14:paraId="31CBB99A" w14:textId="77777777" w:rsidR="00242AD6" w:rsidRPr="00034E9B" w:rsidRDefault="00242AD6" w:rsidP="00DC5A36">
      <w:pPr>
        <w:pStyle w:val="CGCBullet1"/>
        <w:numPr>
          <w:ilvl w:val="0"/>
          <w:numId w:val="3"/>
        </w:numPr>
        <w:ind w:left="924" w:hanging="357"/>
      </w:pPr>
      <w:r w:rsidRPr="00034E9B">
        <w:lastRenderedPageBreak/>
        <w:t>A dominant State adjustment. No more than half of any change in revenue from a discretionary royalty rate change by a dominant State would be affected by the equalisation process.</w:t>
      </w:r>
    </w:p>
    <w:p w14:paraId="6F9C22B5" w14:textId="77777777" w:rsidR="00242AD6" w:rsidRPr="00034E9B" w:rsidRDefault="00242AD6" w:rsidP="00DC5A36">
      <w:pPr>
        <w:pStyle w:val="CGCBullet1"/>
        <w:numPr>
          <w:ilvl w:val="0"/>
          <w:numId w:val="3"/>
        </w:numPr>
        <w:ind w:left="924" w:hanging="357"/>
      </w:pPr>
      <w:r w:rsidRPr="00034E9B">
        <w:t>A banned minerals adjustment. Revenue from banned minerals, for example coal seam gas, would be assessed EPC.</w:t>
      </w:r>
    </w:p>
    <w:p w14:paraId="53EC6AD2" w14:textId="77777777" w:rsidR="00242AD6" w:rsidRPr="00034E9B" w:rsidRDefault="00242AD6" w:rsidP="00DC5A36">
      <w:pPr>
        <w:pStyle w:val="CGCParaNumber"/>
        <w:numPr>
          <w:ilvl w:val="0"/>
          <w:numId w:val="2"/>
        </w:numPr>
        <w:ind w:left="567" w:hanging="567"/>
        <w:rPr>
          <w:lang w:val="en-AU"/>
        </w:rPr>
      </w:pPr>
      <w:r w:rsidRPr="00034E9B">
        <w:rPr>
          <w:lang w:val="en-AU"/>
        </w:rPr>
        <w:t xml:space="preserve">In practice, the policy neutrality risk is significant only for Western Australia. The new equalisation arrangements enacted in the </w:t>
      </w:r>
      <w:r w:rsidRPr="00034E9B">
        <w:rPr>
          <w:i/>
          <w:lang w:val="en-AU"/>
        </w:rPr>
        <w:t>Treasury Laws Amendment (Making Sure Every State and Territory Gets Their Fair Share of GST) Act 2018</w:t>
      </w:r>
      <w:r w:rsidRPr="00034E9B">
        <w:rPr>
          <w:lang w:val="en-AU"/>
        </w:rPr>
        <w:t xml:space="preserve"> substantively mitigate that risk such that, in practice, the Commission considers that there would be no need to proceed with either of the two adjustments referred to above. </w:t>
      </w:r>
    </w:p>
    <w:p w14:paraId="2FCAD7E0" w14:textId="77777777" w:rsidR="00242AD6" w:rsidRPr="00034E9B" w:rsidRDefault="00242AD6" w:rsidP="00DC5A36">
      <w:pPr>
        <w:pStyle w:val="CGCParaNumber"/>
        <w:numPr>
          <w:ilvl w:val="0"/>
          <w:numId w:val="2"/>
        </w:numPr>
        <w:ind w:left="567" w:hanging="567"/>
        <w:rPr>
          <w:lang w:val="en-AU"/>
        </w:rPr>
      </w:pPr>
      <w:r w:rsidRPr="00034E9B">
        <w:rPr>
          <w:lang w:val="en-AU"/>
        </w:rPr>
        <w:t xml:space="preserve">In addition, the Treasurer has provided supplementary terms of reference to the Commission directing that ‘the Commission should not change the mining revenue assessment methodology’. Therefore, the Commission will continue the 2015 Review approach of assessing revenue capacity using a mineral by mineral approach. </w:t>
      </w:r>
    </w:p>
    <w:p w14:paraId="1A7459F6" w14:textId="77777777" w:rsidR="004F13F1" w:rsidRDefault="00242AD6" w:rsidP="00DC5A36">
      <w:pPr>
        <w:pStyle w:val="CGCParaNumber"/>
        <w:numPr>
          <w:ilvl w:val="0"/>
          <w:numId w:val="2"/>
        </w:numPr>
        <w:ind w:left="567" w:hanging="567"/>
        <w:rPr>
          <w:lang w:val="en-AU"/>
        </w:rPr>
      </w:pPr>
      <w:r w:rsidRPr="00034E9B">
        <w:rPr>
          <w:lang w:val="en-AU"/>
        </w:rPr>
        <w:t xml:space="preserve">While making no change to the assessment method, the Commission has considered its application in the 2020 Review. The 2015 Review methodology allows the composition of the category to respond to changes in the materiality of individual mineral assessments. In the context of the 2020 Review, this means nickel royalties will now be assessed alongside other minerals, and not be separately assessed as they were in the 2015 Review. Similarly, should it become material to separately assess a different mineral (for example, lithium), and the Commission takes the view its materiality would likely continue for the foreseeable future, the Commission considers a separate assessment of that mineral would be consistent with the 2015 Review methodology. There are no such cases at the time of this report. </w:t>
      </w:r>
    </w:p>
    <w:p w14:paraId="13C88132" w14:textId="3698AEBD" w:rsidR="00242AD6" w:rsidRPr="00034E9B" w:rsidRDefault="00242AD6" w:rsidP="00DC5A36">
      <w:pPr>
        <w:pStyle w:val="CGCParaNumber"/>
        <w:numPr>
          <w:ilvl w:val="0"/>
          <w:numId w:val="2"/>
        </w:numPr>
        <w:ind w:left="567" w:hanging="567"/>
        <w:rPr>
          <w:lang w:val="en-AU"/>
        </w:rPr>
      </w:pPr>
      <w:r w:rsidRPr="00034E9B">
        <w:rPr>
          <w:lang w:val="en-AU"/>
        </w:rPr>
        <w:t>After considering whether they should be treated like other Commonwealth payments, the Commission decided that shared royalty arrangements between the Commonwealth and Western Australia (and the Northern Territory), for example in relation to the North-west shelf, will continue to be assessed in this category. Chapter 11 Mining revenue discusses these issues in more detail.</w:t>
      </w:r>
    </w:p>
    <w:p w14:paraId="0E112652" w14:textId="77777777" w:rsidR="00242AD6" w:rsidRPr="00034E9B" w:rsidRDefault="00242AD6" w:rsidP="00242AD6">
      <w:pPr>
        <w:pStyle w:val="Heading4"/>
      </w:pPr>
      <w:bookmarkStart w:id="40" w:name="_Toc26890300"/>
      <w:r w:rsidRPr="00034E9B">
        <w:t>Gambling</w:t>
      </w:r>
      <w:bookmarkEnd w:id="40"/>
    </w:p>
    <w:p w14:paraId="42F7D262" w14:textId="77777777" w:rsidR="00242AD6" w:rsidRPr="00034E9B" w:rsidRDefault="00242AD6" w:rsidP="00DC5A36">
      <w:pPr>
        <w:pStyle w:val="CGCParaNumber"/>
        <w:numPr>
          <w:ilvl w:val="0"/>
          <w:numId w:val="2"/>
        </w:numPr>
        <w:ind w:left="567" w:hanging="567"/>
        <w:rPr>
          <w:lang w:val="en-AU"/>
        </w:rPr>
      </w:pPr>
      <w:r w:rsidRPr="00034E9B">
        <w:rPr>
          <w:lang w:val="en-AU"/>
        </w:rPr>
        <w:t xml:space="preserve">A criticism of the equalisation process made by some commentators relates to the Commission’s assessment of gambling taxes (that is, taxes on lotteries, electronic gaming machines, casinos, racing and sports betting). This criticism implies that the equalisation process somehow disadvantages Western Australia, because of its policy to restrict the availability of gaming machines.  The Commission rejects this criticism as being based on a misconception of how the equalisation system operates. The Commission’s task in this area is to attempt to estimate the level of gambling revenue that Western Australia could raise if it followed the </w:t>
      </w:r>
      <w:r w:rsidRPr="00034E9B">
        <w:rPr>
          <w:u w:val="single"/>
          <w:lang w:val="en-AU"/>
        </w:rPr>
        <w:t>average</w:t>
      </w:r>
      <w:r w:rsidRPr="00034E9B">
        <w:rPr>
          <w:lang w:val="en-AU"/>
        </w:rPr>
        <w:t xml:space="preserve"> State policy. It is </w:t>
      </w:r>
      <w:r w:rsidRPr="00034E9B">
        <w:rPr>
          <w:u w:val="single"/>
          <w:lang w:val="en-AU"/>
        </w:rPr>
        <w:t>not</w:t>
      </w:r>
      <w:r w:rsidRPr="00034E9B">
        <w:rPr>
          <w:lang w:val="en-AU"/>
        </w:rPr>
        <w:t xml:space="preserve"> to make a judgment on the virtue or otherwise of State gambling policies and to move GST revenue accordingly. The Commission notes that the Western Australian Treasury has not joined in the criticism of the Commission’s gambling assessment.</w:t>
      </w:r>
    </w:p>
    <w:p w14:paraId="384ED517" w14:textId="77777777" w:rsidR="00242AD6" w:rsidRPr="00034E9B" w:rsidRDefault="00242AD6" w:rsidP="00DC5A36">
      <w:pPr>
        <w:pStyle w:val="CGCParaNumber"/>
        <w:numPr>
          <w:ilvl w:val="0"/>
          <w:numId w:val="2"/>
        </w:numPr>
        <w:ind w:left="567" w:hanging="567"/>
        <w:rPr>
          <w:lang w:val="en-AU"/>
        </w:rPr>
      </w:pPr>
      <w:r w:rsidRPr="00034E9B">
        <w:rPr>
          <w:lang w:val="en-AU"/>
        </w:rPr>
        <w:t xml:space="preserve">In this review, the Commission again investigated whether it could develop a differential assessment of gambling taxes. None of the approaches it investigated proved satisfactory. The problem was that the pervasiveness of State policies, which materially affect the level of gambling activity (the tax base) in each jurisdiction, proved insurmountable. The Commission </w:t>
      </w:r>
      <w:r w:rsidRPr="00034E9B">
        <w:rPr>
          <w:lang w:val="en-AU"/>
        </w:rPr>
        <w:lastRenderedPageBreak/>
        <w:t>also investigated weighted socio-demographic models using gender, age and education level, but none of these models produced an assessment that was material. In addition, none of the approaches addressed the advent of online gambling which is making gambling activity more mobile. Taxation in one State might relate to the activities of residents from other States or overseas.</w:t>
      </w:r>
    </w:p>
    <w:p w14:paraId="4351A4E1" w14:textId="77777777" w:rsidR="00242AD6" w:rsidRPr="00034E9B" w:rsidRDefault="00242AD6" w:rsidP="00DC5A36">
      <w:pPr>
        <w:pStyle w:val="CGCParaNumber"/>
        <w:numPr>
          <w:ilvl w:val="0"/>
          <w:numId w:val="2"/>
        </w:numPr>
        <w:ind w:left="567" w:hanging="567"/>
        <w:rPr>
          <w:lang w:val="en-AU"/>
        </w:rPr>
      </w:pPr>
      <w:r w:rsidRPr="00034E9B">
        <w:rPr>
          <w:lang w:val="en-AU"/>
        </w:rPr>
        <w:t>The Commission has decided to continue to assess gambling taxes on an EPC basis, meaning that these taxes do not affect any State’s relative fiscal capacity. In the absence of any robust alternative, most States supported this approach, including Western Australia. Chapter 12 Other revenue discusses these issues in more detail.</w:t>
      </w:r>
    </w:p>
    <w:p w14:paraId="2E2F1731" w14:textId="77777777" w:rsidR="00242AD6" w:rsidRPr="00034E9B" w:rsidRDefault="00242AD6" w:rsidP="00242AD6">
      <w:pPr>
        <w:pStyle w:val="Heading4"/>
      </w:pPr>
      <w:bookmarkStart w:id="41" w:name="_Toc26890301"/>
      <w:r w:rsidRPr="00034E9B">
        <w:t>Schools</w:t>
      </w:r>
      <w:bookmarkEnd w:id="41"/>
    </w:p>
    <w:p w14:paraId="5F998944" w14:textId="77777777" w:rsidR="00242AD6" w:rsidRPr="00034E9B" w:rsidRDefault="00242AD6" w:rsidP="00DC5A36">
      <w:pPr>
        <w:pStyle w:val="CGCParaNumber"/>
        <w:numPr>
          <w:ilvl w:val="0"/>
          <w:numId w:val="2"/>
        </w:numPr>
        <w:ind w:left="567" w:hanging="567"/>
        <w:rPr>
          <w:lang w:val="en-AU"/>
        </w:rPr>
      </w:pPr>
      <w:r w:rsidRPr="00034E9B">
        <w:rPr>
          <w:lang w:val="en-AU"/>
        </w:rPr>
        <w:t>In this review, the Commission adopts a new model to estimate the drivers of differences in State expenses for government schools. The new model estimates the drivers to be the remoteness, socio-economic status (SES) and Indigenous status of school students. Most States supported the development of a new model.</w:t>
      </w:r>
    </w:p>
    <w:p w14:paraId="2033E712" w14:textId="77777777" w:rsidR="00242AD6" w:rsidRPr="00034E9B" w:rsidRDefault="00242AD6" w:rsidP="00DC5A36">
      <w:pPr>
        <w:pStyle w:val="CGCParaNumber"/>
        <w:numPr>
          <w:ilvl w:val="0"/>
          <w:numId w:val="2"/>
        </w:numPr>
        <w:ind w:left="567" w:hanging="567"/>
        <w:rPr>
          <w:lang w:val="en-AU"/>
        </w:rPr>
      </w:pPr>
      <w:r w:rsidRPr="00034E9B">
        <w:rPr>
          <w:lang w:val="en-AU"/>
        </w:rPr>
        <w:t xml:space="preserve">The model directly measures the SES of students within each school, replacing the previous method that measured the SES of a school based on the school’s location. </w:t>
      </w:r>
    </w:p>
    <w:p w14:paraId="02347090" w14:textId="77777777" w:rsidR="00242AD6" w:rsidRPr="00034E9B" w:rsidRDefault="00242AD6" w:rsidP="00DC5A36">
      <w:pPr>
        <w:pStyle w:val="CGCParaNumber"/>
        <w:numPr>
          <w:ilvl w:val="0"/>
          <w:numId w:val="2"/>
        </w:numPr>
        <w:ind w:left="567" w:hanging="567"/>
        <w:rPr>
          <w:lang w:val="en-AU"/>
        </w:rPr>
      </w:pPr>
      <w:r w:rsidRPr="00034E9B">
        <w:rPr>
          <w:lang w:val="en-AU"/>
        </w:rPr>
        <w:t>The previous model measured Indigenous SES and non-Indigenous SES separately. The new model independently measures Indigenous status and SES status. This greatly simplifies the model and removes the need for assumptions about the internal distribution of school funding between Indigenous and non-Indigenous students, as well as being a better reflection of how States fund schools.</w:t>
      </w:r>
    </w:p>
    <w:p w14:paraId="30CF01AE" w14:textId="77777777" w:rsidR="00242AD6" w:rsidRPr="00034E9B" w:rsidRDefault="00242AD6" w:rsidP="00DC5A36">
      <w:pPr>
        <w:pStyle w:val="CGCParaNumber"/>
        <w:numPr>
          <w:ilvl w:val="0"/>
          <w:numId w:val="2"/>
        </w:numPr>
        <w:ind w:left="567" w:hanging="567"/>
        <w:rPr>
          <w:lang w:val="en-AU"/>
        </w:rPr>
      </w:pPr>
      <w:r w:rsidRPr="00034E9B">
        <w:rPr>
          <w:lang w:val="en-AU"/>
        </w:rPr>
        <w:t xml:space="preserve">In addition, the new model estimates that there are no significant differences in expenses between some remoteness classifications. This has resulted in fewer remoteness classifications, with some remoteness areas being grouped together. </w:t>
      </w:r>
    </w:p>
    <w:p w14:paraId="108040FD" w14:textId="77777777" w:rsidR="00242AD6" w:rsidRPr="00034E9B" w:rsidRDefault="00242AD6" w:rsidP="00DC5A36">
      <w:pPr>
        <w:pStyle w:val="CGCParaNumber"/>
        <w:numPr>
          <w:ilvl w:val="0"/>
          <w:numId w:val="2"/>
        </w:numPr>
        <w:ind w:left="567" w:hanging="567"/>
        <w:rPr>
          <w:lang w:val="en-AU"/>
        </w:rPr>
      </w:pPr>
      <w:r w:rsidRPr="00034E9B">
        <w:rPr>
          <w:lang w:val="en-AU"/>
        </w:rPr>
        <w:t>In this review, the Commission decided to assess student transport expenses in the Transport category. This reflects a view that the disabilities affecting the cost of transporting school children are likely to be more closely related to the disabilities affecting the cost of transporting other people, than to the disabilities affecting the cost of educating school children. Chapter 13 Schools discusses these issues in more detail.</w:t>
      </w:r>
    </w:p>
    <w:p w14:paraId="2349ED0C" w14:textId="77777777" w:rsidR="00242AD6" w:rsidRPr="00034E9B" w:rsidRDefault="00242AD6" w:rsidP="00242AD6">
      <w:pPr>
        <w:pStyle w:val="Heading4"/>
      </w:pPr>
      <w:bookmarkStart w:id="42" w:name="_Toc26890302"/>
      <w:r w:rsidRPr="00034E9B">
        <w:t>Health</w:t>
      </w:r>
      <w:bookmarkEnd w:id="42"/>
    </w:p>
    <w:p w14:paraId="6617B59B" w14:textId="77777777" w:rsidR="00242AD6" w:rsidRPr="00034E9B" w:rsidRDefault="00242AD6" w:rsidP="00DC5A36">
      <w:pPr>
        <w:pStyle w:val="CGCParaNumber"/>
        <w:numPr>
          <w:ilvl w:val="0"/>
          <w:numId w:val="2"/>
        </w:numPr>
        <w:ind w:left="567" w:hanging="567"/>
        <w:rPr>
          <w:lang w:val="en-AU"/>
        </w:rPr>
      </w:pPr>
      <w:r w:rsidRPr="00034E9B">
        <w:rPr>
          <w:lang w:val="en-AU"/>
        </w:rPr>
        <w:t>In this review, the Commission re-considered and confirmed its approach for recognising non-State sector influences on State health spending. Western Australia was critical of the Commission’s decision in the 2015 Review to adopt a more direct approach for assessing State health expenses. Although officer level discussions in this review initially focused on the choice of approach — a subtraction approach preferred by Western Australia, or the direct approach — it became apparent that the real issue under either approach was the extent to which non</w:t>
      </w:r>
      <w:r w:rsidRPr="00034E9B">
        <w:rPr>
          <w:lang w:val="en-AU"/>
        </w:rPr>
        <w:noBreakHyphen/>
        <w:t>State sector services are substitutable for State services.</w:t>
      </w:r>
      <w:r w:rsidRPr="00034E9B">
        <w:rPr>
          <w:szCs w:val="20"/>
          <w:vertAlign w:val="superscript"/>
          <w:lang w:val="en-AU"/>
        </w:rPr>
        <w:footnoteReference w:id="12"/>
      </w:r>
      <w:r w:rsidRPr="00034E9B">
        <w:rPr>
          <w:lang w:val="en-AU"/>
        </w:rPr>
        <w:t xml:space="preserve"> </w:t>
      </w:r>
    </w:p>
    <w:p w14:paraId="369EE9C1" w14:textId="1E1FE084" w:rsidR="00242AD6" w:rsidRPr="00034E9B" w:rsidRDefault="00242AD6" w:rsidP="00DC5A36">
      <w:pPr>
        <w:pStyle w:val="CGCParaNumber"/>
        <w:numPr>
          <w:ilvl w:val="0"/>
          <w:numId w:val="2"/>
        </w:numPr>
        <w:ind w:left="567" w:hanging="567"/>
        <w:rPr>
          <w:lang w:val="en-AU"/>
        </w:rPr>
      </w:pPr>
      <w:r w:rsidRPr="00034E9B">
        <w:rPr>
          <w:lang w:val="en-AU"/>
        </w:rPr>
        <w:t xml:space="preserve">When Western Australia articulated the case for adopting a broad view of what constitutes substitutable services, it became clear that it was seeking an approach that would equalise </w:t>
      </w:r>
      <w:r w:rsidRPr="00034E9B">
        <w:rPr>
          <w:lang w:val="en-AU"/>
        </w:rPr>
        <w:lastRenderedPageBreak/>
        <w:t xml:space="preserve">most health expenditure in Australia, including services that are predominantly provided by the non-State sector (for example, primary care and </w:t>
      </w:r>
      <w:r w:rsidR="00344544">
        <w:rPr>
          <w:lang w:val="en-AU"/>
        </w:rPr>
        <w:t xml:space="preserve">benefit paid </w:t>
      </w:r>
      <w:r w:rsidR="00900973">
        <w:rPr>
          <w:lang w:val="en-AU"/>
        </w:rPr>
        <w:t>pharmaceuticals</w:t>
      </w:r>
      <w:r w:rsidRPr="00034E9B">
        <w:rPr>
          <w:lang w:val="en-AU"/>
        </w:rPr>
        <w:t>). It argued that in the long</w:t>
      </w:r>
      <w:r w:rsidR="007067EE">
        <w:rPr>
          <w:lang w:val="en-AU"/>
        </w:rPr>
        <w:t xml:space="preserve"> </w:t>
      </w:r>
      <w:r w:rsidRPr="00034E9B">
        <w:rPr>
          <w:lang w:val="en-AU"/>
        </w:rPr>
        <w:t>run, as the main provider of hospital services, States bear the costs of inadequate non-State sector activity. Therefore, the health assessment should recognise below average levels of non</w:t>
      </w:r>
      <w:r w:rsidRPr="00034E9B">
        <w:rPr>
          <w:lang w:val="en-AU"/>
        </w:rPr>
        <w:noBreakHyphen/>
        <w:t>State sector activity on an annual basis if States are to be fully equalised in the long</w:t>
      </w:r>
      <w:r w:rsidR="007067EE">
        <w:rPr>
          <w:lang w:val="en-AU"/>
        </w:rPr>
        <w:t xml:space="preserve"> </w:t>
      </w:r>
      <w:r w:rsidRPr="00034E9B">
        <w:rPr>
          <w:lang w:val="en-AU"/>
        </w:rPr>
        <w:t>run.</w:t>
      </w:r>
    </w:p>
    <w:p w14:paraId="097A60EA" w14:textId="77777777" w:rsidR="00242AD6" w:rsidRPr="00034E9B" w:rsidRDefault="00242AD6" w:rsidP="00DC5A36">
      <w:pPr>
        <w:pStyle w:val="CGCParaNumber"/>
        <w:numPr>
          <w:ilvl w:val="0"/>
          <w:numId w:val="2"/>
        </w:numPr>
        <w:ind w:left="567" w:hanging="567"/>
        <w:rPr>
          <w:lang w:val="en-AU"/>
        </w:rPr>
      </w:pPr>
      <w:r w:rsidRPr="00034E9B">
        <w:rPr>
          <w:lang w:val="en-AU"/>
        </w:rPr>
        <w:t>The Commission acknowledges that States fill service gaps, but in limited circumstances. Furthermore, their capacity to meet all needs is constrained by State budgets. For example, a lack of general practitioners (GPs) in more remote areas means that States are often the main providers of primary health care services in these regions. The Commission’s direct assessment acknowledges that this is what States do by recognising the higher use and cost of hospital and community health services in remote areas.</w:t>
      </w:r>
      <w:r w:rsidRPr="00034E9B">
        <w:rPr>
          <w:vertAlign w:val="superscript"/>
          <w:lang w:val="en-AU"/>
        </w:rPr>
        <w:footnoteReference w:id="13"/>
      </w:r>
      <w:r w:rsidRPr="00034E9B">
        <w:rPr>
          <w:lang w:val="en-AU"/>
        </w:rPr>
        <w:t xml:space="preserve"> A non-State sector adjustment recognises that the availability of GPs in remote areas varies between States. Thus, a State with below average GP services in remote areas would receive the capacity to fund more State services. </w:t>
      </w:r>
    </w:p>
    <w:p w14:paraId="36E4B5A5" w14:textId="43D3056A" w:rsidR="00242AD6" w:rsidRPr="00034E9B" w:rsidRDefault="00242AD6" w:rsidP="00DC5A36">
      <w:pPr>
        <w:pStyle w:val="CGCParaNumber"/>
        <w:numPr>
          <w:ilvl w:val="0"/>
          <w:numId w:val="2"/>
        </w:numPr>
        <w:ind w:left="567" w:hanging="567"/>
        <w:rPr>
          <w:lang w:val="en-AU"/>
        </w:rPr>
      </w:pPr>
      <w:r w:rsidRPr="00034E9B">
        <w:rPr>
          <w:lang w:val="en-AU"/>
        </w:rPr>
        <w:t>The Commission considers that Western Australia’s proposition would effectively go beyond the scope of HFE by seeking to equalise the health outcomes of the community. The Commission prefers a more direct approach that focuses on what States collectively do while acknowledging the influence of the non</w:t>
      </w:r>
      <w:r w:rsidRPr="00034E9B">
        <w:rPr>
          <w:lang w:val="en-AU"/>
        </w:rPr>
        <w:noBreakHyphen/>
        <w:t xml:space="preserve">State sector where it is relevant. This avoids States </w:t>
      </w:r>
      <w:r w:rsidR="0075411D">
        <w:rPr>
          <w:lang w:val="en-AU"/>
        </w:rPr>
        <w:t>receiving GST</w:t>
      </w:r>
      <w:r w:rsidRPr="00034E9B">
        <w:rPr>
          <w:lang w:val="en-AU"/>
        </w:rPr>
        <w:t xml:space="preserve"> to fund the provision of services they do not provide. The Commission observes there are not wide variations in what States do in the area of health. Thus, an approach that focuses on average State policy provides an appropriate equalisation outcome.</w:t>
      </w:r>
    </w:p>
    <w:p w14:paraId="7F193D19" w14:textId="77777777" w:rsidR="00242AD6" w:rsidRPr="00034E9B" w:rsidRDefault="00242AD6" w:rsidP="00DC5A36">
      <w:pPr>
        <w:pStyle w:val="CGCParaNumber"/>
        <w:numPr>
          <w:ilvl w:val="0"/>
          <w:numId w:val="2"/>
        </w:numPr>
        <w:ind w:left="567" w:hanging="567"/>
        <w:rPr>
          <w:lang w:val="en-AU"/>
        </w:rPr>
      </w:pPr>
      <w:r w:rsidRPr="00034E9B">
        <w:rPr>
          <w:lang w:val="en-AU"/>
        </w:rPr>
        <w:t>The other States supported the direct approach and were broadly supportive of the levels of substitutability adopted for each component. The Northern Territory raised some concerns about the implementation of the direct method in the community health assessment, which the Commission has sought to address. Chapter 15 Health discusses these issues in more detail.</w:t>
      </w:r>
    </w:p>
    <w:p w14:paraId="0649F733" w14:textId="77777777" w:rsidR="00242AD6" w:rsidRPr="00034E9B" w:rsidRDefault="00242AD6" w:rsidP="00242AD6">
      <w:pPr>
        <w:pStyle w:val="Heading4"/>
      </w:pPr>
      <w:bookmarkStart w:id="43" w:name="_Toc26890303"/>
      <w:r w:rsidRPr="00034E9B">
        <w:t>Services to communities</w:t>
      </w:r>
    </w:p>
    <w:p w14:paraId="5E9D109B" w14:textId="77777777" w:rsidR="00242AD6" w:rsidRPr="00034E9B" w:rsidRDefault="00242AD6" w:rsidP="00DC5A36">
      <w:pPr>
        <w:pStyle w:val="CGCParaNumber"/>
        <w:numPr>
          <w:ilvl w:val="0"/>
          <w:numId w:val="2"/>
        </w:numPr>
        <w:ind w:left="567" w:hanging="567"/>
        <w:rPr>
          <w:lang w:val="en-AU"/>
        </w:rPr>
      </w:pPr>
      <w:r w:rsidRPr="00034E9B">
        <w:rPr>
          <w:lang w:val="en-AU"/>
        </w:rPr>
        <w:t xml:space="preserve">In this review, the assessment of Services to communities changed mostly because of improved data for electricity and water subsidies and Indigenous community development expenses. </w:t>
      </w:r>
    </w:p>
    <w:p w14:paraId="4A92E32C" w14:textId="1B64426F" w:rsidR="00242AD6" w:rsidRPr="00034E9B" w:rsidRDefault="00242AD6" w:rsidP="00DC5A36">
      <w:pPr>
        <w:pStyle w:val="CGCParaNumber"/>
        <w:numPr>
          <w:ilvl w:val="0"/>
          <w:numId w:val="2"/>
        </w:numPr>
        <w:ind w:left="567" w:hanging="567"/>
        <w:rPr>
          <w:lang w:val="en-AU"/>
        </w:rPr>
      </w:pPr>
      <w:r w:rsidRPr="00034E9B">
        <w:rPr>
          <w:lang w:val="en-AU"/>
        </w:rPr>
        <w:t>During the review, States provided water and electricity subsidy data that allowed the Commission to refine the definition of non-metropolitan communities receiving subsides under average policy. This led to separate assessments for water and electricity subsidies, as the disabilities affecting these subsidies are different. Previously, the assessment of these expenses used the population in remote and very remote communities sized between 50</w:t>
      </w:r>
      <w:r w:rsidR="00A119FD">
        <w:rPr>
          <w:lang w:val="en-AU"/>
        </w:rPr>
        <w:t> </w:t>
      </w:r>
      <w:r w:rsidRPr="00034E9B">
        <w:rPr>
          <w:lang w:val="en-AU"/>
        </w:rPr>
        <w:t xml:space="preserve">and 1,000 people to assess State needs. </w:t>
      </w:r>
    </w:p>
    <w:p w14:paraId="0021F929" w14:textId="77777777" w:rsidR="00242AD6" w:rsidRPr="00034E9B" w:rsidRDefault="00242AD6" w:rsidP="00DC5A36">
      <w:pPr>
        <w:pStyle w:val="CGCBullet1"/>
        <w:numPr>
          <w:ilvl w:val="0"/>
          <w:numId w:val="3"/>
        </w:numPr>
        <w:ind w:left="924" w:hanging="357"/>
      </w:pPr>
      <w:r w:rsidRPr="00034E9B">
        <w:t xml:space="preserve">Electricity subsidies for remote communities are now assessed using the population in remote and very remote communities. The definition of remote communities includes all communities of more than 50 people. </w:t>
      </w:r>
    </w:p>
    <w:p w14:paraId="32605C22" w14:textId="1752D593" w:rsidR="00242AD6" w:rsidRPr="00034E9B" w:rsidRDefault="00242AD6" w:rsidP="00DC5A36">
      <w:pPr>
        <w:pStyle w:val="CGCBullet1"/>
        <w:numPr>
          <w:ilvl w:val="0"/>
          <w:numId w:val="3"/>
        </w:numPr>
        <w:ind w:left="924" w:hanging="357"/>
        <w:rPr>
          <w:szCs w:val="20"/>
        </w:rPr>
      </w:pPr>
      <w:r w:rsidRPr="00034E9B">
        <w:lastRenderedPageBreak/>
        <w:t>Water subsidies for small communities are now assessed using the population in small communities outside major cities, and the definition of small communities has been broadened in this review to include communities of more than 50 but less than 3,000</w:t>
      </w:r>
      <w:r w:rsidR="00A119FD">
        <w:t> </w:t>
      </w:r>
      <w:r w:rsidRPr="00034E9B">
        <w:t>people.</w:t>
      </w:r>
    </w:p>
    <w:p w14:paraId="35BB4DB5" w14:textId="2539CE5F" w:rsidR="00242AD6" w:rsidRPr="00034E9B" w:rsidRDefault="0075411D" w:rsidP="00DC5A36">
      <w:pPr>
        <w:pStyle w:val="CGCParaNumber"/>
        <w:numPr>
          <w:ilvl w:val="0"/>
          <w:numId w:val="2"/>
        </w:numPr>
        <w:ind w:left="567" w:hanging="567"/>
        <w:rPr>
          <w:szCs w:val="20"/>
          <w:lang w:val="en-AU"/>
        </w:rPr>
      </w:pPr>
      <w:r>
        <w:rPr>
          <w:lang w:val="en-AU"/>
        </w:rPr>
        <w:t>Assessed e</w:t>
      </w:r>
      <w:r w:rsidR="00242AD6" w:rsidRPr="00034E9B">
        <w:rPr>
          <w:lang w:val="en-AU"/>
        </w:rPr>
        <w:t>lectricity subsidies for remote communities and water subsidies for small communities both have wage costs applied</w:t>
      </w:r>
      <w:r>
        <w:rPr>
          <w:lang w:val="en-AU"/>
        </w:rPr>
        <w:t xml:space="preserve">. The </w:t>
      </w:r>
      <w:r w:rsidR="00242AD6" w:rsidRPr="00034E9B">
        <w:rPr>
          <w:lang w:val="en-AU"/>
        </w:rPr>
        <w:t>effects of regional costs</w:t>
      </w:r>
      <w:r w:rsidR="00843DCB">
        <w:rPr>
          <w:lang w:val="en-AU"/>
        </w:rPr>
        <w:t>,</w:t>
      </w:r>
      <w:r w:rsidR="00242AD6" w:rsidRPr="00034E9B">
        <w:rPr>
          <w:lang w:val="en-AU"/>
        </w:rPr>
        <w:t xml:space="preserve"> </w:t>
      </w:r>
      <w:r w:rsidR="00843DCB">
        <w:rPr>
          <w:lang w:val="en-AU"/>
        </w:rPr>
        <w:t>which</w:t>
      </w:r>
      <w:r w:rsidR="00242AD6" w:rsidRPr="00034E9B">
        <w:rPr>
          <w:lang w:val="en-AU"/>
        </w:rPr>
        <w:t xml:space="preserve"> have been derived using service specific State data</w:t>
      </w:r>
      <w:r w:rsidR="00843DCB">
        <w:rPr>
          <w:lang w:val="en-AU"/>
        </w:rPr>
        <w:t>,</w:t>
      </w:r>
      <w:r>
        <w:rPr>
          <w:lang w:val="en-AU"/>
        </w:rPr>
        <w:t xml:space="preserve"> are also recognised</w:t>
      </w:r>
      <w:r w:rsidR="00242AD6" w:rsidRPr="00034E9B">
        <w:rPr>
          <w:lang w:val="en-AU"/>
        </w:rPr>
        <w:t>. The split between electricity subsidies for remote communities and other electricity subsidies and the split between water subsidies for small communities and other water subsidies have been updated based on State data. The expense data will be updated on an annual basis.</w:t>
      </w:r>
    </w:p>
    <w:p w14:paraId="6DA0FA4F" w14:textId="77777777" w:rsidR="00242AD6" w:rsidRPr="00034E9B" w:rsidRDefault="00242AD6" w:rsidP="00DC5A36">
      <w:pPr>
        <w:pStyle w:val="CGCParaNumber"/>
        <w:numPr>
          <w:ilvl w:val="0"/>
          <w:numId w:val="2"/>
        </w:numPr>
        <w:ind w:left="567" w:hanging="567"/>
        <w:rPr>
          <w:lang w:val="en-AU"/>
        </w:rPr>
      </w:pPr>
      <w:r w:rsidRPr="00034E9B">
        <w:rPr>
          <w:lang w:val="en-AU"/>
        </w:rPr>
        <w:t>Indigenous community development expenses are sourced from State data and include general grants to Indigenous local governments. The Commission considers that the expense data supplied by the States is more accurate than the 4-digit Government Finance Statistics (GFS) data that were used previously. State expense data are significantly lower than the GFS data.</w:t>
      </w:r>
    </w:p>
    <w:p w14:paraId="53AF9592" w14:textId="77777777" w:rsidR="00242AD6" w:rsidRPr="00034E9B" w:rsidRDefault="00242AD6" w:rsidP="00DC5A36">
      <w:pPr>
        <w:pStyle w:val="CGCParaNumber"/>
        <w:keepLines/>
        <w:numPr>
          <w:ilvl w:val="0"/>
          <w:numId w:val="2"/>
        </w:numPr>
        <w:ind w:left="567" w:hanging="567"/>
        <w:rPr>
          <w:lang w:val="en-AU"/>
        </w:rPr>
      </w:pPr>
      <w:r w:rsidRPr="00034E9B">
        <w:rPr>
          <w:lang w:val="en-AU"/>
        </w:rPr>
        <w:t xml:space="preserve">The broadening of the definition of non-metropolitan communities receiving electricity and water subsidies, and reducing average State spending on Indigenous community development, reduced the influence of this assessment in this review. Chapter 18 Services to communities describes the changes to the assessment in more detail. </w:t>
      </w:r>
    </w:p>
    <w:p w14:paraId="1209D909" w14:textId="77777777" w:rsidR="00242AD6" w:rsidRPr="00034E9B" w:rsidRDefault="00242AD6" w:rsidP="00242AD6">
      <w:pPr>
        <w:pStyle w:val="Heading4"/>
      </w:pPr>
      <w:r w:rsidRPr="00034E9B">
        <w:t>Justice</w:t>
      </w:r>
      <w:bookmarkEnd w:id="43"/>
    </w:p>
    <w:p w14:paraId="1ED7DD54" w14:textId="77777777" w:rsidR="00242AD6" w:rsidRPr="00034E9B" w:rsidRDefault="00242AD6" w:rsidP="00DC5A36">
      <w:pPr>
        <w:pStyle w:val="CGCParaNumber"/>
        <w:numPr>
          <w:ilvl w:val="0"/>
          <w:numId w:val="2"/>
        </w:numPr>
        <w:ind w:left="567" w:hanging="567"/>
        <w:rPr>
          <w:lang w:val="en-AU"/>
        </w:rPr>
      </w:pPr>
      <w:r w:rsidRPr="00034E9B">
        <w:rPr>
          <w:lang w:val="en-AU"/>
        </w:rPr>
        <w:t>The judgment-based split in the 2015 Review methods between community policing (assessed on an EPC basis) and specialised policing (which was differentially assessed) has been criticised by several States, although they had conflicting opinions on what this split should be.</w:t>
      </w:r>
    </w:p>
    <w:p w14:paraId="5A5295B0" w14:textId="77777777" w:rsidR="00242AD6" w:rsidRPr="00034E9B" w:rsidRDefault="00242AD6" w:rsidP="00DC5A36">
      <w:pPr>
        <w:pStyle w:val="CGCParaNumber"/>
        <w:numPr>
          <w:ilvl w:val="0"/>
          <w:numId w:val="2"/>
        </w:numPr>
        <w:ind w:left="567" w:hanging="567"/>
        <w:rPr>
          <w:lang w:val="en-AU"/>
        </w:rPr>
      </w:pPr>
      <w:r w:rsidRPr="00034E9B">
        <w:rPr>
          <w:lang w:val="en-AU"/>
        </w:rPr>
        <w:t>In response, in this review, the Commission has developed a more empirical-based method, using State provided data on spending by police districts, which removes the need for a judgment-based split. The new approach also implicitly captures regional costs and the very high cost of providing policing services in remote and very remote areas.</w:t>
      </w:r>
    </w:p>
    <w:p w14:paraId="2D45674A" w14:textId="77777777" w:rsidR="00242AD6" w:rsidRPr="00034E9B" w:rsidRDefault="00242AD6" w:rsidP="00DC5A36">
      <w:pPr>
        <w:pStyle w:val="CGCParaNumber"/>
        <w:numPr>
          <w:ilvl w:val="0"/>
          <w:numId w:val="2"/>
        </w:numPr>
        <w:ind w:left="567" w:hanging="567"/>
        <w:rPr>
          <w:lang w:val="en-AU"/>
        </w:rPr>
      </w:pPr>
      <w:r w:rsidRPr="00034E9B">
        <w:rPr>
          <w:lang w:val="en-AU"/>
        </w:rPr>
        <w:t>The Commission has also developed new methods for determining regional costs for courts and prisons, as the use of police regional costs as a proxy is no longer appropriate due to the changed nature of police data collected for this review. Chapter 19 Justice discusses these issues in more detail.</w:t>
      </w:r>
    </w:p>
    <w:p w14:paraId="5A98605E" w14:textId="77777777" w:rsidR="00242AD6" w:rsidRPr="00034E9B" w:rsidRDefault="00242AD6" w:rsidP="00242AD6">
      <w:pPr>
        <w:pStyle w:val="Heading4"/>
      </w:pPr>
      <w:bookmarkStart w:id="44" w:name="_Toc26890304"/>
      <w:r w:rsidRPr="00034E9B">
        <w:t>Transport</w:t>
      </w:r>
      <w:bookmarkEnd w:id="44"/>
    </w:p>
    <w:p w14:paraId="22B5D1DD" w14:textId="77777777" w:rsidR="00242AD6" w:rsidRPr="00034E9B" w:rsidRDefault="00242AD6" w:rsidP="00DC5A36">
      <w:pPr>
        <w:pStyle w:val="CGCParaNumber"/>
        <w:numPr>
          <w:ilvl w:val="0"/>
          <w:numId w:val="2"/>
        </w:numPr>
        <w:ind w:left="567" w:hanging="567"/>
        <w:rPr>
          <w:lang w:val="en-AU"/>
        </w:rPr>
      </w:pPr>
      <w:r w:rsidRPr="00034E9B">
        <w:rPr>
          <w:lang w:val="en-AU"/>
        </w:rPr>
        <w:t>A priority for the Commission for the 2020 Review was to review the urban transport recurrent and infrastructure assessments. The assessments developed during the 2010 and 2015 Reviews used urban population as the main driver of urban transport expenditure.</w:t>
      </w:r>
    </w:p>
    <w:p w14:paraId="3440CB5A" w14:textId="77777777" w:rsidR="00242AD6" w:rsidRPr="00034E9B" w:rsidRDefault="00242AD6" w:rsidP="00DC5A36">
      <w:pPr>
        <w:pStyle w:val="CGCParaNumber"/>
        <w:numPr>
          <w:ilvl w:val="0"/>
          <w:numId w:val="2"/>
        </w:numPr>
        <w:ind w:left="567" w:hanging="567"/>
        <w:rPr>
          <w:lang w:val="en-AU"/>
        </w:rPr>
      </w:pPr>
      <w:r w:rsidRPr="00034E9B">
        <w:rPr>
          <w:lang w:val="en-AU"/>
        </w:rPr>
        <w:t>Queensland, Western Australia, South Australia, Tasmania and the ACT expressed concerns with use of urban population as the sole driver of needs and did not support retaining the assessment for the 2020 Review. They noted that the assessment should recognise the influence of factors such as the presence of rail, population density and urban form/geography. States were also concerned about the theoretical foundation of the 2015 Review model.</w:t>
      </w:r>
    </w:p>
    <w:p w14:paraId="34C5FAC9" w14:textId="77777777" w:rsidR="00242AD6" w:rsidRPr="00034E9B" w:rsidRDefault="00242AD6" w:rsidP="00DC5A36">
      <w:pPr>
        <w:pStyle w:val="CGCParaNumber"/>
        <w:numPr>
          <w:ilvl w:val="0"/>
          <w:numId w:val="2"/>
        </w:numPr>
        <w:ind w:left="567" w:hanging="567"/>
        <w:rPr>
          <w:lang w:val="en-AU"/>
        </w:rPr>
      </w:pPr>
      <w:r w:rsidRPr="00034E9B">
        <w:rPr>
          <w:lang w:val="en-AU"/>
        </w:rPr>
        <w:lastRenderedPageBreak/>
        <w:t>To address these concerns and improve the urban transport assessments, the Commission engaged consultants to develop a model for assessing State urban transport recurrent and infrastructure expenditure requirements.</w:t>
      </w:r>
      <w:r w:rsidRPr="00034E9B">
        <w:rPr>
          <w:szCs w:val="20"/>
          <w:vertAlign w:val="superscript"/>
          <w:lang w:val="en-AU"/>
        </w:rPr>
        <w:footnoteReference w:id="14"/>
      </w:r>
      <w:r w:rsidRPr="00034E9B">
        <w:rPr>
          <w:lang w:val="en-AU"/>
        </w:rPr>
        <w:t xml:space="preserve"> </w:t>
      </w:r>
    </w:p>
    <w:p w14:paraId="2A32C89D" w14:textId="77777777" w:rsidR="00242AD6" w:rsidRPr="00034E9B" w:rsidRDefault="00242AD6" w:rsidP="00DC5A36">
      <w:pPr>
        <w:pStyle w:val="CGCParaNumber"/>
        <w:numPr>
          <w:ilvl w:val="0"/>
          <w:numId w:val="2"/>
        </w:numPr>
        <w:ind w:left="567" w:hanging="567"/>
        <w:rPr>
          <w:lang w:val="en-AU"/>
        </w:rPr>
      </w:pPr>
      <w:r w:rsidRPr="00034E9B">
        <w:rPr>
          <w:lang w:val="en-AU"/>
        </w:rPr>
        <w:t>After consideration of the consultants’ recommended model and State feedback on the consultants’ report, and having engaged further with the consultants on various aspects of their report, the Commission decided to adopt an econometric model for urban transport recurrent expenses that recognises the following influences:</w:t>
      </w:r>
    </w:p>
    <w:p w14:paraId="7946EF78" w14:textId="77777777" w:rsidR="00242AD6" w:rsidRPr="00034E9B" w:rsidRDefault="00242AD6" w:rsidP="00DC5A36">
      <w:pPr>
        <w:pStyle w:val="CGCBullet1"/>
        <w:numPr>
          <w:ilvl w:val="0"/>
          <w:numId w:val="3"/>
        </w:numPr>
        <w:ind w:left="924" w:hanging="357"/>
      </w:pPr>
      <w:r w:rsidRPr="00034E9B">
        <w:t>population density</w:t>
      </w:r>
    </w:p>
    <w:p w14:paraId="315DD6E4" w14:textId="77777777" w:rsidR="00242AD6" w:rsidRPr="00034E9B" w:rsidRDefault="00242AD6" w:rsidP="00DC5A36">
      <w:pPr>
        <w:pStyle w:val="CGCBullet1"/>
        <w:numPr>
          <w:ilvl w:val="0"/>
          <w:numId w:val="3"/>
        </w:numPr>
        <w:ind w:left="924" w:hanging="357"/>
      </w:pPr>
      <w:r w:rsidRPr="00034E9B">
        <w:t>numbers of public transport passengers (separately assessed for bus/light rail and heavy rail)</w:t>
      </w:r>
    </w:p>
    <w:p w14:paraId="7809ABE3" w14:textId="77777777" w:rsidR="00242AD6" w:rsidRPr="00034E9B" w:rsidRDefault="00242AD6" w:rsidP="00DC5A36">
      <w:pPr>
        <w:pStyle w:val="CGCBullet1"/>
        <w:numPr>
          <w:ilvl w:val="0"/>
          <w:numId w:val="3"/>
        </w:numPr>
        <w:ind w:left="924" w:hanging="357"/>
      </w:pPr>
      <w:r w:rsidRPr="00034E9B">
        <w:t>the presence of ferry services</w:t>
      </w:r>
      <w:r w:rsidRPr="00034E9B">
        <w:rPr>
          <w:vertAlign w:val="superscript"/>
        </w:rPr>
        <w:footnoteReference w:id="15"/>
      </w:r>
    </w:p>
    <w:p w14:paraId="2614131C" w14:textId="77777777" w:rsidR="00242AD6" w:rsidRPr="00034E9B" w:rsidRDefault="00242AD6" w:rsidP="00DC5A36">
      <w:pPr>
        <w:pStyle w:val="CGCBullet1"/>
        <w:numPr>
          <w:ilvl w:val="0"/>
          <w:numId w:val="3"/>
        </w:numPr>
        <w:ind w:left="924" w:hanging="357"/>
      </w:pPr>
      <w:r w:rsidRPr="00034E9B">
        <w:t xml:space="preserve">distance to work </w:t>
      </w:r>
    </w:p>
    <w:p w14:paraId="6B2DE586" w14:textId="77777777" w:rsidR="00242AD6" w:rsidRPr="00034E9B" w:rsidRDefault="00242AD6" w:rsidP="00DC5A36">
      <w:pPr>
        <w:pStyle w:val="CGCBullet1"/>
        <w:numPr>
          <w:ilvl w:val="0"/>
          <w:numId w:val="3"/>
        </w:numPr>
        <w:ind w:left="924" w:hanging="357"/>
      </w:pPr>
      <w:r w:rsidRPr="00034E9B">
        <w:t>topography.</w:t>
      </w:r>
    </w:p>
    <w:p w14:paraId="5ACB230A" w14:textId="77777777" w:rsidR="00242AD6" w:rsidRPr="00034E9B" w:rsidRDefault="00242AD6" w:rsidP="00DC5A36">
      <w:pPr>
        <w:pStyle w:val="CGCParaNumber"/>
        <w:numPr>
          <w:ilvl w:val="0"/>
          <w:numId w:val="2"/>
        </w:numPr>
        <w:ind w:left="567" w:hanging="567"/>
        <w:rPr>
          <w:lang w:val="en-AU"/>
        </w:rPr>
      </w:pPr>
      <w:r w:rsidRPr="00034E9B">
        <w:rPr>
          <w:lang w:val="en-AU"/>
        </w:rPr>
        <w:t xml:space="preserve">The Commission decided to use the model developed for recurrent expenses to assess investment needs, as recommended by the consultants. The consultants concluded that the drivers of recurrent expenses were sufficiently similar to assess both using one model. They argued there were too few observations to estimate an investment-specific multi-variable model with confidence. </w:t>
      </w:r>
    </w:p>
    <w:p w14:paraId="3E0C1D0F" w14:textId="77777777" w:rsidR="00242AD6" w:rsidRPr="00034E9B" w:rsidRDefault="00242AD6" w:rsidP="00DC5A36">
      <w:pPr>
        <w:pStyle w:val="CGCParaNumber"/>
        <w:numPr>
          <w:ilvl w:val="0"/>
          <w:numId w:val="2"/>
        </w:numPr>
        <w:ind w:left="567" w:hanging="567"/>
        <w:rPr>
          <w:lang w:val="en-AU"/>
        </w:rPr>
      </w:pPr>
      <w:r w:rsidRPr="00034E9B">
        <w:rPr>
          <w:lang w:val="en-AU"/>
        </w:rPr>
        <w:t>Further, to address concerns about the reliability of net urban transport expenses and the use of proxy variables to capture supply and demand, the Commission decided:</w:t>
      </w:r>
    </w:p>
    <w:p w14:paraId="71C3ADE6" w14:textId="77777777" w:rsidR="00242AD6" w:rsidRPr="00034E9B" w:rsidRDefault="00242AD6" w:rsidP="00DC5A36">
      <w:pPr>
        <w:pStyle w:val="CGCBullet1"/>
        <w:numPr>
          <w:ilvl w:val="0"/>
          <w:numId w:val="3"/>
        </w:numPr>
        <w:ind w:left="924" w:hanging="357"/>
      </w:pPr>
      <w:r w:rsidRPr="00034E9B">
        <w:t xml:space="preserve">for the urban transport expenses assessment — to blend the assessment based on the econometric model with a broad assessment based on the proportion of State populations living in urban centres </w:t>
      </w:r>
    </w:p>
    <w:p w14:paraId="7AF34E82" w14:textId="77777777" w:rsidR="00242AD6" w:rsidRPr="00034E9B" w:rsidRDefault="00242AD6" w:rsidP="00DC5A36">
      <w:pPr>
        <w:pStyle w:val="CGCBullet1"/>
        <w:numPr>
          <w:ilvl w:val="0"/>
          <w:numId w:val="3"/>
        </w:numPr>
        <w:ind w:left="924" w:hanging="357"/>
      </w:pPr>
      <w:r w:rsidRPr="00034E9B">
        <w:t>for the transport infrastructure assessment — to blend the assessment based on the econometric model with an assessment based on the square of urban centre population.</w:t>
      </w:r>
    </w:p>
    <w:p w14:paraId="6317B81A" w14:textId="77777777" w:rsidR="00242AD6" w:rsidRPr="00034E9B" w:rsidRDefault="00242AD6" w:rsidP="00DC5A36">
      <w:pPr>
        <w:pStyle w:val="CGCParaNumber"/>
        <w:numPr>
          <w:ilvl w:val="0"/>
          <w:numId w:val="2"/>
        </w:numPr>
        <w:ind w:left="567" w:hanging="567"/>
        <w:rPr>
          <w:lang w:val="en-AU"/>
        </w:rPr>
      </w:pPr>
      <w:r w:rsidRPr="00034E9B">
        <w:rPr>
          <w:lang w:val="en-AU"/>
        </w:rPr>
        <w:t>In both assessments, the assessment based on the econometric model is given a weight of 75% and the population</w:t>
      </w:r>
      <w:r w:rsidRPr="00034E9B">
        <w:rPr>
          <w:lang w:val="en-AU"/>
        </w:rPr>
        <w:noBreakHyphen/>
        <w:t>based assessments a weight of 25%.</w:t>
      </w:r>
    </w:p>
    <w:p w14:paraId="1FFEA66C" w14:textId="77777777" w:rsidR="00242AD6" w:rsidRPr="00034E9B" w:rsidRDefault="00242AD6" w:rsidP="00DC5A36">
      <w:pPr>
        <w:pStyle w:val="CGCParaNumber"/>
        <w:numPr>
          <w:ilvl w:val="0"/>
          <w:numId w:val="2"/>
        </w:numPr>
        <w:ind w:left="567" w:hanging="567"/>
        <w:rPr>
          <w:lang w:val="en-AU"/>
        </w:rPr>
      </w:pPr>
      <w:r w:rsidRPr="00034E9B">
        <w:rPr>
          <w:lang w:val="en-AU"/>
        </w:rPr>
        <w:t>States raised several issues with the outcomes of the transport consultancy including policy neutrality concerns, the definition of urban areas, the use of proxy variables and the decision to adopt blended assessments. Chapter 21 Transport discusses these issues in more detail and addresses State views.</w:t>
      </w:r>
    </w:p>
    <w:p w14:paraId="07434312" w14:textId="77777777" w:rsidR="00242AD6" w:rsidRPr="00034E9B" w:rsidRDefault="00242AD6" w:rsidP="00242AD6">
      <w:pPr>
        <w:pStyle w:val="Heading4"/>
      </w:pPr>
      <w:bookmarkStart w:id="45" w:name="_Toc26890305"/>
      <w:r w:rsidRPr="00034E9B">
        <w:t>Local government natural disaster expenses</w:t>
      </w:r>
      <w:bookmarkEnd w:id="45"/>
    </w:p>
    <w:p w14:paraId="3A70C81B" w14:textId="77777777" w:rsidR="00242AD6" w:rsidRPr="00034E9B" w:rsidRDefault="00242AD6" w:rsidP="00DC5A36">
      <w:pPr>
        <w:pStyle w:val="CGCParaNumber"/>
        <w:numPr>
          <w:ilvl w:val="0"/>
          <w:numId w:val="2"/>
        </w:numPr>
        <w:ind w:left="567" w:hanging="567"/>
        <w:rPr>
          <w:lang w:val="en-AU"/>
        </w:rPr>
      </w:pPr>
      <w:r w:rsidRPr="00034E9B">
        <w:rPr>
          <w:lang w:val="en-AU"/>
        </w:rPr>
        <w:t xml:space="preserve">State net expenses for natural disaster relief will continue to be assessed on an actual per capita (APC) basis but will include that part of local government expenses funded by States.  </w:t>
      </w:r>
    </w:p>
    <w:p w14:paraId="13B980FD" w14:textId="1F4A9B3A" w:rsidR="00242AD6" w:rsidRPr="00034E9B" w:rsidRDefault="00242AD6" w:rsidP="00DC5A36">
      <w:pPr>
        <w:pStyle w:val="CGCParaNumber"/>
        <w:numPr>
          <w:ilvl w:val="0"/>
          <w:numId w:val="2"/>
        </w:numPr>
        <w:ind w:left="567" w:hanging="567"/>
        <w:rPr>
          <w:lang w:val="en-AU"/>
        </w:rPr>
      </w:pPr>
      <w:r w:rsidRPr="00034E9B">
        <w:rPr>
          <w:lang w:val="en-AU"/>
        </w:rPr>
        <w:t>In the 2019 Update, the Commission decided to exclude local government net expenses, because at that time it was unclear whether States were the ultimate funder</w:t>
      </w:r>
      <w:r w:rsidR="00843DCB">
        <w:rPr>
          <w:lang w:val="en-AU"/>
        </w:rPr>
        <w:t>s</w:t>
      </w:r>
      <w:r w:rsidRPr="00034E9B">
        <w:rPr>
          <w:lang w:val="en-AU"/>
        </w:rPr>
        <w:t xml:space="preserve"> of these </w:t>
      </w:r>
      <w:r w:rsidRPr="00034E9B">
        <w:rPr>
          <w:lang w:val="en-AU"/>
        </w:rPr>
        <w:lastRenderedPageBreak/>
        <w:t xml:space="preserve">expenses. In the draft report, the Commission said it intended to retain this approach but asked States to provide information on their natural disaster funding arrangements. </w:t>
      </w:r>
    </w:p>
    <w:p w14:paraId="4E9620D5" w14:textId="77777777" w:rsidR="00242AD6" w:rsidRPr="00034E9B" w:rsidRDefault="00242AD6" w:rsidP="00DC5A36">
      <w:pPr>
        <w:pStyle w:val="CGCParaNumber"/>
        <w:numPr>
          <w:ilvl w:val="0"/>
          <w:numId w:val="2"/>
        </w:numPr>
        <w:ind w:left="567" w:hanging="567"/>
        <w:rPr>
          <w:lang w:val="en-AU"/>
        </w:rPr>
      </w:pPr>
      <w:r w:rsidRPr="00034E9B">
        <w:rPr>
          <w:lang w:val="en-AU"/>
        </w:rPr>
        <w:t xml:space="preserve">In responding to the draft report, Queensland objected to the exclusion of local government expenses. It explained that local governments were fiscally unable to fund most natural disaster relief expenses, and that the State government contributed most of the funds for local government out of pocket expenses eligible for funding under the Disaster Recovery Funding Arrangements 2018 (DRFA). The Northern Territory also stated that local government lacked the financial capacity to self-fund most expenses, especially councils in remote areas. </w:t>
      </w:r>
    </w:p>
    <w:p w14:paraId="70766AAF" w14:textId="27345FC4" w:rsidR="00242AD6" w:rsidRPr="00034E9B" w:rsidRDefault="00242AD6" w:rsidP="00DC5A36">
      <w:pPr>
        <w:pStyle w:val="CGCParaNumber"/>
        <w:numPr>
          <w:ilvl w:val="0"/>
          <w:numId w:val="2"/>
        </w:numPr>
        <w:ind w:left="567" w:hanging="567"/>
        <w:rPr>
          <w:lang w:val="en-AU"/>
        </w:rPr>
      </w:pPr>
      <w:r w:rsidRPr="00034E9B">
        <w:rPr>
          <w:lang w:val="en-AU"/>
        </w:rPr>
        <w:t xml:space="preserve">After further investigation, the Commission concluded that States fund most local government natural disaster relief expenses under the DRFA, net of Commonwealth assistance. The Commission decided that </w:t>
      </w:r>
      <w:r w:rsidR="00843DCB">
        <w:rPr>
          <w:lang w:val="en-AU"/>
        </w:rPr>
        <w:t xml:space="preserve">State payments for </w:t>
      </w:r>
      <w:r w:rsidRPr="00034E9B">
        <w:rPr>
          <w:lang w:val="en-AU"/>
        </w:rPr>
        <w:t>local government expenses should remain in the assessment, as States fund most of these expenses and they represent an unavoidable cost for States.</w:t>
      </w:r>
    </w:p>
    <w:p w14:paraId="09E7BD94" w14:textId="77777777" w:rsidR="00242AD6" w:rsidRPr="00034E9B" w:rsidRDefault="00242AD6" w:rsidP="00DC5A36">
      <w:pPr>
        <w:pStyle w:val="CGCParaNumber"/>
        <w:numPr>
          <w:ilvl w:val="0"/>
          <w:numId w:val="2"/>
        </w:numPr>
        <w:ind w:left="567" w:hanging="567"/>
        <w:rPr>
          <w:lang w:val="en-AU"/>
        </w:rPr>
      </w:pPr>
      <w:r w:rsidRPr="00034E9B">
        <w:rPr>
          <w:lang w:val="en-AU"/>
        </w:rPr>
        <w:t>Consistent with its decision to include local government net expenses going forward, the Commission decided to unwind fully in the 2020 Review the adjustment to the assessment in the 2019 Update to remove local government net expenses. For more information on this issue see Chapter 23 Other expenses.</w:t>
      </w:r>
    </w:p>
    <w:p w14:paraId="1A608FF0" w14:textId="77777777" w:rsidR="00242AD6" w:rsidRPr="00034E9B" w:rsidRDefault="00242AD6" w:rsidP="00242AD6">
      <w:pPr>
        <w:pStyle w:val="Heading4"/>
      </w:pPr>
      <w:bookmarkStart w:id="46" w:name="_Toc26890306"/>
      <w:r w:rsidRPr="00034E9B">
        <w:t>Investment</w:t>
      </w:r>
      <w:bookmarkEnd w:id="46"/>
    </w:p>
    <w:p w14:paraId="057EB45F" w14:textId="77777777" w:rsidR="00242AD6" w:rsidRPr="00034E9B" w:rsidRDefault="00242AD6" w:rsidP="00DC5A36">
      <w:pPr>
        <w:pStyle w:val="CGCParaNumber"/>
        <w:numPr>
          <w:ilvl w:val="0"/>
          <w:numId w:val="2"/>
        </w:numPr>
        <w:ind w:left="567" w:hanging="567"/>
        <w:rPr>
          <w:lang w:val="en-AU"/>
        </w:rPr>
      </w:pPr>
      <w:r w:rsidRPr="00034E9B">
        <w:rPr>
          <w:lang w:val="en-AU"/>
        </w:rPr>
        <w:t>The assessment of investment remains largely unchanged. However, in this review, the Commission has refined its methods to improve accuracy and to address concern that the investment assessment is too complex and difficult to interpret. Most States were generally supportive of the changes.</w:t>
      </w:r>
    </w:p>
    <w:p w14:paraId="68DA4D3E" w14:textId="77777777" w:rsidR="00242AD6" w:rsidRPr="00034E9B" w:rsidRDefault="00242AD6" w:rsidP="00DC5A36">
      <w:pPr>
        <w:pStyle w:val="CGCParaNumber"/>
        <w:numPr>
          <w:ilvl w:val="0"/>
          <w:numId w:val="2"/>
        </w:numPr>
        <w:ind w:left="567" w:hanging="567"/>
        <w:rPr>
          <w:lang w:val="en-AU"/>
        </w:rPr>
      </w:pPr>
      <w:r w:rsidRPr="00034E9B">
        <w:rPr>
          <w:lang w:val="en-AU"/>
        </w:rPr>
        <w:t xml:space="preserve">The Commission decided to assess investment separately in all service areas (not just roads and transport), to ensure actual investment levels are reflected and to make the assessment more transparent (by associating redistributive effects to each service area). Previously, the mechanism for combining investment resulted in the assumption that investment in each category is equal to its proportion of the capital stock, not actual investment, which could lead to revaluations having undue effects on the assessment. </w:t>
      </w:r>
    </w:p>
    <w:p w14:paraId="19D22E39" w14:textId="3208A280" w:rsidR="00242AD6" w:rsidRPr="00034E9B" w:rsidRDefault="00242AD6" w:rsidP="00DC5A36">
      <w:pPr>
        <w:pStyle w:val="CGCParaNumber"/>
        <w:numPr>
          <w:ilvl w:val="0"/>
          <w:numId w:val="2"/>
        </w:numPr>
        <w:ind w:left="567" w:hanging="567"/>
        <w:rPr>
          <w:lang w:val="en-AU"/>
        </w:rPr>
      </w:pPr>
      <w:r w:rsidRPr="00034E9B">
        <w:rPr>
          <w:lang w:val="en-AU"/>
        </w:rPr>
        <w:t>Depreciation and net investment are now assessed together in a</w:t>
      </w:r>
      <w:r w:rsidR="00860DF4">
        <w:rPr>
          <w:lang w:val="en-AU"/>
        </w:rPr>
        <w:t>n</w:t>
      </w:r>
      <w:r w:rsidRPr="00034E9B">
        <w:rPr>
          <w:lang w:val="en-AU"/>
        </w:rPr>
        <w:t xml:space="preserve"> assessment of </w:t>
      </w:r>
      <w:r w:rsidR="00860DF4">
        <w:rPr>
          <w:lang w:val="en-AU"/>
        </w:rPr>
        <w:t xml:space="preserve">gross </w:t>
      </w:r>
      <w:r w:rsidRPr="00034E9B">
        <w:rPr>
          <w:lang w:val="en-AU"/>
        </w:rPr>
        <w:t>investment. The Commission considers this a simpler approach, because the same disabilities apply to both investment and depreciation and it removes the likelihood of any State being assessed as requiring negative investment in any particular service area that, while conceptually valid, was difficult to interpret.</w:t>
      </w:r>
    </w:p>
    <w:p w14:paraId="2F440D5C" w14:textId="77777777" w:rsidR="00242AD6" w:rsidRPr="00034E9B" w:rsidRDefault="00242AD6" w:rsidP="00DC5A36">
      <w:pPr>
        <w:pStyle w:val="CGCParaNumber"/>
        <w:numPr>
          <w:ilvl w:val="0"/>
          <w:numId w:val="2"/>
        </w:numPr>
        <w:ind w:left="567" w:hanging="567"/>
        <w:rPr>
          <w:lang w:val="en-AU"/>
        </w:rPr>
      </w:pPr>
      <w:r w:rsidRPr="00034E9B">
        <w:rPr>
          <w:lang w:val="en-AU"/>
        </w:rPr>
        <w:t xml:space="preserve">While the assessment will continue to recognise the higher costs of construction faced in some States, where a State is assessed to require negative investment, it will no longer be assumed that higher costs of construction are mirrored by higher returns on asset sales. That is, costs of construction will not be additionally applied where a State’s investment requirement is assessed to be negative.  </w:t>
      </w:r>
    </w:p>
    <w:p w14:paraId="60C1554A" w14:textId="77777777" w:rsidR="00242AD6" w:rsidRPr="00034E9B" w:rsidRDefault="00242AD6" w:rsidP="00DC5A36">
      <w:pPr>
        <w:pStyle w:val="CGCParaNumber"/>
        <w:numPr>
          <w:ilvl w:val="0"/>
          <w:numId w:val="2"/>
        </w:numPr>
        <w:ind w:left="567" w:hanging="567"/>
        <w:rPr>
          <w:lang w:val="en-AU"/>
        </w:rPr>
      </w:pPr>
      <w:r w:rsidRPr="00034E9B">
        <w:rPr>
          <w:lang w:val="en-AU"/>
        </w:rPr>
        <w:t>In addition, single year stock disabilities will be applied to stocks, improving the accuracy and transparency of the assessment. This removes the averaging of stock disabilities (over three years), which created a mismatch between growth in population and growth in stock disabilities, without unduly affecting the volatility of the assessment. Chapter 24 Investment discusses these issues in more detail.</w:t>
      </w:r>
    </w:p>
    <w:p w14:paraId="242BFCA6" w14:textId="77777777" w:rsidR="00242AD6" w:rsidRPr="00034E9B" w:rsidRDefault="00242AD6" w:rsidP="00242AD6">
      <w:pPr>
        <w:pStyle w:val="Heading4"/>
      </w:pPr>
      <w:bookmarkStart w:id="47" w:name="_Toc26890307"/>
      <w:r w:rsidRPr="00034E9B">
        <w:lastRenderedPageBreak/>
        <w:t>Administrative scale</w:t>
      </w:r>
    </w:p>
    <w:p w14:paraId="46883E0D" w14:textId="77777777" w:rsidR="00242AD6" w:rsidRPr="00034E9B" w:rsidRDefault="00242AD6" w:rsidP="00DC5A36">
      <w:pPr>
        <w:pStyle w:val="CGCParaNumber"/>
        <w:numPr>
          <w:ilvl w:val="0"/>
          <w:numId w:val="2"/>
        </w:numPr>
        <w:ind w:left="567" w:hanging="567"/>
        <w:rPr>
          <w:lang w:val="en-AU"/>
        </w:rPr>
      </w:pPr>
      <w:r w:rsidRPr="00034E9B">
        <w:rPr>
          <w:lang w:val="en-AU"/>
        </w:rPr>
        <w:t>In this review, the Commission re</w:t>
      </w:r>
      <w:r w:rsidRPr="00034E9B">
        <w:rPr>
          <w:lang w:val="en-AU"/>
        </w:rPr>
        <w:noBreakHyphen/>
        <w:t xml:space="preserve">estimated administrative scale costs using an approach similar to that adopted in earlier reviews. Administrative scale costs are expenses States incur in delivering services that are independent of the size of the service population. </w:t>
      </w:r>
    </w:p>
    <w:p w14:paraId="73C15914" w14:textId="77777777" w:rsidR="00242AD6" w:rsidRPr="00034E9B" w:rsidRDefault="00242AD6" w:rsidP="00DC5A36">
      <w:pPr>
        <w:pStyle w:val="CGCParaNumber"/>
        <w:numPr>
          <w:ilvl w:val="0"/>
          <w:numId w:val="2"/>
        </w:numPr>
        <w:ind w:left="567" w:hanging="567"/>
        <w:rPr>
          <w:lang w:val="en-AU"/>
        </w:rPr>
      </w:pPr>
      <w:r w:rsidRPr="00034E9B">
        <w:rPr>
          <w:lang w:val="en-AU"/>
        </w:rPr>
        <w:t xml:space="preserve">The new estimates reflect a detailed examination of the services States provide and the organisational structures used to provide them. The new costings, using data for 2016-17, indicate that each State’s administrative scale expenses are $353 million. This is approximately 27% higher than the amount used in the 2019 Update, which was based on an estimate from the 2004 Review. The increased costs reflect increasing levels of collaboration between the Commonwealth and State governments in several spheres, greater legislative and reporting requirements, and changes in the nature and use of information and communications technology. </w:t>
      </w:r>
    </w:p>
    <w:p w14:paraId="5B8344BB" w14:textId="77777777" w:rsidR="00242AD6" w:rsidRPr="00034E9B" w:rsidRDefault="00242AD6" w:rsidP="00DC5A36">
      <w:pPr>
        <w:pStyle w:val="CGCParaNumber"/>
        <w:keepLines/>
        <w:numPr>
          <w:ilvl w:val="0"/>
          <w:numId w:val="2"/>
        </w:numPr>
        <w:ind w:left="567" w:hanging="567"/>
        <w:rPr>
          <w:lang w:val="en-AU"/>
        </w:rPr>
      </w:pPr>
      <w:r w:rsidRPr="00034E9B">
        <w:rPr>
          <w:lang w:val="en-AU"/>
        </w:rPr>
        <w:t>Chapter 26 Administrative scale describes the approach used in this review to re-estimate administrative scale expenses.</w:t>
      </w:r>
    </w:p>
    <w:p w14:paraId="55F0AC7F" w14:textId="77777777" w:rsidR="00242AD6" w:rsidRPr="00034E9B" w:rsidRDefault="00242AD6" w:rsidP="00242AD6">
      <w:pPr>
        <w:pStyle w:val="Heading4"/>
      </w:pPr>
      <w:r w:rsidRPr="00034E9B">
        <w:t>Geography</w:t>
      </w:r>
      <w:bookmarkEnd w:id="47"/>
    </w:p>
    <w:p w14:paraId="0D1679ED" w14:textId="0B520799" w:rsidR="00242AD6" w:rsidRPr="00034E9B" w:rsidRDefault="00242AD6" w:rsidP="00DC5A36">
      <w:pPr>
        <w:pStyle w:val="CGCParaNumber"/>
        <w:numPr>
          <w:ilvl w:val="0"/>
          <w:numId w:val="2"/>
        </w:numPr>
        <w:ind w:left="567" w:hanging="567"/>
        <w:rPr>
          <w:lang w:val="en-AU"/>
        </w:rPr>
      </w:pPr>
      <w:r w:rsidRPr="00034E9B">
        <w:rPr>
          <w:lang w:val="en-AU"/>
        </w:rPr>
        <w:t>The distribution patterns of State populations play a significant role in the cost of delivering services. These distribution patterns vary considerably between States. In the 2015 Review, the Commission assessed the effect of geography in different ways. States have been critical of some of these approaches. In particular:</w:t>
      </w:r>
    </w:p>
    <w:p w14:paraId="32504141" w14:textId="77777777" w:rsidR="00242AD6" w:rsidRPr="00034E9B" w:rsidRDefault="00242AD6" w:rsidP="00DC5A36">
      <w:pPr>
        <w:pStyle w:val="CGCBullet1"/>
        <w:numPr>
          <w:ilvl w:val="0"/>
          <w:numId w:val="3"/>
        </w:numPr>
        <w:ind w:left="924" w:hanging="357"/>
      </w:pPr>
      <w:r w:rsidRPr="00034E9B">
        <w:t>the regional costs assessment relied on the experience of schools and police, and extrapolated the effect of remoteness on the services in those sectors to a wide range of other services</w:t>
      </w:r>
    </w:p>
    <w:p w14:paraId="4BE43161" w14:textId="77777777" w:rsidR="00242AD6" w:rsidRPr="00034E9B" w:rsidRDefault="00242AD6" w:rsidP="00DC5A36">
      <w:pPr>
        <w:pStyle w:val="CGCBullet1"/>
        <w:numPr>
          <w:ilvl w:val="0"/>
          <w:numId w:val="3"/>
        </w:numPr>
        <w:ind w:left="924" w:hanging="357"/>
      </w:pPr>
      <w:r w:rsidRPr="00034E9B">
        <w:t>the service delivery scale geographic classification was seen as complex and arbitrary</w:t>
      </w:r>
    </w:p>
    <w:p w14:paraId="0C473D1E" w14:textId="77777777" w:rsidR="00242AD6" w:rsidRPr="00034E9B" w:rsidRDefault="00242AD6" w:rsidP="00DC5A36">
      <w:pPr>
        <w:pStyle w:val="CGCBullet1"/>
        <w:numPr>
          <w:ilvl w:val="0"/>
          <w:numId w:val="3"/>
        </w:numPr>
        <w:ind w:left="924" w:hanging="357"/>
      </w:pPr>
      <w:r w:rsidRPr="00034E9B">
        <w:t>the differences in non-wage costs between cities was assessed using Commission judgment.</w:t>
      </w:r>
    </w:p>
    <w:p w14:paraId="24006A70" w14:textId="41E22444" w:rsidR="00242AD6" w:rsidRPr="00034E9B" w:rsidRDefault="00242AD6" w:rsidP="00DC5A36">
      <w:pPr>
        <w:pStyle w:val="CGCParaNumber"/>
        <w:numPr>
          <w:ilvl w:val="0"/>
          <w:numId w:val="2"/>
        </w:numPr>
        <w:ind w:left="567" w:hanging="567"/>
        <w:rPr>
          <w:lang w:val="en-AU"/>
        </w:rPr>
      </w:pPr>
      <w:r w:rsidRPr="00034E9B">
        <w:rPr>
          <w:lang w:val="en-AU"/>
        </w:rPr>
        <w:t xml:space="preserve">The insight gained by the Commission over the course of the review, primarily through the State visits program, has assisted the development of its methods in this area. In this review, while there is still some extrapolation, the Commission has widened the range of services where regional cost and service delivery scale influences are measured directly, thereby improving the evidence base for the assessment. The Commission decided to discontinue the previous approach to determining areas affected by service delivery scale, and to classifying affected areas using the standard </w:t>
      </w:r>
      <w:r w:rsidR="006A1FDF" w:rsidRPr="006A1FDF">
        <w:rPr>
          <w:lang w:val="en-AU"/>
        </w:rPr>
        <w:t>Australian Bureau of Statistics (ABS)</w:t>
      </w:r>
      <w:r w:rsidRPr="00034E9B">
        <w:rPr>
          <w:lang w:val="en-AU"/>
        </w:rPr>
        <w:t xml:space="preserve"> remoteness areas. </w:t>
      </w:r>
    </w:p>
    <w:p w14:paraId="3F00098D" w14:textId="77777777" w:rsidR="00242AD6" w:rsidRPr="00034E9B" w:rsidRDefault="00242AD6" w:rsidP="00DC5A36">
      <w:pPr>
        <w:pStyle w:val="CGCParaNumber"/>
        <w:numPr>
          <w:ilvl w:val="0"/>
          <w:numId w:val="2"/>
        </w:numPr>
        <w:ind w:left="567" w:hanging="567"/>
        <w:rPr>
          <w:lang w:val="en-AU"/>
        </w:rPr>
      </w:pPr>
      <w:r w:rsidRPr="00034E9B">
        <w:rPr>
          <w:lang w:val="en-AU"/>
        </w:rPr>
        <w:t>The Commission considers there are differences between States in their interstate non-wage costs. However, the lack of data and the difficulty in determining the magnitude, or even (other than for Western Australia) the direction, of an appropriate adjustment has led the Commission to cease this assessment. Chapter 28 Geography discusses these issues in more detail.</w:t>
      </w:r>
      <w:r w:rsidRPr="00034E9B">
        <w:rPr>
          <w:lang w:val="en-AU"/>
        </w:rPr>
        <w:br w:type="page"/>
      </w:r>
    </w:p>
    <w:p w14:paraId="7F7B4F45" w14:textId="77777777" w:rsidR="00242AD6" w:rsidRPr="00034E9B" w:rsidRDefault="00242AD6" w:rsidP="00242AD6">
      <w:pPr>
        <w:pStyle w:val="Heading4"/>
      </w:pPr>
      <w:bookmarkStart w:id="48" w:name="_Toc26890308"/>
      <w:r w:rsidRPr="00034E9B">
        <w:lastRenderedPageBreak/>
        <w:t>Summary of changes to 2015 Review methodology</w:t>
      </w:r>
      <w:bookmarkEnd w:id="48"/>
    </w:p>
    <w:p w14:paraId="389CFD3B" w14:textId="2C322F90" w:rsidR="00242AD6" w:rsidRPr="00034E9B" w:rsidRDefault="00242AD6" w:rsidP="00DC5A36">
      <w:pPr>
        <w:pStyle w:val="CGCParaNumber"/>
        <w:numPr>
          <w:ilvl w:val="0"/>
          <w:numId w:val="2"/>
        </w:numPr>
        <w:ind w:left="567" w:hanging="567"/>
        <w:rPr>
          <w:lang w:val="en-AU"/>
        </w:rPr>
      </w:pPr>
      <w:r w:rsidRPr="00034E9B">
        <w:rPr>
          <w:lang w:val="en-AU"/>
        </w:rPr>
        <w:fldChar w:fldCharType="begin"/>
      </w:r>
      <w:r w:rsidRPr="00034E9B">
        <w:rPr>
          <w:lang w:val="en-AU"/>
        </w:rPr>
        <w:instrText xml:space="preserve"> REF _Ref11919839 \h </w:instrText>
      </w:r>
      <w:r w:rsidRPr="00034E9B">
        <w:rPr>
          <w:lang w:val="en-AU"/>
        </w:rPr>
      </w:r>
      <w:r w:rsidRPr="00034E9B">
        <w:rPr>
          <w:lang w:val="en-AU"/>
        </w:rPr>
        <w:fldChar w:fldCharType="separate"/>
      </w:r>
      <w:r w:rsidR="004A0DFA" w:rsidRPr="00034E9B">
        <w:t>Table </w:t>
      </w:r>
      <w:r w:rsidR="004A0DFA" w:rsidRPr="00034E9B">
        <w:rPr>
          <w:noProof/>
        </w:rPr>
        <w:t>1</w:t>
      </w:r>
      <w:r w:rsidR="004A0DFA" w:rsidRPr="00034E9B">
        <w:noBreakHyphen/>
      </w:r>
      <w:r w:rsidR="004A0DFA">
        <w:rPr>
          <w:noProof/>
        </w:rPr>
        <w:t>4</w:t>
      </w:r>
      <w:r w:rsidRPr="00034E9B">
        <w:rPr>
          <w:lang w:val="en-AU"/>
        </w:rPr>
        <w:fldChar w:fldCharType="end"/>
      </w:r>
      <w:r w:rsidRPr="00034E9B">
        <w:rPr>
          <w:lang w:val="en-AU"/>
        </w:rPr>
        <w:t xml:space="preserve"> summarises the changes in this review – in each category and to each disability. Changes that are presentational in nature or are due to changes made by data suppliers have not necessarily been included.</w:t>
      </w:r>
    </w:p>
    <w:p w14:paraId="79ABA150" w14:textId="3F57FCC8" w:rsidR="00242AD6" w:rsidRPr="00034E9B" w:rsidRDefault="00242AD6" w:rsidP="00242AD6">
      <w:pPr>
        <w:pStyle w:val="Caption"/>
      </w:pPr>
      <w:bookmarkStart w:id="49" w:name="_Ref11919839"/>
      <w:bookmarkStart w:id="50" w:name="_Ref9947201"/>
      <w:r w:rsidRPr="00034E9B">
        <w:t>Table </w:t>
      </w:r>
      <w:r w:rsidRPr="00034E9B">
        <w:rPr>
          <w:noProof/>
        </w:rPr>
        <w:t>1</w:t>
      </w:r>
      <w:r w:rsidRPr="00034E9B">
        <w:noBreakHyphen/>
      </w:r>
      <w:r w:rsidRPr="00034E9B">
        <w:rPr>
          <w:noProof/>
        </w:rPr>
        <w:fldChar w:fldCharType="begin"/>
      </w:r>
      <w:r w:rsidRPr="00034E9B">
        <w:rPr>
          <w:noProof/>
        </w:rPr>
        <w:instrText xml:space="preserve"> SEQ Table \* ARABIC \s 1 </w:instrText>
      </w:r>
      <w:r w:rsidRPr="00034E9B">
        <w:rPr>
          <w:noProof/>
        </w:rPr>
        <w:fldChar w:fldCharType="separate"/>
      </w:r>
      <w:r w:rsidR="004A0DFA">
        <w:rPr>
          <w:noProof/>
        </w:rPr>
        <w:t>4</w:t>
      </w:r>
      <w:r w:rsidRPr="00034E9B">
        <w:rPr>
          <w:noProof/>
        </w:rPr>
        <w:fldChar w:fldCharType="end"/>
      </w:r>
      <w:bookmarkEnd w:id="49"/>
      <w:r w:rsidRPr="00034E9B">
        <w:tab/>
        <w:t>2020 Review changes to 2015 Review methodology</w:t>
      </w:r>
      <w:bookmarkEnd w:id="50"/>
    </w:p>
    <w:tbl>
      <w:tblPr>
        <w:tblW w:w="8919" w:type="dxa"/>
        <w:tblBorders>
          <w:top w:val="single" w:sz="4" w:space="0" w:color="ADD6EA"/>
          <w:bottom w:val="single" w:sz="4" w:space="0" w:color="ADD6EA"/>
          <w:insideH w:val="single" w:sz="4" w:space="0" w:color="ADD6EA"/>
        </w:tblBorders>
        <w:tblCellMar>
          <w:left w:w="28" w:type="dxa"/>
          <w:right w:w="85" w:type="dxa"/>
        </w:tblCellMar>
        <w:tblLook w:val="04A0" w:firstRow="1" w:lastRow="0" w:firstColumn="1" w:lastColumn="0" w:noHBand="0" w:noVBand="1"/>
      </w:tblPr>
      <w:tblGrid>
        <w:gridCol w:w="2323"/>
        <w:gridCol w:w="6596"/>
      </w:tblGrid>
      <w:tr w:rsidR="0016062C" w:rsidRPr="00034E9B" w14:paraId="6CC56206" w14:textId="77777777" w:rsidTr="00C01414">
        <w:trPr>
          <w:trHeight w:val="340"/>
        </w:trPr>
        <w:tc>
          <w:tcPr>
            <w:tcW w:w="1302" w:type="pct"/>
            <w:shd w:val="clear" w:color="auto" w:fill="006991"/>
            <w:vAlign w:val="center"/>
            <w:hideMark/>
          </w:tcPr>
          <w:p w14:paraId="485874F2" w14:textId="2C08E70A" w:rsidR="0016062C" w:rsidRPr="00034E9B" w:rsidRDefault="0016062C" w:rsidP="00B1630C">
            <w:pPr>
              <w:pStyle w:val="CGCTableheader"/>
              <w:rPr>
                <w:lang w:val="en-AU"/>
              </w:rPr>
            </w:pPr>
            <w:r w:rsidRPr="00034E9B">
              <w:rPr>
                <w:lang w:val="en-AU"/>
              </w:rPr>
              <w:t>Category/disability</w:t>
            </w:r>
          </w:p>
        </w:tc>
        <w:tc>
          <w:tcPr>
            <w:tcW w:w="3698" w:type="pct"/>
            <w:shd w:val="clear" w:color="auto" w:fill="006991"/>
            <w:vAlign w:val="center"/>
            <w:hideMark/>
          </w:tcPr>
          <w:p w14:paraId="048B3D90" w14:textId="0C3F4839" w:rsidR="0016062C" w:rsidRPr="00034E9B" w:rsidRDefault="0016062C" w:rsidP="00B1630C">
            <w:pPr>
              <w:pStyle w:val="CGCTableheader"/>
              <w:rPr>
                <w:lang w:val="en-AU"/>
              </w:rPr>
            </w:pPr>
            <w:r w:rsidRPr="00034E9B">
              <w:rPr>
                <w:lang w:val="en-AU"/>
              </w:rPr>
              <w:t>Main changes</w:t>
            </w:r>
          </w:p>
        </w:tc>
      </w:tr>
      <w:tr w:rsidR="0016062C" w:rsidRPr="00034E9B" w14:paraId="20AA37AF" w14:textId="77777777" w:rsidTr="00C01414">
        <w:trPr>
          <w:trHeight w:val="285"/>
        </w:trPr>
        <w:tc>
          <w:tcPr>
            <w:tcW w:w="1302" w:type="pct"/>
          </w:tcPr>
          <w:p w14:paraId="3DA5C117" w14:textId="19487D89" w:rsidR="0016062C" w:rsidRPr="00034E9B" w:rsidRDefault="0016062C" w:rsidP="00F224BA">
            <w:pPr>
              <w:pStyle w:val="CGCTablerow"/>
              <w:rPr>
                <w:rFonts w:cs="Open Sans Light"/>
              </w:rPr>
            </w:pPr>
            <w:r w:rsidRPr="00034E9B">
              <w:rPr>
                <w:rFonts w:cs="Open Sans Light"/>
              </w:rPr>
              <w:t>Commonwealth payments</w:t>
            </w:r>
          </w:p>
        </w:tc>
        <w:tc>
          <w:tcPr>
            <w:tcW w:w="3698" w:type="pct"/>
            <w:vAlign w:val="center"/>
          </w:tcPr>
          <w:p w14:paraId="1AED678C" w14:textId="0D17F44B" w:rsidR="0016062C" w:rsidRPr="00034E9B" w:rsidRDefault="007067EE" w:rsidP="0016062C">
            <w:pPr>
              <w:pStyle w:val="CGCTablerow"/>
              <w:numPr>
                <w:ilvl w:val="0"/>
                <w:numId w:val="10"/>
              </w:numPr>
              <w:ind w:left="357" w:hanging="357"/>
            </w:pPr>
            <w:r>
              <w:t>Now has</w:t>
            </w:r>
            <w:r w:rsidR="0016062C" w:rsidRPr="00034E9B">
              <w:t xml:space="preserve"> two components: impact payments and other Commonwealth transfers that have no impact on State fiscal capacities.</w:t>
            </w:r>
          </w:p>
        </w:tc>
      </w:tr>
      <w:tr w:rsidR="0016062C" w:rsidRPr="00034E9B" w14:paraId="1D99505B" w14:textId="77777777" w:rsidTr="00C01414">
        <w:trPr>
          <w:trHeight w:val="285"/>
        </w:trPr>
        <w:tc>
          <w:tcPr>
            <w:tcW w:w="1302" w:type="pct"/>
          </w:tcPr>
          <w:p w14:paraId="3D26F58A" w14:textId="77777777" w:rsidR="0016062C" w:rsidRPr="00034E9B" w:rsidRDefault="0016062C" w:rsidP="0016062C">
            <w:pPr>
              <w:pStyle w:val="CGCTablerow"/>
              <w:rPr>
                <w:rFonts w:cs="Open Sans Light"/>
              </w:rPr>
            </w:pPr>
          </w:p>
        </w:tc>
        <w:tc>
          <w:tcPr>
            <w:tcW w:w="3698" w:type="pct"/>
            <w:vAlign w:val="center"/>
          </w:tcPr>
          <w:p w14:paraId="7E2E63A8" w14:textId="77777777" w:rsidR="0016062C" w:rsidRPr="00034E9B" w:rsidRDefault="0016062C" w:rsidP="0016062C">
            <w:pPr>
              <w:pStyle w:val="CGCTablerow"/>
              <w:numPr>
                <w:ilvl w:val="0"/>
                <w:numId w:val="10"/>
              </w:numPr>
              <w:ind w:left="357" w:hanging="357"/>
            </w:pPr>
            <w:r w:rsidRPr="00034E9B">
              <w:t>Assessment method unchanged but the treatment of some payments changed because of changes to other category assessments.</w:t>
            </w:r>
          </w:p>
          <w:p w14:paraId="7EE7CC66" w14:textId="0780F381" w:rsidR="0016062C" w:rsidRPr="00034E9B" w:rsidRDefault="0016062C" w:rsidP="0016062C">
            <w:pPr>
              <w:pStyle w:val="CGCTablerow"/>
              <w:numPr>
                <w:ilvl w:val="0"/>
                <w:numId w:val="10"/>
              </w:numPr>
              <w:ind w:left="357" w:hanging="357"/>
              <w:rPr>
                <w:rFonts w:cs="Open Sans Light"/>
              </w:rPr>
            </w:pPr>
            <w:r w:rsidRPr="00034E9B">
              <w:rPr>
                <w:rFonts w:cs="Open Sans Light"/>
              </w:rPr>
              <w:t xml:space="preserve">The treatment of National Disability SPP changed from </w:t>
            </w:r>
            <w:r w:rsidR="00323A8F" w:rsidRPr="00034E9B">
              <w:rPr>
                <w:rFonts w:cs="Open Sans Light"/>
              </w:rPr>
              <w:t xml:space="preserve">impact </w:t>
            </w:r>
            <w:r w:rsidRPr="00034E9B">
              <w:rPr>
                <w:rFonts w:cs="Open Sans Light"/>
              </w:rPr>
              <w:t>to equal per capita for all assessment years to reflect application year circumstances for SPP payment and disability services assessment.</w:t>
            </w:r>
          </w:p>
        </w:tc>
      </w:tr>
      <w:tr w:rsidR="0016062C" w:rsidRPr="00034E9B" w14:paraId="36825D51" w14:textId="77777777" w:rsidTr="00C01414">
        <w:trPr>
          <w:trHeight w:val="285"/>
        </w:trPr>
        <w:tc>
          <w:tcPr>
            <w:tcW w:w="1302" w:type="pct"/>
          </w:tcPr>
          <w:p w14:paraId="1DAC6ABC" w14:textId="52AD339D" w:rsidR="0016062C" w:rsidRPr="00034E9B" w:rsidRDefault="0016062C" w:rsidP="0016062C">
            <w:pPr>
              <w:pStyle w:val="CGCTablerow"/>
              <w:rPr>
                <w:rFonts w:cs="Open Sans Light"/>
              </w:rPr>
            </w:pPr>
            <w:r w:rsidRPr="00034E9B">
              <w:rPr>
                <w:rFonts w:cs="Open Sans Light"/>
              </w:rPr>
              <w:t>Payroll tax</w:t>
            </w:r>
          </w:p>
        </w:tc>
        <w:tc>
          <w:tcPr>
            <w:tcW w:w="3698" w:type="pct"/>
          </w:tcPr>
          <w:p w14:paraId="7A876032" w14:textId="33940AAF" w:rsidR="0016062C" w:rsidRPr="00034E9B" w:rsidRDefault="0016062C" w:rsidP="0016062C">
            <w:pPr>
              <w:pStyle w:val="CGCTablerow"/>
              <w:numPr>
                <w:ilvl w:val="0"/>
                <w:numId w:val="10"/>
              </w:numPr>
              <w:ind w:left="357" w:hanging="357"/>
              <w:rPr>
                <w:rFonts w:cs="Open Sans Light"/>
              </w:rPr>
            </w:pPr>
            <w:r w:rsidRPr="00034E9B">
              <w:rPr>
                <w:rFonts w:cs="Open Sans Light"/>
              </w:rPr>
              <w:t>The assessment method is unchanged.</w:t>
            </w:r>
          </w:p>
        </w:tc>
      </w:tr>
      <w:tr w:rsidR="0016062C" w:rsidRPr="00034E9B" w14:paraId="2AFA3859" w14:textId="77777777" w:rsidTr="00C01414">
        <w:tc>
          <w:tcPr>
            <w:tcW w:w="1302" w:type="pct"/>
            <w:hideMark/>
          </w:tcPr>
          <w:p w14:paraId="4242CFB5" w14:textId="06DDE840" w:rsidR="0016062C" w:rsidRPr="00034E9B" w:rsidRDefault="0016062C" w:rsidP="0016062C">
            <w:pPr>
              <w:pStyle w:val="CGCTablerow"/>
              <w:rPr>
                <w:rFonts w:cs="Open Sans Light"/>
              </w:rPr>
            </w:pPr>
            <w:r w:rsidRPr="00034E9B">
              <w:rPr>
                <w:rFonts w:cs="Open Sans Light"/>
              </w:rPr>
              <w:t>Land tax</w:t>
            </w:r>
          </w:p>
        </w:tc>
        <w:tc>
          <w:tcPr>
            <w:tcW w:w="3698" w:type="pct"/>
            <w:hideMark/>
          </w:tcPr>
          <w:p w14:paraId="132AEAF3" w14:textId="77777777" w:rsidR="0016062C" w:rsidRPr="00034E9B" w:rsidRDefault="0016062C" w:rsidP="0016062C">
            <w:pPr>
              <w:pStyle w:val="CGCTablerow"/>
              <w:numPr>
                <w:ilvl w:val="0"/>
                <w:numId w:val="10"/>
              </w:numPr>
              <w:ind w:left="357" w:hanging="357"/>
              <w:rPr>
                <w:rFonts w:cs="Open Sans Light"/>
              </w:rPr>
            </w:pPr>
            <w:r w:rsidRPr="00034E9B">
              <w:rPr>
                <w:rFonts w:cs="Open Sans Light"/>
              </w:rPr>
              <w:t>Revenue from fire and emergency levies on property is now offset against Other expenses.</w:t>
            </w:r>
          </w:p>
          <w:p w14:paraId="70843122" w14:textId="77777777" w:rsidR="0016062C" w:rsidRPr="00034E9B" w:rsidRDefault="0016062C" w:rsidP="0016062C">
            <w:pPr>
              <w:pStyle w:val="CGCTablerow"/>
              <w:numPr>
                <w:ilvl w:val="0"/>
                <w:numId w:val="10"/>
              </w:numPr>
              <w:ind w:left="357" w:hanging="357"/>
              <w:rPr>
                <w:rFonts w:cs="Open Sans Light"/>
              </w:rPr>
            </w:pPr>
            <w:r w:rsidRPr="00034E9B">
              <w:rPr>
                <w:rFonts w:cs="Open Sans Light"/>
              </w:rPr>
              <w:t>The other land based taxes have been moved to Other revenue.</w:t>
            </w:r>
          </w:p>
          <w:p w14:paraId="1A5DE2C9" w14:textId="77777777" w:rsidR="0016062C" w:rsidRPr="00034E9B" w:rsidRDefault="0016062C" w:rsidP="0016062C">
            <w:pPr>
              <w:pStyle w:val="CGCTablerow"/>
              <w:numPr>
                <w:ilvl w:val="0"/>
                <w:numId w:val="10"/>
              </w:numPr>
              <w:ind w:left="357" w:hanging="357"/>
              <w:rPr>
                <w:rFonts w:cs="Open Sans Light"/>
              </w:rPr>
            </w:pPr>
            <w:r w:rsidRPr="00034E9B">
              <w:rPr>
                <w:rFonts w:cs="Open Sans Light"/>
              </w:rPr>
              <w:t>The level of discount has been reduced from 25% to 12.5%.</w:t>
            </w:r>
          </w:p>
          <w:p w14:paraId="1ED1EF32" w14:textId="5FB2E593" w:rsidR="0016062C" w:rsidRPr="00034E9B" w:rsidRDefault="0016062C" w:rsidP="0016062C">
            <w:pPr>
              <w:pStyle w:val="CGCTablerow"/>
              <w:numPr>
                <w:ilvl w:val="0"/>
                <w:numId w:val="10"/>
              </w:numPr>
              <w:ind w:left="357" w:hanging="357"/>
            </w:pPr>
            <w:r w:rsidRPr="00034E9B">
              <w:t>The ACT adjustment has been increased from 2% to 6%</w:t>
            </w:r>
            <w:r w:rsidR="004638A5">
              <w:t>, fixed for the review</w:t>
            </w:r>
            <w:r w:rsidRPr="004D4015">
              <w:t>.</w:t>
            </w:r>
          </w:p>
          <w:p w14:paraId="6754602B" w14:textId="784E1869" w:rsidR="0016062C" w:rsidRPr="00034E9B" w:rsidRDefault="0016062C" w:rsidP="0016062C">
            <w:pPr>
              <w:pStyle w:val="CGCTablerow"/>
              <w:numPr>
                <w:ilvl w:val="0"/>
                <w:numId w:val="10"/>
              </w:numPr>
              <w:ind w:left="357" w:hanging="357"/>
            </w:pPr>
            <w:r w:rsidRPr="00034E9B">
              <w:t>The NT adjustment has been increased from 0.6% to 0.8</w:t>
            </w:r>
            <w:r w:rsidRPr="004D4015">
              <w:t>%</w:t>
            </w:r>
            <w:r w:rsidR="00DF3010">
              <w:t>, to be recalculated annually</w:t>
            </w:r>
            <w:r w:rsidRPr="004D4015">
              <w:t>.</w:t>
            </w:r>
          </w:p>
        </w:tc>
      </w:tr>
      <w:tr w:rsidR="0016062C" w:rsidRPr="00034E9B" w14:paraId="4E7C0EDC" w14:textId="77777777" w:rsidTr="00C01414">
        <w:tc>
          <w:tcPr>
            <w:tcW w:w="1302" w:type="pct"/>
            <w:hideMark/>
          </w:tcPr>
          <w:p w14:paraId="5C50894B" w14:textId="48725974" w:rsidR="0016062C" w:rsidRPr="00034E9B" w:rsidRDefault="0016062C" w:rsidP="0016062C">
            <w:pPr>
              <w:pStyle w:val="CGCTablerow"/>
              <w:rPr>
                <w:rFonts w:cs="Open Sans Light"/>
              </w:rPr>
            </w:pPr>
            <w:r w:rsidRPr="00034E9B">
              <w:rPr>
                <w:rFonts w:cs="Open Sans Light"/>
              </w:rPr>
              <w:t>Stamp duty on conveyances</w:t>
            </w:r>
          </w:p>
        </w:tc>
        <w:tc>
          <w:tcPr>
            <w:tcW w:w="3698" w:type="pct"/>
            <w:hideMark/>
          </w:tcPr>
          <w:p w14:paraId="295DDCF9" w14:textId="77777777" w:rsidR="0016062C" w:rsidRPr="00034E9B" w:rsidRDefault="0016062C" w:rsidP="0016062C">
            <w:pPr>
              <w:pStyle w:val="CGCTablerow"/>
              <w:numPr>
                <w:ilvl w:val="0"/>
                <w:numId w:val="10"/>
              </w:numPr>
              <w:ind w:left="357" w:hanging="357"/>
              <w:rPr>
                <w:rFonts w:cs="Open Sans Light"/>
              </w:rPr>
            </w:pPr>
            <w:r w:rsidRPr="00034E9B">
              <w:rPr>
                <w:rFonts w:cs="Open Sans Light"/>
              </w:rPr>
              <w:t>Stamp duties on the transfer of motor vehicles have been moved to Other revenue.</w:t>
            </w:r>
          </w:p>
          <w:p w14:paraId="10F3104E" w14:textId="77777777" w:rsidR="0016062C" w:rsidRPr="00034E9B" w:rsidRDefault="0016062C" w:rsidP="0016062C">
            <w:pPr>
              <w:pStyle w:val="CGCTablerow"/>
              <w:numPr>
                <w:ilvl w:val="0"/>
                <w:numId w:val="10"/>
              </w:numPr>
              <w:ind w:left="357" w:hanging="357"/>
              <w:rPr>
                <w:rFonts w:cs="Open Sans Light"/>
              </w:rPr>
            </w:pPr>
            <w:r w:rsidRPr="00034E9B">
              <w:rPr>
                <w:rFonts w:cs="Open Sans Light"/>
              </w:rPr>
              <w:t>No adjustment is made for concessional rates of duty relating to first home owners.</w:t>
            </w:r>
          </w:p>
          <w:p w14:paraId="57C53DA0" w14:textId="77777777" w:rsidR="0016062C" w:rsidRPr="00034E9B" w:rsidRDefault="0016062C" w:rsidP="0016062C">
            <w:pPr>
              <w:pStyle w:val="CGCTablerow"/>
              <w:numPr>
                <w:ilvl w:val="0"/>
                <w:numId w:val="10"/>
              </w:numPr>
              <w:ind w:left="357" w:hanging="357"/>
              <w:rPr>
                <w:rFonts w:cs="Open Sans Light"/>
              </w:rPr>
            </w:pPr>
            <w:r w:rsidRPr="00034E9B">
              <w:rPr>
                <w:rFonts w:cs="Open Sans Light"/>
              </w:rPr>
              <w:t>Land rich transactions by listed corporations are differentially assessed with other conveyance duties. Include 10% of the value of transactions in all States.</w:t>
            </w:r>
          </w:p>
          <w:p w14:paraId="44DA134B" w14:textId="77777777" w:rsidR="0016062C" w:rsidRPr="00034E9B" w:rsidRDefault="0016062C" w:rsidP="0016062C">
            <w:pPr>
              <w:pStyle w:val="CGCTablerow"/>
              <w:numPr>
                <w:ilvl w:val="0"/>
                <w:numId w:val="10"/>
              </w:numPr>
              <w:ind w:left="357" w:hanging="357"/>
              <w:rPr>
                <w:rFonts w:cs="Open Sans Light"/>
              </w:rPr>
            </w:pPr>
            <w:r w:rsidRPr="00034E9B">
              <w:rPr>
                <w:rFonts w:cs="Open Sans Light"/>
              </w:rPr>
              <w:t>Non-real property transactions have been moved to Other revenue.</w:t>
            </w:r>
          </w:p>
          <w:p w14:paraId="7D22FADC" w14:textId="77777777" w:rsidR="0016062C" w:rsidRPr="00034E9B" w:rsidRDefault="0016062C" w:rsidP="0016062C">
            <w:pPr>
              <w:pStyle w:val="CGCTablerow"/>
              <w:numPr>
                <w:ilvl w:val="0"/>
                <w:numId w:val="10"/>
              </w:numPr>
              <w:ind w:left="357" w:hanging="357"/>
              <w:rPr>
                <w:rFonts w:cs="Open Sans Light"/>
              </w:rPr>
            </w:pPr>
            <w:r w:rsidRPr="00034E9B">
              <w:rPr>
                <w:rFonts w:cs="Open Sans Light"/>
              </w:rPr>
              <w:t>The off-the-plan and unit trusts adjustments have been discontinued.</w:t>
            </w:r>
          </w:p>
          <w:p w14:paraId="236756DD" w14:textId="41FEC93A" w:rsidR="0016062C" w:rsidRPr="00034E9B" w:rsidRDefault="0016062C" w:rsidP="0016062C">
            <w:pPr>
              <w:pStyle w:val="CGCTablerow"/>
              <w:numPr>
                <w:ilvl w:val="0"/>
                <w:numId w:val="10"/>
              </w:numPr>
              <w:ind w:left="357" w:hanging="357"/>
              <w:rPr>
                <w:rFonts w:cs="Open Sans Light"/>
              </w:rPr>
            </w:pPr>
            <w:r w:rsidRPr="00034E9B">
              <w:rPr>
                <w:rFonts w:cs="Open Sans Light"/>
              </w:rPr>
              <w:t>Conveyance transactions that are not differentially assessed have been moved to Other revenue.</w:t>
            </w:r>
          </w:p>
        </w:tc>
      </w:tr>
      <w:tr w:rsidR="0016062C" w:rsidRPr="00034E9B" w14:paraId="76889DA7" w14:textId="77777777" w:rsidTr="00C01414">
        <w:tc>
          <w:tcPr>
            <w:tcW w:w="1302" w:type="pct"/>
          </w:tcPr>
          <w:p w14:paraId="0852FF11" w14:textId="04B0C92F" w:rsidR="0016062C" w:rsidRPr="00034E9B" w:rsidRDefault="0016062C" w:rsidP="0016062C">
            <w:pPr>
              <w:pStyle w:val="CGCTablerow"/>
              <w:rPr>
                <w:rFonts w:cs="Open Sans Light"/>
              </w:rPr>
            </w:pPr>
            <w:r w:rsidRPr="00034E9B">
              <w:rPr>
                <w:rFonts w:cs="Open Sans Light"/>
              </w:rPr>
              <w:t>Insurance tax</w:t>
            </w:r>
          </w:p>
        </w:tc>
        <w:tc>
          <w:tcPr>
            <w:tcW w:w="3698" w:type="pct"/>
          </w:tcPr>
          <w:p w14:paraId="0C6C6A9A" w14:textId="77777777" w:rsidR="0016062C" w:rsidRPr="00034E9B" w:rsidRDefault="0016062C" w:rsidP="0016062C">
            <w:pPr>
              <w:pStyle w:val="CGCTablerow"/>
              <w:numPr>
                <w:ilvl w:val="0"/>
                <w:numId w:val="10"/>
              </w:numPr>
              <w:ind w:left="357" w:hanging="357"/>
              <w:rPr>
                <w:rFonts w:cs="Open Sans Light"/>
              </w:rPr>
            </w:pPr>
            <w:r w:rsidRPr="00034E9B">
              <w:rPr>
                <w:rFonts w:cs="Open Sans Light"/>
              </w:rPr>
              <w:t>Revenue from fire and emergency levies on insurance products is now offset against Other expenses.</w:t>
            </w:r>
          </w:p>
          <w:p w14:paraId="3642491F" w14:textId="77777777" w:rsidR="0016062C" w:rsidRPr="00034E9B" w:rsidRDefault="0016062C" w:rsidP="0016062C">
            <w:pPr>
              <w:pStyle w:val="CGCTablerow"/>
              <w:numPr>
                <w:ilvl w:val="0"/>
                <w:numId w:val="10"/>
              </w:numPr>
              <w:ind w:left="357" w:hanging="357"/>
              <w:rPr>
                <w:rFonts w:cs="Open Sans Light"/>
              </w:rPr>
            </w:pPr>
            <w:r w:rsidRPr="00034E9B">
              <w:rPr>
                <w:rFonts w:cs="Open Sans Light"/>
              </w:rPr>
              <w:t>Revenue from workers’ compensation duty is now included in the category and assessed using the general insurance revenue base.</w:t>
            </w:r>
          </w:p>
          <w:p w14:paraId="704A8977" w14:textId="27FC066D" w:rsidR="0016062C" w:rsidRPr="00034E9B" w:rsidRDefault="0016062C" w:rsidP="0016062C">
            <w:pPr>
              <w:pStyle w:val="CGCTablerow"/>
              <w:numPr>
                <w:ilvl w:val="0"/>
                <w:numId w:val="10"/>
              </w:numPr>
              <w:ind w:left="357" w:hanging="357"/>
              <w:rPr>
                <w:rFonts w:cs="Open Sans Light"/>
              </w:rPr>
            </w:pPr>
            <w:r w:rsidRPr="00034E9B">
              <w:rPr>
                <w:rFonts w:cs="Open Sans Light"/>
              </w:rPr>
              <w:t>The capacity measure no longer includes premiums paid to public insurers or premiums paid to private insurers for CTP motor vehicle insurance.</w:t>
            </w:r>
          </w:p>
        </w:tc>
      </w:tr>
      <w:tr w:rsidR="0016062C" w:rsidRPr="00034E9B" w14:paraId="475D2437" w14:textId="77777777" w:rsidTr="00C01414">
        <w:tc>
          <w:tcPr>
            <w:tcW w:w="1302" w:type="pct"/>
          </w:tcPr>
          <w:p w14:paraId="72150095" w14:textId="35A7C9E6" w:rsidR="0016062C" w:rsidRPr="00034E9B" w:rsidRDefault="0016062C" w:rsidP="0016062C">
            <w:pPr>
              <w:pStyle w:val="CGCTablerow"/>
              <w:rPr>
                <w:rFonts w:cs="Open Sans Light"/>
              </w:rPr>
            </w:pPr>
            <w:r w:rsidRPr="00034E9B">
              <w:rPr>
                <w:rFonts w:cs="Open Sans Light"/>
              </w:rPr>
              <w:t>Motor taxes</w:t>
            </w:r>
          </w:p>
        </w:tc>
        <w:tc>
          <w:tcPr>
            <w:tcW w:w="3698" w:type="pct"/>
          </w:tcPr>
          <w:p w14:paraId="2AC44A25" w14:textId="7874325C" w:rsidR="0016062C" w:rsidRPr="00034E9B" w:rsidRDefault="0016062C" w:rsidP="0016062C">
            <w:pPr>
              <w:pStyle w:val="CGCTablerow"/>
              <w:numPr>
                <w:ilvl w:val="0"/>
                <w:numId w:val="10"/>
              </w:numPr>
              <w:ind w:left="357" w:hanging="357"/>
              <w:rPr>
                <w:rFonts w:cs="Open Sans Light"/>
              </w:rPr>
            </w:pPr>
            <w:r w:rsidRPr="00034E9B">
              <w:rPr>
                <w:rFonts w:cs="Open Sans Light"/>
              </w:rPr>
              <w:t>The assessment method is unchanged.</w:t>
            </w:r>
          </w:p>
        </w:tc>
      </w:tr>
      <w:tr w:rsidR="0016062C" w:rsidRPr="00034E9B" w14:paraId="3385411D" w14:textId="77777777" w:rsidTr="00C01414">
        <w:tc>
          <w:tcPr>
            <w:tcW w:w="1302" w:type="pct"/>
          </w:tcPr>
          <w:p w14:paraId="5B43235A" w14:textId="17C9DF31" w:rsidR="0016062C" w:rsidRPr="00034E9B" w:rsidRDefault="0016062C" w:rsidP="0016062C">
            <w:pPr>
              <w:pStyle w:val="CGCTablerow"/>
              <w:rPr>
                <w:rFonts w:cs="Open Sans Light"/>
              </w:rPr>
            </w:pPr>
            <w:r w:rsidRPr="00034E9B">
              <w:rPr>
                <w:rFonts w:cs="Open Sans Light"/>
              </w:rPr>
              <w:t>Mining revenue</w:t>
            </w:r>
          </w:p>
        </w:tc>
        <w:tc>
          <w:tcPr>
            <w:tcW w:w="3698" w:type="pct"/>
          </w:tcPr>
          <w:p w14:paraId="78E45AB5" w14:textId="694985D1" w:rsidR="00D42557" w:rsidRDefault="00D42557" w:rsidP="0016062C">
            <w:pPr>
              <w:pStyle w:val="CGCTablerow"/>
              <w:numPr>
                <w:ilvl w:val="0"/>
                <w:numId w:val="10"/>
              </w:numPr>
              <w:ind w:left="357" w:hanging="357"/>
              <w:rPr>
                <w:rFonts w:cs="Open Sans Light"/>
              </w:rPr>
            </w:pPr>
            <w:r>
              <w:rPr>
                <w:rFonts w:cs="Open Sans Light"/>
              </w:rPr>
              <w:t>The 215 Review methodology is unchang</w:t>
            </w:r>
            <w:r w:rsidR="0093474F">
              <w:rPr>
                <w:rFonts w:cs="Open Sans Light"/>
              </w:rPr>
              <w:t>ed, consistent with terms of reference.</w:t>
            </w:r>
          </w:p>
          <w:p w14:paraId="39B01793" w14:textId="0B020876" w:rsidR="0016062C" w:rsidRPr="00034E9B" w:rsidRDefault="00190754" w:rsidP="0016062C">
            <w:pPr>
              <w:pStyle w:val="CGCTablerow"/>
              <w:numPr>
                <w:ilvl w:val="0"/>
                <w:numId w:val="10"/>
              </w:numPr>
              <w:ind w:left="357" w:hanging="357"/>
              <w:rPr>
                <w:rFonts w:cs="Open Sans Light"/>
              </w:rPr>
            </w:pPr>
            <w:r>
              <w:rPr>
                <w:rFonts w:cs="Open Sans Light"/>
              </w:rPr>
              <w:t>Consistent with that methodology, n</w:t>
            </w:r>
            <w:r w:rsidR="0016062C" w:rsidRPr="004D4015">
              <w:rPr>
                <w:rFonts w:cs="Open Sans Light"/>
              </w:rPr>
              <w:t>ickel</w:t>
            </w:r>
            <w:r w:rsidR="0016062C" w:rsidRPr="00034E9B">
              <w:rPr>
                <w:rFonts w:cs="Open Sans Light"/>
              </w:rPr>
              <w:t xml:space="preserve"> royalties are now assessed in the other minerals component.</w:t>
            </w:r>
          </w:p>
        </w:tc>
      </w:tr>
      <w:tr w:rsidR="00285D6E" w:rsidRPr="00981A4E" w14:paraId="1F8EB245" w14:textId="77777777" w:rsidTr="00C01414">
        <w:tc>
          <w:tcPr>
            <w:tcW w:w="1302" w:type="pct"/>
          </w:tcPr>
          <w:p w14:paraId="1E36C1E6" w14:textId="77777777" w:rsidR="00285D6E" w:rsidRPr="00066FAD" w:rsidRDefault="00285D6E" w:rsidP="006267EA">
            <w:pPr>
              <w:pStyle w:val="CGCTablerow"/>
            </w:pPr>
            <w:r w:rsidRPr="00066FAD">
              <w:t>Other revenue</w:t>
            </w:r>
          </w:p>
        </w:tc>
        <w:tc>
          <w:tcPr>
            <w:tcW w:w="3698" w:type="pct"/>
          </w:tcPr>
          <w:p w14:paraId="35B944BC" w14:textId="77777777" w:rsidR="00285D6E" w:rsidRPr="00066FAD" w:rsidRDefault="00285D6E" w:rsidP="00285D6E">
            <w:pPr>
              <w:pStyle w:val="CGCTablerow"/>
              <w:numPr>
                <w:ilvl w:val="0"/>
                <w:numId w:val="11"/>
              </w:numPr>
              <w:ind w:left="357" w:hanging="357"/>
            </w:pPr>
            <w:r w:rsidRPr="00066FAD">
              <w:t>The assessment method (EPC) is unchanged. However, the composition of the category has changed.</w:t>
            </w:r>
          </w:p>
        </w:tc>
      </w:tr>
    </w:tbl>
    <w:p w14:paraId="1A1FBFCB" w14:textId="6B0386EF" w:rsidR="00242AD6" w:rsidRPr="00034E9B" w:rsidRDefault="00242AD6" w:rsidP="00242AD6">
      <w:pPr>
        <w:pStyle w:val="CGCTablenote"/>
      </w:pPr>
      <w:r w:rsidRPr="00034E9B">
        <w:t>Note:</w:t>
      </w:r>
      <w:r w:rsidRPr="00034E9B">
        <w:tab/>
        <w:t xml:space="preserve">Acronyms used in this table are spelt out in the </w:t>
      </w:r>
      <w:r w:rsidR="0069523A">
        <w:t xml:space="preserve">list of acronyms at the </w:t>
      </w:r>
      <w:r w:rsidR="00641913">
        <w:t>beginning of this volume</w:t>
      </w:r>
      <w:r w:rsidRPr="00034E9B">
        <w:t>.</w:t>
      </w:r>
    </w:p>
    <w:p w14:paraId="4F0D8272" w14:textId="77777777" w:rsidR="00242AD6" w:rsidRPr="00034E9B" w:rsidRDefault="00242AD6" w:rsidP="00242AD6">
      <w:pPr>
        <w:pStyle w:val="CGCTablenote"/>
      </w:pPr>
      <w:r w:rsidRPr="00034E9B">
        <w:t>Source:</w:t>
      </w:r>
      <w:r w:rsidRPr="00034E9B">
        <w:tab/>
        <w:t>Commission decisions.</w:t>
      </w:r>
    </w:p>
    <w:p w14:paraId="545235FD" w14:textId="77777777" w:rsidR="00242AD6" w:rsidRPr="00034E9B" w:rsidRDefault="00242AD6" w:rsidP="00242AD6">
      <w:pPr>
        <w:tabs>
          <w:tab w:val="clear" w:pos="567"/>
        </w:tabs>
        <w:spacing w:before="0" w:after="200" w:line="276" w:lineRule="auto"/>
        <w:rPr>
          <w:rFonts w:asciiTheme="minorHAnsi" w:hAnsiTheme="minorHAnsi"/>
          <w:sz w:val="24"/>
        </w:rPr>
      </w:pPr>
      <w:r w:rsidRPr="00034E9B">
        <w:rPr>
          <w:rFonts w:asciiTheme="minorHAnsi" w:hAnsiTheme="minorHAnsi"/>
          <w:sz w:val="24"/>
        </w:rPr>
        <w:br w:type="page"/>
      </w:r>
    </w:p>
    <w:p w14:paraId="70EE1E4C" w14:textId="77777777" w:rsidR="00242AD6" w:rsidRPr="00034E9B" w:rsidRDefault="00242AD6" w:rsidP="00242AD6">
      <w:pPr>
        <w:pStyle w:val="Caption"/>
      </w:pPr>
      <w:r w:rsidRPr="00034E9B">
        <w:lastRenderedPageBreak/>
        <w:t>Table 1</w:t>
      </w:r>
      <w:r w:rsidRPr="00034E9B">
        <w:noBreakHyphen/>
        <w:t>4</w:t>
      </w:r>
      <w:r w:rsidRPr="00034E9B">
        <w:tab/>
        <w:t>2020 Review changes to 2015 Review methodology (continued)</w:t>
      </w:r>
    </w:p>
    <w:tbl>
      <w:tblPr>
        <w:tblW w:w="8919" w:type="dxa"/>
        <w:tblBorders>
          <w:top w:val="single" w:sz="4" w:space="0" w:color="ADD6EA"/>
          <w:bottom w:val="single" w:sz="4" w:space="0" w:color="ADD6EA"/>
          <w:insideH w:val="single" w:sz="4" w:space="0" w:color="ADD6EA"/>
        </w:tblBorders>
        <w:tblCellMar>
          <w:left w:w="28" w:type="dxa"/>
          <w:right w:w="85" w:type="dxa"/>
        </w:tblCellMar>
        <w:tblLook w:val="04A0" w:firstRow="1" w:lastRow="0" w:firstColumn="1" w:lastColumn="0" w:noHBand="0" w:noVBand="1"/>
      </w:tblPr>
      <w:tblGrid>
        <w:gridCol w:w="2323"/>
        <w:gridCol w:w="6596"/>
      </w:tblGrid>
      <w:tr w:rsidR="00904B60" w:rsidRPr="00034E9B" w14:paraId="4D730870" w14:textId="77777777" w:rsidTr="00C01414">
        <w:trPr>
          <w:trHeight w:val="284"/>
        </w:trPr>
        <w:tc>
          <w:tcPr>
            <w:tcW w:w="1302" w:type="pct"/>
            <w:shd w:val="clear" w:color="auto" w:fill="006991"/>
            <w:vAlign w:val="center"/>
            <w:hideMark/>
          </w:tcPr>
          <w:p w14:paraId="7A0D3F52" w14:textId="434C5333" w:rsidR="00904B60" w:rsidRPr="00034E9B" w:rsidRDefault="00904B60" w:rsidP="008105A4">
            <w:pPr>
              <w:pStyle w:val="CGCTableheader"/>
              <w:rPr>
                <w:lang w:val="en-AU"/>
              </w:rPr>
            </w:pPr>
            <w:r w:rsidRPr="00034E9B">
              <w:rPr>
                <w:lang w:val="en-AU"/>
              </w:rPr>
              <w:t>Category/disability</w:t>
            </w:r>
          </w:p>
        </w:tc>
        <w:tc>
          <w:tcPr>
            <w:tcW w:w="3698" w:type="pct"/>
            <w:shd w:val="clear" w:color="auto" w:fill="006991"/>
            <w:vAlign w:val="center"/>
            <w:hideMark/>
          </w:tcPr>
          <w:p w14:paraId="6943146A" w14:textId="1932BBCC" w:rsidR="00904B60" w:rsidRPr="00034E9B" w:rsidRDefault="00904B60" w:rsidP="008105A4">
            <w:pPr>
              <w:pStyle w:val="CGCTableheader"/>
              <w:rPr>
                <w:lang w:val="en-AU"/>
              </w:rPr>
            </w:pPr>
            <w:r w:rsidRPr="00034E9B">
              <w:rPr>
                <w:lang w:val="en-AU"/>
              </w:rPr>
              <w:t>Main changes</w:t>
            </w:r>
          </w:p>
        </w:tc>
      </w:tr>
      <w:tr w:rsidR="00904B60" w:rsidRPr="00034E9B" w14:paraId="06603BE3" w14:textId="77777777" w:rsidTr="00C01414">
        <w:trPr>
          <w:trHeight w:val="248"/>
        </w:trPr>
        <w:tc>
          <w:tcPr>
            <w:tcW w:w="1302" w:type="pct"/>
          </w:tcPr>
          <w:p w14:paraId="7BD64235" w14:textId="784016D4" w:rsidR="00904B60" w:rsidRPr="00034E9B" w:rsidRDefault="00904B60" w:rsidP="00904B60">
            <w:pPr>
              <w:pStyle w:val="CGCTablerow"/>
            </w:pPr>
            <w:r w:rsidRPr="00034E9B">
              <w:t xml:space="preserve">Schools </w:t>
            </w:r>
          </w:p>
        </w:tc>
        <w:tc>
          <w:tcPr>
            <w:tcW w:w="3698" w:type="pct"/>
          </w:tcPr>
          <w:p w14:paraId="429C3EE2" w14:textId="24FB5B5A" w:rsidR="00904B60" w:rsidRPr="00034E9B" w:rsidRDefault="00904B60" w:rsidP="00904B60">
            <w:pPr>
              <w:pStyle w:val="CGCTablerow"/>
              <w:numPr>
                <w:ilvl w:val="0"/>
                <w:numId w:val="11"/>
              </w:numPr>
              <w:ind w:left="357" w:hanging="357"/>
            </w:pPr>
            <w:r w:rsidRPr="00034E9B">
              <w:t>The regression models used to estimate cost weights for Indigenous status, socio</w:t>
            </w:r>
            <w:r w:rsidR="008150A7">
              <w:noBreakHyphen/>
            </w:r>
            <w:r w:rsidRPr="00034E9B">
              <w:t>economic status (SES), service delivery scale (SD</w:t>
            </w:r>
            <w:r w:rsidR="008150A7">
              <w:t>S</w:t>
            </w:r>
            <w:r w:rsidRPr="00034E9B">
              <w:t xml:space="preserve">), and remoteness have been respecified. </w:t>
            </w:r>
          </w:p>
          <w:p w14:paraId="7F25408F" w14:textId="77777777" w:rsidR="00904B60" w:rsidRPr="00034E9B" w:rsidRDefault="00904B60" w:rsidP="00904B60">
            <w:pPr>
              <w:pStyle w:val="CGCTablerow"/>
              <w:numPr>
                <w:ilvl w:val="0"/>
                <w:numId w:val="11"/>
              </w:numPr>
              <w:ind w:left="357" w:hanging="357"/>
            </w:pPr>
            <w:r w:rsidRPr="00034E9B">
              <w:t xml:space="preserve">Commonwealth funded spending on non-government schools is now out of scope. </w:t>
            </w:r>
          </w:p>
          <w:p w14:paraId="532AB3B2" w14:textId="77777777" w:rsidR="00904B60" w:rsidRPr="00034E9B" w:rsidRDefault="00904B60" w:rsidP="00904B60">
            <w:pPr>
              <w:pStyle w:val="CGCTablerow"/>
              <w:numPr>
                <w:ilvl w:val="0"/>
                <w:numId w:val="11"/>
              </w:numPr>
              <w:ind w:left="357" w:hanging="357"/>
            </w:pPr>
            <w:r w:rsidRPr="00034E9B">
              <w:t>Expenses for transport of school children are now assessed in Transport.</w:t>
            </w:r>
          </w:p>
          <w:p w14:paraId="3557DA58" w14:textId="283C9659" w:rsidR="00904B60" w:rsidRPr="00034E9B" w:rsidRDefault="00904B60" w:rsidP="00904B60">
            <w:pPr>
              <w:pStyle w:val="CGCTablerow"/>
              <w:numPr>
                <w:ilvl w:val="0"/>
                <w:numId w:val="11"/>
              </w:numPr>
              <w:ind w:left="357" w:hanging="357"/>
            </w:pPr>
            <w:r w:rsidRPr="00034E9B">
              <w:t>Pre-year one student data are now incorporated in the assessment without being imputed from year one student data.</w:t>
            </w:r>
          </w:p>
        </w:tc>
      </w:tr>
      <w:tr w:rsidR="00904B60" w:rsidRPr="00034E9B" w14:paraId="5CF64323" w14:textId="77777777" w:rsidTr="00C01414">
        <w:trPr>
          <w:trHeight w:val="248"/>
        </w:trPr>
        <w:tc>
          <w:tcPr>
            <w:tcW w:w="1302" w:type="pct"/>
          </w:tcPr>
          <w:p w14:paraId="34E625BE" w14:textId="0E8BB343" w:rsidR="00904B60" w:rsidRPr="00034E9B" w:rsidRDefault="00904B60" w:rsidP="00904B60">
            <w:pPr>
              <w:pStyle w:val="CGCTablerow"/>
            </w:pPr>
            <w:r w:rsidRPr="00034E9B">
              <w:t>Post-secondary education</w:t>
            </w:r>
          </w:p>
        </w:tc>
        <w:tc>
          <w:tcPr>
            <w:tcW w:w="3698" w:type="pct"/>
          </w:tcPr>
          <w:p w14:paraId="6D76018E" w14:textId="77777777" w:rsidR="00904B60" w:rsidRPr="00034E9B" w:rsidRDefault="00904B60" w:rsidP="00904B60">
            <w:pPr>
              <w:pStyle w:val="CGCTablerow"/>
              <w:numPr>
                <w:ilvl w:val="0"/>
                <w:numId w:val="11"/>
              </w:numPr>
              <w:ind w:left="357" w:hanging="357"/>
            </w:pPr>
            <w:r w:rsidRPr="00034E9B">
              <w:t>Regional costs are now measured directly using State data.</w:t>
            </w:r>
          </w:p>
          <w:p w14:paraId="27B16ED9" w14:textId="63268863" w:rsidR="00904B60" w:rsidRPr="00034E9B" w:rsidRDefault="00904B60" w:rsidP="00904B60">
            <w:pPr>
              <w:pStyle w:val="CGCTablerow"/>
              <w:numPr>
                <w:ilvl w:val="0"/>
                <w:numId w:val="11"/>
              </w:numPr>
              <w:ind w:left="357" w:hanging="357"/>
            </w:pPr>
            <w:r w:rsidRPr="00034E9B">
              <w:t>The grouping of SES quintiles has been revised.</w:t>
            </w:r>
          </w:p>
        </w:tc>
      </w:tr>
      <w:tr w:rsidR="00904B60" w:rsidRPr="00034E9B" w14:paraId="7AF4E703" w14:textId="77777777" w:rsidTr="00C01414">
        <w:trPr>
          <w:trHeight w:val="248"/>
        </w:trPr>
        <w:tc>
          <w:tcPr>
            <w:tcW w:w="1302" w:type="pct"/>
          </w:tcPr>
          <w:p w14:paraId="6E7A7A6A" w14:textId="594C4CEA" w:rsidR="00904B60" w:rsidRPr="00034E9B" w:rsidRDefault="00904B60" w:rsidP="00904B60">
            <w:pPr>
              <w:pStyle w:val="CGCTablerow"/>
            </w:pPr>
            <w:r w:rsidRPr="00034E9B">
              <w:t>Health</w:t>
            </w:r>
          </w:p>
        </w:tc>
        <w:tc>
          <w:tcPr>
            <w:tcW w:w="3698" w:type="pct"/>
          </w:tcPr>
          <w:p w14:paraId="3D4F44C3" w14:textId="77777777" w:rsidR="00904B60" w:rsidRPr="00034E9B" w:rsidRDefault="00904B60" w:rsidP="00904B60">
            <w:pPr>
              <w:pStyle w:val="CGCTablerow"/>
              <w:numPr>
                <w:ilvl w:val="0"/>
                <w:numId w:val="11"/>
              </w:numPr>
              <w:ind w:left="357" w:hanging="357"/>
            </w:pPr>
            <w:r w:rsidRPr="00034E9B">
              <w:t xml:space="preserve">A remoteness adjustment is applied to the national weighted activity unit (NWAU) data for block funded hospitals in the admitted patients (AP) and emergency department (ED) assessments to ensure appropriate recognition of SDS costs. </w:t>
            </w:r>
          </w:p>
          <w:p w14:paraId="250DCE79" w14:textId="77777777" w:rsidR="00904B60" w:rsidRPr="00034E9B" w:rsidRDefault="00904B60" w:rsidP="00904B60">
            <w:pPr>
              <w:pStyle w:val="CGCTablerow"/>
              <w:numPr>
                <w:ilvl w:val="0"/>
                <w:numId w:val="11"/>
              </w:numPr>
              <w:ind w:left="357" w:hanging="357"/>
            </w:pPr>
            <w:r w:rsidRPr="00034E9B">
              <w:t xml:space="preserve">The regional costs factor for the non-admitted patients (NAP) assessment is based on ED data. An SDS factor based on ED data has been included. </w:t>
            </w:r>
          </w:p>
          <w:p w14:paraId="1DB6C56F" w14:textId="77777777" w:rsidR="00904B60" w:rsidRPr="00034E9B" w:rsidRDefault="00904B60" w:rsidP="00904B60">
            <w:pPr>
              <w:pStyle w:val="CGCTablerow"/>
              <w:numPr>
                <w:ilvl w:val="0"/>
                <w:numId w:val="11"/>
              </w:numPr>
              <w:ind w:left="357" w:hanging="357"/>
            </w:pPr>
            <w:r w:rsidRPr="00034E9B">
              <w:t>The regional and SDS cost adjustments for the community health (CH) assessment are based on the latest IHPA ED remoteness/SDS cost adjustment, respectively.</w:t>
            </w:r>
          </w:p>
          <w:p w14:paraId="07C10620" w14:textId="7A9F06CD" w:rsidR="00904B60" w:rsidRPr="00034E9B" w:rsidRDefault="00904B60" w:rsidP="00904B60">
            <w:pPr>
              <w:pStyle w:val="CGCTablerow"/>
              <w:numPr>
                <w:ilvl w:val="0"/>
                <w:numId w:val="11"/>
              </w:numPr>
              <w:ind w:left="357" w:hanging="357"/>
            </w:pPr>
            <w:r w:rsidRPr="00034E9B">
              <w:t>The 25% discount applied to the socio-demographic composition (SDC) assessment</w:t>
            </w:r>
            <w:r w:rsidR="00A31632">
              <w:t xml:space="preserve"> </w:t>
            </w:r>
            <w:r w:rsidR="00C33AB2">
              <w:t>was reduced to 12.5%</w:t>
            </w:r>
            <w:r w:rsidR="00186DDE">
              <w:t xml:space="preserve">. The corresponding discount applied to </w:t>
            </w:r>
            <w:r w:rsidR="00613421">
              <w:t>the</w:t>
            </w:r>
            <w:r w:rsidRPr="00034E9B">
              <w:t xml:space="preserve"> non-State sector adjustment for community health ha</w:t>
            </w:r>
            <w:r w:rsidR="00613421">
              <w:t>s</w:t>
            </w:r>
            <w:r w:rsidRPr="00034E9B">
              <w:t xml:space="preserve"> been removed.</w:t>
            </w:r>
          </w:p>
          <w:p w14:paraId="1314A217" w14:textId="77777777" w:rsidR="00904B60" w:rsidRPr="00034E9B" w:rsidRDefault="00904B60" w:rsidP="00904B60">
            <w:pPr>
              <w:pStyle w:val="CGCTablerow"/>
              <w:numPr>
                <w:ilvl w:val="0"/>
                <w:numId w:val="11"/>
              </w:numPr>
              <w:ind w:left="357" w:hanging="357"/>
            </w:pPr>
            <w:r w:rsidRPr="00034E9B">
              <w:t xml:space="preserve">The SDC assessments for all components disaggregate remote and very remote populations. </w:t>
            </w:r>
          </w:p>
          <w:p w14:paraId="199B0321" w14:textId="77777777" w:rsidR="00904B60" w:rsidRPr="00034E9B" w:rsidRDefault="00904B60" w:rsidP="00904B60">
            <w:pPr>
              <w:pStyle w:val="CGCTablerow"/>
              <w:numPr>
                <w:ilvl w:val="0"/>
                <w:numId w:val="11"/>
              </w:numPr>
              <w:ind w:left="357" w:hanging="357"/>
            </w:pPr>
            <w:r w:rsidRPr="00034E9B">
              <w:t>The assessment of Indigenous grants uses AIHW data. A regional costs factor based on ED data is applied.</w:t>
            </w:r>
          </w:p>
          <w:p w14:paraId="6AD3DA5C" w14:textId="77777777" w:rsidR="00904B60" w:rsidRPr="00034E9B" w:rsidRDefault="00904B60" w:rsidP="00904B60">
            <w:pPr>
              <w:pStyle w:val="CGCTablerow"/>
              <w:numPr>
                <w:ilvl w:val="0"/>
                <w:numId w:val="11"/>
              </w:numPr>
              <w:ind w:left="357" w:hanging="357"/>
            </w:pPr>
            <w:r w:rsidRPr="00034E9B">
              <w:t>A cross-border capital stock factor has been included in the health infrastructure assessment.</w:t>
            </w:r>
          </w:p>
          <w:p w14:paraId="5C6CDF4D" w14:textId="77777777" w:rsidR="00904B60" w:rsidRPr="00034E9B" w:rsidRDefault="00904B60" w:rsidP="00904B60">
            <w:pPr>
              <w:pStyle w:val="CGCTablerow"/>
              <w:numPr>
                <w:ilvl w:val="0"/>
                <w:numId w:val="11"/>
              </w:numPr>
              <w:ind w:left="357" w:hanging="357"/>
            </w:pPr>
            <w:r w:rsidRPr="00034E9B">
              <w:t>The ACT’s cross-border allowance for community health has been revised.</w:t>
            </w:r>
          </w:p>
          <w:p w14:paraId="57BF6BC1" w14:textId="77777777" w:rsidR="00904B60" w:rsidRPr="00034E9B" w:rsidRDefault="00904B60" w:rsidP="00904B60">
            <w:pPr>
              <w:pStyle w:val="CGCTablerow"/>
              <w:numPr>
                <w:ilvl w:val="0"/>
                <w:numId w:val="11"/>
              </w:numPr>
              <w:ind w:left="357" w:hanging="357"/>
            </w:pPr>
            <w:r w:rsidRPr="00034E9B">
              <w:t>A cross-border allowance for homelessness (Welfare) is included in the community health component.</w:t>
            </w:r>
          </w:p>
          <w:p w14:paraId="6595C2B2" w14:textId="77777777" w:rsidR="00904B60" w:rsidRPr="00034E9B" w:rsidRDefault="00904B60" w:rsidP="00904B60">
            <w:pPr>
              <w:pStyle w:val="CGCTablerow"/>
              <w:numPr>
                <w:ilvl w:val="0"/>
                <w:numId w:val="11"/>
              </w:numPr>
              <w:ind w:left="357" w:hanging="357"/>
            </w:pPr>
            <w:r w:rsidRPr="00034E9B">
              <w:t>Annual expenditure data for ED and NAP services from the National Hospital Cost Data Collection have been used to split outpatient expenses.</w:t>
            </w:r>
          </w:p>
          <w:p w14:paraId="3D5B22F8" w14:textId="77777777" w:rsidR="00904B60" w:rsidRPr="00034E9B" w:rsidRDefault="00904B60" w:rsidP="00904B60">
            <w:pPr>
              <w:pStyle w:val="CGCTablerow"/>
              <w:numPr>
                <w:ilvl w:val="0"/>
                <w:numId w:val="11"/>
              </w:numPr>
              <w:ind w:left="357" w:hanging="357"/>
            </w:pPr>
            <w:r w:rsidRPr="00034E9B">
              <w:t>The non-State sector substitutability levels for NAP and community health are 30% and 60% respectively.</w:t>
            </w:r>
          </w:p>
          <w:p w14:paraId="6C596B0B" w14:textId="77777777" w:rsidR="00904B60" w:rsidRPr="00034E9B" w:rsidRDefault="00904B60" w:rsidP="00904B60">
            <w:pPr>
              <w:pStyle w:val="CGCTablerow"/>
              <w:numPr>
                <w:ilvl w:val="0"/>
                <w:numId w:val="11"/>
              </w:numPr>
              <w:ind w:left="357" w:hanging="357"/>
            </w:pPr>
            <w:r w:rsidRPr="00034E9B">
              <w:t>The non-State sector indicator for NAP is based on bulk-billed medical operations and specialist services.</w:t>
            </w:r>
          </w:p>
          <w:p w14:paraId="3F53551C" w14:textId="3D6C74DD" w:rsidR="00904B60" w:rsidRPr="00034E9B" w:rsidRDefault="00904B60" w:rsidP="00904B60">
            <w:pPr>
              <w:pStyle w:val="CGCTablerow"/>
              <w:numPr>
                <w:ilvl w:val="0"/>
                <w:numId w:val="11"/>
              </w:numPr>
              <w:ind w:left="357" w:hanging="357"/>
            </w:pPr>
            <w:r w:rsidRPr="00034E9B">
              <w:t>Expenses for pharmaceuticals, medical aids and appliances and health administration not elsewhere classified are included in the admitted patients component.</w:t>
            </w:r>
          </w:p>
        </w:tc>
      </w:tr>
      <w:tr w:rsidR="00904B60" w:rsidRPr="00034E9B" w14:paraId="4BA53FEB" w14:textId="77777777" w:rsidTr="00C01414">
        <w:trPr>
          <w:trHeight w:val="248"/>
        </w:trPr>
        <w:tc>
          <w:tcPr>
            <w:tcW w:w="1302" w:type="pct"/>
          </w:tcPr>
          <w:p w14:paraId="204F681C" w14:textId="26797CA0" w:rsidR="00904B60" w:rsidRPr="00034E9B" w:rsidRDefault="00904B60" w:rsidP="00904B60">
            <w:pPr>
              <w:pStyle w:val="CGCTablerow"/>
            </w:pPr>
            <w:r w:rsidRPr="00034E9B">
              <w:t>Welfare</w:t>
            </w:r>
          </w:p>
        </w:tc>
        <w:tc>
          <w:tcPr>
            <w:tcW w:w="3698" w:type="pct"/>
          </w:tcPr>
          <w:p w14:paraId="55B97C18" w14:textId="77777777" w:rsidR="00904B60" w:rsidRPr="00034E9B" w:rsidRDefault="00904B60" w:rsidP="00904B60">
            <w:pPr>
              <w:pStyle w:val="CGCTablerow"/>
              <w:numPr>
                <w:ilvl w:val="0"/>
                <w:numId w:val="12"/>
              </w:numPr>
              <w:ind w:left="357" w:hanging="357"/>
            </w:pPr>
            <w:r w:rsidRPr="00034E9B">
              <w:t>Non-NDIS disability, aged care and National Redress Scheme for Institutional Child Sexual Abuse expenses are assessed EPC in a single component.</w:t>
            </w:r>
          </w:p>
          <w:p w14:paraId="47DA96FC" w14:textId="45BEEAC6" w:rsidR="00904B60" w:rsidRPr="00034E9B" w:rsidRDefault="00904B60" w:rsidP="00904B60">
            <w:pPr>
              <w:pStyle w:val="CGCTablerow"/>
              <w:numPr>
                <w:ilvl w:val="0"/>
                <w:numId w:val="12"/>
              </w:numPr>
              <w:ind w:left="357" w:hanging="357"/>
            </w:pPr>
            <w:r w:rsidRPr="00034E9B">
              <w:t>Other welfare expenses are assessed EPC</w:t>
            </w:r>
            <w:r w:rsidR="00D74D6E">
              <w:t xml:space="preserve"> but wage and regional cost</w:t>
            </w:r>
            <w:r w:rsidR="004546DF">
              <w:t xml:space="preserve"> disabilities</w:t>
            </w:r>
            <w:r w:rsidR="00D74D6E">
              <w:t xml:space="preserve"> are </w:t>
            </w:r>
            <w:r w:rsidR="004546DF">
              <w:t xml:space="preserve">still </w:t>
            </w:r>
            <w:r w:rsidR="00D74D6E">
              <w:t>applied</w:t>
            </w:r>
            <w:r w:rsidRPr="00034E9B">
              <w:t>.</w:t>
            </w:r>
          </w:p>
          <w:p w14:paraId="27DF1B76" w14:textId="77777777" w:rsidR="00904B60" w:rsidRPr="00034E9B" w:rsidRDefault="00904B60" w:rsidP="00904B60">
            <w:pPr>
              <w:pStyle w:val="CGCTablerow"/>
              <w:numPr>
                <w:ilvl w:val="0"/>
                <w:numId w:val="12"/>
              </w:numPr>
              <w:ind w:left="357" w:hanging="357"/>
            </w:pPr>
            <w:r w:rsidRPr="00034E9B">
              <w:t>A discounted (50%) combined general gradient has been used to recognise regional costs and service delivery scale effects.</w:t>
            </w:r>
          </w:p>
          <w:p w14:paraId="51D74CAC" w14:textId="352D5682" w:rsidR="00904B60" w:rsidRPr="00034E9B" w:rsidRDefault="00904B60" w:rsidP="00904B60">
            <w:pPr>
              <w:pStyle w:val="CGCTablerow"/>
              <w:numPr>
                <w:ilvl w:val="0"/>
                <w:numId w:val="12"/>
              </w:numPr>
              <w:ind w:left="357" w:hanging="357"/>
            </w:pPr>
            <w:r w:rsidRPr="00034E9B">
              <w:t>The cross-border disability for welfare services only recognises the ACT’s higher homelessness expenses. For simplicity, the disability is recognised in the Health category.</w:t>
            </w:r>
          </w:p>
        </w:tc>
      </w:tr>
      <w:tr w:rsidR="00904B60" w:rsidRPr="00034E9B" w14:paraId="1788552D" w14:textId="77777777" w:rsidTr="00C01414">
        <w:trPr>
          <w:trHeight w:val="248"/>
        </w:trPr>
        <w:tc>
          <w:tcPr>
            <w:tcW w:w="1302" w:type="pct"/>
          </w:tcPr>
          <w:p w14:paraId="1D92079E" w14:textId="24D36CBD" w:rsidR="00904B60" w:rsidRPr="00034E9B" w:rsidRDefault="00904B60" w:rsidP="00904B60">
            <w:pPr>
              <w:pStyle w:val="CGCTablerow"/>
            </w:pPr>
            <w:r w:rsidRPr="00034E9B">
              <w:t>Housing</w:t>
            </w:r>
          </w:p>
        </w:tc>
        <w:tc>
          <w:tcPr>
            <w:tcW w:w="3698" w:type="pct"/>
          </w:tcPr>
          <w:p w14:paraId="27B54691" w14:textId="77777777" w:rsidR="00904B60" w:rsidRPr="00034E9B" w:rsidRDefault="00904B60" w:rsidP="00904B60">
            <w:pPr>
              <w:pStyle w:val="CGCTablerow"/>
              <w:numPr>
                <w:ilvl w:val="0"/>
                <w:numId w:val="12"/>
              </w:numPr>
              <w:ind w:left="357" w:hanging="357"/>
            </w:pPr>
            <w:r w:rsidRPr="00034E9B">
              <w:t>Concessional rates of conveyance duty for first home owners are assessed in the Stamp duty on conveyances category.</w:t>
            </w:r>
          </w:p>
          <w:p w14:paraId="22404AF5" w14:textId="7060E511" w:rsidR="00904B60" w:rsidRPr="00034E9B" w:rsidRDefault="00904B60" w:rsidP="00904B60">
            <w:pPr>
              <w:pStyle w:val="CGCTablerow"/>
              <w:numPr>
                <w:ilvl w:val="0"/>
                <w:numId w:val="12"/>
              </w:numPr>
              <w:ind w:left="357" w:hanging="357"/>
            </w:pPr>
            <w:r w:rsidRPr="00034E9B">
              <w:t xml:space="preserve">The Indigenous cost weight has been reduced from 1.3 to 1.2. </w:t>
            </w:r>
          </w:p>
        </w:tc>
      </w:tr>
    </w:tbl>
    <w:p w14:paraId="64384D5A" w14:textId="2B296F28" w:rsidR="00242AD6" w:rsidRPr="00034E9B" w:rsidRDefault="00242AD6" w:rsidP="00242AD6">
      <w:pPr>
        <w:pStyle w:val="CGCTablenote"/>
      </w:pPr>
      <w:r w:rsidRPr="00034E9B">
        <w:t>Note:</w:t>
      </w:r>
      <w:r w:rsidRPr="00034E9B">
        <w:tab/>
        <w:t xml:space="preserve">Acronyms used in this table are spelt out in the </w:t>
      </w:r>
      <w:r w:rsidR="00641913">
        <w:t>list of acronyms at the beginning of this volume</w:t>
      </w:r>
      <w:r w:rsidRPr="00034E9B">
        <w:t>.</w:t>
      </w:r>
    </w:p>
    <w:p w14:paraId="5EFC63C3" w14:textId="77777777" w:rsidR="00242AD6" w:rsidRPr="00034E9B" w:rsidRDefault="00242AD6" w:rsidP="00242AD6">
      <w:pPr>
        <w:pStyle w:val="CGCTablenote"/>
      </w:pPr>
      <w:r w:rsidRPr="00034E9B">
        <w:t>Source:</w:t>
      </w:r>
      <w:r w:rsidRPr="00034E9B">
        <w:tab/>
        <w:t>Commission decisions.</w:t>
      </w:r>
    </w:p>
    <w:p w14:paraId="138C2987" w14:textId="77777777" w:rsidR="00242AD6" w:rsidRPr="00034E9B" w:rsidRDefault="00242AD6" w:rsidP="00242AD6">
      <w:pPr>
        <w:tabs>
          <w:tab w:val="clear" w:pos="567"/>
        </w:tabs>
        <w:spacing w:before="0" w:after="200" w:line="276" w:lineRule="auto"/>
        <w:rPr>
          <w:rFonts w:ascii="Montserrat Ultra Light" w:hAnsi="Montserrat Ultra Light"/>
          <w:b/>
          <w:szCs w:val="20"/>
        </w:rPr>
      </w:pPr>
      <w:r w:rsidRPr="00034E9B">
        <w:br w:type="page"/>
      </w:r>
    </w:p>
    <w:p w14:paraId="0321D2EC" w14:textId="77777777" w:rsidR="00242AD6" w:rsidRPr="00034E9B" w:rsidRDefault="00242AD6" w:rsidP="00242AD6">
      <w:pPr>
        <w:pStyle w:val="Caption"/>
      </w:pPr>
      <w:r w:rsidRPr="00034E9B">
        <w:lastRenderedPageBreak/>
        <w:t>Table 1-4</w:t>
      </w:r>
      <w:r w:rsidRPr="00034E9B">
        <w:tab/>
        <w:t>2020 Review changes to 2015 Review methodology (continued)</w:t>
      </w:r>
    </w:p>
    <w:tbl>
      <w:tblPr>
        <w:tblW w:w="9072" w:type="dxa"/>
        <w:tblBorders>
          <w:top w:val="single" w:sz="4" w:space="0" w:color="ADD6EA"/>
          <w:bottom w:val="single" w:sz="4" w:space="0" w:color="ADD6EA"/>
          <w:insideH w:val="single" w:sz="4" w:space="0" w:color="ADD6EA"/>
        </w:tblBorders>
        <w:tblLayout w:type="fixed"/>
        <w:tblCellMar>
          <w:left w:w="0" w:type="dxa"/>
          <w:right w:w="0" w:type="dxa"/>
        </w:tblCellMar>
        <w:tblLook w:val="04A0" w:firstRow="1" w:lastRow="0" w:firstColumn="1" w:lastColumn="0" w:noHBand="0" w:noVBand="1"/>
      </w:tblPr>
      <w:tblGrid>
        <w:gridCol w:w="2268"/>
        <w:gridCol w:w="6804"/>
      </w:tblGrid>
      <w:tr w:rsidR="00115444" w:rsidRPr="00034E9B" w14:paraId="4B52DA94" w14:textId="77777777" w:rsidTr="00B6471B">
        <w:trPr>
          <w:trHeight w:val="340"/>
        </w:trPr>
        <w:tc>
          <w:tcPr>
            <w:tcW w:w="1250" w:type="pct"/>
            <w:shd w:val="clear" w:color="auto" w:fill="006991"/>
            <w:vAlign w:val="center"/>
          </w:tcPr>
          <w:p w14:paraId="43A56806" w14:textId="4573ADA9" w:rsidR="00115444" w:rsidRPr="00034E9B" w:rsidRDefault="00115444" w:rsidP="00115444">
            <w:pPr>
              <w:pStyle w:val="CGCTableheader"/>
              <w:rPr>
                <w:lang w:val="en-AU"/>
              </w:rPr>
            </w:pPr>
            <w:r w:rsidRPr="00034E9B">
              <w:rPr>
                <w:lang w:val="en-AU"/>
              </w:rPr>
              <w:t>Category/disability</w:t>
            </w:r>
          </w:p>
        </w:tc>
        <w:tc>
          <w:tcPr>
            <w:tcW w:w="3750" w:type="pct"/>
            <w:shd w:val="clear" w:color="auto" w:fill="006991"/>
            <w:noWrap/>
            <w:vAlign w:val="center"/>
          </w:tcPr>
          <w:p w14:paraId="3B94822D" w14:textId="26056843" w:rsidR="00115444" w:rsidRPr="00034E9B" w:rsidRDefault="00115444" w:rsidP="00115444">
            <w:pPr>
              <w:pStyle w:val="CGCTableheader"/>
              <w:rPr>
                <w:lang w:val="en-AU"/>
              </w:rPr>
            </w:pPr>
            <w:r w:rsidRPr="00034E9B">
              <w:rPr>
                <w:lang w:val="en-AU"/>
              </w:rPr>
              <w:t>Main changes</w:t>
            </w:r>
          </w:p>
        </w:tc>
      </w:tr>
      <w:tr w:rsidR="00115444" w:rsidRPr="00034E9B" w14:paraId="538AF159" w14:textId="77777777" w:rsidTr="00242AD6">
        <w:tc>
          <w:tcPr>
            <w:tcW w:w="1250" w:type="pct"/>
            <w:hideMark/>
          </w:tcPr>
          <w:p w14:paraId="44983EA0" w14:textId="44A5B307" w:rsidR="00115444" w:rsidRPr="00034E9B" w:rsidRDefault="00115444" w:rsidP="00115444">
            <w:pPr>
              <w:pStyle w:val="CGCTablerow"/>
            </w:pPr>
            <w:r w:rsidRPr="00034E9B">
              <w:t>Services to communities</w:t>
            </w:r>
          </w:p>
        </w:tc>
        <w:tc>
          <w:tcPr>
            <w:tcW w:w="3750" w:type="pct"/>
            <w:noWrap/>
            <w:hideMark/>
          </w:tcPr>
          <w:p w14:paraId="4983A3A4" w14:textId="77777777" w:rsidR="00115444" w:rsidRPr="00034E9B" w:rsidRDefault="00115444" w:rsidP="00115444">
            <w:pPr>
              <w:pStyle w:val="CGCTablerow"/>
              <w:numPr>
                <w:ilvl w:val="0"/>
                <w:numId w:val="16"/>
              </w:numPr>
              <w:ind w:left="414" w:hanging="357"/>
              <w:rPr>
                <w:szCs w:val="16"/>
              </w:rPr>
            </w:pPr>
            <w:r w:rsidRPr="00034E9B">
              <w:t>Electricity</w:t>
            </w:r>
            <w:r w:rsidRPr="00034E9B">
              <w:rPr>
                <w:szCs w:val="16"/>
              </w:rPr>
              <w:t xml:space="preserve"> subsidies and water subsidies are separately assessed.</w:t>
            </w:r>
          </w:p>
          <w:p w14:paraId="5A29ABAF" w14:textId="77777777" w:rsidR="00115444" w:rsidRPr="00034E9B" w:rsidRDefault="00115444" w:rsidP="00115444">
            <w:pPr>
              <w:pStyle w:val="CGCTablerow"/>
              <w:numPr>
                <w:ilvl w:val="0"/>
                <w:numId w:val="12"/>
              </w:numPr>
              <w:ind w:left="414" w:hanging="357"/>
              <w:rPr>
                <w:szCs w:val="16"/>
              </w:rPr>
            </w:pPr>
            <w:r w:rsidRPr="00034E9B">
              <w:rPr>
                <w:szCs w:val="16"/>
              </w:rPr>
              <w:t xml:space="preserve">For the </w:t>
            </w:r>
            <w:r w:rsidRPr="00034E9B">
              <w:t>electricity</w:t>
            </w:r>
            <w:r w:rsidRPr="00034E9B">
              <w:rPr>
                <w:szCs w:val="16"/>
              </w:rPr>
              <w:t xml:space="preserve"> subsidies assessment:</w:t>
            </w:r>
          </w:p>
          <w:p w14:paraId="0BAC4200" w14:textId="77777777" w:rsidR="00115444" w:rsidRPr="00034E9B" w:rsidRDefault="00115444" w:rsidP="00115444">
            <w:pPr>
              <w:pStyle w:val="ListParagraph"/>
              <w:numPr>
                <w:ilvl w:val="0"/>
                <w:numId w:val="14"/>
              </w:numPr>
              <w:spacing w:before="0"/>
              <w:ind w:left="924" w:hanging="357"/>
              <w:contextualSpacing w:val="0"/>
              <w:rPr>
                <w:sz w:val="16"/>
                <w:szCs w:val="16"/>
              </w:rPr>
            </w:pPr>
            <w:r w:rsidRPr="00034E9B">
              <w:rPr>
                <w:sz w:val="16"/>
                <w:szCs w:val="16"/>
              </w:rPr>
              <w:t>the definition of remote communities includes communities in a remote or very remote area with a population of over 50 people and a population density of at least 60 persons per km</w:t>
            </w:r>
            <w:r w:rsidRPr="00034E9B">
              <w:rPr>
                <w:sz w:val="16"/>
                <w:szCs w:val="16"/>
                <w:vertAlign w:val="superscript"/>
              </w:rPr>
              <w:t>2</w:t>
            </w:r>
          </w:p>
          <w:p w14:paraId="6A6CC347" w14:textId="77777777" w:rsidR="00115444" w:rsidRPr="00034E9B" w:rsidRDefault="00115444" w:rsidP="00115444">
            <w:pPr>
              <w:pStyle w:val="ListParagraph"/>
              <w:numPr>
                <w:ilvl w:val="0"/>
                <w:numId w:val="14"/>
              </w:numPr>
              <w:spacing w:before="0"/>
              <w:ind w:left="924" w:hanging="357"/>
              <w:contextualSpacing w:val="0"/>
              <w:rPr>
                <w:sz w:val="16"/>
                <w:szCs w:val="16"/>
              </w:rPr>
            </w:pPr>
            <w:r w:rsidRPr="00034E9B">
              <w:rPr>
                <w:sz w:val="16"/>
                <w:szCs w:val="16"/>
              </w:rPr>
              <w:t>the regional costs assessment applies a cost weight to people in very remote communities, which is derived from regression analysis of State subsidy data</w:t>
            </w:r>
          </w:p>
          <w:p w14:paraId="698C6D5B" w14:textId="77777777" w:rsidR="00115444" w:rsidRPr="00034E9B" w:rsidRDefault="00115444" w:rsidP="00115444">
            <w:pPr>
              <w:pStyle w:val="ListParagraph"/>
              <w:numPr>
                <w:ilvl w:val="0"/>
                <w:numId w:val="14"/>
              </w:numPr>
              <w:spacing w:before="0"/>
              <w:ind w:left="924" w:hanging="357"/>
              <w:contextualSpacing w:val="0"/>
              <w:rPr>
                <w:sz w:val="16"/>
                <w:szCs w:val="16"/>
              </w:rPr>
            </w:pPr>
            <w:r w:rsidRPr="00034E9B">
              <w:rPr>
                <w:sz w:val="16"/>
                <w:szCs w:val="16"/>
              </w:rPr>
              <w:t>the proportion of remote community electricity subsidies and other electricity subsidies is updated annually using State data</w:t>
            </w:r>
          </w:p>
          <w:p w14:paraId="4B4C31D8" w14:textId="77777777" w:rsidR="00115444" w:rsidRPr="00034E9B" w:rsidRDefault="00115444" w:rsidP="00115444">
            <w:pPr>
              <w:pStyle w:val="ListParagraph"/>
              <w:numPr>
                <w:ilvl w:val="0"/>
                <w:numId w:val="14"/>
              </w:numPr>
              <w:spacing w:before="0"/>
              <w:ind w:left="924" w:hanging="357"/>
              <w:contextualSpacing w:val="0"/>
              <w:rPr>
                <w:sz w:val="16"/>
                <w:szCs w:val="16"/>
              </w:rPr>
            </w:pPr>
            <w:r w:rsidRPr="00034E9B">
              <w:rPr>
                <w:sz w:val="16"/>
                <w:szCs w:val="16"/>
              </w:rPr>
              <w:t>wage costs are assessed.</w:t>
            </w:r>
          </w:p>
          <w:p w14:paraId="452119FD" w14:textId="77777777" w:rsidR="00115444" w:rsidRPr="00034E9B" w:rsidRDefault="00115444" w:rsidP="00115444">
            <w:pPr>
              <w:pStyle w:val="CGCTablerow"/>
              <w:numPr>
                <w:ilvl w:val="0"/>
                <w:numId w:val="12"/>
              </w:numPr>
              <w:ind w:left="414" w:hanging="357"/>
              <w:rPr>
                <w:szCs w:val="16"/>
              </w:rPr>
            </w:pPr>
            <w:r w:rsidRPr="00034E9B">
              <w:rPr>
                <w:szCs w:val="16"/>
              </w:rPr>
              <w:t xml:space="preserve">For </w:t>
            </w:r>
            <w:r w:rsidRPr="00034E9B">
              <w:t>the</w:t>
            </w:r>
            <w:r w:rsidRPr="00034E9B">
              <w:rPr>
                <w:szCs w:val="16"/>
              </w:rPr>
              <w:t xml:space="preserve"> water subsidies assessment:</w:t>
            </w:r>
          </w:p>
          <w:p w14:paraId="21EED5AE" w14:textId="77777777" w:rsidR="00115444" w:rsidRPr="00034E9B" w:rsidRDefault="00115444" w:rsidP="00115444">
            <w:pPr>
              <w:pStyle w:val="ListParagraph"/>
              <w:numPr>
                <w:ilvl w:val="0"/>
                <w:numId w:val="15"/>
              </w:numPr>
              <w:spacing w:before="0"/>
              <w:ind w:left="924" w:hanging="357"/>
              <w:contextualSpacing w:val="0"/>
              <w:rPr>
                <w:sz w:val="16"/>
                <w:szCs w:val="16"/>
              </w:rPr>
            </w:pPr>
            <w:r w:rsidRPr="00034E9B">
              <w:rPr>
                <w:sz w:val="16"/>
                <w:szCs w:val="16"/>
              </w:rPr>
              <w:t>the definition of small communities includes communities in an inner regional, outer regional, remote or very remote area with a population of over 50 but less than 3 000 people and a population density of at least 60 persons per km</w:t>
            </w:r>
            <w:r w:rsidRPr="00034E9B">
              <w:rPr>
                <w:sz w:val="16"/>
                <w:szCs w:val="16"/>
                <w:vertAlign w:val="superscript"/>
              </w:rPr>
              <w:t>2</w:t>
            </w:r>
          </w:p>
          <w:p w14:paraId="628834B9" w14:textId="77777777" w:rsidR="00115444" w:rsidRPr="00034E9B" w:rsidRDefault="00115444" w:rsidP="00115444">
            <w:pPr>
              <w:pStyle w:val="ListParagraph"/>
              <w:numPr>
                <w:ilvl w:val="0"/>
                <w:numId w:val="15"/>
              </w:numPr>
              <w:spacing w:before="0"/>
              <w:ind w:left="924" w:hanging="357"/>
              <w:contextualSpacing w:val="0"/>
              <w:rPr>
                <w:sz w:val="16"/>
                <w:szCs w:val="16"/>
              </w:rPr>
            </w:pPr>
            <w:r w:rsidRPr="00034E9B">
              <w:rPr>
                <w:sz w:val="16"/>
                <w:szCs w:val="16"/>
              </w:rPr>
              <w:t>the regional cost assessment applies a cost weights to people in small communities in outer regional, remote and very communities, which is derived from State subsidy data</w:t>
            </w:r>
          </w:p>
          <w:p w14:paraId="1E5B861C" w14:textId="77777777" w:rsidR="00115444" w:rsidRPr="00034E9B" w:rsidRDefault="00115444" w:rsidP="00115444">
            <w:pPr>
              <w:pStyle w:val="ListParagraph"/>
              <w:numPr>
                <w:ilvl w:val="0"/>
                <w:numId w:val="15"/>
              </w:numPr>
              <w:spacing w:before="0"/>
              <w:ind w:left="924" w:hanging="357"/>
              <w:contextualSpacing w:val="0"/>
              <w:rPr>
                <w:sz w:val="16"/>
                <w:szCs w:val="16"/>
              </w:rPr>
            </w:pPr>
            <w:r w:rsidRPr="00034E9B">
              <w:rPr>
                <w:sz w:val="16"/>
                <w:szCs w:val="16"/>
              </w:rPr>
              <w:t>the proportion of small community water subsidies and other water subsidies is updated annually using State data</w:t>
            </w:r>
          </w:p>
          <w:p w14:paraId="38349F0A" w14:textId="77777777" w:rsidR="00115444" w:rsidRPr="00034E9B" w:rsidRDefault="00115444" w:rsidP="00115444">
            <w:pPr>
              <w:pStyle w:val="ListParagraph"/>
              <w:numPr>
                <w:ilvl w:val="0"/>
                <w:numId w:val="15"/>
              </w:numPr>
              <w:spacing w:before="0"/>
              <w:ind w:left="924" w:hanging="357"/>
              <w:contextualSpacing w:val="0"/>
              <w:rPr>
                <w:sz w:val="16"/>
                <w:szCs w:val="16"/>
              </w:rPr>
            </w:pPr>
            <w:r w:rsidRPr="00034E9B">
              <w:rPr>
                <w:sz w:val="16"/>
                <w:szCs w:val="16"/>
              </w:rPr>
              <w:t>wage costs are assessed.</w:t>
            </w:r>
          </w:p>
          <w:p w14:paraId="55C60551" w14:textId="77777777" w:rsidR="00115444" w:rsidRPr="00034E9B" w:rsidRDefault="00115444" w:rsidP="00115444">
            <w:pPr>
              <w:pStyle w:val="ListParagraph"/>
              <w:numPr>
                <w:ilvl w:val="0"/>
                <w:numId w:val="13"/>
              </w:numPr>
              <w:spacing w:before="0" w:line="240" w:lineRule="auto"/>
              <w:ind w:left="414" w:hanging="357"/>
              <w:contextualSpacing w:val="0"/>
              <w:rPr>
                <w:sz w:val="16"/>
                <w:szCs w:val="16"/>
              </w:rPr>
            </w:pPr>
            <w:r w:rsidRPr="00034E9B">
              <w:rPr>
                <w:sz w:val="16"/>
                <w:szCs w:val="16"/>
              </w:rPr>
              <w:t>Indigenous community development expenses are derived using State data and includes general revenue grants to Indigenous councils.</w:t>
            </w:r>
          </w:p>
          <w:p w14:paraId="482521B5" w14:textId="28C6E798" w:rsidR="00115444" w:rsidRPr="00034E9B" w:rsidRDefault="00115444" w:rsidP="00115444">
            <w:pPr>
              <w:pStyle w:val="ListParagraph"/>
              <w:numPr>
                <w:ilvl w:val="0"/>
                <w:numId w:val="13"/>
              </w:numPr>
              <w:spacing w:before="0" w:line="240" w:lineRule="auto"/>
              <w:ind w:left="414" w:hanging="357"/>
              <w:contextualSpacing w:val="0"/>
            </w:pPr>
            <w:r w:rsidRPr="00034E9B">
              <w:rPr>
                <w:sz w:val="16"/>
                <w:szCs w:val="16"/>
              </w:rPr>
              <w:t>Changes to GFS classifications mean that national parks and wildlife expenses are now included in this category.</w:t>
            </w:r>
          </w:p>
        </w:tc>
      </w:tr>
      <w:tr w:rsidR="00115444" w:rsidRPr="00034E9B" w14:paraId="086D02A5" w14:textId="77777777" w:rsidTr="00242AD6">
        <w:tc>
          <w:tcPr>
            <w:tcW w:w="1250" w:type="pct"/>
          </w:tcPr>
          <w:p w14:paraId="1459BFF2" w14:textId="71E8834E" w:rsidR="00115444" w:rsidRPr="00034E9B" w:rsidRDefault="00115444" w:rsidP="00115444">
            <w:pPr>
              <w:pStyle w:val="CGCTablerow"/>
            </w:pPr>
            <w:r w:rsidRPr="00034E9B">
              <w:t>Justice</w:t>
            </w:r>
          </w:p>
        </w:tc>
        <w:tc>
          <w:tcPr>
            <w:tcW w:w="3750" w:type="pct"/>
          </w:tcPr>
          <w:p w14:paraId="727F4AE0" w14:textId="77777777" w:rsidR="00115444" w:rsidRPr="00034E9B" w:rsidRDefault="00115444" w:rsidP="00115444">
            <w:pPr>
              <w:pStyle w:val="CGCTablerow"/>
              <w:numPr>
                <w:ilvl w:val="0"/>
                <w:numId w:val="17"/>
              </w:numPr>
              <w:ind w:left="414" w:hanging="357"/>
            </w:pPr>
            <w:r w:rsidRPr="00034E9B">
              <w:t>The split between ‘specialised’ and ‘community’ expenses has been removed, including the discount previously applied to specialist policing expenses.</w:t>
            </w:r>
          </w:p>
          <w:p w14:paraId="18687A1A" w14:textId="77777777" w:rsidR="00115444" w:rsidRPr="00034E9B" w:rsidRDefault="00115444" w:rsidP="00115444">
            <w:pPr>
              <w:pStyle w:val="CGCTablerow"/>
              <w:numPr>
                <w:ilvl w:val="0"/>
                <w:numId w:val="17"/>
              </w:numPr>
              <w:ind w:left="414" w:hanging="357"/>
            </w:pPr>
            <w:r w:rsidRPr="00034E9B">
              <w:t xml:space="preserve">Police costs are assessed using cost weights by region and assessed offenders, derived from an econometric model using State provided data. </w:t>
            </w:r>
          </w:p>
          <w:p w14:paraId="7B20E91F" w14:textId="77777777" w:rsidR="00115444" w:rsidRPr="00034E9B" w:rsidRDefault="00115444" w:rsidP="00115444">
            <w:pPr>
              <w:pStyle w:val="CGCTablerow"/>
              <w:numPr>
                <w:ilvl w:val="0"/>
                <w:numId w:val="17"/>
              </w:numPr>
              <w:ind w:left="414" w:hanging="357"/>
            </w:pPr>
            <w:r w:rsidRPr="00034E9B">
              <w:t>The courts component has been split into separate criminal courts and other legal services components.</w:t>
            </w:r>
          </w:p>
          <w:p w14:paraId="389C3483" w14:textId="77777777" w:rsidR="00115444" w:rsidRPr="00034E9B" w:rsidRDefault="00115444" w:rsidP="00115444">
            <w:pPr>
              <w:pStyle w:val="CGCTablerow"/>
              <w:numPr>
                <w:ilvl w:val="0"/>
                <w:numId w:val="17"/>
              </w:numPr>
              <w:ind w:left="414" w:hanging="357"/>
            </w:pPr>
            <w:r w:rsidRPr="00034E9B">
              <w:t>For criminal courts, Indigenous status non-response has been allocated in relation to the ERP distribution, rather than responding criminal court defendants.</w:t>
            </w:r>
          </w:p>
          <w:p w14:paraId="5B974EF1" w14:textId="1EC58811" w:rsidR="00115444" w:rsidRPr="00034E9B" w:rsidRDefault="00C02A7F" w:rsidP="00115444">
            <w:pPr>
              <w:pStyle w:val="CGCTablerow"/>
              <w:numPr>
                <w:ilvl w:val="0"/>
                <w:numId w:val="17"/>
              </w:numPr>
              <w:ind w:left="414" w:hanging="357"/>
            </w:pPr>
            <w:r>
              <w:t xml:space="preserve">For </w:t>
            </w:r>
            <w:r w:rsidR="00115444" w:rsidRPr="00034E9B">
              <w:t>courts and prisons, regional costs have been measured directly from State provided court and prison cost data.</w:t>
            </w:r>
          </w:p>
          <w:p w14:paraId="56BC6D15" w14:textId="77777777" w:rsidR="00115444" w:rsidRPr="00034E9B" w:rsidRDefault="00115444" w:rsidP="00115444">
            <w:pPr>
              <w:pStyle w:val="CGCTablerow"/>
              <w:numPr>
                <w:ilvl w:val="0"/>
                <w:numId w:val="17"/>
              </w:numPr>
              <w:ind w:left="414" w:hanging="357"/>
            </w:pPr>
            <w:r w:rsidRPr="00034E9B">
              <w:t>The grouping of SES quintiles has been revised.</w:t>
            </w:r>
          </w:p>
          <w:p w14:paraId="1A068D72" w14:textId="15B1B04C" w:rsidR="00115444" w:rsidRPr="00034E9B" w:rsidRDefault="00115444" w:rsidP="00115444">
            <w:pPr>
              <w:pStyle w:val="CGCTablerow"/>
              <w:numPr>
                <w:ilvl w:val="0"/>
                <w:numId w:val="17"/>
              </w:numPr>
              <w:ind w:left="414" w:hanging="357"/>
            </w:pPr>
            <w:r w:rsidRPr="00034E9B">
              <w:t>Non-zero use rates for the 0-14 and 65+ year age groups are now applied.</w:t>
            </w:r>
          </w:p>
        </w:tc>
      </w:tr>
      <w:tr w:rsidR="00115444" w:rsidRPr="00034E9B" w14:paraId="13137258" w14:textId="77777777" w:rsidTr="00242AD6">
        <w:tc>
          <w:tcPr>
            <w:tcW w:w="1250" w:type="pct"/>
          </w:tcPr>
          <w:p w14:paraId="590B1835" w14:textId="10D56454" w:rsidR="00115444" w:rsidRPr="00034E9B" w:rsidRDefault="00115444" w:rsidP="00115444">
            <w:pPr>
              <w:pStyle w:val="CGCTablerow"/>
            </w:pPr>
            <w:r w:rsidRPr="00034E9B">
              <w:t>Roads</w:t>
            </w:r>
          </w:p>
        </w:tc>
        <w:tc>
          <w:tcPr>
            <w:tcW w:w="3750" w:type="pct"/>
          </w:tcPr>
          <w:p w14:paraId="11759803" w14:textId="77777777" w:rsidR="00115444" w:rsidRPr="00034E9B" w:rsidRDefault="00115444" w:rsidP="00115444">
            <w:pPr>
              <w:pStyle w:val="CGCTablerow"/>
              <w:numPr>
                <w:ilvl w:val="0"/>
                <w:numId w:val="18"/>
              </w:numPr>
              <w:ind w:left="414" w:hanging="357"/>
            </w:pPr>
            <w:r w:rsidRPr="00034E9B">
              <w:t>Rural road length has been re-estimated. New road connections have been added to link significant areas, including mines, oil and gas basins, ports and national parks. The number of lanes on roads is also taken into account. The adjustment for unsealed roads has been removed.</w:t>
            </w:r>
          </w:p>
          <w:p w14:paraId="67555858" w14:textId="77777777" w:rsidR="00115444" w:rsidRPr="00034E9B" w:rsidRDefault="00115444" w:rsidP="00115444">
            <w:pPr>
              <w:pStyle w:val="CGCTablerow"/>
              <w:numPr>
                <w:ilvl w:val="0"/>
                <w:numId w:val="18"/>
              </w:numPr>
              <w:ind w:left="414" w:hanging="357"/>
            </w:pPr>
            <w:r w:rsidRPr="00034E9B">
              <w:t>Local roads expenses have been reallocated proportionately to the urban and rural road components.</w:t>
            </w:r>
          </w:p>
          <w:p w14:paraId="502B1D15" w14:textId="77777777" w:rsidR="00115444" w:rsidRPr="00034E9B" w:rsidRDefault="00115444" w:rsidP="00115444">
            <w:pPr>
              <w:pStyle w:val="CGCTablerow"/>
              <w:numPr>
                <w:ilvl w:val="0"/>
                <w:numId w:val="18"/>
              </w:numPr>
              <w:ind w:left="414" w:hanging="357"/>
            </w:pPr>
            <w:r w:rsidRPr="00034E9B">
              <w:t>Bridges and tunnels are now assessed using actual lengths of bridges and tunnels that are State managed, measured across comparable structures.</w:t>
            </w:r>
          </w:p>
          <w:p w14:paraId="210784CC" w14:textId="77777777" w:rsidR="00115444" w:rsidRPr="00034E9B" w:rsidRDefault="00115444" w:rsidP="00115444">
            <w:pPr>
              <w:pStyle w:val="CGCTablerow"/>
              <w:numPr>
                <w:ilvl w:val="0"/>
                <w:numId w:val="18"/>
              </w:numPr>
              <w:ind w:left="414" w:hanging="357"/>
            </w:pPr>
            <w:r w:rsidRPr="00034E9B">
              <w:t>The number of heavy vehicle classes has been reduced from five to three. Light commercial vehicles are now classified with passenger vehicles.</w:t>
            </w:r>
          </w:p>
          <w:p w14:paraId="0A44F90F" w14:textId="3261B326" w:rsidR="00115444" w:rsidRPr="00034E9B" w:rsidRDefault="00115444" w:rsidP="00115444">
            <w:pPr>
              <w:pStyle w:val="CGCTablerow"/>
              <w:numPr>
                <w:ilvl w:val="0"/>
                <w:numId w:val="18"/>
              </w:numPr>
              <w:ind w:left="414" w:hanging="357"/>
            </w:pPr>
            <w:r w:rsidRPr="00034E9B">
              <w:t>Other services expenses have been reallocated proportionately across the rural roads, urban roads</w:t>
            </w:r>
            <w:r w:rsidR="009B1A2C">
              <w:t>,</w:t>
            </w:r>
            <w:r w:rsidRPr="00034E9B">
              <w:t xml:space="preserve"> and bridges and tunnels components.</w:t>
            </w:r>
          </w:p>
        </w:tc>
      </w:tr>
      <w:tr w:rsidR="00115444" w:rsidRPr="00034E9B" w14:paraId="7B93D399" w14:textId="77777777" w:rsidTr="00242AD6">
        <w:tc>
          <w:tcPr>
            <w:tcW w:w="1250" w:type="pct"/>
            <w:hideMark/>
          </w:tcPr>
          <w:p w14:paraId="6C164ECA" w14:textId="573D4C02" w:rsidR="00115444" w:rsidRPr="00034E9B" w:rsidRDefault="00115444" w:rsidP="00115444">
            <w:pPr>
              <w:pStyle w:val="CGCTablerow"/>
            </w:pPr>
            <w:r w:rsidRPr="00034E9B">
              <w:t>Transport</w:t>
            </w:r>
          </w:p>
        </w:tc>
        <w:tc>
          <w:tcPr>
            <w:tcW w:w="3750" w:type="pct"/>
            <w:hideMark/>
          </w:tcPr>
          <w:p w14:paraId="578A9DAF" w14:textId="77777777" w:rsidR="00115444" w:rsidRPr="00034E9B" w:rsidRDefault="00115444" w:rsidP="00115444">
            <w:pPr>
              <w:pStyle w:val="CGCTablerow"/>
              <w:numPr>
                <w:ilvl w:val="0"/>
                <w:numId w:val="19"/>
              </w:numPr>
              <w:ind w:left="414" w:hanging="357"/>
            </w:pPr>
            <w:r w:rsidRPr="00034E9B">
              <w:t>A new urban transport assessment is introduced. Instead of urban centre population alone, the new assessment also uses population density, passenger numbers by mode of transport, the presence of ferry services, distance to work and topography to measure State needs. The former assessment has a weight of 25% and the latter a weight of 75%.</w:t>
            </w:r>
          </w:p>
          <w:p w14:paraId="7BD01465" w14:textId="77777777" w:rsidR="00115444" w:rsidRPr="00034E9B" w:rsidRDefault="00115444" w:rsidP="00115444">
            <w:pPr>
              <w:pStyle w:val="CGCTablerow"/>
              <w:numPr>
                <w:ilvl w:val="0"/>
                <w:numId w:val="19"/>
              </w:numPr>
              <w:ind w:left="414" w:hanging="357"/>
            </w:pPr>
            <w:r w:rsidRPr="00034E9B">
              <w:t>All student transport expenses are now included in the urban transport component.</w:t>
            </w:r>
          </w:p>
          <w:p w14:paraId="78AB4E04" w14:textId="77777777" w:rsidR="00115444" w:rsidRPr="00034E9B" w:rsidRDefault="00115444" w:rsidP="00115444">
            <w:pPr>
              <w:pStyle w:val="CGCTablerow"/>
              <w:numPr>
                <w:ilvl w:val="0"/>
                <w:numId w:val="19"/>
              </w:numPr>
              <w:ind w:left="414" w:hanging="357"/>
            </w:pPr>
            <w:r w:rsidRPr="00034E9B">
              <w:t>The transport infrastructure assessment uses the model developed for the expense assessment (75% weight) and the population-squared model from the 2015 Review assessment (25% weight).</w:t>
            </w:r>
          </w:p>
          <w:p w14:paraId="66418B8F" w14:textId="5EDCDBDF" w:rsidR="00115444" w:rsidRPr="00034E9B" w:rsidRDefault="00115444" w:rsidP="00115444">
            <w:pPr>
              <w:pStyle w:val="CGCTablerow"/>
              <w:numPr>
                <w:ilvl w:val="0"/>
                <w:numId w:val="19"/>
              </w:numPr>
              <w:ind w:left="414" w:hanging="357"/>
            </w:pPr>
            <w:r w:rsidRPr="00034E9B">
              <w:t>Non-urban transport expenses are now assessed on an EPC basis.</w:t>
            </w:r>
          </w:p>
        </w:tc>
      </w:tr>
    </w:tbl>
    <w:p w14:paraId="71298EF0" w14:textId="082E30CF" w:rsidR="00242AD6" w:rsidRPr="00034E9B" w:rsidRDefault="00242AD6" w:rsidP="00242AD6">
      <w:pPr>
        <w:pStyle w:val="CGCTablenote"/>
      </w:pPr>
      <w:r w:rsidRPr="00034E9B">
        <w:t>Note:</w:t>
      </w:r>
      <w:r w:rsidRPr="00034E9B">
        <w:tab/>
        <w:t xml:space="preserve">Acronyms used in this table are spelt out in the </w:t>
      </w:r>
      <w:r w:rsidR="00641913">
        <w:t>list of acronyms at the beginning of this volume</w:t>
      </w:r>
      <w:r w:rsidRPr="00034E9B">
        <w:t>.</w:t>
      </w:r>
    </w:p>
    <w:p w14:paraId="625D7EDA" w14:textId="77777777" w:rsidR="00242AD6" w:rsidRPr="00034E9B" w:rsidRDefault="00242AD6" w:rsidP="00242AD6">
      <w:pPr>
        <w:pStyle w:val="CGCTablenote"/>
      </w:pPr>
      <w:r w:rsidRPr="00034E9B">
        <w:t>Source:</w:t>
      </w:r>
      <w:r w:rsidRPr="00034E9B">
        <w:tab/>
        <w:t>Commission decisions.</w:t>
      </w:r>
    </w:p>
    <w:p w14:paraId="37D8602A" w14:textId="77777777" w:rsidR="00242AD6" w:rsidRPr="00034E9B" w:rsidRDefault="00242AD6" w:rsidP="00242AD6">
      <w:pPr>
        <w:pStyle w:val="Caption"/>
      </w:pPr>
      <w:r w:rsidRPr="00034E9B">
        <w:lastRenderedPageBreak/>
        <w:t>Table 1</w:t>
      </w:r>
      <w:r w:rsidRPr="00034E9B">
        <w:noBreakHyphen/>
        <w:t>4</w:t>
      </w:r>
      <w:r w:rsidRPr="00034E9B">
        <w:tab/>
        <w:t>2020 Review changes to 2015 Review methodology (continued)</w:t>
      </w:r>
    </w:p>
    <w:tbl>
      <w:tblPr>
        <w:tblW w:w="9072" w:type="dxa"/>
        <w:tblBorders>
          <w:top w:val="single" w:sz="4" w:space="0" w:color="ADD6EA"/>
          <w:bottom w:val="single" w:sz="4" w:space="0" w:color="ADD6EA"/>
          <w:insideH w:val="single" w:sz="4" w:space="0" w:color="ADD6EA"/>
        </w:tblBorders>
        <w:tblLayout w:type="fixed"/>
        <w:tblCellMar>
          <w:left w:w="0" w:type="dxa"/>
          <w:right w:w="0" w:type="dxa"/>
        </w:tblCellMar>
        <w:tblLook w:val="04A0" w:firstRow="1" w:lastRow="0" w:firstColumn="1" w:lastColumn="0" w:noHBand="0" w:noVBand="1"/>
      </w:tblPr>
      <w:tblGrid>
        <w:gridCol w:w="2268"/>
        <w:gridCol w:w="6804"/>
      </w:tblGrid>
      <w:tr w:rsidR="009320F4" w:rsidRPr="00034E9B" w14:paraId="4E8113F5" w14:textId="77777777" w:rsidTr="00B6471B">
        <w:trPr>
          <w:trHeight w:val="340"/>
        </w:trPr>
        <w:tc>
          <w:tcPr>
            <w:tcW w:w="1250" w:type="pct"/>
            <w:shd w:val="clear" w:color="auto" w:fill="006991"/>
            <w:vAlign w:val="center"/>
          </w:tcPr>
          <w:p w14:paraId="02EE057A" w14:textId="328CE46C" w:rsidR="009320F4" w:rsidRPr="00034E9B" w:rsidRDefault="009320F4" w:rsidP="009320F4">
            <w:pPr>
              <w:pStyle w:val="CGCTableheader"/>
              <w:rPr>
                <w:lang w:val="en-AU"/>
              </w:rPr>
            </w:pPr>
            <w:r w:rsidRPr="00034E9B">
              <w:rPr>
                <w:lang w:val="en-AU"/>
              </w:rPr>
              <w:t>Category/disability</w:t>
            </w:r>
          </w:p>
        </w:tc>
        <w:tc>
          <w:tcPr>
            <w:tcW w:w="3750" w:type="pct"/>
            <w:shd w:val="clear" w:color="auto" w:fill="006991"/>
            <w:vAlign w:val="center"/>
          </w:tcPr>
          <w:p w14:paraId="0054C11D" w14:textId="12894EBC" w:rsidR="009320F4" w:rsidRPr="00034E9B" w:rsidRDefault="009320F4" w:rsidP="009320F4">
            <w:pPr>
              <w:pStyle w:val="CGCTableheader"/>
              <w:rPr>
                <w:lang w:val="en-AU"/>
              </w:rPr>
            </w:pPr>
            <w:r w:rsidRPr="00034E9B">
              <w:rPr>
                <w:lang w:val="en-AU"/>
              </w:rPr>
              <w:t>Main changes</w:t>
            </w:r>
          </w:p>
        </w:tc>
      </w:tr>
      <w:tr w:rsidR="009320F4" w:rsidRPr="00034E9B" w14:paraId="3548E049" w14:textId="77777777" w:rsidTr="00242AD6">
        <w:tc>
          <w:tcPr>
            <w:tcW w:w="1250" w:type="pct"/>
            <w:hideMark/>
          </w:tcPr>
          <w:p w14:paraId="48E78519" w14:textId="2BA69A64" w:rsidR="009320F4" w:rsidRPr="00034E9B" w:rsidRDefault="009320F4" w:rsidP="009320F4">
            <w:pPr>
              <w:pStyle w:val="CGCTablerow"/>
            </w:pPr>
            <w:r w:rsidRPr="00034E9B">
              <w:t>Services to industry</w:t>
            </w:r>
          </w:p>
        </w:tc>
        <w:tc>
          <w:tcPr>
            <w:tcW w:w="3750" w:type="pct"/>
            <w:hideMark/>
          </w:tcPr>
          <w:p w14:paraId="40F0B13E" w14:textId="77777777" w:rsidR="009320F4" w:rsidRPr="00034E9B" w:rsidRDefault="009320F4" w:rsidP="009320F4">
            <w:pPr>
              <w:pStyle w:val="CGCTablerow"/>
              <w:numPr>
                <w:ilvl w:val="0"/>
                <w:numId w:val="19"/>
              </w:numPr>
              <w:ind w:left="357" w:hanging="357"/>
            </w:pPr>
            <w:r w:rsidRPr="00034E9B">
              <w:t xml:space="preserve">Mining regulation expenses are assessed in a separate component. </w:t>
            </w:r>
          </w:p>
          <w:p w14:paraId="6CCC6EAA" w14:textId="77777777" w:rsidR="009320F4" w:rsidRPr="00034E9B" w:rsidRDefault="009320F4" w:rsidP="009320F4">
            <w:pPr>
              <w:pStyle w:val="CGCTablerow"/>
              <w:numPr>
                <w:ilvl w:val="0"/>
                <w:numId w:val="19"/>
              </w:numPr>
              <w:ind w:left="357" w:hanging="357"/>
            </w:pPr>
            <w:r w:rsidRPr="00034E9B">
              <w:t xml:space="preserve">Major project expenses are no longer assessed. </w:t>
            </w:r>
          </w:p>
          <w:p w14:paraId="79BE531C" w14:textId="77777777" w:rsidR="009320F4" w:rsidRPr="00034E9B" w:rsidRDefault="009320F4" w:rsidP="009320F4">
            <w:pPr>
              <w:pStyle w:val="CGCTablerow"/>
              <w:numPr>
                <w:ilvl w:val="0"/>
                <w:numId w:val="19"/>
              </w:numPr>
              <w:ind w:left="357" w:hanging="357"/>
            </w:pPr>
            <w:r w:rsidRPr="00034E9B">
              <w:t>New State data have been used to weight regulation and business development expenses for each industry.</w:t>
            </w:r>
          </w:p>
          <w:p w14:paraId="158753FB" w14:textId="77777777" w:rsidR="009320F4" w:rsidRPr="00034E9B" w:rsidRDefault="009320F4" w:rsidP="009320F4">
            <w:pPr>
              <w:pStyle w:val="CGCTablerow"/>
              <w:numPr>
                <w:ilvl w:val="0"/>
                <w:numId w:val="19"/>
              </w:numPr>
              <w:ind w:left="357" w:hanging="357"/>
            </w:pPr>
            <w:r w:rsidRPr="00034E9B">
              <w:t>All user charges are deducted from regulation expenses for agriculture, mining and other industries.</w:t>
            </w:r>
          </w:p>
          <w:p w14:paraId="03AD92F0" w14:textId="660085E4" w:rsidR="009320F4" w:rsidRPr="00034E9B" w:rsidRDefault="009320F4" w:rsidP="009320F4">
            <w:pPr>
              <w:pStyle w:val="CGCTablerow"/>
              <w:numPr>
                <w:ilvl w:val="0"/>
                <w:numId w:val="19"/>
              </w:numPr>
              <w:ind w:left="357" w:hanging="357"/>
            </w:pPr>
            <w:r w:rsidRPr="00034E9B">
              <w:t xml:space="preserve">A single broad indicator (sector size) is used to assess agriculture and mining regulation </w:t>
            </w:r>
            <w:r w:rsidR="00C3333B">
              <w:t>expenses</w:t>
            </w:r>
            <w:r w:rsidRPr="00034E9B">
              <w:t>.</w:t>
            </w:r>
          </w:p>
          <w:p w14:paraId="3075E116" w14:textId="41E8671F" w:rsidR="009320F4" w:rsidRPr="00034E9B" w:rsidRDefault="009320F4" w:rsidP="009320F4">
            <w:pPr>
              <w:pStyle w:val="CGCTablerow"/>
              <w:numPr>
                <w:ilvl w:val="0"/>
                <w:numId w:val="19"/>
              </w:numPr>
              <w:ind w:left="357" w:hanging="357"/>
            </w:pPr>
            <w:r w:rsidRPr="00034E9B">
              <w:t xml:space="preserve">Other industry regulation </w:t>
            </w:r>
            <w:r w:rsidR="00C3333B">
              <w:t xml:space="preserve">expenses </w:t>
            </w:r>
            <w:r w:rsidRPr="00034E9B">
              <w:t>ha</w:t>
            </w:r>
            <w:r w:rsidR="00C3333B">
              <w:t>ve</w:t>
            </w:r>
            <w:r w:rsidRPr="00034E9B">
              <w:t xml:space="preserve"> been assessed using sector size (75%) and population (25%).</w:t>
            </w:r>
          </w:p>
        </w:tc>
      </w:tr>
      <w:tr w:rsidR="009320F4" w:rsidRPr="00034E9B" w14:paraId="02196685" w14:textId="77777777" w:rsidTr="00242AD6">
        <w:tc>
          <w:tcPr>
            <w:tcW w:w="1250" w:type="pct"/>
            <w:hideMark/>
          </w:tcPr>
          <w:p w14:paraId="47D11B73" w14:textId="2AD9A3B6" w:rsidR="009320F4" w:rsidRPr="00034E9B" w:rsidRDefault="009320F4" w:rsidP="009320F4">
            <w:pPr>
              <w:pStyle w:val="CGCTablerow"/>
            </w:pPr>
            <w:r w:rsidRPr="00034E9B">
              <w:t>Other expenses</w:t>
            </w:r>
          </w:p>
        </w:tc>
        <w:tc>
          <w:tcPr>
            <w:tcW w:w="3750" w:type="pct"/>
            <w:hideMark/>
          </w:tcPr>
          <w:p w14:paraId="5818FA68" w14:textId="2C07DCF4" w:rsidR="009320F4" w:rsidRPr="00034E9B" w:rsidRDefault="009320F4" w:rsidP="009320F4">
            <w:pPr>
              <w:pStyle w:val="CGCTablerow"/>
              <w:numPr>
                <w:ilvl w:val="0"/>
                <w:numId w:val="20"/>
              </w:numPr>
              <w:ind w:left="357" w:hanging="357"/>
            </w:pPr>
            <w:r w:rsidRPr="00034E9B">
              <w:t>The natural disaster relief expense assessment includes net local government expenses</w:t>
            </w:r>
            <w:r w:rsidR="00B5171D">
              <w:t xml:space="preserve"> that are funded by States</w:t>
            </w:r>
            <w:r w:rsidRPr="00034E9B">
              <w:t>, less an assessed local government contribution.</w:t>
            </w:r>
          </w:p>
          <w:p w14:paraId="514B401F" w14:textId="77777777" w:rsidR="009320F4" w:rsidRPr="00034E9B" w:rsidRDefault="009320F4" w:rsidP="009320F4">
            <w:pPr>
              <w:pStyle w:val="CGCTablerow"/>
              <w:numPr>
                <w:ilvl w:val="0"/>
                <w:numId w:val="20"/>
              </w:numPr>
              <w:ind w:left="357" w:hanging="357"/>
            </w:pPr>
            <w:r w:rsidRPr="00034E9B">
              <w:t xml:space="preserve">A cross-border disability is no longer assessed for recreation and culture expenses. </w:t>
            </w:r>
          </w:p>
          <w:p w14:paraId="4EE7C505" w14:textId="77777777" w:rsidR="009320F4" w:rsidRPr="00034E9B" w:rsidRDefault="009320F4" w:rsidP="009320F4">
            <w:pPr>
              <w:pStyle w:val="CGCTablerow"/>
              <w:numPr>
                <w:ilvl w:val="0"/>
                <w:numId w:val="20"/>
              </w:numPr>
              <w:ind w:left="357" w:hanging="357"/>
            </w:pPr>
            <w:r w:rsidRPr="00034E9B">
              <w:t>Capital grants to local government are no longer assessed.</w:t>
            </w:r>
          </w:p>
          <w:p w14:paraId="2C7E2FE7" w14:textId="77777777" w:rsidR="009320F4" w:rsidRPr="00034E9B" w:rsidRDefault="009320F4" w:rsidP="009320F4">
            <w:pPr>
              <w:pStyle w:val="CGCTablerow"/>
              <w:numPr>
                <w:ilvl w:val="0"/>
                <w:numId w:val="20"/>
              </w:numPr>
              <w:ind w:left="357" w:hanging="357"/>
            </w:pPr>
            <w:r w:rsidRPr="00034E9B">
              <w:t>The roads allowance in the national capital assessment has been discontinued and national capital planning allowances have been revised.</w:t>
            </w:r>
          </w:p>
          <w:p w14:paraId="000077A8" w14:textId="77777777" w:rsidR="009320F4" w:rsidRPr="00034E9B" w:rsidRDefault="009320F4" w:rsidP="009320F4">
            <w:pPr>
              <w:pStyle w:val="CGCTablerow"/>
              <w:numPr>
                <w:ilvl w:val="0"/>
                <w:numId w:val="20"/>
              </w:numPr>
              <w:ind w:left="357" w:hanging="357"/>
            </w:pPr>
            <w:r w:rsidRPr="00034E9B">
              <w:t>No adjustment has been made for interstate non-wage costs.</w:t>
            </w:r>
          </w:p>
          <w:p w14:paraId="2CFB0721" w14:textId="77777777" w:rsidR="009320F4" w:rsidRPr="00034E9B" w:rsidRDefault="009320F4" w:rsidP="009320F4">
            <w:pPr>
              <w:pStyle w:val="CGCTablerow"/>
              <w:numPr>
                <w:ilvl w:val="0"/>
                <w:numId w:val="20"/>
              </w:numPr>
              <w:ind w:left="357" w:hanging="357"/>
            </w:pPr>
            <w:r w:rsidRPr="00034E9B">
              <w:t>User charges, mainly fire and emergency services levies, are netted off expenses.</w:t>
            </w:r>
          </w:p>
          <w:p w14:paraId="5AFB9F41" w14:textId="354D3F14" w:rsidR="009320F4" w:rsidRPr="00034E9B" w:rsidRDefault="009320F4" w:rsidP="009320F4">
            <w:pPr>
              <w:pStyle w:val="CGCTablerow"/>
              <w:numPr>
                <w:ilvl w:val="0"/>
                <w:numId w:val="20"/>
              </w:numPr>
              <w:ind w:left="357" w:hanging="357"/>
            </w:pPr>
            <w:r w:rsidRPr="00034E9B">
              <w:t>Pipeline expenses are now included in the Transport category. National parks and wildlife expenses are in the Services to communities category, reflecting new GFS functional classifications.</w:t>
            </w:r>
          </w:p>
        </w:tc>
      </w:tr>
      <w:tr w:rsidR="009320F4" w:rsidRPr="00034E9B" w14:paraId="4EAC6BD2" w14:textId="77777777" w:rsidTr="00242AD6">
        <w:tc>
          <w:tcPr>
            <w:tcW w:w="1250" w:type="pct"/>
          </w:tcPr>
          <w:p w14:paraId="237EB0FE" w14:textId="29B40631" w:rsidR="009320F4" w:rsidRPr="00034E9B" w:rsidRDefault="009320F4" w:rsidP="009320F4">
            <w:pPr>
              <w:pStyle w:val="CGCTablerow"/>
            </w:pPr>
            <w:r w:rsidRPr="00034E9B">
              <w:t>Investment</w:t>
            </w:r>
          </w:p>
        </w:tc>
        <w:tc>
          <w:tcPr>
            <w:tcW w:w="3750" w:type="pct"/>
          </w:tcPr>
          <w:p w14:paraId="1096731E" w14:textId="77777777" w:rsidR="009320F4" w:rsidRPr="00034E9B" w:rsidRDefault="009320F4" w:rsidP="009320F4">
            <w:pPr>
              <w:pStyle w:val="CGCTablerow"/>
              <w:numPr>
                <w:ilvl w:val="0"/>
                <w:numId w:val="20"/>
              </w:numPr>
              <w:ind w:left="357" w:hanging="357"/>
            </w:pPr>
            <w:r w:rsidRPr="00034E9B">
              <w:t>Investment and depreciation expenses are assessed together.</w:t>
            </w:r>
          </w:p>
          <w:p w14:paraId="76CAF9F8" w14:textId="77777777" w:rsidR="009320F4" w:rsidRPr="00034E9B" w:rsidRDefault="009320F4" w:rsidP="009320F4">
            <w:pPr>
              <w:pStyle w:val="CGCTablerow"/>
              <w:numPr>
                <w:ilvl w:val="0"/>
                <w:numId w:val="20"/>
              </w:numPr>
              <w:ind w:left="357" w:hanging="357"/>
            </w:pPr>
            <w:r w:rsidRPr="00034E9B">
              <w:t>Investment associated with each category is now measured directly.</w:t>
            </w:r>
          </w:p>
          <w:p w14:paraId="63E4A883" w14:textId="77777777" w:rsidR="009320F4" w:rsidRPr="00034E9B" w:rsidRDefault="009320F4" w:rsidP="009320F4">
            <w:pPr>
              <w:pStyle w:val="CGCTablerow"/>
              <w:numPr>
                <w:ilvl w:val="0"/>
                <w:numId w:val="20"/>
              </w:numPr>
              <w:ind w:left="357" w:hanging="357"/>
            </w:pPr>
            <w:r w:rsidRPr="00034E9B">
              <w:t>3 year averaging of stock disabilities has been removed.</w:t>
            </w:r>
          </w:p>
          <w:p w14:paraId="56218886" w14:textId="77777777" w:rsidR="009320F4" w:rsidRPr="00034E9B" w:rsidRDefault="009320F4" w:rsidP="009320F4">
            <w:pPr>
              <w:pStyle w:val="CGCTablerow"/>
              <w:numPr>
                <w:ilvl w:val="0"/>
                <w:numId w:val="20"/>
              </w:numPr>
              <w:ind w:left="357" w:hanging="357"/>
            </w:pPr>
            <w:r w:rsidRPr="00034E9B">
              <w:t xml:space="preserve">Regional cost influences on the cost of construction is only measured using Rawlinsons, rather than an average of Rawlinsons and the general regional cost gradient.  </w:t>
            </w:r>
          </w:p>
          <w:p w14:paraId="44A024B1" w14:textId="5F7F5BD6" w:rsidR="009320F4" w:rsidRPr="00034E9B" w:rsidRDefault="009320F4" w:rsidP="009320F4">
            <w:pPr>
              <w:pStyle w:val="CGCTablerow"/>
              <w:numPr>
                <w:ilvl w:val="0"/>
                <w:numId w:val="20"/>
              </w:numPr>
              <w:ind w:left="357" w:hanging="357"/>
            </w:pPr>
            <w:r w:rsidRPr="00034E9B">
              <w:t>Administrative scale is no longer assessed in the Investment assessment.</w:t>
            </w:r>
          </w:p>
        </w:tc>
      </w:tr>
      <w:tr w:rsidR="009320F4" w:rsidRPr="00034E9B" w14:paraId="15DCD9CD" w14:textId="77777777" w:rsidTr="00242AD6">
        <w:tc>
          <w:tcPr>
            <w:tcW w:w="1250" w:type="pct"/>
          </w:tcPr>
          <w:p w14:paraId="47B1491B" w14:textId="0F720A8A" w:rsidR="009320F4" w:rsidRPr="00034E9B" w:rsidRDefault="009320F4" w:rsidP="009320F4">
            <w:pPr>
              <w:pStyle w:val="CGCTablerow"/>
            </w:pPr>
            <w:r w:rsidRPr="00034E9B">
              <w:t>Net borrowing</w:t>
            </w:r>
          </w:p>
        </w:tc>
        <w:tc>
          <w:tcPr>
            <w:tcW w:w="3750" w:type="pct"/>
          </w:tcPr>
          <w:p w14:paraId="774E6746" w14:textId="34D52F7B" w:rsidR="009320F4" w:rsidRPr="00034E9B" w:rsidRDefault="009320F4" w:rsidP="009320F4">
            <w:pPr>
              <w:pStyle w:val="CGCTablerow"/>
              <w:numPr>
                <w:ilvl w:val="0"/>
                <w:numId w:val="20"/>
              </w:numPr>
              <w:ind w:left="357" w:hanging="357"/>
            </w:pPr>
            <w:r w:rsidRPr="00034E9B">
              <w:t>The 12.5% discount has been removed.</w:t>
            </w:r>
          </w:p>
        </w:tc>
      </w:tr>
      <w:tr w:rsidR="009320F4" w:rsidRPr="00034E9B" w14:paraId="1D5B62E1" w14:textId="77777777" w:rsidTr="00242AD6">
        <w:tc>
          <w:tcPr>
            <w:tcW w:w="1250" w:type="pct"/>
          </w:tcPr>
          <w:p w14:paraId="549C3A34" w14:textId="0768D634" w:rsidR="009320F4" w:rsidRPr="00034E9B" w:rsidRDefault="009320F4" w:rsidP="009320F4">
            <w:pPr>
              <w:pStyle w:val="CGCTablerow"/>
            </w:pPr>
            <w:r w:rsidRPr="00034E9B">
              <w:t>Administrative scale</w:t>
            </w:r>
          </w:p>
        </w:tc>
        <w:tc>
          <w:tcPr>
            <w:tcW w:w="3750" w:type="pct"/>
          </w:tcPr>
          <w:p w14:paraId="5F2121B7" w14:textId="77777777" w:rsidR="009320F4" w:rsidRPr="00034E9B" w:rsidRDefault="009320F4" w:rsidP="009320F4">
            <w:pPr>
              <w:pStyle w:val="CGCTablerow"/>
              <w:numPr>
                <w:ilvl w:val="0"/>
                <w:numId w:val="20"/>
              </w:numPr>
              <w:ind w:left="357" w:hanging="357"/>
            </w:pPr>
            <w:r w:rsidRPr="00034E9B">
              <w:t>Administrative scale costs have been re-estimated for all expense categories.</w:t>
            </w:r>
          </w:p>
          <w:p w14:paraId="15174160" w14:textId="3F242894" w:rsidR="009320F4" w:rsidRPr="00034E9B" w:rsidRDefault="009320F4" w:rsidP="009320F4">
            <w:pPr>
              <w:pStyle w:val="CGCTablerow"/>
              <w:numPr>
                <w:ilvl w:val="0"/>
                <w:numId w:val="20"/>
              </w:numPr>
              <w:ind w:left="357" w:hanging="357"/>
            </w:pPr>
            <w:r w:rsidRPr="00034E9B">
              <w:t>The Northern Territory dual service delivery adjustment has been removed. However, an adjustment of $</w:t>
            </w:r>
            <w:r w:rsidR="00D71D35">
              <w:t>2.0</w:t>
            </w:r>
            <w:r w:rsidRPr="00034E9B">
              <w:t xml:space="preserve"> million in 2016-17 dollars for the Northern Territory is included.</w:t>
            </w:r>
          </w:p>
          <w:p w14:paraId="536D2619" w14:textId="3833B5D3" w:rsidR="009320F4" w:rsidRPr="00034E9B" w:rsidRDefault="009320F4" w:rsidP="009320F4">
            <w:pPr>
              <w:pStyle w:val="CGCTablerow"/>
              <w:numPr>
                <w:ilvl w:val="0"/>
                <w:numId w:val="20"/>
              </w:numPr>
              <w:ind w:left="357" w:hanging="357"/>
            </w:pPr>
            <w:r w:rsidRPr="00034E9B">
              <w:t>The wage costs proportion of administrative scale expenses has been reduced from 80% to 60%.</w:t>
            </w:r>
          </w:p>
        </w:tc>
      </w:tr>
      <w:tr w:rsidR="009320F4" w:rsidRPr="00034E9B" w14:paraId="03C9B344" w14:textId="77777777" w:rsidTr="00242AD6">
        <w:tc>
          <w:tcPr>
            <w:tcW w:w="1250" w:type="pct"/>
          </w:tcPr>
          <w:p w14:paraId="55ED0464" w14:textId="6B0F76ED" w:rsidR="009320F4" w:rsidRPr="00034E9B" w:rsidRDefault="009320F4" w:rsidP="009320F4">
            <w:pPr>
              <w:pStyle w:val="CGCTablerow"/>
            </w:pPr>
            <w:r w:rsidRPr="00034E9B">
              <w:t>Wage costs</w:t>
            </w:r>
          </w:p>
        </w:tc>
        <w:tc>
          <w:tcPr>
            <w:tcW w:w="3750" w:type="pct"/>
          </w:tcPr>
          <w:p w14:paraId="00CE4214" w14:textId="32AEB46D" w:rsidR="009320F4" w:rsidRPr="00034E9B" w:rsidRDefault="009320F4" w:rsidP="009320F4">
            <w:pPr>
              <w:pStyle w:val="CGCTablerow"/>
              <w:numPr>
                <w:ilvl w:val="0"/>
                <w:numId w:val="20"/>
              </w:numPr>
              <w:ind w:left="357" w:hanging="357"/>
            </w:pPr>
            <w:r w:rsidRPr="00034E9B">
              <w:t>The assessment method is unchanged.</w:t>
            </w:r>
          </w:p>
        </w:tc>
      </w:tr>
      <w:tr w:rsidR="009320F4" w:rsidRPr="00034E9B" w14:paraId="3BFD9C6F" w14:textId="77777777" w:rsidTr="00242AD6">
        <w:tc>
          <w:tcPr>
            <w:tcW w:w="1250" w:type="pct"/>
          </w:tcPr>
          <w:p w14:paraId="6BEEDB71" w14:textId="5C4DDB05" w:rsidR="009320F4" w:rsidRPr="00034E9B" w:rsidRDefault="009320F4" w:rsidP="009320F4">
            <w:pPr>
              <w:pStyle w:val="CGCTablerow"/>
            </w:pPr>
            <w:r w:rsidRPr="00034E9B">
              <w:t>Geography</w:t>
            </w:r>
          </w:p>
        </w:tc>
        <w:tc>
          <w:tcPr>
            <w:tcW w:w="3750" w:type="pct"/>
          </w:tcPr>
          <w:p w14:paraId="50C9D698" w14:textId="77777777" w:rsidR="009320F4" w:rsidRPr="00034E9B" w:rsidRDefault="009320F4" w:rsidP="009320F4">
            <w:pPr>
              <w:pStyle w:val="CGCTablerow"/>
              <w:numPr>
                <w:ilvl w:val="0"/>
                <w:numId w:val="20"/>
              </w:numPr>
              <w:ind w:left="357" w:hanging="357"/>
            </w:pPr>
            <w:r w:rsidRPr="00034E9B">
              <w:t>Regional costs have been assessed directly in a broader range of categories.</w:t>
            </w:r>
          </w:p>
          <w:p w14:paraId="6A3A601B" w14:textId="1F30EDE2" w:rsidR="009320F4" w:rsidRPr="00034E9B" w:rsidRDefault="009320F4" w:rsidP="009320F4">
            <w:pPr>
              <w:pStyle w:val="CGCTablerow"/>
              <w:numPr>
                <w:ilvl w:val="0"/>
                <w:numId w:val="20"/>
              </w:numPr>
              <w:ind w:left="357" w:hanging="357"/>
            </w:pPr>
            <w:r w:rsidRPr="00034E9B">
              <w:t>The general gradient for regional costs, which is extrapolated to categories without other direct measures, is based on the average of the regional cost gradients measured in admitted patients and schools.</w:t>
            </w:r>
            <w:r w:rsidR="00886528">
              <w:t xml:space="preserve"> A 25% discount is applied to the general gradient for regional costs.</w:t>
            </w:r>
          </w:p>
          <w:p w14:paraId="5C85D24F" w14:textId="77777777" w:rsidR="009320F4" w:rsidRPr="00034E9B" w:rsidRDefault="009320F4" w:rsidP="009320F4">
            <w:pPr>
              <w:pStyle w:val="CGCTablerow"/>
              <w:numPr>
                <w:ilvl w:val="0"/>
                <w:numId w:val="20"/>
              </w:numPr>
              <w:ind w:left="357" w:hanging="357"/>
            </w:pPr>
            <w:r w:rsidRPr="00034E9B">
              <w:t>Allowance has been made, where possible, for differences between where a service is delivered and where the recipients reside.</w:t>
            </w:r>
          </w:p>
          <w:p w14:paraId="14E20D20" w14:textId="77777777" w:rsidR="009320F4" w:rsidRPr="00034E9B" w:rsidRDefault="009320F4" w:rsidP="009320F4">
            <w:pPr>
              <w:pStyle w:val="CGCTablerow"/>
              <w:numPr>
                <w:ilvl w:val="0"/>
                <w:numId w:val="20"/>
              </w:numPr>
              <w:ind w:left="357" w:hanging="357"/>
            </w:pPr>
            <w:r w:rsidRPr="00034E9B">
              <w:t>SDS is assessed using remoteness areas.</w:t>
            </w:r>
          </w:p>
          <w:p w14:paraId="33B1830F" w14:textId="3F1E31BB" w:rsidR="009320F4" w:rsidRPr="00034E9B" w:rsidRDefault="009320F4" w:rsidP="009320F4">
            <w:pPr>
              <w:pStyle w:val="CGCTablerow"/>
              <w:numPr>
                <w:ilvl w:val="0"/>
                <w:numId w:val="20"/>
              </w:numPr>
              <w:ind w:left="357" w:hanging="357"/>
            </w:pPr>
            <w:r w:rsidRPr="00034E9B">
              <w:t>The interstate non-wage costs assessment has been discontinued and no adjustment is made to the Accessibility and Remoteness Index of Australia (ARIA) based remoteness area outcomes.</w:t>
            </w:r>
          </w:p>
        </w:tc>
      </w:tr>
      <w:tr w:rsidR="009320F4" w:rsidRPr="00034E9B" w14:paraId="6E201053" w14:textId="77777777" w:rsidTr="00242AD6">
        <w:tc>
          <w:tcPr>
            <w:tcW w:w="1250" w:type="pct"/>
          </w:tcPr>
          <w:p w14:paraId="0B671AD4" w14:textId="73FEA294" w:rsidR="009320F4" w:rsidRPr="00034E9B" w:rsidRDefault="009320F4" w:rsidP="009320F4">
            <w:pPr>
              <w:pStyle w:val="CGCTablerow"/>
            </w:pPr>
            <w:r w:rsidRPr="00034E9B">
              <w:t>National capital</w:t>
            </w:r>
          </w:p>
        </w:tc>
        <w:tc>
          <w:tcPr>
            <w:tcW w:w="3750" w:type="pct"/>
          </w:tcPr>
          <w:p w14:paraId="1D6B0FA3" w14:textId="77777777" w:rsidR="009320F4" w:rsidRPr="00034E9B" w:rsidRDefault="009320F4" w:rsidP="009320F4">
            <w:pPr>
              <w:pStyle w:val="CGCTablerow"/>
              <w:numPr>
                <w:ilvl w:val="0"/>
                <w:numId w:val="20"/>
              </w:numPr>
              <w:ind w:left="357" w:hanging="357"/>
            </w:pPr>
            <w:r w:rsidRPr="00034E9B">
              <w:t>Planning allowances have been revised.</w:t>
            </w:r>
          </w:p>
          <w:p w14:paraId="0EDA7751" w14:textId="2F43A5E6" w:rsidR="009320F4" w:rsidRPr="00034E9B" w:rsidRDefault="009320F4" w:rsidP="009320F4">
            <w:pPr>
              <w:pStyle w:val="CGCTablerow"/>
              <w:numPr>
                <w:ilvl w:val="0"/>
                <w:numId w:val="20"/>
              </w:numPr>
              <w:ind w:left="357" w:hanging="357"/>
            </w:pPr>
            <w:r w:rsidRPr="00034E9B">
              <w:t>Allowances for wider roads, above average urban space, above average urban/bush interface and bus subsidies are no longer assessed.</w:t>
            </w:r>
          </w:p>
        </w:tc>
      </w:tr>
      <w:tr w:rsidR="009320F4" w:rsidRPr="00034E9B" w14:paraId="2B2B9C6E" w14:textId="77777777" w:rsidTr="00242AD6">
        <w:tc>
          <w:tcPr>
            <w:tcW w:w="1250" w:type="pct"/>
          </w:tcPr>
          <w:p w14:paraId="5F1F3F4E" w14:textId="28D2B348" w:rsidR="009320F4" w:rsidRPr="00034E9B" w:rsidRDefault="009320F4" w:rsidP="009320F4">
            <w:pPr>
              <w:pStyle w:val="CGCTablerow"/>
            </w:pPr>
            <w:r w:rsidRPr="00034E9B">
              <w:t>Cross-border</w:t>
            </w:r>
          </w:p>
        </w:tc>
        <w:tc>
          <w:tcPr>
            <w:tcW w:w="3750" w:type="pct"/>
          </w:tcPr>
          <w:p w14:paraId="183887DF" w14:textId="77777777" w:rsidR="009320F4" w:rsidRPr="00034E9B" w:rsidRDefault="009320F4" w:rsidP="009320F4">
            <w:pPr>
              <w:pStyle w:val="CGCTablerow"/>
              <w:numPr>
                <w:ilvl w:val="0"/>
                <w:numId w:val="20"/>
              </w:numPr>
              <w:ind w:left="357" w:hanging="357"/>
            </w:pPr>
            <w:r w:rsidRPr="00034E9B">
              <w:t>The general method for estimating cross-border costs has been discontinued and a cross-border factor will no longer apply.</w:t>
            </w:r>
          </w:p>
          <w:p w14:paraId="5AEF58B9" w14:textId="4BC12E22" w:rsidR="009320F4" w:rsidRPr="00034E9B" w:rsidRDefault="009320F4" w:rsidP="009320F4">
            <w:pPr>
              <w:pStyle w:val="CGCTablerow"/>
              <w:numPr>
                <w:ilvl w:val="0"/>
                <w:numId w:val="20"/>
              </w:numPr>
              <w:ind w:left="357" w:hanging="357"/>
            </w:pPr>
            <w:r w:rsidRPr="00034E9B">
              <w:t>The remaining cross-border assessments are included in their relevant assessment categories.</w:t>
            </w:r>
          </w:p>
        </w:tc>
      </w:tr>
      <w:tr w:rsidR="009320F4" w:rsidRPr="00034E9B" w14:paraId="6D15D519" w14:textId="77777777" w:rsidTr="00242AD6">
        <w:tc>
          <w:tcPr>
            <w:tcW w:w="1250" w:type="pct"/>
          </w:tcPr>
          <w:p w14:paraId="431CFF07" w14:textId="06700E3E" w:rsidR="009320F4" w:rsidRPr="00034E9B" w:rsidRDefault="009320F4" w:rsidP="009320F4">
            <w:pPr>
              <w:pStyle w:val="CGCTablerow"/>
            </w:pPr>
            <w:r w:rsidRPr="00034E9B">
              <w:t>Native title</w:t>
            </w:r>
          </w:p>
        </w:tc>
        <w:tc>
          <w:tcPr>
            <w:tcW w:w="3750" w:type="pct"/>
          </w:tcPr>
          <w:p w14:paraId="71CCA1A0" w14:textId="77777777" w:rsidR="009320F4" w:rsidRPr="00034E9B" w:rsidRDefault="009320F4" w:rsidP="009320F4">
            <w:pPr>
              <w:pStyle w:val="CGCTablerow"/>
              <w:numPr>
                <w:ilvl w:val="0"/>
                <w:numId w:val="20"/>
              </w:numPr>
              <w:ind w:left="357" w:hanging="357"/>
            </w:pPr>
            <w:r w:rsidRPr="00034E9B">
              <w:t>The native title and land rights expenses are assessed as a single component.</w:t>
            </w:r>
          </w:p>
          <w:p w14:paraId="5AB501E0" w14:textId="52615DED" w:rsidR="009320F4" w:rsidRPr="00034E9B" w:rsidRDefault="009320F4" w:rsidP="009320F4">
            <w:pPr>
              <w:pStyle w:val="CGCTablerow"/>
              <w:numPr>
                <w:ilvl w:val="0"/>
                <w:numId w:val="20"/>
              </w:numPr>
              <w:ind w:left="357" w:hanging="357"/>
            </w:pPr>
            <w:r w:rsidRPr="00034E9B">
              <w:t>Land rights expenses are assessed for all States (not just the Northern Territory) using the APC method of assessment.</w:t>
            </w:r>
          </w:p>
        </w:tc>
      </w:tr>
    </w:tbl>
    <w:p w14:paraId="799D2168" w14:textId="1557CE9B" w:rsidR="00242AD6" w:rsidRPr="00034E9B" w:rsidRDefault="00242AD6" w:rsidP="00242AD6">
      <w:pPr>
        <w:pStyle w:val="CGCTablenote"/>
      </w:pPr>
      <w:r w:rsidRPr="00034E9B">
        <w:t>Note:</w:t>
      </w:r>
      <w:r w:rsidRPr="00034E9B">
        <w:tab/>
        <w:t xml:space="preserve">Acronyms used in this table are spelt out in the </w:t>
      </w:r>
      <w:r w:rsidR="00641913">
        <w:t>list of acronyms at the beginning of this volume</w:t>
      </w:r>
      <w:r w:rsidRPr="00034E9B">
        <w:t>.</w:t>
      </w:r>
    </w:p>
    <w:p w14:paraId="1C178067" w14:textId="77777777" w:rsidR="00242AD6" w:rsidRPr="00034E9B" w:rsidRDefault="00242AD6" w:rsidP="00242AD6">
      <w:pPr>
        <w:pStyle w:val="CGCTablenote"/>
      </w:pPr>
      <w:r w:rsidRPr="00034E9B">
        <w:t>Source:</w:t>
      </w:r>
      <w:r w:rsidRPr="00034E9B">
        <w:tab/>
        <w:t>Commission decisions.</w:t>
      </w:r>
    </w:p>
    <w:p w14:paraId="4CA5BF5E" w14:textId="77777777" w:rsidR="00242AD6" w:rsidRPr="00034E9B" w:rsidRDefault="00242AD6" w:rsidP="00242AD6"/>
    <w:p w14:paraId="0DAB4BB9" w14:textId="77777777" w:rsidR="00242AD6" w:rsidRPr="00034E9B" w:rsidRDefault="00242AD6" w:rsidP="00242AD6">
      <w:pPr>
        <w:pStyle w:val="Heading4"/>
      </w:pPr>
      <w:bookmarkStart w:id="51" w:name="_Toc391023215"/>
      <w:bookmarkStart w:id="52" w:name="_Toc7601600"/>
      <w:bookmarkStart w:id="53" w:name="_Toc9319959"/>
      <w:bookmarkStart w:id="54" w:name="_Toc12023832"/>
      <w:bookmarkStart w:id="55" w:name="_Toc26890309"/>
      <w:r w:rsidRPr="00034E9B">
        <w:lastRenderedPageBreak/>
        <w:t>Summary of responses to State proposals</w:t>
      </w:r>
      <w:bookmarkEnd w:id="51"/>
      <w:bookmarkEnd w:id="52"/>
      <w:bookmarkEnd w:id="53"/>
      <w:bookmarkEnd w:id="54"/>
      <w:bookmarkEnd w:id="55"/>
      <w:r w:rsidRPr="00034E9B">
        <w:t xml:space="preserve"> </w:t>
      </w:r>
    </w:p>
    <w:p w14:paraId="7F84B220" w14:textId="2283CAB7" w:rsidR="00242AD6" w:rsidRPr="00034E9B" w:rsidRDefault="00242AD6" w:rsidP="00DC5A36">
      <w:pPr>
        <w:pStyle w:val="CGCParaNumber"/>
        <w:numPr>
          <w:ilvl w:val="0"/>
          <w:numId w:val="2"/>
        </w:numPr>
        <w:ind w:left="567" w:hanging="567"/>
        <w:rPr>
          <w:lang w:val="en-AU"/>
        </w:rPr>
      </w:pPr>
      <w:r w:rsidRPr="00034E9B">
        <w:rPr>
          <w:lang w:val="en-AU"/>
        </w:rPr>
        <w:t xml:space="preserve">During the review, States have argued for changes to the Commission’s assessments, ranging from requests to include new disabilities to changes in the way existing disabilities are measured. Western Australia in particular argued for major changes in the way equalisation is conceptualised, approached and implemented by the Commission. In general, the Commission has not acceded to these requests, considering they fail on at least one criterion of the assessment guidelines. </w:t>
      </w:r>
    </w:p>
    <w:p w14:paraId="20B25F20" w14:textId="7CAF4FEF" w:rsidR="00242AD6" w:rsidRPr="00034E9B" w:rsidRDefault="00242AD6" w:rsidP="00DC5A36">
      <w:pPr>
        <w:pStyle w:val="CGCParaNumber"/>
        <w:numPr>
          <w:ilvl w:val="0"/>
          <w:numId w:val="2"/>
        </w:numPr>
        <w:ind w:left="567" w:hanging="567"/>
        <w:rPr>
          <w:lang w:val="en-AU"/>
        </w:rPr>
      </w:pPr>
      <w:r w:rsidRPr="00034E9B">
        <w:rPr>
          <w:lang w:val="en-AU"/>
        </w:rPr>
        <w:t>For a disability to be recognised, the Commission requires there to be a conceptual case, supporting evidence, reliable data and method for measuring the disability, and for the disability to be sufficiently large as to be worth including (that is, material</w:t>
      </w:r>
      <w:r w:rsidR="0094634B">
        <w:rPr>
          <w:lang w:val="en-AU"/>
        </w:rPr>
        <w:t xml:space="preserve">. See </w:t>
      </w:r>
      <w:r w:rsidR="00423BB8">
        <w:rPr>
          <w:lang w:val="en-AU"/>
        </w:rPr>
        <w:t>Chapter 3, Volume 2 for discussion on materiality</w:t>
      </w:r>
      <w:r w:rsidRPr="00034E9B">
        <w:rPr>
          <w:lang w:val="en-AU"/>
        </w:rPr>
        <w:t>).</w:t>
      </w:r>
      <w:r w:rsidR="00351870">
        <w:rPr>
          <w:rStyle w:val="FootnoteReference"/>
          <w:lang w:val="en-AU"/>
        </w:rPr>
        <w:footnoteReference w:id="16"/>
      </w:r>
      <w:r w:rsidRPr="00034E9B">
        <w:rPr>
          <w:lang w:val="en-AU"/>
        </w:rPr>
        <w:t xml:space="preserve"> </w:t>
      </w:r>
      <w:r w:rsidRPr="00034E9B">
        <w:rPr>
          <w:lang w:val="en-AU"/>
        </w:rPr>
        <w:fldChar w:fldCharType="begin"/>
      </w:r>
      <w:r w:rsidRPr="00034E9B">
        <w:rPr>
          <w:lang w:val="en-AU"/>
        </w:rPr>
        <w:instrText xml:space="preserve"> REF _Ref6988256 \h  \* MERGEFORMAT </w:instrText>
      </w:r>
      <w:r w:rsidRPr="00034E9B">
        <w:rPr>
          <w:lang w:val="en-AU"/>
        </w:rPr>
      </w:r>
      <w:r w:rsidRPr="00034E9B">
        <w:rPr>
          <w:lang w:val="en-AU"/>
        </w:rPr>
        <w:fldChar w:fldCharType="separate"/>
      </w:r>
      <w:r w:rsidR="004A0DFA" w:rsidRPr="004A0DFA">
        <w:rPr>
          <w:lang w:val="en-AU"/>
        </w:rPr>
        <w:t>Table 1</w:t>
      </w:r>
      <w:r w:rsidR="004A0DFA" w:rsidRPr="004A0DFA">
        <w:rPr>
          <w:lang w:val="en-AU"/>
        </w:rPr>
        <w:noBreakHyphen/>
        <w:t>5</w:t>
      </w:r>
      <w:r w:rsidRPr="00034E9B">
        <w:rPr>
          <w:lang w:val="en-AU"/>
        </w:rPr>
        <w:fldChar w:fldCharType="end"/>
      </w:r>
      <w:r w:rsidRPr="00034E9B">
        <w:rPr>
          <w:lang w:val="en-AU"/>
        </w:rPr>
        <w:t xml:space="preserve"> describes for each category the major requests for change from States and the Commission’s response. Greater detail on each of these issues </w:t>
      </w:r>
      <w:r w:rsidR="00857CA8">
        <w:rPr>
          <w:lang w:val="en-AU"/>
        </w:rPr>
        <w:t xml:space="preserve">is </w:t>
      </w:r>
      <w:r w:rsidRPr="00034E9B">
        <w:rPr>
          <w:lang w:val="en-AU"/>
        </w:rPr>
        <w:t xml:space="preserve">in the relevant assessment chapters. </w:t>
      </w:r>
    </w:p>
    <w:p w14:paraId="3F169F4E" w14:textId="7AAC26A2" w:rsidR="00242AD6" w:rsidRPr="00034E9B" w:rsidRDefault="00242AD6" w:rsidP="00242AD6">
      <w:pPr>
        <w:pStyle w:val="Caption"/>
      </w:pPr>
      <w:bookmarkStart w:id="56" w:name="_Ref6988256"/>
      <w:bookmarkStart w:id="57" w:name="_Ref7600735"/>
      <w:r w:rsidRPr="00034E9B">
        <w:t>Table </w:t>
      </w:r>
      <w:r w:rsidRPr="00034E9B">
        <w:rPr>
          <w:noProof/>
        </w:rPr>
        <w:t>1</w:t>
      </w:r>
      <w:r w:rsidRPr="00034E9B">
        <w:noBreakHyphen/>
      </w:r>
      <w:r w:rsidRPr="00034E9B">
        <w:rPr>
          <w:noProof/>
        </w:rPr>
        <w:fldChar w:fldCharType="begin"/>
      </w:r>
      <w:r w:rsidRPr="00034E9B">
        <w:rPr>
          <w:noProof/>
        </w:rPr>
        <w:instrText xml:space="preserve"> SEQ Table \* ARABIC \s 1 </w:instrText>
      </w:r>
      <w:r w:rsidRPr="00034E9B">
        <w:rPr>
          <w:noProof/>
        </w:rPr>
        <w:fldChar w:fldCharType="separate"/>
      </w:r>
      <w:r w:rsidR="004A0DFA">
        <w:rPr>
          <w:noProof/>
        </w:rPr>
        <w:t>5</w:t>
      </w:r>
      <w:r w:rsidRPr="00034E9B">
        <w:rPr>
          <w:noProof/>
        </w:rPr>
        <w:fldChar w:fldCharType="end"/>
      </w:r>
      <w:bookmarkEnd w:id="56"/>
      <w:r w:rsidRPr="00034E9B">
        <w:tab/>
        <w:t>Commission responses to State proposals, 2020 Review</w:t>
      </w:r>
      <w:bookmarkEnd w:id="57"/>
      <w:r w:rsidRPr="00034E9B">
        <w:t xml:space="preserve"> </w:t>
      </w:r>
    </w:p>
    <w:tbl>
      <w:tblPr>
        <w:tblW w:w="5068" w:type="pct"/>
        <w:tblBorders>
          <w:top w:val="single" w:sz="4" w:space="0" w:color="ADD6EA"/>
          <w:bottom w:val="single" w:sz="4" w:space="0" w:color="ADD6EA"/>
          <w:insideH w:val="single" w:sz="4" w:space="0" w:color="ADD6EA"/>
        </w:tblBorders>
        <w:tblCellMar>
          <w:left w:w="28" w:type="dxa"/>
          <w:right w:w="85" w:type="dxa"/>
        </w:tblCellMar>
        <w:tblLook w:val="0000" w:firstRow="0" w:lastRow="0" w:firstColumn="0" w:lastColumn="0" w:noHBand="0" w:noVBand="0"/>
      </w:tblPr>
      <w:tblGrid>
        <w:gridCol w:w="3096"/>
        <w:gridCol w:w="961"/>
        <w:gridCol w:w="886"/>
        <w:gridCol w:w="4244"/>
      </w:tblGrid>
      <w:tr w:rsidR="00155176" w:rsidRPr="00034E9B" w14:paraId="6429D3E4" w14:textId="77777777" w:rsidTr="00C01414">
        <w:trPr>
          <w:trHeight w:val="340"/>
        </w:trPr>
        <w:tc>
          <w:tcPr>
            <w:tcW w:w="1685" w:type="pct"/>
            <w:shd w:val="clear" w:color="auto" w:fill="006991"/>
            <w:vAlign w:val="center"/>
          </w:tcPr>
          <w:p w14:paraId="61EA3652" w14:textId="16D6834F" w:rsidR="00155176" w:rsidRPr="00034E9B" w:rsidRDefault="00155176" w:rsidP="000911AC">
            <w:pPr>
              <w:pStyle w:val="CGCTableheader"/>
              <w:rPr>
                <w:lang w:val="en-AU"/>
              </w:rPr>
            </w:pPr>
            <w:r w:rsidRPr="00034E9B">
              <w:rPr>
                <w:lang w:val="en-AU"/>
              </w:rPr>
              <w:t>Proposal</w:t>
            </w:r>
          </w:p>
        </w:tc>
        <w:tc>
          <w:tcPr>
            <w:tcW w:w="523" w:type="pct"/>
            <w:shd w:val="clear" w:color="auto" w:fill="006991"/>
            <w:vAlign w:val="center"/>
          </w:tcPr>
          <w:p w14:paraId="7132D076" w14:textId="229D6183" w:rsidR="00155176" w:rsidRPr="00034E9B" w:rsidRDefault="00155176" w:rsidP="000911AC">
            <w:pPr>
              <w:pStyle w:val="CGCTableheader"/>
              <w:rPr>
                <w:lang w:val="en-AU"/>
              </w:rPr>
            </w:pPr>
            <w:r w:rsidRPr="00034E9B">
              <w:rPr>
                <w:lang w:val="en-AU"/>
              </w:rPr>
              <w:t>State</w:t>
            </w:r>
          </w:p>
        </w:tc>
        <w:tc>
          <w:tcPr>
            <w:tcW w:w="482" w:type="pct"/>
            <w:shd w:val="clear" w:color="auto" w:fill="006991"/>
            <w:vAlign w:val="center"/>
          </w:tcPr>
          <w:p w14:paraId="4574358E" w14:textId="020FEB88" w:rsidR="00155176" w:rsidRPr="00034E9B" w:rsidRDefault="00155176" w:rsidP="000911AC">
            <w:pPr>
              <w:pStyle w:val="CGCTableheader"/>
              <w:rPr>
                <w:lang w:val="en-AU"/>
              </w:rPr>
            </w:pPr>
            <w:r w:rsidRPr="00034E9B">
              <w:rPr>
                <w:lang w:val="en-AU"/>
              </w:rPr>
              <w:t>Adopted</w:t>
            </w:r>
          </w:p>
        </w:tc>
        <w:tc>
          <w:tcPr>
            <w:tcW w:w="2310" w:type="pct"/>
            <w:shd w:val="clear" w:color="auto" w:fill="006991"/>
            <w:vAlign w:val="center"/>
          </w:tcPr>
          <w:p w14:paraId="163757A3" w14:textId="1012FA58" w:rsidR="00155176" w:rsidRPr="00034E9B" w:rsidRDefault="00155176" w:rsidP="000911AC">
            <w:pPr>
              <w:pStyle w:val="CGCTableheader"/>
              <w:rPr>
                <w:lang w:val="en-AU"/>
              </w:rPr>
            </w:pPr>
            <w:r w:rsidRPr="00034E9B">
              <w:rPr>
                <w:lang w:val="en-AU"/>
              </w:rPr>
              <w:t>Explanation</w:t>
            </w:r>
          </w:p>
        </w:tc>
      </w:tr>
      <w:tr w:rsidR="00155176" w:rsidRPr="00034E9B" w14:paraId="1A2BFE86" w14:textId="77777777" w:rsidTr="00C01414">
        <w:tc>
          <w:tcPr>
            <w:tcW w:w="1685" w:type="pct"/>
            <w:shd w:val="clear" w:color="auto" w:fill="B6D5E4"/>
            <w:vAlign w:val="bottom"/>
          </w:tcPr>
          <w:p w14:paraId="33B2BD34" w14:textId="736D5F8C" w:rsidR="00155176" w:rsidRPr="00034E9B" w:rsidRDefault="00155176" w:rsidP="00155176">
            <w:pPr>
              <w:pStyle w:val="CGCTablesubhead1"/>
              <w:rPr>
                <w:i/>
                <w:lang w:val="en-AU"/>
              </w:rPr>
            </w:pPr>
            <w:r w:rsidRPr="00034E9B">
              <w:rPr>
                <w:lang w:val="en-AU"/>
              </w:rPr>
              <w:t>Commonwealth payments</w:t>
            </w:r>
          </w:p>
        </w:tc>
        <w:tc>
          <w:tcPr>
            <w:tcW w:w="523" w:type="pct"/>
            <w:shd w:val="clear" w:color="auto" w:fill="B6D5E4"/>
            <w:vAlign w:val="bottom"/>
          </w:tcPr>
          <w:p w14:paraId="6B113287" w14:textId="77777777" w:rsidR="00155176" w:rsidRPr="00034E9B" w:rsidRDefault="00155176" w:rsidP="00155176">
            <w:pPr>
              <w:pStyle w:val="CGCTablesubhead1"/>
              <w:rPr>
                <w:i/>
                <w:lang w:val="en-AU"/>
              </w:rPr>
            </w:pPr>
          </w:p>
        </w:tc>
        <w:tc>
          <w:tcPr>
            <w:tcW w:w="482" w:type="pct"/>
            <w:shd w:val="clear" w:color="auto" w:fill="B6D5E4"/>
            <w:vAlign w:val="bottom"/>
          </w:tcPr>
          <w:p w14:paraId="0DCC5F8E" w14:textId="77777777" w:rsidR="00155176" w:rsidRPr="00034E9B" w:rsidRDefault="00155176" w:rsidP="00155176">
            <w:pPr>
              <w:pStyle w:val="CGCTablesubhead1"/>
              <w:rPr>
                <w:i/>
                <w:lang w:val="en-AU"/>
              </w:rPr>
            </w:pPr>
          </w:p>
        </w:tc>
        <w:tc>
          <w:tcPr>
            <w:tcW w:w="2310" w:type="pct"/>
            <w:shd w:val="clear" w:color="auto" w:fill="B6D5E4"/>
            <w:vAlign w:val="bottom"/>
          </w:tcPr>
          <w:p w14:paraId="747A7D76" w14:textId="77777777" w:rsidR="00155176" w:rsidRPr="00034E9B" w:rsidRDefault="00155176" w:rsidP="00155176">
            <w:pPr>
              <w:pStyle w:val="CGCTablesubhead1"/>
              <w:rPr>
                <w:i/>
                <w:lang w:val="en-AU"/>
              </w:rPr>
            </w:pPr>
          </w:p>
        </w:tc>
      </w:tr>
      <w:tr w:rsidR="00155176" w:rsidRPr="00034E9B" w14:paraId="05220550" w14:textId="77777777" w:rsidTr="00C01414">
        <w:tc>
          <w:tcPr>
            <w:tcW w:w="1685" w:type="pct"/>
          </w:tcPr>
          <w:p w14:paraId="24D00876" w14:textId="42168449" w:rsidR="00155176" w:rsidRPr="00034E9B" w:rsidRDefault="00155176" w:rsidP="00155176">
            <w:pPr>
              <w:pStyle w:val="CGCTablerow"/>
              <w:rPr>
                <w:i/>
              </w:rPr>
            </w:pPr>
            <w:r w:rsidRPr="00034E9B">
              <w:t>Apply backcasting to all Commonwealth payments</w:t>
            </w:r>
          </w:p>
        </w:tc>
        <w:tc>
          <w:tcPr>
            <w:tcW w:w="523" w:type="pct"/>
          </w:tcPr>
          <w:p w14:paraId="5BE17008" w14:textId="78755142" w:rsidR="00155176" w:rsidRPr="00034E9B" w:rsidRDefault="00155176" w:rsidP="00155176">
            <w:pPr>
              <w:pStyle w:val="CGCTablerow"/>
              <w:rPr>
                <w:i/>
              </w:rPr>
            </w:pPr>
            <w:r w:rsidRPr="00034E9B">
              <w:t>ACT</w:t>
            </w:r>
          </w:p>
        </w:tc>
        <w:tc>
          <w:tcPr>
            <w:tcW w:w="482" w:type="pct"/>
          </w:tcPr>
          <w:p w14:paraId="7293C296" w14:textId="74CD89FE" w:rsidR="00155176" w:rsidRPr="00034E9B" w:rsidRDefault="00155176" w:rsidP="00155176">
            <w:pPr>
              <w:pStyle w:val="CGCTablerow"/>
              <w:rPr>
                <w:i/>
              </w:rPr>
            </w:pPr>
            <w:r w:rsidRPr="00034E9B">
              <w:t>No</w:t>
            </w:r>
          </w:p>
        </w:tc>
        <w:tc>
          <w:tcPr>
            <w:tcW w:w="2310" w:type="pct"/>
          </w:tcPr>
          <w:p w14:paraId="299CF2F9" w14:textId="2E0A3A20" w:rsidR="00155176" w:rsidRPr="00034E9B" w:rsidRDefault="00155176" w:rsidP="00155176">
            <w:pPr>
              <w:pStyle w:val="CGCTablerow"/>
              <w:rPr>
                <w:i/>
              </w:rPr>
            </w:pPr>
            <w:r w:rsidRPr="00034E9B">
              <w:t>Forward estimates published in Commonwealth budget papers are not reliable</w:t>
            </w:r>
            <w:r w:rsidR="00875B0B">
              <w:t xml:space="preserve"> for this purpose</w:t>
            </w:r>
            <w:r w:rsidRPr="00034E9B">
              <w:t>.</w:t>
            </w:r>
          </w:p>
        </w:tc>
      </w:tr>
      <w:tr w:rsidR="00155176" w:rsidRPr="00034E9B" w14:paraId="2C945877" w14:textId="77777777" w:rsidTr="00C01414">
        <w:tc>
          <w:tcPr>
            <w:tcW w:w="1685" w:type="pct"/>
          </w:tcPr>
          <w:p w14:paraId="05329326" w14:textId="703ED9D6" w:rsidR="00155176" w:rsidRPr="00034E9B" w:rsidRDefault="00155176" w:rsidP="00155176">
            <w:pPr>
              <w:pStyle w:val="CGCTablerow"/>
              <w:rPr>
                <w:i/>
              </w:rPr>
            </w:pPr>
            <w:r w:rsidRPr="00034E9B">
              <w:t>Apply a standard 50% discount to all Commonwealth infrastructure payments</w:t>
            </w:r>
          </w:p>
        </w:tc>
        <w:tc>
          <w:tcPr>
            <w:tcW w:w="523" w:type="pct"/>
          </w:tcPr>
          <w:p w14:paraId="0043DE6B" w14:textId="1A307D40" w:rsidR="00155176" w:rsidRPr="00034E9B" w:rsidRDefault="00155176" w:rsidP="00155176">
            <w:pPr>
              <w:pStyle w:val="CGCTablerow"/>
              <w:rPr>
                <w:i/>
              </w:rPr>
            </w:pPr>
            <w:r w:rsidRPr="00034E9B">
              <w:t>WA</w:t>
            </w:r>
          </w:p>
        </w:tc>
        <w:tc>
          <w:tcPr>
            <w:tcW w:w="482" w:type="pct"/>
          </w:tcPr>
          <w:p w14:paraId="46B85888" w14:textId="64C32843" w:rsidR="00155176" w:rsidRPr="00034E9B" w:rsidRDefault="00155176" w:rsidP="00155176">
            <w:pPr>
              <w:pStyle w:val="CGCTablerow"/>
              <w:rPr>
                <w:i/>
              </w:rPr>
            </w:pPr>
            <w:r w:rsidRPr="00034E9B">
              <w:t>No</w:t>
            </w:r>
          </w:p>
        </w:tc>
        <w:tc>
          <w:tcPr>
            <w:tcW w:w="2310" w:type="pct"/>
          </w:tcPr>
          <w:p w14:paraId="292932F3" w14:textId="6A355B8A" w:rsidR="00155176" w:rsidRPr="00034E9B" w:rsidRDefault="00155176" w:rsidP="00155176">
            <w:pPr>
              <w:pStyle w:val="CGCTablerow"/>
              <w:rPr>
                <w:i/>
              </w:rPr>
            </w:pPr>
            <w:r w:rsidRPr="00034E9B">
              <w:t>This does not achieve equalisation. Payments for Infrastructure where the Commission assess</w:t>
            </w:r>
            <w:r w:rsidR="0087002D">
              <w:t>es</w:t>
            </w:r>
            <w:r w:rsidRPr="00034E9B">
              <w:t xml:space="preserve"> needs should affect the relativities.</w:t>
            </w:r>
          </w:p>
        </w:tc>
      </w:tr>
      <w:tr w:rsidR="00155176" w:rsidRPr="00034E9B" w14:paraId="5E9666D1" w14:textId="77777777" w:rsidTr="00C01414">
        <w:tc>
          <w:tcPr>
            <w:tcW w:w="1685" w:type="pct"/>
          </w:tcPr>
          <w:p w14:paraId="52128BF2" w14:textId="25CAE67E" w:rsidR="00155176" w:rsidRPr="00034E9B" w:rsidRDefault="00155176" w:rsidP="00155176">
            <w:pPr>
              <w:pStyle w:val="CGCTablerow"/>
            </w:pPr>
            <w:r w:rsidRPr="00034E9B">
              <w:t>Cease applying the 50% discount to National network roads and National rail network</w:t>
            </w:r>
          </w:p>
        </w:tc>
        <w:tc>
          <w:tcPr>
            <w:tcW w:w="523" w:type="pct"/>
          </w:tcPr>
          <w:p w14:paraId="2C8F9E07" w14:textId="3981EC23" w:rsidR="00155176" w:rsidRPr="00034E9B" w:rsidRDefault="00155176" w:rsidP="00155176">
            <w:pPr>
              <w:pStyle w:val="CGCTablerow"/>
              <w:rPr>
                <w:i/>
              </w:rPr>
            </w:pPr>
            <w:r w:rsidRPr="00034E9B">
              <w:t>Vic, WA, Tas, ACT</w:t>
            </w:r>
          </w:p>
        </w:tc>
        <w:tc>
          <w:tcPr>
            <w:tcW w:w="482" w:type="pct"/>
          </w:tcPr>
          <w:p w14:paraId="1CAE4797" w14:textId="43F3BABF" w:rsidR="00155176" w:rsidRPr="00034E9B" w:rsidRDefault="00155176" w:rsidP="00155176">
            <w:pPr>
              <w:pStyle w:val="CGCTablerow"/>
              <w:rPr>
                <w:i/>
              </w:rPr>
            </w:pPr>
            <w:r w:rsidRPr="00034E9B">
              <w:t>No</w:t>
            </w:r>
          </w:p>
        </w:tc>
        <w:tc>
          <w:tcPr>
            <w:tcW w:w="2310" w:type="pct"/>
          </w:tcPr>
          <w:p w14:paraId="64FD258C" w14:textId="2ECEE425" w:rsidR="00155176" w:rsidRPr="00034E9B" w:rsidRDefault="00155176" w:rsidP="00155176">
            <w:pPr>
              <w:pStyle w:val="CGCTablerow"/>
              <w:rPr>
                <w:i/>
              </w:rPr>
            </w:pPr>
            <w:r w:rsidRPr="00034E9B">
              <w:t>These projects have national objectives that are not captured in road and rail infrastructure assessments. 50% discount achieves the appropriate balance between equalising State fiscal capacities and meeting national objectives.</w:t>
            </w:r>
          </w:p>
        </w:tc>
      </w:tr>
      <w:tr w:rsidR="00155176" w:rsidRPr="00034E9B" w14:paraId="1CE9341C" w14:textId="77777777" w:rsidTr="00C01414">
        <w:tc>
          <w:tcPr>
            <w:tcW w:w="1685" w:type="pct"/>
          </w:tcPr>
          <w:p w14:paraId="4AF33C89" w14:textId="44056DCC" w:rsidR="00155176" w:rsidRPr="00034E9B" w:rsidRDefault="00155176" w:rsidP="00155176">
            <w:pPr>
              <w:pStyle w:val="CGCTablerow"/>
              <w:rPr>
                <w:i/>
              </w:rPr>
            </w:pPr>
            <w:r w:rsidRPr="00034E9B">
              <w:t>Assess capital funding and related expenditure over time</w:t>
            </w:r>
          </w:p>
        </w:tc>
        <w:tc>
          <w:tcPr>
            <w:tcW w:w="523" w:type="pct"/>
          </w:tcPr>
          <w:p w14:paraId="70664116" w14:textId="1CA9E635" w:rsidR="00155176" w:rsidRPr="00034E9B" w:rsidRDefault="00BF4DDD" w:rsidP="00155176">
            <w:pPr>
              <w:pStyle w:val="CGCTablerow"/>
              <w:rPr>
                <w:i/>
              </w:rPr>
            </w:pPr>
            <w:r w:rsidRPr="00034E9B">
              <w:t>Tas</w:t>
            </w:r>
          </w:p>
        </w:tc>
        <w:tc>
          <w:tcPr>
            <w:tcW w:w="482" w:type="pct"/>
          </w:tcPr>
          <w:p w14:paraId="1DDBE9B9" w14:textId="54AE519E" w:rsidR="00155176" w:rsidRPr="00034E9B" w:rsidRDefault="00155176" w:rsidP="00155176">
            <w:pPr>
              <w:pStyle w:val="CGCTablerow"/>
              <w:rPr>
                <w:i/>
              </w:rPr>
            </w:pPr>
            <w:r w:rsidRPr="00034E9B">
              <w:t>No</w:t>
            </w:r>
          </w:p>
        </w:tc>
        <w:tc>
          <w:tcPr>
            <w:tcW w:w="2310" w:type="pct"/>
          </w:tcPr>
          <w:p w14:paraId="18A21415" w14:textId="0279C98B" w:rsidR="00155176" w:rsidRPr="00034E9B" w:rsidRDefault="00155176" w:rsidP="00155176">
            <w:pPr>
              <w:pStyle w:val="CGCTablerow"/>
              <w:rPr>
                <w:i/>
              </w:rPr>
            </w:pPr>
            <w:r w:rsidRPr="00034E9B">
              <w:t>Agree in principle but collecting information on expenditure for each infrastructure payment is problematic.</w:t>
            </w:r>
          </w:p>
        </w:tc>
      </w:tr>
      <w:tr w:rsidR="00155176" w:rsidRPr="00034E9B" w14:paraId="4887F747" w14:textId="77777777" w:rsidTr="00C01414">
        <w:tc>
          <w:tcPr>
            <w:tcW w:w="1685" w:type="pct"/>
          </w:tcPr>
          <w:p w14:paraId="3980DEC7" w14:textId="285E7985" w:rsidR="00155176" w:rsidRPr="00034E9B" w:rsidRDefault="00155176" w:rsidP="00155176">
            <w:pPr>
              <w:pStyle w:val="CGCTablerow"/>
            </w:pPr>
            <w:r w:rsidRPr="00034E9B">
              <w:t>Re-stated the Commission should use its discretion under clause 8(d) of ToR and treat the $37m NSW received in 2017</w:t>
            </w:r>
            <w:r w:rsidRPr="00034E9B">
              <w:noBreakHyphen/>
              <w:t>18 for signing the Skilling Australians Fund NP before a specific date as a 'no impact' reward payment.</w:t>
            </w:r>
          </w:p>
        </w:tc>
        <w:tc>
          <w:tcPr>
            <w:tcW w:w="523" w:type="pct"/>
          </w:tcPr>
          <w:p w14:paraId="1FEF5282" w14:textId="5B9143FC" w:rsidR="00155176" w:rsidRPr="00034E9B" w:rsidRDefault="00155176" w:rsidP="00155176">
            <w:pPr>
              <w:pStyle w:val="CGCTablerow"/>
            </w:pPr>
            <w:r w:rsidRPr="00034E9B">
              <w:t>NSW</w:t>
            </w:r>
          </w:p>
        </w:tc>
        <w:tc>
          <w:tcPr>
            <w:tcW w:w="482" w:type="pct"/>
          </w:tcPr>
          <w:p w14:paraId="3B3D1361" w14:textId="226233D8" w:rsidR="00155176" w:rsidRPr="00034E9B" w:rsidRDefault="00155176" w:rsidP="00155176">
            <w:pPr>
              <w:pStyle w:val="CGCTablerow"/>
            </w:pPr>
            <w:r w:rsidRPr="00034E9B">
              <w:t>No</w:t>
            </w:r>
          </w:p>
        </w:tc>
        <w:tc>
          <w:tcPr>
            <w:tcW w:w="2310" w:type="pct"/>
          </w:tcPr>
          <w:p w14:paraId="311D3506" w14:textId="3824BE96" w:rsidR="00155176" w:rsidRPr="00034E9B" w:rsidRDefault="00155176" w:rsidP="00155176">
            <w:pPr>
              <w:pStyle w:val="CGCTablerow"/>
            </w:pPr>
            <w:r w:rsidRPr="00034E9B">
              <w:t xml:space="preserve">The Commission does not consider it should exercise discretion as to whether a payment is a reward payment or not. It relies on information from the Australian Treasury on these payments and this payment is not listed as a reward payment. </w:t>
            </w:r>
          </w:p>
        </w:tc>
      </w:tr>
      <w:tr w:rsidR="00155176" w:rsidRPr="00034E9B" w14:paraId="167C98CD" w14:textId="77777777" w:rsidTr="00C01414">
        <w:tc>
          <w:tcPr>
            <w:tcW w:w="1685" w:type="pct"/>
            <w:shd w:val="clear" w:color="auto" w:fill="B6D5E4"/>
            <w:vAlign w:val="bottom"/>
          </w:tcPr>
          <w:p w14:paraId="23263F4D" w14:textId="29CE9FD9" w:rsidR="00155176" w:rsidRPr="00034E9B" w:rsidRDefault="00155176" w:rsidP="00155176">
            <w:pPr>
              <w:pStyle w:val="CGCTablesubhead1"/>
              <w:rPr>
                <w:i/>
                <w:lang w:val="en-AU"/>
              </w:rPr>
            </w:pPr>
            <w:r w:rsidRPr="00034E9B">
              <w:rPr>
                <w:lang w:val="en-AU"/>
              </w:rPr>
              <w:t>Payroll tax</w:t>
            </w:r>
          </w:p>
        </w:tc>
        <w:tc>
          <w:tcPr>
            <w:tcW w:w="523" w:type="pct"/>
            <w:shd w:val="clear" w:color="auto" w:fill="B6D5E4"/>
            <w:vAlign w:val="bottom"/>
          </w:tcPr>
          <w:p w14:paraId="0D574504" w14:textId="77777777" w:rsidR="00155176" w:rsidRPr="00034E9B" w:rsidRDefault="00155176" w:rsidP="00155176">
            <w:pPr>
              <w:pStyle w:val="CGCTablesubhead1"/>
              <w:rPr>
                <w:i/>
                <w:lang w:val="en-AU"/>
              </w:rPr>
            </w:pPr>
          </w:p>
        </w:tc>
        <w:tc>
          <w:tcPr>
            <w:tcW w:w="482" w:type="pct"/>
            <w:shd w:val="clear" w:color="auto" w:fill="B6D5E4"/>
            <w:vAlign w:val="bottom"/>
          </w:tcPr>
          <w:p w14:paraId="67FF6E56" w14:textId="77777777" w:rsidR="00155176" w:rsidRPr="00034E9B" w:rsidRDefault="00155176" w:rsidP="00155176">
            <w:pPr>
              <w:pStyle w:val="CGCTablesubhead1"/>
              <w:rPr>
                <w:i/>
                <w:lang w:val="en-AU"/>
              </w:rPr>
            </w:pPr>
          </w:p>
        </w:tc>
        <w:tc>
          <w:tcPr>
            <w:tcW w:w="2310" w:type="pct"/>
            <w:shd w:val="clear" w:color="auto" w:fill="B6D5E4"/>
            <w:vAlign w:val="bottom"/>
          </w:tcPr>
          <w:p w14:paraId="4D38C8CF" w14:textId="77777777" w:rsidR="00155176" w:rsidRPr="00034E9B" w:rsidRDefault="00155176" w:rsidP="00155176">
            <w:pPr>
              <w:pStyle w:val="CGCTablesubhead1"/>
              <w:rPr>
                <w:i/>
                <w:lang w:val="en-AU"/>
              </w:rPr>
            </w:pPr>
          </w:p>
        </w:tc>
      </w:tr>
      <w:tr w:rsidR="00155176" w:rsidRPr="00034E9B" w14:paraId="7B4B21F5" w14:textId="77777777" w:rsidTr="00C01414">
        <w:tc>
          <w:tcPr>
            <w:tcW w:w="1685" w:type="pct"/>
          </w:tcPr>
          <w:p w14:paraId="44FE9DA8" w14:textId="361C9631" w:rsidR="00155176" w:rsidRPr="00034E9B" w:rsidRDefault="00155176" w:rsidP="00155176">
            <w:pPr>
              <w:pStyle w:val="CGCTablerow"/>
            </w:pPr>
            <w:r w:rsidRPr="00034E9B">
              <w:t>Remove remuneration paid by non-profit organisations</w:t>
            </w:r>
          </w:p>
        </w:tc>
        <w:tc>
          <w:tcPr>
            <w:tcW w:w="523" w:type="pct"/>
          </w:tcPr>
          <w:p w14:paraId="76F2FDCF" w14:textId="71168213" w:rsidR="00155176" w:rsidRPr="00034E9B" w:rsidRDefault="00155176" w:rsidP="00155176">
            <w:pPr>
              <w:pStyle w:val="CGCTablerow"/>
            </w:pPr>
            <w:r w:rsidRPr="00034E9B">
              <w:t>ACT</w:t>
            </w:r>
          </w:p>
        </w:tc>
        <w:tc>
          <w:tcPr>
            <w:tcW w:w="482" w:type="pct"/>
          </w:tcPr>
          <w:p w14:paraId="62FFEED9" w14:textId="318F1166" w:rsidR="00155176" w:rsidRPr="00034E9B" w:rsidRDefault="00155176" w:rsidP="00155176">
            <w:pPr>
              <w:pStyle w:val="CGCTablerow"/>
            </w:pPr>
            <w:r w:rsidRPr="00034E9B">
              <w:t>No</w:t>
            </w:r>
          </w:p>
        </w:tc>
        <w:tc>
          <w:tcPr>
            <w:tcW w:w="2310" w:type="pct"/>
          </w:tcPr>
          <w:p w14:paraId="0F7AF664" w14:textId="55BA1F60" w:rsidR="00155176" w:rsidRPr="00034E9B" w:rsidRDefault="00155176" w:rsidP="00155176">
            <w:pPr>
              <w:pStyle w:val="CGCTablerow"/>
            </w:pPr>
            <w:r w:rsidRPr="00034E9B">
              <w:t xml:space="preserve">No reliable data source of non-profit remuneration by State. </w:t>
            </w:r>
          </w:p>
        </w:tc>
      </w:tr>
      <w:tr w:rsidR="00155176" w:rsidRPr="00034E9B" w14:paraId="66BFA2C0" w14:textId="77777777" w:rsidTr="00C01414">
        <w:tc>
          <w:tcPr>
            <w:tcW w:w="1685" w:type="pct"/>
          </w:tcPr>
          <w:p w14:paraId="0C62A6B9" w14:textId="5AAF21FC" w:rsidR="00155176" w:rsidRPr="00034E9B" w:rsidRDefault="00155176" w:rsidP="00155176">
            <w:pPr>
              <w:pStyle w:val="CGCTablerow"/>
            </w:pPr>
            <w:r w:rsidRPr="00034E9B">
              <w:t>Change data source of the assessment</w:t>
            </w:r>
          </w:p>
        </w:tc>
        <w:tc>
          <w:tcPr>
            <w:tcW w:w="523" w:type="pct"/>
          </w:tcPr>
          <w:p w14:paraId="3FA2BE48" w14:textId="1E3D330B" w:rsidR="00155176" w:rsidRPr="00034E9B" w:rsidRDefault="00155176" w:rsidP="00155176">
            <w:pPr>
              <w:pStyle w:val="CGCTablerow"/>
            </w:pPr>
            <w:r w:rsidRPr="00034E9B">
              <w:t>ACT</w:t>
            </w:r>
          </w:p>
        </w:tc>
        <w:tc>
          <w:tcPr>
            <w:tcW w:w="482" w:type="pct"/>
          </w:tcPr>
          <w:p w14:paraId="616A9709" w14:textId="0D2D91E1" w:rsidR="00155176" w:rsidRPr="00034E9B" w:rsidRDefault="00155176" w:rsidP="00155176">
            <w:pPr>
              <w:pStyle w:val="CGCTablerow"/>
            </w:pPr>
            <w:r w:rsidRPr="00034E9B">
              <w:t>No</w:t>
            </w:r>
          </w:p>
        </w:tc>
        <w:tc>
          <w:tcPr>
            <w:tcW w:w="2310" w:type="pct"/>
          </w:tcPr>
          <w:p w14:paraId="51312E07" w14:textId="0A5FEAE4" w:rsidR="00155176" w:rsidRPr="00034E9B" w:rsidRDefault="00155176" w:rsidP="00155176">
            <w:pPr>
              <w:pStyle w:val="CGCTablerow"/>
            </w:pPr>
            <w:r w:rsidRPr="00034E9B">
              <w:t>Current data set is best available at this time.</w:t>
            </w:r>
          </w:p>
        </w:tc>
      </w:tr>
      <w:tr w:rsidR="00155176" w:rsidRPr="00034E9B" w14:paraId="6A27EAC7" w14:textId="77777777" w:rsidTr="00C01414">
        <w:tc>
          <w:tcPr>
            <w:tcW w:w="1685" w:type="pct"/>
            <w:shd w:val="clear" w:color="auto" w:fill="B6D5E4"/>
            <w:vAlign w:val="bottom"/>
          </w:tcPr>
          <w:p w14:paraId="60D38247" w14:textId="7943D79A" w:rsidR="00155176" w:rsidRPr="00034E9B" w:rsidRDefault="00155176" w:rsidP="00155176">
            <w:pPr>
              <w:pStyle w:val="CGCTablesubhead1"/>
              <w:rPr>
                <w:lang w:val="en-AU"/>
              </w:rPr>
            </w:pPr>
            <w:r w:rsidRPr="00034E9B">
              <w:rPr>
                <w:lang w:val="en-AU"/>
              </w:rPr>
              <w:t>Land tax</w:t>
            </w:r>
          </w:p>
        </w:tc>
        <w:tc>
          <w:tcPr>
            <w:tcW w:w="523" w:type="pct"/>
            <w:shd w:val="clear" w:color="auto" w:fill="B6D5E4"/>
            <w:vAlign w:val="bottom"/>
          </w:tcPr>
          <w:p w14:paraId="2D39D887" w14:textId="77777777" w:rsidR="00155176" w:rsidRPr="00034E9B" w:rsidRDefault="00155176" w:rsidP="00155176">
            <w:pPr>
              <w:pStyle w:val="CGCTablesubhead1"/>
              <w:rPr>
                <w:lang w:val="en-AU"/>
              </w:rPr>
            </w:pPr>
          </w:p>
        </w:tc>
        <w:tc>
          <w:tcPr>
            <w:tcW w:w="482" w:type="pct"/>
            <w:shd w:val="clear" w:color="auto" w:fill="B6D5E4"/>
            <w:vAlign w:val="bottom"/>
          </w:tcPr>
          <w:p w14:paraId="1F347AC0" w14:textId="77777777" w:rsidR="00155176" w:rsidRPr="00034E9B" w:rsidRDefault="00155176" w:rsidP="00155176">
            <w:pPr>
              <w:pStyle w:val="CGCTablesubhead1"/>
              <w:rPr>
                <w:lang w:val="en-AU"/>
              </w:rPr>
            </w:pPr>
          </w:p>
        </w:tc>
        <w:tc>
          <w:tcPr>
            <w:tcW w:w="2310" w:type="pct"/>
            <w:shd w:val="clear" w:color="auto" w:fill="B6D5E4"/>
            <w:vAlign w:val="bottom"/>
          </w:tcPr>
          <w:p w14:paraId="3B55EB12" w14:textId="77777777" w:rsidR="00155176" w:rsidRPr="00034E9B" w:rsidRDefault="00155176" w:rsidP="00155176">
            <w:pPr>
              <w:pStyle w:val="CGCTablesubhead1"/>
              <w:rPr>
                <w:lang w:val="en-AU"/>
              </w:rPr>
            </w:pPr>
          </w:p>
        </w:tc>
      </w:tr>
      <w:tr w:rsidR="00155176" w:rsidRPr="00034E9B" w14:paraId="4EE8028E" w14:textId="77777777" w:rsidTr="00C01414">
        <w:tc>
          <w:tcPr>
            <w:tcW w:w="1685" w:type="pct"/>
          </w:tcPr>
          <w:p w14:paraId="1866BAF3" w14:textId="06BA3B6A" w:rsidR="00155176" w:rsidRPr="00034E9B" w:rsidRDefault="00155176" w:rsidP="00155176">
            <w:pPr>
              <w:pStyle w:val="CGCTablerow"/>
            </w:pPr>
            <w:r w:rsidRPr="00034E9B">
              <w:t>Broader revenue assessment</w:t>
            </w:r>
          </w:p>
        </w:tc>
        <w:tc>
          <w:tcPr>
            <w:tcW w:w="523" w:type="pct"/>
          </w:tcPr>
          <w:p w14:paraId="381EA9E9" w14:textId="7F5A139E" w:rsidR="00155176" w:rsidRPr="00034E9B" w:rsidRDefault="00155176" w:rsidP="00155176">
            <w:pPr>
              <w:pStyle w:val="CGCTablerow"/>
            </w:pPr>
            <w:r w:rsidRPr="00034E9B">
              <w:t>WA</w:t>
            </w:r>
          </w:p>
        </w:tc>
        <w:tc>
          <w:tcPr>
            <w:tcW w:w="482" w:type="pct"/>
          </w:tcPr>
          <w:p w14:paraId="0B691AE0" w14:textId="142C8663" w:rsidR="00155176" w:rsidRPr="00034E9B" w:rsidRDefault="00155176" w:rsidP="00155176">
            <w:pPr>
              <w:pStyle w:val="CGCTablerow"/>
            </w:pPr>
            <w:r w:rsidRPr="00034E9B">
              <w:t>No</w:t>
            </w:r>
          </w:p>
        </w:tc>
        <w:tc>
          <w:tcPr>
            <w:tcW w:w="2310" w:type="pct"/>
          </w:tcPr>
          <w:p w14:paraId="5A38C4F0" w14:textId="3C1547AD" w:rsidR="00155176" w:rsidRPr="00034E9B" w:rsidRDefault="00155176" w:rsidP="00155176">
            <w:pPr>
              <w:pStyle w:val="CGCTablerow"/>
            </w:pPr>
            <w:r w:rsidRPr="00034E9B">
              <w:t>Does not produce a more reliable indicator of States’ capacity to raise revenue.</w:t>
            </w:r>
          </w:p>
        </w:tc>
      </w:tr>
      <w:tr w:rsidR="00155176" w:rsidRPr="00034E9B" w14:paraId="2A6D2093" w14:textId="77777777" w:rsidTr="00C01414">
        <w:tc>
          <w:tcPr>
            <w:tcW w:w="1685" w:type="pct"/>
          </w:tcPr>
          <w:p w14:paraId="35B6D37C" w14:textId="16B2283D" w:rsidR="00155176" w:rsidRPr="00034E9B" w:rsidRDefault="00155176" w:rsidP="00155176">
            <w:pPr>
              <w:pStyle w:val="CGCTablerow"/>
            </w:pPr>
            <w:r w:rsidRPr="00034E9B">
              <w:t>Remove revenue base adjustments</w:t>
            </w:r>
          </w:p>
        </w:tc>
        <w:tc>
          <w:tcPr>
            <w:tcW w:w="523" w:type="pct"/>
          </w:tcPr>
          <w:p w14:paraId="41DC03FA" w14:textId="63BAC71D" w:rsidR="00155176" w:rsidRPr="00034E9B" w:rsidRDefault="00155176" w:rsidP="00155176">
            <w:pPr>
              <w:pStyle w:val="CGCTablerow"/>
            </w:pPr>
            <w:r w:rsidRPr="00034E9B">
              <w:t>WA</w:t>
            </w:r>
          </w:p>
        </w:tc>
        <w:tc>
          <w:tcPr>
            <w:tcW w:w="482" w:type="pct"/>
          </w:tcPr>
          <w:p w14:paraId="3091760C" w14:textId="2DAA4BC2" w:rsidR="00155176" w:rsidRPr="00034E9B" w:rsidRDefault="00155176" w:rsidP="00155176">
            <w:pPr>
              <w:pStyle w:val="CGCTablerow"/>
            </w:pPr>
            <w:r w:rsidRPr="00034E9B">
              <w:t>No</w:t>
            </w:r>
          </w:p>
        </w:tc>
        <w:tc>
          <w:tcPr>
            <w:tcW w:w="2310" w:type="pct"/>
          </w:tcPr>
          <w:p w14:paraId="576A773C" w14:textId="39504C8A" w:rsidR="00155176" w:rsidRPr="00034E9B" w:rsidRDefault="00155176" w:rsidP="00155176">
            <w:pPr>
              <w:pStyle w:val="CGCTablerow"/>
            </w:pPr>
            <w:r w:rsidRPr="00034E9B">
              <w:t>They reflect what States do and are material.</w:t>
            </w:r>
          </w:p>
        </w:tc>
      </w:tr>
      <w:tr w:rsidR="00155176" w:rsidRPr="00034E9B" w14:paraId="661C8681" w14:textId="77777777" w:rsidTr="00C01414">
        <w:tc>
          <w:tcPr>
            <w:tcW w:w="1685" w:type="pct"/>
          </w:tcPr>
          <w:p w14:paraId="378770D5" w14:textId="6E4105BA" w:rsidR="00155176" w:rsidRPr="00034E9B" w:rsidRDefault="00155176" w:rsidP="00155176">
            <w:pPr>
              <w:pStyle w:val="CGCTablerow"/>
            </w:pPr>
            <w:r w:rsidRPr="00034E9B">
              <w:t>Adjustment for annual land valuations</w:t>
            </w:r>
          </w:p>
        </w:tc>
        <w:tc>
          <w:tcPr>
            <w:tcW w:w="523" w:type="pct"/>
          </w:tcPr>
          <w:p w14:paraId="62007584" w14:textId="562375F4" w:rsidR="00155176" w:rsidRPr="00034E9B" w:rsidRDefault="00155176" w:rsidP="00155176">
            <w:pPr>
              <w:pStyle w:val="CGCTablerow"/>
            </w:pPr>
            <w:r w:rsidRPr="00034E9B">
              <w:t>Vic</w:t>
            </w:r>
          </w:p>
        </w:tc>
        <w:tc>
          <w:tcPr>
            <w:tcW w:w="482" w:type="pct"/>
          </w:tcPr>
          <w:p w14:paraId="46A93680" w14:textId="6C48BC61" w:rsidR="00155176" w:rsidRPr="00034E9B" w:rsidRDefault="00155176" w:rsidP="00155176">
            <w:pPr>
              <w:pStyle w:val="CGCTablerow"/>
            </w:pPr>
            <w:r w:rsidRPr="00034E9B">
              <w:t>No</w:t>
            </w:r>
          </w:p>
        </w:tc>
        <w:tc>
          <w:tcPr>
            <w:tcW w:w="2310" w:type="pct"/>
          </w:tcPr>
          <w:p w14:paraId="649C9567" w14:textId="039621AC" w:rsidR="00155176" w:rsidRPr="00034E9B" w:rsidRDefault="00155176" w:rsidP="00155176">
            <w:pPr>
              <w:pStyle w:val="CGCTablerow"/>
            </w:pPr>
            <w:r w:rsidRPr="00034E9B">
              <w:t>All States try to keep their land valuations contemporary through valuations or benchmarking.</w:t>
            </w:r>
          </w:p>
        </w:tc>
      </w:tr>
      <w:tr w:rsidR="00155176" w:rsidRPr="00034E9B" w14:paraId="39B7077D" w14:textId="77777777" w:rsidTr="00C01414">
        <w:tc>
          <w:tcPr>
            <w:tcW w:w="1685" w:type="pct"/>
          </w:tcPr>
          <w:p w14:paraId="6F60E6E4" w14:textId="719E4CB9" w:rsidR="00155176" w:rsidRPr="00034E9B" w:rsidRDefault="00155176" w:rsidP="00155176">
            <w:pPr>
              <w:pStyle w:val="CGCTablerow"/>
            </w:pPr>
            <w:r w:rsidRPr="00034E9B">
              <w:t>Different disability for other land based taxes</w:t>
            </w:r>
          </w:p>
        </w:tc>
        <w:tc>
          <w:tcPr>
            <w:tcW w:w="523" w:type="pct"/>
          </w:tcPr>
          <w:p w14:paraId="7386A579" w14:textId="47C6FCBA" w:rsidR="00155176" w:rsidRPr="00034E9B" w:rsidRDefault="00155176" w:rsidP="00155176">
            <w:pPr>
              <w:pStyle w:val="CGCTablerow"/>
            </w:pPr>
            <w:r w:rsidRPr="00034E9B">
              <w:t>WA</w:t>
            </w:r>
          </w:p>
        </w:tc>
        <w:tc>
          <w:tcPr>
            <w:tcW w:w="482" w:type="pct"/>
          </w:tcPr>
          <w:p w14:paraId="0F86FB7C" w14:textId="4C5AB6AB" w:rsidR="00155176" w:rsidRPr="00034E9B" w:rsidRDefault="00155176" w:rsidP="00155176">
            <w:pPr>
              <w:pStyle w:val="CGCTablerow"/>
            </w:pPr>
            <w:r w:rsidRPr="00034E9B">
              <w:t>No</w:t>
            </w:r>
          </w:p>
        </w:tc>
        <w:tc>
          <w:tcPr>
            <w:tcW w:w="2310" w:type="pct"/>
          </w:tcPr>
          <w:p w14:paraId="486A8682" w14:textId="64FD5B6C" w:rsidR="00155176" w:rsidRPr="00034E9B" w:rsidRDefault="00155176" w:rsidP="00155176">
            <w:pPr>
              <w:pStyle w:val="CGCTablerow"/>
            </w:pPr>
            <w:r w:rsidRPr="00034E9B">
              <w:t>Not material to separately assess.</w:t>
            </w:r>
          </w:p>
        </w:tc>
      </w:tr>
      <w:tr w:rsidR="00155176" w:rsidRPr="00034E9B" w14:paraId="4829B339" w14:textId="77777777" w:rsidTr="00C01414">
        <w:tc>
          <w:tcPr>
            <w:tcW w:w="1685" w:type="pct"/>
          </w:tcPr>
          <w:p w14:paraId="3DA70D38" w14:textId="04EFCA52" w:rsidR="00155176" w:rsidRPr="00034E9B" w:rsidRDefault="00155176" w:rsidP="00155176">
            <w:pPr>
              <w:pStyle w:val="CGCTablerow"/>
            </w:pPr>
            <w:r w:rsidRPr="00034E9B">
              <w:t>Size of CBD for parking space levies</w:t>
            </w:r>
          </w:p>
        </w:tc>
        <w:tc>
          <w:tcPr>
            <w:tcW w:w="523" w:type="pct"/>
          </w:tcPr>
          <w:p w14:paraId="4CB2E9C5" w14:textId="489ED42D" w:rsidR="00155176" w:rsidRPr="00034E9B" w:rsidRDefault="00155176" w:rsidP="00155176">
            <w:pPr>
              <w:pStyle w:val="CGCTablerow"/>
            </w:pPr>
            <w:r w:rsidRPr="00034E9B">
              <w:t>ACT</w:t>
            </w:r>
          </w:p>
        </w:tc>
        <w:tc>
          <w:tcPr>
            <w:tcW w:w="482" w:type="pct"/>
          </w:tcPr>
          <w:p w14:paraId="06BF0EE6" w14:textId="4B45C2C4" w:rsidR="00155176" w:rsidRPr="00034E9B" w:rsidRDefault="00155176" w:rsidP="00155176">
            <w:pPr>
              <w:pStyle w:val="CGCTablerow"/>
            </w:pPr>
            <w:r w:rsidRPr="00034E9B">
              <w:t>No</w:t>
            </w:r>
          </w:p>
        </w:tc>
        <w:tc>
          <w:tcPr>
            <w:tcW w:w="2310" w:type="pct"/>
          </w:tcPr>
          <w:p w14:paraId="6AAB4958" w14:textId="17AC29B8" w:rsidR="00155176" w:rsidRPr="00034E9B" w:rsidRDefault="00155176" w:rsidP="00155176">
            <w:pPr>
              <w:pStyle w:val="CGCTablerow"/>
            </w:pPr>
            <w:r w:rsidRPr="00034E9B">
              <w:t>Not material to separately assess.</w:t>
            </w:r>
          </w:p>
        </w:tc>
      </w:tr>
    </w:tbl>
    <w:p w14:paraId="3159F51A" w14:textId="1BF0EEB9" w:rsidR="00242AD6" w:rsidRPr="00034E9B" w:rsidRDefault="00242AD6" w:rsidP="00242AD6">
      <w:pPr>
        <w:pStyle w:val="CGCTablenote"/>
      </w:pPr>
      <w:r w:rsidRPr="00034E9B">
        <w:t>Note:</w:t>
      </w:r>
      <w:r w:rsidRPr="00034E9B">
        <w:tab/>
        <w:t xml:space="preserve">Acronyms used in this table are spelt out in the </w:t>
      </w:r>
      <w:r w:rsidR="00641913">
        <w:t>list of acronyms at the beginning of this volume</w:t>
      </w:r>
      <w:r w:rsidRPr="00034E9B">
        <w:t>.</w:t>
      </w:r>
    </w:p>
    <w:p w14:paraId="631CC23B" w14:textId="77777777" w:rsidR="00242AD6" w:rsidRPr="00034E9B" w:rsidRDefault="00242AD6" w:rsidP="00242AD6">
      <w:pPr>
        <w:pStyle w:val="CGCTablenote"/>
      </w:pPr>
      <w:r w:rsidRPr="00034E9B">
        <w:t>Source:</w:t>
      </w:r>
      <w:r w:rsidRPr="00034E9B">
        <w:tab/>
        <w:t>Commission decisions.</w:t>
      </w:r>
    </w:p>
    <w:p w14:paraId="5CE0EDAB" w14:textId="77777777" w:rsidR="00593181" w:rsidRPr="00034E9B" w:rsidRDefault="00593181" w:rsidP="00593181">
      <w:pPr>
        <w:pStyle w:val="Caption"/>
      </w:pPr>
      <w:r w:rsidRPr="00034E9B">
        <w:lastRenderedPageBreak/>
        <w:t>Table </w:t>
      </w:r>
      <w:r w:rsidRPr="00034E9B">
        <w:rPr>
          <w:noProof/>
        </w:rPr>
        <w:t>1</w:t>
      </w:r>
      <w:r w:rsidRPr="00034E9B">
        <w:noBreakHyphen/>
      </w:r>
      <w:r w:rsidRPr="00034E9B">
        <w:rPr>
          <w:noProof/>
        </w:rPr>
        <w:t>5</w:t>
      </w:r>
      <w:r w:rsidRPr="00034E9B">
        <w:tab/>
        <w:t>Commission responses to State proposals, 2020 Review (continued)</w:t>
      </w:r>
    </w:p>
    <w:tbl>
      <w:tblPr>
        <w:tblW w:w="9245" w:type="dxa"/>
        <w:tblBorders>
          <w:top w:val="single" w:sz="4" w:space="0" w:color="ADD6EA"/>
          <w:bottom w:val="single" w:sz="4" w:space="0" w:color="ADD6EA"/>
          <w:insideH w:val="single" w:sz="4" w:space="0" w:color="ADD6EA"/>
        </w:tblBorders>
        <w:tblCellMar>
          <w:left w:w="28" w:type="dxa"/>
          <w:right w:w="85" w:type="dxa"/>
        </w:tblCellMar>
        <w:tblLook w:val="0000" w:firstRow="0" w:lastRow="0" w:firstColumn="0" w:lastColumn="0" w:noHBand="0" w:noVBand="0"/>
      </w:tblPr>
      <w:tblGrid>
        <w:gridCol w:w="3115"/>
        <w:gridCol w:w="966"/>
        <w:gridCol w:w="887"/>
        <w:gridCol w:w="7"/>
        <w:gridCol w:w="4117"/>
        <w:gridCol w:w="153"/>
      </w:tblGrid>
      <w:tr w:rsidR="00600C24" w:rsidRPr="00034E9B" w14:paraId="3C18C0D3" w14:textId="77777777" w:rsidTr="00C01414">
        <w:trPr>
          <w:gridAfter w:val="1"/>
          <w:wAfter w:w="94" w:type="pct"/>
          <w:trHeight w:val="340"/>
        </w:trPr>
        <w:tc>
          <w:tcPr>
            <w:tcW w:w="1677" w:type="pct"/>
            <w:shd w:val="clear" w:color="auto" w:fill="006991"/>
            <w:vAlign w:val="center"/>
          </w:tcPr>
          <w:p w14:paraId="3C0AA9E4" w14:textId="18224661" w:rsidR="00600C24" w:rsidRPr="00034E9B" w:rsidRDefault="00600C24" w:rsidP="00486CEE">
            <w:pPr>
              <w:pStyle w:val="CGCTableheader"/>
              <w:rPr>
                <w:b/>
                <w:lang w:val="en-AU"/>
              </w:rPr>
            </w:pPr>
            <w:r w:rsidRPr="00034E9B">
              <w:rPr>
                <w:lang w:val="en-AU"/>
              </w:rPr>
              <w:t>Proposal</w:t>
            </w:r>
          </w:p>
        </w:tc>
        <w:tc>
          <w:tcPr>
            <w:tcW w:w="520" w:type="pct"/>
            <w:shd w:val="clear" w:color="auto" w:fill="006991"/>
            <w:vAlign w:val="center"/>
          </w:tcPr>
          <w:p w14:paraId="00245178" w14:textId="79CB544F" w:rsidR="00600C24" w:rsidRPr="00034E9B" w:rsidRDefault="00600C24" w:rsidP="00486CEE">
            <w:pPr>
              <w:pStyle w:val="CGCTableheader"/>
              <w:rPr>
                <w:lang w:val="en-AU"/>
              </w:rPr>
            </w:pPr>
            <w:r w:rsidRPr="00034E9B">
              <w:rPr>
                <w:lang w:val="en-AU"/>
              </w:rPr>
              <w:t>State</w:t>
            </w:r>
          </w:p>
        </w:tc>
        <w:tc>
          <w:tcPr>
            <w:tcW w:w="480" w:type="pct"/>
            <w:shd w:val="clear" w:color="auto" w:fill="006991"/>
            <w:vAlign w:val="center"/>
          </w:tcPr>
          <w:p w14:paraId="0C562092" w14:textId="09214A05" w:rsidR="00600C24" w:rsidRPr="00034E9B" w:rsidRDefault="00600C24" w:rsidP="00486CEE">
            <w:pPr>
              <w:pStyle w:val="CGCTableheader"/>
              <w:rPr>
                <w:lang w:val="en-AU"/>
              </w:rPr>
            </w:pPr>
            <w:r w:rsidRPr="00034E9B">
              <w:rPr>
                <w:lang w:val="en-AU"/>
              </w:rPr>
              <w:t>Adopted</w:t>
            </w:r>
          </w:p>
        </w:tc>
        <w:tc>
          <w:tcPr>
            <w:tcW w:w="2229" w:type="pct"/>
            <w:gridSpan w:val="2"/>
            <w:shd w:val="clear" w:color="auto" w:fill="006991"/>
            <w:vAlign w:val="center"/>
          </w:tcPr>
          <w:p w14:paraId="5F2C2874" w14:textId="610324BD" w:rsidR="00600C24" w:rsidRPr="00034E9B" w:rsidRDefault="00600C24" w:rsidP="00486CEE">
            <w:pPr>
              <w:pStyle w:val="CGCTableheader"/>
              <w:rPr>
                <w:lang w:val="en-AU"/>
              </w:rPr>
            </w:pPr>
            <w:r w:rsidRPr="00034E9B">
              <w:rPr>
                <w:lang w:val="en-AU"/>
              </w:rPr>
              <w:t>Explanation</w:t>
            </w:r>
          </w:p>
        </w:tc>
      </w:tr>
      <w:tr w:rsidR="00600C24" w:rsidRPr="00034E9B" w14:paraId="737FA52D" w14:textId="77777777" w:rsidTr="00C01414">
        <w:trPr>
          <w:gridAfter w:val="1"/>
          <w:wAfter w:w="94" w:type="pct"/>
        </w:trPr>
        <w:tc>
          <w:tcPr>
            <w:tcW w:w="1677" w:type="pct"/>
            <w:shd w:val="clear" w:color="auto" w:fill="B6D5E4"/>
            <w:vAlign w:val="bottom"/>
          </w:tcPr>
          <w:p w14:paraId="1CAA2F47" w14:textId="70490D6B" w:rsidR="00600C24" w:rsidRPr="00034E9B" w:rsidRDefault="00600C24" w:rsidP="00600C24">
            <w:pPr>
              <w:pStyle w:val="CGCTablesubhead1"/>
              <w:rPr>
                <w:lang w:val="en-AU"/>
              </w:rPr>
            </w:pPr>
            <w:r w:rsidRPr="00034E9B">
              <w:rPr>
                <w:lang w:val="en-AU"/>
              </w:rPr>
              <w:t>Land tax (continued)</w:t>
            </w:r>
          </w:p>
        </w:tc>
        <w:tc>
          <w:tcPr>
            <w:tcW w:w="520" w:type="pct"/>
            <w:shd w:val="clear" w:color="auto" w:fill="B6D5E4"/>
            <w:vAlign w:val="bottom"/>
          </w:tcPr>
          <w:p w14:paraId="47E47B5A" w14:textId="77777777" w:rsidR="00600C24" w:rsidRPr="00034E9B" w:rsidRDefault="00600C24" w:rsidP="00600C24">
            <w:pPr>
              <w:pStyle w:val="CGCTablesubhead1"/>
              <w:rPr>
                <w:lang w:val="en-AU"/>
              </w:rPr>
            </w:pPr>
          </w:p>
        </w:tc>
        <w:tc>
          <w:tcPr>
            <w:tcW w:w="480" w:type="pct"/>
            <w:shd w:val="clear" w:color="auto" w:fill="B6D5E4"/>
            <w:vAlign w:val="bottom"/>
          </w:tcPr>
          <w:p w14:paraId="235D0D41" w14:textId="77777777" w:rsidR="00600C24" w:rsidRPr="00034E9B" w:rsidRDefault="00600C24" w:rsidP="00600C24">
            <w:pPr>
              <w:pStyle w:val="CGCTablesubhead1"/>
              <w:rPr>
                <w:lang w:val="en-AU"/>
              </w:rPr>
            </w:pPr>
          </w:p>
        </w:tc>
        <w:tc>
          <w:tcPr>
            <w:tcW w:w="2229" w:type="pct"/>
            <w:gridSpan w:val="2"/>
            <w:shd w:val="clear" w:color="auto" w:fill="B6D5E4"/>
            <w:vAlign w:val="bottom"/>
          </w:tcPr>
          <w:p w14:paraId="43D23D1F" w14:textId="77777777" w:rsidR="00600C24" w:rsidRPr="00034E9B" w:rsidRDefault="00600C24" w:rsidP="00600C24">
            <w:pPr>
              <w:pStyle w:val="CGCTablesubhead1"/>
              <w:rPr>
                <w:lang w:val="en-AU"/>
              </w:rPr>
            </w:pPr>
          </w:p>
        </w:tc>
      </w:tr>
      <w:tr w:rsidR="002C1DD2" w:rsidRPr="00034E9B" w14:paraId="4F285AE2" w14:textId="77777777" w:rsidTr="00C01414">
        <w:tc>
          <w:tcPr>
            <w:tcW w:w="1685" w:type="pct"/>
          </w:tcPr>
          <w:p w14:paraId="2D60C4B2" w14:textId="77777777" w:rsidR="002C1DD2" w:rsidRPr="00034E9B" w:rsidRDefault="002C1DD2" w:rsidP="006267EA">
            <w:pPr>
              <w:pStyle w:val="CGCTablerow"/>
            </w:pPr>
            <w:r w:rsidRPr="00034E9B">
              <w:t>Not use land values</w:t>
            </w:r>
          </w:p>
        </w:tc>
        <w:tc>
          <w:tcPr>
            <w:tcW w:w="523" w:type="pct"/>
          </w:tcPr>
          <w:p w14:paraId="7466B5B4" w14:textId="77777777" w:rsidR="002C1DD2" w:rsidRPr="00034E9B" w:rsidRDefault="002C1DD2" w:rsidP="006267EA">
            <w:pPr>
              <w:pStyle w:val="CGCTablerow"/>
            </w:pPr>
            <w:r w:rsidRPr="00034E9B">
              <w:t>WA</w:t>
            </w:r>
          </w:p>
        </w:tc>
        <w:tc>
          <w:tcPr>
            <w:tcW w:w="482" w:type="pct"/>
            <w:gridSpan w:val="2"/>
          </w:tcPr>
          <w:p w14:paraId="2355C0D0" w14:textId="77777777" w:rsidR="002C1DD2" w:rsidRPr="00034E9B" w:rsidRDefault="002C1DD2" w:rsidP="006267EA">
            <w:pPr>
              <w:pStyle w:val="CGCTablerow"/>
            </w:pPr>
            <w:r w:rsidRPr="00034E9B">
              <w:t>No</w:t>
            </w:r>
          </w:p>
        </w:tc>
        <w:tc>
          <w:tcPr>
            <w:tcW w:w="2310" w:type="pct"/>
            <w:gridSpan w:val="2"/>
          </w:tcPr>
          <w:p w14:paraId="2BD2C04F" w14:textId="77777777" w:rsidR="002C1DD2" w:rsidRPr="00034E9B" w:rsidRDefault="002C1DD2" w:rsidP="006267EA">
            <w:pPr>
              <w:pStyle w:val="CGCTablerow"/>
            </w:pPr>
            <w:r w:rsidRPr="00034E9B">
              <w:t>No evidence that State policy differences are having a material effect on land values.</w:t>
            </w:r>
          </w:p>
        </w:tc>
      </w:tr>
      <w:tr w:rsidR="00857CA8" w:rsidRPr="00034E9B" w14:paraId="6A59A2E0" w14:textId="77777777" w:rsidTr="00C01414">
        <w:tc>
          <w:tcPr>
            <w:tcW w:w="1677" w:type="pct"/>
          </w:tcPr>
          <w:p w14:paraId="1E27E7FA" w14:textId="77777777" w:rsidR="00857CA8" w:rsidRPr="00034E9B" w:rsidRDefault="00857CA8" w:rsidP="006267EA">
            <w:pPr>
              <w:pStyle w:val="CGCTablerow"/>
            </w:pPr>
            <w:r w:rsidRPr="00034E9B">
              <w:t>Assess all land revenue together</w:t>
            </w:r>
          </w:p>
        </w:tc>
        <w:tc>
          <w:tcPr>
            <w:tcW w:w="520" w:type="pct"/>
          </w:tcPr>
          <w:p w14:paraId="7BFB31B1" w14:textId="77777777" w:rsidR="00857CA8" w:rsidRPr="00034E9B" w:rsidRDefault="00857CA8" w:rsidP="006267EA">
            <w:pPr>
              <w:pStyle w:val="CGCTablerow"/>
            </w:pPr>
            <w:r w:rsidRPr="00034E9B">
              <w:t>ACT</w:t>
            </w:r>
          </w:p>
        </w:tc>
        <w:tc>
          <w:tcPr>
            <w:tcW w:w="480" w:type="pct"/>
          </w:tcPr>
          <w:p w14:paraId="6EAE4544" w14:textId="77777777" w:rsidR="00857CA8" w:rsidRPr="00034E9B" w:rsidRDefault="00857CA8" w:rsidP="006267EA">
            <w:pPr>
              <w:pStyle w:val="CGCTablerow"/>
            </w:pPr>
            <w:r w:rsidRPr="00034E9B">
              <w:t>No</w:t>
            </w:r>
          </w:p>
        </w:tc>
        <w:tc>
          <w:tcPr>
            <w:tcW w:w="2229" w:type="pct"/>
            <w:gridSpan w:val="3"/>
          </w:tcPr>
          <w:p w14:paraId="2EA4262F" w14:textId="77777777" w:rsidR="00857CA8" w:rsidRPr="00034E9B" w:rsidRDefault="00857CA8" w:rsidP="006267EA">
            <w:pPr>
              <w:pStyle w:val="CGCTablerow"/>
            </w:pPr>
            <w:r w:rsidRPr="00034E9B">
              <w:t>States impose land tax differently to other land based taxes. The difference is material.</w:t>
            </w:r>
          </w:p>
        </w:tc>
      </w:tr>
      <w:tr w:rsidR="00857CA8" w:rsidRPr="00034E9B" w14:paraId="31604167" w14:textId="77777777" w:rsidTr="00C01414">
        <w:tc>
          <w:tcPr>
            <w:tcW w:w="1677" w:type="pct"/>
          </w:tcPr>
          <w:p w14:paraId="0BCA685C" w14:textId="77777777" w:rsidR="00857CA8" w:rsidRPr="00034E9B" w:rsidRDefault="00857CA8" w:rsidP="006267EA">
            <w:pPr>
              <w:pStyle w:val="CGCTablerow"/>
            </w:pPr>
            <w:r w:rsidRPr="00034E9B">
              <w:t>Reduce discount</w:t>
            </w:r>
          </w:p>
        </w:tc>
        <w:tc>
          <w:tcPr>
            <w:tcW w:w="520" w:type="pct"/>
          </w:tcPr>
          <w:p w14:paraId="6F1243FF" w14:textId="77777777" w:rsidR="00857CA8" w:rsidRPr="00034E9B" w:rsidRDefault="00857CA8" w:rsidP="006267EA">
            <w:pPr>
              <w:pStyle w:val="CGCTablerow"/>
            </w:pPr>
            <w:r w:rsidRPr="00034E9B">
              <w:t>6 States</w:t>
            </w:r>
          </w:p>
        </w:tc>
        <w:tc>
          <w:tcPr>
            <w:tcW w:w="480" w:type="pct"/>
          </w:tcPr>
          <w:p w14:paraId="2AC77EC8" w14:textId="77777777" w:rsidR="00857CA8" w:rsidRPr="00034E9B" w:rsidRDefault="00857CA8" w:rsidP="006267EA">
            <w:pPr>
              <w:pStyle w:val="CGCTablerow"/>
            </w:pPr>
            <w:r w:rsidRPr="00034E9B">
              <w:t>Yes</w:t>
            </w:r>
          </w:p>
        </w:tc>
        <w:tc>
          <w:tcPr>
            <w:tcW w:w="2229" w:type="pct"/>
            <w:gridSpan w:val="3"/>
          </w:tcPr>
          <w:p w14:paraId="42577CEC" w14:textId="77777777" w:rsidR="00857CA8" w:rsidRPr="00034E9B" w:rsidRDefault="00857CA8" w:rsidP="006267EA">
            <w:pPr>
              <w:pStyle w:val="CGCTablerow"/>
            </w:pPr>
            <w:r w:rsidRPr="00034E9B">
              <w:t>There appears to have been some improvement in comparability of SRO data in the last decade.</w:t>
            </w:r>
          </w:p>
        </w:tc>
      </w:tr>
      <w:tr w:rsidR="00600C24" w:rsidRPr="00034E9B" w14:paraId="64D44439" w14:textId="77777777" w:rsidTr="00C01414">
        <w:trPr>
          <w:gridAfter w:val="1"/>
          <w:wAfter w:w="94" w:type="pct"/>
        </w:trPr>
        <w:tc>
          <w:tcPr>
            <w:tcW w:w="1677" w:type="pct"/>
          </w:tcPr>
          <w:p w14:paraId="02F0A42A" w14:textId="0B84EBA8" w:rsidR="00600C24" w:rsidRPr="00034E9B" w:rsidRDefault="00600C24" w:rsidP="00600C24">
            <w:pPr>
              <w:pStyle w:val="CGCTablerow"/>
            </w:pPr>
            <w:r w:rsidRPr="00034E9B">
              <w:t>Base ACT adjustment on other State’s data</w:t>
            </w:r>
          </w:p>
        </w:tc>
        <w:tc>
          <w:tcPr>
            <w:tcW w:w="520" w:type="pct"/>
          </w:tcPr>
          <w:p w14:paraId="64D699A0" w14:textId="172F64B9" w:rsidR="00600C24" w:rsidRPr="00034E9B" w:rsidRDefault="00600C24" w:rsidP="00600C24">
            <w:pPr>
              <w:pStyle w:val="CGCTablerow"/>
            </w:pPr>
            <w:r w:rsidRPr="00034E9B">
              <w:t>NSW, WA</w:t>
            </w:r>
          </w:p>
        </w:tc>
        <w:tc>
          <w:tcPr>
            <w:tcW w:w="480" w:type="pct"/>
          </w:tcPr>
          <w:p w14:paraId="17D07C13" w14:textId="4788987E" w:rsidR="00600C24" w:rsidRPr="00034E9B" w:rsidRDefault="00600C24" w:rsidP="00600C24">
            <w:pPr>
              <w:pStyle w:val="CGCTablerow"/>
            </w:pPr>
            <w:r w:rsidRPr="00034E9B">
              <w:t>No</w:t>
            </w:r>
          </w:p>
        </w:tc>
        <w:tc>
          <w:tcPr>
            <w:tcW w:w="2229" w:type="pct"/>
            <w:gridSpan w:val="2"/>
          </w:tcPr>
          <w:p w14:paraId="3434B36E" w14:textId="1843246C" w:rsidR="00600C24" w:rsidRPr="00034E9B" w:rsidRDefault="00600C24" w:rsidP="00600C24">
            <w:pPr>
              <w:pStyle w:val="CGCTablerow"/>
            </w:pPr>
            <w:r w:rsidRPr="00034E9B">
              <w:t>Adjustment based on data provided by the ACT.</w:t>
            </w:r>
          </w:p>
        </w:tc>
      </w:tr>
      <w:tr w:rsidR="00600C24" w:rsidRPr="00034E9B" w14:paraId="076CB17B" w14:textId="77777777" w:rsidTr="00C01414">
        <w:trPr>
          <w:gridAfter w:val="1"/>
          <w:wAfter w:w="94" w:type="pct"/>
        </w:trPr>
        <w:tc>
          <w:tcPr>
            <w:tcW w:w="1677" w:type="pct"/>
          </w:tcPr>
          <w:p w14:paraId="3E4A2090" w14:textId="3A57C073" w:rsidR="00600C24" w:rsidRPr="00034E9B" w:rsidRDefault="00600C24" w:rsidP="00600C24">
            <w:pPr>
              <w:pStyle w:val="CGCTablerow"/>
            </w:pPr>
            <w:r w:rsidRPr="00034E9B">
              <w:t>Update NT adjustment annually</w:t>
            </w:r>
          </w:p>
        </w:tc>
        <w:tc>
          <w:tcPr>
            <w:tcW w:w="520" w:type="pct"/>
          </w:tcPr>
          <w:p w14:paraId="3CD016B2" w14:textId="4559EE9C" w:rsidR="00600C24" w:rsidRPr="00034E9B" w:rsidRDefault="00600C24" w:rsidP="00600C24">
            <w:pPr>
              <w:pStyle w:val="CGCTablerow"/>
            </w:pPr>
            <w:r w:rsidRPr="00034E9B">
              <w:t>NT</w:t>
            </w:r>
          </w:p>
        </w:tc>
        <w:tc>
          <w:tcPr>
            <w:tcW w:w="480" w:type="pct"/>
          </w:tcPr>
          <w:p w14:paraId="16037119" w14:textId="4503230F" w:rsidR="00600C24" w:rsidRPr="00034E9B" w:rsidRDefault="00600C24" w:rsidP="00600C24">
            <w:pPr>
              <w:pStyle w:val="CGCTablerow"/>
            </w:pPr>
            <w:r w:rsidRPr="00034E9B">
              <w:t>Yes</w:t>
            </w:r>
          </w:p>
        </w:tc>
        <w:tc>
          <w:tcPr>
            <w:tcW w:w="2229" w:type="pct"/>
            <w:gridSpan w:val="2"/>
          </w:tcPr>
          <w:p w14:paraId="1D169C08" w14:textId="4BF908A6" w:rsidR="00600C24" w:rsidRPr="00034E9B" w:rsidRDefault="00600C24" w:rsidP="00600C24">
            <w:pPr>
              <w:pStyle w:val="CGCTablerow"/>
            </w:pPr>
            <w:r w:rsidRPr="00034E9B">
              <w:t>Annual data are available to update adjustment.</w:t>
            </w:r>
          </w:p>
        </w:tc>
      </w:tr>
      <w:tr w:rsidR="00600C24" w:rsidRPr="00034E9B" w14:paraId="36C1E7E8" w14:textId="77777777" w:rsidTr="00C01414">
        <w:trPr>
          <w:gridAfter w:val="1"/>
          <w:wAfter w:w="94" w:type="pct"/>
        </w:trPr>
        <w:tc>
          <w:tcPr>
            <w:tcW w:w="1677" w:type="pct"/>
          </w:tcPr>
          <w:p w14:paraId="6FE1759A" w14:textId="0987A5FD" w:rsidR="00600C24" w:rsidRPr="00034E9B" w:rsidRDefault="00600C24" w:rsidP="00600C24">
            <w:pPr>
              <w:pStyle w:val="CGCTablerow"/>
            </w:pPr>
            <w:r w:rsidRPr="00034E9B">
              <w:t>Expand value ranges</w:t>
            </w:r>
          </w:p>
        </w:tc>
        <w:tc>
          <w:tcPr>
            <w:tcW w:w="520" w:type="pct"/>
          </w:tcPr>
          <w:p w14:paraId="37697E72" w14:textId="3D154701" w:rsidR="00600C24" w:rsidRPr="00034E9B" w:rsidRDefault="00600C24" w:rsidP="00600C24">
            <w:pPr>
              <w:pStyle w:val="CGCTablerow"/>
            </w:pPr>
            <w:r w:rsidRPr="00034E9B">
              <w:t>ACT</w:t>
            </w:r>
          </w:p>
        </w:tc>
        <w:tc>
          <w:tcPr>
            <w:tcW w:w="480" w:type="pct"/>
          </w:tcPr>
          <w:p w14:paraId="6524ABA9" w14:textId="02042F06" w:rsidR="00600C24" w:rsidRPr="00034E9B" w:rsidRDefault="00600C24" w:rsidP="00600C24">
            <w:pPr>
              <w:pStyle w:val="CGCTablerow"/>
            </w:pPr>
            <w:r w:rsidRPr="00034E9B">
              <w:t>Yes</w:t>
            </w:r>
          </w:p>
        </w:tc>
        <w:tc>
          <w:tcPr>
            <w:tcW w:w="2229" w:type="pct"/>
            <w:gridSpan w:val="2"/>
          </w:tcPr>
          <w:p w14:paraId="4ADA60D7" w14:textId="2E501729" w:rsidR="00600C24" w:rsidRPr="00034E9B" w:rsidRDefault="00600C24" w:rsidP="00600C24">
            <w:pPr>
              <w:pStyle w:val="CGCTablerow"/>
            </w:pPr>
            <w:r w:rsidRPr="00034E9B">
              <w:t>States provided the data to support the expanded number of ranges.</w:t>
            </w:r>
          </w:p>
        </w:tc>
      </w:tr>
      <w:tr w:rsidR="00600C24" w:rsidRPr="00034E9B" w14:paraId="7B8BA4A7" w14:textId="77777777" w:rsidTr="00C01414">
        <w:trPr>
          <w:gridAfter w:val="1"/>
          <w:wAfter w:w="94" w:type="pct"/>
        </w:trPr>
        <w:tc>
          <w:tcPr>
            <w:tcW w:w="1677" w:type="pct"/>
            <w:shd w:val="clear" w:color="auto" w:fill="B6D5E4"/>
            <w:vAlign w:val="bottom"/>
          </w:tcPr>
          <w:p w14:paraId="47EA73EA" w14:textId="65284670" w:rsidR="00600C24" w:rsidRPr="00034E9B" w:rsidRDefault="00600C24" w:rsidP="00600C24">
            <w:pPr>
              <w:pStyle w:val="CGCTablesubhead1"/>
              <w:rPr>
                <w:lang w:val="en-AU"/>
              </w:rPr>
            </w:pPr>
            <w:r w:rsidRPr="00034E9B">
              <w:rPr>
                <w:lang w:val="en-AU"/>
              </w:rPr>
              <w:t>Stamp duty on conveyances</w:t>
            </w:r>
          </w:p>
        </w:tc>
        <w:tc>
          <w:tcPr>
            <w:tcW w:w="520" w:type="pct"/>
            <w:shd w:val="clear" w:color="auto" w:fill="B6D5E4"/>
            <w:vAlign w:val="bottom"/>
          </w:tcPr>
          <w:p w14:paraId="086DC089" w14:textId="77777777" w:rsidR="00600C24" w:rsidRPr="00034E9B" w:rsidRDefault="00600C24" w:rsidP="00600C24">
            <w:pPr>
              <w:pStyle w:val="CGCTablesubhead1"/>
              <w:rPr>
                <w:lang w:val="en-AU"/>
              </w:rPr>
            </w:pPr>
          </w:p>
        </w:tc>
        <w:tc>
          <w:tcPr>
            <w:tcW w:w="480" w:type="pct"/>
            <w:shd w:val="clear" w:color="auto" w:fill="B6D5E4"/>
            <w:vAlign w:val="bottom"/>
          </w:tcPr>
          <w:p w14:paraId="75800A27" w14:textId="77777777" w:rsidR="00600C24" w:rsidRPr="00034E9B" w:rsidRDefault="00600C24" w:rsidP="00600C24">
            <w:pPr>
              <w:pStyle w:val="CGCTablesubhead1"/>
              <w:rPr>
                <w:lang w:val="en-AU"/>
              </w:rPr>
            </w:pPr>
          </w:p>
        </w:tc>
        <w:tc>
          <w:tcPr>
            <w:tcW w:w="2229" w:type="pct"/>
            <w:gridSpan w:val="2"/>
            <w:shd w:val="clear" w:color="auto" w:fill="B6D5E4"/>
            <w:vAlign w:val="bottom"/>
          </w:tcPr>
          <w:p w14:paraId="4C1277D3" w14:textId="77777777" w:rsidR="00600C24" w:rsidRPr="00034E9B" w:rsidRDefault="00600C24" w:rsidP="00600C24">
            <w:pPr>
              <w:pStyle w:val="CGCTablesubhead1"/>
              <w:rPr>
                <w:lang w:val="en-AU"/>
              </w:rPr>
            </w:pPr>
          </w:p>
        </w:tc>
      </w:tr>
      <w:tr w:rsidR="00600C24" w:rsidRPr="00034E9B" w14:paraId="540DE92D" w14:textId="77777777" w:rsidTr="00C01414">
        <w:trPr>
          <w:gridAfter w:val="1"/>
          <w:wAfter w:w="94" w:type="pct"/>
        </w:trPr>
        <w:tc>
          <w:tcPr>
            <w:tcW w:w="1677" w:type="pct"/>
          </w:tcPr>
          <w:p w14:paraId="3738940D" w14:textId="41822B92" w:rsidR="00600C24" w:rsidRPr="00034E9B" w:rsidRDefault="00600C24" w:rsidP="00600C24">
            <w:pPr>
              <w:pStyle w:val="CGCTablerow"/>
            </w:pPr>
            <w:r w:rsidRPr="00034E9B">
              <w:t>Broader revenue assessment</w:t>
            </w:r>
          </w:p>
        </w:tc>
        <w:tc>
          <w:tcPr>
            <w:tcW w:w="520" w:type="pct"/>
          </w:tcPr>
          <w:p w14:paraId="10949A75" w14:textId="3D52134A" w:rsidR="00600C24" w:rsidRPr="00034E9B" w:rsidRDefault="00600C24" w:rsidP="00600C24">
            <w:pPr>
              <w:pStyle w:val="CGCTablerow"/>
            </w:pPr>
            <w:r w:rsidRPr="00034E9B">
              <w:t>WA</w:t>
            </w:r>
          </w:p>
        </w:tc>
        <w:tc>
          <w:tcPr>
            <w:tcW w:w="480" w:type="pct"/>
          </w:tcPr>
          <w:p w14:paraId="2FF624EA" w14:textId="6982B66E" w:rsidR="00600C24" w:rsidRPr="00034E9B" w:rsidRDefault="00600C24" w:rsidP="00600C24">
            <w:pPr>
              <w:pStyle w:val="CGCTablerow"/>
            </w:pPr>
            <w:r w:rsidRPr="00034E9B">
              <w:t>No</w:t>
            </w:r>
          </w:p>
        </w:tc>
        <w:tc>
          <w:tcPr>
            <w:tcW w:w="2229" w:type="pct"/>
            <w:gridSpan w:val="2"/>
          </w:tcPr>
          <w:p w14:paraId="10F2F782" w14:textId="75AEE042" w:rsidR="00600C24" w:rsidRPr="00034E9B" w:rsidRDefault="00600C24" w:rsidP="00600C24">
            <w:pPr>
              <w:pStyle w:val="CGCTablerow"/>
            </w:pPr>
            <w:r w:rsidRPr="00034E9B">
              <w:t>Does not produce a more reliable indicator of States’ capacity to raise revenue.</w:t>
            </w:r>
          </w:p>
        </w:tc>
      </w:tr>
      <w:tr w:rsidR="00600C24" w:rsidRPr="00034E9B" w14:paraId="776C8C2B" w14:textId="77777777" w:rsidTr="00C01414">
        <w:trPr>
          <w:gridAfter w:val="1"/>
          <w:wAfter w:w="94" w:type="pct"/>
        </w:trPr>
        <w:tc>
          <w:tcPr>
            <w:tcW w:w="1677" w:type="pct"/>
          </w:tcPr>
          <w:p w14:paraId="34B750F8" w14:textId="765E1352" w:rsidR="00600C24" w:rsidRPr="00034E9B" w:rsidRDefault="00600C24" w:rsidP="00600C24">
            <w:pPr>
              <w:pStyle w:val="CGCTablerow"/>
            </w:pPr>
            <w:r w:rsidRPr="00034E9B">
              <w:t>Remove revenue base adjustments</w:t>
            </w:r>
          </w:p>
        </w:tc>
        <w:tc>
          <w:tcPr>
            <w:tcW w:w="520" w:type="pct"/>
          </w:tcPr>
          <w:p w14:paraId="77AA09F7" w14:textId="45C5EA77" w:rsidR="00600C24" w:rsidRPr="00034E9B" w:rsidRDefault="00600C24" w:rsidP="00600C24">
            <w:pPr>
              <w:pStyle w:val="CGCTablerow"/>
            </w:pPr>
            <w:r w:rsidRPr="00034E9B">
              <w:t>WA</w:t>
            </w:r>
          </w:p>
        </w:tc>
        <w:tc>
          <w:tcPr>
            <w:tcW w:w="480" w:type="pct"/>
          </w:tcPr>
          <w:p w14:paraId="514D3AB2" w14:textId="7F69F04D" w:rsidR="00600C24" w:rsidRPr="00034E9B" w:rsidRDefault="00600C24" w:rsidP="00600C24">
            <w:pPr>
              <w:pStyle w:val="CGCTablerow"/>
            </w:pPr>
            <w:r w:rsidRPr="00034E9B">
              <w:t>No</w:t>
            </w:r>
          </w:p>
        </w:tc>
        <w:tc>
          <w:tcPr>
            <w:tcW w:w="2229" w:type="pct"/>
            <w:gridSpan w:val="2"/>
          </w:tcPr>
          <w:p w14:paraId="1AD1A325" w14:textId="6932F25E" w:rsidR="00600C24" w:rsidRPr="00034E9B" w:rsidRDefault="00600C24" w:rsidP="00600C24">
            <w:pPr>
              <w:pStyle w:val="CGCTablerow"/>
            </w:pPr>
            <w:r w:rsidRPr="00034E9B">
              <w:t>They reflect what States do and are material.</w:t>
            </w:r>
          </w:p>
        </w:tc>
      </w:tr>
      <w:tr w:rsidR="00600C24" w:rsidRPr="00034E9B" w14:paraId="6607A30D" w14:textId="77777777" w:rsidTr="00C01414">
        <w:trPr>
          <w:gridAfter w:val="1"/>
          <w:wAfter w:w="94" w:type="pct"/>
        </w:trPr>
        <w:tc>
          <w:tcPr>
            <w:tcW w:w="1677" w:type="pct"/>
          </w:tcPr>
          <w:p w14:paraId="1A4A43A3" w14:textId="3CD0EF04" w:rsidR="00600C24" w:rsidRPr="00034E9B" w:rsidRDefault="00600C24" w:rsidP="00600C24">
            <w:pPr>
              <w:pStyle w:val="CGCTablerow"/>
            </w:pPr>
            <w:r w:rsidRPr="00034E9B">
              <w:t>Adjustment because Victoria records its off</w:t>
            </w:r>
            <w:r w:rsidRPr="00034E9B">
              <w:noBreakHyphen/>
              <w:t>the</w:t>
            </w:r>
            <w:r w:rsidRPr="00034E9B">
              <w:noBreakHyphen/>
              <w:t>plan transactions according to dutiable value rather than purchase price</w:t>
            </w:r>
          </w:p>
        </w:tc>
        <w:tc>
          <w:tcPr>
            <w:tcW w:w="520" w:type="pct"/>
          </w:tcPr>
          <w:p w14:paraId="2E117AFD" w14:textId="3CD0FC58" w:rsidR="00600C24" w:rsidRPr="00034E9B" w:rsidRDefault="00600C24" w:rsidP="00600C24">
            <w:pPr>
              <w:pStyle w:val="CGCTablerow"/>
            </w:pPr>
            <w:r w:rsidRPr="00034E9B">
              <w:t>NSW</w:t>
            </w:r>
          </w:p>
        </w:tc>
        <w:tc>
          <w:tcPr>
            <w:tcW w:w="480" w:type="pct"/>
          </w:tcPr>
          <w:p w14:paraId="6FA80D48" w14:textId="5FA011CB" w:rsidR="00600C24" w:rsidRPr="00034E9B" w:rsidRDefault="00600C24" w:rsidP="00600C24">
            <w:pPr>
              <w:pStyle w:val="CGCTablerow"/>
            </w:pPr>
            <w:r w:rsidRPr="00034E9B">
              <w:t>No</w:t>
            </w:r>
          </w:p>
        </w:tc>
        <w:tc>
          <w:tcPr>
            <w:tcW w:w="2229" w:type="pct"/>
            <w:gridSpan w:val="2"/>
          </w:tcPr>
          <w:p w14:paraId="1D12670A" w14:textId="55FA9A2C" w:rsidR="00600C24" w:rsidRPr="00034E9B" w:rsidRDefault="00600C24" w:rsidP="00600C24">
            <w:pPr>
              <w:pStyle w:val="CGCTablerow"/>
            </w:pPr>
            <w:r w:rsidRPr="00034E9B">
              <w:t>Victoria has provided transactions data by purchase price rather than dutiable value so an adjustment is not required.</w:t>
            </w:r>
          </w:p>
        </w:tc>
      </w:tr>
      <w:tr w:rsidR="00600C24" w:rsidRPr="00034E9B" w14:paraId="27EB3BC2" w14:textId="77777777" w:rsidTr="00C01414">
        <w:trPr>
          <w:gridAfter w:val="1"/>
          <w:wAfter w:w="94" w:type="pct"/>
        </w:trPr>
        <w:tc>
          <w:tcPr>
            <w:tcW w:w="1677" w:type="pct"/>
          </w:tcPr>
          <w:p w14:paraId="4E07214F" w14:textId="414BF23F" w:rsidR="00600C24" w:rsidRPr="00034E9B" w:rsidRDefault="00600C24" w:rsidP="00600C24">
            <w:pPr>
              <w:pStyle w:val="CGCTablerow"/>
            </w:pPr>
            <w:r w:rsidRPr="00034E9B">
              <w:t>Assess all concessional rates of duty as grants</w:t>
            </w:r>
          </w:p>
        </w:tc>
        <w:tc>
          <w:tcPr>
            <w:tcW w:w="520" w:type="pct"/>
          </w:tcPr>
          <w:p w14:paraId="0295A9A5" w14:textId="228917C6" w:rsidR="00600C24" w:rsidRPr="00034E9B" w:rsidRDefault="00600C24" w:rsidP="00600C24">
            <w:pPr>
              <w:pStyle w:val="CGCTablerow"/>
            </w:pPr>
            <w:r w:rsidRPr="00034E9B">
              <w:t>WA, ACT</w:t>
            </w:r>
          </w:p>
        </w:tc>
        <w:tc>
          <w:tcPr>
            <w:tcW w:w="480" w:type="pct"/>
          </w:tcPr>
          <w:p w14:paraId="4299DF88" w14:textId="4412ED18" w:rsidR="00600C24" w:rsidRPr="00034E9B" w:rsidRDefault="00600C24" w:rsidP="00600C24">
            <w:pPr>
              <w:pStyle w:val="CGCTablerow"/>
            </w:pPr>
            <w:r w:rsidRPr="00034E9B">
              <w:t>No</w:t>
            </w:r>
          </w:p>
        </w:tc>
        <w:tc>
          <w:tcPr>
            <w:tcW w:w="2229" w:type="pct"/>
            <w:gridSpan w:val="2"/>
          </w:tcPr>
          <w:p w14:paraId="24212DEA" w14:textId="20AEA392" w:rsidR="00600C24" w:rsidRPr="00034E9B" w:rsidRDefault="00600C24" w:rsidP="00600C24">
            <w:pPr>
              <w:pStyle w:val="CGCTablerow"/>
            </w:pPr>
            <w:r w:rsidRPr="00034E9B">
              <w:t>The Commission does not intend to treat concessional rates of duty as an expense.</w:t>
            </w:r>
          </w:p>
        </w:tc>
      </w:tr>
      <w:tr w:rsidR="00600C24" w:rsidRPr="00034E9B" w14:paraId="4356E701" w14:textId="77777777" w:rsidTr="00C01414">
        <w:trPr>
          <w:gridAfter w:val="1"/>
          <w:wAfter w:w="94" w:type="pct"/>
        </w:trPr>
        <w:tc>
          <w:tcPr>
            <w:tcW w:w="1677" w:type="pct"/>
          </w:tcPr>
          <w:p w14:paraId="06603B7A" w14:textId="4D3CF734" w:rsidR="00600C24" w:rsidRPr="00034E9B" w:rsidRDefault="00600C24" w:rsidP="00600C24">
            <w:pPr>
              <w:pStyle w:val="CGCTablerow"/>
            </w:pPr>
            <w:r w:rsidRPr="00034E9B">
              <w:t>Assess duty on sale of major State assets APC</w:t>
            </w:r>
          </w:p>
        </w:tc>
        <w:tc>
          <w:tcPr>
            <w:tcW w:w="520" w:type="pct"/>
          </w:tcPr>
          <w:p w14:paraId="34D65B10" w14:textId="711CC768" w:rsidR="00600C24" w:rsidRPr="00034E9B" w:rsidRDefault="00600C24" w:rsidP="00600C24">
            <w:pPr>
              <w:pStyle w:val="CGCTablerow"/>
            </w:pPr>
            <w:r w:rsidRPr="00034E9B">
              <w:t>Vic</w:t>
            </w:r>
          </w:p>
        </w:tc>
        <w:tc>
          <w:tcPr>
            <w:tcW w:w="480" w:type="pct"/>
          </w:tcPr>
          <w:p w14:paraId="1E7040F1" w14:textId="380B2E54" w:rsidR="00600C24" w:rsidRPr="00034E9B" w:rsidRDefault="00600C24" w:rsidP="00600C24">
            <w:pPr>
              <w:pStyle w:val="CGCTablerow"/>
            </w:pPr>
            <w:r w:rsidRPr="00034E9B">
              <w:t>No</w:t>
            </w:r>
          </w:p>
        </w:tc>
        <w:tc>
          <w:tcPr>
            <w:tcW w:w="2229" w:type="pct"/>
            <w:gridSpan w:val="2"/>
          </w:tcPr>
          <w:p w14:paraId="53782601" w14:textId="4E33BD0A" w:rsidR="00600C24" w:rsidRPr="00034E9B" w:rsidRDefault="00600C24" w:rsidP="00600C24">
            <w:pPr>
              <w:pStyle w:val="CGCTablerow"/>
            </w:pPr>
            <w:r w:rsidRPr="00034E9B">
              <w:t>Duties from the sale of major State assets arise because of policy choice.</w:t>
            </w:r>
          </w:p>
        </w:tc>
      </w:tr>
      <w:tr w:rsidR="00600C24" w:rsidRPr="00034E9B" w14:paraId="6BB78D2D" w14:textId="77777777" w:rsidTr="00C01414">
        <w:trPr>
          <w:gridAfter w:val="1"/>
          <w:wAfter w:w="94" w:type="pct"/>
        </w:trPr>
        <w:tc>
          <w:tcPr>
            <w:tcW w:w="1677" w:type="pct"/>
          </w:tcPr>
          <w:p w14:paraId="77E8E7C1" w14:textId="2E34DC4D" w:rsidR="00600C24" w:rsidRPr="00034E9B" w:rsidRDefault="00600C24" w:rsidP="00600C24">
            <w:pPr>
              <w:pStyle w:val="CGCTablerow"/>
            </w:pPr>
            <w:r w:rsidRPr="00034E9B">
              <w:t>Differentially assess duty on windfall gains from State asset sales</w:t>
            </w:r>
          </w:p>
        </w:tc>
        <w:tc>
          <w:tcPr>
            <w:tcW w:w="520" w:type="pct"/>
          </w:tcPr>
          <w:p w14:paraId="3D0FC183" w14:textId="0150CB23" w:rsidR="00600C24" w:rsidRPr="00034E9B" w:rsidRDefault="00600C24" w:rsidP="00600C24">
            <w:pPr>
              <w:pStyle w:val="CGCTablerow"/>
            </w:pPr>
            <w:r w:rsidRPr="00034E9B">
              <w:t>ACT</w:t>
            </w:r>
          </w:p>
        </w:tc>
        <w:tc>
          <w:tcPr>
            <w:tcW w:w="480" w:type="pct"/>
          </w:tcPr>
          <w:p w14:paraId="207F95BC" w14:textId="3FBC207D" w:rsidR="00600C24" w:rsidRPr="00034E9B" w:rsidRDefault="00600C24" w:rsidP="00600C24">
            <w:pPr>
              <w:pStyle w:val="CGCTablerow"/>
            </w:pPr>
            <w:r w:rsidRPr="00034E9B">
              <w:t>No</w:t>
            </w:r>
          </w:p>
        </w:tc>
        <w:tc>
          <w:tcPr>
            <w:tcW w:w="2229" w:type="pct"/>
            <w:gridSpan w:val="2"/>
          </w:tcPr>
          <w:p w14:paraId="59A00A4A" w14:textId="74297836" w:rsidR="00600C24" w:rsidRPr="00034E9B" w:rsidRDefault="00600C24" w:rsidP="00600C24">
            <w:pPr>
              <w:pStyle w:val="CGCTablerow"/>
            </w:pPr>
            <w:r w:rsidRPr="00034E9B">
              <w:t>Duties from the sale of major State assets arise because of policy choice.</w:t>
            </w:r>
          </w:p>
        </w:tc>
      </w:tr>
      <w:tr w:rsidR="00600C24" w:rsidRPr="00034E9B" w14:paraId="1983B918" w14:textId="77777777" w:rsidTr="00C01414">
        <w:trPr>
          <w:gridAfter w:val="1"/>
          <w:wAfter w:w="94" w:type="pct"/>
        </w:trPr>
        <w:tc>
          <w:tcPr>
            <w:tcW w:w="1677" w:type="pct"/>
          </w:tcPr>
          <w:p w14:paraId="7BAFDE72" w14:textId="6B44B59B" w:rsidR="00600C24" w:rsidRPr="00034E9B" w:rsidRDefault="00600C24" w:rsidP="00600C24">
            <w:pPr>
              <w:pStyle w:val="CGCTablerow"/>
            </w:pPr>
            <w:r w:rsidRPr="00034E9B">
              <w:t>Assess non</w:t>
            </w:r>
            <w:r w:rsidRPr="00034E9B">
              <w:noBreakHyphen/>
              <w:t>real property transactions APC</w:t>
            </w:r>
          </w:p>
        </w:tc>
        <w:tc>
          <w:tcPr>
            <w:tcW w:w="520" w:type="pct"/>
          </w:tcPr>
          <w:p w14:paraId="24F5B938" w14:textId="53117E03" w:rsidR="00600C24" w:rsidRPr="00034E9B" w:rsidRDefault="00600C24" w:rsidP="00600C24">
            <w:pPr>
              <w:pStyle w:val="CGCTablerow"/>
            </w:pPr>
            <w:r w:rsidRPr="00034E9B">
              <w:t>Vic</w:t>
            </w:r>
          </w:p>
        </w:tc>
        <w:tc>
          <w:tcPr>
            <w:tcW w:w="480" w:type="pct"/>
          </w:tcPr>
          <w:p w14:paraId="01CF724A" w14:textId="0DF7DBA9" w:rsidR="00600C24" w:rsidRPr="00034E9B" w:rsidRDefault="00600C24" w:rsidP="00600C24">
            <w:pPr>
              <w:pStyle w:val="CGCTablerow"/>
            </w:pPr>
            <w:r w:rsidRPr="00034E9B">
              <w:t>No</w:t>
            </w:r>
          </w:p>
        </w:tc>
        <w:tc>
          <w:tcPr>
            <w:tcW w:w="2229" w:type="pct"/>
            <w:gridSpan w:val="2"/>
          </w:tcPr>
          <w:p w14:paraId="0E60254D" w14:textId="77D2EAAB" w:rsidR="00600C24" w:rsidRPr="00034E9B" w:rsidRDefault="00600C24" w:rsidP="00600C24">
            <w:pPr>
              <w:pStyle w:val="CGCTablerow"/>
            </w:pPr>
            <w:r w:rsidRPr="00034E9B">
              <w:t xml:space="preserve">An APC assessment is not appropriate as the Intergovernmental Agreement is not binding. </w:t>
            </w:r>
          </w:p>
        </w:tc>
      </w:tr>
      <w:tr w:rsidR="00600C24" w:rsidRPr="00034E9B" w14:paraId="6DB32065" w14:textId="77777777" w:rsidTr="00C01414">
        <w:trPr>
          <w:gridAfter w:val="1"/>
          <w:wAfter w:w="94" w:type="pct"/>
        </w:trPr>
        <w:tc>
          <w:tcPr>
            <w:tcW w:w="1677" w:type="pct"/>
          </w:tcPr>
          <w:p w14:paraId="6D608816" w14:textId="16624EB6" w:rsidR="00600C24" w:rsidRPr="00034E9B" w:rsidRDefault="00600C24" w:rsidP="00600C24">
            <w:pPr>
              <w:pStyle w:val="CGCTablerow"/>
            </w:pPr>
            <w:r w:rsidRPr="00034E9B">
              <w:t>Assess land rich transactions by listed corporations EPC</w:t>
            </w:r>
          </w:p>
        </w:tc>
        <w:tc>
          <w:tcPr>
            <w:tcW w:w="520" w:type="pct"/>
          </w:tcPr>
          <w:p w14:paraId="2B51A0F1" w14:textId="41A07DAA" w:rsidR="00600C24" w:rsidRPr="00034E9B" w:rsidRDefault="00600C24" w:rsidP="00600C24">
            <w:pPr>
              <w:pStyle w:val="CGCTablerow"/>
            </w:pPr>
            <w:r w:rsidRPr="00034E9B">
              <w:t>WA</w:t>
            </w:r>
          </w:p>
        </w:tc>
        <w:tc>
          <w:tcPr>
            <w:tcW w:w="480" w:type="pct"/>
          </w:tcPr>
          <w:p w14:paraId="7597F538" w14:textId="6FA9FFDF" w:rsidR="00600C24" w:rsidRPr="00034E9B" w:rsidRDefault="00600C24" w:rsidP="00600C24">
            <w:pPr>
              <w:pStyle w:val="CGCTablerow"/>
            </w:pPr>
            <w:r w:rsidRPr="00034E9B">
              <w:t>No</w:t>
            </w:r>
          </w:p>
        </w:tc>
        <w:tc>
          <w:tcPr>
            <w:tcW w:w="2229" w:type="pct"/>
            <w:gridSpan w:val="2"/>
          </w:tcPr>
          <w:p w14:paraId="61A763F9" w14:textId="4AE40482" w:rsidR="00600C24" w:rsidRPr="00034E9B" w:rsidRDefault="00600C24" w:rsidP="00600C24">
            <w:pPr>
              <w:pStyle w:val="CGCTablerow"/>
            </w:pPr>
            <w:r w:rsidRPr="00034E9B">
              <w:t>Seven States impose these duties and their capacities differ.</w:t>
            </w:r>
          </w:p>
        </w:tc>
      </w:tr>
      <w:tr w:rsidR="00600C24" w:rsidRPr="00034E9B" w14:paraId="081B15E5" w14:textId="77777777" w:rsidTr="00C01414">
        <w:trPr>
          <w:gridAfter w:val="1"/>
          <w:wAfter w:w="94" w:type="pct"/>
        </w:trPr>
        <w:tc>
          <w:tcPr>
            <w:tcW w:w="1677" w:type="pct"/>
          </w:tcPr>
          <w:p w14:paraId="0BEEB3D6" w14:textId="60E3544E" w:rsidR="00600C24" w:rsidRPr="00034E9B" w:rsidRDefault="00600C24" w:rsidP="00600C24">
            <w:pPr>
              <w:pStyle w:val="CGCTablerow"/>
            </w:pPr>
            <w:r w:rsidRPr="00034E9B">
              <w:t>Remove unit trusts adjustment</w:t>
            </w:r>
          </w:p>
        </w:tc>
        <w:tc>
          <w:tcPr>
            <w:tcW w:w="520" w:type="pct"/>
          </w:tcPr>
          <w:p w14:paraId="5F75D702" w14:textId="2DCC258F" w:rsidR="00600C24" w:rsidRPr="00034E9B" w:rsidRDefault="00600C24" w:rsidP="00600C24">
            <w:pPr>
              <w:pStyle w:val="CGCTablerow"/>
            </w:pPr>
            <w:r w:rsidRPr="00034E9B">
              <w:t>NSW, WA</w:t>
            </w:r>
          </w:p>
        </w:tc>
        <w:tc>
          <w:tcPr>
            <w:tcW w:w="480" w:type="pct"/>
          </w:tcPr>
          <w:p w14:paraId="46C63F64" w14:textId="54E84D5F" w:rsidR="00600C24" w:rsidRPr="00034E9B" w:rsidRDefault="00600C24" w:rsidP="00600C24">
            <w:pPr>
              <w:pStyle w:val="CGCTablerow"/>
            </w:pPr>
            <w:r w:rsidRPr="00034E9B">
              <w:t>Yes</w:t>
            </w:r>
          </w:p>
        </w:tc>
        <w:tc>
          <w:tcPr>
            <w:tcW w:w="2229" w:type="pct"/>
            <w:gridSpan w:val="2"/>
          </w:tcPr>
          <w:p w14:paraId="3E7ACD19" w14:textId="1AD9BA2F" w:rsidR="00600C24" w:rsidRPr="00034E9B" w:rsidRDefault="00600C24" w:rsidP="00600C24">
            <w:pPr>
              <w:pStyle w:val="CGCTablerow"/>
            </w:pPr>
            <w:r w:rsidRPr="00034E9B">
              <w:t>Changes in State legislation mean any differences are no longer material.</w:t>
            </w:r>
          </w:p>
        </w:tc>
      </w:tr>
      <w:tr w:rsidR="00600C24" w:rsidRPr="00034E9B" w14:paraId="572B9666" w14:textId="77777777" w:rsidTr="00C01414">
        <w:trPr>
          <w:gridAfter w:val="1"/>
          <w:wAfter w:w="94" w:type="pct"/>
        </w:trPr>
        <w:tc>
          <w:tcPr>
            <w:tcW w:w="1677" w:type="pct"/>
          </w:tcPr>
          <w:p w14:paraId="1223B58E" w14:textId="7B50A5AA" w:rsidR="00600C24" w:rsidRPr="00034E9B" w:rsidRDefault="00600C24" w:rsidP="00600C24">
            <w:pPr>
              <w:pStyle w:val="CGCTablerow"/>
            </w:pPr>
            <w:r w:rsidRPr="00034E9B">
              <w:t>Only include 10% of the value of land rich transactions by listed companies</w:t>
            </w:r>
          </w:p>
        </w:tc>
        <w:tc>
          <w:tcPr>
            <w:tcW w:w="520" w:type="pct"/>
          </w:tcPr>
          <w:p w14:paraId="7EF8C75F" w14:textId="239AC442" w:rsidR="00600C24" w:rsidRPr="00034E9B" w:rsidRDefault="00600C24" w:rsidP="00600C24">
            <w:pPr>
              <w:pStyle w:val="CGCTablerow"/>
            </w:pPr>
            <w:r w:rsidRPr="00034E9B">
              <w:t>NSW</w:t>
            </w:r>
          </w:p>
        </w:tc>
        <w:tc>
          <w:tcPr>
            <w:tcW w:w="480" w:type="pct"/>
          </w:tcPr>
          <w:p w14:paraId="29058FF5" w14:textId="40598E49" w:rsidR="00600C24" w:rsidRPr="00034E9B" w:rsidRDefault="00600C24" w:rsidP="00600C24">
            <w:pPr>
              <w:pStyle w:val="CGCTablerow"/>
            </w:pPr>
            <w:r w:rsidRPr="00034E9B">
              <w:t>Yes</w:t>
            </w:r>
          </w:p>
        </w:tc>
        <w:tc>
          <w:tcPr>
            <w:tcW w:w="2229" w:type="pct"/>
            <w:gridSpan w:val="2"/>
          </w:tcPr>
          <w:p w14:paraId="55707B00" w14:textId="1231CBF7" w:rsidR="00600C24" w:rsidRPr="00034E9B" w:rsidRDefault="00600C24" w:rsidP="00600C24">
            <w:pPr>
              <w:pStyle w:val="CGCTablerow"/>
            </w:pPr>
            <w:r w:rsidRPr="00034E9B">
              <w:t>The majority of States apply duty at 10% of the general rate.</w:t>
            </w:r>
          </w:p>
        </w:tc>
      </w:tr>
      <w:tr w:rsidR="00600C24" w:rsidRPr="00034E9B" w14:paraId="5296D61D" w14:textId="77777777" w:rsidTr="00C01414">
        <w:trPr>
          <w:gridAfter w:val="1"/>
          <w:wAfter w:w="94" w:type="pct"/>
        </w:trPr>
        <w:tc>
          <w:tcPr>
            <w:tcW w:w="1677" w:type="pct"/>
          </w:tcPr>
          <w:p w14:paraId="3E35BA5F" w14:textId="60AFA51E" w:rsidR="00600C24" w:rsidRPr="00034E9B" w:rsidRDefault="00600C24" w:rsidP="00600C24">
            <w:pPr>
              <w:pStyle w:val="CGCTablerow"/>
            </w:pPr>
            <w:r w:rsidRPr="00034E9B">
              <w:t>Expand value ranges</w:t>
            </w:r>
          </w:p>
        </w:tc>
        <w:tc>
          <w:tcPr>
            <w:tcW w:w="520" w:type="pct"/>
          </w:tcPr>
          <w:p w14:paraId="2E3B96E5" w14:textId="3A614E3B" w:rsidR="00600C24" w:rsidRPr="00034E9B" w:rsidRDefault="00600C24" w:rsidP="00600C24">
            <w:pPr>
              <w:pStyle w:val="CGCTablerow"/>
            </w:pPr>
            <w:r w:rsidRPr="00034E9B">
              <w:t>ACT</w:t>
            </w:r>
          </w:p>
        </w:tc>
        <w:tc>
          <w:tcPr>
            <w:tcW w:w="480" w:type="pct"/>
          </w:tcPr>
          <w:p w14:paraId="3F189480" w14:textId="08A280F6" w:rsidR="00600C24" w:rsidRPr="00034E9B" w:rsidRDefault="00600C24" w:rsidP="00600C24">
            <w:pPr>
              <w:pStyle w:val="CGCTablerow"/>
            </w:pPr>
            <w:r w:rsidRPr="00034E9B">
              <w:t>Yes</w:t>
            </w:r>
          </w:p>
        </w:tc>
        <w:tc>
          <w:tcPr>
            <w:tcW w:w="2229" w:type="pct"/>
            <w:gridSpan w:val="2"/>
          </w:tcPr>
          <w:p w14:paraId="2D05CD04" w14:textId="15D07539" w:rsidR="00600C24" w:rsidRPr="00034E9B" w:rsidRDefault="00600C24" w:rsidP="00600C24">
            <w:pPr>
              <w:pStyle w:val="CGCTablerow"/>
            </w:pPr>
            <w:r w:rsidRPr="00034E9B">
              <w:t>States provided the data to support the expanded number of ranges.</w:t>
            </w:r>
          </w:p>
        </w:tc>
      </w:tr>
      <w:tr w:rsidR="00600C24" w:rsidRPr="00034E9B" w14:paraId="069ED807" w14:textId="77777777" w:rsidTr="00C01414">
        <w:trPr>
          <w:gridAfter w:val="1"/>
          <w:wAfter w:w="94" w:type="pct"/>
        </w:trPr>
        <w:tc>
          <w:tcPr>
            <w:tcW w:w="1677" w:type="pct"/>
          </w:tcPr>
          <w:p w14:paraId="7FA0F132" w14:textId="6DE93EC4" w:rsidR="00600C24" w:rsidRPr="00034E9B" w:rsidRDefault="00600C24" w:rsidP="00600C24">
            <w:pPr>
              <w:pStyle w:val="CGCTablerow"/>
            </w:pPr>
            <w:r w:rsidRPr="00034E9B">
              <w:t>Introduce an elasticity adjustment</w:t>
            </w:r>
          </w:p>
        </w:tc>
        <w:tc>
          <w:tcPr>
            <w:tcW w:w="520" w:type="pct"/>
          </w:tcPr>
          <w:p w14:paraId="5C52031F" w14:textId="0232732C" w:rsidR="00600C24" w:rsidRPr="00034E9B" w:rsidRDefault="00600C24" w:rsidP="00600C24">
            <w:pPr>
              <w:pStyle w:val="CGCTablerow"/>
            </w:pPr>
            <w:r w:rsidRPr="00034E9B">
              <w:t>NSW, ACT</w:t>
            </w:r>
          </w:p>
        </w:tc>
        <w:tc>
          <w:tcPr>
            <w:tcW w:w="480" w:type="pct"/>
          </w:tcPr>
          <w:p w14:paraId="514EB51F" w14:textId="157DD6C2" w:rsidR="00600C24" w:rsidRPr="00034E9B" w:rsidRDefault="00600C24" w:rsidP="00600C24">
            <w:pPr>
              <w:pStyle w:val="CGCTablerow"/>
            </w:pPr>
            <w:r w:rsidRPr="00034E9B">
              <w:t>No</w:t>
            </w:r>
          </w:p>
        </w:tc>
        <w:tc>
          <w:tcPr>
            <w:tcW w:w="2229" w:type="pct"/>
            <w:gridSpan w:val="2"/>
          </w:tcPr>
          <w:p w14:paraId="53873F93" w14:textId="1E472F3A" w:rsidR="00600C24" w:rsidRPr="00034E9B" w:rsidRDefault="00600C24" w:rsidP="00600C24">
            <w:pPr>
              <w:pStyle w:val="CGCTablerow"/>
            </w:pPr>
            <w:r w:rsidRPr="00034E9B">
              <w:t>HFE is not being unduly affected by elasticity effects and concerns about the practical implementation of the adjustment.</w:t>
            </w:r>
          </w:p>
        </w:tc>
      </w:tr>
      <w:tr w:rsidR="00600C24" w:rsidRPr="00034E9B" w14:paraId="600E29B4" w14:textId="77777777" w:rsidTr="00C01414">
        <w:trPr>
          <w:gridAfter w:val="1"/>
          <w:wAfter w:w="94" w:type="pct"/>
        </w:trPr>
        <w:tc>
          <w:tcPr>
            <w:tcW w:w="1677" w:type="pct"/>
            <w:shd w:val="clear" w:color="auto" w:fill="B6D5E4"/>
            <w:vAlign w:val="bottom"/>
          </w:tcPr>
          <w:p w14:paraId="16D22E0E" w14:textId="06D6DF2F" w:rsidR="00600C24" w:rsidRPr="00034E9B" w:rsidRDefault="00600C24" w:rsidP="00600C24">
            <w:pPr>
              <w:pStyle w:val="CGCTablesubhead1"/>
              <w:rPr>
                <w:lang w:val="en-AU"/>
              </w:rPr>
            </w:pPr>
            <w:r w:rsidRPr="00034E9B">
              <w:rPr>
                <w:lang w:val="en-AU"/>
              </w:rPr>
              <w:t>Insurance tax</w:t>
            </w:r>
          </w:p>
        </w:tc>
        <w:tc>
          <w:tcPr>
            <w:tcW w:w="520" w:type="pct"/>
            <w:shd w:val="clear" w:color="auto" w:fill="B6D5E4"/>
            <w:vAlign w:val="bottom"/>
          </w:tcPr>
          <w:p w14:paraId="183D9AB1" w14:textId="77777777" w:rsidR="00600C24" w:rsidRPr="00034E9B" w:rsidRDefault="00600C24" w:rsidP="00600C24">
            <w:pPr>
              <w:pStyle w:val="CGCTablesubhead1"/>
              <w:rPr>
                <w:lang w:val="en-AU"/>
              </w:rPr>
            </w:pPr>
          </w:p>
        </w:tc>
        <w:tc>
          <w:tcPr>
            <w:tcW w:w="480" w:type="pct"/>
            <w:shd w:val="clear" w:color="auto" w:fill="B6D5E4"/>
            <w:vAlign w:val="bottom"/>
          </w:tcPr>
          <w:p w14:paraId="0E643658" w14:textId="77777777" w:rsidR="00600C24" w:rsidRPr="00034E9B" w:rsidRDefault="00600C24" w:rsidP="00600C24">
            <w:pPr>
              <w:pStyle w:val="CGCTablesubhead1"/>
              <w:rPr>
                <w:lang w:val="en-AU"/>
              </w:rPr>
            </w:pPr>
          </w:p>
        </w:tc>
        <w:tc>
          <w:tcPr>
            <w:tcW w:w="2229" w:type="pct"/>
            <w:gridSpan w:val="2"/>
            <w:shd w:val="clear" w:color="auto" w:fill="B6D5E4"/>
            <w:vAlign w:val="bottom"/>
          </w:tcPr>
          <w:p w14:paraId="358590BB" w14:textId="77777777" w:rsidR="00600C24" w:rsidRPr="00034E9B" w:rsidRDefault="00600C24" w:rsidP="00600C24">
            <w:pPr>
              <w:pStyle w:val="CGCTablesubhead1"/>
              <w:rPr>
                <w:lang w:val="en-AU"/>
              </w:rPr>
            </w:pPr>
          </w:p>
        </w:tc>
      </w:tr>
      <w:tr w:rsidR="00600C24" w:rsidRPr="00034E9B" w14:paraId="0BCC6BE4" w14:textId="77777777" w:rsidTr="00C01414">
        <w:trPr>
          <w:gridAfter w:val="1"/>
          <w:wAfter w:w="94" w:type="pct"/>
        </w:trPr>
        <w:tc>
          <w:tcPr>
            <w:tcW w:w="1677" w:type="pct"/>
          </w:tcPr>
          <w:p w14:paraId="1A62BB14" w14:textId="4491B099" w:rsidR="00600C24" w:rsidRPr="00034E9B" w:rsidRDefault="00600C24" w:rsidP="00600C24">
            <w:pPr>
              <w:pStyle w:val="CGCTablerow"/>
            </w:pPr>
            <w:r w:rsidRPr="00034E9B">
              <w:t>Remove CTP premiums from measure of the revenue base</w:t>
            </w:r>
          </w:p>
        </w:tc>
        <w:tc>
          <w:tcPr>
            <w:tcW w:w="520" w:type="pct"/>
          </w:tcPr>
          <w:p w14:paraId="58AFBC31" w14:textId="7BEDFC6C" w:rsidR="00600C24" w:rsidRPr="00034E9B" w:rsidRDefault="00600C24" w:rsidP="00600C24">
            <w:pPr>
              <w:pStyle w:val="CGCTablerow"/>
            </w:pPr>
            <w:r w:rsidRPr="00034E9B">
              <w:t>NSW</w:t>
            </w:r>
          </w:p>
        </w:tc>
        <w:tc>
          <w:tcPr>
            <w:tcW w:w="480" w:type="pct"/>
          </w:tcPr>
          <w:p w14:paraId="68D37A0B" w14:textId="4B3FEFF9" w:rsidR="00600C24" w:rsidRPr="00034E9B" w:rsidRDefault="00600C24" w:rsidP="00600C24">
            <w:pPr>
              <w:pStyle w:val="CGCTablerow"/>
            </w:pPr>
            <w:r w:rsidRPr="00034E9B">
              <w:t>Yes</w:t>
            </w:r>
          </w:p>
        </w:tc>
        <w:tc>
          <w:tcPr>
            <w:tcW w:w="2229" w:type="pct"/>
            <w:gridSpan w:val="2"/>
          </w:tcPr>
          <w:p w14:paraId="13FDD476" w14:textId="09415221" w:rsidR="00600C24" w:rsidRPr="00034E9B" w:rsidRDefault="00600C24" w:rsidP="00600C24">
            <w:pPr>
              <w:pStyle w:val="CGCTablerow"/>
            </w:pPr>
            <w:r w:rsidRPr="00034E9B">
              <w:t>Removed due to CTP premiums being influenced by individual State policies.</w:t>
            </w:r>
          </w:p>
        </w:tc>
      </w:tr>
      <w:tr w:rsidR="00600C24" w:rsidRPr="00034E9B" w14:paraId="3A246B4B" w14:textId="77777777" w:rsidTr="00C01414">
        <w:trPr>
          <w:gridAfter w:val="1"/>
          <w:wAfter w:w="94" w:type="pct"/>
        </w:trPr>
        <w:tc>
          <w:tcPr>
            <w:tcW w:w="1677" w:type="pct"/>
          </w:tcPr>
          <w:p w14:paraId="3C53C612" w14:textId="3A380125" w:rsidR="00600C24" w:rsidRPr="00034E9B" w:rsidRDefault="00600C24" w:rsidP="00600C24">
            <w:pPr>
              <w:pStyle w:val="CGCTablerow"/>
            </w:pPr>
            <w:r w:rsidRPr="00034E9B">
              <w:t>Assess CTP duty EPC</w:t>
            </w:r>
          </w:p>
        </w:tc>
        <w:tc>
          <w:tcPr>
            <w:tcW w:w="520" w:type="pct"/>
          </w:tcPr>
          <w:p w14:paraId="74E27BE0" w14:textId="797FD591" w:rsidR="00600C24" w:rsidRPr="00034E9B" w:rsidRDefault="00600C24" w:rsidP="00600C24">
            <w:pPr>
              <w:pStyle w:val="CGCTablerow"/>
            </w:pPr>
            <w:r w:rsidRPr="00034E9B">
              <w:t>NSW</w:t>
            </w:r>
          </w:p>
        </w:tc>
        <w:tc>
          <w:tcPr>
            <w:tcW w:w="480" w:type="pct"/>
          </w:tcPr>
          <w:p w14:paraId="2FB72A53" w14:textId="4DB9E77D" w:rsidR="00600C24" w:rsidRPr="00034E9B" w:rsidRDefault="00600C24" w:rsidP="00600C24">
            <w:pPr>
              <w:pStyle w:val="CGCTablerow"/>
            </w:pPr>
            <w:r w:rsidRPr="00034E9B">
              <w:t>No</w:t>
            </w:r>
          </w:p>
        </w:tc>
        <w:tc>
          <w:tcPr>
            <w:tcW w:w="2229" w:type="pct"/>
            <w:gridSpan w:val="2"/>
          </w:tcPr>
          <w:p w14:paraId="20DF8600" w14:textId="430FA15D" w:rsidR="00600C24" w:rsidRPr="00034E9B" w:rsidRDefault="00600C24" w:rsidP="00600C24">
            <w:pPr>
              <w:pStyle w:val="CGCTablerow"/>
            </w:pPr>
            <w:r w:rsidRPr="00034E9B">
              <w:t>Practicality grounds. Revenue cannot be reliably identified and unlikely to be material.</w:t>
            </w:r>
          </w:p>
        </w:tc>
      </w:tr>
      <w:tr w:rsidR="00600C24" w:rsidRPr="00034E9B" w14:paraId="2FE007B2" w14:textId="77777777" w:rsidTr="00C01414">
        <w:trPr>
          <w:gridAfter w:val="1"/>
          <w:wAfter w:w="94" w:type="pct"/>
        </w:trPr>
        <w:tc>
          <w:tcPr>
            <w:tcW w:w="1677" w:type="pct"/>
          </w:tcPr>
          <w:p w14:paraId="2234E60D" w14:textId="3F876666" w:rsidR="00600C24" w:rsidRPr="00034E9B" w:rsidRDefault="00600C24" w:rsidP="00600C24">
            <w:pPr>
              <w:pStyle w:val="CGCTablerow"/>
            </w:pPr>
            <w:r w:rsidRPr="00034E9B">
              <w:t>Remove workers’ compensation insurance and CTP revenue</w:t>
            </w:r>
          </w:p>
        </w:tc>
        <w:tc>
          <w:tcPr>
            <w:tcW w:w="520" w:type="pct"/>
          </w:tcPr>
          <w:p w14:paraId="626A5757" w14:textId="12589B25" w:rsidR="00600C24" w:rsidRPr="00034E9B" w:rsidRDefault="00600C24" w:rsidP="00600C24">
            <w:pPr>
              <w:pStyle w:val="CGCTablerow"/>
            </w:pPr>
            <w:r w:rsidRPr="00034E9B">
              <w:t>NSW, Qld, SA</w:t>
            </w:r>
          </w:p>
        </w:tc>
        <w:tc>
          <w:tcPr>
            <w:tcW w:w="480" w:type="pct"/>
          </w:tcPr>
          <w:p w14:paraId="24A57D8C" w14:textId="1C3C0B19" w:rsidR="00600C24" w:rsidRPr="00034E9B" w:rsidRDefault="00600C24" w:rsidP="00600C24">
            <w:pPr>
              <w:pStyle w:val="CGCTablerow"/>
            </w:pPr>
            <w:r w:rsidRPr="00034E9B">
              <w:t>No</w:t>
            </w:r>
          </w:p>
        </w:tc>
        <w:tc>
          <w:tcPr>
            <w:tcW w:w="2229" w:type="pct"/>
            <w:gridSpan w:val="2"/>
          </w:tcPr>
          <w:p w14:paraId="7BCE2EA2" w14:textId="1836AB00" w:rsidR="00600C24" w:rsidRPr="00034E9B" w:rsidRDefault="00600C24" w:rsidP="00600C24">
            <w:pPr>
              <w:pStyle w:val="CGCTablerow"/>
            </w:pPr>
            <w:r w:rsidRPr="00034E9B">
              <w:t>Practicality grounds. A separate assessment of workers’ compensation is not material. Not including the associated premiums in the revenue base avoids policy neutrality concerns.</w:t>
            </w:r>
          </w:p>
        </w:tc>
      </w:tr>
      <w:tr w:rsidR="00600C24" w:rsidRPr="00034E9B" w14:paraId="6A6D770C" w14:textId="77777777" w:rsidTr="00C01414">
        <w:trPr>
          <w:gridAfter w:val="1"/>
          <w:wAfter w:w="94" w:type="pct"/>
        </w:trPr>
        <w:tc>
          <w:tcPr>
            <w:tcW w:w="1677" w:type="pct"/>
            <w:shd w:val="clear" w:color="auto" w:fill="B6D5E4"/>
            <w:vAlign w:val="bottom"/>
          </w:tcPr>
          <w:p w14:paraId="40940178" w14:textId="45CFA01D" w:rsidR="00600C24" w:rsidRPr="00034E9B" w:rsidRDefault="00600C24" w:rsidP="00600C24">
            <w:pPr>
              <w:pStyle w:val="CGCTablesubhead1"/>
              <w:rPr>
                <w:lang w:val="en-AU"/>
              </w:rPr>
            </w:pPr>
            <w:r w:rsidRPr="00034E9B">
              <w:rPr>
                <w:lang w:val="en-AU"/>
              </w:rPr>
              <w:t>Motor taxes</w:t>
            </w:r>
          </w:p>
        </w:tc>
        <w:tc>
          <w:tcPr>
            <w:tcW w:w="520" w:type="pct"/>
            <w:shd w:val="clear" w:color="auto" w:fill="B6D5E4"/>
            <w:vAlign w:val="bottom"/>
          </w:tcPr>
          <w:p w14:paraId="09092F37" w14:textId="77777777" w:rsidR="00600C24" w:rsidRPr="00034E9B" w:rsidRDefault="00600C24" w:rsidP="00600C24">
            <w:pPr>
              <w:pStyle w:val="CGCTablesubhead1"/>
              <w:rPr>
                <w:lang w:val="en-AU"/>
              </w:rPr>
            </w:pPr>
          </w:p>
        </w:tc>
        <w:tc>
          <w:tcPr>
            <w:tcW w:w="480" w:type="pct"/>
            <w:shd w:val="clear" w:color="auto" w:fill="B6D5E4"/>
            <w:vAlign w:val="bottom"/>
          </w:tcPr>
          <w:p w14:paraId="4065038F" w14:textId="77777777" w:rsidR="00600C24" w:rsidRPr="00034E9B" w:rsidRDefault="00600C24" w:rsidP="00600C24">
            <w:pPr>
              <w:pStyle w:val="CGCTablesubhead1"/>
              <w:rPr>
                <w:lang w:val="en-AU"/>
              </w:rPr>
            </w:pPr>
          </w:p>
        </w:tc>
        <w:tc>
          <w:tcPr>
            <w:tcW w:w="2229" w:type="pct"/>
            <w:gridSpan w:val="2"/>
            <w:shd w:val="clear" w:color="auto" w:fill="B6D5E4"/>
            <w:vAlign w:val="bottom"/>
          </w:tcPr>
          <w:p w14:paraId="7E464FB9" w14:textId="77777777" w:rsidR="00600C24" w:rsidRPr="00034E9B" w:rsidRDefault="00600C24" w:rsidP="00600C24">
            <w:pPr>
              <w:pStyle w:val="CGCTablesubhead1"/>
              <w:rPr>
                <w:lang w:val="en-AU"/>
              </w:rPr>
            </w:pPr>
          </w:p>
        </w:tc>
      </w:tr>
      <w:tr w:rsidR="00600C24" w:rsidRPr="00034E9B" w14:paraId="47FE6272" w14:textId="77777777" w:rsidTr="00C01414">
        <w:trPr>
          <w:gridAfter w:val="1"/>
          <w:wAfter w:w="94" w:type="pct"/>
        </w:trPr>
        <w:tc>
          <w:tcPr>
            <w:tcW w:w="1677" w:type="pct"/>
          </w:tcPr>
          <w:p w14:paraId="047CF788" w14:textId="75920E10" w:rsidR="00600C24" w:rsidRPr="00034E9B" w:rsidRDefault="00600C24" w:rsidP="00600C24">
            <w:pPr>
              <w:pStyle w:val="CGCTablerow"/>
            </w:pPr>
            <w:r w:rsidRPr="00034E9B">
              <w:t>Broader revenue assessment</w:t>
            </w:r>
          </w:p>
        </w:tc>
        <w:tc>
          <w:tcPr>
            <w:tcW w:w="520" w:type="pct"/>
          </w:tcPr>
          <w:p w14:paraId="4930CCA9" w14:textId="4E1A3F38" w:rsidR="00600C24" w:rsidRPr="00034E9B" w:rsidRDefault="00600C24" w:rsidP="00600C24">
            <w:pPr>
              <w:pStyle w:val="CGCTablerow"/>
            </w:pPr>
            <w:r w:rsidRPr="00034E9B">
              <w:t>WA</w:t>
            </w:r>
          </w:p>
        </w:tc>
        <w:tc>
          <w:tcPr>
            <w:tcW w:w="480" w:type="pct"/>
          </w:tcPr>
          <w:p w14:paraId="70284855" w14:textId="4C26A4DE" w:rsidR="00600C24" w:rsidRPr="00034E9B" w:rsidRDefault="00600C24" w:rsidP="00600C24">
            <w:pPr>
              <w:pStyle w:val="CGCTablerow"/>
            </w:pPr>
            <w:r w:rsidRPr="00034E9B">
              <w:t>No</w:t>
            </w:r>
          </w:p>
        </w:tc>
        <w:tc>
          <w:tcPr>
            <w:tcW w:w="2229" w:type="pct"/>
            <w:gridSpan w:val="2"/>
          </w:tcPr>
          <w:p w14:paraId="546BD605" w14:textId="020CA816" w:rsidR="00600C24" w:rsidRPr="00034E9B" w:rsidRDefault="00600C24" w:rsidP="00600C24">
            <w:pPr>
              <w:pStyle w:val="CGCTablerow"/>
            </w:pPr>
            <w:r w:rsidRPr="00034E9B">
              <w:t>Does not produce a more reliable indicator of States’ capacity to raise revenue.</w:t>
            </w:r>
          </w:p>
        </w:tc>
      </w:tr>
      <w:tr w:rsidR="00600C24" w:rsidRPr="00034E9B" w14:paraId="41E81E23" w14:textId="77777777" w:rsidTr="00C01414">
        <w:trPr>
          <w:gridAfter w:val="1"/>
          <w:wAfter w:w="94" w:type="pct"/>
        </w:trPr>
        <w:tc>
          <w:tcPr>
            <w:tcW w:w="1677" w:type="pct"/>
          </w:tcPr>
          <w:p w14:paraId="05138716" w14:textId="1908C310" w:rsidR="00600C24" w:rsidRPr="00034E9B" w:rsidRDefault="00600C24" w:rsidP="00600C24">
            <w:pPr>
              <w:pStyle w:val="CGCTablerow"/>
            </w:pPr>
            <w:r w:rsidRPr="00034E9B">
              <w:t>Remove revenue base adjustments</w:t>
            </w:r>
          </w:p>
        </w:tc>
        <w:tc>
          <w:tcPr>
            <w:tcW w:w="520" w:type="pct"/>
          </w:tcPr>
          <w:p w14:paraId="5931F809" w14:textId="4E8BC5BB" w:rsidR="00600C24" w:rsidRPr="00034E9B" w:rsidRDefault="00600C24" w:rsidP="00600C24">
            <w:pPr>
              <w:pStyle w:val="CGCTablerow"/>
            </w:pPr>
            <w:r w:rsidRPr="00034E9B">
              <w:t>WA</w:t>
            </w:r>
          </w:p>
        </w:tc>
        <w:tc>
          <w:tcPr>
            <w:tcW w:w="480" w:type="pct"/>
          </w:tcPr>
          <w:p w14:paraId="6D054F14" w14:textId="5FFBEB1E" w:rsidR="00600C24" w:rsidRPr="00034E9B" w:rsidRDefault="00600C24" w:rsidP="00600C24">
            <w:pPr>
              <w:pStyle w:val="CGCTablerow"/>
            </w:pPr>
            <w:r w:rsidRPr="00034E9B">
              <w:t>No</w:t>
            </w:r>
          </w:p>
        </w:tc>
        <w:tc>
          <w:tcPr>
            <w:tcW w:w="2229" w:type="pct"/>
            <w:gridSpan w:val="2"/>
          </w:tcPr>
          <w:p w14:paraId="7FB79BFC" w14:textId="344BE2C1" w:rsidR="00600C24" w:rsidRPr="00034E9B" w:rsidRDefault="00600C24" w:rsidP="00600C24">
            <w:pPr>
              <w:pStyle w:val="CGCTablerow"/>
            </w:pPr>
            <w:r w:rsidRPr="00034E9B">
              <w:t>They reflect what States do and are material.</w:t>
            </w:r>
          </w:p>
        </w:tc>
      </w:tr>
      <w:tr w:rsidR="00600C24" w:rsidRPr="00034E9B" w14:paraId="528C1E03" w14:textId="77777777" w:rsidTr="00C01414">
        <w:trPr>
          <w:gridAfter w:val="1"/>
          <w:wAfter w:w="94" w:type="pct"/>
        </w:trPr>
        <w:tc>
          <w:tcPr>
            <w:tcW w:w="1677" w:type="pct"/>
          </w:tcPr>
          <w:p w14:paraId="00D90DD8" w14:textId="5BB7B71A" w:rsidR="00600C24" w:rsidRPr="00034E9B" w:rsidRDefault="00600C24" w:rsidP="00600C24">
            <w:pPr>
              <w:pStyle w:val="CGCTablerow"/>
            </w:pPr>
            <w:r w:rsidRPr="00034E9B">
              <w:t>Make an adjustment for the progressive rates of duty on passenger vehicles</w:t>
            </w:r>
          </w:p>
        </w:tc>
        <w:tc>
          <w:tcPr>
            <w:tcW w:w="520" w:type="pct"/>
          </w:tcPr>
          <w:p w14:paraId="21F4C4E1" w14:textId="1CDD9D4E" w:rsidR="00600C24" w:rsidRPr="00034E9B" w:rsidRDefault="00600C24" w:rsidP="00600C24">
            <w:pPr>
              <w:pStyle w:val="CGCTablerow"/>
            </w:pPr>
            <w:r w:rsidRPr="00034E9B">
              <w:t>5 States</w:t>
            </w:r>
          </w:p>
        </w:tc>
        <w:tc>
          <w:tcPr>
            <w:tcW w:w="480" w:type="pct"/>
          </w:tcPr>
          <w:p w14:paraId="4631A210" w14:textId="7B7DDAEA" w:rsidR="00600C24" w:rsidRPr="00034E9B" w:rsidRDefault="00600C24" w:rsidP="00600C24">
            <w:pPr>
              <w:pStyle w:val="CGCTablerow"/>
            </w:pPr>
            <w:r w:rsidRPr="00034E9B">
              <w:t>No</w:t>
            </w:r>
          </w:p>
        </w:tc>
        <w:tc>
          <w:tcPr>
            <w:tcW w:w="2229" w:type="pct"/>
            <w:gridSpan w:val="2"/>
          </w:tcPr>
          <w:p w14:paraId="7923193C" w14:textId="204CA8F9" w:rsidR="00600C24" w:rsidRPr="00034E9B" w:rsidRDefault="00600C24" w:rsidP="00600C24">
            <w:pPr>
              <w:pStyle w:val="CGCTablerow"/>
            </w:pPr>
            <w:r w:rsidRPr="00034E9B">
              <w:t>Adjustment is not material.</w:t>
            </w:r>
          </w:p>
        </w:tc>
      </w:tr>
      <w:tr w:rsidR="00600C24" w:rsidRPr="00034E9B" w14:paraId="30F7A5FE" w14:textId="77777777" w:rsidTr="00C01414">
        <w:trPr>
          <w:gridAfter w:val="1"/>
          <w:wAfter w:w="94" w:type="pct"/>
        </w:trPr>
        <w:tc>
          <w:tcPr>
            <w:tcW w:w="1677" w:type="pct"/>
          </w:tcPr>
          <w:p w14:paraId="646845CF" w14:textId="3A32C5E1" w:rsidR="00600C24" w:rsidRPr="00034E9B" w:rsidRDefault="00600C24" w:rsidP="00600C24">
            <w:pPr>
              <w:pStyle w:val="CGCTablerow"/>
            </w:pPr>
            <w:r w:rsidRPr="00034E9B">
              <w:t>Assess all concessional rates of duty as grants</w:t>
            </w:r>
          </w:p>
        </w:tc>
        <w:tc>
          <w:tcPr>
            <w:tcW w:w="520" w:type="pct"/>
          </w:tcPr>
          <w:p w14:paraId="0F4B058C" w14:textId="09D09CBF" w:rsidR="00600C24" w:rsidRPr="00034E9B" w:rsidRDefault="00600C24" w:rsidP="00600C24">
            <w:pPr>
              <w:pStyle w:val="CGCTablerow"/>
            </w:pPr>
            <w:r w:rsidRPr="00034E9B">
              <w:t>ACT</w:t>
            </w:r>
          </w:p>
        </w:tc>
        <w:tc>
          <w:tcPr>
            <w:tcW w:w="480" w:type="pct"/>
          </w:tcPr>
          <w:p w14:paraId="4C207C30" w14:textId="39220123" w:rsidR="00600C24" w:rsidRPr="00034E9B" w:rsidRDefault="00600C24" w:rsidP="00600C24">
            <w:pPr>
              <w:pStyle w:val="CGCTablerow"/>
            </w:pPr>
            <w:r w:rsidRPr="00034E9B">
              <w:t>No</w:t>
            </w:r>
          </w:p>
        </w:tc>
        <w:tc>
          <w:tcPr>
            <w:tcW w:w="2229" w:type="pct"/>
            <w:gridSpan w:val="2"/>
          </w:tcPr>
          <w:p w14:paraId="15491D59" w14:textId="53F14E90" w:rsidR="00600C24" w:rsidRPr="00034E9B" w:rsidRDefault="00600C24" w:rsidP="00600C24">
            <w:pPr>
              <w:pStyle w:val="CGCTablerow"/>
            </w:pPr>
            <w:r w:rsidRPr="00034E9B">
              <w:t>The Commission does not intend to treat concessional rates of duty as an expense.</w:t>
            </w:r>
          </w:p>
        </w:tc>
      </w:tr>
    </w:tbl>
    <w:p w14:paraId="27A7BFC4" w14:textId="20199031" w:rsidR="00593181" w:rsidRPr="00034E9B" w:rsidRDefault="00593181" w:rsidP="00593181">
      <w:pPr>
        <w:pStyle w:val="CGCTablenote"/>
      </w:pPr>
      <w:r w:rsidRPr="00034E9B">
        <w:t>Note:</w:t>
      </w:r>
      <w:r w:rsidRPr="00034E9B">
        <w:tab/>
        <w:t xml:space="preserve">Acronyms used in this table are spelt out in the </w:t>
      </w:r>
      <w:r w:rsidR="00F14C80">
        <w:t>list of acronyms at the beginning of this volume</w:t>
      </w:r>
      <w:r w:rsidRPr="00034E9B">
        <w:t>.</w:t>
      </w:r>
    </w:p>
    <w:p w14:paraId="69748869" w14:textId="77777777" w:rsidR="00593181" w:rsidRPr="00034E9B" w:rsidRDefault="00593181" w:rsidP="00593181">
      <w:pPr>
        <w:pStyle w:val="CGCTablenote"/>
      </w:pPr>
      <w:r w:rsidRPr="00034E9B">
        <w:t>Source:</w:t>
      </w:r>
      <w:r w:rsidRPr="00034E9B">
        <w:tab/>
        <w:t>Commission decisions.</w:t>
      </w:r>
    </w:p>
    <w:p w14:paraId="4E20890A" w14:textId="4053CAB1" w:rsidR="00242AD6" w:rsidRPr="00034E9B" w:rsidRDefault="00242AD6" w:rsidP="00161EFB"/>
    <w:p w14:paraId="0F0B9EE6" w14:textId="77777777" w:rsidR="00593181" w:rsidRPr="00034E9B" w:rsidRDefault="00593181" w:rsidP="00593181">
      <w:pPr>
        <w:pStyle w:val="Caption"/>
      </w:pPr>
      <w:r w:rsidRPr="00034E9B">
        <w:lastRenderedPageBreak/>
        <w:t>Table 1</w:t>
      </w:r>
      <w:r w:rsidRPr="00034E9B">
        <w:noBreakHyphen/>
        <w:t>5</w:t>
      </w:r>
      <w:r w:rsidRPr="00034E9B">
        <w:tab/>
        <w:t>Commission responses to State proposals, 2020 Review (continued)</w:t>
      </w:r>
    </w:p>
    <w:tbl>
      <w:tblPr>
        <w:tblW w:w="5068" w:type="pct"/>
        <w:tblBorders>
          <w:top w:val="single" w:sz="4" w:space="0" w:color="ADD6EA"/>
          <w:bottom w:val="single" w:sz="4" w:space="0" w:color="ADD6EA"/>
          <w:insideH w:val="single" w:sz="4" w:space="0" w:color="ADD6EA"/>
        </w:tblBorders>
        <w:tblCellMar>
          <w:left w:w="28" w:type="dxa"/>
          <w:right w:w="85" w:type="dxa"/>
        </w:tblCellMar>
        <w:tblLook w:val="0000" w:firstRow="0" w:lastRow="0" w:firstColumn="0" w:lastColumn="0" w:noHBand="0" w:noVBand="0"/>
      </w:tblPr>
      <w:tblGrid>
        <w:gridCol w:w="3096"/>
        <w:gridCol w:w="961"/>
        <w:gridCol w:w="886"/>
        <w:gridCol w:w="4121"/>
        <w:gridCol w:w="123"/>
      </w:tblGrid>
      <w:tr w:rsidR="001B510C" w:rsidRPr="00034E9B" w14:paraId="0C7AB623" w14:textId="77777777" w:rsidTr="00C01414">
        <w:trPr>
          <w:gridAfter w:val="1"/>
          <w:wAfter w:w="67" w:type="pct"/>
          <w:trHeight w:val="340"/>
        </w:trPr>
        <w:tc>
          <w:tcPr>
            <w:tcW w:w="1685" w:type="pct"/>
            <w:shd w:val="clear" w:color="auto" w:fill="006991"/>
            <w:vAlign w:val="center"/>
          </w:tcPr>
          <w:p w14:paraId="4BDBA03E" w14:textId="64457262" w:rsidR="001B510C" w:rsidRPr="00034E9B" w:rsidRDefault="001B510C" w:rsidP="000948D2">
            <w:pPr>
              <w:pStyle w:val="CGCTableheader"/>
              <w:keepNext/>
              <w:keepLines/>
              <w:rPr>
                <w:lang w:val="en-AU"/>
              </w:rPr>
            </w:pPr>
            <w:r w:rsidRPr="00034E9B">
              <w:rPr>
                <w:lang w:val="en-AU"/>
              </w:rPr>
              <w:t>Proposal</w:t>
            </w:r>
          </w:p>
        </w:tc>
        <w:tc>
          <w:tcPr>
            <w:tcW w:w="523" w:type="pct"/>
            <w:shd w:val="clear" w:color="auto" w:fill="006991"/>
            <w:vAlign w:val="center"/>
          </w:tcPr>
          <w:p w14:paraId="439F3753" w14:textId="1B750193" w:rsidR="001B510C" w:rsidRPr="00034E9B" w:rsidRDefault="001B510C" w:rsidP="000948D2">
            <w:pPr>
              <w:pStyle w:val="CGCTableheader"/>
              <w:keepNext/>
              <w:keepLines/>
              <w:rPr>
                <w:lang w:val="en-AU"/>
              </w:rPr>
            </w:pPr>
            <w:r w:rsidRPr="00034E9B">
              <w:rPr>
                <w:lang w:val="en-AU"/>
              </w:rPr>
              <w:t>State</w:t>
            </w:r>
          </w:p>
        </w:tc>
        <w:tc>
          <w:tcPr>
            <w:tcW w:w="482" w:type="pct"/>
            <w:shd w:val="clear" w:color="auto" w:fill="006991"/>
            <w:vAlign w:val="center"/>
          </w:tcPr>
          <w:p w14:paraId="4E1A4BF6" w14:textId="4FBAB09F" w:rsidR="001B510C" w:rsidRPr="00034E9B" w:rsidRDefault="001B510C" w:rsidP="000948D2">
            <w:pPr>
              <w:pStyle w:val="CGCTableheader"/>
              <w:keepNext/>
              <w:keepLines/>
              <w:rPr>
                <w:lang w:val="en-AU"/>
              </w:rPr>
            </w:pPr>
            <w:r w:rsidRPr="00034E9B">
              <w:rPr>
                <w:lang w:val="en-AU"/>
              </w:rPr>
              <w:t>Adopted</w:t>
            </w:r>
          </w:p>
        </w:tc>
        <w:tc>
          <w:tcPr>
            <w:tcW w:w="2243" w:type="pct"/>
            <w:shd w:val="clear" w:color="auto" w:fill="006991"/>
            <w:vAlign w:val="center"/>
          </w:tcPr>
          <w:p w14:paraId="61E0E9EB" w14:textId="29D949E4" w:rsidR="001B510C" w:rsidRPr="00034E9B" w:rsidRDefault="001B510C" w:rsidP="000948D2">
            <w:pPr>
              <w:pStyle w:val="CGCTableheader"/>
              <w:keepNext/>
              <w:keepLines/>
              <w:rPr>
                <w:lang w:val="en-AU"/>
              </w:rPr>
            </w:pPr>
            <w:r w:rsidRPr="00034E9B">
              <w:rPr>
                <w:lang w:val="en-AU"/>
              </w:rPr>
              <w:t>Explanation</w:t>
            </w:r>
          </w:p>
        </w:tc>
      </w:tr>
      <w:tr w:rsidR="001B510C" w:rsidRPr="00034E9B" w14:paraId="4F140A17" w14:textId="77777777" w:rsidTr="00C01414">
        <w:trPr>
          <w:gridAfter w:val="1"/>
          <w:wAfter w:w="67" w:type="pct"/>
        </w:trPr>
        <w:tc>
          <w:tcPr>
            <w:tcW w:w="1685" w:type="pct"/>
            <w:shd w:val="clear" w:color="auto" w:fill="B6D5E4"/>
            <w:vAlign w:val="bottom"/>
          </w:tcPr>
          <w:p w14:paraId="5AAA276B" w14:textId="30559932" w:rsidR="001B510C" w:rsidRPr="00034E9B" w:rsidRDefault="001B510C" w:rsidP="001B510C">
            <w:pPr>
              <w:pStyle w:val="CGCTablesubhead1"/>
              <w:keepNext/>
              <w:keepLines/>
              <w:rPr>
                <w:lang w:val="en-AU"/>
              </w:rPr>
            </w:pPr>
            <w:r w:rsidRPr="00034E9B">
              <w:rPr>
                <w:lang w:val="en-AU"/>
              </w:rPr>
              <w:t>Mining revenue</w:t>
            </w:r>
          </w:p>
        </w:tc>
        <w:tc>
          <w:tcPr>
            <w:tcW w:w="523" w:type="pct"/>
            <w:shd w:val="clear" w:color="auto" w:fill="B6D5E4"/>
            <w:vAlign w:val="bottom"/>
          </w:tcPr>
          <w:p w14:paraId="4CB71162" w14:textId="77777777" w:rsidR="001B510C" w:rsidRPr="00034E9B" w:rsidRDefault="001B510C" w:rsidP="001B510C">
            <w:pPr>
              <w:pStyle w:val="CGCTablesubhead1"/>
              <w:keepNext/>
              <w:keepLines/>
              <w:rPr>
                <w:lang w:val="en-AU"/>
              </w:rPr>
            </w:pPr>
          </w:p>
        </w:tc>
        <w:tc>
          <w:tcPr>
            <w:tcW w:w="482" w:type="pct"/>
            <w:shd w:val="clear" w:color="auto" w:fill="B6D5E4"/>
            <w:vAlign w:val="bottom"/>
          </w:tcPr>
          <w:p w14:paraId="2622AA74" w14:textId="77777777" w:rsidR="001B510C" w:rsidRPr="00034E9B" w:rsidRDefault="001B510C" w:rsidP="001B510C">
            <w:pPr>
              <w:pStyle w:val="CGCTablesubhead1"/>
              <w:keepNext/>
              <w:keepLines/>
              <w:rPr>
                <w:lang w:val="en-AU"/>
              </w:rPr>
            </w:pPr>
          </w:p>
        </w:tc>
        <w:tc>
          <w:tcPr>
            <w:tcW w:w="2243" w:type="pct"/>
            <w:shd w:val="clear" w:color="auto" w:fill="B6D5E4"/>
            <w:vAlign w:val="bottom"/>
          </w:tcPr>
          <w:p w14:paraId="1AF1F36B" w14:textId="77777777" w:rsidR="001B510C" w:rsidRPr="00034E9B" w:rsidRDefault="001B510C" w:rsidP="001B510C">
            <w:pPr>
              <w:pStyle w:val="CGCTablesubhead1"/>
              <w:keepNext/>
              <w:keepLines/>
              <w:rPr>
                <w:lang w:val="en-AU"/>
              </w:rPr>
            </w:pPr>
          </w:p>
        </w:tc>
      </w:tr>
      <w:tr w:rsidR="001B510C" w:rsidRPr="00034E9B" w14:paraId="18C9EFFB" w14:textId="77777777" w:rsidTr="00C01414">
        <w:trPr>
          <w:gridAfter w:val="1"/>
          <w:wAfter w:w="67" w:type="pct"/>
        </w:trPr>
        <w:tc>
          <w:tcPr>
            <w:tcW w:w="1685" w:type="pct"/>
          </w:tcPr>
          <w:p w14:paraId="4ED3F35D" w14:textId="40272E01" w:rsidR="001B510C" w:rsidRPr="00034E9B" w:rsidRDefault="001B510C" w:rsidP="001B510C">
            <w:pPr>
              <w:pStyle w:val="CGCTablerow"/>
              <w:keepNext/>
              <w:keepLines/>
            </w:pPr>
            <w:r w:rsidRPr="00034E9B">
              <w:t>Discount the mining assessment</w:t>
            </w:r>
          </w:p>
        </w:tc>
        <w:tc>
          <w:tcPr>
            <w:tcW w:w="523" w:type="pct"/>
          </w:tcPr>
          <w:p w14:paraId="342C1CEA" w14:textId="7AD17732" w:rsidR="001B510C" w:rsidRPr="00034E9B" w:rsidRDefault="001B510C" w:rsidP="001B510C">
            <w:pPr>
              <w:pStyle w:val="CGCTablerow"/>
              <w:keepNext/>
              <w:keepLines/>
            </w:pPr>
            <w:r w:rsidRPr="00034E9B">
              <w:t>Qld, WA</w:t>
            </w:r>
          </w:p>
        </w:tc>
        <w:tc>
          <w:tcPr>
            <w:tcW w:w="482" w:type="pct"/>
          </w:tcPr>
          <w:p w14:paraId="1B5E0697" w14:textId="59B18FF6" w:rsidR="001B510C" w:rsidRPr="00034E9B" w:rsidRDefault="001B510C" w:rsidP="001B510C">
            <w:pPr>
              <w:pStyle w:val="CGCTablerow"/>
              <w:keepNext/>
              <w:keepLines/>
            </w:pPr>
            <w:r w:rsidRPr="00034E9B">
              <w:t>No</w:t>
            </w:r>
          </w:p>
        </w:tc>
        <w:tc>
          <w:tcPr>
            <w:tcW w:w="2243" w:type="pct"/>
          </w:tcPr>
          <w:p w14:paraId="012F9092" w14:textId="13C0089B" w:rsidR="001B510C" w:rsidRPr="00034E9B" w:rsidRDefault="001B510C" w:rsidP="001B510C">
            <w:pPr>
              <w:pStyle w:val="CGCTablerow"/>
              <w:keepNext/>
              <w:keepLines/>
            </w:pPr>
            <w:r w:rsidRPr="00034E9B">
              <w:t>Not possible to identify how much of the revenue might be attributable to above average revenue effort.</w:t>
            </w:r>
          </w:p>
        </w:tc>
      </w:tr>
      <w:tr w:rsidR="001B510C" w:rsidRPr="00034E9B" w14:paraId="692EF6F3" w14:textId="77777777" w:rsidTr="00C01414">
        <w:trPr>
          <w:gridAfter w:val="1"/>
          <w:wAfter w:w="67" w:type="pct"/>
        </w:trPr>
        <w:tc>
          <w:tcPr>
            <w:tcW w:w="1685" w:type="pct"/>
          </w:tcPr>
          <w:p w14:paraId="160839D8" w14:textId="7807402B" w:rsidR="001B510C" w:rsidRPr="00034E9B" w:rsidRDefault="001B510C" w:rsidP="001B510C">
            <w:pPr>
              <w:pStyle w:val="CGCTablerow"/>
              <w:keepNext/>
              <w:keepLines/>
            </w:pPr>
            <w:r w:rsidRPr="00034E9B">
              <w:t>Discount the N</w:t>
            </w:r>
            <w:r w:rsidR="000948D2">
              <w:t xml:space="preserve">orth </w:t>
            </w:r>
            <w:r w:rsidRPr="00034E9B">
              <w:t>W</w:t>
            </w:r>
            <w:r w:rsidR="000948D2">
              <w:t xml:space="preserve">est </w:t>
            </w:r>
            <w:r w:rsidRPr="00034E9B">
              <w:t>S</w:t>
            </w:r>
            <w:r w:rsidR="000948D2">
              <w:t>helf</w:t>
            </w:r>
            <w:r w:rsidRPr="00034E9B">
              <w:t xml:space="preserve"> payment</w:t>
            </w:r>
          </w:p>
        </w:tc>
        <w:tc>
          <w:tcPr>
            <w:tcW w:w="523" w:type="pct"/>
          </w:tcPr>
          <w:p w14:paraId="549FC149" w14:textId="48F5B095" w:rsidR="001B510C" w:rsidRPr="00034E9B" w:rsidRDefault="001B510C" w:rsidP="001B510C">
            <w:pPr>
              <w:pStyle w:val="CGCTablerow"/>
              <w:keepNext/>
              <w:keepLines/>
            </w:pPr>
            <w:r w:rsidRPr="00034E9B">
              <w:t>WA</w:t>
            </w:r>
          </w:p>
        </w:tc>
        <w:tc>
          <w:tcPr>
            <w:tcW w:w="482" w:type="pct"/>
          </w:tcPr>
          <w:p w14:paraId="0FC6FD5A" w14:textId="2AC96CEA" w:rsidR="001B510C" w:rsidRPr="00034E9B" w:rsidRDefault="001B510C" w:rsidP="001B510C">
            <w:pPr>
              <w:pStyle w:val="CGCTablerow"/>
              <w:keepNext/>
              <w:keepLines/>
            </w:pPr>
            <w:r w:rsidRPr="00034E9B">
              <w:t>No</w:t>
            </w:r>
          </w:p>
        </w:tc>
        <w:tc>
          <w:tcPr>
            <w:tcW w:w="2243" w:type="pct"/>
          </w:tcPr>
          <w:p w14:paraId="5FF2302C" w14:textId="77CBD4AB" w:rsidR="001B510C" w:rsidRPr="00034E9B" w:rsidRDefault="001B510C" w:rsidP="001B510C">
            <w:pPr>
              <w:pStyle w:val="CGCTablerow"/>
              <w:keepNext/>
              <w:keepLines/>
            </w:pPr>
            <w:r w:rsidRPr="00034E9B">
              <w:t>Not possible to identify how much of the payment might be attributable to above average revenue effort.</w:t>
            </w:r>
          </w:p>
        </w:tc>
      </w:tr>
      <w:tr w:rsidR="001B510C" w:rsidRPr="00034E9B" w14:paraId="7CA9ACF5" w14:textId="77777777" w:rsidTr="00C01414">
        <w:trPr>
          <w:gridAfter w:val="1"/>
          <w:wAfter w:w="67" w:type="pct"/>
        </w:trPr>
        <w:tc>
          <w:tcPr>
            <w:tcW w:w="1685" w:type="pct"/>
          </w:tcPr>
          <w:p w14:paraId="49C4C8DB" w14:textId="67135C7E" w:rsidR="001B510C" w:rsidRPr="00034E9B" w:rsidRDefault="001B510C" w:rsidP="001B510C">
            <w:pPr>
              <w:pStyle w:val="CGCTablerow"/>
              <w:keepNext/>
              <w:keepLines/>
            </w:pPr>
            <w:r w:rsidRPr="00034E9B">
              <w:t>Adjustment for differences in development efforts</w:t>
            </w:r>
          </w:p>
        </w:tc>
        <w:tc>
          <w:tcPr>
            <w:tcW w:w="523" w:type="pct"/>
          </w:tcPr>
          <w:p w14:paraId="1D5A47B6" w14:textId="092A9C99" w:rsidR="001B510C" w:rsidRPr="00034E9B" w:rsidRDefault="001B510C" w:rsidP="001B510C">
            <w:pPr>
              <w:pStyle w:val="CGCTablerow"/>
              <w:keepNext/>
              <w:keepLines/>
            </w:pPr>
            <w:r w:rsidRPr="00034E9B">
              <w:t>WA</w:t>
            </w:r>
          </w:p>
        </w:tc>
        <w:tc>
          <w:tcPr>
            <w:tcW w:w="482" w:type="pct"/>
          </w:tcPr>
          <w:p w14:paraId="2B7DD5E7" w14:textId="4CFFC4B0" w:rsidR="001B510C" w:rsidRPr="00034E9B" w:rsidRDefault="001B510C" w:rsidP="001B510C">
            <w:pPr>
              <w:pStyle w:val="CGCTablerow"/>
              <w:keepNext/>
              <w:keepLines/>
            </w:pPr>
            <w:r w:rsidRPr="00034E9B">
              <w:t>No</w:t>
            </w:r>
          </w:p>
        </w:tc>
        <w:tc>
          <w:tcPr>
            <w:tcW w:w="2243" w:type="pct"/>
          </w:tcPr>
          <w:p w14:paraId="1583CF05" w14:textId="52229D69" w:rsidR="001B510C" w:rsidRPr="00034E9B" w:rsidRDefault="001B510C" w:rsidP="001B510C">
            <w:pPr>
              <w:pStyle w:val="CGCTablerow"/>
              <w:keepNext/>
              <w:keepLines/>
            </w:pPr>
            <w:r w:rsidRPr="00034E9B">
              <w:t>Not possible to identify how much of any expanded revenue base might be attributable to above average revenue effort.</w:t>
            </w:r>
          </w:p>
        </w:tc>
      </w:tr>
      <w:tr w:rsidR="001B510C" w:rsidRPr="00034E9B" w14:paraId="1D5D8F51" w14:textId="77777777" w:rsidTr="00C01414">
        <w:trPr>
          <w:gridAfter w:val="1"/>
          <w:wAfter w:w="67" w:type="pct"/>
        </w:trPr>
        <w:tc>
          <w:tcPr>
            <w:tcW w:w="1685" w:type="pct"/>
          </w:tcPr>
          <w:p w14:paraId="145D3169" w14:textId="5F8149F6" w:rsidR="001B510C" w:rsidRPr="00034E9B" w:rsidRDefault="001B510C" w:rsidP="001B510C">
            <w:pPr>
              <w:pStyle w:val="CGCTablerow"/>
            </w:pPr>
            <w:r w:rsidRPr="00034E9B">
              <w:t>Adjustment for differences in compliance efforts</w:t>
            </w:r>
          </w:p>
        </w:tc>
        <w:tc>
          <w:tcPr>
            <w:tcW w:w="523" w:type="pct"/>
          </w:tcPr>
          <w:p w14:paraId="563D4D1A" w14:textId="450E7F68" w:rsidR="001B510C" w:rsidRPr="00034E9B" w:rsidRDefault="001B510C" w:rsidP="001B510C">
            <w:pPr>
              <w:pStyle w:val="CGCTablerow"/>
            </w:pPr>
            <w:r w:rsidRPr="00034E9B">
              <w:t>WA</w:t>
            </w:r>
          </w:p>
        </w:tc>
        <w:tc>
          <w:tcPr>
            <w:tcW w:w="482" w:type="pct"/>
          </w:tcPr>
          <w:p w14:paraId="08C3D4FC" w14:textId="5AAD28B5" w:rsidR="001B510C" w:rsidRPr="00034E9B" w:rsidRDefault="001B510C" w:rsidP="001B510C">
            <w:pPr>
              <w:pStyle w:val="CGCTablerow"/>
            </w:pPr>
            <w:r w:rsidRPr="00034E9B">
              <w:t>No</w:t>
            </w:r>
          </w:p>
        </w:tc>
        <w:tc>
          <w:tcPr>
            <w:tcW w:w="2243" w:type="pct"/>
          </w:tcPr>
          <w:p w14:paraId="5BCE88A8" w14:textId="4A6B9B40" w:rsidR="001B510C" w:rsidRPr="00034E9B" w:rsidRDefault="001B510C" w:rsidP="001B510C">
            <w:pPr>
              <w:pStyle w:val="CGCTablerow"/>
            </w:pPr>
            <w:r w:rsidRPr="00034E9B">
              <w:t>More likely that diminishing tax receipts have a larger effect on compliance policy than GST effects.</w:t>
            </w:r>
          </w:p>
        </w:tc>
      </w:tr>
      <w:tr w:rsidR="001B510C" w:rsidRPr="00034E9B" w14:paraId="19D367D1" w14:textId="77777777" w:rsidTr="00C01414">
        <w:trPr>
          <w:gridAfter w:val="1"/>
          <w:wAfter w:w="67" w:type="pct"/>
        </w:trPr>
        <w:tc>
          <w:tcPr>
            <w:tcW w:w="1685" w:type="pct"/>
          </w:tcPr>
          <w:p w14:paraId="294FDAB0" w14:textId="4B1A0D57" w:rsidR="001B510C" w:rsidRPr="00034E9B" w:rsidRDefault="001B510C" w:rsidP="001B510C">
            <w:pPr>
              <w:pStyle w:val="CGCTablerow"/>
            </w:pPr>
            <w:r w:rsidRPr="00034E9B">
              <w:t>Differences in the cost of production and profitability</w:t>
            </w:r>
          </w:p>
        </w:tc>
        <w:tc>
          <w:tcPr>
            <w:tcW w:w="523" w:type="pct"/>
          </w:tcPr>
          <w:p w14:paraId="7785579E" w14:textId="2FAC6574" w:rsidR="001B510C" w:rsidRPr="00034E9B" w:rsidRDefault="001B510C" w:rsidP="001B510C">
            <w:pPr>
              <w:pStyle w:val="CGCTablerow"/>
            </w:pPr>
            <w:r w:rsidRPr="00034E9B">
              <w:t>Tas</w:t>
            </w:r>
          </w:p>
        </w:tc>
        <w:tc>
          <w:tcPr>
            <w:tcW w:w="482" w:type="pct"/>
          </w:tcPr>
          <w:p w14:paraId="517F45C1" w14:textId="7D80DD08" w:rsidR="001B510C" w:rsidRPr="00034E9B" w:rsidRDefault="001B510C" w:rsidP="001B510C">
            <w:pPr>
              <w:pStyle w:val="CGCTablerow"/>
            </w:pPr>
            <w:r w:rsidRPr="00034E9B">
              <w:t>No</w:t>
            </w:r>
          </w:p>
        </w:tc>
        <w:tc>
          <w:tcPr>
            <w:tcW w:w="2243" w:type="pct"/>
          </w:tcPr>
          <w:p w14:paraId="1AA3D29C" w14:textId="193965E8" w:rsidR="001B510C" w:rsidRPr="00034E9B" w:rsidRDefault="001B510C" w:rsidP="001B510C">
            <w:pPr>
              <w:pStyle w:val="CGCTablerow"/>
            </w:pPr>
            <w:r w:rsidRPr="00034E9B">
              <w:t>The profitability of Tasmania’s mining sector does not appear to differ from other States.</w:t>
            </w:r>
          </w:p>
        </w:tc>
      </w:tr>
      <w:tr w:rsidR="001B510C" w:rsidRPr="00034E9B" w14:paraId="1E89BD1E" w14:textId="77777777" w:rsidTr="00C01414">
        <w:trPr>
          <w:gridAfter w:val="1"/>
          <w:wAfter w:w="67" w:type="pct"/>
        </w:trPr>
        <w:tc>
          <w:tcPr>
            <w:tcW w:w="1685" w:type="pct"/>
          </w:tcPr>
          <w:p w14:paraId="5E4278CB" w14:textId="122EAF92" w:rsidR="001B510C" w:rsidRPr="00034E9B" w:rsidRDefault="001B510C" w:rsidP="001B510C">
            <w:pPr>
              <w:pStyle w:val="CGCTablerow"/>
            </w:pPr>
            <w:r w:rsidRPr="00034E9B">
              <w:t>A global revenue assessment</w:t>
            </w:r>
          </w:p>
        </w:tc>
        <w:tc>
          <w:tcPr>
            <w:tcW w:w="523" w:type="pct"/>
          </w:tcPr>
          <w:p w14:paraId="3720E29B" w14:textId="68EFD433" w:rsidR="001B510C" w:rsidRPr="00034E9B" w:rsidRDefault="001B510C" w:rsidP="001B510C">
            <w:pPr>
              <w:pStyle w:val="CGCTablerow"/>
            </w:pPr>
            <w:r w:rsidRPr="00034E9B">
              <w:t>WA</w:t>
            </w:r>
          </w:p>
        </w:tc>
        <w:tc>
          <w:tcPr>
            <w:tcW w:w="482" w:type="pct"/>
          </w:tcPr>
          <w:p w14:paraId="03A22C81" w14:textId="1E0EEAEF" w:rsidR="001B510C" w:rsidRPr="00034E9B" w:rsidRDefault="001B510C" w:rsidP="001B510C">
            <w:pPr>
              <w:pStyle w:val="CGCTablerow"/>
            </w:pPr>
            <w:r w:rsidRPr="00034E9B">
              <w:t>No</w:t>
            </w:r>
          </w:p>
        </w:tc>
        <w:tc>
          <w:tcPr>
            <w:tcW w:w="2243" w:type="pct"/>
          </w:tcPr>
          <w:p w14:paraId="7F91FC51" w14:textId="61A2AB53" w:rsidR="001B510C" w:rsidRPr="00034E9B" w:rsidRDefault="001B510C" w:rsidP="001B510C">
            <w:pPr>
              <w:pStyle w:val="CGCTablerow"/>
            </w:pPr>
            <w:r w:rsidRPr="00034E9B">
              <w:t>Does not produce a more reliable indicator of State revenue raising capacity.</w:t>
            </w:r>
          </w:p>
        </w:tc>
      </w:tr>
      <w:tr w:rsidR="001B510C" w:rsidRPr="00034E9B" w14:paraId="6EC3AB95" w14:textId="77777777" w:rsidTr="00C01414">
        <w:trPr>
          <w:gridAfter w:val="1"/>
          <w:wAfter w:w="67" w:type="pct"/>
        </w:trPr>
        <w:tc>
          <w:tcPr>
            <w:tcW w:w="1685" w:type="pct"/>
          </w:tcPr>
          <w:p w14:paraId="2528EDF5" w14:textId="0C65F079" w:rsidR="001B510C" w:rsidRPr="00034E9B" w:rsidRDefault="001B510C" w:rsidP="001B510C">
            <w:pPr>
              <w:pStyle w:val="CGCTablerow"/>
            </w:pPr>
            <w:r w:rsidRPr="00034E9B">
              <w:t>A uniform fixed standard royalty rate</w:t>
            </w:r>
          </w:p>
        </w:tc>
        <w:tc>
          <w:tcPr>
            <w:tcW w:w="523" w:type="pct"/>
          </w:tcPr>
          <w:p w14:paraId="2E3DA37A" w14:textId="16287082" w:rsidR="001B510C" w:rsidRPr="00034E9B" w:rsidRDefault="001B510C" w:rsidP="001B510C">
            <w:pPr>
              <w:pStyle w:val="CGCTablerow"/>
            </w:pPr>
            <w:r w:rsidRPr="00034E9B">
              <w:t>WA</w:t>
            </w:r>
          </w:p>
        </w:tc>
        <w:tc>
          <w:tcPr>
            <w:tcW w:w="482" w:type="pct"/>
          </w:tcPr>
          <w:p w14:paraId="0DB54023" w14:textId="10442CBA" w:rsidR="001B510C" w:rsidRPr="00034E9B" w:rsidRDefault="001B510C" w:rsidP="001B510C">
            <w:pPr>
              <w:pStyle w:val="CGCTablerow"/>
            </w:pPr>
            <w:r w:rsidRPr="00034E9B">
              <w:t>No</w:t>
            </w:r>
          </w:p>
        </w:tc>
        <w:tc>
          <w:tcPr>
            <w:tcW w:w="2243" w:type="pct"/>
          </w:tcPr>
          <w:p w14:paraId="7D6A36C2" w14:textId="6B7E3E17" w:rsidR="001B510C" w:rsidRPr="00034E9B" w:rsidRDefault="001B510C" w:rsidP="001B510C">
            <w:pPr>
              <w:pStyle w:val="CGCTablerow"/>
            </w:pPr>
            <w:r w:rsidRPr="00034E9B">
              <w:t>Does not produce a more reliable indicator of State revenue raising capacity.</w:t>
            </w:r>
          </w:p>
        </w:tc>
      </w:tr>
      <w:tr w:rsidR="001B510C" w:rsidRPr="00034E9B" w14:paraId="314DB007" w14:textId="77777777" w:rsidTr="00C01414">
        <w:trPr>
          <w:gridAfter w:val="1"/>
          <w:wAfter w:w="67" w:type="pct"/>
        </w:trPr>
        <w:tc>
          <w:tcPr>
            <w:tcW w:w="1685" w:type="pct"/>
          </w:tcPr>
          <w:p w14:paraId="639A5DC0" w14:textId="3BFDC25B" w:rsidR="001B510C" w:rsidRPr="00034E9B" w:rsidRDefault="001B510C" w:rsidP="001B510C">
            <w:pPr>
              <w:pStyle w:val="CGCTablerow"/>
            </w:pPr>
            <w:r w:rsidRPr="00034E9B">
              <w:t>A policy neutral capacity measure (land area)</w:t>
            </w:r>
          </w:p>
        </w:tc>
        <w:tc>
          <w:tcPr>
            <w:tcW w:w="523" w:type="pct"/>
          </w:tcPr>
          <w:p w14:paraId="340B7ADF" w14:textId="1220CD91" w:rsidR="001B510C" w:rsidRPr="00034E9B" w:rsidRDefault="001B510C" w:rsidP="001B510C">
            <w:pPr>
              <w:pStyle w:val="CGCTablerow"/>
            </w:pPr>
            <w:r w:rsidRPr="00034E9B">
              <w:t>WA</w:t>
            </w:r>
          </w:p>
        </w:tc>
        <w:tc>
          <w:tcPr>
            <w:tcW w:w="482" w:type="pct"/>
          </w:tcPr>
          <w:p w14:paraId="37759AF9" w14:textId="7A756427" w:rsidR="001B510C" w:rsidRPr="00034E9B" w:rsidRDefault="001B510C" w:rsidP="001B510C">
            <w:pPr>
              <w:pStyle w:val="CGCTablerow"/>
            </w:pPr>
            <w:r w:rsidRPr="00034E9B">
              <w:t>No</w:t>
            </w:r>
          </w:p>
        </w:tc>
        <w:tc>
          <w:tcPr>
            <w:tcW w:w="2243" w:type="pct"/>
          </w:tcPr>
          <w:p w14:paraId="35C713C1" w14:textId="2AC3A1AC" w:rsidR="001B510C" w:rsidRPr="00034E9B" w:rsidRDefault="001B510C" w:rsidP="001B510C">
            <w:pPr>
              <w:pStyle w:val="CGCTablerow"/>
            </w:pPr>
            <w:r w:rsidRPr="00034E9B">
              <w:t>Does not produce a more reliable indicator of State revenue raising capacity.</w:t>
            </w:r>
          </w:p>
        </w:tc>
      </w:tr>
      <w:tr w:rsidR="001B510C" w:rsidRPr="00034E9B" w14:paraId="2780FA10" w14:textId="77777777" w:rsidTr="00C01414">
        <w:trPr>
          <w:gridAfter w:val="1"/>
          <w:wAfter w:w="67" w:type="pct"/>
        </w:trPr>
        <w:tc>
          <w:tcPr>
            <w:tcW w:w="1685" w:type="pct"/>
          </w:tcPr>
          <w:p w14:paraId="0C66B903" w14:textId="4F7B22D2" w:rsidR="001B510C" w:rsidRPr="00034E9B" w:rsidRDefault="001B510C" w:rsidP="001B510C">
            <w:pPr>
              <w:pStyle w:val="CGCTablerow"/>
            </w:pPr>
            <w:r w:rsidRPr="00034E9B">
              <w:t>Blend value of production data with land area</w:t>
            </w:r>
          </w:p>
        </w:tc>
        <w:tc>
          <w:tcPr>
            <w:tcW w:w="523" w:type="pct"/>
          </w:tcPr>
          <w:p w14:paraId="5BD471F8" w14:textId="3F01FE6C" w:rsidR="001B510C" w:rsidRPr="00034E9B" w:rsidRDefault="001B510C" w:rsidP="001B510C">
            <w:pPr>
              <w:pStyle w:val="CGCTablerow"/>
            </w:pPr>
            <w:r w:rsidRPr="00034E9B">
              <w:t>WA</w:t>
            </w:r>
          </w:p>
        </w:tc>
        <w:tc>
          <w:tcPr>
            <w:tcW w:w="482" w:type="pct"/>
          </w:tcPr>
          <w:p w14:paraId="002514AF" w14:textId="3938E45B" w:rsidR="001B510C" w:rsidRPr="00034E9B" w:rsidRDefault="001B510C" w:rsidP="001B510C">
            <w:pPr>
              <w:pStyle w:val="CGCTablerow"/>
            </w:pPr>
            <w:r w:rsidRPr="00034E9B">
              <w:t>No</w:t>
            </w:r>
          </w:p>
        </w:tc>
        <w:tc>
          <w:tcPr>
            <w:tcW w:w="2243" w:type="pct"/>
          </w:tcPr>
          <w:p w14:paraId="29972C08" w14:textId="6C71B682" w:rsidR="001B510C" w:rsidRPr="00034E9B" w:rsidRDefault="001B510C" w:rsidP="001B510C">
            <w:pPr>
              <w:pStyle w:val="CGCTablerow"/>
            </w:pPr>
            <w:r w:rsidRPr="00034E9B">
              <w:t>Does not produce a more reliable indicator of State revenue raising capacity.</w:t>
            </w:r>
          </w:p>
        </w:tc>
      </w:tr>
      <w:tr w:rsidR="001B510C" w:rsidRPr="00034E9B" w14:paraId="2D659F04" w14:textId="77777777" w:rsidTr="00C01414">
        <w:trPr>
          <w:gridAfter w:val="1"/>
          <w:wAfter w:w="67" w:type="pct"/>
        </w:trPr>
        <w:tc>
          <w:tcPr>
            <w:tcW w:w="1685" w:type="pct"/>
          </w:tcPr>
          <w:p w14:paraId="1A0600CC" w14:textId="29481481" w:rsidR="001B510C" w:rsidRPr="00034E9B" w:rsidRDefault="001B510C" w:rsidP="001B510C">
            <w:pPr>
              <w:pStyle w:val="CGCTablerow"/>
            </w:pPr>
            <w:r w:rsidRPr="00034E9B">
              <w:t>A rotating standard</w:t>
            </w:r>
          </w:p>
        </w:tc>
        <w:tc>
          <w:tcPr>
            <w:tcW w:w="523" w:type="pct"/>
          </w:tcPr>
          <w:p w14:paraId="7359426F" w14:textId="43AD12C0" w:rsidR="001B510C" w:rsidRPr="00034E9B" w:rsidRDefault="001B510C" w:rsidP="001B510C">
            <w:pPr>
              <w:pStyle w:val="CGCTablerow"/>
            </w:pPr>
            <w:r w:rsidRPr="00034E9B">
              <w:t>WA</w:t>
            </w:r>
          </w:p>
        </w:tc>
        <w:tc>
          <w:tcPr>
            <w:tcW w:w="482" w:type="pct"/>
          </w:tcPr>
          <w:p w14:paraId="4256A299" w14:textId="7F59A865" w:rsidR="001B510C" w:rsidRPr="00034E9B" w:rsidRDefault="001B510C" w:rsidP="001B510C">
            <w:pPr>
              <w:pStyle w:val="CGCTablerow"/>
            </w:pPr>
            <w:r w:rsidRPr="00034E9B">
              <w:t>No</w:t>
            </w:r>
          </w:p>
        </w:tc>
        <w:tc>
          <w:tcPr>
            <w:tcW w:w="2243" w:type="pct"/>
          </w:tcPr>
          <w:p w14:paraId="10A88E3E" w14:textId="248AAB6D" w:rsidR="001B510C" w:rsidRPr="00034E9B" w:rsidRDefault="001B510C" w:rsidP="001B510C">
            <w:pPr>
              <w:pStyle w:val="CGCTablerow"/>
            </w:pPr>
            <w:r w:rsidRPr="00034E9B">
              <w:t>A rotating standard would add unnecessary complexity to the task of assessing capacity.</w:t>
            </w:r>
          </w:p>
        </w:tc>
      </w:tr>
      <w:tr w:rsidR="001B510C" w:rsidRPr="00034E9B" w14:paraId="27CE6467" w14:textId="77777777" w:rsidTr="00C01414">
        <w:trPr>
          <w:gridAfter w:val="1"/>
          <w:wAfter w:w="67" w:type="pct"/>
        </w:trPr>
        <w:tc>
          <w:tcPr>
            <w:tcW w:w="1685" w:type="pct"/>
          </w:tcPr>
          <w:p w14:paraId="2E9222AA" w14:textId="6B89C1A1" w:rsidR="001B510C" w:rsidRPr="00034E9B" w:rsidRDefault="001B510C" w:rsidP="001B510C">
            <w:pPr>
              <w:pStyle w:val="CGCTablerow"/>
            </w:pPr>
            <w:r w:rsidRPr="00034E9B">
              <w:t>Assess grants in lieu of royalties in the category.</w:t>
            </w:r>
          </w:p>
        </w:tc>
        <w:tc>
          <w:tcPr>
            <w:tcW w:w="523" w:type="pct"/>
          </w:tcPr>
          <w:p w14:paraId="37488ECD" w14:textId="1B90C67B" w:rsidR="001B510C" w:rsidRPr="00034E9B" w:rsidRDefault="001B510C" w:rsidP="001B510C">
            <w:pPr>
              <w:pStyle w:val="CGCTablerow"/>
            </w:pPr>
            <w:r w:rsidRPr="00034E9B">
              <w:t>WA</w:t>
            </w:r>
          </w:p>
        </w:tc>
        <w:tc>
          <w:tcPr>
            <w:tcW w:w="482" w:type="pct"/>
          </w:tcPr>
          <w:p w14:paraId="759B2D67" w14:textId="5932F96E" w:rsidR="001B510C" w:rsidRPr="00034E9B" w:rsidRDefault="001B510C" w:rsidP="001B510C">
            <w:pPr>
              <w:pStyle w:val="CGCTablerow"/>
            </w:pPr>
            <w:r w:rsidRPr="00034E9B">
              <w:t>Yes</w:t>
            </w:r>
          </w:p>
        </w:tc>
        <w:tc>
          <w:tcPr>
            <w:tcW w:w="2243" w:type="pct"/>
          </w:tcPr>
          <w:p w14:paraId="5D29CDF0" w14:textId="4428EB2B" w:rsidR="001B510C" w:rsidRPr="00034E9B" w:rsidRDefault="001B510C" w:rsidP="001B510C">
            <w:pPr>
              <w:pStyle w:val="CGCTablerow"/>
            </w:pPr>
            <w:r w:rsidRPr="00034E9B">
              <w:t>Consistent with terms of reference direction not to change assessment method.</w:t>
            </w:r>
          </w:p>
        </w:tc>
      </w:tr>
      <w:tr w:rsidR="001B510C" w:rsidRPr="00034E9B" w14:paraId="5A11A08D" w14:textId="77777777" w:rsidTr="00C01414">
        <w:trPr>
          <w:gridAfter w:val="1"/>
          <w:wAfter w:w="67" w:type="pct"/>
        </w:trPr>
        <w:tc>
          <w:tcPr>
            <w:tcW w:w="1685" w:type="pct"/>
          </w:tcPr>
          <w:p w14:paraId="33EE92B1" w14:textId="5A8F3D4F" w:rsidR="001B510C" w:rsidRPr="00034E9B" w:rsidRDefault="001B510C" w:rsidP="001B510C">
            <w:pPr>
              <w:pStyle w:val="CGCTablerow"/>
            </w:pPr>
            <w:r w:rsidRPr="00034E9B">
              <w:t>Back royalties should be assessed EPC</w:t>
            </w:r>
          </w:p>
        </w:tc>
        <w:tc>
          <w:tcPr>
            <w:tcW w:w="523" w:type="pct"/>
          </w:tcPr>
          <w:p w14:paraId="627E70E2" w14:textId="7C06C5CD" w:rsidR="001B510C" w:rsidRPr="00034E9B" w:rsidRDefault="001B510C" w:rsidP="001B510C">
            <w:pPr>
              <w:pStyle w:val="CGCTablerow"/>
            </w:pPr>
            <w:r w:rsidRPr="00034E9B">
              <w:t>WA</w:t>
            </w:r>
          </w:p>
        </w:tc>
        <w:tc>
          <w:tcPr>
            <w:tcW w:w="482" w:type="pct"/>
          </w:tcPr>
          <w:p w14:paraId="27BD6D1D" w14:textId="5062A2E4" w:rsidR="001B510C" w:rsidRPr="00034E9B" w:rsidRDefault="001B510C" w:rsidP="001B510C">
            <w:pPr>
              <w:pStyle w:val="CGCTablerow"/>
            </w:pPr>
            <w:r w:rsidRPr="00034E9B">
              <w:t>Partial</w:t>
            </w:r>
          </w:p>
        </w:tc>
        <w:tc>
          <w:tcPr>
            <w:tcW w:w="2243" w:type="pct"/>
          </w:tcPr>
          <w:p w14:paraId="290FB14D" w14:textId="43D26CCD" w:rsidR="001B510C" w:rsidRPr="00034E9B" w:rsidRDefault="001B510C" w:rsidP="001B510C">
            <w:pPr>
              <w:pStyle w:val="CGCTablerow"/>
            </w:pPr>
            <w:r w:rsidRPr="00034E9B">
              <w:t>Back royalties relating to the assessment years are assessed with iron ore royalties; back royalties relating to non-assessment years assessed EPC.</w:t>
            </w:r>
          </w:p>
        </w:tc>
      </w:tr>
      <w:tr w:rsidR="001B510C" w:rsidRPr="00034E9B" w14:paraId="5C46AEDE" w14:textId="77777777" w:rsidTr="00C01414">
        <w:tc>
          <w:tcPr>
            <w:tcW w:w="1685" w:type="pct"/>
            <w:shd w:val="clear" w:color="auto" w:fill="B6D5E4"/>
            <w:vAlign w:val="bottom"/>
          </w:tcPr>
          <w:p w14:paraId="7149294C" w14:textId="1EBCAE0C" w:rsidR="001B510C" w:rsidRPr="00034E9B" w:rsidRDefault="001B510C" w:rsidP="001B510C">
            <w:pPr>
              <w:pStyle w:val="CGCTablesubhead1"/>
              <w:rPr>
                <w:lang w:val="en-AU"/>
              </w:rPr>
            </w:pPr>
            <w:r w:rsidRPr="00034E9B">
              <w:rPr>
                <w:lang w:val="en-AU"/>
              </w:rPr>
              <w:t>Other revenue</w:t>
            </w:r>
          </w:p>
        </w:tc>
        <w:tc>
          <w:tcPr>
            <w:tcW w:w="523" w:type="pct"/>
            <w:shd w:val="clear" w:color="auto" w:fill="B6D5E4"/>
            <w:vAlign w:val="bottom"/>
          </w:tcPr>
          <w:p w14:paraId="1EC22DEA" w14:textId="77777777" w:rsidR="001B510C" w:rsidRPr="00034E9B" w:rsidRDefault="001B510C" w:rsidP="001B510C">
            <w:pPr>
              <w:pStyle w:val="CGCTablesubhead1"/>
              <w:rPr>
                <w:lang w:val="en-AU"/>
              </w:rPr>
            </w:pPr>
          </w:p>
        </w:tc>
        <w:tc>
          <w:tcPr>
            <w:tcW w:w="482" w:type="pct"/>
            <w:shd w:val="clear" w:color="auto" w:fill="B6D5E4"/>
            <w:vAlign w:val="bottom"/>
          </w:tcPr>
          <w:p w14:paraId="1A6833AA" w14:textId="77777777" w:rsidR="001B510C" w:rsidRPr="00034E9B" w:rsidRDefault="001B510C" w:rsidP="001B510C">
            <w:pPr>
              <w:pStyle w:val="CGCTablesubhead1"/>
              <w:rPr>
                <w:lang w:val="en-AU"/>
              </w:rPr>
            </w:pPr>
          </w:p>
        </w:tc>
        <w:tc>
          <w:tcPr>
            <w:tcW w:w="2310" w:type="pct"/>
            <w:gridSpan w:val="2"/>
            <w:shd w:val="clear" w:color="auto" w:fill="B6D5E4"/>
            <w:vAlign w:val="bottom"/>
          </w:tcPr>
          <w:p w14:paraId="2A92C971" w14:textId="77777777" w:rsidR="001B510C" w:rsidRPr="00034E9B" w:rsidRDefault="001B510C" w:rsidP="001B510C">
            <w:pPr>
              <w:pStyle w:val="CGCTablesubhead1"/>
              <w:rPr>
                <w:lang w:val="en-AU"/>
              </w:rPr>
            </w:pPr>
          </w:p>
        </w:tc>
      </w:tr>
      <w:tr w:rsidR="001B510C" w:rsidRPr="00034E9B" w14:paraId="09B3CDD3" w14:textId="77777777" w:rsidTr="00C01414">
        <w:tc>
          <w:tcPr>
            <w:tcW w:w="1685" w:type="pct"/>
          </w:tcPr>
          <w:p w14:paraId="1EAF6B0B" w14:textId="5B12F44E" w:rsidR="001B510C" w:rsidRPr="00034E9B" w:rsidRDefault="001B510C" w:rsidP="001B510C">
            <w:pPr>
              <w:pStyle w:val="CGCTablerow"/>
            </w:pPr>
            <w:r w:rsidRPr="00034E9B">
              <w:t>Differentially assess gambling taxes</w:t>
            </w:r>
          </w:p>
        </w:tc>
        <w:tc>
          <w:tcPr>
            <w:tcW w:w="523" w:type="pct"/>
          </w:tcPr>
          <w:p w14:paraId="4AAA4A28" w14:textId="23A78436" w:rsidR="001B510C" w:rsidRPr="00034E9B" w:rsidRDefault="001B510C" w:rsidP="001B510C">
            <w:pPr>
              <w:pStyle w:val="CGCTablerow"/>
            </w:pPr>
            <w:r w:rsidRPr="00034E9B">
              <w:t>SA, ACT</w:t>
            </w:r>
          </w:p>
        </w:tc>
        <w:tc>
          <w:tcPr>
            <w:tcW w:w="482" w:type="pct"/>
          </w:tcPr>
          <w:p w14:paraId="01EBAD1D" w14:textId="3183B8D2" w:rsidR="001B510C" w:rsidRPr="00034E9B" w:rsidRDefault="001B510C" w:rsidP="001B510C">
            <w:pPr>
              <w:pStyle w:val="CGCTablerow"/>
            </w:pPr>
            <w:r w:rsidRPr="00034E9B">
              <w:t>No</w:t>
            </w:r>
          </w:p>
        </w:tc>
        <w:tc>
          <w:tcPr>
            <w:tcW w:w="2310" w:type="pct"/>
            <w:gridSpan w:val="2"/>
          </w:tcPr>
          <w:p w14:paraId="495CD713" w14:textId="740E5781" w:rsidR="001B510C" w:rsidRPr="00034E9B" w:rsidRDefault="001B510C" w:rsidP="001B510C">
            <w:pPr>
              <w:pStyle w:val="CGCTablerow"/>
            </w:pPr>
            <w:r w:rsidRPr="00034E9B">
              <w:t>A reliable capacity measure could not be found.</w:t>
            </w:r>
          </w:p>
        </w:tc>
      </w:tr>
      <w:tr w:rsidR="001B510C" w:rsidRPr="00034E9B" w14:paraId="34557F18" w14:textId="77777777" w:rsidTr="00C01414">
        <w:tc>
          <w:tcPr>
            <w:tcW w:w="1685" w:type="pct"/>
          </w:tcPr>
          <w:p w14:paraId="51EBBA91" w14:textId="5FD59A56" w:rsidR="001B510C" w:rsidRPr="00034E9B" w:rsidRDefault="001B510C" w:rsidP="001B510C">
            <w:pPr>
              <w:pStyle w:val="CGCTablerow"/>
            </w:pPr>
            <w:r w:rsidRPr="00034E9B">
              <w:t>Assess Other revenue EPC</w:t>
            </w:r>
          </w:p>
        </w:tc>
        <w:tc>
          <w:tcPr>
            <w:tcW w:w="523" w:type="pct"/>
          </w:tcPr>
          <w:p w14:paraId="5B613F3D" w14:textId="1FA58A5C" w:rsidR="001B510C" w:rsidRPr="00034E9B" w:rsidRDefault="001B510C" w:rsidP="001B510C">
            <w:pPr>
              <w:pStyle w:val="CGCTablerow"/>
            </w:pPr>
            <w:r w:rsidRPr="00034E9B">
              <w:t>WA</w:t>
            </w:r>
          </w:p>
        </w:tc>
        <w:tc>
          <w:tcPr>
            <w:tcW w:w="482" w:type="pct"/>
          </w:tcPr>
          <w:p w14:paraId="3CC3FCF3" w14:textId="6AAF7117" w:rsidR="001B510C" w:rsidRPr="00034E9B" w:rsidRDefault="001B510C" w:rsidP="001B510C">
            <w:pPr>
              <w:pStyle w:val="CGCTablerow"/>
            </w:pPr>
            <w:r w:rsidRPr="00034E9B">
              <w:t>Yes</w:t>
            </w:r>
          </w:p>
        </w:tc>
        <w:tc>
          <w:tcPr>
            <w:tcW w:w="2310" w:type="pct"/>
            <w:gridSpan w:val="2"/>
          </w:tcPr>
          <w:p w14:paraId="45CBBE6F" w14:textId="79F80555" w:rsidR="001B510C" w:rsidRPr="00034E9B" w:rsidRDefault="001B510C" w:rsidP="001B510C">
            <w:pPr>
              <w:pStyle w:val="CGCTablerow"/>
            </w:pPr>
            <w:r w:rsidRPr="00034E9B">
              <w:t>Other revenue assessed EPC.</w:t>
            </w:r>
          </w:p>
        </w:tc>
      </w:tr>
      <w:tr w:rsidR="001B510C" w:rsidRPr="00034E9B" w14:paraId="264796BA" w14:textId="77777777" w:rsidTr="00C01414">
        <w:tc>
          <w:tcPr>
            <w:tcW w:w="1685" w:type="pct"/>
            <w:shd w:val="clear" w:color="auto" w:fill="B6D5E4"/>
            <w:vAlign w:val="bottom"/>
          </w:tcPr>
          <w:p w14:paraId="4EF97C3B" w14:textId="614BDD22" w:rsidR="001B510C" w:rsidRPr="00034E9B" w:rsidRDefault="001B510C" w:rsidP="001B510C">
            <w:pPr>
              <w:pStyle w:val="CGCTablesubhead1"/>
              <w:rPr>
                <w:lang w:val="en-AU"/>
              </w:rPr>
            </w:pPr>
            <w:r w:rsidRPr="00034E9B">
              <w:rPr>
                <w:lang w:val="en-AU"/>
              </w:rPr>
              <w:t>Schools</w:t>
            </w:r>
          </w:p>
        </w:tc>
        <w:tc>
          <w:tcPr>
            <w:tcW w:w="523" w:type="pct"/>
            <w:shd w:val="clear" w:color="auto" w:fill="B6D5E4"/>
            <w:vAlign w:val="bottom"/>
          </w:tcPr>
          <w:p w14:paraId="541FCC55" w14:textId="77777777" w:rsidR="001B510C" w:rsidRPr="00034E9B" w:rsidRDefault="001B510C" w:rsidP="001B510C">
            <w:pPr>
              <w:pStyle w:val="CGCTablesubhead1"/>
              <w:rPr>
                <w:lang w:val="en-AU"/>
              </w:rPr>
            </w:pPr>
          </w:p>
        </w:tc>
        <w:tc>
          <w:tcPr>
            <w:tcW w:w="482" w:type="pct"/>
            <w:shd w:val="clear" w:color="auto" w:fill="B6D5E4"/>
            <w:vAlign w:val="bottom"/>
          </w:tcPr>
          <w:p w14:paraId="62EEBE1B" w14:textId="77777777" w:rsidR="001B510C" w:rsidRPr="00034E9B" w:rsidRDefault="001B510C" w:rsidP="001B510C">
            <w:pPr>
              <w:pStyle w:val="CGCTablesubhead1"/>
              <w:rPr>
                <w:lang w:val="en-AU"/>
              </w:rPr>
            </w:pPr>
          </w:p>
        </w:tc>
        <w:tc>
          <w:tcPr>
            <w:tcW w:w="2310" w:type="pct"/>
            <w:gridSpan w:val="2"/>
            <w:shd w:val="clear" w:color="auto" w:fill="B6D5E4"/>
            <w:vAlign w:val="bottom"/>
          </w:tcPr>
          <w:p w14:paraId="7BFFFADB" w14:textId="77777777" w:rsidR="001B510C" w:rsidRPr="00034E9B" w:rsidRDefault="001B510C" w:rsidP="001B510C">
            <w:pPr>
              <w:pStyle w:val="CGCTablesubhead1"/>
              <w:rPr>
                <w:lang w:val="en-AU"/>
              </w:rPr>
            </w:pPr>
          </w:p>
        </w:tc>
      </w:tr>
      <w:tr w:rsidR="001B510C" w:rsidRPr="00034E9B" w14:paraId="0C9B222F" w14:textId="77777777" w:rsidTr="00C01414">
        <w:tc>
          <w:tcPr>
            <w:tcW w:w="1685" w:type="pct"/>
          </w:tcPr>
          <w:p w14:paraId="236E1817" w14:textId="11255AD0" w:rsidR="001B510C" w:rsidRPr="00034E9B" w:rsidRDefault="00B06407" w:rsidP="001B510C">
            <w:pPr>
              <w:pStyle w:val="CGCTablerow"/>
            </w:pPr>
            <w:r>
              <w:t>Assess e</w:t>
            </w:r>
            <w:r w:rsidR="001B510C" w:rsidRPr="00066FAD">
              <w:t>arly</w:t>
            </w:r>
            <w:r w:rsidR="001B510C" w:rsidRPr="00034E9B">
              <w:t xml:space="preserve"> childhood education</w:t>
            </w:r>
          </w:p>
        </w:tc>
        <w:tc>
          <w:tcPr>
            <w:tcW w:w="523" w:type="pct"/>
          </w:tcPr>
          <w:p w14:paraId="519EFEE0" w14:textId="148895C1" w:rsidR="001B510C" w:rsidRPr="00034E9B" w:rsidRDefault="001B510C" w:rsidP="001B510C">
            <w:pPr>
              <w:pStyle w:val="CGCTablerow"/>
            </w:pPr>
            <w:r w:rsidRPr="00034E9B">
              <w:t>Vic</w:t>
            </w:r>
          </w:p>
        </w:tc>
        <w:tc>
          <w:tcPr>
            <w:tcW w:w="482" w:type="pct"/>
          </w:tcPr>
          <w:p w14:paraId="5BA4AD04" w14:textId="48C39F63" w:rsidR="001B510C" w:rsidRPr="00034E9B" w:rsidRDefault="001B510C" w:rsidP="001B510C">
            <w:pPr>
              <w:pStyle w:val="CGCTablerow"/>
            </w:pPr>
            <w:r w:rsidRPr="00034E9B">
              <w:t>No</w:t>
            </w:r>
          </w:p>
        </w:tc>
        <w:tc>
          <w:tcPr>
            <w:tcW w:w="2310" w:type="pct"/>
            <w:gridSpan w:val="2"/>
          </w:tcPr>
          <w:p w14:paraId="578E63E5" w14:textId="3FB3548F" w:rsidR="001B510C" w:rsidRPr="00034E9B" w:rsidRDefault="001B510C" w:rsidP="001B510C">
            <w:pPr>
              <w:pStyle w:val="CGCTablerow"/>
            </w:pPr>
            <w:r w:rsidRPr="00034E9B">
              <w:t>Unlikely to be material.</w:t>
            </w:r>
          </w:p>
        </w:tc>
      </w:tr>
      <w:tr w:rsidR="001B510C" w:rsidRPr="00034E9B" w14:paraId="3034DC3A" w14:textId="77777777" w:rsidTr="00C01414">
        <w:tc>
          <w:tcPr>
            <w:tcW w:w="1685" w:type="pct"/>
          </w:tcPr>
          <w:p w14:paraId="367B1E52" w14:textId="223ED2F4" w:rsidR="001B510C" w:rsidRPr="00034E9B" w:rsidRDefault="001B510C" w:rsidP="001B510C">
            <w:pPr>
              <w:pStyle w:val="CGCTablerow"/>
            </w:pPr>
            <w:r w:rsidRPr="00034E9B">
              <w:t>Apply school disabilities to centrally managed costs</w:t>
            </w:r>
          </w:p>
        </w:tc>
        <w:tc>
          <w:tcPr>
            <w:tcW w:w="523" w:type="pct"/>
          </w:tcPr>
          <w:p w14:paraId="2C4700F0" w14:textId="40C78B6A" w:rsidR="001B510C" w:rsidRPr="00034E9B" w:rsidRDefault="001B510C" w:rsidP="001B510C">
            <w:pPr>
              <w:pStyle w:val="CGCTablerow"/>
            </w:pPr>
            <w:r w:rsidRPr="00034E9B">
              <w:t>NSW, NT</w:t>
            </w:r>
          </w:p>
        </w:tc>
        <w:tc>
          <w:tcPr>
            <w:tcW w:w="482" w:type="pct"/>
          </w:tcPr>
          <w:p w14:paraId="3AFBC62A" w14:textId="18763CC5" w:rsidR="001B510C" w:rsidRPr="00034E9B" w:rsidRDefault="001B510C" w:rsidP="001B510C">
            <w:pPr>
              <w:pStyle w:val="CGCTablerow"/>
            </w:pPr>
            <w:r w:rsidRPr="00034E9B">
              <w:t>No</w:t>
            </w:r>
          </w:p>
        </w:tc>
        <w:tc>
          <w:tcPr>
            <w:tcW w:w="2310" w:type="pct"/>
            <w:gridSpan w:val="2"/>
          </w:tcPr>
          <w:p w14:paraId="67EDFDF7" w14:textId="03077122" w:rsidR="001B510C" w:rsidRPr="00034E9B" w:rsidRDefault="001B510C" w:rsidP="001B510C">
            <w:pPr>
              <w:pStyle w:val="CGCTablerow"/>
            </w:pPr>
            <w:r w:rsidRPr="00034E9B">
              <w:t>ACARA data appropriately allocates centrally managed costs across schools.</w:t>
            </w:r>
          </w:p>
        </w:tc>
      </w:tr>
      <w:tr w:rsidR="001B510C" w:rsidRPr="00034E9B" w14:paraId="61455DE9" w14:textId="77777777" w:rsidTr="00C01414">
        <w:tc>
          <w:tcPr>
            <w:tcW w:w="1685" w:type="pct"/>
          </w:tcPr>
          <w:p w14:paraId="76F15B55" w14:textId="458DF1B9" w:rsidR="001B510C" w:rsidRPr="00034E9B" w:rsidRDefault="001B510C" w:rsidP="001B510C">
            <w:pPr>
              <w:pStyle w:val="CGCTablerow"/>
            </w:pPr>
            <w:r w:rsidRPr="00034E9B">
              <w:t>CALD disability</w:t>
            </w:r>
          </w:p>
        </w:tc>
        <w:tc>
          <w:tcPr>
            <w:tcW w:w="523" w:type="pct"/>
          </w:tcPr>
          <w:p w14:paraId="2449C9E9" w14:textId="3242BD75" w:rsidR="001B510C" w:rsidRPr="00034E9B" w:rsidRDefault="001B510C" w:rsidP="001B510C">
            <w:pPr>
              <w:pStyle w:val="CGCTablerow"/>
            </w:pPr>
            <w:r w:rsidRPr="00034E9B">
              <w:t>NSW, Vic</w:t>
            </w:r>
          </w:p>
        </w:tc>
        <w:tc>
          <w:tcPr>
            <w:tcW w:w="482" w:type="pct"/>
          </w:tcPr>
          <w:p w14:paraId="3DD3B734" w14:textId="3728FA6F" w:rsidR="001B510C" w:rsidRPr="00034E9B" w:rsidRDefault="001B510C" w:rsidP="001B510C">
            <w:pPr>
              <w:pStyle w:val="CGCTablerow"/>
            </w:pPr>
            <w:r w:rsidRPr="00034E9B">
              <w:t>No</w:t>
            </w:r>
          </w:p>
        </w:tc>
        <w:tc>
          <w:tcPr>
            <w:tcW w:w="2310" w:type="pct"/>
            <w:gridSpan w:val="2"/>
          </w:tcPr>
          <w:p w14:paraId="7E280B45" w14:textId="69F83E0D" w:rsidR="001B510C" w:rsidRPr="00034E9B" w:rsidRDefault="001B510C" w:rsidP="001B510C">
            <w:pPr>
              <w:pStyle w:val="CGCTablerow"/>
            </w:pPr>
            <w:r w:rsidRPr="00034E9B">
              <w:t>Not material.</w:t>
            </w:r>
          </w:p>
        </w:tc>
      </w:tr>
      <w:tr w:rsidR="001B510C" w:rsidRPr="00034E9B" w14:paraId="5D2CFEDC" w14:textId="77777777" w:rsidTr="00C01414">
        <w:tc>
          <w:tcPr>
            <w:tcW w:w="1685" w:type="pct"/>
          </w:tcPr>
          <w:p w14:paraId="3D30999F" w14:textId="5EC6A0FB" w:rsidR="001B510C" w:rsidRPr="00034E9B" w:rsidRDefault="001B510C" w:rsidP="001B510C">
            <w:pPr>
              <w:pStyle w:val="CGCTablerow"/>
            </w:pPr>
            <w:r w:rsidRPr="00034E9B">
              <w:t xml:space="preserve">Include spending from Commonwealth funding in regression </w:t>
            </w:r>
          </w:p>
        </w:tc>
        <w:tc>
          <w:tcPr>
            <w:tcW w:w="523" w:type="pct"/>
          </w:tcPr>
          <w:p w14:paraId="0C824AC5" w14:textId="6B2E6FAC" w:rsidR="001B510C" w:rsidRPr="00034E9B" w:rsidRDefault="001B510C" w:rsidP="001B510C">
            <w:pPr>
              <w:pStyle w:val="CGCTablerow"/>
            </w:pPr>
            <w:r w:rsidRPr="00034E9B">
              <w:t>WA</w:t>
            </w:r>
          </w:p>
        </w:tc>
        <w:tc>
          <w:tcPr>
            <w:tcW w:w="482" w:type="pct"/>
          </w:tcPr>
          <w:p w14:paraId="7D7B3184" w14:textId="78B615F1" w:rsidR="001B510C" w:rsidRPr="00034E9B" w:rsidRDefault="001B510C" w:rsidP="001B510C">
            <w:pPr>
              <w:pStyle w:val="CGCTablerow"/>
            </w:pPr>
            <w:r w:rsidRPr="00034E9B">
              <w:t>No</w:t>
            </w:r>
          </w:p>
        </w:tc>
        <w:tc>
          <w:tcPr>
            <w:tcW w:w="2310" w:type="pct"/>
            <w:gridSpan w:val="2"/>
          </w:tcPr>
          <w:p w14:paraId="7A279FDE" w14:textId="24E68DF3" w:rsidR="001B510C" w:rsidRPr="00034E9B" w:rsidRDefault="001B510C" w:rsidP="001B510C">
            <w:pPr>
              <w:pStyle w:val="CGCTablerow"/>
            </w:pPr>
            <w:r w:rsidRPr="00034E9B">
              <w:t>Aim of model is to identify cost drivers for State funded spending.</w:t>
            </w:r>
          </w:p>
        </w:tc>
      </w:tr>
      <w:tr w:rsidR="001B510C" w:rsidRPr="00034E9B" w14:paraId="78ADCC6B" w14:textId="77777777" w:rsidTr="00C01414">
        <w:tc>
          <w:tcPr>
            <w:tcW w:w="1685" w:type="pct"/>
          </w:tcPr>
          <w:p w14:paraId="223A1777" w14:textId="38BD3DB7" w:rsidR="001B510C" w:rsidRPr="00034E9B" w:rsidRDefault="001B510C" w:rsidP="001B510C">
            <w:pPr>
              <w:pStyle w:val="CGCTablerow"/>
            </w:pPr>
            <w:r w:rsidRPr="00034E9B">
              <w:t>Include Indigenous cost weight in non</w:t>
            </w:r>
            <w:r w:rsidR="00247610">
              <w:noBreakHyphen/>
            </w:r>
            <w:r w:rsidRPr="00034E9B">
              <w:t>government schools, even though it is negative</w:t>
            </w:r>
          </w:p>
        </w:tc>
        <w:tc>
          <w:tcPr>
            <w:tcW w:w="523" w:type="pct"/>
          </w:tcPr>
          <w:p w14:paraId="29A2E608" w14:textId="74790E8C" w:rsidR="001B510C" w:rsidRPr="00034E9B" w:rsidRDefault="001B510C" w:rsidP="001B510C">
            <w:pPr>
              <w:pStyle w:val="CGCTablerow"/>
            </w:pPr>
            <w:r w:rsidRPr="00034E9B">
              <w:t>WA</w:t>
            </w:r>
          </w:p>
        </w:tc>
        <w:tc>
          <w:tcPr>
            <w:tcW w:w="482" w:type="pct"/>
          </w:tcPr>
          <w:p w14:paraId="695F846A" w14:textId="449B751D" w:rsidR="001B510C" w:rsidRPr="00034E9B" w:rsidRDefault="001B510C" w:rsidP="001B510C">
            <w:pPr>
              <w:pStyle w:val="CGCTablerow"/>
            </w:pPr>
            <w:r w:rsidRPr="00034E9B">
              <w:t>No</w:t>
            </w:r>
          </w:p>
        </w:tc>
        <w:tc>
          <w:tcPr>
            <w:tcW w:w="2310" w:type="pct"/>
            <w:gridSpan w:val="2"/>
          </w:tcPr>
          <w:p w14:paraId="1067C99A" w14:textId="6BC060D9" w:rsidR="001B510C" w:rsidRPr="00034E9B" w:rsidRDefault="001B510C" w:rsidP="001B510C">
            <w:pPr>
              <w:pStyle w:val="CGCTablerow"/>
            </w:pPr>
            <w:r w:rsidRPr="00034E9B">
              <w:t>Cost weight as measured not supported by conceptual case and appears unreliable.</w:t>
            </w:r>
          </w:p>
        </w:tc>
      </w:tr>
      <w:tr w:rsidR="001B510C" w:rsidRPr="00034E9B" w14:paraId="1C622566" w14:textId="77777777" w:rsidTr="00C01414">
        <w:tc>
          <w:tcPr>
            <w:tcW w:w="1685" w:type="pct"/>
          </w:tcPr>
          <w:p w14:paraId="3E881CE8" w14:textId="79C2E429" w:rsidR="001B510C" w:rsidRPr="00034E9B" w:rsidRDefault="001B510C" w:rsidP="001B510C">
            <w:pPr>
              <w:pStyle w:val="CGCTablerow"/>
            </w:pPr>
            <w:r w:rsidRPr="00034E9B">
              <w:t>Use quadratic equation to measure effect of school size on spending on schools</w:t>
            </w:r>
          </w:p>
        </w:tc>
        <w:tc>
          <w:tcPr>
            <w:tcW w:w="523" w:type="pct"/>
          </w:tcPr>
          <w:p w14:paraId="06C9C9D3" w14:textId="5D63CDDD" w:rsidR="001B510C" w:rsidRPr="00034E9B" w:rsidRDefault="001B510C" w:rsidP="001B510C">
            <w:pPr>
              <w:pStyle w:val="CGCTablerow"/>
            </w:pPr>
            <w:r w:rsidRPr="00034E9B">
              <w:t>Vic</w:t>
            </w:r>
          </w:p>
        </w:tc>
        <w:tc>
          <w:tcPr>
            <w:tcW w:w="482" w:type="pct"/>
          </w:tcPr>
          <w:p w14:paraId="06505974" w14:textId="456BA637" w:rsidR="001B510C" w:rsidRPr="00034E9B" w:rsidRDefault="001B510C" w:rsidP="001B510C">
            <w:pPr>
              <w:pStyle w:val="CGCTablerow"/>
            </w:pPr>
            <w:r w:rsidRPr="00034E9B">
              <w:t>No</w:t>
            </w:r>
          </w:p>
        </w:tc>
        <w:tc>
          <w:tcPr>
            <w:tcW w:w="2310" w:type="pct"/>
            <w:gridSpan w:val="2"/>
          </w:tcPr>
          <w:p w14:paraId="53847AA6" w14:textId="686CD9CB" w:rsidR="001B510C" w:rsidRPr="00034E9B" w:rsidRDefault="001B510C" w:rsidP="001B510C">
            <w:pPr>
              <w:pStyle w:val="CGCTablerow"/>
            </w:pPr>
            <w:r w:rsidRPr="00034E9B">
              <w:t>This approach would add complexity, introduce policy neutrality concerns and would prevent a reliable measure of other disabilities.</w:t>
            </w:r>
          </w:p>
        </w:tc>
      </w:tr>
      <w:tr w:rsidR="001B510C" w:rsidRPr="00034E9B" w14:paraId="76602661" w14:textId="77777777" w:rsidTr="00C01414">
        <w:tc>
          <w:tcPr>
            <w:tcW w:w="1685" w:type="pct"/>
          </w:tcPr>
          <w:p w14:paraId="7C416D87" w14:textId="2CA41A87" w:rsidR="001B510C" w:rsidRPr="00034E9B" w:rsidRDefault="001B510C" w:rsidP="001B510C">
            <w:pPr>
              <w:pStyle w:val="CGCTablerow"/>
            </w:pPr>
            <w:r w:rsidRPr="00034E9B">
              <w:t xml:space="preserve">Measure spending on 2nd quartile SES students </w:t>
            </w:r>
          </w:p>
        </w:tc>
        <w:tc>
          <w:tcPr>
            <w:tcW w:w="523" w:type="pct"/>
          </w:tcPr>
          <w:p w14:paraId="7513CC13" w14:textId="7818CA93" w:rsidR="001B510C" w:rsidRPr="00034E9B" w:rsidRDefault="001B510C" w:rsidP="001B510C">
            <w:pPr>
              <w:pStyle w:val="CGCTablerow"/>
            </w:pPr>
            <w:r w:rsidRPr="00034E9B">
              <w:t>SA</w:t>
            </w:r>
          </w:p>
        </w:tc>
        <w:tc>
          <w:tcPr>
            <w:tcW w:w="482" w:type="pct"/>
          </w:tcPr>
          <w:p w14:paraId="1388F4CF" w14:textId="76556A16" w:rsidR="001B510C" w:rsidRPr="00034E9B" w:rsidRDefault="001B510C" w:rsidP="001B510C">
            <w:pPr>
              <w:pStyle w:val="CGCTablerow"/>
            </w:pPr>
            <w:r w:rsidRPr="00034E9B">
              <w:t>No</w:t>
            </w:r>
          </w:p>
        </w:tc>
        <w:tc>
          <w:tcPr>
            <w:tcW w:w="2310" w:type="pct"/>
            <w:gridSpan w:val="2"/>
          </w:tcPr>
          <w:p w14:paraId="08245F14" w14:textId="6A15C06C" w:rsidR="001B510C" w:rsidRPr="00034E9B" w:rsidRDefault="001B510C" w:rsidP="001B510C">
            <w:pPr>
              <w:pStyle w:val="CGCTablerow"/>
            </w:pPr>
            <w:r w:rsidRPr="00034E9B">
              <w:t>Cost weight as measured not supported by conceptual case and appears unreliable.</w:t>
            </w:r>
          </w:p>
        </w:tc>
      </w:tr>
      <w:tr w:rsidR="001B510C" w:rsidRPr="00034E9B" w14:paraId="6A71FA49" w14:textId="77777777" w:rsidTr="00C01414">
        <w:tc>
          <w:tcPr>
            <w:tcW w:w="1685" w:type="pct"/>
          </w:tcPr>
          <w:p w14:paraId="61AD4635" w14:textId="61FB9F13" w:rsidR="001B510C" w:rsidRPr="00034E9B" w:rsidRDefault="001B510C" w:rsidP="001B510C">
            <w:pPr>
              <w:pStyle w:val="CGCTablerow"/>
            </w:pPr>
            <w:r w:rsidRPr="00034E9B">
              <w:t>Students with disabilities</w:t>
            </w:r>
          </w:p>
        </w:tc>
        <w:tc>
          <w:tcPr>
            <w:tcW w:w="523" w:type="pct"/>
          </w:tcPr>
          <w:p w14:paraId="4F6B398B" w14:textId="6612A321" w:rsidR="001B510C" w:rsidRPr="00034E9B" w:rsidRDefault="001B510C" w:rsidP="001B510C">
            <w:pPr>
              <w:pStyle w:val="CGCTablerow"/>
            </w:pPr>
            <w:r w:rsidRPr="00034E9B">
              <w:t>NSW, Q</w:t>
            </w:r>
            <w:r w:rsidR="00247610">
              <w:t>ld</w:t>
            </w:r>
            <w:r w:rsidRPr="00034E9B">
              <w:t>, NT</w:t>
            </w:r>
          </w:p>
        </w:tc>
        <w:tc>
          <w:tcPr>
            <w:tcW w:w="482" w:type="pct"/>
          </w:tcPr>
          <w:p w14:paraId="5F8B5E9D" w14:textId="1DBD1183" w:rsidR="001B510C" w:rsidRPr="00034E9B" w:rsidRDefault="001B510C" w:rsidP="001B510C">
            <w:pPr>
              <w:pStyle w:val="CGCTablerow"/>
            </w:pPr>
            <w:r w:rsidRPr="00034E9B">
              <w:t>No</w:t>
            </w:r>
          </w:p>
        </w:tc>
        <w:tc>
          <w:tcPr>
            <w:tcW w:w="2310" w:type="pct"/>
            <w:gridSpan w:val="2"/>
          </w:tcPr>
          <w:p w14:paraId="00B99411" w14:textId="6342D720" w:rsidR="001B510C" w:rsidRPr="00034E9B" w:rsidRDefault="001B510C" w:rsidP="001B510C">
            <w:pPr>
              <w:pStyle w:val="CGCTablerow"/>
            </w:pPr>
            <w:r w:rsidRPr="00034E9B">
              <w:t>Unable to find reliable data to support this disability.</w:t>
            </w:r>
          </w:p>
        </w:tc>
      </w:tr>
      <w:tr w:rsidR="001B510C" w:rsidRPr="00034E9B" w14:paraId="24C73E55" w14:textId="77777777" w:rsidTr="00C01414">
        <w:tc>
          <w:tcPr>
            <w:tcW w:w="1685" w:type="pct"/>
          </w:tcPr>
          <w:p w14:paraId="319B9F82" w14:textId="44E7311A" w:rsidR="001B510C" w:rsidRPr="00034E9B" w:rsidRDefault="001B510C" w:rsidP="001B510C">
            <w:pPr>
              <w:pStyle w:val="CGCTablerow"/>
            </w:pPr>
            <w:r w:rsidRPr="00034E9B">
              <w:t>Recognise higher concentrations of low SES students</w:t>
            </w:r>
          </w:p>
        </w:tc>
        <w:tc>
          <w:tcPr>
            <w:tcW w:w="523" w:type="pct"/>
          </w:tcPr>
          <w:p w14:paraId="3A430D20" w14:textId="45F44A46" w:rsidR="001B510C" w:rsidRPr="00034E9B" w:rsidRDefault="001B510C" w:rsidP="001B510C">
            <w:pPr>
              <w:pStyle w:val="CGCTablerow"/>
            </w:pPr>
            <w:r w:rsidRPr="00034E9B">
              <w:t>Tas</w:t>
            </w:r>
          </w:p>
        </w:tc>
        <w:tc>
          <w:tcPr>
            <w:tcW w:w="482" w:type="pct"/>
          </w:tcPr>
          <w:p w14:paraId="395B68BB" w14:textId="697B4040" w:rsidR="001B510C" w:rsidRPr="00034E9B" w:rsidRDefault="001B510C" w:rsidP="001B510C">
            <w:pPr>
              <w:pStyle w:val="CGCTablerow"/>
            </w:pPr>
            <w:r w:rsidRPr="00034E9B">
              <w:t>No</w:t>
            </w:r>
          </w:p>
        </w:tc>
        <w:tc>
          <w:tcPr>
            <w:tcW w:w="2310" w:type="pct"/>
            <w:gridSpan w:val="2"/>
          </w:tcPr>
          <w:p w14:paraId="02CD9B30" w14:textId="59DCB02D" w:rsidR="001B510C" w:rsidRPr="00034E9B" w:rsidRDefault="001B510C" w:rsidP="001B510C">
            <w:pPr>
              <w:pStyle w:val="CGCTablerow"/>
            </w:pPr>
            <w:r w:rsidRPr="00034E9B">
              <w:t>This cannot be done reliably, and any adjustment is unlikely to be material.</w:t>
            </w:r>
          </w:p>
        </w:tc>
      </w:tr>
      <w:tr w:rsidR="001B510C" w:rsidRPr="00034E9B" w14:paraId="2B031EA0" w14:textId="77777777" w:rsidTr="00C01414">
        <w:tc>
          <w:tcPr>
            <w:tcW w:w="1685" w:type="pct"/>
            <w:shd w:val="clear" w:color="auto" w:fill="B6D5E4"/>
            <w:vAlign w:val="bottom"/>
          </w:tcPr>
          <w:p w14:paraId="0AAEF7B6" w14:textId="2A033C8E" w:rsidR="001B510C" w:rsidRPr="00034E9B" w:rsidRDefault="001B510C" w:rsidP="001B510C">
            <w:pPr>
              <w:pStyle w:val="CGCTablesubhead1"/>
              <w:rPr>
                <w:lang w:val="en-AU"/>
              </w:rPr>
            </w:pPr>
            <w:r w:rsidRPr="00034E9B">
              <w:rPr>
                <w:lang w:val="en-AU"/>
              </w:rPr>
              <w:t>Post-secondary education</w:t>
            </w:r>
          </w:p>
        </w:tc>
        <w:tc>
          <w:tcPr>
            <w:tcW w:w="523" w:type="pct"/>
            <w:shd w:val="clear" w:color="auto" w:fill="B6D5E4"/>
            <w:vAlign w:val="bottom"/>
          </w:tcPr>
          <w:p w14:paraId="7561A767" w14:textId="77777777" w:rsidR="001B510C" w:rsidRPr="00034E9B" w:rsidRDefault="001B510C" w:rsidP="001B510C">
            <w:pPr>
              <w:pStyle w:val="CGCTablesubhead1"/>
              <w:rPr>
                <w:lang w:val="en-AU"/>
              </w:rPr>
            </w:pPr>
          </w:p>
        </w:tc>
        <w:tc>
          <w:tcPr>
            <w:tcW w:w="482" w:type="pct"/>
            <w:shd w:val="clear" w:color="auto" w:fill="B6D5E4"/>
            <w:vAlign w:val="bottom"/>
          </w:tcPr>
          <w:p w14:paraId="3E6013A7" w14:textId="77777777" w:rsidR="001B510C" w:rsidRPr="00034E9B" w:rsidRDefault="001B510C" w:rsidP="001B510C">
            <w:pPr>
              <w:pStyle w:val="CGCTablesubhead1"/>
              <w:rPr>
                <w:lang w:val="en-AU"/>
              </w:rPr>
            </w:pPr>
          </w:p>
        </w:tc>
        <w:tc>
          <w:tcPr>
            <w:tcW w:w="2310" w:type="pct"/>
            <w:gridSpan w:val="2"/>
            <w:shd w:val="clear" w:color="auto" w:fill="B6D5E4"/>
            <w:vAlign w:val="bottom"/>
          </w:tcPr>
          <w:p w14:paraId="06DEC39D" w14:textId="77777777" w:rsidR="001B510C" w:rsidRPr="00034E9B" w:rsidRDefault="001B510C" w:rsidP="001B510C">
            <w:pPr>
              <w:pStyle w:val="CGCTablesubhead1"/>
              <w:rPr>
                <w:lang w:val="en-AU"/>
              </w:rPr>
            </w:pPr>
          </w:p>
        </w:tc>
      </w:tr>
      <w:tr w:rsidR="001B510C" w:rsidRPr="00034E9B" w14:paraId="18011BE9" w14:textId="77777777" w:rsidTr="00C01414">
        <w:tc>
          <w:tcPr>
            <w:tcW w:w="1685" w:type="pct"/>
          </w:tcPr>
          <w:p w14:paraId="31BAA9A1" w14:textId="67BA9C36" w:rsidR="001B510C" w:rsidRPr="00034E9B" w:rsidRDefault="00024E5D" w:rsidP="001B510C">
            <w:pPr>
              <w:pStyle w:val="CGCTablerow"/>
            </w:pPr>
            <w:r>
              <w:t>Assess a</w:t>
            </w:r>
            <w:r w:rsidR="00865D29">
              <w:t xml:space="preserve"> c</w:t>
            </w:r>
            <w:r w:rsidR="001B510C" w:rsidRPr="00066FAD">
              <w:t>ourse mix</w:t>
            </w:r>
            <w:r>
              <w:t xml:space="preserve"> disability</w:t>
            </w:r>
          </w:p>
        </w:tc>
        <w:tc>
          <w:tcPr>
            <w:tcW w:w="523" w:type="pct"/>
          </w:tcPr>
          <w:p w14:paraId="610A6698" w14:textId="06AF5C33" w:rsidR="001B510C" w:rsidRPr="00034E9B" w:rsidRDefault="001B510C" w:rsidP="001B510C">
            <w:pPr>
              <w:pStyle w:val="CGCTablerow"/>
            </w:pPr>
            <w:r w:rsidRPr="00034E9B">
              <w:t>SA, Vic</w:t>
            </w:r>
          </w:p>
        </w:tc>
        <w:tc>
          <w:tcPr>
            <w:tcW w:w="482" w:type="pct"/>
          </w:tcPr>
          <w:p w14:paraId="670EBEA4" w14:textId="4FBD7BD0" w:rsidR="001B510C" w:rsidRPr="00034E9B" w:rsidRDefault="001B510C" w:rsidP="001B510C">
            <w:pPr>
              <w:pStyle w:val="CGCTablerow"/>
            </w:pPr>
            <w:r w:rsidRPr="00034E9B">
              <w:t>No</w:t>
            </w:r>
          </w:p>
        </w:tc>
        <w:tc>
          <w:tcPr>
            <w:tcW w:w="2310" w:type="pct"/>
            <w:gridSpan w:val="2"/>
          </w:tcPr>
          <w:p w14:paraId="3BB48939" w14:textId="47F69EE2" w:rsidR="001B510C" w:rsidRPr="00034E9B" w:rsidRDefault="001B510C" w:rsidP="001B510C">
            <w:pPr>
              <w:pStyle w:val="CGCTablerow"/>
            </w:pPr>
            <w:r w:rsidRPr="00034E9B">
              <w:t>Unlikely to be material, and concerns over policy neutrality.</w:t>
            </w:r>
          </w:p>
        </w:tc>
      </w:tr>
      <w:tr w:rsidR="001B510C" w:rsidRPr="00034E9B" w14:paraId="2FAD1489" w14:textId="77777777" w:rsidTr="00C01414">
        <w:tc>
          <w:tcPr>
            <w:tcW w:w="1685" w:type="pct"/>
          </w:tcPr>
          <w:p w14:paraId="7D988911" w14:textId="28D89CEA" w:rsidR="001B510C" w:rsidRPr="00034E9B" w:rsidRDefault="00865D29" w:rsidP="001B510C">
            <w:pPr>
              <w:pStyle w:val="CGCTablerow"/>
            </w:pPr>
            <w:r>
              <w:t>Recognise q</w:t>
            </w:r>
            <w:r w:rsidR="001B510C" w:rsidRPr="00066FAD">
              <w:t>ualification level</w:t>
            </w:r>
            <w:r w:rsidR="00D16C7B">
              <w:t xml:space="preserve"> costs</w:t>
            </w:r>
          </w:p>
        </w:tc>
        <w:tc>
          <w:tcPr>
            <w:tcW w:w="523" w:type="pct"/>
          </w:tcPr>
          <w:p w14:paraId="5FCF3FB2" w14:textId="63B427DE" w:rsidR="001B510C" w:rsidRPr="00034E9B" w:rsidRDefault="001B510C" w:rsidP="001B510C">
            <w:pPr>
              <w:pStyle w:val="CGCTablerow"/>
            </w:pPr>
            <w:r w:rsidRPr="00034E9B">
              <w:t>5 States</w:t>
            </w:r>
          </w:p>
        </w:tc>
        <w:tc>
          <w:tcPr>
            <w:tcW w:w="482" w:type="pct"/>
          </w:tcPr>
          <w:p w14:paraId="2CCB6682" w14:textId="389A2F2A" w:rsidR="001B510C" w:rsidRPr="00034E9B" w:rsidRDefault="001B510C" w:rsidP="001B510C">
            <w:pPr>
              <w:pStyle w:val="CGCTablerow"/>
            </w:pPr>
            <w:r w:rsidRPr="00034E9B">
              <w:t>No</w:t>
            </w:r>
          </w:p>
        </w:tc>
        <w:tc>
          <w:tcPr>
            <w:tcW w:w="2310" w:type="pct"/>
            <w:gridSpan w:val="2"/>
          </w:tcPr>
          <w:p w14:paraId="122850B6" w14:textId="1F2DE9CA" w:rsidR="001B510C" w:rsidRPr="00034E9B" w:rsidRDefault="001B510C" w:rsidP="001B510C">
            <w:pPr>
              <w:pStyle w:val="CGCTablerow"/>
            </w:pPr>
            <w:r w:rsidRPr="00034E9B">
              <w:t>Unlikely to be material, and unable to find reliable data to support this disability.</w:t>
            </w:r>
          </w:p>
        </w:tc>
      </w:tr>
      <w:tr w:rsidR="001B510C" w:rsidRPr="00034E9B" w14:paraId="7B3B9F0F" w14:textId="77777777" w:rsidTr="00C01414">
        <w:tc>
          <w:tcPr>
            <w:tcW w:w="1685" w:type="pct"/>
          </w:tcPr>
          <w:p w14:paraId="1DF98B03" w14:textId="201EF01B" w:rsidR="001B510C" w:rsidRPr="00034E9B" w:rsidRDefault="00865D29" w:rsidP="001B510C">
            <w:pPr>
              <w:pStyle w:val="CGCTablerow"/>
            </w:pPr>
            <w:r>
              <w:t xml:space="preserve">Recognise </w:t>
            </w:r>
            <w:r w:rsidR="00D97EB8">
              <w:t>differenti</w:t>
            </w:r>
            <w:r w:rsidR="005278E8">
              <w:t xml:space="preserve">al </w:t>
            </w:r>
            <w:r>
              <w:t>p</w:t>
            </w:r>
            <w:r w:rsidR="001B510C" w:rsidRPr="00066FAD">
              <w:t>ublic</w:t>
            </w:r>
            <w:r w:rsidR="001B510C" w:rsidRPr="00034E9B">
              <w:t>/private provision</w:t>
            </w:r>
          </w:p>
        </w:tc>
        <w:tc>
          <w:tcPr>
            <w:tcW w:w="523" w:type="pct"/>
          </w:tcPr>
          <w:p w14:paraId="0956B142" w14:textId="025E28E7" w:rsidR="001B510C" w:rsidRPr="00034E9B" w:rsidRDefault="001B510C" w:rsidP="001B510C">
            <w:pPr>
              <w:pStyle w:val="CGCTablerow"/>
            </w:pPr>
            <w:r w:rsidRPr="00034E9B">
              <w:t>Vic</w:t>
            </w:r>
          </w:p>
        </w:tc>
        <w:tc>
          <w:tcPr>
            <w:tcW w:w="482" w:type="pct"/>
          </w:tcPr>
          <w:p w14:paraId="5DDAE92C" w14:textId="37971713" w:rsidR="001B510C" w:rsidRPr="00034E9B" w:rsidRDefault="001B510C" w:rsidP="001B510C">
            <w:pPr>
              <w:pStyle w:val="CGCTablerow"/>
            </w:pPr>
            <w:r w:rsidRPr="00034E9B">
              <w:t>No</w:t>
            </w:r>
          </w:p>
        </w:tc>
        <w:tc>
          <w:tcPr>
            <w:tcW w:w="2310" w:type="pct"/>
            <w:gridSpan w:val="2"/>
          </w:tcPr>
          <w:p w14:paraId="32301FAB" w14:textId="1EC28540" w:rsidR="001B510C" w:rsidRPr="00034E9B" w:rsidRDefault="001B510C" w:rsidP="001B510C">
            <w:pPr>
              <w:pStyle w:val="CGCTablerow"/>
            </w:pPr>
            <w:r w:rsidRPr="00034E9B">
              <w:t>Unlikely to be material, and concerns over policy neutrality.</w:t>
            </w:r>
          </w:p>
        </w:tc>
      </w:tr>
    </w:tbl>
    <w:p w14:paraId="39520EA4" w14:textId="73237942" w:rsidR="00593181" w:rsidRPr="00034E9B" w:rsidRDefault="00593181" w:rsidP="00593181">
      <w:pPr>
        <w:pStyle w:val="CGCTablenote"/>
      </w:pPr>
      <w:r w:rsidRPr="00034E9B">
        <w:t>Note:</w:t>
      </w:r>
      <w:r w:rsidRPr="00034E9B">
        <w:tab/>
        <w:t xml:space="preserve">Acronyms used in this table are spelt out in the </w:t>
      </w:r>
      <w:r w:rsidR="00F14C80">
        <w:t>list of acronyms at the beginning of this volume</w:t>
      </w:r>
      <w:r w:rsidRPr="00034E9B">
        <w:t>.</w:t>
      </w:r>
    </w:p>
    <w:p w14:paraId="1C087DBA" w14:textId="77777777" w:rsidR="00593181" w:rsidRPr="00034E9B" w:rsidRDefault="00593181" w:rsidP="00593181">
      <w:pPr>
        <w:pStyle w:val="CGCTablenote"/>
      </w:pPr>
      <w:r w:rsidRPr="00034E9B">
        <w:t>Source:</w:t>
      </w:r>
      <w:r w:rsidRPr="00034E9B">
        <w:tab/>
        <w:t>Commission decisions.</w:t>
      </w:r>
    </w:p>
    <w:p w14:paraId="2785FE1E" w14:textId="77777777" w:rsidR="00593181" w:rsidRPr="00034E9B" w:rsidRDefault="00593181" w:rsidP="00593181">
      <w:pPr>
        <w:pStyle w:val="Caption"/>
      </w:pPr>
      <w:r w:rsidRPr="00034E9B">
        <w:lastRenderedPageBreak/>
        <w:t>Table 1</w:t>
      </w:r>
      <w:r w:rsidRPr="00034E9B">
        <w:noBreakHyphen/>
        <w:t>5</w:t>
      </w:r>
      <w:r w:rsidRPr="00034E9B">
        <w:tab/>
        <w:t>Commission responses to State proposals, 2020 Review (continued)</w:t>
      </w:r>
    </w:p>
    <w:tbl>
      <w:tblPr>
        <w:tblW w:w="5068" w:type="pct"/>
        <w:tblBorders>
          <w:top w:val="single" w:sz="4" w:space="0" w:color="ADD6EA"/>
          <w:bottom w:val="single" w:sz="4" w:space="0" w:color="ADD6EA"/>
          <w:insideH w:val="single" w:sz="4" w:space="0" w:color="ADD6EA"/>
        </w:tblBorders>
        <w:tblCellMar>
          <w:left w:w="28" w:type="dxa"/>
          <w:right w:w="85" w:type="dxa"/>
        </w:tblCellMar>
        <w:tblLook w:val="0000" w:firstRow="0" w:lastRow="0" w:firstColumn="0" w:lastColumn="0" w:noHBand="0" w:noVBand="0"/>
      </w:tblPr>
      <w:tblGrid>
        <w:gridCol w:w="3096"/>
        <w:gridCol w:w="961"/>
        <w:gridCol w:w="886"/>
        <w:gridCol w:w="4244"/>
      </w:tblGrid>
      <w:tr w:rsidR="00594894" w:rsidRPr="00034E9B" w14:paraId="59EFCCA5" w14:textId="77777777" w:rsidTr="00C01414">
        <w:trPr>
          <w:trHeight w:val="340"/>
        </w:trPr>
        <w:tc>
          <w:tcPr>
            <w:tcW w:w="1685" w:type="pct"/>
            <w:shd w:val="clear" w:color="auto" w:fill="006991"/>
            <w:vAlign w:val="center"/>
          </w:tcPr>
          <w:p w14:paraId="5A72888F" w14:textId="023A0D2D" w:rsidR="00594894" w:rsidRPr="00034E9B" w:rsidRDefault="00594894" w:rsidP="00D62399">
            <w:pPr>
              <w:pStyle w:val="CGCTableheader"/>
              <w:rPr>
                <w:lang w:val="en-AU"/>
              </w:rPr>
            </w:pPr>
            <w:r w:rsidRPr="00034E9B">
              <w:rPr>
                <w:lang w:val="en-AU"/>
              </w:rPr>
              <w:t>Proposal</w:t>
            </w:r>
          </w:p>
        </w:tc>
        <w:tc>
          <w:tcPr>
            <w:tcW w:w="523" w:type="pct"/>
            <w:shd w:val="clear" w:color="auto" w:fill="006991"/>
            <w:vAlign w:val="center"/>
          </w:tcPr>
          <w:p w14:paraId="76EDB09C" w14:textId="22609021" w:rsidR="00594894" w:rsidRPr="00034E9B" w:rsidRDefault="00594894" w:rsidP="00D62399">
            <w:pPr>
              <w:pStyle w:val="CGCTableheader"/>
              <w:rPr>
                <w:lang w:val="en-AU"/>
              </w:rPr>
            </w:pPr>
            <w:r w:rsidRPr="00034E9B">
              <w:rPr>
                <w:lang w:val="en-AU"/>
              </w:rPr>
              <w:t>State</w:t>
            </w:r>
          </w:p>
        </w:tc>
        <w:tc>
          <w:tcPr>
            <w:tcW w:w="482" w:type="pct"/>
            <w:shd w:val="clear" w:color="auto" w:fill="006991"/>
            <w:vAlign w:val="center"/>
          </w:tcPr>
          <w:p w14:paraId="179D48A3" w14:textId="4B87597E" w:rsidR="00594894" w:rsidRPr="00034E9B" w:rsidRDefault="00594894" w:rsidP="00D62399">
            <w:pPr>
              <w:pStyle w:val="CGCTableheader"/>
              <w:rPr>
                <w:lang w:val="en-AU"/>
              </w:rPr>
            </w:pPr>
            <w:r w:rsidRPr="00034E9B">
              <w:rPr>
                <w:lang w:val="en-AU"/>
              </w:rPr>
              <w:t>Adopted</w:t>
            </w:r>
          </w:p>
        </w:tc>
        <w:tc>
          <w:tcPr>
            <w:tcW w:w="2310" w:type="pct"/>
            <w:shd w:val="clear" w:color="auto" w:fill="006991"/>
            <w:vAlign w:val="center"/>
          </w:tcPr>
          <w:p w14:paraId="07F8415A" w14:textId="4A4AC105" w:rsidR="00594894" w:rsidRPr="00034E9B" w:rsidRDefault="00594894" w:rsidP="00D62399">
            <w:pPr>
              <w:pStyle w:val="CGCTableheader"/>
              <w:rPr>
                <w:lang w:val="en-AU"/>
              </w:rPr>
            </w:pPr>
            <w:r w:rsidRPr="00034E9B">
              <w:rPr>
                <w:lang w:val="en-AU"/>
              </w:rPr>
              <w:t>Explanation</w:t>
            </w:r>
          </w:p>
        </w:tc>
      </w:tr>
      <w:tr w:rsidR="00594894" w:rsidRPr="00034E9B" w14:paraId="60256264" w14:textId="77777777" w:rsidTr="00C01414">
        <w:tc>
          <w:tcPr>
            <w:tcW w:w="1685" w:type="pct"/>
            <w:shd w:val="clear" w:color="auto" w:fill="B6D5E4"/>
            <w:vAlign w:val="bottom"/>
          </w:tcPr>
          <w:p w14:paraId="5F8AC38F" w14:textId="7909508B" w:rsidR="00594894" w:rsidRPr="00034E9B" w:rsidRDefault="00594894" w:rsidP="00594894">
            <w:pPr>
              <w:pStyle w:val="CGCTablesubhead1"/>
              <w:rPr>
                <w:lang w:val="en-AU"/>
              </w:rPr>
            </w:pPr>
            <w:r w:rsidRPr="00034E9B">
              <w:rPr>
                <w:lang w:val="en-AU"/>
              </w:rPr>
              <w:t>Health</w:t>
            </w:r>
          </w:p>
        </w:tc>
        <w:tc>
          <w:tcPr>
            <w:tcW w:w="523" w:type="pct"/>
            <w:shd w:val="clear" w:color="auto" w:fill="B6D5E4"/>
            <w:vAlign w:val="bottom"/>
          </w:tcPr>
          <w:p w14:paraId="697D3B2F" w14:textId="77777777" w:rsidR="00594894" w:rsidRPr="00034E9B" w:rsidRDefault="00594894" w:rsidP="00594894">
            <w:pPr>
              <w:pStyle w:val="CGCTablesubhead1"/>
              <w:rPr>
                <w:lang w:val="en-AU"/>
              </w:rPr>
            </w:pPr>
          </w:p>
        </w:tc>
        <w:tc>
          <w:tcPr>
            <w:tcW w:w="482" w:type="pct"/>
            <w:shd w:val="clear" w:color="auto" w:fill="B6D5E4"/>
            <w:vAlign w:val="bottom"/>
          </w:tcPr>
          <w:p w14:paraId="04546C0B" w14:textId="77777777" w:rsidR="00594894" w:rsidRPr="00034E9B" w:rsidRDefault="00594894" w:rsidP="00594894">
            <w:pPr>
              <w:pStyle w:val="CGCTablesubhead1"/>
              <w:rPr>
                <w:lang w:val="en-AU"/>
              </w:rPr>
            </w:pPr>
          </w:p>
        </w:tc>
        <w:tc>
          <w:tcPr>
            <w:tcW w:w="2310" w:type="pct"/>
            <w:shd w:val="clear" w:color="auto" w:fill="B6D5E4"/>
            <w:vAlign w:val="bottom"/>
          </w:tcPr>
          <w:p w14:paraId="35C1A00A" w14:textId="77777777" w:rsidR="00594894" w:rsidRPr="00034E9B" w:rsidRDefault="00594894" w:rsidP="00594894">
            <w:pPr>
              <w:pStyle w:val="CGCTablesubhead1"/>
              <w:rPr>
                <w:i/>
                <w:lang w:val="en-AU"/>
              </w:rPr>
            </w:pPr>
          </w:p>
        </w:tc>
      </w:tr>
      <w:tr w:rsidR="00594894" w:rsidRPr="00034E9B" w14:paraId="1377C6D8" w14:textId="77777777" w:rsidTr="00C01414">
        <w:tc>
          <w:tcPr>
            <w:tcW w:w="1685" w:type="pct"/>
          </w:tcPr>
          <w:p w14:paraId="153C9077" w14:textId="13A88005" w:rsidR="00594894" w:rsidRPr="00034E9B" w:rsidRDefault="00594894" w:rsidP="00594894">
            <w:pPr>
              <w:pStyle w:val="CGCTablerow"/>
              <w:rPr>
                <w:i/>
              </w:rPr>
            </w:pPr>
            <w:r w:rsidRPr="00034E9B">
              <w:t>Revert to the subtraction approach</w:t>
            </w:r>
          </w:p>
        </w:tc>
        <w:tc>
          <w:tcPr>
            <w:tcW w:w="523" w:type="pct"/>
          </w:tcPr>
          <w:p w14:paraId="4F7EDB8E" w14:textId="44ED4981" w:rsidR="00594894" w:rsidRPr="00034E9B" w:rsidRDefault="00594894" w:rsidP="00594894">
            <w:pPr>
              <w:pStyle w:val="CGCTablerow"/>
              <w:rPr>
                <w:i/>
              </w:rPr>
            </w:pPr>
            <w:r w:rsidRPr="00034E9B">
              <w:t>WA</w:t>
            </w:r>
          </w:p>
        </w:tc>
        <w:tc>
          <w:tcPr>
            <w:tcW w:w="482" w:type="pct"/>
          </w:tcPr>
          <w:p w14:paraId="50B9A483" w14:textId="7F02A787" w:rsidR="00594894" w:rsidRPr="00034E9B" w:rsidRDefault="00594894" w:rsidP="00594894">
            <w:pPr>
              <w:pStyle w:val="CGCTablerow"/>
              <w:rPr>
                <w:i/>
              </w:rPr>
            </w:pPr>
            <w:r w:rsidRPr="00034E9B">
              <w:t>No</w:t>
            </w:r>
          </w:p>
        </w:tc>
        <w:tc>
          <w:tcPr>
            <w:tcW w:w="2310" w:type="pct"/>
          </w:tcPr>
          <w:p w14:paraId="7CE90BD4" w14:textId="2B425C88" w:rsidR="00594894" w:rsidRPr="00034E9B" w:rsidRDefault="00594894" w:rsidP="00594894">
            <w:pPr>
              <w:pStyle w:val="CGCTablerow"/>
              <w:rPr>
                <w:i/>
              </w:rPr>
            </w:pPr>
            <w:r w:rsidRPr="00034E9B">
              <w:t>Not consistent with what States do or the scope of fiscal equalisation.</w:t>
            </w:r>
          </w:p>
        </w:tc>
      </w:tr>
      <w:tr w:rsidR="00594894" w:rsidRPr="00034E9B" w14:paraId="3D2F653E" w14:textId="77777777" w:rsidTr="00C01414">
        <w:tc>
          <w:tcPr>
            <w:tcW w:w="1685" w:type="pct"/>
          </w:tcPr>
          <w:p w14:paraId="751405A3" w14:textId="7E3E8A10" w:rsidR="00594894" w:rsidRPr="00034E9B" w:rsidRDefault="00594894" w:rsidP="00594894">
            <w:pPr>
              <w:pStyle w:val="CGCTablerow"/>
            </w:pPr>
            <w:r w:rsidRPr="00034E9B">
              <w:rPr>
                <w:szCs w:val="24"/>
              </w:rPr>
              <w:t>Consider subtraction approach for the community health assessment</w:t>
            </w:r>
          </w:p>
        </w:tc>
        <w:tc>
          <w:tcPr>
            <w:tcW w:w="523" w:type="pct"/>
          </w:tcPr>
          <w:p w14:paraId="1C292EC2" w14:textId="7A472D4D" w:rsidR="00594894" w:rsidRPr="00034E9B" w:rsidRDefault="00594894" w:rsidP="00594894">
            <w:pPr>
              <w:pStyle w:val="CGCTablerow"/>
            </w:pPr>
            <w:r w:rsidRPr="00034E9B">
              <w:t>NT</w:t>
            </w:r>
          </w:p>
        </w:tc>
        <w:tc>
          <w:tcPr>
            <w:tcW w:w="482" w:type="pct"/>
          </w:tcPr>
          <w:p w14:paraId="72F39BB8" w14:textId="39781CF4" w:rsidR="00594894" w:rsidRPr="00034E9B" w:rsidRDefault="00594894" w:rsidP="00594894">
            <w:pPr>
              <w:pStyle w:val="CGCTablerow"/>
            </w:pPr>
            <w:r w:rsidRPr="00034E9B">
              <w:t>No</w:t>
            </w:r>
          </w:p>
        </w:tc>
        <w:tc>
          <w:tcPr>
            <w:tcW w:w="2310" w:type="pct"/>
          </w:tcPr>
          <w:p w14:paraId="06A9DA7B" w14:textId="01026748" w:rsidR="00594894" w:rsidRPr="00034E9B" w:rsidRDefault="00594894" w:rsidP="00594894">
            <w:pPr>
              <w:pStyle w:val="CGCTablerow"/>
            </w:pPr>
            <w:r w:rsidRPr="00034E9B">
              <w:t>Main concerns relate to implementation issues with the 2015 Review direct approach that have been addressed.</w:t>
            </w:r>
          </w:p>
        </w:tc>
      </w:tr>
      <w:tr w:rsidR="00594894" w:rsidRPr="00034E9B" w14:paraId="5BEC91A1" w14:textId="77777777" w:rsidTr="00C01414">
        <w:tc>
          <w:tcPr>
            <w:tcW w:w="1685" w:type="pct"/>
          </w:tcPr>
          <w:p w14:paraId="5E4BDD14" w14:textId="5B76A603" w:rsidR="00594894" w:rsidRPr="00034E9B" w:rsidRDefault="00594894" w:rsidP="00594894">
            <w:pPr>
              <w:pStyle w:val="CGCTablerow"/>
            </w:pPr>
            <w:r w:rsidRPr="00034E9B">
              <w:t>Include adjustment for CALD patients</w:t>
            </w:r>
          </w:p>
        </w:tc>
        <w:tc>
          <w:tcPr>
            <w:tcW w:w="523" w:type="pct"/>
          </w:tcPr>
          <w:p w14:paraId="1F6D3524" w14:textId="2C8A5C8C" w:rsidR="00594894" w:rsidRPr="00034E9B" w:rsidRDefault="00594894" w:rsidP="00594894">
            <w:pPr>
              <w:pStyle w:val="CGCTablerow"/>
            </w:pPr>
            <w:r w:rsidRPr="00034E9B">
              <w:t>NSW, Vic</w:t>
            </w:r>
          </w:p>
        </w:tc>
        <w:tc>
          <w:tcPr>
            <w:tcW w:w="482" w:type="pct"/>
          </w:tcPr>
          <w:p w14:paraId="3B9C56A2" w14:textId="3AEB8D91" w:rsidR="00594894" w:rsidRPr="00034E9B" w:rsidRDefault="00594894" w:rsidP="00594894">
            <w:pPr>
              <w:pStyle w:val="CGCTablerow"/>
            </w:pPr>
            <w:r w:rsidRPr="00034E9B">
              <w:t>No</w:t>
            </w:r>
          </w:p>
        </w:tc>
        <w:tc>
          <w:tcPr>
            <w:tcW w:w="2310" w:type="pct"/>
          </w:tcPr>
          <w:p w14:paraId="77B4534C" w14:textId="75515705" w:rsidR="00594894" w:rsidRPr="00034E9B" w:rsidRDefault="00594894" w:rsidP="00594894">
            <w:pPr>
              <w:pStyle w:val="CGCTablerow"/>
              <w:rPr>
                <w:i/>
              </w:rPr>
            </w:pPr>
            <w:r w:rsidRPr="00034E9B">
              <w:t>IHPA costing study indicates a CALD patient adjustment would not be material.</w:t>
            </w:r>
          </w:p>
        </w:tc>
      </w:tr>
      <w:tr w:rsidR="00594894" w:rsidRPr="00034E9B" w14:paraId="20478EAA" w14:textId="77777777" w:rsidTr="00C01414">
        <w:tc>
          <w:tcPr>
            <w:tcW w:w="1685" w:type="pct"/>
          </w:tcPr>
          <w:p w14:paraId="1D9BB39E" w14:textId="0A93B85D" w:rsidR="00594894" w:rsidRPr="00034E9B" w:rsidRDefault="00594894" w:rsidP="00594894">
            <w:pPr>
              <w:pStyle w:val="CGCTablerow"/>
            </w:pPr>
            <w:r w:rsidRPr="00034E9B">
              <w:t>Ensure all remoteness and SDS costs are recognised</w:t>
            </w:r>
          </w:p>
        </w:tc>
        <w:tc>
          <w:tcPr>
            <w:tcW w:w="523" w:type="pct"/>
          </w:tcPr>
          <w:p w14:paraId="79467DFA" w14:textId="0C6AAF48" w:rsidR="00594894" w:rsidRPr="00034E9B" w:rsidRDefault="00594894" w:rsidP="00594894">
            <w:pPr>
              <w:pStyle w:val="CGCTablerow"/>
            </w:pPr>
            <w:r w:rsidRPr="00034E9B">
              <w:t>Qld, WA, Tas, NT</w:t>
            </w:r>
          </w:p>
        </w:tc>
        <w:tc>
          <w:tcPr>
            <w:tcW w:w="482" w:type="pct"/>
          </w:tcPr>
          <w:p w14:paraId="205BC7E6" w14:textId="0642A539" w:rsidR="00594894" w:rsidRPr="00034E9B" w:rsidRDefault="00594894" w:rsidP="00594894">
            <w:pPr>
              <w:pStyle w:val="CGCTablerow"/>
            </w:pPr>
            <w:r w:rsidRPr="00034E9B">
              <w:t>Yes</w:t>
            </w:r>
          </w:p>
        </w:tc>
        <w:tc>
          <w:tcPr>
            <w:tcW w:w="2310" w:type="pct"/>
          </w:tcPr>
          <w:p w14:paraId="7C108191" w14:textId="1F6F2B50" w:rsidR="00594894" w:rsidRPr="00034E9B" w:rsidRDefault="00594894" w:rsidP="00594894">
            <w:pPr>
              <w:pStyle w:val="CGCTablerow"/>
            </w:pPr>
            <w:r w:rsidRPr="00034E9B">
              <w:t xml:space="preserve">An SDS adjustment is applied to </w:t>
            </w:r>
            <w:r w:rsidR="003B069F">
              <w:t>block funded</w:t>
            </w:r>
            <w:r w:rsidR="00DA2957">
              <w:t xml:space="preserve"> hospital </w:t>
            </w:r>
            <w:r w:rsidRPr="00034E9B">
              <w:t xml:space="preserve">NWAU data to better recognise SDS costs. Additional regional/ SDS cost adjustments based on the ED combined general gradient are applied in the NAP SDC assessment. For CH, the regional and SDS cost adjustments will be based on the latest year's data to ensure all remoteness costs are recognised and </w:t>
            </w:r>
            <w:r w:rsidR="00DA2957">
              <w:t>eliminate</w:t>
            </w:r>
            <w:r w:rsidRPr="00034E9B">
              <w:t xml:space="preserve"> double</w:t>
            </w:r>
            <w:r w:rsidR="00D62399">
              <w:t xml:space="preserve"> </w:t>
            </w:r>
            <w:r w:rsidRPr="00034E9B">
              <w:t>counting.</w:t>
            </w:r>
          </w:p>
        </w:tc>
      </w:tr>
      <w:tr w:rsidR="00594894" w:rsidRPr="00034E9B" w14:paraId="42857A98" w14:textId="77777777" w:rsidTr="00C01414">
        <w:tc>
          <w:tcPr>
            <w:tcW w:w="1685" w:type="pct"/>
          </w:tcPr>
          <w:p w14:paraId="7438D450" w14:textId="3BF6E6E0" w:rsidR="00594894" w:rsidRPr="00034E9B" w:rsidRDefault="00D74C32" w:rsidP="00594894">
            <w:pPr>
              <w:pStyle w:val="CGCTablerow"/>
            </w:pPr>
            <w:r>
              <w:t>S</w:t>
            </w:r>
            <w:r w:rsidR="00594894" w:rsidRPr="00034E9B">
              <w:t>plit the 75+ age group</w:t>
            </w:r>
            <w:r>
              <w:t xml:space="preserve"> if material</w:t>
            </w:r>
          </w:p>
        </w:tc>
        <w:tc>
          <w:tcPr>
            <w:tcW w:w="523" w:type="pct"/>
          </w:tcPr>
          <w:p w14:paraId="433608FC" w14:textId="1380339D" w:rsidR="00594894" w:rsidRPr="00034E9B" w:rsidRDefault="00594894" w:rsidP="00594894">
            <w:pPr>
              <w:pStyle w:val="CGCTablerow"/>
            </w:pPr>
            <w:r w:rsidRPr="00034E9B">
              <w:t>Vic, SA, Tas, ACT</w:t>
            </w:r>
          </w:p>
        </w:tc>
        <w:tc>
          <w:tcPr>
            <w:tcW w:w="482" w:type="pct"/>
          </w:tcPr>
          <w:p w14:paraId="0B037235" w14:textId="58FE1E3A" w:rsidR="00594894" w:rsidRPr="00034E9B" w:rsidRDefault="00594894" w:rsidP="00594894">
            <w:pPr>
              <w:pStyle w:val="CGCTablerow"/>
            </w:pPr>
            <w:r w:rsidRPr="00034E9B">
              <w:t>No</w:t>
            </w:r>
          </w:p>
        </w:tc>
        <w:tc>
          <w:tcPr>
            <w:tcW w:w="2310" w:type="pct"/>
          </w:tcPr>
          <w:p w14:paraId="1E4119BF" w14:textId="35F10431" w:rsidR="00594894" w:rsidRPr="00034E9B" w:rsidRDefault="00696355" w:rsidP="00594894">
            <w:pPr>
              <w:pStyle w:val="CGCTablerow"/>
              <w:rPr>
                <w:i/>
              </w:rPr>
            </w:pPr>
            <w:r>
              <w:t>Tested but n</w:t>
            </w:r>
            <w:r w:rsidR="00594894" w:rsidRPr="00034E9B">
              <w:t>ot material. The small number of people aged over 85 offsets their higher cost.</w:t>
            </w:r>
          </w:p>
        </w:tc>
      </w:tr>
      <w:tr w:rsidR="00594894" w:rsidRPr="00034E9B" w14:paraId="5436BF36" w14:textId="77777777" w:rsidTr="00C01414">
        <w:tc>
          <w:tcPr>
            <w:tcW w:w="1685" w:type="pct"/>
          </w:tcPr>
          <w:p w14:paraId="15BCFAA1" w14:textId="25B91563" w:rsidR="00594894" w:rsidRPr="00034E9B" w:rsidRDefault="00594894" w:rsidP="00594894">
            <w:pPr>
              <w:pStyle w:val="CGCTablerow"/>
            </w:pPr>
            <w:r w:rsidRPr="00034E9B">
              <w:t>Assess NAP and community health together</w:t>
            </w:r>
          </w:p>
        </w:tc>
        <w:tc>
          <w:tcPr>
            <w:tcW w:w="523" w:type="pct"/>
          </w:tcPr>
          <w:p w14:paraId="0DE7AB10" w14:textId="7D828674" w:rsidR="00594894" w:rsidRPr="00034E9B" w:rsidRDefault="00594894" w:rsidP="00594894">
            <w:pPr>
              <w:pStyle w:val="CGCTablerow"/>
            </w:pPr>
            <w:r w:rsidRPr="00034E9B">
              <w:t>NSW, Tas</w:t>
            </w:r>
          </w:p>
        </w:tc>
        <w:tc>
          <w:tcPr>
            <w:tcW w:w="482" w:type="pct"/>
          </w:tcPr>
          <w:p w14:paraId="0B9A3D9D" w14:textId="59B1565F" w:rsidR="00594894" w:rsidRPr="00034E9B" w:rsidRDefault="00594894" w:rsidP="00594894">
            <w:pPr>
              <w:pStyle w:val="CGCTablerow"/>
            </w:pPr>
            <w:r w:rsidRPr="00034E9B">
              <w:t>No</w:t>
            </w:r>
          </w:p>
        </w:tc>
        <w:tc>
          <w:tcPr>
            <w:tcW w:w="2310" w:type="pct"/>
          </w:tcPr>
          <w:p w14:paraId="373A5760" w14:textId="7C266FE8" w:rsidR="00594894" w:rsidRPr="00034E9B" w:rsidRDefault="00594894" w:rsidP="00594894">
            <w:pPr>
              <w:pStyle w:val="CGCTablerow"/>
              <w:rPr>
                <w:i/>
              </w:rPr>
            </w:pPr>
            <w:r w:rsidRPr="00034E9B">
              <w:t>Keeping NAP and community health separate aligns with funding arrangements/associated IHPA data.</w:t>
            </w:r>
          </w:p>
        </w:tc>
      </w:tr>
      <w:tr w:rsidR="00594894" w:rsidRPr="00034E9B" w14:paraId="354E9704" w14:textId="77777777" w:rsidTr="00C01414">
        <w:tc>
          <w:tcPr>
            <w:tcW w:w="1685" w:type="pct"/>
          </w:tcPr>
          <w:p w14:paraId="53526371" w14:textId="3D643C4A" w:rsidR="00594894" w:rsidRPr="00034E9B" w:rsidRDefault="00594894" w:rsidP="00594894">
            <w:pPr>
              <w:pStyle w:val="CGCTablerow"/>
            </w:pPr>
            <w:r w:rsidRPr="00034E9B">
              <w:t>Reinstate the 25% discounts applied to the CH SDC and non-State sector adjustment</w:t>
            </w:r>
          </w:p>
        </w:tc>
        <w:tc>
          <w:tcPr>
            <w:tcW w:w="523" w:type="pct"/>
          </w:tcPr>
          <w:p w14:paraId="1ABDC450" w14:textId="778581DE" w:rsidR="00594894" w:rsidRPr="00034E9B" w:rsidRDefault="00594894" w:rsidP="00594894">
            <w:pPr>
              <w:pStyle w:val="CGCTablerow"/>
            </w:pPr>
            <w:r w:rsidRPr="00034E9B">
              <w:t>NSW, Vic, ACT</w:t>
            </w:r>
          </w:p>
        </w:tc>
        <w:tc>
          <w:tcPr>
            <w:tcW w:w="482" w:type="pct"/>
          </w:tcPr>
          <w:p w14:paraId="7D20F7DE" w14:textId="00D2D1FC" w:rsidR="00594894" w:rsidRPr="00034E9B" w:rsidRDefault="00594894" w:rsidP="00594894">
            <w:pPr>
              <w:pStyle w:val="CGCTablerow"/>
            </w:pPr>
            <w:r w:rsidRPr="00034E9B">
              <w:t>No</w:t>
            </w:r>
          </w:p>
        </w:tc>
        <w:tc>
          <w:tcPr>
            <w:tcW w:w="2310" w:type="pct"/>
          </w:tcPr>
          <w:p w14:paraId="74D1F270" w14:textId="019A7F98" w:rsidR="00594894" w:rsidRPr="00034E9B" w:rsidRDefault="00594894" w:rsidP="00594894">
            <w:pPr>
              <w:pStyle w:val="CGCTablerow"/>
            </w:pPr>
            <w:r w:rsidRPr="00034E9B">
              <w:t xml:space="preserve">The adjusted ED 4 and 5 NWAU data are the best available indicator for community health services. The analysis of NSW and Vic community health data confirms that the direction and scale of SDC influences are similar to their influence on ED services. </w:t>
            </w:r>
            <w:r w:rsidR="000C038C">
              <w:t>However, because the assessment continues to use a proxy indicator, a 12.5% discount is applied.</w:t>
            </w:r>
            <w:r w:rsidR="00824371">
              <w:t xml:space="preserve"> </w:t>
            </w:r>
          </w:p>
        </w:tc>
      </w:tr>
      <w:tr w:rsidR="00594894" w:rsidRPr="00034E9B" w14:paraId="4F998020" w14:textId="77777777" w:rsidTr="00C01414">
        <w:tc>
          <w:tcPr>
            <w:tcW w:w="1685" w:type="pct"/>
          </w:tcPr>
          <w:p w14:paraId="230456B0" w14:textId="13DE9145" w:rsidR="00594894" w:rsidRPr="00034E9B" w:rsidRDefault="00594894" w:rsidP="00594894">
            <w:pPr>
              <w:pStyle w:val="CGCTablerow"/>
            </w:pPr>
            <w:r w:rsidRPr="00034E9B">
              <w:t>AP substitutability – consider if this can be based on NWAU for the private sector</w:t>
            </w:r>
          </w:p>
        </w:tc>
        <w:tc>
          <w:tcPr>
            <w:tcW w:w="523" w:type="pct"/>
          </w:tcPr>
          <w:p w14:paraId="787E566E" w14:textId="78C8F5A8" w:rsidR="00594894" w:rsidRPr="00034E9B" w:rsidRDefault="00594894" w:rsidP="00594894">
            <w:pPr>
              <w:pStyle w:val="CGCTablerow"/>
            </w:pPr>
            <w:r w:rsidRPr="00034E9B">
              <w:t>Vic</w:t>
            </w:r>
          </w:p>
        </w:tc>
        <w:tc>
          <w:tcPr>
            <w:tcW w:w="482" w:type="pct"/>
          </w:tcPr>
          <w:p w14:paraId="21C6B884" w14:textId="1D014B83" w:rsidR="00594894" w:rsidRPr="00034E9B" w:rsidRDefault="00594894" w:rsidP="00594894">
            <w:pPr>
              <w:pStyle w:val="CGCTablerow"/>
            </w:pPr>
            <w:r w:rsidRPr="00034E9B">
              <w:t>No</w:t>
            </w:r>
          </w:p>
        </w:tc>
        <w:tc>
          <w:tcPr>
            <w:tcW w:w="2310" w:type="pct"/>
          </w:tcPr>
          <w:p w14:paraId="5FA171D9" w14:textId="768F0B24" w:rsidR="00594894" w:rsidRPr="00034E9B" w:rsidRDefault="00594894" w:rsidP="00594894">
            <w:pPr>
              <w:pStyle w:val="CGCTablerow"/>
              <w:rPr>
                <w:i/>
              </w:rPr>
            </w:pPr>
            <w:r w:rsidRPr="00034E9B">
              <w:t>NWAU data are not available for private hospital services.</w:t>
            </w:r>
          </w:p>
        </w:tc>
      </w:tr>
      <w:tr w:rsidR="00594894" w:rsidRPr="00034E9B" w14:paraId="496C4CB2" w14:textId="77777777" w:rsidTr="00C01414">
        <w:tc>
          <w:tcPr>
            <w:tcW w:w="1685" w:type="pct"/>
          </w:tcPr>
          <w:p w14:paraId="4ED533DA" w14:textId="0F9AEDB5" w:rsidR="00594894" w:rsidRPr="00034E9B" w:rsidRDefault="00594894" w:rsidP="00594894">
            <w:pPr>
              <w:pStyle w:val="CGCTablerow"/>
            </w:pPr>
            <w:r w:rsidRPr="00034E9B">
              <w:t>Lower substitutability level for ED services</w:t>
            </w:r>
          </w:p>
        </w:tc>
        <w:tc>
          <w:tcPr>
            <w:tcW w:w="523" w:type="pct"/>
          </w:tcPr>
          <w:p w14:paraId="6432FF12" w14:textId="555A122B" w:rsidR="00594894" w:rsidRPr="00034E9B" w:rsidRDefault="00594894" w:rsidP="00594894">
            <w:pPr>
              <w:pStyle w:val="CGCTablerow"/>
            </w:pPr>
            <w:r w:rsidRPr="00034E9B">
              <w:t xml:space="preserve">NSW </w:t>
            </w:r>
          </w:p>
        </w:tc>
        <w:tc>
          <w:tcPr>
            <w:tcW w:w="482" w:type="pct"/>
          </w:tcPr>
          <w:p w14:paraId="13703D51" w14:textId="3E564C46" w:rsidR="00594894" w:rsidRPr="00034E9B" w:rsidRDefault="00594894" w:rsidP="00594894">
            <w:pPr>
              <w:pStyle w:val="CGCTablerow"/>
            </w:pPr>
            <w:r w:rsidRPr="00034E9B">
              <w:t>No</w:t>
            </w:r>
          </w:p>
        </w:tc>
        <w:tc>
          <w:tcPr>
            <w:tcW w:w="2310" w:type="pct"/>
          </w:tcPr>
          <w:p w14:paraId="53ED15DB" w14:textId="44CF75F2" w:rsidR="00594894" w:rsidRPr="00034E9B" w:rsidRDefault="00594894" w:rsidP="00594894">
            <w:pPr>
              <w:pStyle w:val="CGCTablerow"/>
            </w:pPr>
            <w:r w:rsidRPr="00034E9B">
              <w:t>Evidence does not support proposition that time of day affects presentation of GP-type patients at ED.</w:t>
            </w:r>
          </w:p>
        </w:tc>
      </w:tr>
      <w:tr w:rsidR="00594894" w:rsidRPr="00034E9B" w14:paraId="53A6A30F" w14:textId="77777777" w:rsidTr="00C01414">
        <w:tc>
          <w:tcPr>
            <w:tcW w:w="1685" w:type="pct"/>
          </w:tcPr>
          <w:p w14:paraId="5AC73635" w14:textId="4267DA37" w:rsidR="00594894" w:rsidRPr="00034E9B" w:rsidRDefault="00594894" w:rsidP="00594894">
            <w:pPr>
              <w:pStyle w:val="CGCTablerow"/>
            </w:pPr>
            <w:r w:rsidRPr="00034E9B">
              <w:t>Low level substitutability (15%) for NAP allied health services</w:t>
            </w:r>
          </w:p>
        </w:tc>
        <w:tc>
          <w:tcPr>
            <w:tcW w:w="523" w:type="pct"/>
          </w:tcPr>
          <w:p w14:paraId="27777E86" w14:textId="08F54C61" w:rsidR="00594894" w:rsidRPr="00034E9B" w:rsidRDefault="00594894" w:rsidP="00594894">
            <w:pPr>
              <w:pStyle w:val="CGCTablerow"/>
            </w:pPr>
            <w:r w:rsidRPr="00034E9B">
              <w:t>Tas</w:t>
            </w:r>
          </w:p>
        </w:tc>
        <w:tc>
          <w:tcPr>
            <w:tcW w:w="482" w:type="pct"/>
          </w:tcPr>
          <w:p w14:paraId="2E3DAA68" w14:textId="53BE00C2" w:rsidR="00594894" w:rsidRPr="00034E9B" w:rsidRDefault="00594894" w:rsidP="00594894">
            <w:pPr>
              <w:pStyle w:val="CGCTablerow"/>
            </w:pPr>
            <w:r w:rsidRPr="00034E9B">
              <w:t>No</w:t>
            </w:r>
          </w:p>
        </w:tc>
        <w:tc>
          <w:tcPr>
            <w:tcW w:w="2310" w:type="pct"/>
          </w:tcPr>
          <w:p w14:paraId="0EBF1573" w14:textId="375EBE8C" w:rsidR="00594894" w:rsidRPr="00034E9B" w:rsidRDefault="00594894" w:rsidP="00594894">
            <w:pPr>
              <w:pStyle w:val="CGCTablerow"/>
            </w:pPr>
            <w:r w:rsidRPr="00034E9B">
              <w:t>Access to NAP allied health services must be linked to a hospital admission. Presence of private allied health services unlikely to affect level of State provision.</w:t>
            </w:r>
          </w:p>
        </w:tc>
      </w:tr>
      <w:tr w:rsidR="00594894" w:rsidRPr="00034E9B" w14:paraId="29F0E22A" w14:textId="77777777" w:rsidTr="00C01414">
        <w:tc>
          <w:tcPr>
            <w:tcW w:w="1685" w:type="pct"/>
            <w:shd w:val="clear" w:color="auto" w:fill="auto"/>
          </w:tcPr>
          <w:p w14:paraId="3ACA5ED3" w14:textId="2A7E8C19" w:rsidR="00594894" w:rsidRPr="00034E9B" w:rsidRDefault="00594894" w:rsidP="00594894">
            <w:pPr>
              <w:pStyle w:val="CGCTablerow"/>
            </w:pPr>
            <w:r w:rsidRPr="00034E9B">
              <w:t>Reduce NAP substitutability level</w:t>
            </w:r>
          </w:p>
        </w:tc>
        <w:tc>
          <w:tcPr>
            <w:tcW w:w="523" w:type="pct"/>
            <w:shd w:val="clear" w:color="auto" w:fill="auto"/>
          </w:tcPr>
          <w:p w14:paraId="00A49F78" w14:textId="20C809BA" w:rsidR="00594894" w:rsidRPr="00034E9B" w:rsidRDefault="00594894" w:rsidP="00594894">
            <w:pPr>
              <w:pStyle w:val="CGCTablerow"/>
            </w:pPr>
            <w:r w:rsidRPr="00034E9B">
              <w:t>NSW, Vic, Qld</w:t>
            </w:r>
          </w:p>
        </w:tc>
        <w:tc>
          <w:tcPr>
            <w:tcW w:w="482" w:type="pct"/>
            <w:shd w:val="clear" w:color="auto" w:fill="auto"/>
          </w:tcPr>
          <w:p w14:paraId="468677C4" w14:textId="21ED4F0D" w:rsidR="00594894" w:rsidRPr="00034E9B" w:rsidRDefault="00594894" w:rsidP="00594894">
            <w:pPr>
              <w:pStyle w:val="CGCTablerow"/>
            </w:pPr>
            <w:r w:rsidRPr="00034E9B">
              <w:t>Yes</w:t>
            </w:r>
          </w:p>
        </w:tc>
        <w:tc>
          <w:tcPr>
            <w:tcW w:w="2310" w:type="pct"/>
            <w:shd w:val="clear" w:color="auto" w:fill="auto"/>
          </w:tcPr>
          <w:p w14:paraId="2FAD6462" w14:textId="64C4BEC8" w:rsidR="00594894" w:rsidRPr="00034E9B" w:rsidRDefault="00594894" w:rsidP="00594894">
            <w:pPr>
              <w:pStyle w:val="CGCTablerow"/>
            </w:pPr>
            <w:r w:rsidRPr="00034E9B">
              <w:t>Level has been reduced from 40% to 30%.</w:t>
            </w:r>
          </w:p>
        </w:tc>
      </w:tr>
      <w:tr w:rsidR="00594894" w:rsidRPr="00034E9B" w14:paraId="18F069E0" w14:textId="77777777" w:rsidTr="00C01414">
        <w:tc>
          <w:tcPr>
            <w:tcW w:w="1685" w:type="pct"/>
          </w:tcPr>
          <w:p w14:paraId="19212194" w14:textId="5DAD050D" w:rsidR="00594894" w:rsidRPr="00034E9B" w:rsidRDefault="00594894" w:rsidP="00594894">
            <w:pPr>
              <w:pStyle w:val="CGCTablerow"/>
            </w:pPr>
            <w:r w:rsidRPr="00034E9B">
              <w:t>Review why bulk billed services (rather than total MBS) used to measure non</w:t>
            </w:r>
            <w:r w:rsidR="004C1BAA">
              <w:noBreakHyphen/>
            </w:r>
            <w:r w:rsidRPr="00034E9B">
              <w:t>State sector</w:t>
            </w:r>
          </w:p>
        </w:tc>
        <w:tc>
          <w:tcPr>
            <w:tcW w:w="523" w:type="pct"/>
          </w:tcPr>
          <w:p w14:paraId="2711E6B6" w14:textId="67591450" w:rsidR="00594894" w:rsidRPr="00034E9B" w:rsidRDefault="00594894" w:rsidP="00594894">
            <w:pPr>
              <w:pStyle w:val="CGCTablerow"/>
            </w:pPr>
            <w:r w:rsidRPr="00034E9B">
              <w:t>NT</w:t>
            </w:r>
          </w:p>
        </w:tc>
        <w:tc>
          <w:tcPr>
            <w:tcW w:w="482" w:type="pct"/>
          </w:tcPr>
          <w:p w14:paraId="74CC9394" w14:textId="77FB7E18" w:rsidR="00594894" w:rsidRPr="00034E9B" w:rsidRDefault="00594894" w:rsidP="00594894">
            <w:pPr>
              <w:pStyle w:val="CGCTablerow"/>
            </w:pPr>
            <w:r w:rsidRPr="00034E9B">
              <w:t>No</w:t>
            </w:r>
          </w:p>
        </w:tc>
        <w:tc>
          <w:tcPr>
            <w:tcW w:w="2310" w:type="pct"/>
          </w:tcPr>
          <w:p w14:paraId="67468F32" w14:textId="49C4AF96" w:rsidR="00594894" w:rsidRPr="00034E9B" w:rsidRDefault="00594894" w:rsidP="00594894">
            <w:pPr>
              <w:pStyle w:val="CGCTablerow"/>
              <w:rPr>
                <w:i/>
              </w:rPr>
            </w:pPr>
            <w:r w:rsidRPr="00034E9B">
              <w:t>Bulk billed services are more similar to State provided services as the cost constraint is removed.</w:t>
            </w:r>
          </w:p>
        </w:tc>
      </w:tr>
      <w:tr w:rsidR="00594894" w:rsidRPr="00034E9B" w14:paraId="2B27CE63" w14:textId="77777777" w:rsidTr="00C01414">
        <w:tc>
          <w:tcPr>
            <w:tcW w:w="1685" w:type="pct"/>
          </w:tcPr>
          <w:p w14:paraId="5A1A81C0" w14:textId="67EA8F55" w:rsidR="00594894" w:rsidRPr="00034E9B" w:rsidRDefault="00594894" w:rsidP="00594894">
            <w:pPr>
              <w:pStyle w:val="CGCTablerow"/>
            </w:pPr>
            <w:r w:rsidRPr="00034E9B">
              <w:t>Review Indigenous grants non</w:t>
            </w:r>
            <w:r w:rsidRPr="00034E9B">
              <w:noBreakHyphen/>
              <w:t>State sector adjustment</w:t>
            </w:r>
          </w:p>
        </w:tc>
        <w:tc>
          <w:tcPr>
            <w:tcW w:w="523" w:type="pct"/>
          </w:tcPr>
          <w:p w14:paraId="45F0989D" w14:textId="3657E848" w:rsidR="00594894" w:rsidRPr="00034E9B" w:rsidRDefault="00594894" w:rsidP="00594894">
            <w:pPr>
              <w:pStyle w:val="CGCTablerow"/>
            </w:pPr>
            <w:r w:rsidRPr="00034E9B">
              <w:t>NT</w:t>
            </w:r>
          </w:p>
        </w:tc>
        <w:tc>
          <w:tcPr>
            <w:tcW w:w="482" w:type="pct"/>
          </w:tcPr>
          <w:p w14:paraId="3A1B8E29" w14:textId="1AB9304F" w:rsidR="00594894" w:rsidRPr="00034E9B" w:rsidRDefault="00594894" w:rsidP="00594894">
            <w:pPr>
              <w:pStyle w:val="CGCTablerow"/>
            </w:pPr>
            <w:r w:rsidRPr="00034E9B">
              <w:t>Yes</w:t>
            </w:r>
          </w:p>
        </w:tc>
        <w:tc>
          <w:tcPr>
            <w:tcW w:w="2310" w:type="pct"/>
          </w:tcPr>
          <w:p w14:paraId="4E298D8A" w14:textId="4BF7F541" w:rsidR="00594894" w:rsidRPr="00034E9B" w:rsidRDefault="00594894" w:rsidP="00594894">
            <w:pPr>
              <w:pStyle w:val="CGCTablerow"/>
            </w:pPr>
            <w:r w:rsidRPr="00034E9B">
              <w:t xml:space="preserve">AIHW data </w:t>
            </w:r>
            <w:r w:rsidR="009227A0">
              <w:t>are</w:t>
            </w:r>
            <w:r w:rsidRPr="00034E9B">
              <w:t xml:space="preserve"> used to assess the use of Indigenous health services instead of ED data. </w:t>
            </w:r>
          </w:p>
        </w:tc>
      </w:tr>
      <w:tr w:rsidR="00594894" w:rsidRPr="00034E9B" w14:paraId="049F3FC8" w14:textId="77777777" w:rsidTr="00C01414">
        <w:tc>
          <w:tcPr>
            <w:tcW w:w="1685" w:type="pct"/>
          </w:tcPr>
          <w:p w14:paraId="31256AFB" w14:textId="2174DABD" w:rsidR="00594894" w:rsidRPr="00034E9B" w:rsidRDefault="00594894" w:rsidP="00594894">
            <w:pPr>
              <w:pStyle w:val="CGCTablerow"/>
            </w:pPr>
            <w:r w:rsidRPr="00034E9B">
              <w:t>Reduce substitutability level of community health</w:t>
            </w:r>
          </w:p>
        </w:tc>
        <w:tc>
          <w:tcPr>
            <w:tcW w:w="523" w:type="pct"/>
          </w:tcPr>
          <w:p w14:paraId="0385EFCF" w14:textId="439C2534" w:rsidR="00594894" w:rsidRPr="00034E9B" w:rsidRDefault="00594894" w:rsidP="00594894">
            <w:pPr>
              <w:pStyle w:val="CGCTablerow"/>
            </w:pPr>
            <w:r w:rsidRPr="00034E9B">
              <w:t>Vic</w:t>
            </w:r>
          </w:p>
        </w:tc>
        <w:tc>
          <w:tcPr>
            <w:tcW w:w="482" w:type="pct"/>
          </w:tcPr>
          <w:p w14:paraId="444D9CC2" w14:textId="779043A9" w:rsidR="00594894" w:rsidRPr="00034E9B" w:rsidRDefault="00594894" w:rsidP="00594894">
            <w:pPr>
              <w:pStyle w:val="CGCTablerow"/>
            </w:pPr>
            <w:r w:rsidRPr="00034E9B">
              <w:t>Yes</w:t>
            </w:r>
          </w:p>
        </w:tc>
        <w:tc>
          <w:tcPr>
            <w:tcW w:w="2310" w:type="pct"/>
          </w:tcPr>
          <w:p w14:paraId="7083A008" w14:textId="03ADE8E8" w:rsidR="00594894" w:rsidRPr="00034E9B" w:rsidRDefault="00594894" w:rsidP="00594894">
            <w:pPr>
              <w:pStyle w:val="CGCTablerow"/>
            </w:pPr>
            <w:r w:rsidRPr="00034E9B">
              <w:t xml:space="preserve">Level has been reduced from 70% to 60%. </w:t>
            </w:r>
          </w:p>
        </w:tc>
      </w:tr>
      <w:tr w:rsidR="00594894" w:rsidRPr="00034E9B" w14:paraId="4E7DF670" w14:textId="77777777" w:rsidTr="00C01414">
        <w:tc>
          <w:tcPr>
            <w:tcW w:w="1685" w:type="pct"/>
          </w:tcPr>
          <w:p w14:paraId="6C5E8C48" w14:textId="6724844D" w:rsidR="00594894" w:rsidRPr="00034E9B" w:rsidRDefault="00594894" w:rsidP="00594894">
            <w:pPr>
              <w:pStyle w:val="CGCTablerow"/>
            </w:pPr>
            <w:r w:rsidRPr="00034E9B">
              <w:t>Substitutability level for community health is higher in remote areas</w:t>
            </w:r>
          </w:p>
        </w:tc>
        <w:tc>
          <w:tcPr>
            <w:tcW w:w="523" w:type="pct"/>
          </w:tcPr>
          <w:p w14:paraId="0238A1F1" w14:textId="02716EDB" w:rsidR="00594894" w:rsidRPr="00034E9B" w:rsidRDefault="00594894" w:rsidP="00594894">
            <w:pPr>
              <w:pStyle w:val="CGCTablerow"/>
            </w:pPr>
            <w:r w:rsidRPr="00034E9B">
              <w:t>Qld</w:t>
            </w:r>
          </w:p>
        </w:tc>
        <w:tc>
          <w:tcPr>
            <w:tcW w:w="482" w:type="pct"/>
          </w:tcPr>
          <w:p w14:paraId="51A950B9" w14:textId="7567734A" w:rsidR="00594894" w:rsidRPr="00034E9B" w:rsidRDefault="00594894" w:rsidP="00594894">
            <w:pPr>
              <w:pStyle w:val="CGCTablerow"/>
            </w:pPr>
            <w:r w:rsidRPr="00034E9B">
              <w:t>Yes</w:t>
            </w:r>
          </w:p>
        </w:tc>
        <w:tc>
          <w:tcPr>
            <w:tcW w:w="2310" w:type="pct"/>
          </w:tcPr>
          <w:p w14:paraId="678AAF8F" w14:textId="5F4CBB54" w:rsidR="00594894" w:rsidRPr="00034E9B" w:rsidRDefault="00594894" w:rsidP="00594894">
            <w:pPr>
              <w:pStyle w:val="CGCTablerow"/>
            </w:pPr>
            <w:r w:rsidRPr="00034E9B">
              <w:t>Already recognised. Substitutability levels are an average level and already account for regional differences of service availability. This is also recognised through the high use of State services in remote regions.</w:t>
            </w:r>
          </w:p>
        </w:tc>
      </w:tr>
      <w:tr w:rsidR="00594894" w:rsidRPr="00034E9B" w14:paraId="4F3E4A7D" w14:textId="77777777" w:rsidTr="00C01414">
        <w:tc>
          <w:tcPr>
            <w:tcW w:w="1685" w:type="pct"/>
          </w:tcPr>
          <w:p w14:paraId="5163F955" w14:textId="3BFD6CED" w:rsidR="00594894" w:rsidRPr="00034E9B" w:rsidRDefault="00594894" w:rsidP="00594894">
            <w:pPr>
              <w:pStyle w:val="CGCTablerow"/>
            </w:pPr>
            <w:r w:rsidRPr="00034E9B">
              <w:t>Bulk billed GP data should not include services eligible for the Section 19(2) Exemption Initiative</w:t>
            </w:r>
          </w:p>
        </w:tc>
        <w:tc>
          <w:tcPr>
            <w:tcW w:w="523" w:type="pct"/>
          </w:tcPr>
          <w:p w14:paraId="03611922" w14:textId="6D01E37E" w:rsidR="00594894" w:rsidRPr="00034E9B" w:rsidRDefault="00594894" w:rsidP="00594894">
            <w:pPr>
              <w:pStyle w:val="CGCTablerow"/>
            </w:pPr>
            <w:r w:rsidRPr="00034E9B">
              <w:t>NT</w:t>
            </w:r>
          </w:p>
        </w:tc>
        <w:tc>
          <w:tcPr>
            <w:tcW w:w="482" w:type="pct"/>
          </w:tcPr>
          <w:p w14:paraId="3F0DEC5E" w14:textId="04EC9270" w:rsidR="00594894" w:rsidRPr="00034E9B" w:rsidRDefault="00594894" w:rsidP="00594894">
            <w:pPr>
              <w:pStyle w:val="CGCTablerow"/>
            </w:pPr>
            <w:r w:rsidRPr="00034E9B">
              <w:t>No</w:t>
            </w:r>
          </w:p>
        </w:tc>
        <w:tc>
          <w:tcPr>
            <w:tcW w:w="2310" w:type="pct"/>
          </w:tcPr>
          <w:p w14:paraId="1431A2C6" w14:textId="47105E12" w:rsidR="00594894" w:rsidRPr="00034E9B" w:rsidRDefault="00594894" w:rsidP="00594894">
            <w:pPr>
              <w:pStyle w:val="CGCTablerow"/>
            </w:pPr>
            <w:r w:rsidRPr="00034E9B">
              <w:t>Concern related to double counting. It does not occur because the MBS refunds are not deducted from State spending. In addition, participating States spend less on GP services as eligible costs are covered by the Commonwealth through Medicare.</w:t>
            </w:r>
          </w:p>
        </w:tc>
      </w:tr>
      <w:tr w:rsidR="00594894" w:rsidRPr="00034E9B" w14:paraId="53E310F4" w14:textId="77777777" w:rsidTr="00C01414">
        <w:tc>
          <w:tcPr>
            <w:tcW w:w="1685" w:type="pct"/>
          </w:tcPr>
          <w:p w14:paraId="23BC7EF8" w14:textId="4122636A" w:rsidR="00594894" w:rsidRPr="00034E9B" w:rsidRDefault="00594894" w:rsidP="00594894">
            <w:pPr>
              <w:pStyle w:val="CGCTablerow"/>
            </w:pPr>
            <w:r w:rsidRPr="00034E9B">
              <w:t>Consider capital cost associated with providing cross-border hospital services</w:t>
            </w:r>
          </w:p>
        </w:tc>
        <w:tc>
          <w:tcPr>
            <w:tcW w:w="523" w:type="pct"/>
          </w:tcPr>
          <w:p w14:paraId="115FB69B" w14:textId="1C6F502C" w:rsidR="00594894" w:rsidRPr="00034E9B" w:rsidRDefault="00594894" w:rsidP="00594894">
            <w:pPr>
              <w:pStyle w:val="CGCTablerow"/>
            </w:pPr>
            <w:r w:rsidRPr="00034E9B">
              <w:t>ACT</w:t>
            </w:r>
          </w:p>
        </w:tc>
        <w:tc>
          <w:tcPr>
            <w:tcW w:w="482" w:type="pct"/>
          </w:tcPr>
          <w:p w14:paraId="1FED08DD" w14:textId="7F767283" w:rsidR="00594894" w:rsidRPr="00034E9B" w:rsidRDefault="00594894" w:rsidP="00594894">
            <w:pPr>
              <w:pStyle w:val="CGCTablerow"/>
            </w:pPr>
            <w:r w:rsidRPr="00034E9B">
              <w:t>Yes</w:t>
            </w:r>
          </w:p>
        </w:tc>
        <w:tc>
          <w:tcPr>
            <w:tcW w:w="2310" w:type="pct"/>
          </w:tcPr>
          <w:p w14:paraId="6379D4BC" w14:textId="5EFBE02F" w:rsidR="00594894" w:rsidRPr="00034E9B" w:rsidRDefault="00594894" w:rsidP="00594894">
            <w:pPr>
              <w:pStyle w:val="CGCTablerow"/>
            </w:pPr>
            <w:r w:rsidRPr="00034E9B">
              <w:t>A cross-border capital stock factor has been introduced.</w:t>
            </w:r>
          </w:p>
        </w:tc>
      </w:tr>
    </w:tbl>
    <w:p w14:paraId="490E469E" w14:textId="059EDFB0" w:rsidR="00593181" w:rsidRPr="00034E9B" w:rsidRDefault="00593181" w:rsidP="00593181">
      <w:pPr>
        <w:pStyle w:val="CGCTablenote"/>
      </w:pPr>
      <w:r w:rsidRPr="00034E9B">
        <w:t>Note:</w:t>
      </w:r>
      <w:r w:rsidRPr="00034E9B">
        <w:tab/>
        <w:t xml:space="preserve">Acronyms used in this table are spelt out in the </w:t>
      </w:r>
      <w:r w:rsidR="00AB0B9B">
        <w:t>list of acronyms at the beginning of this volume</w:t>
      </w:r>
      <w:r w:rsidRPr="00034E9B">
        <w:t>.</w:t>
      </w:r>
    </w:p>
    <w:p w14:paraId="2347B603" w14:textId="4521D3E5" w:rsidR="00593181" w:rsidRPr="00034E9B" w:rsidRDefault="00593181" w:rsidP="00593181">
      <w:pPr>
        <w:pStyle w:val="CGCTablenote"/>
      </w:pPr>
      <w:r w:rsidRPr="00034E9B">
        <w:t>Source:</w:t>
      </w:r>
      <w:r w:rsidRPr="00034E9B">
        <w:tab/>
        <w:t>Commission decisions.</w:t>
      </w:r>
    </w:p>
    <w:p w14:paraId="6C50BA7A" w14:textId="77777777" w:rsidR="00593181" w:rsidRPr="00034E9B" w:rsidRDefault="00593181">
      <w:pPr>
        <w:tabs>
          <w:tab w:val="clear" w:pos="567"/>
        </w:tabs>
        <w:spacing w:before="0" w:after="200" w:line="276" w:lineRule="auto"/>
      </w:pPr>
      <w:r w:rsidRPr="00034E9B">
        <w:rPr>
          <w:b/>
          <w:bCs/>
        </w:rPr>
        <w:br w:type="page"/>
      </w:r>
    </w:p>
    <w:p w14:paraId="760D2763" w14:textId="6D04CD9C" w:rsidR="00593181" w:rsidRPr="00034E9B" w:rsidRDefault="00593181" w:rsidP="00593181">
      <w:pPr>
        <w:pStyle w:val="Caption"/>
      </w:pPr>
      <w:r w:rsidRPr="00034E9B">
        <w:lastRenderedPageBreak/>
        <w:t>Table 1</w:t>
      </w:r>
      <w:r w:rsidRPr="00034E9B">
        <w:noBreakHyphen/>
        <w:t>5</w:t>
      </w:r>
      <w:r w:rsidRPr="00034E9B">
        <w:tab/>
        <w:t>Commission responses to State proposals, 2020 Review (continued)</w:t>
      </w:r>
    </w:p>
    <w:tbl>
      <w:tblPr>
        <w:tblW w:w="5068" w:type="pct"/>
        <w:tblBorders>
          <w:top w:val="single" w:sz="4" w:space="0" w:color="ADD6EA"/>
          <w:bottom w:val="single" w:sz="4" w:space="0" w:color="ADD6EA"/>
          <w:insideH w:val="single" w:sz="4" w:space="0" w:color="ADD6EA"/>
        </w:tblBorders>
        <w:tblCellMar>
          <w:left w:w="28" w:type="dxa"/>
          <w:right w:w="85" w:type="dxa"/>
        </w:tblCellMar>
        <w:tblLook w:val="0000" w:firstRow="0" w:lastRow="0" w:firstColumn="0" w:lastColumn="0" w:noHBand="0" w:noVBand="0"/>
      </w:tblPr>
      <w:tblGrid>
        <w:gridCol w:w="3098"/>
        <w:gridCol w:w="961"/>
        <w:gridCol w:w="886"/>
        <w:gridCol w:w="4119"/>
        <w:gridCol w:w="123"/>
      </w:tblGrid>
      <w:tr w:rsidR="005E0846" w:rsidRPr="00034E9B" w14:paraId="55AC2035" w14:textId="77777777" w:rsidTr="00C01414">
        <w:trPr>
          <w:trHeight w:val="340"/>
        </w:trPr>
        <w:tc>
          <w:tcPr>
            <w:tcW w:w="1686" w:type="pct"/>
            <w:shd w:val="clear" w:color="auto" w:fill="006991"/>
            <w:vAlign w:val="center"/>
          </w:tcPr>
          <w:p w14:paraId="71AD0164" w14:textId="3B6419E2" w:rsidR="005E0846" w:rsidRPr="00034E9B" w:rsidRDefault="005E0846" w:rsidP="00630DC6">
            <w:pPr>
              <w:pStyle w:val="CGCTableheader"/>
              <w:rPr>
                <w:lang w:val="en-AU"/>
              </w:rPr>
            </w:pPr>
            <w:r w:rsidRPr="00034E9B">
              <w:rPr>
                <w:lang w:val="en-AU"/>
              </w:rPr>
              <w:t>Proposal</w:t>
            </w:r>
          </w:p>
        </w:tc>
        <w:tc>
          <w:tcPr>
            <w:tcW w:w="523" w:type="pct"/>
            <w:shd w:val="clear" w:color="auto" w:fill="006991"/>
            <w:vAlign w:val="center"/>
          </w:tcPr>
          <w:p w14:paraId="151B400F" w14:textId="1B1217B2" w:rsidR="005E0846" w:rsidRPr="00034E9B" w:rsidRDefault="005E0846" w:rsidP="00630DC6">
            <w:pPr>
              <w:pStyle w:val="CGCTableheader"/>
              <w:rPr>
                <w:lang w:val="en-AU"/>
              </w:rPr>
            </w:pPr>
            <w:r w:rsidRPr="00034E9B">
              <w:rPr>
                <w:lang w:val="en-AU"/>
              </w:rPr>
              <w:t>State</w:t>
            </w:r>
          </w:p>
        </w:tc>
        <w:tc>
          <w:tcPr>
            <w:tcW w:w="482" w:type="pct"/>
            <w:shd w:val="clear" w:color="auto" w:fill="006991"/>
            <w:vAlign w:val="center"/>
          </w:tcPr>
          <w:p w14:paraId="51753420" w14:textId="1A38D2ED" w:rsidR="005E0846" w:rsidRPr="00034E9B" w:rsidRDefault="005E0846" w:rsidP="00630DC6">
            <w:pPr>
              <w:pStyle w:val="CGCTableheader"/>
              <w:rPr>
                <w:lang w:val="en-AU"/>
              </w:rPr>
            </w:pPr>
            <w:r w:rsidRPr="00034E9B">
              <w:rPr>
                <w:lang w:val="en-AU"/>
              </w:rPr>
              <w:t>Adopted</w:t>
            </w:r>
          </w:p>
        </w:tc>
        <w:tc>
          <w:tcPr>
            <w:tcW w:w="2309" w:type="pct"/>
            <w:gridSpan w:val="2"/>
            <w:shd w:val="clear" w:color="auto" w:fill="006991"/>
            <w:vAlign w:val="center"/>
          </w:tcPr>
          <w:p w14:paraId="185D7DB4" w14:textId="5FE722FD" w:rsidR="005E0846" w:rsidRPr="00034E9B" w:rsidRDefault="005E0846" w:rsidP="00630DC6">
            <w:pPr>
              <w:pStyle w:val="CGCTableheader"/>
              <w:rPr>
                <w:lang w:val="en-AU"/>
              </w:rPr>
            </w:pPr>
            <w:r w:rsidRPr="00034E9B">
              <w:rPr>
                <w:lang w:val="en-AU"/>
              </w:rPr>
              <w:t>Explanation</w:t>
            </w:r>
          </w:p>
        </w:tc>
      </w:tr>
      <w:tr w:rsidR="005E0846" w:rsidRPr="00034E9B" w14:paraId="4FBF4C9E" w14:textId="77777777" w:rsidTr="00C01414">
        <w:tc>
          <w:tcPr>
            <w:tcW w:w="1686" w:type="pct"/>
            <w:shd w:val="clear" w:color="auto" w:fill="B6D5E4"/>
          </w:tcPr>
          <w:p w14:paraId="475C6579" w14:textId="57535B90" w:rsidR="005E0846" w:rsidRPr="00034E9B" w:rsidRDefault="005E0846" w:rsidP="005E0846">
            <w:pPr>
              <w:pStyle w:val="CGCTablesubhead1"/>
              <w:rPr>
                <w:lang w:val="en-AU"/>
              </w:rPr>
            </w:pPr>
            <w:r w:rsidRPr="00034E9B">
              <w:rPr>
                <w:lang w:val="en-AU"/>
              </w:rPr>
              <w:t>Health (continued)</w:t>
            </w:r>
          </w:p>
        </w:tc>
        <w:tc>
          <w:tcPr>
            <w:tcW w:w="523" w:type="pct"/>
            <w:shd w:val="clear" w:color="auto" w:fill="B6D5E4"/>
          </w:tcPr>
          <w:p w14:paraId="3EADB317" w14:textId="77777777" w:rsidR="005E0846" w:rsidRPr="00034E9B" w:rsidRDefault="005E0846" w:rsidP="005E0846">
            <w:pPr>
              <w:pStyle w:val="CGCTablesubhead1"/>
              <w:rPr>
                <w:lang w:val="en-AU"/>
              </w:rPr>
            </w:pPr>
          </w:p>
        </w:tc>
        <w:tc>
          <w:tcPr>
            <w:tcW w:w="482" w:type="pct"/>
            <w:shd w:val="clear" w:color="auto" w:fill="B6D5E4"/>
          </w:tcPr>
          <w:p w14:paraId="28BC54EB" w14:textId="77777777" w:rsidR="005E0846" w:rsidRPr="00034E9B" w:rsidRDefault="005E0846" w:rsidP="005E0846">
            <w:pPr>
              <w:pStyle w:val="CGCTablesubhead1"/>
              <w:rPr>
                <w:lang w:val="en-AU"/>
              </w:rPr>
            </w:pPr>
          </w:p>
        </w:tc>
        <w:tc>
          <w:tcPr>
            <w:tcW w:w="2309" w:type="pct"/>
            <w:gridSpan w:val="2"/>
            <w:shd w:val="clear" w:color="auto" w:fill="B6D5E4"/>
          </w:tcPr>
          <w:p w14:paraId="5C1293DC" w14:textId="77777777" w:rsidR="005E0846" w:rsidRPr="00034E9B" w:rsidRDefault="005E0846" w:rsidP="005E0846">
            <w:pPr>
              <w:pStyle w:val="CGCTablesubhead1"/>
              <w:rPr>
                <w:lang w:val="en-AU"/>
              </w:rPr>
            </w:pPr>
          </w:p>
        </w:tc>
      </w:tr>
      <w:tr w:rsidR="005E0846" w:rsidRPr="00034E9B" w14:paraId="0507AB65" w14:textId="77777777" w:rsidTr="00C01414">
        <w:tc>
          <w:tcPr>
            <w:tcW w:w="1686" w:type="pct"/>
          </w:tcPr>
          <w:p w14:paraId="78EB203D" w14:textId="14AF1A24" w:rsidR="005E0846" w:rsidRPr="00034E9B" w:rsidRDefault="005E0846" w:rsidP="005E0846">
            <w:pPr>
              <w:pStyle w:val="CGCTablerow"/>
            </w:pPr>
            <w:r w:rsidRPr="00034E9B">
              <w:t>Include Gove and other standalone hospitals when calculating the SDS adjustment for block funded hospitals</w:t>
            </w:r>
          </w:p>
        </w:tc>
        <w:tc>
          <w:tcPr>
            <w:tcW w:w="523" w:type="pct"/>
          </w:tcPr>
          <w:p w14:paraId="6F40B201" w14:textId="0CA6FC18" w:rsidR="005E0846" w:rsidRPr="00034E9B" w:rsidRDefault="005E0846" w:rsidP="005E0846">
            <w:pPr>
              <w:pStyle w:val="CGCTablerow"/>
            </w:pPr>
            <w:r w:rsidRPr="00034E9B">
              <w:t>NT</w:t>
            </w:r>
          </w:p>
        </w:tc>
        <w:tc>
          <w:tcPr>
            <w:tcW w:w="482" w:type="pct"/>
          </w:tcPr>
          <w:p w14:paraId="1FF9B54B" w14:textId="1702613E" w:rsidR="005E0846" w:rsidRPr="00034E9B" w:rsidRDefault="005E0846" w:rsidP="005E0846">
            <w:pPr>
              <w:pStyle w:val="CGCTablerow"/>
            </w:pPr>
            <w:r w:rsidRPr="00034E9B">
              <w:t>No</w:t>
            </w:r>
          </w:p>
        </w:tc>
        <w:tc>
          <w:tcPr>
            <w:tcW w:w="2309" w:type="pct"/>
            <w:gridSpan w:val="2"/>
          </w:tcPr>
          <w:p w14:paraId="49ACCB7F" w14:textId="6A2A5EC9" w:rsidR="005E0846" w:rsidRPr="00034E9B" w:rsidRDefault="005E0846" w:rsidP="005E0846">
            <w:pPr>
              <w:pStyle w:val="CGCTablerow"/>
            </w:pPr>
            <w:r w:rsidRPr="00034E9B">
              <w:t>Gove and other standalone hospitals are extreme outliers. Including them would distort the assessment of remote costs under average policy.</w:t>
            </w:r>
          </w:p>
        </w:tc>
      </w:tr>
      <w:tr w:rsidR="005E0846" w:rsidRPr="00034E9B" w14:paraId="5315E872" w14:textId="77777777" w:rsidTr="00C01414">
        <w:tc>
          <w:tcPr>
            <w:tcW w:w="1686" w:type="pct"/>
          </w:tcPr>
          <w:p w14:paraId="1246F685" w14:textId="241D77BA" w:rsidR="005E0846" w:rsidRPr="00034E9B" w:rsidRDefault="005E0846" w:rsidP="005E0846">
            <w:pPr>
              <w:pStyle w:val="CGCTablerow"/>
            </w:pPr>
            <w:r w:rsidRPr="00034E9B">
              <w:t>Non-hospital patient transport understates remote costs</w:t>
            </w:r>
          </w:p>
        </w:tc>
        <w:tc>
          <w:tcPr>
            <w:tcW w:w="523" w:type="pct"/>
          </w:tcPr>
          <w:p w14:paraId="476C01F7" w14:textId="66F9CD3B" w:rsidR="005E0846" w:rsidRPr="00034E9B" w:rsidRDefault="005E0846" w:rsidP="005E0846">
            <w:pPr>
              <w:pStyle w:val="CGCTablerow"/>
            </w:pPr>
            <w:r w:rsidRPr="00034E9B">
              <w:t>NT</w:t>
            </w:r>
          </w:p>
        </w:tc>
        <w:tc>
          <w:tcPr>
            <w:tcW w:w="482" w:type="pct"/>
          </w:tcPr>
          <w:p w14:paraId="15943CAC" w14:textId="681A9EAA" w:rsidR="005E0846" w:rsidRPr="00034E9B" w:rsidRDefault="005E0846" w:rsidP="005E0846">
            <w:pPr>
              <w:pStyle w:val="CGCTablerow"/>
            </w:pPr>
            <w:r w:rsidRPr="00034E9B">
              <w:t>Yes</w:t>
            </w:r>
          </w:p>
        </w:tc>
        <w:tc>
          <w:tcPr>
            <w:tcW w:w="2309" w:type="pct"/>
            <w:gridSpan w:val="2"/>
          </w:tcPr>
          <w:p w14:paraId="72E84116" w14:textId="6E77EE0B" w:rsidR="005E0846" w:rsidRPr="00034E9B" w:rsidRDefault="005E0846" w:rsidP="005E0846">
            <w:pPr>
              <w:pStyle w:val="CGCTablerow"/>
            </w:pPr>
            <w:r w:rsidRPr="00034E9B">
              <w:t>Three remoteness areas included in the assessment instead of two.</w:t>
            </w:r>
          </w:p>
        </w:tc>
      </w:tr>
      <w:tr w:rsidR="005E0846" w:rsidRPr="00034E9B" w14:paraId="4483CAC0" w14:textId="77777777" w:rsidTr="00C01414">
        <w:tc>
          <w:tcPr>
            <w:tcW w:w="1686" w:type="pct"/>
          </w:tcPr>
          <w:p w14:paraId="0A833635" w14:textId="73F36D65" w:rsidR="005E0846" w:rsidRPr="00034E9B" w:rsidRDefault="005E0846" w:rsidP="005E0846">
            <w:pPr>
              <w:pStyle w:val="CGCTablerow"/>
            </w:pPr>
            <w:r w:rsidRPr="00034E9B">
              <w:t>The assessment does not consider regional hospitals treating fly-in fly-out workers and tourists</w:t>
            </w:r>
          </w:p>
        </w:tc>
        <w:tc>
          <w:tcPr>
            <w:tcW w:w="523" w:type="pct"/>
          </w:tcPr>
          <w:p w14:paraId="66C34C18" w14:textId="32A6190D" w:rsidR="005E0846" w:rsidRPr="00034E9B" w:rsidRDefault="005E0846" w:rsidP="005E0846">
            <w:pPr>
              <w:pStyle w:val="CGCTablerow"/>
            </w:pPr>
            <w:r w:rsidRPr="00034E9B">
              <w:t>WA</w:t>
            </w:r>
          </w:p>
        </w:tc>
        <w:tc>
          <w:tcPr>
            <w:tcW w:w="482" w:type="pct"/>
          </w:tcPr>
          <w:p w14:paraId="6D4B2170" w14:textId="2AFFE1A3" w:rsidR="005E0846" w:rsidRPr="00034E9B" w:rsidRDefault="005E0846" w:rsidP="005E0846">
            <w:pPr>
              <w:pStyle w:val="CGCTablerow"/>
            </w:pPr>
            <w:r w:rsidRPr="00034E9B">
              <w:t>No</w:t>
            </w:r>
          </w:p>
        </w:tc>
        <w:tc>
          <w:tcPr>
            <w:tcW w:w="2309" w:type="pct"/>
            <w:gridSpan w:val="2"/>
          </w:tcPr>
          <w:p w14:paraId="764EB507" w14:textId="0DF583EE" w:rsidR="005E0846" w:rsidRPr="00034E9B" w:rsidRDefault="005E0846" w:rsidP="005E0846">
            <w:pPr>
              <w:pStyle w:val="CGCTablerow"/>
            </w:pPr>
            <w:r w:rsidRPr="00034E9B">
              <w:t>There are no service use data for FIFO workers nor information about their SES status.</w:t>
            </w:r>
            <w:r w:rsidR="00981395">
              <w:t xml:space="preserve"> An assessment would require significant judgment.</w:t>
            </w:r>
          </w:p>
        </w:tc>
      </w:tr>
      <w:tr w:rsidR="005E0846" w:rsidRPr="00034E9B" w14:paraId="23F4F5D0" w14:textId="77777777" w:rsidTr="00C01414">
        <w:tc>
          <w:tcPr>
            <w:tcW w:w="1686" w:type="pct"/>
            <w:shd w:val="clear" w:color="auto" w:fill="B6D5E4"/>
            <w:vAlign w:val="bottom"/>
          </w:tcPr>
          <w:p w14:paraId="0F05EF4F" w14:textId="3F05967E" w:rsidR="005E0846" w:rsidRPr="00034E9B" w:rsidRDefault="005E0846" w:rsidP="005E0846">
            <w:pPr>
              <w:pStyle w:val="CGCTablesubhead1"/>
              <w:rPr>
                <w:lang w:val="en-AU"/>
              </w:rPr>
            </w:pPr>
            <w:r w:rsidRPr="00034E9B">
              <w:rPr>
                <w:lang w:val="en-AU"/>
              </w:rPr>
              <w:t>Welfare</w:t>
            </w:r>
          </w:p>
        </w:tc>
        <w:tc>
          <w:tcPr>
            <w:tcW w:w="523" w:type="pct"/>
            <w:shd w:val="clear" w:color="auto" w:fill="B6D5E4"/>
            <w:vAlign w:val="bottom"/>
          </w:tcPr>
          <w:p w14:paraId="71BA6F15" w14:textId="77777777" w:rsidR="005E0846" w:rsidRPr="00034E9B" w:rsidRDefault="005E0846" w:rsidP="005E0846">
            <w:pPr>
              <w:pStyle w:val="CGCTablesubhead1"/>
              <w:rPr>
                <w:lang w:val="en-AU"/>
              </w:rPr>
            </w:pPr>
          </w:p>
        </w:tc>
        <w:tc>
          <w:tcPr>
            <w:tcW w:w="482" w:type="pct"/>
            <w:shd w:val="clear" w:color="auto" w:fill="B6D5E4"/>
            <w:vAlign w:val="bottom"/>
          </w:tcPr>
          <w:p w14:paraId="18445A1D" w14:textId="77777777" w:rsidR="005E0846" w:rsidRPr="00034E9B" w:rsidRDefault="005E0846" w:rsidP="005E0846">
            <w:pPr>
              <w:pStyle w:val="CGCTablesubhead1"/>
              <w:rPr>
                <w:lang w:val="en-AU"/>
              </w:rPr>
            </w:pPr>
          </w:p>
        </w:tc>
        <w:tc>
          <w:tcPr>
            <w:tcW w:w="2309" w:type="pct"/>
            <w:gridSpan w:val="2"/>
            <w:shd w:val="clear" w:color="auto" w:fill="B6D5E4"/>
            <w:vAlign w:val="bottom"/>
          </w:tcPr>
          <w:p w14:paraId="1141CA27" w14:textId="77777777" w:rsidR="005E0846" w:rsidRPr="00034E9B" w:rsidRDefault="005E0846" w:rsidP="005E0846">
            <w:pPr>
              <w:pStyle w:val="CGCTablesubhead1"/>
              <w:rPr>
                <w:i/>
                <w:lang w:val="en-AU"/>
              </w:rPr>
            </w:pPr>
          </w:p>
        </w:tc>
      </w:tr>
      <w:tr w:rsidR="005E0846" w:rsidRPr="00034E9B" w14:paraId="44519F90" w14:textId="77777777" w:rsidTr="00C01414">
        <w:tc>
          <w:tcPr>
            <w:tcW w:w="1686" w:type="pct"/>
            <w:vAlign w:val="bottom"/>
          </w:tcPr>
          <w:p w14:paraId="0786F685" w14:textId="6BE00C83" w:rsidR="005E0846" w:rsidRPr="00034E9B" w:rsidRDefault="002951B4" w:rsidP="005E0846">
            <w:pPr>
              <w:pStyle w:val="CGCTablerow"/>
            </w:pPr>
            <w:r>
              <w:t xml:space="preserve">Include </w:t>
            </w:r>
            <w:r w:rsidR="00024E5D">
              <w:t xml:space="preserve">a </w:t>
            </w:r>
            <w:r w:rsidR="005E0846" w:rsidRPr="00034E9B">
              <w:t>CALD cost weight</w:t>
            </w:r>
          </w:p>
        </w:tc>
        <w:tc>
          <w:tcPr>
            <w:tcW w:w="523" w:type="pct"/>
            <w:vAlign w:val="bottom"/>
          </w:tcPr>
          <w:p w14:paraId="5FAC0A81" w14:textId="095CAB52" w:rsidR="005E0846" w:rsidRPr="00034E9B" w:rsidRDefault="005E0846" w:rsidP="005E0846">
            <w:pPr>
              <w:pStyle w:val="CGCTablerow"/>
            </w:pPr>
            <w:r w:rsidRPr="00034E9B">
              <w:t>NSW, NT</w:t>
            </w:r>
          </w:p>
        </w:tc>
        <w:tc>
          <w:tcPr>
            <w:tcW w:w="482" w:type="pct"/>
            <w:vAlign w:val="bottom"/>
          </w:tcPr>
          <w:p w14:paraId="661BEDEC" w14:textId="012794FA" w:rsidR="005E0846" w:rsidRPr="00034E9B" w:rsidRDefault="005E0846" w:rsidP="005E0846">
            <w:pPr>
              <w:pStyle w:val="CGCTablerow"/>
            </w:pPr>
            <w:r w:rsidRPr="00034E9B">
              <w:t>No</w:t>
            </w:r>
          </w:p>
        </w:tc>
        <w:tc>
          <w:tcPr>
            <w:tcW w:w="2309" w:type="pct"/>
            <w:gridSpan w:val="2"/>
            <w:vAlign w:val="bottom"/>
          </w:tcPr>
          <w:p w14:paraId="588368A0" w14:textId="77D3EE96" w:rsidR="005E0846" w:rsidRPr="00034E9B" w:rsidRDefault="005E0846" w:rsidP="005E0846">
            <w:pPr>
              <w:pStyle w:val="CGCTablerow"/>
            </w:pPr>
            <w:r w:rsidRPr="00034E9B">
              <w:t>No data to reliably calculate cost weight.</w:t>
            </w:r>
          </w:p>
        </w:tc>
      </w:tr>
      <w:tr w:rsidR="005E0846" w:rsidRPr="00034E9B" w14:paraId="5781482E" w14:textId="77777777" w:rsidTr="00C01414">
        <w:tc>
          <w:tcPr>
            <w:tcW w:w="1686" w:type="pct"/>
            <w:vAlign w:val="bottom"/>
          </w:tcPr>
          <w:p w14:paraId="0A631E33" w14:textId="5DC265B7" w:rsidR="005E0846" w:rsidRPr="00034E9B" w:rsidRDefault="006A2941" w:rsidP="005E0846">
            <w:pPr>
              <w:pStyle w:val="CGCTablerow"/>
            </w:pPr>
            <w:r>
              <w:t xml:space="preserve">Include </w:t>
            </w:r>
            <w:r w:rsidR="00024E5D">
              <w:t xml:space="preserve">a </w:t>
            </w:r>
            <w:r w:rsidR="005E0846" w:rsidRPr="00034E9B">
              <w:t>Indigenous cost weight</w:t>
            </w:r>
          </w:p>
        </w:tc>
        <w:tc>
          <w:tcPr>
            <w:tcW w:w="523" w:type="pct"/>
            <w:vAlign w:val="bottom"/>
          </w:tcPr>
          <w:p w14:paraId="178A3790" w14:textId="487760D2" w:rsidR="005E0846" w:rsidRPr="00034E9B" w:rsidRDefault="005E0846" w:rsidP="005E0846">
            <w:pPr>
              <w:pStyle w:val="CGCTablerow"/>
            </w:pPr>
            <w:r w:rsidRPr="00034E9B">
              <w:t>NT</w:t>
            </w:r>
          </w:p>
        </w:tc>
        <w:tc>
          <w:tcPr>
            <w:tcW w:w="482" w:type="pct"/>
            <w:vAlign w:val="bottom"/>
          </w:tcPr>
          <w:p w14:paraId="2C824929" w14:textId="34E699B0" w:rsidR="005E0846" w:rsidRPr="00034E9B" w:rsidRDefault="005E0846" w:rsidP="005E0846">
            <w:pPr>
              <w:pStyle w:val="CGCTablerow"/>
            </w:pPr>
            <w:r w:rsidRPr="00034E9B">
              <w:t>No</w:t>
            </w:r>
          </w:p>
        </w:tc>
        <w:tc>
          <w:tcPr>
            <w:tcW w:w="2309" w:type="pct"/>
            <w:gridSpan w:val="2"/>
            <w:vAlign w:val="bottom"/>
          </w:tcPr>
          <w:p w14:paraId="1D3D6610" w14:textId="39C3DB63" w:rsidR="005E0846" w:rsidRPr="00034E9B" w:rsidRDefault="005E0846" w:rsidP="005E0846">
            <w:pPr>
              <w:pStyle w:val="CGCTablerow"/>
              <w:rPr>
                <w:i/>
              </w:rPr>
            </w:pPr>
            <w:r w:rsidRPr="00034E9B">
              <w:t>No data to reliably calculate cost weight.</w:t>
            </w:r>
          </w:p>
        </w:tc>
      </w:tr>
      <w:tr w:rsidR="005E0846" w:rsidRPr="00034E9B" w14:paraId="5E706897" w14:textId="77777777" w:rsidTr="00C01414">
        <w:tc>
          <w:tcPr>
            <w:tcW w:w="1686" w:type="pct"/>
            <w:shd w:val="clear" w:color="auto" w:fill="auto"/>
          </w:tcPr>
          <w:p w14:paraId="15BAFAC9" w14:textId="69A44B41" w:rsidR="005E0846" w:rsidRPr="00034E9B" w:rsidRDefault="005E0846" w:rsidP="005E0846">
            <w:pPr>
              <w:pStyle w:val="CGCTablerow"/>
            </w:pPr>
            <w:r w:rsidRPr="00034E9B">
              <w:t>Combine New South Wales child protection data with AIHW data for the other States</w:t>
            </w:r>
          </w:p>
        </w:tc>
        <w:tc>
          <w:tcPr>
            <w:tcW w:w="523" w:type="pct"/>
            <w:shd w:val="clear" w:color="auto" w:fill="auto"/>
          </w:tcPr>
          <w:p w14:paraId="41339DFA" w14:textId="02CCA745" w:rsidR="005E0846" w:rsidRPr="00034E9B" w:rsidRDefault="005E0846" w:rsidP="005E0846">
            <w:pPr>
              <w:pStyle w:val="CGCTablerow"/>
            </w:pPr>
            <w:r w:rsidRPr="00034E9B">
              <w:t>NSW</w:t>
            </w:r>
          </w:p>
        </w:tc>
        <w:tc>
          <w:tcPr>
            <w:tcW w:w="482" w:type="pct"/>
            <w:shd w:val="clear" w:color="auto" w:fill="auto"/>
          </w:tcPr>
          <w:p w14:paraId="7440590F" w14:textId="3EEE1E94" w:rsidR="005E0846" w:rsidRPr="00034E9B" w:rsidRDefault="005E0846" w:rsidP="005E0846">
            <w:pPr>
              <w:pStyle w:val="CGCTablerow"/>
            </w:pPr>
            <w:r w:rsidRPr="00034E9B">
              <w:t>No</w:t>
            </w:r>
          </w:p>
        </w:tc>
        <w:tc>
          <w:tcPr>
            <w:tcW w:w="2309" w:type="pct"/>
            <w:gridSpan w:val="2"/>
            <w:shd w:val="clear" w:color="auto" w:fill="auto"/>
          </w:tcPr>
          <w:p w14:paraId="63A57B19" w14:textId="4130EC4A" w:rsidR="005E0846" w:rsidRPr="00034E9B" w:rsidRDefault="005E0846" w:rsidP="005E0846">
            <w:pPr>
              <w:pStyle w:val="CGCTablerow"/>
            </w:pPr>
            <w:r w:rsidRPr="00034E9B">
              <w:t>New South Wales has been requested to provide the data to AIHW to ensure it is compiled on a consistent basis for all States.</w:t>
            </w:r>
          </w:p>
        </w:tc>
      </w:tr>
      <w:tr w:rsidR="005E0846" w:rsidRPr="00034E9B" w14:paraId="5CB1CDB2" w14:textId="77777777" w:rsidTr="00C01414">
        <w:tc>
          <w:tcPr>
            <w:tcW w:w="1686" w:type="pct"/>
          </w:tcPr>
          <w:p w14:paraId="19694206" w14:textId="61487094" w:rsidR="005E0846" w:rsidRPr="00034E9B" w:rsidRDefault="005E0846" w:rsidP="005E0846">
            <w:pPr>
              <w:pStyle w:val="CGCTablerow"/>
            </w:pPr>
            <w:r w:rsidRPr="00034E9B">
              <w:t>Apply SDS disability to child protection and family services</w:t>
            </w:r>
          </w:p>
        </w:tc>
        <w:tc>
          <w:tcPr>
            <w:tcW w:w="523" w:type="pct"/>
          </w:tcPr>
          <w:p w14:paraId="7616997F" w14:textId="16B9A402" w:rsidR="005E0846" w:rsidRPr="00034E9B" w:rsidRDefault="005E0846" w:rsidP="005E0846">
            <w:pPr>
              <w:pStyle w:val="CGCTablerow"/>
            </w:pPr>
            <w:r w:rsidRPr="00034E9B">
              <w:t>Qld, WA, Tas, NT</w:t>
            </w:r>
          </w:p>
        </w:tc>
        <w:tc>
          <w:tcPr>
            <w:tcW w:w="482" w:type="pct"/>
          </w:tcPr>
          <w:p w14:paraId="5C0B9B9D" w14:textId="219D1E4B" w:rsidR="005E0846" w:rsidRPr="00034E9B" w:rsidRDefault="005E0846" w:rsidP="005E0846">
            <w:pPr>
              <w:pStyle w:val="CGCTablerow"/>
            </w:pPr>
            <w:r w:rsidRPr="00034E9B">
              <w:t>Yes</w:t>
            </w:r>
          </w:p>
        </w:tc>
        <w:tc>
          <w:tcPr>
            <w:tcW w:w="2309" w:type="pct"/>
            <w:gridSpan w:val="2"/>
          </w:tcPr>
          <w:p w14:paraId="445DC740" w14:textId="0BD0DC6A" w:rsidR="005E0846" w:rsidRPr="00034E9B" w:rsidRDefault="005E0846" w:rsidP="005E0846">
            <w:pPr>
              <w:pStyle w:val="CGCTablerow"/>
            </w:pPr>
            <w:r w:rsidRPr="00034E9B">
              <w:t xml:space="preserve">The combined general gradient, discounted </w:t>
            </w:r>
            <w:r w:rsidR="00981395">
              <w:t>25</w:t>
            </w:r>
            <w:r w:rsidRPr="00034E9B">
              <w:t>%, is used to recognise both SDS and regional costs.</w:t>
            </w:r>
          </w:p>
        </w:tc>
      </w:tr>
      <w:tr w:rsidR="005E0846" w:rsidRPr="00034E9B" w14:paraId="5889654F" w14:textId="77777777" w:rsidTr="00C01414">
        <w:tc>
          <w:tcPr>
            <w:tcW w:w="1686" w:type="pct"/>
            <w:vAlign w:val="bottom"/>
          </w:tcPr>
          <w:p w14:paraId="2C2D11A3" w14:textId="026BEB8F" w:rsidR="005E0846" w:rsidRPr="00034E9B" w:rsidRDefault="005E0846" w:rsidP="005E0846">
            <w:pPr>
              <w:pStyle w:val="CGCTablerow"/>
            </w:pPr>
            <w:r w:rsidRPr="00034E9B">
              <w:t>New measure for the SES assessment of the other welfare component</w:t>
            </w:r>
          </w:p>
        </w:tc>
        <w:tc>
          <w:tcPr>
            <w:tcW w:w="523" w:type="pct"/>
          </w:tcPr>
          <w:p w14:paraId="580A6A3D" w14:textId="6FD1A533" w:rsidR="005E0846" w:rsidRPr="00034E9B" w:rsidRDefault="005E0846" w:rsidP="005E0846">
            <w:pPr>
              <w:pStyle w:val="CGCTablerow"/>
            </w:pPr>
            <w:r w:rsidRPr="00034E9B">
              <w:t>NSW</w:t>
            </w:r>
          </w:p>
        </w:tc>
        <w:tc>
          <w:tcPr>
            <w:tcW w:w="482" w:type="pct"/>
          </w:tcPr>
          <w:p w14:paraId="229A7FB4" w14:textId="2EAB27E0" w:rsidR="005E0846" w:rsidRPr="00034E9B" w:rsidRDefault="005E0846" w:rsidP="005E0846">
            <w:pPr>
              <w:pStyle w:val="CGCTablerow"/>
            </w:pPr>
            <w:r w:rsidRPr="00034E9B">
              <w:t>No</w:t>
            </w:r>
          </w:p>
        </w:tc>
        <w:tc>
          <w:tcPr>
            <w:tcW w:w="2309" w:type="pct"/>
            <w:gridSpan w:val="2"/>
          </w:tcPr>
          <w:p w14:paraId="1C21D231" w14:textId="78486A6B" w:rsidR="005E0846" w:rsidRPr="00034E9B" w:rsidRDefault="005E0846" w:rsidP="005E0846">
            <w:pPr>
              <w:pStyle w:val="CGCTablerow"/>
            </w:pPr>
            <w:r w:rsidRPr="00034E9B">
              <w:t>Insufficient evidence to support an SES disability.</w:t>
            </w:r>
          </w:p>
        </w:tc>
      </w:tr>
      <w:tr w:rsidR="005E0846" w:rsidRPr="00034E9B" w14:paraId="31E3B975" w14:textId="77777777" w:rsidTr="00C01414">
        <w:tc>
          <w:tcPr>
            <w:tcW w:w="1686" w:type="pct"/>
          </w:tcPr>
          <w:p w14:paraId="2A007ACA" w14:textId="3D0FD7B1" w:rsidR="005E0846" w:rsidRPr="00034E9B" w:rsidRDefault="005E0846" w:rsidP="005E0846">
            <w:pPr>
              <w:pStyle w:val="CGCTablerow"/>
            </w:pPr>
            <w:r w:rsidRPr="00034E9B">
              <w:t>Apply a low SES measure for other welfare</w:t>
            </w:r>
          </w:p>
        </w:tc>
        <w:tc>
          <w:tcPr>
            <w:tcW w:w="523" w:type="pct"/>
          </w:tcPr>
          <w:p w14:paraId="6F737138" w14:textId="5969ACAD" w:rsidR="005E0846" w:rsidRPr="00034E9B" w:rsidRDefault="005E0846" w:rsidP="005E0846">
            <w:pPr>
              <w:pStyle w:val="CGCTablerow"/>
            </w:pPr>
            <w:r w:rsidRPr="00034E9B">
              <w:t>Qld, Tas, NT</w:t>
            </w:r>
          </w:p>
        </w:tc>
        <w:tc>
          <w:tcPr>
            <w:tcW w:w="482" w:type="pct"/>
          </w:tcPr>
          <w:p w14:paraId="3ACB6961" w14:textId="476F7645" w:rsidR="005E0846" w:rsidRPr="00034E9B" w:rsidRDefault="005E0846" w:rsidP="005E0846">
            <w:pPr>
              <w:pStyle w:val="CGCTablerow"/>
            </w:pPr>
            <w:r w:rsidRPr="00034E9B">
              <w:t>No</w:t>
            </w:r>
          </w:p>
        </w:tc>
        <w:tc>
          <w:tcPr>
            <w:tcW w:w="2309" w:type="pct"/>
            <w:gridSpan w:val="2"/>
          </w:tcPr>
          <w:p w14:paraId="289687C8" w14:textId="4FE1BA7E" w:rsidR="005E0846" w:rsidRPr="00034E9B" w:rsidRDefault="005E0846" w:rsidP="005E0846">
            <w:pPr>
              <w:pStyle w:val="CGCTablerow"/>
            </w:pPr>
            <w:r w:rsidRPr="00034E9B">
              <w:t>Insufficient evidence to support an SES disability.</w:t>
            </w:r>
          </w:p>
        </w:tc>
      </w:tr>
      <w:tr w:rsidR="005E0846" w:rsidRPr="00034E9B" w14:paraId="27279195" w14:textId="77777777" w:rsidTr="00C01414">
        <w:tc>
          <w:tcPr>
            <w:tcW w:w="1686" w:type="pct"/>
          </w:tcPr>
          <w:p w14:paraId="084E8105" w14:textId="52C61181" w:rsidR="005E0846" w:rsidRPr="00034E9B" w:rsidRDefault="005E0846" w:rsidP="005E0846">
            <w:pPr>
              <w:pStyle w:val="CGCTablerow"/>
            </w:pPr>
            <w:r w:rsidRPr="00034E9B">
              <w:t>Assess non-NDIS expenses using low SES</w:t>
            </w:r>
          </w:p>
        </w:tc>
        <w:tc>
          <w:tcPr>
            <w:tcW w:w="523" w:type="pct"/>
          </w:tcPr>
          <w:p w14:paraId="46B8432E" w14:textId="251E6A28" w:rsidR="005E0846" w:rsidRPr="00034E9B" w:rsidRDefault="005E0846" w:rsidP="005E0846">
            <w:pPr>
              <w:pStyle w:val="CGCTablerow"/>
            </w:pPr>
            <w:r w:rsidRPr="00034E9B">
              <w:t>SA, Tas, NT</w:t>
            </w:r>
          </w:p>
        </w:tc>
        <w:tc>
          <w:tcPr>
            <w:tcW w:w="482" w:type="pct"/>
          </w:tcPr>
          <w:p w14:paraId="25F6158D" w14:textId="6ADC2F0E" w:rsidR="005E0846" w:rsidRPr="00034E9B" w:rsidRDefault="005E0846" w:rsidP="005E0846">
            <w:pPr>
              <w:pStyle w:val="CGCTablerow"/>
            </w:pPr>
            <w:r w:rsidRPr="00034E9B">
              <w:t>No</w:t>
            </w:r>
          </w:p>
        </w:tc>
        <w:tc>
          <w:tcPr>
            <w:tcW w:w="2309" w:type="pct"/>
            <w:gridSpan w:val="2"/>
          </w:tcPr>
          <w:p w14:paraId="6CA593E4" w14:textId="3015304A" w:rsidR="005E0846" w:rsidRPr="00034E9B" w:rsidRDefault="005E0846" w:rsidP="005E0846">
            <w:pPr>
              <w:pStyle w:val="CGCTablerow"/>
            </w:pPr>
            <w:r w:rsidRPr="00034E9B">
              <w:t>Insufficient evidence to support an SES disability.</w:t>
            </w:r>
          </w:p>
        </w:tc>
      </w:tr>
      <w:tr w:rsidR="005E0846" w:rsidRPr="00034E9B" w14:paraId="49E74C57" w14:textId="77777777" w:rsidTr="00C01414">
        <w:tc>
          <w:tcPr>
            <w:tcW w:w="1686" w:type="pct"/>
          </w:tcPr>
          <w:p w14:paraId="3408CF6E" w14:textId="6284FFEC" w:rsidR="005E0846" w:rsidRPr="00034E9B" w:rsidRDefault="003813D4" w:rsidP="005E0846">
            <w:pPr>
              <w:pStyle w:val="CGCTablerow"/>
            </w:pPr>
            <w:r>
              <w:t>Assess</w:t>
            </w:r>
            <w:r w:rsidR="005E0846" w:rsidRPr="00034E9B">
              <w:t xml:space="preserve"> homelessness and other welfare costs</w:t>
            </w:r>
            <w:r>
              <w:t xml:space="preserve"> on an EPC basis</w:t>
            </w:r>
          </w:p>
        </w:tc>
        <w:tc>
          <w:tcPr>
            <w:tcW w:w="523" w:type="pct"/>
          </w:tcPr>
          <w:p w14:paraId="510A81AE" w14:textId="7A88E8C7" w:rsidR="005E0846" w:rsidRPr="00034E9B" w:rsidRDefault="005E0846" w:rsidP="005E0846">
            <w:pPr>
              <w:pStyle w:val="CGCTablerow"/>
            </w:pPr>
            <w:r w:rsidRPr="00034E9B">
              <w:t>WA</w:t>
            </w:r>
          </w:p>
        </w:tc>
        <w:tc>
          <w:tcPr>
            <w:tcW w:w="482" w:type="pct"/>
          </w:tcPr>
          <w:p w14:paraId="1B1DDE6F" w14:textId="33A382DA" w:rsidR="005E0846" w:rsidRPr="00034E9B" w:rsidRDefault="005E0846" w:rsidP="005E0846">
            <w:pPr>
              <w:pStyle w:val="CGCTablerow"/>
            </w:pPr>
            <w:r w:rsidRPr="00034E9B">
              <w:t>Yes</w:t>
            </w:r>
          </w:p>
        </w:tc>
        <w:tc>
          <w:tcPr>
            <w:tcW w:w="2309" w:type="pct"/>
            <w:gridSpan w:val="2"/>
          </w:tcPr>
          <w:p w14:paraId="63EB0337" w14:textId="790D37D7" w:rsidR="005E0846" w:rsidRPr="00034E9B" w:rsidRDefault="005E0846" w:rsidP="005E0846">
            <w:pPr>
              <w:pStyle w:val="CGCTablerow"/>
            </w:pPr>
            <w:r w:rsidRPr="00034E9B">
              <w:t>EPC assessment has been applied due to insufficient evidence to support an SES disability.</w:t>
            </w:r>
          </w:p>
        </w:tc>
      </w:tr>
      <w:tr w:rsidR="005E0846" w:rsidRPr="00034E9B" w14:paraId="20E37E8F" w14:textId="77777777" w:rsidTr="00C01414">
        <w:tc>
          <w:tcPr>
            <w:tcW w:w="1686" w:type="pct"/>
          </w:tcPr>
          <w:p w14:paraId="49688D02" w14:textId="05A07D29" w:rsidR="005E0846" w:rsidRPr="00034E9B" w:rsidRDefault="005E0846" w:rsidP="005E0846">
            <w:pPr>
              <w:pStyle w:val="CGCTablerow"/>
            </w:pPr>
            <w:r w:rsidRPr="00034E9B">
              <w:t>Apply a cross-border disability to category expenses</w:t>
            </w:r>
          </w:p>
        </w:tc>
        <w:tc>
          <w:tcPr>
            <w:tcW w:w="523" w:type="pct"/>
          </w:tcPr>
          <w:p w14:paraId="4AF652AD" w14:textId="64C2288A" w:rsidR="005E0846" w:rsidRPr="00034E9B" w:rsidRDefault="005E0846" w:rsidP="005E0846">
            <w:pPr>
              <w:pStyle w:val="CGCTablerow"/>
            </w:pPr>
            <w:r w:rsidRPr="00034E9B">
              <w:t>ACT</w:t>
            </w:r>
          </w:p>
        </w:tc>
        <w:tc>
          <w:tcPr>
            <w:tcW w:w="482" w:type="pct"/>
          </w:tcPr>
          <w:p w14:paraId="66CEA597" w14:textId="3E8B7C4C" w:rsidR="005E0846" w:rsidRPr="00034E9B" w:rsidRDefault="005E0846" w:rsidP="005E0846">
            <w:pPr>
              <w:pStyle w:val="CGCTablerow"/>
            </w:pPr>
            <w:r w:rsidRPr="00034E9B">
              <w:t>No</w:t>
            </w:r>
          </w:p>
        </w:tc>
        <w:tc>
          <w:tcPr>
            <w:tcW w:w="2309" w:type="pct"/>
            <w:gridSpan w:val="2"/>
          </w:tcPr>
          <w:p w14:paraId="20B37D88" w14:textId="28213A65" w:rsidR="005E0846" w:rsidRPr="00034E9B" w:rsidRDefault="005E0846" w:rsidP="005E0846">
            <w:pPr>
              <w:pStyle w:val="CGCTablerow"/>
            </w:pPr>
            <w:r w:rsidRPr="00034E9B">
              <w:t>Insufficient evidence to support a disability.</w:t>
            </w:r>
          </w:p>
        </w:tc>
      </w:tr>
      <w:tr w:rsidR="005E0846" w:rsidRPr="00034E9B" w14:paraId="5D9DD163" w14:textId="77777777" w:rsidTr="00C01414">
        <w:tc>
          <w:tcPr>
            <w:tcW w:w="1686" w:type="pct"/>
          </w:tcPr>
          <w:p w14:paraId="527AF79C" w14:textId="6BA7C88F" w:rsidR="005E0846" w:rsidRPr="00034E9B" w:rsidRDefault="005E0846" w:rsidP="005E0846">
            <w:pPr>
              <w:pStyle w:val="CGCTablerow"/>
            </w:pPr>
            <w:r w:rsidRPr="00034E9B">
              <w:t>Apply a cross-border disability to homelessness expenses</w:t>
            </w:r>
          </w:p>
        </w:tc>
        <w:tc>
          <w:tcPr>
            <w:tcW w:w="523" w:type="pct"/>
          </w:tcPr>
          <w:p w14:paraId="5279F656" w14:textId="2DC30525" w:rsidR="005E0846" w:rsidRPr="00034E9B" w:rsidRDefault="005E0846" w:rsidP="005E0846">
            <w:pPr>
              <w:pStyle w:val="CGCTablerow"/>
            </w:pPr>
            <w:r w:rsidRPr="00034E9B">
              <w:t>ACT</w:t>
            </w:r>
          </w:p>
        </w:tc>
        <w:tc>
          <w:tcPr>
            <w:tcW w:w="482" w:type="pct"/>
          </w:tcPr>
          <w:p w14:paraId="2BEC12D7" w14:textId="4C66BE6D" w:rsidR="005E0846" w:rsidRPr="00034E9B" w:rsidRDefault="005E0846" w:rsidP="005E0846">
            <w:pPr>
              <w:pStyle w:val="CGCTablerow"/>
            </w:pPr>
            <w:r w:rsidRPr="00034E9B">
              <w:t>Yes</w:t>
            </w:r>
          </w:p>
        </w:tc>
        <w:tc>
          <w:tcPr>
            <w:tcW w:w="2309" w:type="pct"/>
            <w:gridSpan w:val="2"/>
          </w:tcPr>
          <w:p w14:paraId="1A9B9487" w14:textId="64DEE19F" w:rsidR="005E0846" w:rsidRPr="00034E9B" w:rsidRDefault="005E0846" w:rsidP="005E0846">
            <w:pPr>
              <w:pStyle w:val="CGCTablerow"/>
            </w:pPr>
            <w:r w:rsidRPr="00034E9B">
              <w:t>There is a small cross-border effect for homelessness services.</w:t>
            </w:r>
          </w:p>
        </w:tc>
      </w:tr>
      <w:tr w:rsidR="005E0846" w:rsidRPr="00034E9B" w14:paraId="776D9396" w14:textId="77777777" w:rsidTr="00C01414">
        <w:trPr>
          <w:gridAfter w:val="1"/>
          <w:wAfter w:w="67" w:type="pct"/>
        </w:trPr>
        <w:tc>
          <w:tcPr>
            <w:tcW w:w="1686" w:type="pct"/>
            <w:shd w:val="clear" w:color="auto" w:fill="B6D5E4"/>
            <w:vAlign w:val="bottom"/>
          </w:tcPr>
          <w:p w14:paraId="0A76B4B6" w14:textId="0AC41F24" w:rsidR="005E0846" w:rsidRPr="00034E9B" w:rsidRDefault="005E0846" w:rsidP="005E0846">
            <w:pPr>
              <w:pStyle w:val="CGCTablesubhead1"/>
              <w:rPr>
                <w:lang w:val="en-AU"/>
              </w:rPr>
            </w:pPr>
            <w:r w:rsidRPr="00034E9B">
              <w:rPr>
                <w:lang w:val="en-AU"/>
              </w:rPr>
              <w:t>Housing</w:t>
            </w:r>
          </w:p>
        </w:tc>
        <w:tc>
          <w:tcPr>
            <w:tcW w:w="523" w:type="pct"/>
            <w:shd w:val="clear" w:color="auto" w:fill="B6D5E4"/>
            <w:vAlign w:val="bottom"/>
          </w:tcPr>
          <w:p w14:paraId="06FF5342" w14:textId="77777777" w:rsidR="005E0846" w:rsidRPr="00034E9B" w:rsidRDefault="005E0846" w:rsidP="005E0846">
            <w:pPr>
              <w:pStyle w:val="CGCTablesubhead1"/>
              <w:rPr>
                <w:lang w:val="en-AU"/>
              </w:rPr>
            </w:pPr>
          </w:p>
        </w:tc>
        <w:tc>
          <w:tcPr>
            <w:tcW w:w="482" w:type="pct"/>
            <w:shd w:val="clear" w:color="auto" w:fill="B6D5E4"/>
            <w:vAlign w:val="bottom"/>
          </w:tcPr>
          <w:p w14:paraId="0C29B3BE" w14:textId="77777777" w:rsidR="005E0846" w:rsidRPr="00034E9B" w:rsidRDefault="005E0846" w:rsidP="005E0846">
            <w:pPr>
              <w:pStyle w:val="CGCTablesubhead1"/>
              <w:rPr>
                <w:lang w:val="en-AU"/>
              </w:rPr>
            </w:pPr>
          </w:p>
        </w:tc>
        <w:tc>
          <w:tcPr>
            <w:tcW w:w="2242" w:type="pct"/>
            <w:shd w:val="clear" w:color="auto" w:fill="B6D5E4"/>
            <w:vAlign w:val="bottom"/>
          </w:tcPr>
          <w:p w14:paraId="36E12C4F" w14:textId="77777777" w:rsidR="005E0846" w:rsidRPr="00034E9B" w:rsidRDefault="005E0846" w:rsidP="005E0846">
            <w:pPr>
              <w:pStyle w:val="CGCTablesubhead1"/>
              <w:rPr>
                <w:lang w:val="en-AU"/>
              </w:rPr>
            </w:pPr>
          </w:p>
        </w:tc>
      </w:tr>
      <w:tr w:rsidR="005E0846" w:rsidRPr="00034E9B" w14:paraId="1EAD511F" w14:textId="77777777" w:rsidTr="00C01414">
        <w:trPr>
          <w:gridAfter w:val="1"/>
          <w:wAfter w:w="67" w:type="pct"/>
        </w:trPr>
        <w:tc>
          <w:tcPr>
            <w:tcW w:w="1686" w:type="pct"/>
          </w:tcPr>
          <w:p w14:paraId="41C3C6DF" w14:textId="793506D4" w:rsidR="005E0846" w:rsidRPr="00034E9B" w:rsidRDefault="005C21FC" w:rsidP="005E0846">
            <w:pPr>
              <w:pStyle w:val="CGCTablerow"/>
            </w:pPr>
            <w:r>
              <w:t>Recognise h</w:t>
            </w:r>
            <w:r w:rsidR="005E0846" w:rsidRPr="00034E9B">
              <w:t>igher costs associated with higher land prices</w:t>
            </w:r>
          </w:p>
        </w:tc>
        <w:tc>
          <w:tcPr>
            <w:tcW w:w="523" w:type="pct"/>
          </w:tcPr>
          <w:p w14:paraId="0EB129B6" w14:textId="61158B4B" w:rsidR="005E0846" w:rsidRPr="00034E9B" w:rsidRDefault="005E0846" w:rsidP="005E0846">
            <w:pPr>
              <w:pStyle w:val="CGCTablerow"/>
            </w:pPr>
            <w:r w:rsidRPr="00034E9B">
              <w:t>NSW, Vic</w:t>
            </w:r>
          </w:p>
        </w:tc>
        <w:tc>
          <w:tcPr>
            <w:tcW w:w="482" w:type="pct"/>
          </w:tcPr>
          <w:p w14:paraId="3D99F6A5" w14:textId="5D255744" w:rsidR="005E0846" w:rsidRPr="00034E9B" w:rsidRDefault="005E0846" w:rsidP="005E0846">
            <w:pPr>
              <w:pStyle w:val="CGCTablerow"/>
            </w:pPr>
            <w:r w:rsidRPr="00034E9B">
              <w:t>No</w:t>
            </w:r>
          </w:p>
        </w:tc>
        <w:tc>
          <w:tcPr>
            <w:tcW w:w="2242" w:type="pct"/>
          </w:tcPr>
          <w:p w14:paraId="5697F560" w14:textId="7C7700EC" w:rsidR="005E0846" w:rsidRPr="00034E9B" w:rsidRDefault="005E0846" w:rsidP="005E0846">
            <w:pPr>
              <w:pStyle w:val="CGCTablerow"/>
            </w:pPr>
            <w:r w:rsidRPr="00034E9B">
              <w:t>There is little evidence linking land prices to social housing costs.</w:t>
            </w:r>
          </w:p>
        </w:tc>
      </w:tr>
      <w:tr w:rsidR="005E0846" w:rsidRPr="00034E9B" w14:paraId="25E84332" w14:textId="77777777" w:rsidTr="00C01414">
        <w:trPr>
          <w:gridAfter w:val="1"/>
          <w:wAfter w:w="67" w:type="pct"/>
        </w:trPr>
        <w:tc>
          <w:tcPr>
            <w:tcW w:w="1686" w:type="pct"/>
          </w:tcPr>
          <w:p w14:paraId="7A0DE5A7" w14:textId="4A276DB6" w:rsidR="005E0846" w:rsidRPr="00034E9B" w:rsidRDefault="005C21FC" w:rsidP="005E0846">
            <w:pPr>
              <w:pStyle w:val="CGCTablerow"/>
            </w:pPr>
            <w:r>
              <w:t xml:space="preserve">Include a </w:t>
            </w:r>
            <w:r w:rsidR="005E0846" w:rsidRPr="00034E9B">
              <w:t>CALD cost weight</w:t>
            </w:r>
          </w:p>
        </w:tc>
        <w:tc>
          <w:tcPr>
            <w:tcW w:w="523" w:type="pct"/>
          </w:tcPr>
          <w:p w14:paraId="02303E3E" w14:textId="0ED528C4" w:rsidR="005E0846" w:rsidRPr="00034E9B" w:rsidRDefault="005E0846" w:rsidP="005E0846">
            <w:pPr>
              <w:pStyle w:val="CGCTablerow"/>
            </w:pPr>
            <w:r w:rsidRPr="00034E9B">
              <w:t>NSW</w:t>
            </w:r>
          </w:p>
        </w:tc>
        <w:tc>
          <w:tcPr>
            <w:tcW w:w="482" w:type="pct"/>
          </w:tcPr>
          <w:p w14:paraId="0FD08CB2" w14:textId="15BA82F8" w:rsidR="005E0846" w:rsidRPr="00034E9B" w:rsidRDefault="005E0846" w:rsidP="005E0846">
            <w:pPr>
              <w:pStyle w:val="CGCTablerow"/>
            </w:pPr>
            <w:r w:rsidRPr="00034E9B">
              <w:t>No</w:t>
            </w:r>
          </w:p>
        </w:tc>
        <w:tc>
          <w:tcPr>
            <w:tcW w:w="2242" w:type="pct"/>
            <w:vAlign w:val="bottom"/>
          </w:tcPr>
          <w:p w14:paraId="4EB236AC" w14:textId="2507703A" w:rsidR="005E0846" w:rsidRPr="00034E9B" w:rsidRDefault="005E0846" w:rsidP="005E0846">
            <w:pPr>
              <w:pStyle w:val="CGCTablerow"/>
            </w:pPr>
            <w:r w:rsidRPr="00034E9B">
              <w:t>A CALD cost weight based on language proficiency is not material.</w:t>
            </w:r>
          </w:p>
        </w:tc>
      </w:tr>
      <w:tr w:rsidR="005E0846" w:rsidRPr="00034E9B" w14:paraId="548398C3" w14:textId="77777777" w:rsidTr="00C01414">
        <w:trPr>
          <w:gridAfter w:val="1"/>
          <w:wAfter w:w="67" w:type="pct"/>
        </w:trPr>
        <w:tc>
          <w:tcPr>
            <w:tcW w:w="1686" w:type="pct"/>
          </w:tcPr>
          <w:p w14:paraId="5A669F6B" w14:textId="42202FAF" w:rsidR="005E0846" w:rsidRPr="00034E9B" w:rsidRDefault="005E0846" w:rsidP="005E0846">
            <w:pPr>
              <w:pStyle w:val="CGCTablerow"/>
            </w:pPr>
            <w:r w:rsidRPr="00034E9B">
              <w:t>Indigenous adjustment to rental revenue</w:t>
            </w:r>
          </w:p>
        </w:tc>
        <w:tc>
          <w:tcPr>
            <w:tcW w:w="523" w:type="pct"/>
          </w:tcPr>
          <w:p w14:paraId="2DFEA5F0" w14:textId="25FB60C9" w:rsidR="005E0846" w:rsidRPr="00034E9B" w:rsidRDefault="00630DC6" w:rsidP="005E0846">
            <w:pPr>
              <w:pStyle w:val="CGCTablerow"/>
            </w:pPr>
            <w:r w:rsidRPr="00034E9B">
              <w:t>Qld</w:t>
            </w:r>
          </w:p>
        </w:tc>
        <w:tc>
          <w:tcPr>
            <w:tcW w:w="482" w:type="pct"/>
          </w:tcPr>
          <w:p w14:paraId="1D30A867" w14:textId="37592CDA" w:rsidR="005E0846" w:rsidRPr="00034E9B" w:rsidRDefault="005E0846" w:rsidP="005E0846">
            <w:pPr>
              <w:pStyle w:val="CGCTablerow"/>
            </w:pPr>
            <w:r w:rsidRPr="00034E9B">
              <w:t>No</w:t>
            </w:r>
          </w:p>
        </w:tc>
        <w:tc>
          <w:tcPr>
            <w:tcW w:w="2242" w:type="pct"/>
            <w:vAlign w:val="bottom"/>
          </w:tcPr>
          <w:p w14:paraId="6EB94471" w14:textId="5BE61BA7" w:rsidR="005E0846" w:rsidRPr="00034E9B" w:rsidRDefault="005E0846" w:rsidP="005E0846">
            <w:pPr>
              <w:pStyle w:val="CGCTablerow"/>
            </w:pPr>
            <w:r w:rsidRPr="00034E9B">
              <w:t>An assessment of the cost of differential rental arrears rates between Indigenous and non</w:t>
            </w:r>
            <w:r w:rsidRPr="00034E9B">
              <w:noBreakHyphen/>
              <w:t>Indigenous households would not be material.</w:t>
            </w:r>
          </w:p>
        </w:tc>
      </w:tr>
      <w:tr w:rsidR="005E0846" w:rsidRPr="00034E9B" w14:paraId="2D0014A6" w14:textId="77777777" w:rsidTr="00C01414">
        <w:trPr>
          <w:gridAfter w:val="1"/>
          <w:wAfter w:w="67" w:type="pct"/>
        </w:trPr>
        <w:tc>
          <w:tcPr>
            <w:tcW w:w="1686" w:type="pct"/>
          </w:tcPr>
          <w:p w14:paraId="57885877" w14:textId="4A406BE9" w:rsidR="005E0846" w:rsidRPr="00034E9B" w:rsidRDefault="005E0846" w:rsidP="005E0846">
            <w:pPr>
              <w:pStyle w:val="CGCTablerow"/>
            </w:pPr>
            <w:r w:rsidRPr="00034E9B">
              <w:t>Recognition of clients with a disability</w:t>
            </w:r>
          </w:p>
        </w:tc>
        <w:tc>
          <w:tcPr>
            <w:tcW w:w="523" w:type="pct"/>
          </w:tcPr>
          <w:p w14:paraId="24B6AF17" w14:textId="05FFA99D" w:rsidR="005E0846" w:rsidRPr="00034E9B" w:rsidRDefault="00630DC6" w:rsidP="005E0846">
            <w:pPr>
              <w:pStyle w:val="CGCTablerow"/>
              <w:rPr>
                <w:b/>
              </w:rPr>
            </w:pPr>
            <w:r w:rsidRPr="00034E9B">
              <w:t>Qld</w:t>
            </w:r>
            <w:r w:rsidR="005E0846" w:rsidRPr="00034E9B">
              <w:t>, Tas</w:t>
            </w:r>
          </w:p>
        </w:tc>
        <w:tc>
          <w:tcPr>
            <w:tcW w:w="482" w:type="pct"/>
          </w:tcPr>
          <w:p w14:paraId="0F67C160" w14:textId="11A5F8C0" w:rsidR="005E0846" w:rsidRPr="00034E9B" w:rsidRDefault="005E0846" w:rsidP="005E0846">
            <w:pPr>
              <w:pStyle w:val="CGCTablerow"/>
              <w:rPr>
                <w:b/>
              </w:rPr>
            </w:pPr>
            <w:r w:rsidRPr="00034E9B">
              <w:t>No</w:t>
            </w:r>
          </w:p>
        </w:tc>
        <w:tc>
          <w:tcPr>
            <w:tcW w:w="2242" w:type="pct"/>
          </w:tcPr>
          <w:p w14:paraId="1A72464F" w14:textId="0B703C29" w:rsidR="005E0846" w:rsidRPr="00034E9B" w:rsidRDefault="005E0846" w:rsidP="005E0846">
            <w:pPr>
              <w:pStyle w:val="CGCTablerow"/>
              <w:rPr>
                <w:b/>
              </w:rPr>
            </w:pPr>
            <w:r w:rsidRPr="00034E9B">
              <w:t>No data to reliably calculate cost weight.</w:t>
            </w:r>
          </w:p>
        </w:tc>
      </w:tr>
      <w:tr w:rsidR="005E0846" w:rsidRPr="00034E9B" w14:paraId="023D7D02" w14:textId="77777777" w:rsidTr="00C01414">
        <w:trPr>
          <w:gridAfter w:val="1"/>
          <w:wAfter w:w="67" w:type="pct"/>
        </w:trPr>
        <w:tc>
          <w:tcPr>
            <w:tcW w:w="1686" w:type="pct"/>
          </w:tcPr>
          <w:p w14:paraId="7724F6DF" w14:textId="5A294E44" w:rsidR="005E0846" w:rsidRPr="00034E9B" w:rsidRDefault="005E0846" w:rsidP="005E0846">
            <w:pPr>
              <w:pStyle w:val="CGCTablerow"/>
            </w:pPr>
            <w:r w:rsidRPr="00034E9B">
              <w:t>Update Indigenous and maintenance cost weights</w:t>
            </w:r>
          </w:p>
        </w:tc>
        <w:tc>
          <w:tcPr>
            <w:tcW w:w="523" w:type="pct"/>
          </w:tcPr>
          <w:p w14:paraId="601FCFA8" w14:textId="5B8FE8AE" w:rsidR="005E0846" w:rsidRPr="00034E9B" w:rsidRDefault="005E0846" w:rsidP="005E0846">
            <w:pPr>
              <w:pStyle w:val="CGCTablerow"/>
              <w:rPr>
                <w:b/>
              </w:rPr>
            </w:pPr>
            <w:r w:rsidRPr="00034E9B">
              <w:t>WA, NT</w:t>
            </w:r>
          </w:p>
        </w:tc>
        <w:tc>
          <w:tcPr>
            <w:tcW w:w="482" w:type="pct"/>
          </w:tcPr>
          <w:p w14:paraId="3F6E499B" w14:textId="7C85E449" w:rsidR="005E0846" w:rsidRPr="00034E9B" w:rsidRDefault="005E0846" w:rsidP="005E0846">
            <w:pPr>
              <w:pStyle w:val="CGCTablerow"/>
              <w:rPr>
                <w:b/>
              </w:rPr>
            </w:pPr>
            <w:r w:rsidRPr="00034E9B">
              <w:t>Yes</w:t>
            </w:r>
          </w:p>
        </w:tc>
        <w:tc>
          <w:tcPr>
            <w:tcW w:w="2242" w:type="pct"/>
          </w:tcPr>
          <w:p w14:paraId="050A9687" w14:textId="01D05B60" w:rsidR="005E0846" w:rsidRPr="00034E9B" w:rsidRDefault="005E0846" w:rsidP="005E0846">
            <w:pPr>
              <w:pStyle w:val="CGCTablerow"/>
              <w:rPr>
                <w:b/>
              </w:rPr>
            </w:pPr>
            <w:r w:rsidRPr="00034E9B">
              <w:t xml:space="preserve">The data collected from the States suggested that the 2015 Review </w:t>
            </w:r>
            <w:r w:rsidR="00C732C9">
              <w:t xml:space="preserve">Indigenous cost weight should be reduced </w:t>
            </w:r>
            <w:r w:rsidR="007817C8">
              <w:t xml:space="preserve">and </w:t>
            </w:r>
            <w:r w:rsidR="006C3BF4">
              <w:t>the maintenance cost weight</w:t>
            </w:r>
            <w:r w:rsidR="00CD7C87">
              <w:t xml:space="preserve"> retained</w:t>
            </w:r>
            <w:r w:rsidRPr="00034E9B">
              <w:t>.</w:t>
            </w:r>
          </w:p>
        </w:tc>
      </w:tr>
      <w:tr w:rsidR="005E0846" w:rsidRPr="00034E9B" w14:paraId="7BD9B2CB" w14:textId="77777777" w:rsidTr="00C01414">
        <w:trPr>
          <w:gridAfter w:val="1"/>
          <w:wAfter w:w="67" w:type="pct"/>
        </w:trPr>
        <w:tc>
          <w:tcPr>
            <w:tcW w:w="1686" w:type="pct"/>
            <w:shd w:val="clear" w:color="auto" w:fill="B6D5E4"/>
            <w:vAlign w:val="bottom"/>
          </w:tcPr>
          <w:p w14:paraId="0BF15F8A" w14:textId="3C67EFFB" w:rsidR="005E0846" w:rsidRPr="00034E9B" w:rsidRDefault="005E0846" w:rsidP="005E0846">
            <w:pPr>
              <w:pStyle w:val="CGCTablesubhead1"/>
              <w:rPr>
                <w:lang w:val="en-AU"/>
              </w:rPr>
            </w:pPr>
            <w:r w:rsidRPr="00034E9B">
              <w:rPr>
                <w:lang w:val="en-AU"/>
              </w:rPr>
              <w:t>Services to communities</w:t>
            </w:r>
          </w:p>
        </w:tc>
        <w:tc>
          <w:tcPr>
            <w:tcW w:w="523" w:type="pct"/>
            <w:shd w:val="clear" w:color="auto" w:fill="B6D5E4"/>
            <w:vAlign w:val="bottom"/>
          </w:tcPr>
          <w:p w14:paraId="45EAF23F" w14:textId="77777777" w:rsidR="005E0846" w:rsidRPr="00034E9B" w:rsidRDefault="005E0846" w:rsidP="005E0846">
            <w:pPr>
              <w:pStyle w:val="CGCTablesubhead1"/>
              <w:rPr>
                <w:lang w:val="en-AU"/>
              </w:rPr>
            </w:pPr>
          </w:p>
        </w:tc>
        <w:tc>
          <w:tcPr>
            <w:tcW w:w="482" w:type="pct"/>
            <w:shd w:val="clear" w:color="auto" w:fill="B6D5E4"/>
            <w:vAlign w:val="bottom"/>
          </w:tcPr>
          <w:p w14:paraId="615C45CC" w14:textId="77777777" w:rsidR="005E0846" w:rsidRPr="00034E9B" w:rsidRDefault="005E0846" w:rsidP="005E0846">
            <w:pPr>
              <w:pStyle w:val="CGCTablesubhead1"/>
              <w:rPr>
                <w:lang w:val="en-AU"/>
              </w:rPr>
            </w:pPr>
          </w:p>
        </w:tc>
        <w:tc>
          <w:tcPr>
            <w:tcW w:w="2242" w:type="pct"/>
            <w:shd w:val="clear" w:color="auto" w:fill="B6D5E4"/>
            <w:vAlign w:val="bottom"/>
          </w:tcPr>
          <w:p w14:paraId="2BEE9BBF" w14:textId="77777777" w:rsidR="005E0846" w:rsidRPr="00034E9B" w:rsidRDefault="005E0846" w:rsidP="005E0846">
            <w:pPr>
              <w:pStyle w:val="CGCTablesubhead1"/>
              <w:rPr>
                <w:lang w:val="en-AU"/>
              </w:rPr>
            </w:pPr>
          </w:p>
        </w:tc>
      </w:tr>
      <w:tr w:rsidR="005E0846" w:rsidRPr="00034E9B" w14:paraId="64322B88" w14:textId="77777777" w:rsidTr="00C01414">
        <w:trPr>
          <w:gridAfter w:val="1"/>
          <w:wAfter w:w="67" w:type="pct"/>
        </w:trPr>
        <w:tc>
          <w:tcPr>
            <w:tcW w:w="1686" w:type="pct"/>
          </w:tcPr>
          <w:p w14:paraId="69AD0FBA" w14:textId="72574E27" w:rsidR="005E0846" w:rsidRPr="00034E9B" w:rsidRDefault="005E0846" w:rsidP="005E0846">
            <w:pPr>
              <w:pStyle w:val="CGCTablerow"/>
            </w:pPr>
            <w:r w:rsidRPr="00034E9B">
              <w:t>Continue applying a regional cost weight and SDS to electricity subsidies</w:t>
            </w:r>
          </w:p>
        </w:tc>
        <w:tc>
          <w:tcPr>
            <w:tcW w:w="523" w:type="pct"/>
          </w:tcPr>
          <w:p w14:paraId="2F4147AF" w14:textId="29510DD5" w:rsidR="005E0846" w:rsidRPr="00034E9B" w:rsidRDefault="005E0846" w:rsidP="005E0846">
            <w:pPr>
              <w:pStyle w:val="CGCTablerow"/>
            </w:pPr>
            <w:r w:rsidRPr="00034E9B">
              <w:t>NT</w:t>
            </w:r>
          </w:p>
        </w:tc>
        <w:tc>
          <w:tcPr>
            <w:tcW w:w="482" w:type="pct"/>
          </w:tcPr>
          <w:p w14:paraId="7667DABD" w14:textId="14C29658" w:rsidR="005E0846" w:rsidRPr="00034E9B" w:rsidRDefault="005E0846" w:rsidP="005E0846">
            <w:pPr>
              <w:pStyle w:val="CGCTablerow"/>
            </w:pPr>
            <w:r w:rsidRPr="00034E9B">
              <w:t>Yes</w:t>
            </w:r>
          </w:p>
        </w:tc>
        <w:tc>
          <w:tcPr>
            <w:tcW w:w="2242" w:type="pct"/>
          </w:tcPr>
          <w:p w14:paraId="093F8085" w14:textId="4729686F" w:rsidR="005E0846" w:rsidRPr="00034E9B" w:rsidRDefault="005E0846" w:rsidP="005E0846">
            <w:pPr>
              <w:pStyle w:val="CGCTablerow"/>
            </w:pPr>
            <w:r w:rsidRPr="00034E9B">
              <w:t>The</w:t>
            </w:r>
            <w:r w:rsidR="00087D35">
              <w:t xml:space="preserve"> remoteness cost weights in the </w:t>
            </w:r>
            <w:r w:rsidRPr="00034E9B">
              <w:t xml:space="preserve">new method </w:t>
            </w:r>
            <w:r w:rsidR="00087D35">
              <w:t>capture regional and SDS costs.</w:t>
            </w:r>
          </w:p>
        </w:tc>
      </w:tr>
      <w:tr w:rsidR="005E0846" w:rsidRPr="00034E9B" w14:paraId="25C4B5AB" w14:textId="77777777" w:rsidTr="00C01414">
        <w:trPr>
          <w:gridAfter w:val="1"/>
          <w:wAfter w:w="67" w:type="pct"/>
        </w:trPr>
        <w:tc>
          <w:tcPr>
            <w:tcW w:w="1686" w:type="pct"/>
          </w:tcPr>
          <w:p w14:paraId="73BCE99A" w14:textId="0BE4B2A5" w:rsidR="005E0846" w:rsidRPr="00034E9B" w:rsidRDefault="00F14223" w:rsidP="005E0846">
            <w:pPr>
              <w:pStyle w:val="CGCTablerow"/>
            </w:pPr>
            <w:r>
              <w:t>Differ</w:t>
            </w:r>
            <w:r w:rsidR="00B1457F">
              <w:t>entially assess e</w:t>
            </w:r>
            <w:r w:rsidR="005E0846" w:rsidRPr="00034E9B">
              <w:t>lectricity subsidies for large remote and very remote communities</w:t>
            </w:r>
          </w:p>
        </w:tc>
        <w:tc>
          <w:tcPr>
            <w:tcW w:w="523" w:type="pct"/>
          </w:tcPr>
          <w:p w14:paraId="315ABA0C" w14:textId="20CC2BAF" w:rsidR="005E0846" w:rsidRPr="00034E9B" w:rsidRDefault="005E0846" w:rsidP="005E0846">
            <w:pPr>
              <w:pStyle w:val="CGCTablerow"/>
            </w:pPr>
            <w:r w:rsidRPr="00034E9B">
              <w:t>WA</w:t>
            </w:r>
          </w:p>
        </w:tc>
        <w:tc>
          <w:tcPr>
            <w:tcW w:w="482" w:type="pct"/>
          </w:tcPr>
          <w:p w14:paraId="00A03701" w14:textId="50D7FB9C" w:rsidR="005E0846" w:rsidRPr="00034E9B" w:rsidRDefault="005E0846" w:rsidP="005E0846">
            <w:pPr>
              <w:pStyle w:val="CGCTablerow"/>
            </w:pPr>
            <w:r w:rsidRPr="00034E9B">
              <w:t>Yes</w:t>
            </w:r>
          </w:p>
        </w:tc>
        <w:tc>
          <w:tcPr>
            <w:tcW w:w="2242" w:type="pct"/>
          </w:tcPr>
          <w:p w14:paraId="1D6AD045" w14:textId="0ADCB75C" w:rsidR="005E0846" w:rsidRPr="00034E9B" w:rsidRDefault="005E0846" w:rsidP="005E0846">
            <w:pPr>
              <w:pStyle w:val="CGCTablerow"/>
            </w:pPr>
            <w:r w:rsidRPr="00034E9B">
              <w:t>Data show that these communities receive subsidies to offset higher costs.</w:t>
            </w:r>
          </w:p>
        </w:tc>
      </w:tr>
      <w:tr w:rsidR="005E0846" w:rsidRPr="00034E9B" w14:paraId="6562DAFF" w14:textId="77777777" w:rsidTr="00C01414">
        <w:trPr>
          <w:gridAfter w:val="1"/>
          <w:wAfter w:w="67" w:type="pct"/>
        </w:trPr>
        <w:tc>
          <w:tcPr>
            <w:tcW w:w="1686" w:type="pct"/>
          </w:tcPr>
          <w:p w14:paraId="067A34DB" w14:textId="42A85408" w:rsidR="005E0846" w:rsidRPr="00034E9B" w:rsidRDefault="00F14223" w:rsidP="005E0846">
            <w:pPr>
              <w:pStyle w:val="CGCTablerow"/>
            </w:pPr>
            <w:r>
              <w:t>Recognise an i</w:t>
            </w:r>
            <w:r w:rsidR="005E0846" w:rsidRPr="00034E9B">
              <w:t>mplicit electricity subsid</w:t>
            </w:r>
            <w:r>
              <w:t>y</w:t>
            </w:r>
            <w:r w:rsidR="005E0846" w:rsidRPr="00034E9B">
              <w:t xml:space="preserve"> for the South West Interconnected System</w:t>
            </w:r>
            <w:r>
              <w:t xml:space="preserve"> in Western Australia</w:t>
            </w:r>
          </w:p>
        </w:tc>
        <w:tc>
          <w:tcPr>
            <w:tcW w:w="523" w:type="pct"/>
          </w:tcPr>
          <w:p w14:paraId="194A7B95" w14:textId="63BBABA0" w:rsidR="005E0846" w:rsidRPr="00034E9B" w:rsidRDefault="005E0846" w:rsidP="005E0846">
            <w:pPr>
              <w:pStyle w:val="CGCTablerow"/>
            </w:pPr>
            <w:r w:rsidRPr="00034E9B">
              <w:t>WA</w:t>
            </w:r>
          </w:p>
        </w:tc>
        <w:tc>
          <w:tcPr>
            <w:tcW w:w="482" w:type="pct"/>
          </w:tcPr>
          <w:p w14:paraId="5973BFEF" w14:textId="6284DC7C" w:rsidR="005E0846" w:rsidRPr="00034E9B" w:rsidRDefault="005E0846" w:rsidP="005E0846">
            <w:pPr>
              <w:pStyle w:val="CGCTablerow"/>
            </w:pPr>
            <w:r w:rsidRPr="00034E9B">
              <w:t>No</w:t>
            </w:r>
          </w:p>
        </w:tc>
        <w:tc>
          <w:tcPr>
            <w:tcW w:w="2242" w:type="pct"/>
          </w:tcPr>
          <w:p w14:paraId="489709E1" w14:textId="0A434152" w:rsidR="005E0846" w:rsidRPr="00034E9B" w:rsidRDefault="005E0846" w:rsidP="005E0846">
            <w:pPr>
              <w:pStyle w:val="CGCTablerow"/>
            </w:pPr>
            <w:r w:rsidRPr="00034E9B">
              <w:t>This network is not subsidised, and if it were, it would be considered largely the result of State policies</w:t>
            </w:r>
            <w:r w:rsidR="0009346B">
              <w:t>.</w:t>
            </w:r>
          </w:p>
        </w:tc>
      </w:tr>
      <w:tr w:rsidR="005E0846" w:rsidRPr="00034E9B" w14:paraId="6B9AB77F" w14:textId="77777777" w:rsidTr="00C01414">
        <w:trPr>
          <w:gridAfter w:val="1"/>
          <w:wAfter w:w="67" w:type="pct"/>
        </w:trPr>
        <w:tc>
          <w:tcPr>
            <w:tcW w:w="1686" w:type="pct"/>
          </w:tcPr>
          <w:p w14:paraId="1C7855CF" w14:textId="3E1DD869" w:rsidR="005E0846" w:rsidRPr="00034E9B" w:rsidRDefault="005E0846" w:rsidP="005E0846">
            <w:pPr>
              <w:pStyle w:val="CGCTablerow"/>
            </w:pPr>
            <w:r w:rsidRPr="00034E9B">
              <w:t>Recognise higher electricity consumption in Darwin</w:t>
            </w:r>
          </w:p>
        </w:tc>
        <w:tc>
          <w:tcPr>
            <w:tcW w:w="523" w:type="pct"/>
          </w:tcPr>
          <w:p w14:paraId="4F80B2A0" w14:textId="2AB5B5E8" w:rsidR="005E0846" w:rsidRPr="00034E9B" w:rsidRDefault="005E0846" w:rsidP="005E0846">
            <w:pPr>
              <w:pStyle w:val="CGCTablerow"/>
            </w:pPr>
            <w:r w:rsidRPr="00034E9B">
              <w:t>NT</w:t>
            </w:r>
          </w:p>
        </w:tc>
        <w:tc>
          <w:tcPr>
            <w:tcW w:w="482" w:type="pct"/>
          </w:tcPr>
          <w:p w14:paraId="17518875" w14:textId="45ED47A4" w:rsidR="005E0846" w:rsidRPr="00034E9B" w:rsidRDefault="005E0846" w:rsidP="005E0846">
            <w:pPr>
              <w:pStyle w:val="CGCTablerow"/>
            </w:pPr>
            <w:r w:rsidRPr="00034E9B">
              <w:t>No</w:t>
            </w:r>
          </w:p>
        </w:tc>
        <w:tc>
          <w:tcPr>
            <w:tcW w:w="2242" w:type="pct"/>
          </w:tcPr>
          <w:p w14:paraId="2DECAC4C" w14:textId="15C319B7" w:rsidR="005E0846" w:rsidRPr="00034E9B" w:rsidRDefault="005E0846" w:rsidP="005E0846">
            <w:pPr>
              <w:pStyle w:val="CGCTablerow"/>
            </w:pPr>
            <w:r w:rsidRPr="00034E9B">
              <w:t>NT consumption is comparable to colder southern States.</w:t>
            </w:r>
          </w:p>
        </w:tc>
      </w:tr>
      <w:tr w:rsidR="005E0846" w:rsidRPr="00034E9B" w14:paraId="00970CA6" w14:textId="77777777" w:rsidTr="00C01414">
        <w:trPr>
          <w:gridAfter w:val="1"/>
          <w:wAfter w:w="67" w:type="pct"/>
        </w:trPr>
        <w:tc>
          <w:tcPr>
            <w:tcW w:w="1686" w:type="pct"/>
          </w:tcPr>
          <w:p w14:paraId="297E85D0" w14:textId="59428B74" w:rsidR="005E0846" w:rsidRPr="00034E9B" w:rsidRDefault="00F14223" w:rsidP="005E0846">
            <w:pPr>
              <w:pStyle w:val="CGCTablerow"/>
            </w:pPr>
            <w:r>
              <w:t>Assess a w</w:t>
            </w:r>
            <w:r w:rsidR="005E0846" w:rsidRPr="00034E9B">
              <w:t>ater quality</w:t>
            </w:r>
          </w:p>
        </w:tc>
        <w:tc>
          <w:tcPr>
            <w:tcW w:w="523" w:type="pct"/>
          </w:tcPr>
          <w:p w14:paraId="75E04E02" w14:textId="52A4F219" w:rsidR="005E0846" w:rsidRPr="00034E9B" w:rsidRDefault="005E0846" w:rsidP="005E0846">
            <w:pPr>
              <w:pStyle w:val="CGCTablerow"/>
            </w:pPr>
            <w:r w:rsidRPr="00034E9B">
              <w:t>SA</w:t>
            </w:r>
          </w:p>
        </w:tc>
        <w:tc>
          <w:tcPr>
            <w:tcW w:w="482" w:type="pct"/>
          </w:tcPr>
          <w:p w14:paraId="391D8D93" w14:textId="222F442A" w:rsidR="005E0846" w:rsidRPr="00034E9B" w:rsidRDefault="005E0846" w:rsidP="005E0846">
            <w:pPr>
              <w:pStyle w:val="CGCTablerow"/>
            </w:pPr>
            <w:r w:rsidRPr="00034E9B">
              <w:t>No</w:t>
            </w:r>
          </w:p>
        </w:tc>
        <w:tc>
          <w:tcPr>
            <w:tcW w:w="2242" w:type="pct"/>
          </w:tcPr>
          <w:p w14:paraId="3DCD1B24" w14:textId="3B5E649B" w:rsidR="005E0846" w:rsidRPr="00034E9B" w:rsidRDefault="005E0846" w:rsidP="005E0846">
            <w:pPr>
              <w:pStyle w:val="CGCTablerow"/>
            </w:pPr>
            <w:r w:rsidRPr="00034E9B">
              <w:t>Unable to find data to support an assessment of this disability.</w:t>
            </w:r>
          </w:p>
        </w:tc>
      </w:tr>
      <w:tr w:rsidR="005E0846" w:rsidRPr="00034E9B" w14:paraId="1171436E" w14:textId="77777777" w:rsidTr="00C01414">
        <w:trPr>
          <w:gridAfter w:val="1"/>
          <w:wAfter w:w="67" w:type="pct"/>
        </w:trPr>
        <w:tc>
          <w:tcPr>
            <w:tcW w:w="1686" w:type="pct"/>
          </w:tcPr>
          <w:p w14:paraId="3DCCE43E" w14:textId="3C35BE8B" w:rsidR="005E0846" w:rsidRPr="00034E9B" w:rsidRDefault="005E0846" w:rsidP="005E0846">
            <w:pPr>
              <w:pStyle w:val="CGCTablerow"/>
            </w:pPr>
            <w:r w:rsidRPr="00034E9B">
              <w:t>APC assessment of water subsidies, net of average revenue, discounted</w:t>
            </w:r>
          </w:p>
        </w:tc>
        <w:tc>
          <w:tcPr>
            <w:tcW w:w="523" w:type="pct"/>
          </w:tcPr>
          <w:p w14:paraId="785CF13E" w14:textId="2D0C489F" w:rsidR="005E0846" w:rsidRPr="00034E9B" w:rsidRDefault="005E0846" w:rsidP="005E0846">
            <w:pPr>
              <w:pStyle w:val="CGCTablerow"/>
            </w:pPr>
            <w:r w:rsidRPr="00034E9B">
              <w:t>WA</w:t>
            </w:r>
          </w:p>
        </w:tc>
        <w:tc>
          <w:tcPr>
            <w:tcW w:w="482" w:type="pct"/>
          </w:tcPr>
          <w:p w14:paraId="209FD136" w14:textId="0DCC6AD5" w:rsidR="005E0846" w:rsidRPr="00034E9B" w:rsidRDefault="005E0846" w:rsidP="005E0846">
            <w:pPr>
              <w:pStyle w:val="CGCTablerow"/>
            </w:pPr>
            <w:r w:rsidRPr="00034E9B">
              <w:t>No</w:t>
            </w:r>
          </w:p>
        </w:tc>
        <w:tc>
          <w:tcPr>
            <w:tcW w:w="2242" w:type="pct"/>
          </w:tcPr>
          <w:p w14:paraId="2E29B77F" w14:textId="6FF9FED5" w:rsidR="005E0846" w:rsidRPr="00034E9B" w:rsidRDefault="005E0846" w:rsidP="005E0846">
            <w:pPr>
              <w:pStyle w:val="CGCTablerow"/>
            </w:pPr>
            <w:r w:rsidRPr="00034E9B">
              <w:t>Policy influences actual subsidy levels.</w:t>
            </w:r>
          </w:p>
        </w:tc>
      </w:tr>
    </w:tbl>
    <w:p w14:paraId="0EAE47FE" w14:textId="5A4734C4" w:rsidR="00593181" w:rsidRPr="00034E9B" w:rsidRDefault="00593181" w:rsidP="00593181">
      <w:pPr>
        <w:pStyle w:val="CGCTablenote"/>
      </w:pPr>
      <w:r w:rsidRPr="00034E9B">
        <w:t>Note:</w:t>
      </w:r>
      <w:r w:rsidRPr="00034E9B">
        <w:tab/>
        <w:t xml:space="preserve">Acronyms used in this table are spelt out in the </w:t>
      </w:r>
      <w:r w:rsidR="00AB0B9B">
        <w:t>list of acronyms at the beginning of this volume</w:t>
      </w:r>
      <w:r w:rsidRPr="00034E9B">
        <w:t>.</w:t>
      </w:r>
    </w:p>
    <w:p w14:paraId="4F0C9D23" w14:textId="77777777" w:rsidR="00593181" w:rsidRPr="00034E9B" w:rsidRDefault="00593181" w:rsidP="00593181">
      <w:pPr>
        <w:pStyle w:val="CGCTablenote"/>
      </w:pPr>
      <w:r w:rsidRPr="00034E9B">
        <w:t>Source:</w:t>
      </w:r>
      <w:r w:rsidRPr="00034E9B">
        <w:tab/>
        <w:t>Commission decisions.</w:t>
      </w:r>
    </w:p>
    <w:p w14:paraId="6D9FB00D" w14:textId="77777777" w:rsidR="00593181" w:rsidRPr="00034E9B" w:rsidRDefault="00593181" w:rsidP="00593181">
      <w:pPr>
        <w:pStyle w:val="Caption"/>
      </w:pPr>
      <w:r w:rsidRPr="00034E9B">
        <w:lastRenderedPageBreak/>
        <w:t>Table 1</w:t>
      </w:r>
      <w:r w:rsidRPr="00034E9B">
        <w:noBreakHyphen/>
        <w:t>5</w:t>
      </w:r>
      <w:r w:rsidRPr="00034E9B">
        <w:tab/>
        <w:t>Commission responses to State proposals, 2020 Review (continued)</w:t>
      </w:r>
    </w:p>
    <w:tbl>
      <w:tblPr>
        <w:tblW w:w="5068" w:type="pct"/>
        <w:tblBorders>
          <w:top w:val="single" w:sz="4" w:space="0" w:color="ADD6EA"/>
          <w:bottom w:val="single" w:sz="4" w:space="0" w:color="ADD6EA"/>
          <w:insideH w:val="single" w:sz="4" w:space="0" w:color="ADD6EA"/>
        </w:tblBorders>
        <w:tblLayout w:type="fixed"/>
        <w:tblCellMar>
          <w:left w:w="28" w:type="dxa"/>
          <w:right w:w="85" w:type="dxa"/>
        </w:tblCellMar>
        <w:tblLook w:val="0000" w:firstRow="0" w:lastRow="0" w:firstColumn="0" w:lastColumn="0" w:noHBand="0" w:noVBand="0"/>
      </w:tblPr>
      <w:tblGrid>
        <w:gridCol w:w="3083"/>
        <w:gridCol w:w="17"/>
        <w:gridCol w:w="922"/>
        <w:gridCol w:w="24"/>
        <w:gridCol w:w="17"/>
        <w:gridCol w:w="889"/>
        <w:gridCol w:w="4235"/>
      </w:tblGrid>
      <w:tr w:rsidR="00C85FDF" w:rsidRPr="00034E9B" w14:paraId="701B1F51" w14:textId="77777777" w:rsidTr="00C01414">
        <w:trPr>
          <w:trHeight w:val="340"/>
        </w:trPr>
        <w:tc>
          <w:tcPr>
            <w:tcW w:w="1687" w:type="pct"/>
            <w:gridSpan w:val="2"/>
            <w:shd w:val="clear" w:color="auto" w:fill="006991"/>
            <w:vAlign w:val="center"/>
          </w:tcPr>
          <w:p w14:paraId="2231C269" w14:textId="1B4C3CCB" w:rsidR="00C85FDF" w:rsidRPr="00034E9B" w:rsidRDefault="00C85FDF" w:rsidP="00ED17A6">
            <w:pPr>
              <w:pStyle w:val="CGCTableheader"/>
              <w:rPr>
                <w:lang w:val="en-AU"/>
              </w:rPr>
            </w:pPr>
            <w:r w:rsidRPr="00034E9B">
              <w:rPr>
                <w:lang w:val="en-AU"/>
              </w:rPr>
              <w:t>Proposal</w:t>
            </w:r>
          </w:p>
        </w:tc>
        <w:tc>
          <w:tcPr>
            <w:tcW w:w="502" w:type="pct"/>
            <w:shd w:val="clear" w:color="auto" w:fill="006991"/>
            <w:vAlign w:val="center"/>
          </w:tcPr>
          <w:p w14:paraId="69FBE7F8" w14:textId="5AC8C3A8" w:rsidR="00C85FDF" w:rsidRPr="00034E9B" w:rsidRDefault="00C85FDF" w:rsidP="00ED17A6">
            <w:pPr>
              <w:pStyle w:val="CGCTableheader"/>
              <w:rPr>
                <w:lang w:val="en-AU"/>
              </w:rPr>
            </w:pPr>
            <w:r w:rsidRPr="00034E9B">
              <w:rPr>
                <w:lang w:val="en-AU"/>
              </w:rPr>
              <w:t>State</w:t>
            </w:r>
          </w:p>
        </w:tc>
        <w:tc>
          <w:tcPr>
            <w:tcW w:w="506" w:type="pct"/>
            <w:gridSpan w:val="3"/>
            <w:shd w:val="clear" w:color="auto" w:fill="006991"/>
            <w:vAlign w:val="center"/>
          </w:tcPr>
          <w:p w14:paraId="7FFF0D46" w14:textId="18B14EBD" w:rsidR="00C85FDF" w:rsidRPr="00034E9B" w:rsidRDefault="00C85FDF" w:rsidP="00ED17A6">
            <w:pPr>
              <w:pStyle w:val="CGCTableheader"/>
              <w:rPr>
                <w:lang w:val="en-AU"/>
              </w:rPr>
            </w:pPr>
            <w:r w:rsidRPr="00034E9B">
              <w:rPr>
                <w:lang w:val="en-AU"/>
              </w:rPr>
              <w:t>Adopted</w:t>
            </w:r>
          </w:p>
        </w:tc>
        <w:tc>
          <w:tcPr>
            <w:tcW w:w="2305" w:type="pct"/>
            <w:shd w:val="clear" w:color="auto" w:fill="006991"/>
            <w:vAlign w:val="center"/>
          </w:tcPr>
          <w:p w14:paraId="76AD441E" w14:textId="0E94DAC4" w:rsidR="00C85FDF" w:rsidRPr="00034E9B" w:rsidRDefault="00C85FDF" w:rsidP="00ED17A6">
            <w:pPr>
              <w:pStyle w:val="CGCTableheader"/>
              <w:rPr>
                <w:lang w:val="en-AU"/>
              </w:rPr>
            </w:pPr>
            <w:r w:rsidRPr="00034E9B">
              <w:rPr>
                <w:lang w:val="en-AU"/>
              </w:rPr>
              <w:t>Explanation</w:t>
            </w:r>
          </w:p>
        </w:tc>
      </w:tr>
      <w:tr w:rsidR="00C85FDF" w:rsidRPr="00034E9B" w14:paraId="140D1D9B" w14:textId="77777777" w:rsidTr="00C01414">
        <w:tc>
          <w:tcPr>
            <w:tcW w:w="2211" w:type="pct"/>
            <w:gridSpan w:val="5"/>
            <w:shd w:val="clear" w:color="auto" w:fill="B6D5E4"/>
            <w:vAlign w:val="bottom"/>
          </w:tcPr>
          <w:p w14:paraId="5B8D6055" w14:textId="3642D501" w:rsidR="00C85FDF" w:rsidRPr="00034E9B" w:rsidRDefault="00C85FDF" w:rsidP="00C85FDF">
            <w:pPr>
              <w:pStyle w:val="CGCTablesubhead1"/>
              <w:rPr>
                <w:lang w:val="en-AU"/>
              </w:rPr>
            </w:pPr>
            <w:r w:rsidRPr="00034E9B">
              <w:rPr>
                <w:lang w:val="en-AU"/>
              </w:rPr>
              <w:t>Services to communities (continued)</w:t>
            </w:r>
          </w:p>
        </w:tc>
        <w:tc>
          <w:tcPr>
            <w:tcW w:w="484" w:type="pct"/>
            <w:shd w:val="clear" w:color="auto" w:fill="B6D5E4"/>
            <w:vAlign w:val="bottom"/>
          </w:tcPr>
          <w:p w14:paraId="59B58B19" w14:textId="77777777" w:rsidR="00C85FDF" w:rsidRPr="00034E9B" w:rsidRDefault="00C85FDF" w:rsidP="00C85FDF">
            <w:pPr>
              <w:pStyle w:val="CGCTablesubhead1"/>
              <w:rPr>
                <w:lang w:val="en-AU"/>
              </w:rPr>
            </w:pPr>
          </w:p>
        </w:tc>
        <w:tc>
          <w:tcPr>
            <w:tcW w:w="2305" w:type="pct"/>
            <w:shd w:val="clear" w:color="auto" w:fill="B6D5E4"/>
            <w:vAlign w:val="bottom"/>
          </w:tcPr>
          <w:p w14:paraId="24A61F57" w14:textId="77777777" w:rsidR="00C85FDF" w:rsidRPr="00034E9B" w:rsidRDefault="00C85FDF" w:rsidP="00C85FDF">
            <w:pPr>
              <w:pStyle w:val="CGCTablesubhead1"/>
              <w:rPr>
                <w:lang w:val="en-AU"/>
              </w:rPr>
            </w:pPr>
          </w:p>
        </w:tc>
      </w:tr>
      <w:tr w:rsidR="00F713A8" w:rsidRPr="00034E9B" w14:paraId="6C5BE38D" w14:textId="77777777" w:rsidTr="00C01414">
        <w:tc>
          <w:tcPr>
            <w:tcW w:w="1687" w:type="pct"/>
            <w:gridSpan w:val="2"/>
          </w:tcPr>
          <w:p w14:paraId="53880199" w14:textId="50961AC2" w:rsidR="00F713A8" w:rsidRPr="00034E9B" w:rsidRDefault="00F713A8" w:rsidP="00F713A8">
            <w:pPr>
              <w:pStyle w:val="CGCTablerow"/>
            </w:pPr>
            <w:r>
              <w:t>Assess a p</w:t>
            </w:r>
            <w:r w:rsidRPr="00034E9B">
              <w:t>ipeline disability for water subsidies</w:t>
            </w:r>
          </w:p>
        </w:tc>
        <w:tc>
          <w:tcPr>
            <w:tcW w:w="524" w:type="pct"/>
            <w:gridSpan w:val="3"/>
          </w:tcPr>
          <w:p w14:paraId="23B22B04" w14:textId="298D5E9E" w:rsidR="00F713A8" w:rsidRPr="00034E9B" w:rsidRDefault="00F713A8" w:rsidP="00F713A8">
            <w:pPr>
              <w:pStyle w:val="CGCTablerow"/>
            </w:pPr>
            <w:r w:rsidRPr="00034E9B">
              <w:t>WA</w:t>
            </w:r>
          </w:p>
        </w:tc>
        <w:tc>
          <w:tcPr>
            <w:tcW w:w="484" w:type="pct"/>
          </w:tcPr>
          <w:p w14:paraId="05290988" w14:textId="2F739A95" w:rsidR="00F713A8" w:rsidRPr="00034E9B" w:rsidRDefault="00F713A8" w:rsidP="00F713A8">
            <w:pPr>
              <w:pStyle w:val="CGCTablerow"/>
            </w:pPr>
            <w:r w:rsidRPr="00034E9B">
              <w:t>No</w:t>
            </w:r>
          </w:p>
        </w:tc>
        <w:tc>
          <w:tcPr>
            <w:tcW w:w="2305" w:type="pct"/>
          </w:tcPr>
          <w:p w14:paraId="125F480D" w14:textId="00FE0F0A" w:rsidR="00F713A8" w:rsidRPr="00034E9B" w:rsidRDefault="00F713A8" w:rsidP="00F713A8">
            <w:pPr>
              <w:pStyle w:val="CGCTablerow"/>
            </w:pPr>
            <w:r w:rsidRPr="00034E9B">
              <w:t xml:space="preserve">No evidence of a consistent relationship between distance from the nearest surface water source and costs. </w:t>
            </w:r>
          </w:p>
        </w:tc>
      </w:tr>
      <w:tr w:rsidR="00C85FDF" w:rsidRPr="00034E9B" w14:paraId="4A1D6D96" w14:textId="77777777" w:rsidTr="00C01414">
        <w:tc>
          <w:tcPr>
            <w:tcW w:w="1687" w:type="pct"/>
            <w:gridSpan w:val="2"/>
          </w:tcPr>
          <w:p w14:paraId="56358458" w14:textId="0FFC8497" w:rsidR="00C85FDF" w:rsidRPr="00034E9B" w:rsidRDefault="00F713A8" w:rsidP="00C85FDF">
            <w:pPr>
              <w:pStyle w:val="CGCTablerow"/>
            </w:pPr>
            <w:r>
              <w:t>Differentially assess w</w:t>
            </w:r>
            <w:r w:rsidR="00C85FDF" w:rsidRPr="00034E9B">
              <w:t>ater subsidies for large remote and very remote communities</w:t>
            </w:r>
          </w:p>
        </w:tc>
        <w:tc>
          <w:tcPr>
            <w:tcW w:w="524" w:type="pct"/>
            <w:gridSpan w:val="3"/>
          </w:tcPr>
          <w:p w14:paraId="5E231748" w14:textId="64F02948" w:rsidR="00C85FDF" w:rsidRPr="00034E9B" w:rsidRDefault="00C85FDF" w:rsidP="00C85FDF">
            <w:pPr>
              <w:pStyle w:val="CGCTablerow"/>
            </w:pPr>
            <w:r w:rsidRPr="00034E9B">
              <w:t>WA</w:t>
            </w:r>
          </w:p>
        </w:tc>
        <w:tc>
          <w:tcPr>
            <w:tcW w:w="484" w:type="pct"/>
          </w:tcPr>
          <w:p w14:paraId="034113E7" w14:textId="1E8AC560" w:rsidR="00C85FDF" w:rsidRPr="00034E9B" w:rsidRDefault="00C85FDF" w:rsidP="00C85FDF">
            <w:pPr>
              <w:pStyle w:val="CGCTablerow"/>
            </w:pPr>
            <w:r w:rsidRPr="00034E9B">
              <w:t>No</w:t>
            </w:r>
          </w:p>
        </w:tc>
        <w:tc>
          <w:tcPr>
            <w:tcW w:w="2305" w:type="pct"/>
          </w:tcPr>
          <w:p w14:paraId="72A54A39" w14:textId="647DE3A3" w:rsidR="00C85FDF" w:rsidRPr="00034E9B" w:rsidRDefault="00C85FDF" w:rsidP="00C85FDF">
            <w:pPr>
              <w:pStyle w:val="CGCTablerow"/>
            </w:pPr>
            <w:r w:rsidRPr="00034E9B">
              <w:t>On average, States do not subsidise large communities; however, the small community population threshold increased from 1,000 to 3,000.</w:t>
            </w:r>
          </w:p>
        </w:tc>
      </w:tr>
      <w:tr w:rsidR="00C85FDF" w:rsidRPr="00034E9B" w14:paraId="4B113C64" w14:textId="77777777" w:rsidTr="00C01414">
        <w:tc>
          <w:tcPr>
            <w:tcW w:w="1687" w:type="pct"/>
            <w:gridSpan w:val="2"/>
          </w:tcPr>
          <w:p w14:paraId="6601EE3A" w14:textId="154EA44F" w:rsidR="00C85FDF" w:rsidRPr="00034E9B" w:rsidRDefault="007D0AC2" w:rsidP="00C85FDF">
            <w:pPr>
              <w:pStyle w:val="CGCTablerow"/>
            </w:pPr>
            <w:r>
              <w:t>Include a l</w:t>
            </w:r>
            <w:r w:rsidR="00C85FDF" w:rsidRPr="00034E9B">
              <w:t>and area disability for land management expenses and related services to industry, national parks and environmental protection expenses</w:t>
            </w:r>
          </w:p>
        </w:tc>
        <w:tc>
          <w:tcPr>
            <w:tcW w:w="524" w:type="pct"/>
            <w:gridSpan w:val="3"/>
          </w:tcPr>
          <w:p w14:paraId="731D25FF" w14:textId="7CBEE39B" w:rsidR="00C85FDF" w:rsidRPr="00034E9B" w:rsidRDefault="00C85FDF" w:rsidP="00C85FDF">
            <w:pPr>
              <w:pStyle w:val="CGCTablerow"/>
            </w:pPr>
            <w:r w:rsidRPr="00034E9B">
              <w:t>WA</w:t>
            </w:r>
          </w:p>
        </w:tc>
        <w:tc>
          <w:tcPr>
            <w:tcW w:w="484" w:type="pct"/>
          </w:tcPr>
          <w:p w14:paraId="40479C4D" w14:textId="10DBE8B1" w:rsidR="00C85FDF" w:rsidRPr="00034E9B" w:rsidRDefault="00C85FDF" w:rsidP="00C85FDF">
            <w:pPr>
              <w:pStyle w:val="CGCTablerow"/>
            </w:pPr>
            <w:r w:rsidRPr="00034E9B">
              <w:t>No</w:t>
            </w:r>
          </w:p>
        </w:tc>
        <w:tc>
          <w:tcPr>
            <w:tcW w:w="2305" w:type="pct"/>
          </w:tcPr>
          <w:p w14:paraId="164408C5" w14:textId="7802B5C8" w:rsidR="00C85FDF" w:rsidRPr="00034E9B" w:rsidRDefault="00C85FDF" w:rsidP="00C85FDF">
            <w:pPr>
              <w:pStyle w:val="CGCTablerow"/>
            </w:pPr>
            <w:r w:rsidRPr="00034E9B">
              <w:t>Land area is not the only driver for these expenses and data are not readily available to identify these expenses.</w:t>
            </w:r>
          </w:p>
        </w:tc>
      </w:tr>
      <w:tr w:rsidR="00C85FDF" w:rsidRPr="00034E9B" w14:paraId="474FD8D2" w14:textId="77777777" w:rsidTr="00C01414">
        <w:tc>
          <w:tcPr>
            <w:tcW w:w="1687" w:type="pct"/>
            <w:gridSpan w:val="2"/>
          </w:tcPr>
          <w:p w14:paraId="6F46A576" w14:textId="20FBCBD8" w:rsidR="00C85FDF" w:rsidRPr="00034E9B" w:rsidRDefault="00C85FDF" w:rsidP="00C85FDF">
            <w:pPr>
              <w:pStyle w:val="CGCTablerow"/>
            </w:pPr>
            <w:r w:rsidRPr="00034E9B">
              <w:t>Exclude common tariff costs for electricity subsidies in remote areas</w:t>
            </w:r>
          </w:p>
        </w:tc>
        <w:tc>
          <w:tcPr>
            <w:tcW w:w="524" w:type="pct"/>
            <w:gridSpan w:val="3"/>
          </w:tcPr>
          <w:p w14:paraId="0446979B" w14:textId="6D062A4C" w:rsidR="00C85FDF" w:rsidRPr="00034E9B" w:rsidRDefault="00C85FDF" w:rsidP="00C85FDF">
            <w:pPr>
              <w:pStyle w:val="CGCTablerow"/>
            </w:pPr>
            <w:r w:rsidRPr="00034E9B">
              <w:t>NSW</w:t>
            </w:r>
          </w:p>
        </w:tc>
        <w:tc>
          <w:tcPr>
            <w:tcW w:w="484" w:type="pct"/>
          </w:tcPr>
          <w:p w14:paraId="2332D2FA" w14:textId="0AB05B0F" w:rsidR="00C85FDF" w:rsidRPr="00034E9B" w:rsidRDefault="00C85FDF" w:rsidP="00C85FDF">
            <w:pPr>
              <w:pStyle w:val="CGCTablerow"/>
            </w:pPr>
            <w:r w:rsidRPr="00034E9B">
              <w:t>No</w:t>
            </w:r>
          </w:p>
        </w:tc>
        <w:tc>
          <w:tcPr>
            <w:tcW w:w="2305" w:type="pct"/>
          </w:tcPr>
          <w:p w14:paraId="6FD4871A" w14:textId="2621FC66" w:rsidR="00C85FDF" w:rsidRPr="00034E9B" w:rsidRDefault="00C85FDF" w:rsidP="00C85FDF">
            <w:pPr>
              <w:pStyle w:val="CGCTablerow"/>
            </w:pPr>
            <w:r w:rsidRPr="00034E9B">
              <w:t>These costs are not material and removing them would overly complicate the assessment.</w:t>
            </w:r>
          </w:p>
        </w:tc>
      </w:tr>
      <w:tr w:rsidR="00C85FDF" w:rsidRPr="00034E9B" w14:paraId="658561CE" w14:textId="77777777" w:rsidTr="00C01414">
        <w:tc>
          <w:tcPr>
            <w:tcW w:w="1687" w:type="pct"/>
            <w:gridSpan w:val="2"/>
          </w:tcPr>
          <w:p w14:paraId="5D3DCB2D" w14:textId="29C1A04F" w:rsidR="00C85FDF" w:rsidRPr="00034E9B" w:rsidRDefault="00C85FDF" w:rsidP="00C85FDF">
            <w:pPr>
              <w:pStyle w:val="CGCTablerow"/>
            </w:pPr>
            <w:r w:rsidRPr="00034E9B">
              <w:t>Reassess the community size cut-off for electricity subsidies</w:t>
            </w:r>
          </w:p>
        </w:tc>
        <w:tc>
          <w:tcPr>
            <w:tcW w:w="524" w:type="pct"/>
            <w:gridSpan w:val="3"/>
          </w:tcPr>
          <w:p w14:paraId="26A863DA" w14:textId="37F30BBB" w:rsidR="00C85FDF" w:rsidRPr="00034E9B" w:rsidRDefault="00C85FDF" w:rsidP="00C85FDF">
            <w:pPr>
              <w:pStyle w:val="CGCTablerow"/>
            </w:pPr>
            <w:r w:rsidRPr="00034E9B">
              <w:t>NSW</w:t>
            </w:r>
          </w:p>
        </w:tc>
        <w:tc>
          <w:tcPr>
            <w:tcW w:w="484" w:type="pct"/>
          </w:tcPr>
          <w:p w14:paraId="250B6841" w14:textId="1C22D2BA" w:rsidR="00C85FDF" w:rsidRPr="00034E9B" w:rsidRDefault="00C85FDF" w:rsidP="00C85FDF">
            <w:pPr>
              <w:pStyle w:val="CGCTablerow"/>
            </w:pPr>
            <w:r w:rsidRPr="00034E9B">
              <w:t>Yes</w:t>
            </w:r>
          </w:p>
        </w:tc>
        <w:tc>
          <w:tcPr>
            <w:tcW w:w="2305" w:type="pct"/>
          </w:tcPr>
          <w:p w14:paraId="41AB5915" w14:textId="7A2430D7" w:rsidR="00C85FDF" w:rsidRPr="00034E9B" w:rsidRDefault="00C85FDF" w:rsidP="00C85FDF">
            <w:pPr>
              <w:pStyle w:val="CGCTablerow"/>
            </w:pPr>
            <w:r w:rsidRPr="00034E9B">
              <w:t>Data are available to reassess the size limits.</w:t>
            </w:r>
          </w:p>
        </w:tc>
      </w:tr>
      <w:tr w:rsidR="00C85FDF" w:rsidRPr="00034E9B" w14:paraId="7C7DCD71" w14:textId="77777777" w:rsidTr="00C01414">
        <w:tc>
          <w:tcPr>
            <w:tcW w:w="1687" w:type="pct"/>
            <w:gridSpan w:val="2"/>
          </w:tcPr>
          <w:p w14:paraId="4905FA3F" w14:textId="1D84BDE6" w:rsidR="00C85FDF" w:rsidRPr="00034E9B" w:rsidRDefault="00C85FDF" w:rsidP="00C85FDF">
            <w:pPr>
              <w:pStyle w:val="CGCTablerow"/>
            </w:pPr>
            <w:r w:rsidRPr="00034E9B">
              <w:t>Apply different population groupings to electricity subsidies</w:t>
            </w:r>
          </w:p>
        </w:tc>
        <w:tc>
          <w:tcPr>
            <w:tcW w:w="524" w:type="pct"/>
            <w:gridSpan w:val="3"/>
          </w:tcPr>
          <w:p w14:paraId="055E17A2" w14:textId="2D4B11F3" w:rsidR="00C85FDF" w:rsidRPr="00034E9B" w:rsidRDefault="00C85FDF" w:rsidP="00C85FDF">
            <w:pPr>
              <w:pStyle w:val="CGCTablerow"/>
            </w:pPr>
            <w:r w:rsidRPr="00034E9B">
              <w:t>NT</w:t>
            </w:r>
          </w:p>
        </w:tc>
        <w:tc>
          <w:tcPr>
            <w:tcW w:w="484" w:type="pct"/>
          </w:tcPr>
          <w:p w14:paraId="05BD660A" w14:textId="71E3733D" w:rsidR="00C85FDF" w:rsidRPr="00034E9B" w:rsidRDefault="00C85FDF" w:rsidP="00C85FDF">
            <w:pPr>
              <w:pStyle w:val="CGCTablerow"/>
            </w:pPr>
            <w:r w:rsidRPr="00034E9B">
              <w:t>No</w:t>
            </w:r>
          </w:p>
        </w:tc>
        <w:tc>
          <w:tcPr>
            <w:tcW w:w="2305" w:type="pct"/>
          </w:tcPr>
          <w:p w14:paraId="4E004C59" w14:textId="5D7EDD30" w:rsidR="00C85FDF" w:rsidRPr="00034E9B" w:rsidRDefault="00C85FDF" w:rsidP="00C85FDF">
            <w:pPr>
              <w:pStyle w:val="CGCTablerow"/>
            </w:pPr>
            <w:r w:rsidRPr="00034E9B">
              <w:t xml:space="preserve">Community size (SDS) captured through the remoteness cost weight. </w:t>
            </w:r>
          </w:p>
        </w:tc>
      </w:tr>
      <w:tr w:rsidR="00C85FDF" w:rsidRPr="00034E9B" w14:paraId="457BB76F" w14:textId="77777777" w:rsidTr="00C01414">
        <w:tc>
          <w:tcPr>
            <w:tcW w:w="1687" w:type="pct"/>
            <w:gridSpan w:val="2"/>
          </w:tcPr>
          <w:p w14:paraId="013F6376" w14:textId="604D1363" w:rsidR="00C85FDF" w:rsidRPr="00034E9B" w:rsidRDefault="00C85FDF" w:rsidP="00C85FDF">
            <w:pPr>
              <w:pStyle w:val="CGCTablerow"/>
            </w:pPr>
            <w:r w:rsidRPr="00034E9B">
              <w:t>Apply different population groupings to water subsidies</w:t>
            </w:r>
          </w:p>
        </w:tc>
        <w:tc>
          <w:tcPr>
            <w:tcW w:w="524" w:type="pct"/>
            <w:gridSpan w:val="3"/>
          </w:tcPr>
          <w:p w14:paraId="77D75FA2" w14:textId="40661284" w:rsidR="00C85FDF" w:rsidRPr="00034E9B" w:rsidRDefault="00C85FDF" w:rsidP="00C85FDF">
            <w:pPr>
              <w:pStyle w:val="CGCTablerow"/>
            </w:pPr>
            <w:r w:rsidRPr="00034E9B">
              <w:t>NT</w:t>
            </w:r>
          </w:p>
        </w:tc>
        <w:tc>
          <w:tcPr>
            <w:tcW w:w="484" w:type="pct"/>
          </w:tcPr>
          <w:p w14:paraId="1C7CCBC8" w14:textId="292E6757" w:rsidR="00C85FDF" w:rsidRPr="00034E9B" w:rsidRDefault="00C85FDF" w:rsidP="00C85FDF">
            <w:pPr>
              <w:pStyle w:val="CGCTablerow"/>
            </w:pPr>
            <w:r w:rsidRPr="00034E9B">
              <w:t>No</w:t>
            </w:r>
          </w:p>
        </w:tc>
        <w:tc>
          <w:tcPr>
            <w:tcW w:w="2305" w:type="pct"/>
          </w:tcPr>
          <w:p w14:paraId="7AA27552" w14:textId="38B1BF9E" w:rsidR="00C85FDF" w:rsidRPr="00034E9B" w:rsidRDefault="00C85FDF" w:rsidP="00C85FDF">
            <w:pPr>
              <w:pStyle w:val="CGCTablerow"/>
            </w:pPr>
            <w:r w:rsidRPr="00034E9B">
              <w:t>Data support a community size of less than 3 000 people. SDS captured by the regional cost weight.</w:t>
            </w:r>
          </w:p>
        </w:tc>
      </w:tr>
      <w:tr w:rsidR="00C85FDF" w:rsidRPr="00034E9B" w14:paraId="4DACE24F" w14:textId="77777777" w:rsidTr="00C01414">
        <w:tc>
          <w:tcPr>
            <w:tcW w:w="1687" w:type="pct"/>
            <w:gridSpan w:val="2"/>
          </w:tcPr>
          <w:p w14:paraId="363905DA" w14:textId="20140D90" w:rsidR="00C85FDF" w:rsidRPr="00034E9B" w:rsidRDefault="00C85FDF" w:rsidP="00C85FDF">
            <w:pPr>
              <w:pStyle w:val="CGCTablerow"/>
            </w:pPr>
            <w:r w:rsidRPr="00034E9B">
              <w:t>Reassess the split between small community and other water subsidies</w:t>
            </w:r>
          </w:p>
        </w:tc>
        <w:tc>
          <w:tcPr>
            <w:tcW w:w="524" w:type="pct"/>
            <w:gridSpan w:val="3"/>
          </w:tcPr>
          <w:p w14:paraId="44A23E95" w14:textId="3DB3D4BA" w:rsidR="00C85FDF" w:rsidRPr="00034E9B" w:rsidRDefault="00C85FDF" w:rsidP="00C85FDF">
            <w:pPr>
              <w:pStyle w:val="CGCTablerow"/>
            </w:pPr>
            <w:r w:rsidRPr="00034E9B">
              <w:t>WA</w:t>
            </w:r>
          </w:p>
        </w:tc>
        <w:tc>
          <w:tcPr>
            <w:tcW w:w="484" w:type="pct"/>
          </w:tcPr>
          <w:p w14:paraId="1F47B16C" w14:textId="6663B331" w:rsidR="00C85FDF" w:rsidRPr="00034E9B" w:rsidRDefault="00C85FDF" w:rsidP="00C85FDF">
            <w:pPr>
              <w:pStyle w:val="CGCTablerow"/>
            </w:pPr>
            <w:r w:rsidRPr="00034E9B">
              <w:t>Yes</w:t>
            </w:r>
          </w:p>
        </w:tc>
        <w:tc>
          <w:tcPr>
            <w:tcW w:w="2305" w:type="pct"/>
          </w:tcPr>
          <w:p w14:paraId="1C6E472A" w14:textId="02D2BC55" w:rsidR="00C85FDF" w:rsidRPr="00034E9B" w:rsidRDefault="00C85FDF" w:rsidP="00C85FDF">
            <w:pPr>
              <w:pStyle w:val="CGCTablerow"/>
            </w:pPr>
            <w:r w:rsidRPr="00034E9B">
              <w:t>Data are available to determine the split.</w:t>
            </w:r>
          </w:p>
        </w:tc>
      </w:tr>
      <w:tr w:rsidR="00C85FDF" w:rsidRPr="00034E9B" w14:paraId="358CEB41" w14:textId="77777777" w:rsidTr="00C01414">
        <w:tc>
          <w:tcPr>
            <w:tcW w:w="1687" w:type="pct"/>
            <w:gridSpan w:val="2"/>
          </w:tcPr>
          <w:p w14:paraId="7C72D88C" w14:textId="4A95BC98" w:rsidR="00C85FDF" w:rsidRPr="00034E9B" w:rsidRDefault="00C85FDF" w:rsidP="00C85FDF">
            <w:pPr>
              <w:pStyle w:val="CGCTablerow"/>
            </w:pPr>
            <w:r w:rsidRPr="00034E9B">
              <w:t>Discount the Indigenous community development assessment if using GFS data</w:t>
            </w:r>
          </w:p>
        </w:tc>
        <w:tc>
          <w:tcPr>
            <w:tcW w:w="524" w:type="pct"/>
            <w:gridSpan w:val="3"/>
          </w:tcPr>
          <w:p w14:paraId="5CEA699F" w14:textId="2120802A" w:rsidR="00C85FDF" w:rsidRPr="00034E9B" w:rsidRDefault="00C85FDF" w:rsidP="00C85FDF">
            <w:pPr>
              <w:pStyle w:val="CGCTablerow"/>
            </w:pPr>
            <w:r w:rsidRPr="00034E9B">
              <w:t>NSW</w:t>
            </w:r>
          </w:p>
        </w:tc>
        <w:tc>
          <w:tcPr>
            <w:tcW w:w="484" w:type="pct"/>
          </w:tcPr>
          <w:p w14:paraId="27E2CEDB" w14:textId="47E99460" w:rsidR="00C85FDF" w:rsidRPr="00034E9B" w:rsidRDefault="00C85FDF" w:rsidP="00C85FDF">
            <w:pPr>
              <w:pStyle w:val="CGCTablerow"/>
            </w:pPr>
            <w:r w:rsidRPr="00034E9B">
              <w:t>No</w:t>
            </w:r>
          </w:p>
        </w:tc>
        <w:tc>
          <w:tcPr>
            <w:tcW w:w="2305" w:type="pct"/>
          </w:tcPr>
          <w:p w14:paraId="43267615" w14:textId="56F75A8A" w:rsidR="00C85FDF" w:rsidRPr="00034E9B" w:rsidRDefault="00C85FDF" w:rsidP="00C85FDF">
            <w:pPr>
              <w:pStyle w:val="CGCTablerow"/>
            </w:pPr>
            <w:r w:rsidRPr="00034E9B">
              <w:t xml:space="preserve">Assessment uses State expense data which </w:t>
            </w:r>
            <w:r w:rsidR="00926E74">
              <w:t>is considered</w:t>
            </w:r>
            <w:r w:rsidRPr="00034E9B">
              <w:t xml:space="preserve"> more comparable, and the disability is considered reliable. A discount is not warranted.</w:t>
            </w:r>
          </w:p>
        </w:tc>
      </w:tr>
      <w:tr w:rsidR="00C85FDF" w:rsidRPr="00034E9B" w14:paraId="5ABF9DC6" w14:textId="77777777" w:rsidTr="00C01414">
        <w:tc>
          <w:tcPr>
            <w:tcW w:w="1687" w:type="pct"/>
            <w:gridSpan w:val="2"/>
          </w:tcPr>
          <w:p w14:paraId="7A29FE77" w14:textId="7E912706" w:rsidR="00C85FDF" w:rsidRPr="00034E9B" w:rsidRDefault="00C85FDF" w:rsidP="00C85FDF">
            <w:pPr>
              <w:pStyle w:val="CGCTablerow"/>
            </w:pPr>
            <w:r w:rsidRPr="00034E9B">
              <w:t>Exclude general grants to Indigenous councils</w:t>
            </w:r>
          </w:p>
        </w:tc>
        <w:tc>
          <w:tcPr>
            <w:tcW w:w="524" w:type="pct"/>
            <w:gridSpan w:val="3"/>
          </w:tcPr>
          <w:p w14:paraId="381423FA" w14:textId="21E0B06B" w:rsidR="00C85FDF" w:rsidRPr="00034E9B" w:rsidRDefault="00C85FDF" w:rsidP="00C85FDF">
            <w:pPr>
              <w:pStyle w:val="CGCTablerow"/>
            </w:pPr>
            <w:r w:rsidRPr="00034E9B">
              <w:t>Vic</w:t>
            </w:r>
          </w:p>
        </w:tc>
        <w:tc>
          <w:tcPr>
            <w:tcW w:w="484" w:type="pct"/>
          </w:tcPr>
          <w:p w14:paraId="77B4F453" w14:textId="08E8892A" w:rsidR="00C85FDF" w:rsidRPr="00034E9B" w:rsidRDefault="00C85FDF" w:rsidP="00C85FDF">
            <w:pPr>
              <w:pStyle w:val="CGCTablerow"/>
            </w:pPr>
            <w:r w:rsidRPr="00034E9B">
              <w:t>No</w:t>
            </w:r>
          </w:p>
        </w:tc>
        <w:tc>
          <w:tcPr>
            <w:tcW w:w="2305" w:type="pct"/>
          </w:tcPr>
          <w:p w14:paraId="740E116E" w14:textId="261FAD99" w:rsidR="00C85FDF" w:rsidRPr="00034E9B" w:rsidRDefault="00C85FDF" w:rsidP="00C85FDF">
            <w:pPr>
              <w:pStyle w:val="CGCTablerow"/>
            </w:pPr>
            <w:r w:rsidRPr="00034E9B">
              <w:t>The Indigenous community development disability is the most appropriate driver for these expenses, which cannot be functionalised.</w:t>
            </w:r>
          </w:p>
        </w:tc>
      </w:tr>
      <w:tr w:rsidR="00C85FDF" w:rsidRPr="00034E9B" w14:paraId="4F7B867A" w14:textId="77777777" w:rsidTr="00C01414">
        <w:tc>
          <w:tcPr>
            <w:tcW w:w="1687" w:type="pct"/>
            <w:gridSpan w:val="2"/>
          </w:tcPr>
          <w:p w14:paraId="041495AB" w14:textId="2A77C9D5" w:rsidR="00C85FDF" w:rsidRPr="00034E9B" w:rsidRDefault="00C85FDF" w:rsidP="00C85FDF">
            <w:pPr>
              <w:pStyle w:val="CGCTablerow"/>
            </w:pPr>
            <w:r w:rsidRPr="00034E9B">
              <w:t>Do not apply regional costs to Indigenous community development</w:t>
            </w:r>
          </w:p>
        </w:tc>
        <w:tc>
          <w:tcPr>
            <w:tcW w:w="524" w:type="pct"/>
            <w:gridSpan w:val="3"/>
          </w:tcPr>
          <w:p w14:paraId="24BE6158" w14:textId="5A961FB8" w:rsidR="00C85FDF" w:rsidRPr="00034E9B" w:rsidRDefault="00C85FDF" w:rsidP="00C85FDF">
            <w:pPr>
              <w:pStyle w:val="CGCTablerow"/>
            </w:pPr>
            <w:r w:rsidRPr="00034E9B">
              <w:t>NSW</w:t>
            </w:r>
          </w:p>
        </w:tc>
        <w:tc>
          <w:tcPr>
            <w:tcW w:w="484" w:type="pct"/>
          </w:tcPr>
          <w:p w14:paraId="36A9247E" w14:textId="0E6EC073" w:rsidR="00C85FDF" w:rsidRPr="00034E9B" w:rsidRDefault="00C85FDF" w:rsidP="00C85FDF">
            <w:pPr>
              <w:pStyle w:val="CGCTablerow"/>
            </w:pPr>
            <w:r w:rsidRPr="00034E9B">
              <w:t>No</w:t>
            </w:r>
          </w:p>
        </w:tc>
        <w:tc>
          <w:tcPr>
            <w:tcW w:w="2305" w:type="pct"/>
          </w:tcPr>
          <w:p w14:paraId="11E9C01B" w14:textId="4BE55B04" w:rsidR="00C85FDF" w:rsidRPr="00034E9B" w:rsidRDefault="00C85FDF" w:rsidP="00C85FDF">
            <w:pPr>
              <w:pStyle w:val="CGCTablerow"/>
            </w:pPr>
            <w:r w:rsidRPr="00034E9B">
              <w:t xml:space="preserve">Regional costs are relevant as the Indigenous community development expenses are mostly incurred </w:t>
            </w:r>
            <w:r w:rsidR="00687AD8">
              <w:t>on site</w:t>
            </w:r>
            <w:r w:rsidRPr="00034E9B">
              <w:t xml:space="preserve"> in communities.</w:t>
            </w:r>
          </w:p>
        </w:tc>
      </w:tr>
      <w:tr w:rsidR="00C85FDF" w:rsidRPr="00034E9B" w14:paraId="57217EAE" w14:textId="77777777" w:rsidTr="00C01414">
        <w:tc>
          <w:tcPr>
            <w:tcW w:w="1687" w:type="pct"/>
            <w:gridSpan w:val="2"/>
          </w:tcPr>
          <w:p w14:paraId="50E2D8C6" w14:textId="1D99AC9C" w:rsidR="00C85FDF" w:rsidRPr="00034E9B" w:rsidRDefault="00C85FDF" w:rsidP="00C85FDF">
            <w:pPr>
              <w:pStyle w:val="CGCTablerow"/>
            </w:pPr>
            <w:r w:rsidRPr="00034E9B">
              <w:t>Do not apply regional costs to environmental protection, excepting national parks and wildlife</w:t>
            </w:r>
          </w:p>
        </w:tc>
        <w:tc>
          <w:tcPr>
            <w:tcW w:w="524" w:type="pct"/>
            <w:gridSpan w:val="3"/>
          </w:tcPr>
          <w:p w14:paraId="29A317B2" w14:textId="59D21C11" w:rsidR="00C85FDF" w:rsidRPr="00034E9B" w:rsidRDefault="00C85FDF" w:rsidP="00C85FDF">
            <w:pPr>
              <w:pStyle w:val="CGCTablerow"/>
            </w:pPr>
            <w:r w:rsidRPr="00034E9B">
              <w:t>SA</w:t>
            </w:r>
          </w:p>
        </w:tc>
        <w:tc>
          <w:tcPr>
            <w:tcW w:w="484" w:type="pct"/>
          </w:tcPr>
          <w:p w14:paraId="70D0D37D" w14:textId="448F710B" w:rsidR="00C85FDF" w:rsidRPr="00034E9B" w:rsidRDefault="00C85FDF" w:rsidP="00C85FDF">
            <w:pPr>
              <w:pStyle w:val="CGCTablerow"/>
            </w:pPr>
            <w:r w:rsidRPr="00034E9B">
              <w:t>Yes</w:t>
            </w:r>
          </w:p>
        </w:tc>
        <w:tc>
          <w:tcPr>
            <w:tcW w:w="2305" w:type="pct"/>
          </w:tcPr>
          <w:p w14:paraId="164E5BB9" w14:textId="20747E1F" w:rsidR="00C85FDF" w:rsidRPr="00034E9B" w:rsidRDefault="00C85FDF" w:rsidP="00C85FDF">
            <w:pPr>
              <w:pStyle w:val="CGCTablerow"/>
            </w:pPr>
            <w:r w:rsidRPr="00034E9B">
              <w:t>There is insufficient evidence to support applying regional costs to these expenses.</w:t>
            </w:r>
          </w:p>
        </w:tc>
      </w:tr>
      <w:tr w:rsidR="00C85FDF" w:rsidRPr="00034E9B" w14:paraId="6E1C6E46" w14:textId="77777777" w:rsidTr="00C01414">
        <w:tc>
          <w:tcPr>
            <w:tcW w:w="1687" w:type="pct"/>
            <w:gridSpan w:val="2"/>
          </w:tcPr>
          <w:p w14:paraId="3B05B513" w14:textId="07444DD0" w:rsidR="00C85FDF" w:rsidRPr="00034E9B" w:rsidRDefault="00C85FDF" w:rsidP="00C85FDF">
            <w:pPr>
              <w:pStyle w:val="CGCTablerow"/>
            </w:pPr>
            <w:r w:rsidRPr="00034E9B">
              <w:t>Apply regional costs to all environmental protection expenses</w:t>
            </w:r>
          </w:p>
        </w:tc>
        <w:tc>
          <w:tcPr>
            <w:tcW w:w="524" w:type="pct"/>
            <w:gridSpan w:val="3"/>
          </w:tcPr>
          <w:p w14:paraId="650067E7" w14:textId="0FEE1C31" w:rsidR="00C85FDF" w:rsidRPr="00034E9B" w:rsidRDefault="00C85FDF" w:rsidP="00C85FDF">
            <w:pPr>
              <w:pStyle w:val="CGCTablerow"/>
            </w:pPr>
            <w:r w:rsidRPr="00034E9B">
              <w:t>NT</w:t>
            </w:r>
          </w:p>
        </w:tc>
        <w:tc>
          <w:tcPr>
            <w:tcW w:w="484" w:type="pct"/>
          </w:tcPr>
          <w:p w14:paraId="5B9EE621" w14:textId="19BE8632" w:rsidR="00C85FDF" w:rsidRPr="00034E9B" w:rsidRDefault="00C85FDF" w:rsidP="00C85FDF">
            <w:pPr>
              <w:pStyle w:val="CGCTablerow"/>
            </w:pPr>
            <w:r w:rsidRPr="00034E9B">
              <w:t>No</w:t>
            </w:r>
          </w:p>
        </w:tc>
        <w:tc>
          <w:tcPr>
            <w:tcW w:w="2305" w:type="pct"/>
          </w:tcPr>
          <w:p w14:paraId="79EF5853" w14:textId="4A7A25EC" w:rsidR="00C85FDF" w:rsidRPr="00034E9B" w:rsidRDefault="00C85FDF" w:rsidP="00C85FDF">
            <w:pPr>
              <w:pStyle w:val="CGCTablerow"/>
            </w:pPr>
            <w:r w:rsidRPr="00034E9B">
              <w:t>Many expenses may be incurred centrally or in urban areas, such as research and development or pollution abatement.</w:t>
            </w:r>
          </w:p>
        </w:tc>
      </w:tr>
      <w:tr w:rsidR="00C85FDF" w:rsidRPr="00034E9B" w14:paraId="1B47C98B" w14:textId="77777777" w:rsidTr="00C01414">
        <w:tc>
          <w:tcPr>
            <w:tcW w:w="1687" w:type="pct"/>
            <w:gridSpan w:val="2"/>
          </w:tcPr>
          <w:p w14:paraId="53BF52AA" w14:textId="66595D73" w:rsidR="00C85FDF" w:rsidRPr="00034E9B" w:rsidRDefault="00C85FDF" w:rsidP="00C85FDF">
            <w:pPr>
              <w:pStyle w:val="CGCTablerow"/>
            </w:pPr>
            <w:r w:rsidRPr="00034E9B">
              <w:t>Net off user charges</w:t>
            </w:r>
          </w:p>
        </w:tc>
        <w:tc>
          <w:tcPr>
            <w:tcW w:w="524" w:type="pct"/>
            <w:gridSpan w:val="3"/>
          </w:tcPr>
          <w:p w14:paraId="6DD31880" w14:textId="2AA62426" w:rsidR="00C85FDF" w:rsidRPr="00034E9B" w:rsidRDefault="00C85FDF" w:rsidP="00C85FDF">
            <w:pPr>
              <w:pStyle w:val="CGCTablerow"/>
            </w:pPr>
            <w:r w:rsidRPr="00034E9B">
              <w:t>SA, ACT</w:t>
            </w:r>
          </w:p>
        </w:tc>
        <w:tc>
          <w:tcPr>
            <w:tcW w:w="484" w:type="pct"/>
          </w:tcPr>
          <w:p w14:paraId="565FD10C" w14:textId="32E64A7A" w:rsidR="00C85FDF" w:rsidRPr="00034E9B" w:rsidRDefault="00C85FDF" w:rsidP="00C85FDF">
            <w:pPr>
              <w:pStyle w:val="CGCTablerow"/>
            </w:pPr>
            <w:r w:rsidRPr="00034E9B">
              <w:t>No</w:t>
            </w:r>
          </w:p>
        </w:tc>
        <w:tc>
          <w:tcPr>
            <w:tcW w:w="2305" w:type="pct"/>
          </w:tcPr>
          <w:p w14:paraId="34E39E97" w14:textId="434B4850" w:rsidR="00C85FDF" w:rsidRPr="00034E9B" w:rsidRDefault="00C85FDF" w:rsidP="00C85FDF">
            <w:pPr>
              <w:pStyle w:val="CGCTablerow"/>
            </w:pPr>
            <w:r w:rsidRPr="00034E9B">
              <w:t>Disabilities for user charges are unlikely to be the same as those for expenses.</w:t>
            </w:r>
          </w:p>
        </w:tc>
      </w:tr>
      <w:tr w:rsidR="00C85FDF" w:rsidRPr="00034E9B" w14:paraId="6F76EFB3" w14:textId="77777777" w:rsidTr="00C01414">
        <w:tc>
          <w:tcPr>
            <w:tcW w:w="1678" w:type="pct"/>
            <w:shd w:val="clear" w:color="auto" w:fill="B6D5E4"/>
          </w:tcPr>
          <w:p w14:paraId="2C0BA64D" w14:textId="437C49C4" w:rsidR="00C85FDF" w:rsidRPr="00034E9B" w:rsidRDefault="00C85FDF" w:rsidP="00C85FDF">
            <w:pPr>
              <w:pStyle w:val="CGCTablesubhead1"/>
              <w:rPr>
                <w:lang w:val="en-AU"/>
              </w:rPr>
            </w:pPr>
            <w:r w:rsidRPr="00034E9B">
              <w:rPr>
                <w:lang w:val="en-AU"/>
              </w:rPr>
              <w:t>Justice</w:t>
            </w:r>
          </w:p>
        </w:tc>
        <w:tc>
          <w:tcPr>
            <w:tcW w:w="524" w:type="pct"/>
            <w:gridSpan w:val="3"/>
            <w:shd w:val="clear" w:color="auto" w:fill="B6D5E4"/>
          </w:tcPr>
          <w:p w14:paraId="55F7926A" w14:textId="77777777" w:rsidR="00C85FDF" w:rsidRPr="00034E9B" w:rsidRDefault="00C85FDF" w:rsidP="00C85FDF">
            <w:pPr>
              <w:pStyle w:val="CGCTablesubhead1"/>
              <w:rPr>
                <w:lang w:val="en-AU"/>
              </w:rPr>
            </w:pPr>
          </w:p>
        </w:tc>
        <w:tc>
          <w:tcPr>
            <w:tcW w:w="493" w:type="pct"/>
            <w:gridSpan w:val="2"/>
            <w:shd w:val="clear" w:color="auto" w:fill="B6D5E4"/>
          </w:tcPr>
          <w:p w14:paraId="15B8E06D" w14:textId="77777777" w:rsidR="00C85FDF" w:rsidRPr="00034E9B" w:rsidRDefault="00C85FDF" w:rsidP="00C85FDF">
            <w:pPr>
              <w:pStyle w:val="CGCTablesubhead1"/>
              <w:rPr>
                <w:lang w:val="en-AU"/>
              </w:rPr>
            </w:pPr>
          </w:p>
        </w:tc>
        <w:tc>
          <w:tcPr>
            <w:tcW w:w="2305" w:type="pct"/>
            <w:shd w:val="clear" w:color="auto" w:fill="B6D5E4"/>
          </w:tcPr>
          <w:p w14:paraId="708668FF" w14:textId="77777777" w:rsidR="00C85FDF" w:rsidRPr="00034E9B" w:rsidRDefault="00C85FDF" w:rsidP="00C85FDF">
            <w:pPr>
              <w:pStyle w:val="CGCTablesubhead1"/>
              <w:rPr>
                <w:rFonts w:cs="Open Sans Light"/>
                <w:szCs w:val="16"/>
                <w:lang w:val="en-AU"/>
              </w:rPr>
            </w:pPr>
          </w:p>
        </w:tc>
      </w:tr>
      <w:tr w:rsidR="00C85FDF" w:rsidRPr="00034E9B" w14:paraId="280A2298" w14:textId="77777777" w:rsidTr="00C01414">
        <w:tc>
          <w:tcPr>
            <w:tcW w:w="1678" w:type="pct"/>
          </w:tcPr>
          <w:p w14:paraId="40D6A9FA" w14:textId="71DFCE7A" w:rsidR="00C85FDF" w:rsidRPr="00034E9B" w:rsidRDefault="00C85FDF" w:rsidP="00C85FDF">
            <w:pPr>
              <w:pStyle w:val="CGCTablerow"/>
            </w:pPr>
            <w:r w:rsidRPr="00034E9B">
              <w:t>Major city effects, including terrorism &amp; complex crime</w:t>
            </w:r>
          </w:p>
        </w:tc>
        <w:tc>
          <w:tcPr>
            <w:tcW w:w="524" w:type="pct"/>
            <w:gridSpan w:val="3"/>
          </w:tcPr>
          <w:p w14:paraId="0643B0B8" w14:textId="6FB7CF87" w:rsidR="00C85FDF" w:rsidRPr="00034E9B" w:rsidRDefault="00C85FDF" w:rsidP="00C85FDF">
            <w:pPr>
              <w:pStyle w:val="CGCTablerow"/>
            </w:pPr>
            <w:r w:rsidRPr="00034E9B">
              <w:t>NSW</w:t>
            </w:r>
          </w:p>
        </w:tc>
        <w:tc>
          <w:tcPr>
            <w:tcW w:w="493" w:type="pct"/>
            <w:gridSpan w:val="2"/>
          </w:tcPr>
          <w:p w14:paraId="6DDF2E99" w14:textId="3F9C6964" w:rsidR="00C85FDF" w:rsidRPr="00034E9B" w:rsidRDefault="00C85FDF" w:rsidP="00C85FDF">
            <w:pPr>
              <w:pStyle w:val="CGCTablerow"/>
            </w:pPr>
            <w:r w:rsidRPr="00034E9B">
              <w:t>No</w:t>
            </w:r>
          </w:p>
        </w:tc>
        <w:tc>
          <w:tcPr>
            <w:tcW w:w="2305" w:type="pct"/>
          </w:tcPr>
          <w:p w14:paraId="260BA6C9" w14:textId="597DE453" w:rsidR="00C85FDF" w:rsidRPr="00034E9B" w:rsidRDefault="00C85FDF" w:rsidP="00C85FDF">
            <w:pPr>
              <w:pStyle w:val="CGCTablerow"/>
              <w:rPr>
                <w:rFonts w:cs="Open Sans Light"/>
                <w:szCs w:val="16"/>
              </w:rPr>
            </w:pPr>
            <w:r w:rsidRPr="00034E9B">
              <w:rPr>
                <w:rFonts w:cs="Open Sans Light"/>
                <w:szCs w:val="16"/>
              </w:rPr>
              <w:t>No reliable assessment can be made and other indicators suggest it would not be material.</w:t>
            </w:r>
          </w:p>
        </w:tc>
      </w:tr>
      <w:tr w:rsidR="00C85FDF" w:rsidRPr="00034E9B" w14:paraId="1F1A9FF6" w14:textId="77777777" w:rsidTr="00C01414">
        <w:tc>
          <w:tcPr>
            <w:tcW w:w="1678" w:type="pct"/>
          </w:tcPr>
          <w:p w14:paraId="27DDF630" w14:textId="03A3153A" w:rsidR="00C85FDF" w:rsidRPr="00034E9B" w:rsidRDefault="0074143C" w:rsidP="00C85FDF">
            <w:pPr>
              <w:pStyle w:val="CGCTablerow"/>
            </w:pPr>
            <w:r>
              <w:t xml:space="preserve">Recognise </w:t>
            </w:r>
            <w:r w:rsidR="0003533E">
              <w:t>b</w:t>
            </w:r>
            <w:r w:rsidR="00C85FDF" w:rsidRPr="00066FAD">
              <w:t>order patrol</w:t>
            </w:r>
            <w:r w:rsidR="0003533E">
              <w:t xml:space="preserve"> costs</w:t>
            </w:r>
          </w:p>
        </w:tc>
        <w:tc>
          <w:tcPr>
            <w:tcW w:w="524" w:type="pct"/>
            <w:gridSpan w:val="3"/>
          </w:tcPr>
          <w:p w14:paraId="093A6888" w14:textId="4DF5EA1D" w:rsidR="00C85FDF" w:rsidRPr="00034E9B" w:rsidRDefault="00C85FDF" w:rsidP="00C85FDF">
            <w:pPr>
              <w:pStyle w:val="CGCTablerow"/>
            </w:pPr>
            <w:r w:rsidRPr="00034E9B">
              <w:t>Qld</w:t>
            </w:r>
          </w:p>
        </w:tc>
        <w:tc>
          <w:tcPr>
            <w:tcW w:w="493" w:type="pct"/>
            <w:gridSpan w:val="2"/>
          </w:tcPr>
          <w:p w14:paraId="20C8DBC3" w14:textId="592F8671" w:rsidR="00C85FDF" w:rsidRPr="00034E9B" w:rsidRDefault="00C85FDF" w:rsidP="00C85FDF">
            <w:pPr>
              <w:pStyle w:val="CGCTablerow"/>
            </w:pPr>
            <w:r w:rsidRPr="00034E9B">
              <w:t>No</w:t>
            </w:r>
          </w:p>
        </w:tc>
        <w:tc>
          <w:tcPr>
            <w:tcW w:w="2305" w:type="pct"/>
          </w:tcPr>
          <w:p w14:paraId="54A37DB6" w14:textId="76A9DD9A" w:rsidR="00C85FDF" w:rsidRPr="00034E9B" w:rsidRDefault="00C85FDF" w:rsidP="00C85FDF">
            <w:pPr>
              <w:pStyle w:val="CGCTablerow"/>
              <w:rPr>
                <w:rFonts w:cs="Open Sans Light"/>
                <w:szCs w:val="16"/>
              </w:rPr>
            </w:pPr>
            <w:r w:rsidRPr="00034E9B">
              <w:rPr>
                <w:rFonts w:cs="Open Sans Light"/>
                <w:szCs w:val="16"/>
              </w:rPr>
              <w:t>Data indicate any potential costs are not material and costs of remote policing are considered. Neither are reliable data available to indicate a disability compared to other States.</w:t>
            </w:r>
          </w:p>
        </w:tc>
      </w:tr>
      <w:tr w:rsidR="00C85FDF" w:rsidRPr="00034E9B" w14:paraId="43A8E840" w14:textId="77777777" w:rsidTr="00C01414">
        <w:tc>
          <w:tcPr>
            <w:tcW w:w="1678" w:type="pct"/>
          </w:tcPr>
          <w:p w14:paraId="5B7768F9" w14:textId="745B241C" w:rsidR="00C85FDF" w:rsidRPr="00034E9B" w:rsidRDefault="0003533E" w:rsidP="00C85FDF">
            <w:pPr>
              <w:pStyle w:val="CGCTablerow"/>
            </w:pPr>
            <w:r>
              <w:t>Recognise c</w:t>
            </w:r>
            <w:r w:rsidR="00C85FDF" w:rsidRPr="00066FAD">
              <w:t>ross-border</w:t>
            </w:r>
            <w:r>
              <w:t xml:space="preserve"> costs</w:t>
            </w:r>
          </w:p>
        </w:tc>
        <w:tc>
          <w:tcPr>
            <w:tcW w:w="524" w:type="pct"/>
            <w:gridSpan w:val="3"/>
          </w:tcPr>
          <w:p w14:paraId="0F02F2AD" w14:textId="5BA57A17" w:rsidR="00C85FDF" w:rsidRPr="00034E9B" w:rsidRDefault="00C85FDF" w:rsidP="00C85FDF">
            <w:pPr>
              <w:pStyle w:val="CGCTablerow"/>
            </w:pPr>
            <w:r w:rsidRPr="00034E9B">
              <w:t>ACT</w:t>
            </w:r>
          </w:p>
        </w:tc>
        <w:tc>
          <w:tcPr>
            <w:tcW w:w="493" w:type="pct"/>
            <w:gridSpan w:val="2"/>
          </w:tcPr>
          <w:p w14:paraId="7F247EA2" w14:textId="00C83B88" w:rsidR="00C85FDF" w:rsidRPr="00034E9B" w:rsidRDefault="00C85FDF" w:rsidP="00C85FDF">
            <w:pPr>
              <w:pStyle w:val="CGCTablerow"/>
            </w:pPr>
            <w:r w:rsidRPr="00034E9B">
              <w:t>No</w:t>
            </w:r>
          </w:p>
        </w:tc>
        <w:tc>
          <w:tcPr>
            <w:tcW w:w="2305" w:type="pct"/>
          </w:tcPr>
          <w:p w14:paraId="361AF800" w14:textId="53525966" w:rsidR="00C85FDF" w:rsidRPr="00034E9B" w:rsidRDefault="00C85FDF" w:rsidP="00C85FDF">
            <w:pPr>
              <w:pStyle w:val="CGCTablerow"/>
              <w:rPr>
                <w:rFonts w:cs="Open Sans Light"/>
                <w:szCs w:val="16"/>
              </w:rPr>
            </w:pPr>
            <w:r w:rsidRPr="00034E9B">
              <w:rPr>
                <w:rFonts w:cs="Open Sans Light"/>
                <w:szCs w:val="16"/>
              </w:rPr>
              <w:t>Data determine no cross-border case for Justice.</w:t>
            </w:r>
          </w:p>
        </w:tc>
      </w:tr>
    </w:tbl>
    <w:p w14:paraId="41E2A755" w14:textId="7DF0379D" w:rsidR="00593181" w:rsidRPr="00034E9B" w:rsidRDefault="00593181" w:rsidP="00593181">
      <w:pPr>
        <w:pStyle w:val="CGCTablenote"/>
      </w:pPr>
      <w:r w:rsidRPr="00034E9B">
        <w:t>Note:</w:t>
      </w:r>
      <w:r w:rsidRPr="00034E9B">
        <w:tab/>
        <w:t xml:space="preserve">Acronyms used in this table are spelt out in the </w:t>
      </w:r>
      <w:r w:rsidR="00AB0B9B">
        <w:t>list of acronyms at the beginning of this volume</w:t>
      </w:r>
      <w:r w:rsidRPr="00034E9B">
        <w:t>.</w:t>
      </w:r>
    </w:p>
    <w:p w14:paraId="2F3A37AE" w14:textId="77777777" w:rsidR="00593181" w:rsidRPr="00034E9B" w:rsidRDefault="00593181" w:rsidP="00593181">
      <w:pPr>
        <w:pStyle w:val="CGCTablenote"/>
      </w:pPr>
      <w:r w:rsidRPr="00034E9B">
        <w:t>Source:</w:t>
      </w:r>
      <w:r w:rsidRPr="00034E9B">
        <w:tab/>
        <w:t>Commission decisions.</w:t>
      </w:r>
    </w:p>
    <w:p w14:paraId="67A5A04B" w14:textId="565E4906" w:rsidR="00593181" w:rsidRPr="00034E9B" w:rsidRDefault="00593181" w:rsidP="00161EFB"/>
    <w:p w14:paraId="75A45E84" w14:textId="3DCAD5CE" w:rsidR="00593181" w:rsidRPr="00034E9B" w:rsidRDefault="00593181" w:rsidP="00161EFB"/>
    <w:p w14:paraId="71362203" w14:textId="77777777" w:rsidR="00593181" w:rsidRPr="00034E9B" w:rsidRDefault="00593181" w:rsidP="004C3D1C">
      <w:pPr>
        <w:pStyle w:val="Caption"/>
      </w:pPr>
      <w:r w:rsidRPr="00034E9B">
        <w:lastRenderedPageBreak/>
        <w:t>Table 1</w:t>
      </w:r>
      <w:r w:rsidRPr="00034E9B">
        <w:noBreakHyphen/>
        <w:t>5</w:t>
      </w:r>
      <w:r w:rsidRPr="00034E9B">
        <w:tab/>
        <w:t>Commission responses to State proposals, 2020 Review (continued)</w:t>
      </w:r>
    </w:p>
    <w:tbl>
      <w:tblPr>
        <w:tblW w:w="5068" w:type="pct"/>
        <w:tblBorders>
          <w:top w:val="single" w:sz="4" w:space="0" w:color="ADD6EA"/>
          <w:bottom w:val="single" w:sz="4" w:space="0" w:color="ADD6EA"/>
          <w:insideH w:val="single" w:sz="4" w:space="0" w:color="ADD6EA"/>
        </w:tblBorders>
        <w:tblCellMar>
          <w:left w:w="28" w:type="dxa"/>
          <w:right w:w="85" w:type="dxa"/>
        </w:tblCellMar>
        <w:tblLook w:val="0000" w:firstRow="0" w:lastRow="0" w:firstColumn="0" w:lastColumn="0" w:noHBand="0" w:noVBand="0"/>
      </w:tblPr>
      <w:tblGrid>
        <w:gridCol w:w="3079"/>
        <w:gridCol w:w="17"/>
        <w:gridCol w:w="948"/>
        <w:gridCol w:w="15"/>
        <w:gridCol w:w="889"/>
        <w:gridCol w:w="15"/>
        <w:gridCol w:w="57"/>
        <w:gridCol w:w="4046"/>
        <w:gridCol w:w="121"/>
      </w:tblGrid>
      <w:tr w:rsidR="00EF2850" w:rsidRPr="00034E9B" w14:paraId="3E2F59FE" w14:textId="77777777" w:rsidTr="00C01414">
        <w:trPr>
          <w:trHeight w:val="340"/>
        </w:trPr>
        <w:tc>
          <w:tcPr>
            <w:tcW w:w="1685" w:type="pct"/>
            <w:gridSpan w:val="2"/>
            <w:shd w:val="clear" w:color="auto" w:fill="006991"/>
            <w:vAlign w:val="center"/>
          </w:tcPr>
          <w:p w14:paraId="44C3CCD8" w14:textId="21AE05B5" w:rsidR="00EF2850" w:rsidRPr="00034E9B" w:rsidRDefault="00EF2850" w:rsidP="00F419D1">
            <w:pPr>
              <w:pStyle w:val="CGCTableheader"/>
              <w:keepNext/>
              <w:keepLines/>
              <w:rPr>
                <w:lang w:val="en-AU"/>
              </w:rPr>
            </w:pPr>
            <w:r w:rsidRPr="00034E9B">
              <w:rPr>
                <w:lang w:val="en-AU"/>
              </w:rPr>
              <w:t>Proposal</w:t>
            </w:r>
          </w:p>
        </w:tc>
        <w:tc>
          <w:tcPr>
            <w:tcW w:w="524" w:type="pct"/>
            <w:gridSpan w:val="2"/>
            <w:shd w:val="clear" w:color="auto" w:fill="006991"/>
            <w:vAlign w:val="center"/>
          </w:tcPr>
          <w:p w14:paraId="269648C5" w14:textId="087CF9BF" w:rsidR="00EF2850" w:rsidRPr="00034E9B" w:rsidRDefault="00EF2850" w:rsidP="00F419D1">
            <w:pPr>
              <w:pStyle w:val="CGCTableheader"/>
              <w:keepNext/>
              <w:keepLines/>
              <w:rPr>
                <w:lang w:val="en-AU"/>
              </w:rPr>
            </w:pPr>
            <w:r w:rsidRPr="00034E9B">
              <w:rPr>
                <w:lang w:val="en-AU"/>
              </w:rPr>
              <w:t>State</w:t>
            </w:r>
          </w:p>
        </w:tc>
        <w:tc>
          <w:tcPr>
            <w:tcW w:w="523" w:type="pct"/>
            <w:gridSpan w:val="3"/>
            <w:shd w:val="clear" w:color="auto" w:fill="006991"/>
            <w:vAlign w:val="center"/>
          </w:tcPr>
          <w:p w14:paraId="6E728049" w14:textId="5170AE06" w:rsidR="00EF2850" w:rsidRPr="00034E9B" w:rsidRDefault="00EF2850" w:rsidP="00F419D1">
            <w:pPr>
              <w:pStyle w:val="CGCTableheader"/>
              <w:keepNext/>
              <w:keepLines/>
              <w:rPr>
                <w:lang w:val="en-AU"/>
              </w:rPr>
            </w:pPr>
            <w:r w:rsidRPr="00034E9B">
              <w:rPr>
                <w:lang w:val="en-AU"/>
              </w:rPr>
              <w:t>Adopted</w:t>
            </w:r>
          </w:p>
        </w:tc>
        <w:tc>
          <w:tcPr>
            <w:tcW w:w="2268" w:type="pct"/>
            <w:gridSpan w:val="2"/>
            <w:shd w:val="clear" w:color="auto" w:fill="006991"/>
            <w:vAlign w:val="center"/>
          </w:tcPr>
          <w:p w14:paraId="39B05EBD" w14:textId="6EE51F31" w:rsidR="00EF2850" w:rsidRPr="00034E9B" w:rsidRDefault="00EF2850" w:rsidP="00F419D1">
            <w:pPr>
              <w:pStyle w:val="CGCTableheader"/>
              <w:keepNext/>
              <w:keepLines/>
              <w:rPr>
                <w:lang w:val="en-AU"/>
              </w:rPr>
            </w:pPr>
            <w:r w:rsidRPr="00034E9B">
              <w:rPr>
                <w:lang w:val="en-AU"/>
              </w:rPr>
              <w:t>Explanation</w:t>
            </w:r>
          </w:p>
        </w:tc>
      </w:tr>
      <w:tr w:rsidR="00EF2850" w:rsidRPr="00034E9B" w14:paraId="0AB37827" w14:textId="77777777" w:rsidTr="00C01414">
        <w:tc>
          <w:tcPr>
            <w:tcW w:w="1676" w:type="pct"/>
            <w:shd w:val="clear" w:color="auto" w:fill="B6D5E4"/>
          </w:tcPr>
          <w:p w14:paraId="399C3D3D" w14:textId="4E246B52" w:rsidR="00EF2850" w:rsidRPr="00034E9B" w:rsidRDefault="00EF2850" w:rsidP="004C3D1C">
            <w:pPr>
              <w:pStyle w:val="CGCTablesubhead1"/>
              <w:keepNext/>
              <w:keepLines/>
              <w:rPr>
                <w:lang w:val="en-AU"/>
              </w:rPr>
            </w:pPr>
            <w:r w:rsidRPr="00034E9B">
              <w:rPr>
                <w:lang w:val="en-AU"/>
              </w:rPr>
              <w:t>Justice (continued)</w:t>
            </w:r>
          </w:p>
        </w:tc>
        <w:tc>
          <w:tcPr>
            <w:tcW w:w="525" w:type="pct"/>
            <w:gridSpan w:val="2"/>
            <w:shd w:val="clear" w:color="auto" w:fill="B6D5E4"/>
          </w:tcPr>
          <w:p w14:paraId="39E63071" w14:textId="77777777" w:rsidR="00EF2850" w:rsidRPr="00034E9B" w:rsidRDefault="00EF2850" w:rsidP="004C3D1C">
            <w:pPr>
              <w:pStyle w:val="CGCTablesubhead1"/>
              <w:keepNext/>
              <w:keepLines/>
              <w:rPr>
                <w:lang w:val="en-AU"/>
              </w:rPr>
            </w:pPr>
          </w:p>
        </w:tc>
        <w:tc>
          <w:tcPr>
            <w:tcW w:w="492" w:type="pct"/>
            <w:gridSpan w:val="2"/>
            <w:shd w:val="clear" w:color="auto" w:fill="B6D5E4"/>
          </w:tcPr>
          <w:p w14:paraId="4EDD2C60" w14:textId="77777777" w:rsidR="00EF2850" w:rsidRPr="00034E9B" w:rsidRDefault="00EF2850" w:rsidP="004C3D1C">
            <w:pPr>
              <w:pStyle w:val="CGCTablesubhead1"/>
              <w:keepNext/>
              <w:keepLines/>
              <w:rPr>
                <w:lang w:val="en-AU"/>
              </w:rPr>
            </w:pPr>
          </w:p>
        </w:tc>
        <w:tc>
          <w:tcPr>
            <w:tcW w:w="2307" w:type="pct"/>
            <w:gridSpan w:val="4"/>
            <w:shd w:val="clear" w:color="auto" w:fill="B6D5E4"/>
          </w:tcPr>
          <w:p w14:paraId="15FC4A1A" w14:textId="77777777" w:rsidR="00EF2850" w:rsidRPr="00034E9B" w:rsidRDefault="00EF2850" w:rsidP="004C3D1C">
            <w:pPr>
              <w:pStyle w:val="CGCTablesubhead1"/>
              <w:keepNext/>
              <w:keepLines/>
              <w:rPr>
                <w:lang w:val="en-AU"/>
              </w:rPr>
            </w:pPr>
          </w:p>
        </w:tc>
      </w:tr>
      <w:tr w:rsidR="00EF2850" w:rsidRPr="00034E9B" w14:paraId="156A65F4" w14:textId="77777777" w:rsidTr="00C01414">
        <w:tc>
          <w:tcPr>
            <w:tcW w:w="1676" w:type="pct"/>
          </w:tcPr>
          <w:p w14:paraId="22152632" w14:textId="427CBBBC" w:rsidR="00EF2850" w:rsidRPr="00034E9B" w:rsidRDefault="00EF2850" w:rsidP="004C3D1C">
            <w:pPr>
              <w:pStyle w:val="CGCTablerow"/>
              <w:keepNext/>
              <w:keepLines/>
              <w:rPr>
                <w:rFonts w:cs="Open Sans Light"/>
              </w:rPr>
            </w:pPr>
            <w:r w:rsidRPr="00034E9B">
              <w:rPr>
                <w:rFonts w:cs="Open Sans Light"/>
              </w:rPr>
              <w:t>Separate SDC assessments of higher and lower courts</w:t>
            </w:r>
          </w:p>
        </w:tc>
        <w:tc>
          <w:tcPr>
            <w:tcW w:w="525" w:type="pct"/>
            <w:gridSpan w:val="2"/>
          </w:tcPr>
          <w:p w14:paraId="2066FE38" w14:textId="60D7DA7F" w:rsidR="00EF2850" w:rsidRPr="00034E9B" w:rsidRDefault="00EF2850" w:rsidP="004C3D1C">
            <w:pPr>
              <w:pStyle w:val="CGCTablerow"/>
              <w:keepNext/>
              <w:keepLines/>
              <w:rPr>
                <w:rFonts w:cs="Open Sans Light"/>
              </w:rPr>
            </w:pPr>
            <w:r w:rsidRPr="00034E9B">
              <w:rPr>
                <w:rFonts w:cs="Open Sans Light"/>
              </w:rPr>
              <w:t>Vic</w:t>
            </w:r>
          </w:p>
        </w:tc>
        <w:tc>
          <w:tcPr>
            <w:tcW w:w="492" w:type="pct"/>
            <w:gridSpan w:val="2"/>
          </w:tcPr>
          <w:p w14:paraId="2A336AB5" w14:textId="3C73D12D" w:rsidR="00EF2850" w:rsidRPr="00034E9B" w:rsidRDefault="00EF2850" w:rsidP="004C3D1C">
            <w:pPr>
              <w:pStyle w:val="CGCTablerow"/>
              <w:keepNext/>
              <w:keepLines/>
              <w:rPr>
                <w:rFonts w:cs="Open Sans Light"/>
              </w:rPr>
            </w:pPr>
            <w:r w:rsidRPr="00034E9B">
              <w:rPr>
                <w:rFonts w:cs="Open Sans Light"/>
              </w:rPr>
              <w:t>No</w:t>
            </w:r>
          </w:p>
        </w:tc>
        <w:tc>
          <w:tcPr>
            <w:tcW w:w="2307" w:type="pct"/>
            <w:gridSpan w:val="4"/>
          </w:tcPr>
          <w:p w14:paraId="11917CB8" w14:textId="3D74DCD9" w:rsidR="00EF2850" w:rsidRPr="00034E9B" w:rsidRDefault="00EF2850" w:rsidP="004C3D1C">
            <w:pPr>
              <w:pStyle w:val="CGCTablerow"/>
              <w:keepNext/>
              <w:keepLines/>
              <w:rPr>
                <w:rFonts w:cs="Open Sans Light"/>
              </w:rPr>
            </w:pPr>
            <w:r w:rsidRPr="00034E9B">
              <w:rPr>
                <w:rFonts w:cs="Open Sans Light"/>
              </w:rPr>
              <w:t>Separate assessment of courts is not material given the way Indigenous status non-response is distributed on an ERP basis.</w:t>
            </w:r>
          </w:p>
        </w:tc>
      </w:tr>
      <w:tr w:rsidR="00EF2850" w:rsidRPr="00034E9B" w14:paraId="23A2DC69" w14:textId="77777777" w:rsidTr="00C01414">
        <w:tc>
          <w:tcPr>
            <w:tcW w:w="1676" w:type="pct"/>
          </w:tcPr>
          <w:p w14:paraId="2DD60394" w14:textId="60C2A5AA" w:rsidR="00EF2850" w:rsidRPr="00034E9B" w:rsidRDefault="00EF2850" w:rsidP="004C3D1C">
            <w:pPr>
              <w:pStyle w:val="CGCTablerow"/>
              <w:keepNext/>
              <w:keepLines/>
              <w:rPr>
                <w:rFonts w:cs="Open Sans Light"/>
              </w:rPr>
            </w:pPr>
            <w:r w:rsidRPr="00034E9B">
              <w:rPr>
                <w:rFonts w:cs="Open Sans Light"/>
              </w:rPr>
              <w:t>Cost weights associated with culturally and linguistically diverse population</w:t>
            </w:r>
          </w:p>
        </w:tc>
        <w:tc>
          <w:tcPr>
            <w:tcW w:w="525" w:type="pct"/>
            <w:gridSpan w:val="2"/>
          </w:tcPr>
          <w:p w14:paraId="0654189D" w14:textId="732E2EE9" w:rsidR="00EF2850" w:rsidRPr="00034E9B" w:rsidRDefault="00EF2850" w:rsidP="004C3D1C">
            <w:pPr>
              <w:pStyle w:val="CGCTablerow"/>
              <w:keepNext/>
              <w:keepLines/>
              <w:rPr>
                <w:rFonts w:cs="Open Sans Light"/>
              </w:rPr>
            </w:pPr>
            <w:r w:rsidRPr="00034E9B">
              <w:rPr>
                <w:rFonts w:cs="Open Sans Light"/>
              </w:rPr>
              <w:t>NSW</w:t>
            </w:r>
          </w:p>
        </w:tc>
        <w:tc>
          <w:tcPr>
            <w:tcW w:w="492" w:type="pct"/>
            <w:gridSpan w:val="2"/>
          </w:tcPr>
          <w:p w14:paraId="6340FC53" w14:textId="706723B7" w:rsidR="00EF2850" w:rsidRPr="00034E9B" w:rsidRDefault="00EF2850" w:rsidP="004C3D1C">
            <w:pPr>
              <w:pStyle w:val="CGCTablerow"/>
              <w:keepNext/>
              <w:keepLines/>
              <w:rPr>
                <w:rFonts w:cs="Open Sans Light"/>
              </w:rPr>
            </w:pPr>
            <w:r w:rsidRPr="00034E9B">
              <w:rPr>
                <w:rFonts w:cs="Open Sans Light"/>
              </w:rPr>
              <w:t>No</w:t>
            </w:r>
          </w:p>
        </w:tc>
        <w:tc>
          <w:tcPr>
            <w:tcW w:w="2307" w:type="pct"/>
            <w:gridSpan w:val="4"/>
          </w:tcPr>
          <w:p w14:paraId="4F1CEC52" w14:textId="7718174A" w:rsidR="00EF2850" w:rsidRPr="00034E9B" w:rsidRDefault="00EF2850" w:rsidP="004C3D1C">
            <w:pPr>
              <w:pStyle w:val="CGCTablerow"/>
              <w:keepNext/>
              <w:keepLines/>
              <w:rPr>
                <w:rFonts w:cs="Open Sans Light"/>
              </w:rPr>
            </w:pPr>
            <w:r w:rsidRPr="00034E9B">
              <w:rPr>
                <w:rFonts w:cs="Open Sans Light"/>
              </w:rPr>
              <w:t>Data are not available to make a reliable assessment. Data also suggest any potential higher costs weight would be offset by lower use rate.</w:t>
            </w:r>
          </w:p>
        </w:tc>
      </w:tr>
      <w:tr w:rsidR="00EF2850" w:rsidRPr="00034E9B" w14:paraId="2E9FFC14" w14:textId="77777777" w:rsidTr="00C01414">
        <w:tc>
          <w:tcPr>
            <w:tcW w:w="1676" w:type="pct"/>
          </w:tcPr>
          <w:p w14:paraId="39EE5AB9" w14:textId="76065704" w:rsidR="00EF2850" w:rsidRPr="00034E9B" w:rsidRDefault="00EF2850" w:rsidP="00EF2850">
            <w:pPr>
              <w:pStyle w:val="CGCTablerow"/>
              <w:rPr>
                <w:rFonts w:cs="Open Sans Light"/>
              </w:rPr>
            </w:pPr>
            <w:r w:rsidRPr="00034E9B">
              <w:rPr>
                <w:rFonts w:cs="Open Sans Light"/>
              </w:rPr>
              <w:t>Separate SDC assessment of custodial and non-custodial corrective services</w:t>
            </w:r>
          </w:p>
        </w:tc>
        <w:tc>
          <w:tcPr>
            <w:tcW w:w="525" w:type="pct"/>
            <w:gridSpan w:val="2"/>
          </w:tcPr>
          <w:p w14:paraId="081B35FD" w14:textId="337DFFC0" w:rsidR="00EF2850" w:rsidRPr="00034E9B" w:rsidRDefault="00EF2850" w:rsidP="00EF2850">
            <w:pPr>
              <w:pStyle w:val="CGCTablerow"/>
              <w:rPr>
                <w:rFonts w:cs="Open Sans Light"/>
              </w:rPr>
            </w:pPr>
            <w:r w:rsidRPr="00034E9B">
              <w:rPr>
                <w:rFonts w:cs="Open Sans Light"/>
              </w:rPr>
              <w:t>Vic, Qld</w:t>
            </w:r>
          </w:p>
        </w:tc>
        <w:tc>
          <w:tcPr>
            <w:tcW w:w="492" w:type="pct"/>
            <w:gridSpan w:val="2"/>
          </w:tcPr>
          <w:p w14:paraId="16F2E907" w14:textId="56A59F39" w:rsidR="00EF2850" w:rsidRPr="00034E9B" w:rsidRDefault="00EF2850" w:rsidP="00EF2850">
            <w:pPr>
              <w:pStyle w:val="CGCTablerow"/>
              <w:rPr>
                <w:rFonts w:cs="Open Sans Light"/>
              </w:rPr>
            </w:pPr>
            <w:r w:rsidRPr="00034E9B">
              <w:rPr>
                <w:rFonts w:cs="Open Sans Light"/>
              </w:rPr>
              <w:t>No</w:t>
            </w:r>
          </w:p>
        </w:tc>
        <w:tc>
          <w:tcPr>
            <w:tcW w:w="2307" w:type="pct"/>
            <w:gridSpan w:val="4"/>
          </w:tcPr>
          <w:p w14:paraId="7FE27B45" w14:textId="0EBBB111" w:rsidR="00EF2850" w:rsidRPr="00034E9B" w:rsidRDefault="00EF2850" w:rsidP="00EF2850">
            <w:pPr>
              <w:pStyle w:val="CGCTablerow"/>
              <w:rPr>
                <w:rFonts w:cs="Open Sans Light"/>
              </w:rPr>
            </w:pPr>
            <w:r w:rsidRPr="00034E9B">
              <w:rPr>
                <w:rFonts w:cs="Open Sans Light"/>
              </w:rPr>
              <w:t>Separate assessment is not material.</w:t>
            </w:r>
          </w:p>
        </w:tc>
      </w:tr>
      <w:tr w:rsidR="00EF2850" w:rsidRPr="00034E9B" w14:paraId="644FBAFA" w14:textId="77777777" w:rsidTr="00C01414">
        <w:tc>
          <w:tcPr>
            <w:tcW w:w="1685" w:type="pct"/>
            <w:gridSpan w:val="2"/>
          </w:tcPr>
          <w:p w14:paraId="4A966867" w14:textId="68A10B78" w:rsidR="00EF2850" w:rsidRPr="00034E9B" w:rsidRDefault="00EF2850" w:rsidP="00EF2850">
            <w:pPr>
              <w:pStyle w:val="CGCTablerow"/>
              <w:rPr>
                <w:rFonts w:cs="Open Sans Light"/>
              </w:rPr>
            </w:pPr>
            <w:r w:rsidRPr="00034E9B">
              <w:rPr>
                <w:rFonts w:cs="Open Sans Light"/>
              </w:rPr>
              <w:t>Use State budget data to determine SDC/EPC split of courts</w:t>
            </w:r>
          </w:p>
        </w:tc>
        <w:tc>
          <w:tcPr>
            <w:tcW w:w="524" w:type="pct"/>
            <w:gridSpan w:val="2"/>
          </w:tcPr>
          <w:p w14:paraId="073008CB" w14:textId="4F7E72EF" w:rsidR="00EF2850" w:rsidRPr="00034E9B" w:rsidRDefault="00EF2850" w:rsidP="00EF2850">
            <w:pPr>
              <w:pStyle w:val="CGCTablerow"/>
              <w:rPr>
                <w:rFonts w:cs="Open Sans Light"/>
              </w:rPr>
            </w:pPr>
            <w:r w:rsidRPr="00034E9B">
              <w:rPr>
                <w:rFonts w:cs="Open Sans Light"/>
              </w:rPr>
              <w:t>Vic, ACT</w:t>
            </w:r>
          </w:p>
        </w:tc>
        <w:tc>
          <w:tcPr>
            <w:tcW w:w="492" w:type="pct"/>
            <w:gridSpan w:val="2"/>
          </w:tcPr>
          <w:p w14:paraId="58CE1143" w14:textId="0B19660D" w:rsidR="00EF2850" w:rsidRPr="00034E9B" w:rsidRDefault="00EF2850" w:rsidP="00EF2850">
            <w:pPr>
              <w:pStyle w:val="CGCTablerow"/>
              <w:rPr>
                <w:rFonts w:cs="Open Sans Light"/>
              </w:rPr>
            </w:pPr>
            <w:r w:rsidRPr="00034E9B">
              <w:rPr>
                <w:rFonts w:cs="Open Sans Light"/>
              </w:rPr>
              <w:t>Yes</w:t>
            </w:r>
          </w:p>
        </w:tc>
        <w:tc>
          <w:tcPr>
            <w:tcW w:w="2299" w:type="pct"/>
            <w:gridSpan w:val="3"/>
          </w:tcPr>
          <w:p w14:paraId="7479160C" w14:textId="2B10B3CF" w:rsidR="00EF2850" w:rsidRPr="00034E9B" w:rsidRDefault="00EF2850" w:rsidP="00EF2850">
            <w:pPr>
              <w:pStyle w:val="CGCTablerow"/>
              <w:rPr>
                <w:rFonts w:cs="Open Sans Light"/>
              </w:rPr>
            </w:pPr>
            <w:r w:rsidRPr="00034E9B">
              <w:rPr>
                <w:rFonts w:cs="Open Sans Light"/>
              </w:rPr>
              <w:t>Data provided directly from States are more accurate.</w:t>
            </w:r>
          </w:p>
        </w:tc>
      </w:tr>
      <w:tr w:rsidR="00EF2850" w:rsidRPr="00034E9B" w14:paraId="4566B725" w14:textId="77777777" w:rsidTr="00C01414">
        <w:tc>
          <w:tcPr>
            <w:tcW w:w="1685" w:type="pct"/>
            <w:gridSpan w:val="2"/>
          </w:tcPr>
          <w:p w14:paraId="61C4E2F5" w14:textId="2A179073" w:rsidR="00EF2850" w:rsidRPr="00034E9B" w:rsidRDefault="00EF2850" w:rsidP="00EF2850">
            <w:pPr>
              <w:pStyle w:val="CGCTablerow"/>
              <w:rPr>
                <w:rFonts w:cs="Open Sans Light"/>
              </w:rPr>
            </w:pPr>
            <w:r w:rsidRPr="00034E9B">
              <w:rPr>
                <w:rFonts w:cs="Open Sans Light"/>
              </w:rPr>
              <w:t>Discount SES data by 25% for prisons</w:t>
            </w:r>
          </w:p>
        </w:tc>
        <w:tc>
          <w:tcPr>
            <w:tcW w:w="524" w:type="pct"/>
            <w:gridSpan w:val="2"/>
          </w:tcPr>
          <w:p w14:paraId="5943BE8C" w14:textId="4CE67CBE" w:rsidR="00EF2850" w:rsidRPr="00034E9B" w:rsidRDefault="00EF2850" w:rsidP="00EF2850">
            <w:pPr>
              <w:pStyle w:val="CGCTablerow"/>
              <w:rPr>
                <w:rFonts w:cs="Open Sans Light"/>
              </w:rPr>
            </w:pPr>
            <w:r w:rsidRPr="00034E9B">
              <w:rPr>
                <w:rFonts w:cs="Open Sans Light"/>
              </w:rPr>
              <w:t>ACT</w:t>
            </w:r>
          </w:p>
        </w:tc>
        <w:tc>
          <w:tcPr>
            <w:tcW w:w="492" w:type="pct"/>
            <w:gridSpan w:val="2"/>
          </w:tcPr>
          <w:p w14:paraId="16F1F021" w14:textId="2CD6F3D1" w:rsidR="00EF2850" w:rsidRPr="00034E9B" w:rsidRDefault="00EF2850" w:rsidP="00EF2850">
            <w:pPr>
              <w:pStyle w:val="CGCTablerow"/>
              <w:rPr>
                <w:rFonts w:cs="Open Sans Light"/>
              </w:rPr>
            </w:pPr>
            <w:r w:rsidRPr="00034E9B">
              <w:rPr>
                <w:rFonts w:cs="Open Sans Light"/>
              </w:rPr>
              <w:t>No</w:t>
            </w:r>
          </w:p>
        </w:tc>
        <w:tc>
          <w:tcPr>
            <w:tcW w:w="2299" w:type="pct"/>
            <w:gridSpan w:val="3"/>
          </w:tcPr>
          <w:p w14:paraId="5A95F1B6" w14:textId="39A17373" w:rsidR="00EF2850" w:rsidRPr="00034E9B" w:rsidRDefault="00EF2850" w:rsidP="00EF2850">
            <w:pPr>
              <w:pStyle w:val="CGCTablerow"/>
              <w:rPr>
                <w:rFonts w:cs="Open Sans Light"/>
              </w:rPr>
            </w:pPr>
            <w:r w:rsidRPr="00034E9B">
              <w:rPr>
                <w:rFonts w:cs="Open Sans Light"/>
              </w:rPr>
              <w:t>Data and conceptual case suggest a mark-up, rather than discount, is warranted. However, it cannot be reliably measured and is unlikely to be material.</w:t>
            </w:r>
          </w:p>
        </w:tc>
      </w:tr>
      <w:tr w:rsidR="00EF2850" w:rsidRPr="00034E9B" w14:paraId="3E478B19" w14:textId="77777777" w:rsidTr="00C01414">
        <w:tc>
          <w:tcPr>
            <w:tcW w:w="1685" w:type="pct"/>
            <w:gridSpan w:val="2"/>
          </w:tcPr>
          <w:p w14:paraId="108CF317" w14:textId="3091D3B5" w:rsidR="00EF2850" w:rsidRPr="00034E9B" w:rsidRDefault="00F11253" w:rsidP="00EF2850">
            <w:pPr>
              <w:pStyle w:val="CGCTablerow"/>
              <w:rPr>
                <w:rFonts w:cs="Open Sans Light"/>
              </w:rPr>
            </w:pPr>
            <w:r>
              <w:rPr>
                <w:rFonts w:cs="Open Sans Light"/>
              </w:rPr>
              <w:t>Assess c</w:t>
            </w:r>
            <w:r w:rsidR="00EF2850" w:rsidRPr="00AF4DF0">
              <w:rPr>
                <w:rFonts w:cs="Open Sans Light"/>
              </w:rPr>
              <w:t>ommunity</w:t>
            </w:r>
            <w:r w:rsidR="00EF2850" w:rsidRPr="00034E9B">
              <w:rPr>
                <w:rFonts w:cs="Open Sans Light"/>
              </w:rPr>
              <w:t xml:space="preserve"> drug consumption</w:t>
            </w:r>
          </w:p>
        </w:tc>
        <w:tc>
          <w:tcPr>
            <w:tcW w:w="524" w:type="pct"/>
            <w:gridSpan w:val="2"/>
          </w:tcPr>
          <w:p w14:paraId="0A567B5F" w14:textId="0224933E" w:rsidR="00EF2850" w:rsidRPr="00034E9B" w:rsidRDefault="00EF2850" w:rsidP="00EF2850">
            <w:pPr>
              <w:pStyle w:val="CGCTablerow"/>
              <w:rPr>
                <w:rFonts w:cs="Open Sans Light"/>
              </w:rPr>
            </w:pPr>
            <w:r w:rsidRPr="00034E9B">
              <w:rPr>
                <w:rFonts w:cs="Open Sans Light"/>
              </w:rPr>
              <w:t>WA</w:t>
            </w:r>
          </w:p>
        </w:tc>
        <w:tc>
          <w:tcPr>
            <w:tcW w:w="492" w:type="pct"/>
            <w:gridSpan w:val="2"/>
          </w:tcPr>
          <w:p w14:paraId="32C79FF6" w14:textId="10199867" w:rsidR="00EF2850" w:rsidRPr="00034E9B" w:rsidRDefault="00EF2850" w:rsidP="00EF2850">
            <w:pPr>
              <w:pStyle w:val="CGCTablerow"/>
              <w:rPr>
                <w:rFonts w:cs="Open Sans Light"/>
              </w:rPr>
            </w:pPr>
            <w:r w:rsidRPr="00034E9B">
              <w:rPr>
                <w:rFonts w:cs="Open Sans Light"/>
              </w:rPr>
              <w:t>No</w:t>
            </w:r>
          </w:p>
        </w:tc>
        <w:tc>
          <w:tcPr>
            <w:tcW w:w="2299" w:type="pct"/>
            <w:gridSpan w:val="3"/>
          </w:tcPr>
          <w:p w14:paraId="2F507FE7" w14:textId="166A0AD6" w:rsidR="00EF2850" w:rsidRPr="00034E9B" w:rsidRDefault="00EF2850" w:rsidP="00EF2850">
            <w:pPr>
              <w:pStyle w:val="CGCTablerow"/>
              <w:rPr>
                <w:rFonts w:cs="Open Sans Light"/>
              </w:rPr>
            </w:pPr>
            <w:r w:rsidRPr="00034E9B">
              <w:rPr>
                <w:rFonts w:cs="Open Sans Light"/>
              </w:rPr>
              <w:t>No reliable assessment can be made.</w:t>
            </w:r>
          </w:p>
        </w:tc>
      </w:tr>
      <w:tr w:rsidR="00EF2850" w:rsidRPr="00034E9B" w14:paraId="71AC134F" w14:textId="77777777" w:rsidTr="00C01414">
        <w:tc>
          <w:tcPr>
            <w:tcW w:w="1685" w:type="pct"/>
            <w:gridSpan w:val="2"/>
          </w:tcPr>
          <w:p w14:paraId="59B0112D" w14:textId="78AABBF8" w:rsidR="00EF2850" w:rsidRPr="00034E9B" w:rsidRDefault="00EF2850" w:rsidP="00EF2850">
            <w:pPr>
              <w:pStyle w:val="CGCTablerow"/>
              <w:rPr>
                <w:rFonts w:cs="Open Sans Light"/>
              </w:rPr>
            </w:pPr>
            <w:r w:rsidRPr="00034E9B">
              <w:rPr>
                <w:rFonts w:cs="Open Sans Light"/>
              </w:rPr>
              <w:t>Administrative scale for circuit courts</w:t>
            </w:r>
          </w:p>
        </w:tc>
        <w:tc>
          <w:tcPr>
            <w:tcW w:w="524" w:type="pct"/>
            <w:gridSpan w:val="2"/>
          </w:tcPr>
          <w:p w14:paraId="528FD60B" w14:textId="3C84178C" w:rsidR="00EF2850" w:rsidRPr="00034E9B" w:rsidRDefault="00EF2850" w:rsidP="00EF2850">
            <w:pPr>
              <w:pStyle w:val="CGCTablerow"/>
              <w:rPr>
                <w:rFonts w:cs="Open Sans Light"/>
              </w:rPr>
            </w:pPr>
            <w:r w:rsidRPr="00034E9B">
              <w:rPr>
                <w:rFonts w:cs="Open Sans Light"/>
              </w:rPr>
              <w:t>NT</w:t>
            </w:r>
          </w:p>
        </w:tc>
        <w:tc>
          <w:tcPr>
            <w:tcW w:w="492" w:type="pct"/>
            <w:gridSpan w:val="2"/>
          </w:tcPr>
          <w:p w14:paraId="73135702" w14:textId="2E558F4B" w:rsidR="00EF2850" w:rsidRPr="00034E9B" w:rsidRDefault="00EF2850" w:rsidP="00EF2850">
            <w:pPr>
              <w:pStyle w:val="CGCTablerow"/>
              <w:rPr>
                <w:rFonts w:cs="Open Sans Light"/>
              </w:rPr>
            </w:pPr>
            <w:r w:rsidRPr="00034E9B">
              <w:rPr>
                <w:rFonts w:cs="Open Sans Light"/>
              </w:rPr>
              <w:t>No</w:t>
            </w:r>
          </w:p>
        </w:tc>
        <w:tc>
          <w:tcPr>
            <w:tcW w:w="2299" w:type="pct"/>
            <w:gridSpan w:val="3"/>
          </w:tcPr>
          <w:p w14:paraId="47FDE0F6" w14:textId="43035F47" w:rsidR="00EF2850" w:rsidRPr="00034E9B" w:rsidRDefault="00EF2850" w:rsidP="00EF2850">
            <w:pPr>
              <w:pStyle w:val="CGCTablerow"/>
              <w:rPr>
                <w:rFonts w:cs="Open Sans Light"/>
              </w:rPr>
            </w:pPr>
            <w:r w:rsidRPr="00034E9B">
              <w:rPr>
                <w:rFonts w:cs="Open Sans Light"/>
              </w:rPr>
              <w:t xml:space="preserve">The administrative scale assessment gives States the capacity for minimum size of magistrates’ courts. It is double counting to also provide a separate amount for the same service in a different model. </w:t>
            </w:r>
          </w:p>
        </w:tc>
      </w:tr>
      <w:tr w:rsidR="00EF2850" w:rsidRPr="00034E9B" w14:paraId="75D7D061" w14:textId="77777777" w:rsidTr="00C01414">
        <w:tc>
          <w:tcPr>
            <w:tcW w:w="1685" w:type="pct"/>
            <w:gridSpan w:val="2"/>
          </w:tcPr>
          <w:p w14:paraId="716DA4A6" w14:textId="69188EA3" w:rsidR="00EF2850" w:rsidRPr="00034E9B" w:rsidRDefault="00EF2850" w:rsidP="00EF2850">
            <w:pPr>
              <w:pStyle w:val="CGCTablerow"/>
              <w:rPr>
                <w:rFonts w:cs="Open Sans Light"/>
              </w:rPr>
            </w:pPr>
            <w:r w:rsidRPr="00034E9B">
              <w:rPr>
                <w:rFonts w:cs="Open Sans Light"/>
              </w:rPr>
              <w:t>Assess user charges within Justice assessment</w:t>
            </w:r>
          </w:p>
        </w:tc>
        <w:tc>
          <w:tcPr>
            <w:tcW w:w="524" w:type="pct"/>
            <w:gridSpan w:val="2"/>
          </w:tcPr>
          <w:p w14:paraId="16526453" w14:textId="19521BF7" w:rsidR="00EF2850" w:rsidRPr="00034E9B" w:rsidRDefault="00EF2850" w:rsidP="00EF2850">
            <w:pPr>
              <w:pStyle w:val="CGCTablerow"/>
              <w:rPr>
                <w:rFonts w:cs="Open Sans Light"/>
              </w:rPr>
            </w:pPr>
            <w:r w:rsidRPr="00034E9B">
              <w:rPr>
                <w:rFonts w:cs="Open Sans Light"/>
              </w:rPr>
              <w:t>ACT</w:t>
            </w:r>
          </w:p>
        </w:tc>
        <w:tc>
          <w:tcPr>
            <w:tcW w:w="492" w:type="pct"/>
            <w:gridSpan w:val="2"/>
          </w:tcPr>
          <w:p w14:paraId="71DF8CE8" w14:textId="0301E1EE" w:rsidR="00EF2850" w:rsidRPr="00034E9B" w:rsidRDefault="00EF2850" w:rsidP="00EF2850">
            <w:pPr>
              <w:pStyle w:val="CGCTablerow"/>
              <w:rPr>
                <w:rFonts w:cs="Open Sans Light"/>
              </w:rPr>
            </w:pPr>
            <w:r w:rsidRPr="00034E9B">
              <w:rPr>
                <w:rFonts w:cs="Open Sans Light"/>
              </w:rPr>
              <w:t>No</w:t>
            </w:r>
          </w:p>
        </w:tc>
        <w:tc>
          <w:tcPr>
            <w:tcW w:w="2299" w:type="pct"/>
            <w:gridSpan w:val="3"/>
          </w:tcPr>
          <w:p w14:paraId="282D886F" w14:textId="457559E6" w:rsidR="00EF2850" w:rsidRPr="00034E9B" w:rsidRDefault="00EF2850" w:rsidP="00EF2850">
            <w:pPr>
              <w:pStyle w:val="CGCTablerow"/>
              <w:rPr>
                <w:rFonts w:cs="Open Sans Light"/>
              </w:rPr>
            </w:pPr>
            <w:r w:rsidRPr="00034E9B">
              <w:rPr>
                <w:rFonts w:cs="Open Sans Light"/>
              </w:rPr>
              <w:t>It is simpler to assess user charges in the other revenue category given that it is not differentially assessed.</w:t>
            </w:r>
          </w:p>
        </w:tc>
      </w:tr>
      <w:tr w:rsidR="00EF2850" w:rsidRPr="00034E9B" w14:paraId="0BBF1309" w14:textId="77777777" w:rsidTr="00C01414">
        <w:tc>
          <w:tcPr>
            <w:tcW w:w="1685" w:type="pct"/>
            <w:gridSpan w:val="2"/>
          </w:tcPr>
          <w:p w14:paraId="73621312" w14:textId="164C69CB" w:rsidR="00EF2850" w:rsidRPr="00034E9B" w:rsidRDefault="00EF2850" w:rsidP="00EF2850">
            <w:pPr>
              <w:pStyle w:val="CGCTablerow"/>
              <w:rPr>
                <w:rFonts w:cs="Open Sans Light"/>
              </w:rPr>
            </w:pPr>
            <w:r w:rsidRPr="00034E9B">
              <w:rPr>
                <w:rFonts w:cs="Open Sans Light"/>
              </w:rPr>
              <w:t>Incorporate regional costs of offenders in police model</w:t>
            </w:r>
          </w:p>
        </w:tc>
        <w:tc>
          <w:tcPr>
            <w:tcW w:w="524" w:type="pct"/>
            <w:gridSpan w:val="2"/>
          </w:tcPr>
          <w:p w14:paraId="148280DE" w14:textId="262FEA1A" w:rsidR="00EF2850" w:rsidRPr="00034E9B" w:rsidRDefault="00EF2850" w:rsidP="00EF2850">
            <w:pPr>
              <w:pStyle w:val="CGCTablerow"/>
              <w:rPr>
                <w:rFonts w:cs="Open Sans Light"/>
              </w:rPr>
            </w:pPr>
            <w:r w:rsidRPr="00034E9B">
              <w:rPr>
                <w:rFonts w:cs="Open Sans Light"/>
              </w:rPr>
              <w:t>NSW</w:t>
            </w:r>
          </w:p>
        </w:tc>
        <w:tc>
          <w:tcPr>
            <w:tcW w:w="492" w:type="pct"/>
            <w:gridSpan w:val="2"/>
          </w:tcPr>
          <w:p w14:paraId="6D968AB4" w14:textId="5941D4BB" w:rsidR="00EF2850" w:rsidRPr="00034E9B" w:rsidRDefault="00EF2850" w:rsidP="00EF2850">
            <w:pPr>
              <w:pStyle w:val="CGCTablerow"/>
              <w:rPr>
                <w:rFonts w:cs="Open Sans Light"/>
              </w:rPr>
            </w:pPr>
            <w:r w:rsidRPr="00034E9B">
              <w:rPr>
                <w:rFonts w:cs="Open Sans Light"/>
              </w:rPr>
              <w:t>No</w:t>
            </w:r>
          </w:p>
        </w:tc>
        <w:tc>
          <w:tcPr>
            <w:tcW w:w="2299" w:type="pct"/>
            <w:gridSpan w:val="3"/>
          </w:tcPr>
          <w:p w14:paraId="43541539" w14:textId="1723C7C8" w:rsidR="00EF2850" w:rsidRPr="00034E9B" w:rsidRDefault="00EF2850" w:rsidP="00EF2850">
            <w:pPr>
              <w:pStyle w:val="CGCTablerow"/>
              <w:rPr>
                <w:rFonts w:cs="Open Sans Light"/>
              </w:rPr>
            </w:pPr>
            <w:r w:rsidRPr="00034E9B">
              <w:rPr>
                <w:rFonts w:cs="Open Sans Light"/>
              </w:rPr>
              <w:t>Such a model is confounded by remoteness of offender and remoteness of offence and produces counter</w:t>
            </w:r>
            <w:r w:rsidR="00F65114">
              <w:rPr>
                <w:rFonts w:cs="Open Sans Light"/>
              </w:rPr>
              <w:noBreakHyphen/>
            </w:r>
            <w:r w:rsidRPr="00034E9B">
              <w:rPr>
                <w:rFonts w:cs="Open Sans Light"/>
              </w:rPr>
              <w:t>intuitive patterns.</w:t>
            </w:r>
          </w:p>
        </w:tc>
      </w:tr>
      <w:tr w:rsidR="00EF2850" w:rsidRPr="00034E9B" w14:paraId="3E55F2C6" w14:textId="77777777" w:rsidTr="00C01414">
        <w:tc>
          <w:tcPr>
            <w:tcW w:w="1685" w:type="pct"/>
            <w:gridSpan w:val="2"/>
          </w:tcPr>
          <w:p w14:paraId="3C4A0641" w14:textId="6A624E51" w:rsidR="00EF2850" w:rsidRPr="00034E9B" w:rsidRDefault="00EF2850" w:rsidP="00EF2850">
            <w:pPr>
              <w:pStyle w:val="CGCTablerow"/>
              <w:rPr>
                <w:rFonts w:cs="Open Sans Light"/>
              </w:rPr>
            </w:pPr>
            <w:r w:rsidRPr="00034E9B">
              <w:rPr>
                <w:rFonts w:cs="Open Sans Light"/>
              </w:rPr>
              <w:t>Regional costs for prisons and/or courts should be based on gradient/not included at all</w:t>
            </w:r>
          </w:p>
        </w:tc>
        <w:tc>
          <w:tcPr>
            <w:tcW w:w="524" w:type="pct"/>
            <w:gridSpan w:val="2"/>
          </w:tcPr>
          <w:p w14:paraId="7EDEB81D" w14:textId="7B0FE93A" w:rsidR="00EF2850" w:rsidRPr="00034E9B" w:rsidRDefault="00EF2850" w:rsidP="00EF2850">
            <w:pPr>
              <w:pStyle w:val="CGCTablerow"/>
              <w:rPr>
                <w:rFonts w:cs="Open Sans Light"/>
              </w:rPr>
            </w:pPr>
            <w:r w:rsidRPr="00034E9B">
              <w:rPr>
                <w:rFonts w:cs="Open Sans Light"/>
              </w:rPr>
              <w:t>NSW, Vic, WA, NT</w:t>
            </w:r>
          </w:p>
        </w:tc>
        <w:tc>
          <w:tcPr>
            <w:tcW w:w="492" w:type="pct"/>
            <w:gridSpan w:val="2"/>
          </w:tcPr>
          <w:p w14:paraId="414A1BD5" w14:textId="5E126093" w:rsidR="00EF2850" w:rsidRPr="00034E9B" w:rsidRDefault="00EF2850" w:rsidP="00EF2850">
            <w:pPr>
              <w:pStyle w:val="CGCTablerow"/>
              <w:rPr>
                <w:rFonts w:cs="Open Sans Light"/>
              </w:rPr>
            </w:pPr>
            <w:r w:rsidRPr="00034E9B">
              <w:rPr>
                <w:rFonts w:cs="Open Sans Light"/>
              </w:rPr>
              <w:t>Partial</w:t>
            </w:r>
          </w:p>
        </w:tc>
        <w:tc>
          <w:tcPr>
            <w:tcW w:w="2299" w:type="pct"/>
            <w:gridSpan w:val="3"/>
          </w:tcPr>
          <w:p w14:paraId="531A986A" w14:textId="33160672" w:rsidR="00EF2850" w:rsidRPr="00034E9B" w:rsidRDefault="00EF2850" w:rsidP="00EF2850">
            <w:pPr>
              <w:pStyle w:val="CGCTablerow"/>
              <w:rPr>
                <w:rFonts w:cs="Open Sans Light"/>
              </w:rPr>
            </w:pPr>
            <w:r w:rsidRPr="00034E9B">
              <w:rPr>
                <w:rFonts w:cs="Open Sans Light"/>
              </w:rPr>
              <w:t>There is a conceptual case for regional costs though evidence suggests this is lower than the general gradient. The regional costs gradient has been based on the best available data.</w:t>
            </w:r>
          </w:p>
        </w:tc>
      </w:tr>
      <w:tr w:rsidR="00EF2850" w:rsidRPr="00034E9B" w14:paraId="72ED82A9" w14:textId="77777777" w:rsidTr="00C01414">
        <w:tc>
          <w:tcPr>
            <w:tcW w:w="1685" w:type="pct"/>
            <w:gridSpan w:val="2"/>
            <w:tcBorders>
              <w:bottom w:val="single" w:sz="4" w:space="0" w:color="ADD6EA"/>
            </w:tcBorders>
          </w:tcPr>
          <w:p w14:paraId="024F6EB9" w14:textId="3BC7F637" w:rsidR="00EF2850" w:rsidRPr="00034E9B" w:rsidRDefault="00EF2850" w:rsidP="00EF2850">
            <w:pPr>
              <w:pStyle w:val="CGCTablerow"/>
              <w:rPr>
                <w:rFonts w:cs="Open Sans Light"/>
              </w:rPr>
            </w:pPr>
            <w:r w:rsidRPr="00034E9B">
              <w:rPr>
                <w:rFonts w:cs="Open Sans Light"/>
              </w:rPr>
              <w:t>Include remoteness in the SDC assessment of defendants (courts)</w:t>
            </w:r>
          </w:p>
        </w:tc>
        <w:tc>
          <w:tcPr>
            <w:tcW w:w="524" w:type="pct"/>
            <w:gridSpan w:val="2"/>
            <w:tcBorders>
              <w:bottom w:val="single" w:sz="4" w:space="0" w:color="ADD6EA"/>
            </w:tcBorders>
          </w:tcPr>
          <w:p w14:paraId="3C576C0D" w14:textId="2E5C4546" w:rsidR="00EF2850" w:rsidRPr="00034E9B" w:rsidRDefault="00EF2850" w:rsidP="00EF2850">
            <w:pPr>
              <w:pStyle w:val="CGCTablerow"/>
              <w:rPr>
                <w:rFonts w:cs="Open Sans Light"/>
              </w:rPr>
            </w:pPr>
            <w:r w:rsidRPr="00034E9B">
              <w:rPr>
                <w:rFonts w:cs="Open Sans Light"/>
              </w:rPr>
              <w:t>WA, NT</w:t>
            </w:r>
          </w:p>
        </w:tc>
        <w:tc>
          <w:tcPr>
            <w:tcW w:w="492" w:type="pct"/>
            <w:gridSpan w:val="2"/>
            <w:tcBorders>
              <w:bottom w:val="single" w:sz="4" w:space="0" w:color="ADD6EA"/>
            </w:tcBorders>
          </w:tcPr>
          <w:p w14:paraId="00D8F516" w14:textId="65A06D1F" w:rsidR="00EF2850" w:rsidRPr="00034E9B" w:rsidRDefault="00EF2850" w:rsidP="00EF2850">
            <w:pPr>
              <w:pStyle w:val="CGCTablerow"/>
              <w:rPr>
                <w:rFonts w:cs="Open Sans Light"/>
              </w:rPr>
            </w:pPr>
            <w:r w:rsidRPr="00034E9B">
              <w:rPr>
                <w:rFonts w:cs="Open Sans Light"/>
              </w:rPr>
              <w:t>No</w:t>
            </w:r>
          </w:p>
        </w:tc>
        <w:tc>
          <w:tcPr>
            <w:tcW w:w="2299" w:type="pct"/>
            <w:gridSpan w:val="3"/>
            <w:tcBorders>
              <w:bottom w:val="single" w:sz="4" w:space="0" w:color="ADD6EA"/>
            </w:tcBorders>
          </w:tcPr>
          <w:p w14:paraId="1E3F069D" w14:textId="1D503E8F" w:rsidR="00EF2850" w:rsidRPr="00034E9B" w:rsidRDefault="00EF2850" w:rsidP="00EF2850">
            <w:pPr>
              <w:pStyle w:val="CGCTablerow"/>
              <w:rPr>
                <w:rFonts w:cs="Open Sans Light"/>
              </w:rPr>
            </w:pPr>
            <w:r w:rsidRPr="00034E9B">
              <w:rPr>
                <w:rFonts w:cs="Open Sans Light"/>
              </w:rPr>
              <w:t>After controlling for SES, Indigenous status and age, there is no consistent relationship between remoteness and the defendant rate.</w:t>
            </w:r>
          </w:p>
        </w:tc>
      </w:tr>
      <w:tr w:rsidR="00EF2850" w:rsidRPr="00034E9B" w14:paraId="59BCBC26" w14:textId="77777777" w:rsidTr="00C01414">
        <w:tc>
          <w:tcPr>
            <w:tcW w:w="1685" w:type="pct"/>
            <w:gridSpan w:val="2"/>
            <w:shd w:val="clear" w:color="auto" w:fill="B6D5E4"/>
          </w:tcPr>
          <w:p w14:paraId="1CBA79A2" w14:textId="0D9CB657" w:rsidR="00EF2850" w:rsidRPr="00034E9B" w:rsidRDefault="00EF2850" w:rsidP="00EF2850">
            <w:pPr>
              <w:pStyle w:val="CGCTablesubhead1"/>
              <w:rPr>
                <w:lang w:val="en-AU"/>
              </w:rPr>
            </w:pPr>
            <w:r w:rsidRPr="00034E9B">
              <w:rPr>
                <w:lang w:val="en-AU"/>
              </w:rPr>
              <w:t>Roads</w:t>
            </w:r>
          </w:p>
        </w:tc>
        <w:tc>
          <w:tcPr>
            <w:tcW w:w="524" w:type="pct"/>
            <w:gridSpan w:val="2"/>
            <w:shd w:val="clear" w:color="auto" w:fill="B6D5E4"/>
          </w:tcPr>
          <w:p w14:paraId="38D8EAD5" w14:textId="77777777" w:rsidR="00EF2850" w:rsidRPr="00034E9B" w:rsidRDefault="00EF2850" w:rsidP="00EF2850">
            <w:pPr>
              <w:pStyle w:val="CGCTablesubhead1"/>
              <w:rPr>
                <w:lang w:val="en-AU"/>
              </w:rPr>
            </w:pPr>
          </w:p>
        </w:tc>
        <w:tc>
          <w:tcPr>
            <w:tcW w:w="523" w:type="pct"/>
            <w:gridSpan w:val="3"/>
            <w:shd w:val="clear" w:color="auto" w:fill="B6D5E4"/>
          </w:tcPr>
          <w:p w14:paraId="74B5C2F2" w14:textId="77777777" w:rsidR="00EF2850" w:rsidRPr="00034E9B" w:rsidRDefault="00EF2850" w:rsidP="00EF2850">
            <w:pPr>
              <w:pStyle w:val="CGCTablesubhead1"/>
              <w:rPr>
                <w:lang w:val="en-AU"/>
              </w:rPr>
            </w:pPr>
          </w:p>
        </w:tc>
        <w:tc>
          <w:tcPr>
            <w:tcW w:w="2268" w:type="pct"/>
            <w:gridSpan w:val="2"/>
            <w:shd w:val="clear" w:color="auto" w:fill="B6D5E4"/>
          </w:tcPr>
          <w:p w14:paraId="7C04A862" w14:textId="77777777" w:rsidR="00EF2850" w:rsidRPr="00034E9B" w:rsidRDefault="00EF2850" w:rsidP="00EF2850">
            <w:pPr>
              <w:pStyle w:val="CGCTablesubhead1"/>
              <w:rPr>
                <w:lang w:val="en-AU"/>
              </w:rPr>
            </w:pPr>
          </w:p>
        </w:tc>
      </w:tr>
      <w:tr w:rsidR="00EF2850" w:rsidRPr="00034E9B" w14:paraId="31DD66A9" w14:textId="77777777" w:rsidTr="00C01414">
        <w:tc>
          <w:tcPr>
            <w:tcW w:w="1685" w:type="pct"/>
            <w:gridSpan w:val="2"/>
          </w:tcPr>
          <w:p w14:paraId="388AE415" w14:textId="21BB3826" w:rsidR="00EF2850" w:rsidRPr="00034E9B" w:rsidRDefault="00433BD5" w:rsidP="00EF2850">
            <w:pPr>
              <w:pStyle w:val="CGCTablerow"/>
              <w:rPr>
                <w:rFonts w:cs="Open Sans Light"/>
              </w:rPr>
            </w:pPr>
            <w:r>
              <w:rPr>
                <w:rFonts w:cs="Open Sans Light"/>
              </w:rPr>
              <w:t>Assess a p</w:t>
            </w:r>
            <w:r w:rsidR="00EF2850" w:rsidRPr="00034E9B">
              <w:rPr>
                <w:rFonts w:cs="Open Sans Light"/>
              </w:rPr>
              <w:t>hysical environment</w:t>
            </w:r>
            <w:r>
              <w:rPr>
                <w:rFonts w:cs="Open Sans Light"/>
              </w:rPr>
              <w:t xml:space="preserve"> disability</w:t>
            </w:r>
          </w:p>
        </w:tc>
        <w:tc>
          <w:tcPr>
            <w:tcW w:w="524" w:type="pct"/>
            <w:gridSpan w:val="2"/>
          </w:tcPr>
          <w:p w14:paraId="435CD125" w14:textId="4D1574C8" w:rsidR="00EF2850" w:rsidRPr="00034E9B" w:rsidRDefault="00EF2850" w:rsidP="00EF2850">
            <w:pPr>
              <w:pStyle w:val="CGCTablerow"/>
              <w:rPr>
                <w:rFonts w:cs="Open Sans Light"/>
              </w:rPr>
            </w:pPr>
            <w:r w:rsidRPr="00034E9B">
              <w:rPr>
                <w:rFonts w:cs="Open Sans Light"/>
              </w:rPr>
              <w:t>Qld, Tas, NT</w:t>
            </w:r>
          </w:p>
        </w:tc>
        <w:tc>
          <w:tcPr>
            <w:tcW w:w="523" w:type="pct"/>
            <w:gridSpan w:val="3"/>
          </w:tcPr>
          <w:p w14:paraId="5AD05846" w14:textId="3CD7BD80" w:rsidR="00EF2850" w:rsidRPr="00034E9B" w:rsidRDefault="00EF2850" w:rsidP="00EF2850">
            <w:pPr>
              <w:pStyle w:val="CGCTablerow"/>
              <w:rPr>
                <w:rFonts w:cs="Open Sans Light"/>
              </w:rPr>
            </w:pPr>
            <w:r w:rsidRPr="00034E9B">
              <w:rPr>
                <w:rFonts w:cs="Open Sans Light"/>
              </w:rPr>
              <w:t>No</w:t>
            </w:r>
          </w:p>
        </w:tc>
        <w:tc>
          <w:tcPr>
            <w:tcW w:w="2268" w:type="pct"/>
            <w:gridSpan w:val="2"/>
          </w:tcPr>
          <w:p w14:paraId="05D75B7C" w14:textId="44357B29" w:rsidR="00EF2850" w:rsidRPr="00034E9B" w:rsidRDefault="00EF2850" w:rsidP="00EF2850">
            <w:pPr>
              <w:pStyle w:val="CGCTablerow"/>
              <w:rPr>
                <w:rFonts w:cs="Open Sans Light"/>
              </w:rPr>
            </w:pPr>
            <w:r w:rsidRPr="00034E9B">
              <w:rPr>
                <w:rFonts w:cs="Open Sans Light"/>
              </w:rPr>
              <w:t>Cannot capture all relevant influences; further attempts at measuring the impact are not likely to deliver an improved outcome.</w:t>
            </w:r>
          </w:p>
        </w:tc>
      </w:tr>
      <w:tr w:rsidR="00EF2850" w:rsidRPr="00034E9B" w14:paraId="37512F29" w14:textId="77777777" w:rsidTr="00C01414">
        <w:tc>
          <w:tcPr>
            <w:tcW w:w="1685" w:type="pct"/>
            <w:gridSpan w:val="2"/>
          </w:tcPr>
          <w:p w14:paraId="15B8273B" w14:textId="14F2BB62" w:rsidR="00EF2850" w:rsidRPr="00034E9B" w:rsidRDefault="00EF2850" w:rsidP="00EF2850">
            <w:pPr>
              <w:pStyle w:val="CGCTablerow"/>
              <w:rPr>
                <w:rFonts w:cs="Open Sans Light"/>
              </w:rPr>
            </w:pPr>
            <w:r w:rsidRPr="00034E9B">
              <w:rPr>
                <w:rFonts w:cs="Open Sans Light"/>
              </w:rPr>
              <w:t>Disaggregat</w:t>
            </w:r>
            <w:r w:rsidR="006A4DD6">
              <w:rPr>
                <w:rFonts w:cs="Open Sans Light"/>
              </w:rPr>
              <w:t>e</w:t>
            </w:r>
            <w:r w:rsidRPr="00034E9B">
              <w:rPr>
                <w:rFonts w:cs="Open Sans Light"/>
              </w:rPr>
              <w:t xml:space="preserve"> articulated trucks into at least two categories</w:t>
            </w:r>
          </w:p>
        </w:tc>
        <w:tc>
          <w:tcPr>
            <w:tcW w:w="524" w:type="pct"/>
            <w:gridSpan w:val="2"/>
          </w:tcPr>
          <w:p w14:paraId="54C5C0FF" w14:textId="6394DE35" w:rsidR="00EF2850" w:rsidRPr="00034E9B" w:rsidRDefault="00EF2850" w:rsidP="00EF2850">
            <w:pPr>
              <w:pStyle w:val="CGCTablerow"/>
              <w:rPr>
                <w:rFonts w:cs="Open Sans Light"/>
              </w:rPr>
            </w:pPr>
            <w:r w:rsidRPr="00034E9B">
              <w:rPr>
                <w:rFonts w:cs="Open Sans Light"/>
              </w:rPr>
              <w:t>WA</w:t>
            </w:r>
          </w:p>
        </w:tc>
        <w:tc>
          <w:tcPr>
            <w:tcW w:w="523" w:type="pct"/>
            <w:gridSpan w:val="3"/>
          </w:tcPr>
          <w:p w14:paraId="4189EA2D" w14:textId="41D8F3C5" w:rsidR="00EF2850" w:rsidRPr="00034E9B" w:rsidRDefault="00EF2850" w:rsidP="00EF2850">
            <w:pPr>
              <w:pStyle w:val="CGCTablerow"/>
              <w:rPr>
                <w:rFonts w:cs="Open Sans Light"/>
              </w:rPr>
            </w:pPr>
            <w:r w:rsidRPr="00034E9B">
              <w:rPr>
                <w:rFonts w:cs="Open Sans Light"/>
              </w:rPr>
              <w:t>No</w:t>
            </w:r>
          </w:p>
        </w:tc>
        <w:tc>
          <w:tcPr>
            <w:tcW w:w="2268" w:type="pct"/>
            <w:gridSpan w:val="2"/>
          </w:tcPr>
          <w:p w14:paraId="62E99DA2" w14:textId="6F3BF6BE" w:rsidR="00EF2850" w:rsidRPr="00034E9B" w:rsidRDefault="00EF2850" w:rsidP="00EF2850">
            <w:pPr>
              <w:pStyle w:val="CGCTablerow"/>
              <w:rPr>
                <w:rFonts w:cs="Open Sans Light"/>
              </w:rPr>
            </w:pPr>
            <w:r w:rsidRPr="00034E9B">
              <w:rPr>
                <w:rFonts w:cs="Open Sans Light"/>
              </w:rPr>
              <w:t>Data are not available, and disability would be policy influenced.</w:t>
            </w:r>
          </w:p>
        </w:tc>
      </w:tr>
      <w:tr w:rsidR="00EF2850" w:rsidRPr="00034E9B" w14:paraId="1A949E0A" w14:textId="77777777" w:rsidTr="00C01414">
        <w:trPr>
          <w:gridAfter w:val="1"/>
          <w:wAfter w:w="66" w:type="pct"/>
        </w:trPr>
        <w:tc>
          <w:tcPr>
            <w:tcW w:w="1685" w:type="pct"/>
            <w:gridSpan w:val="2"/>
          </w:tcPr>
          <w:p w14:paraId="408B1388" w14:textId="504448B4" w:rsidR="00EF2850" w:rsidRPr="00034E9B" w:rsidRDefault="006A4DD6" w:rsidP="00EF2850">
            <w:pPr>
              <w:pStyle w:val="CGCTablerow"/>
            </w:pPr>
            <w:r>
              <w:t>Assess a c</w:t>
            </w:r>
            <w:r w:rsidR="00EF2850" w:rsidRPr="00034E9B">
              <w:t>ongestion</w:t>
            </w:r>
            <w:r>
              <w:t xml:space="preserve"> disability</w:t>
            </w:r>
          </w:p>
        </w:tc>
        <w:tc>
          <w:tcPr>
            <w:tcW w:w="524" w:type="pct"/>
            <w:gridSpan w:val="2"/>
          </w:tcPr>
          <w:p w14:paraId="327927DE" w14:textId="6F3E301C" w:rsidR="00EF2850" w:rsidRPr="00034E9B" w:rsidRDefault="00EF2850" w:rsidP="00EF2850">
            <w:pPr>
              <w:pStyle w:val="CGCTablerow"/>
            </w:pPr>
            <w:r w:rsidRPr="00034E9B">
              <w:t>NSW</w:t>
            </w:r>
          </w:p>
        </w:tc>
        <w:tc>
          <w:tcPr>
            <w:tcW w:w="523" w:type="pct"/>
            <w:gridSpan w:val="3"/>
          </w:tcPr>
          <w:p w14:paraId="6CFB32DB" w14:textId="0D5AE206" w:rsidR="00EF2850" w:rsidRPr="00034E9B" w:rsidRDefault="00EF2850" w:rsidP="00EF2850">
            <w:pPr>
              <w:pStyle w:val="CGCTablerow"/>
            </w:pPr>
            <w:r w:rsidRPr="00034E9B">
              <w:t>No</w:t>
            </w:r>
          </w:p>
        </w:tc>
        <w:tc>
          <w:tcPr>
            <w:tcW w:w="2202" w:type="pct"/>
          </w:tcPr>
          <w:p w14:paraId="7BDAF923" w14:textId="28A2D2F4" w:rsidR="00EF2850" w:rsidRPr="00034E9B" w:rsidRDefault="00EF2850" w:rsidP="00EF2850">
            <w:pPr>
              <w:pStyle w:val="CGCTablerow"/>
            </w:pPr>
            <w:r w:rsidRPr="00034E9B">
              <w:t>Traffic volume and heavy vehicle use would capture a large proportion, if not all, of the effect of congestion.</w:t>
            </w:r>
          </w:p>
        </w:tc>
      </w:tr>
      <w:tr w:rsidR="00EF2850" w:rsidRPr="00034E9B" w14:paraId="13DDA041" w14:textId="77777777" w:rsidTr="00C01414">
        <w:trPr>
          <w:gridAfter w:val="1"/>
          <w:wAfter w:w="66" w:type="pct"/>
        </w:trPr>
        <w:tc>
          <w:tcPr>
            <w:tcW w:w="1685" w:type="pct"/>
            <w:gridSpan w:val="2"/>
          </w:tcPr>
          <w:p w14:paraId="527FB5E1" w14:textId="7F531D71" w:rsidR="00EF2850" w:rsidRPr="00034E9B" w:rsidRDefault="00CE2CCC" w:rsidP="00EF2850">
            <w:pPr>
              <w:pStyle w:val="CGCTablerow"/>
            </w:pPr>
            <w:r>
              <w:t>Assess an u</w:t>
            </w:r>
            <w:r w:rsidR="00EF2850" w:rsidRPr="00034E9B">
              <w:t>rban density</w:t>
            </w:r>
            <w:r>
              <w:t xml:space="preserve"> disability</w:t>
            </w:r>
          </w:p>
        </w:tc>
        <w:tc>
          <w:tcPr>
            <w:tcW w:w="524" w:type="pct"/>
            <w:gridSpan w:val="2"/>
          </w:tcPr>
          <w:p w14:paraId="08716730" w14:textId="12B2DD2D" w:rsidR="00EF2850" w:rsidRPr="00034E9B" w:rsidRDefault="00EF2850" w:rsidP="00EF2850">
            <w:pPr>
              <w:pStyle w:val="CGCTablerow"/>
            </w:pPr>
            <w:r w:rsidRPr="00034E9B">
              <w:t>ACT</w:t>
            </w:r>
          </w:p>
        </w:tc>
        <w:tc>
          <w:tcPr>
            <w:tcW w:w="523" w:type="pct"/>
            <w:gridSpan w:val="3"/>
          </w:tcPr>
          <w:p w14:paraId="019045E1" w14:textId="7397F6F1" w:rsidR="00EF2850" w:rsidRPr="00034E9B" w:rsidRDefault="00EF2850" w:rsidP="00EF2850">
            <w:pPr>
              <w:pStyle w:val="CGCTablerow"/>
            </w:pPr>
            <w:r w:rsidRPr="00034E9B">
              <w:t>No</w:t>
            </w:r>
          </w:p>
        </w:tc>
        <w:tc>
          <w:tcPr>
            <w:tcW w:w="2202" w:type="pct"/>
          </w:tcPr>
          <w:p w14:paraId="16D56703" w14:textId="40970B62" w:rsidR="00EF2850" w:rsidRPr="00034E9B" w:rsidRDefault="00EF2850" w:rsidP="00EF2850">
            <w:pPr>
              <w:pStyle w:val="CGCTablerow"/>
            </w:pPr>
            <w:r w:rsidRPr="00034E9B">
              <w:t>A conceptual case has not been established.</w:t>
            </w:r>
          </w:p>
        </w:tc>
      </w:tr>
      <w:tr w:rsidR="00EF2850" w:rsidRPr="00034E9B" w14:paraId="58CFC5FE" w14:textId="77777777" w:rsidTr="00C01414">
        <w:trPr>
          <w:gridAfter w:val="1"/>
          <w:wAfter w:w="66" w:type="pct"/>
        </w:trPr>
        <w:tc>
          <w:tcPr>
            <w:tcW w:w="1685" w:type="pct"/>
            <w:gridSpan w:val="2"/>
          </w:tcPr>
          <w:p w14:paraId="3859AB81" w14:textId="43EC4A19" w:rsidR="00EF2850" w:rsidRPr="00034E9B" w:rsidRDefault="00DF0524" w:rsidP="00EF2850">
            <w:pPr>
              <w:pStyle w:val="CGCTablerow"/>
            </w:pPr>
            <w:r>
              <w:t>Include r</w:t>
            </w:r>
            <w:r w:rsidR="00EF2850" w:rsidRPr="00034E9B">
              <w:t>oads to oil and gas mining, hydro power stations, wind farms, grain bins, mining exploration, mines of lesser significance</w:t>
            </w:r>
            <w:r>
              <w:t xml:space="preserve"> in the measurement of rural road length</w:t>
            </w:r>
          </w:p>
        </w:tc>
        <w:tc>
          <w:tcPr>
            <w:tcW w:w="524" w:type="pct"/>
            <w:gridSpan w:val="2"/>
          </w:tcPr>
          <w:p w14:paraId="63153370" w14:textId="2DF14C14" w:rsidR="00EF2850" w:rsidRPr="00034E9B" w:rsidRDefault="00EF2850" w:rsidP="00EF2850">
            <w:pPr>
              <w:pStyle w:val="CGCTablerow"/>
            </w:pPr>
            <w:r w:rsidRPr="00034E9B">
              <w:t>WA, SA, Tas</w:t>
            </w:r>
          </w:p>
        </w:tc>
        <w:tc>
          <w:tcPr>
            <w:tcW w:w="523" w:type="pct"/>
            <w:gridSpan w:val="3"/>
          </w:tcPr>
          <w:p w14:paraId="3F63416E" w14:textId="30FED381" w:rsidR="00EF2850" w:rsidRPr="00034E9B" w:rsidRDefault="00EF2850" w:rsidP="00EF2850">
            <w:pPr>
              <w:pStyle w:val="CGCTablerow"/>
            </w:pPr>
            <w:r w:rsidRPr="00034E9B">
              <w:t>Partially</w:t>
            </w:r>
          </w:p>
        </w:tc>
        <w:tc>
          <w:tcPr>
            <w:tcW w:w="2202" w:type="pct"/>
          </w:tcPr>
          <w:p w14:paraId="5DD1E875" w14:textId="43B529FE" w:rsidR="00EF2850" w:rsidRPr="00034E9B" w:rsidRDefault="00EF2850" w:rsidP="00EF2850">
            <w:pPr>
              <w:pStyle w:val="CGCTablerow"/>
            </w:pPr>
            <w:r w:rsidRPr="00034E9B">
              <w:t>Roads to gas processing plants have been included as a proxy for roads to oil and gas mining. Other adjustments could not be made because of data limitations.</w:t>
            </w:r>
          </w:p>
        </w:tc>
      </w:tr>
      <w:tr w:rsidR="00EF2850" w:rsidRPr="00034E9B" w14:paraId="11EBB8F4" w14:textId="77777777" w:rsidTr="00C01414">
        <w:trPr>
          <w:gridAfter w:val="1"/>
          <w:wAfter w:w="66" w:type="pct"/>
        </w:trPr>
        <w:tc>
          <w:tcPr>
            <w:tcW w:w="1685" w:type="pct"/>
            <w:gridSpan w:val="2"/>
          </w:tcPr>
          <w:p w14:paraId="35EB73EC" w14:textId="3FB90A3B" w:rsidR="00EF2850" w:rsidRPr="00034E9B" w:rsidRDefault="005E5293" w:rsidP="00EF2850">
            <w:pPr>
              <w:pStyle w:val="CGCTablerow"/>
            </w:pPr>
            <w:r>
              <w:t>Include an a</w:t>
            </w:r>
            <w:r w:rsidR="00EF2850" w:rsidRPr="00034E9B">
              <w:t>djustment for unsealed road length</w:t>
            </w:r>
          </w:p>
        </w:tc>
        <w:tc>
          <w:tcPr>
            <w:tcW w:w="524" w:type="pct"/>
            <w:gridSpan w:val="2"/>
          </w:tcPr>
          <w:p w14:paraId="24CAE5A0" w14:textId="08822B27" w:rsidR="00EF2850" w:rsidRPr="00034E9B" w:rsidRDefault="00EF2850" w:rsidP="00EF2850">
            <w:pPr>
              <w:pStyle w:val="CGCTablerow"/>
            </w:pPr>
            <w:r w:rsidRPr="00034E9B">
              <w:t>Vic</w:t>
            </w:r>
          </w:p>
        </w:tc>
        <w:tc>
          <w:tcPr>
            <w:tcW w:w="523" w:type="pct"/>
            <w:gridSpan w:val="3"/>
          </w:tcPr>
          <w:p w14:paraId="16D7EA24" w14:textId="0E430FF2" w:rsidR="00EF2850" w:rsidRPr="00034E9B" w:rsidRDefault="00EF2850" w:rsidP="00EF2850">
            <w:pPr>
              <w:pStyle w:val="CGCTablerow"/>
            </w:pPr>
            <w:r w:rsidRPr="00034E9B">
              <w:t>No</w:t>
            </w:r>
          </w:p>
        </w:tc>
        <w:tc>
          <w:tcPr>
            <w:tcW w:w="2202" w:type="pct"/>
          </w:tcPr>
          <w:p w14:paraId="743E37B3" w14:textId="25D6552D" w:rsidR="00EF2850" w:rsidRPr="00034E9B" w:rsidRDefault="00EF2850" w:rsidP="00EF2850">
            <w:pPr>
              <w:pStyle w:val="CGCTablerow"/>
            </w:pPr>
            <w:r w:rsidRPr="00034E9B">
              <w:t>No reliable cost or road length data to make an assessment.</w:t>
            </w:r>
          </w:p>
        </w:tc>
      </w:tr>
      <w:tr w:rsidR="00EF2850" w:rsidRPr="00034E9B" w14:paraId="7C65D390" w14:textId="77777777" w:rsidTr="00C01414">
        <w:trPr>
          <w:gridAfter w:val="1"/>
          <w:wAfter w:w="66" w:type="pct"/>
        </w:trPr>
        <w:tc>
          <w:tcPr>
            <w:tcW w:w="1685" w:type="pct"/>
            <w:gridSpan w:val="2"/>
          </w:tcPr>
          <w:p w14:paraId="1B2323E9" w14:textId="32AFE772" w:rsidR="00EF2850" w:rsidRPr="00034E9B" w:rsidRDefault="00EF2850" w:rsidP="00EF2850">
            <w:pPr>
              <w:pStyle w:val="CGCTablerow"/>
            </w:pPr>
            <w:r w:rsidRPr="00034E9B">
              <w:t>Assess more connections to urban centres of less than 1 000 people</w:t>
            </w:r>
          </w:p>
        </w:tc>
        <w:tc>
          <w:tcPr>
            <w:tcW w:w="524" w:type="pct"/>
            <w:gridSpan w:val="2"/>
          </w:tcPr>
          <w:p w14:paraId="2E256F1F" w14:textId="65186F53" w:rsidR="00EF2850" w:rsidRPr="00034E9B" w:rsidRDefault="00EF2850" w:rsidP="00EF2850">
            <w:pPr>
              <w:pStyle w:val="CGCTablerow"/>
            </w:pPr>
            <w:r w:rsidRPr="00034E9B">
              <w:t>WA, ACT</w:t>
            </w:r>
          </w:p>
        </w:tc>
        <w:tc>
          <w:tcPr>
            <w:tcW w:w="523" w:type="pct"/>
            <w:gridSpan w:val="3"/>
          </w:tcPr>
          <w:p w14:paraId="6D24CB0E" w14:textId="70ADBEAF" w:rsidR="00EF2850" w:rsidRPr="00034E9B" w:rsidRDefault="00EF2850" w:rsidP="00EF2850">
            <w:pPr>
              <w:pStyle w:val="CGCTablerow"/>
            </w:pPr>
            <w:r w:rsidRPr="00034E9B">
              <w:t>No</w:t>
            </w:r>
          </w:p>
        </w:tc>
        <w:tc>
          <w:tcPr>
            <w:tcW w:w="2202" w:type="pct"/>
          </w:tcPr>
          <w:p w14:paraId="378ECD46" w14:textId="469CB490" w:rsidR="00EF2850" w:rsidRPr="00034E9B" w:rsidRDefault="00EF2850" w:rsidP="00EF2850">
            <w:pPr>
              <w:pStyle w:val="CGCTablerow"/>
            </w:pPr>
            <w:r w:rsidRPr="00034E9B">
              <w:t>Two connections reflect what States do on average and incorporating additional connections tended to result in over-counts of road length for most States.</w:t>
            </w:r>
          </w:p>
        </w:tc>
      </w:tr>
      <w:tr w:rsidR="00EF2850" w:rsidRPr="00034E9B" w14:paraId="58A2912C" w14:textId="77777777" w:rsidTr="00C01414">
        <w:trPr>
          <w:gridAfter w:val="1"/>
          <w:wAfter w:w="66" w:type="pct"/>
        </w:trPr>
        <w:tc>
          <w:tcPr>
            <w:tcW w:w="1685" w:type="pct"/>
            <w:gridSpan w:val="2"/>
          </w:tcPr>
          <w:p w14:paraId="6972330C" w14:textId="00BC1502" w:rsidR="00EF2850" w:rsidRPr="00034E9B" w:rsidRDefault="00EF2850" w:rsidP="00EF2850">
            <w:pPr>
              <w:pStyle w:val="CGCTablerow"/>
            </w:pPr>
            <w:r w:rsidRPr="00034E9B">
              <w:t>Cease applying the regional costs gradient to rural road length</w:t>
            </w:r>
          </w:p>
        </w:tc>
        <w:tc>
          <w:tcPr>
            <w:tcW w:w="524" w:type="pct"/>
            <w:gridSpan w:val="2"/>
          </w:tcPr>
          <w:p w14:paraId="5D1D3763" w14:textId="76B8FC89" w:rsidR="00EF2850" w:rsidRPr="00034E9B" w:rsidRDefault="00EF2850" w:rsidP="00EF2850">
            <w:pPr>
              <w:pStyle w:val="CGCTablerow"/>
            </w:pPr>
            <w:r w:rsidRPr="00034E9B">
              <w:t>NSW</w:t>
            </w:r>
          </w:p>
        </w:tc>
        <w:tc>
          <w:tcPr>
            <w:tcW w:w="523" w:type="pct"/>
            <w:gridSpan w:val="3"/>
          </w:tcPr>
          <w:p w14:paraId="44E2BD9C" w14:textId="3C4F993E" w:rsidR="00EF2850" w:rsidRPr="00034E9B" w:rsidRDefault="00EF2850" w:rsidP="00EF2850">
            <w:pPr>
              <w:pStyle w:val="CGCTablerow"/>
            </w:pPr>
            <w:r w:rsidRPr="00034E9B">
              <w:t>No</w:t>
            </w:r>
          </w:p>
        </w:tc>
        <w:tc>
          <w:tcPr>
            <w:tcW w:w="2202" w:type="pct"/>
          </w:tcPr>
          <w:p w14:paraId="4990F20C" w14:textId="7E03B835" w:rsidR="00EF2850" w:rsidRPr="00034E9B" w:rsidRDefault="00EF2850" w:rsidP="00EF2850">
            <w:pPr>
              <w:pStyle w:val="CGCTablerow"/>
            </w:pPr>
            <w:r w:rsidRPr="00034E9B">
              <w:t>The general cost gradient is applied to rural road length, and reduced by 25% to recognise that this gradient is less applicable to road maintenance expenses than to other categories.</w:t>
            </w:r>
          </w:p>
        </w:tc>
      </w:tr>
      <w:tr w:rsidR="00EF2850" w:rsidRPr="00034E9B" w14:paraId="4D2921EF" w14:textId="77777777" w:rsidTr="00C01414">
        <w:trPr>
          <w:gridAfter w:val="1"/>
          <w:wAfter w:w="66" w:type="pct"/>
        </w:trPr>
        <w:tc>
          <w:tcPr>
            <w:tcW w:w="1685" w:type="pct"/>
            <w:gridSpan w:val="2"/>
          </w:tcPr>
          <w:p w14:paraId="6FA82484" w14:textId="0568BD80" w:rsidR="00EF2850" w:rsidRPr="00034E9B" w:rsidRDefault="00EF2850" w:rsidP="00EF2850">
            <w:pPr>
              <w:pStyle w:val="CGCTablerow"/>
            </w:pPr>
            <w:r w:rsidRPr="00034E9B">
              <w:t>Retain local road assessment</w:t>
            </w:r>
          </w:p>
        </w:tc>
        <w:tc>
          <w:tcPr>
            <w:tcW w:w="524" w:type="pct"/>
            <w:gridSpan w:val="2"/>
          </w:tcPr>
          <w:p w14:paraId="208DCC7F" w14:textId="449C8564" w:rsidR="00EF2850" w:rsidRPr="00034E9B" w:rsidRDefault="00EF2850" w:rsidP="00EF2850">
            <w:pPr>
              <w:pStyle w:val="CGCTablerow"/>
            </w:pPr>
            <w:r w:rsidRPr="00034E9B">
              <w:t>WA</w:t>
            </w:r>
          </w:p>
        </w:tc>
        <w:tc>
          <w:tcPr>
            <w:tcW w:w="523" w:type="pct"/>
            <w:gridSpan w:val="3"/>
          </w:tcPr>
          <w:p w14:paraId="7AEAF761" w14:textId="3FF2184F" w:rsidR="00EF2850" w:rsidRPr="00034E9B" w:rsidRDefault="00EF2850" w:rsidP="00EF2850">
            <w:pPr>
              <w:pStyle w:val="CGCTablerow"/>
            </w:pPr>
            <w:r w:rsidRPr="00034E9B">
              <w:t>No</w:t>
            </w:r>
          </w:p>
        </w:tc>
        <w:tc>
          <w:tcPr>
            <w:tcW w:w="2202" w:type="pct"/>
          </w:tcPr>
          <w:p w14:paraId="23213CE0" w14:textId="7473D9E8" w:rsidR="00EF2850" w:rsidRPr="00034E9B" w:rsidRDefault="00EF2850" w:rsidP="00EF2850">
            <w:pPr>
              <w:pStyle w:val="CGCTablerow"/>
            </w:pPr>
            <w:r w:rsidRPr="00034E9B">
              <w:t>State spending on local roads is policy influenced.</w:t>
            </w:r>
          </w:p>
        </w:tc>
      </w:tr>
    </w:tbl>
    <w:p w14:paraId="2A46D0A0" w14:textId="238D5316" w:rsidR="00593181" w:rsidRPr="00034E9B" w:rsidRDefault="00593181" w:rsidP="00593181">
      <w:pPr>
        <w:pStyle w:val="CGCTablenote"/>
      </w:pPr>
      <w:r w:rsidRPr="00034E9B">
        <w:t>Note:</w:t>
      </w:r>
      <w:r w:rsidRPr="00034E9B">
        <w:tab/>
        <w:t xml:space="preserve">Acronyms used in this table are spelt out in the </w:t>
      </w:r>
      <w:r w:rsidR="00AB0B9B">
        <w:t>list of acronyms at the beginning of this volume</w:t>
      </w:r>
      <w:r w:rsidRPr="00034E9B">
        <w:t>.</w:t>
      </w:r>
    </w:p>
    <w:p w14:paraId="79BE41A5" w14:textId="77777777" w:rsidR="00593181" w:rsidRPr="00034E9B" w:rsidRDefault="00593181" w:rsidP="00593181">
      <w:pPr>
        <w:pStyle w:val="CGCTablenote"/>
      </w:pPr>
      <w:r w:rsidRPr="00034E9B">
        <w:t>Source:</w:t>
      </w:r>
      <w:r w:rsidRPr="00034E9B">
        <w:tab/>
        <w:t>Commission decisions.</w:t>
      </w:r>
    </w:p>
    <w:p w14:paraId="6B082BE9" w14:textId="77777777" w:rsidR="00593181" w:rsidRPr="00034E9B" w:rsidRDefault="00593181" w:rsidP="00593181">
      <w:pPr>
        <w:pStyle w:val="Caption"/>
      </w:pPr>
      <w:r w:rsidRPr="00034E9B">
        <w:lastRenderedPageBreak/>
        <w:t>Table 1</w:t>
      </w:r>
      <w:r w:rsidRPr="00034E9B">
        <w:noBreakHyphen/>
        <w:t>5</w:t>
      </w:r>
      <w:r w:rsidRPr="00034E9B">
        <w:tab/>
        <w:t>Commission responses to State proposals, 2020 Review (continued)</w:t>
      </w:r>
    </w:p>
    <w:tbl>
      <w:tblPr>
        <w:tblW w:w="5000" w:type="pct"/>
        <w:tblBorders>
          <w:top w:val="single" w:sz="4" w:space="0" w:color="ADD6EA"/>
          <w:bottom w:val="single" w:sz="4" w:space="0" w:color="ADD6EA"/>
          <w:insideH w:val="single" w:sz="4" w:space="0" w:color="ADD6EA"/>
        </w:tblBorders>
        <w:tblCellMar>
          <w:left w:w="28" w:type="dxa"/>
          <w:right w:w="85" w:type="dxa"/>
        </w:tblCellMar>
        <w:tblLook w:val="0000" w:firstRow="0" w:lastRow="0" w:firstColumn="0" w:lastColumn="0" w:noHBand="0" w:noVBand="0"/>
      </w:tblPr>
      <w:tblGrid>
        <w:gridCol w:w="3094"/>
        <w:gridCol w:w="963"/>
        <w:gridCol w:w="961"/>
        <w:gridCol w:w="4046"/>
      </w:tblGrid>
      <w:tr w:rsidR="00E23612" w:rsidRPr="00034E9B" w14:paraId="78F9FCEE" w14:textId="77777777" w:rsidTr="00C01414">
        <w:trPr>
          <w:trHeight w:val="284"/>
        </w:trPr>
        <w:tc>
          <w:tcPr>
            <w:tcW w:w="1707" w:type="pct"/>
            <w:tcBorders>
              <w:bottom w:val="single" w:sz="4" w:space="0" w:color="ADD6EA"/>
            </w:tcBorders>
            <w:shd w:val="clear" w:color="auto" w:fill="006991"/>
            <w:vAlign w:val="center"/>
          </w:tcPr>
          <w:p w14:paraId="33897278" w14:textId="0AD857D0" w:rsidR="00E23612" w:rsidRPr="00034E9B" w:rsidRDefault="00E23612" w:rsidP="008B7531">
            <w:pPr>
              <w:pStyle w:val="CGCTableheader"/>
              <w:rPr>
                <w:lang w:val="en-AU"/>
              </w:rPr>
            </w:pPr>
            <w:r w:rsidRPr="00034E9B">
              <w:rPr>
                <w:lang w:val="en-AU"/>
              </w:rPr>
              <w:t>Proposal</w:t>
            </w:r>
          </w:p>
        </w:tc>
        <w:tc>
          <w:tcPr>
            <w:tcW w:w="531" w:type="pct"/>
            <w:tcBorders>
              <w:bottom w:val="single" w:sz="4" w:space="0" w:color="ADD6EA"/>
            </w:tcBorders>
            <w:shd w:val="clear" w:color="auto" w:fill="006991"/>
            <w:vAlign w:val="center"/>
          </w:tcPr>
          <w:p w14:paraId="3AF943EE" w14:textId="21BCA87B" w:rsidR="00E23612" w:rsidRPr="00034E9B" w:rsidRDefault="00E23612" w:rsidP="008B7531">
            <w:pPr>
              <w:pStyle w:val="CGCTableheader"/>
              <w:rPr>
                <w:lang w:val="en-AU"/>
              </w:rPr>
            </w:pPr>
            <w:r w:rsidRPr="00034E9B">
              <w:rPr>
                <w:lang w:val="en-AU"/>
              </w:rPr>
              <w:t>State</w:t>
            </w:r>
          </w:p>
        </w:tc>
        <w:tc>
          <w:tcPr>
            <w:tcW w:w="530" w:type="pct"/>
            <w:tcBorders>
              <w:bottom w:val="single" w:sz="4" w:space="0" w:color="ADD6EA"/>
            </w:tcBorders>
            <w:shd w:val="clear" w:color="auto" w:fill="006991"/>
            <w:vAlign w:val="center"/>
          </w:tcPr>
          <w:p w14:paraId="07AFCF3E" w14:textId="3339E5B0" w:rsidR="00E23612" w:rsidRPr="00034E9B" w:rsidRDefault="00E23612" w:rsidP="008B7531">
            <w:pPr>
              <w:pStyle w:val="CGCTableheader"/>
              <w:rPr>
                <w:lang w:val="en-AU"/>
              </w:rPr>
            </w:pPr>
            <w:r w:rsidRPr="00034E9B">
              <w:rPr>
                <w:lang w:val="en-AU"/>
              </w:rPr>
              <w:t>Adopted</w:t>
            </w:r>
          </w:p>
        </w:tc>
        <w:tc>
          <w:tcPr>
            <w:tcW w:w="2232" w:type="pct"/>
            <w:tcBorders>
              <w:bottom w:val="single" w:sz="4" w:space="0" w:color="ADD6EA"/>
            </w:tcBorders>
            <w:shd w:val="clear" w:color="auto" w:fill="006991"/>
            <w:vAlign w:val="center"/>
          </w:tcPr>
          <w:p w14:paraId="7EAE1F76" w14:textId="1866D402" w:rsidR="00E23612" w:rsidRPr="00034E9B" w:rsidRDefault="00E23612" w:rsidP="008B7531">
            <w:pPr>
              <w:pStyle w:val="CGCTableheader"/>
              <w:rPr>
                <w:lang w:val="en-AU"/>
              </w:rPr>
            </w:pPr>
            <w:r w:rsidRPr="00034E9B">
              <w:rPr>
                <w:lang w:val="en-AU"/>
              </w:rPr>
              <w:t>Explanation</w:t>
            </w:r>
          </w:p>
        </w:tc>
      </w:tr>
      <w:tr w:rsidR="00E23612" w:rsidRPr="00034E9B" w14:paraId="09FA7D4F" w14:textId="77777777" w:rsidTr="00C01414">
        <w:tc>
          <w:tcPr>
            <w:tcW w:w="1707" w:type="pct"/>
            <w:shd w:val="clear" w:color="auto" w:fill="B6D5E4"/>
          </w:tcPr>
          <w:p w14:paraId="29693B76" w14:textId="1D61414E" w:rsidR="00E23612" w:rsidRPr="00034E9B" w:rsidRDefault="00E23612" w:rsidP="00E23612">
            <w:pPr>
              <w:pStyle w:val="CGCTablesubhead1"/>
              <w:rPr>
                <w:lang w:val="en-AU"/>
              </w:rPr>
            </w:pPr>
            <w:r w:rsidRPr="00034E9B">
              <w:rPr>
                <w:lang w:val="en-AU"/>
              </w:rPr>
              <w:t>Roads (continued)</w:t>
            </w:r>
          </w:p>
        </w:tc>
        <w:tc>
          <w:tcPr>
            <w:tcW w:w="531" w:type="pct"/>
            <w:shd w:val="clear" w:color="auto" w:fill="B6D5E4"/>
          </w:tcPr>
          <w:p w14:paraId="451AE13A" w14:textId="77777777" w:rsidR="00E23612" w:rsidRPr="00034E9B" w:rsidRDefault="00E23612" w:rsidP="00E23612">
            <w:pPr>
              <w:pStyle w:val="CGCTablesubhead1"/>
              <w:rPr>
                <w:lang w:val="en-AU"/>
              </w:rPr>
            </w:pPr>
          </w:p>
        </w:tc>
        <w:tc>
          <w:tcPr>
            <w:tcW w:w="530" w:type="pct"/>
            <w:shd w:val="clear" w:color="auto" w:fill="B6D5E4"/>
          </w:tcPr>
          <w:p w14:paraId="333F533A" w14:textId="77777777" w:rsidR="00E23612" w:rsidRPr="00034E9B" w:rsidRDefault="00E23612" w:rsidP="00E23612">
            <w:pPr>
              <w:pStyle w:val="CGCTablesubhead1"/>
              <w:rPr>
                <w:lang w:val="en-AU"/>
              </w:rPr>
            </w:pPr>
          </w:p>
        </w:tc>
        <w:tc>
          <w:tcPr>
            <w:tcW w:w="2232" w:type="pct"/>
            <w:shd w:val="clear" w:color="auto" w:fill="B6D5E4"/>
          </w:tcPr>
          <w:p w14:paraId="1F6893CA" w14:textId="77777777" w:rsidR="00E23612" w:rsidRPr="00034E9B" w:rsidRDefault="00E23612" w:rsidP="00E23612">
            <w:pPr>
              <w:pStyle w:val="CGCTablesubhead1"/>
              <w:rPr>
                <w:lang w:val="en-AU"/>
              </w:rPr>
            </w:pPr>
          </w:p>
        </w:tc>
      </w:tr>
      <w:tr w:rsidR="00E23612" w:rsidRPr="00034E9B" w14:paraId="2110F9E9" w14:textId="77777777" w:rsidTr="00C01414">
        <w:tc>
          <w:tcPr>
            <w:tcW w:w="1707" w:type="pct"/>
          </w:tcPr>
          <w:p w14:paraId="69A5F9C4" w14:textId="3AAC6C30" w:rsidR="00E23612" w:rsidRPr="00034E9B" w:rsidRDefault="00930F7C" w:rsidP="00E23612">
            <w:pPr>
              <w:pStyle w:val="CGCTablerow"/>
            </w:pPr>
            <w:r>
              <w:t>Recognise the d</w:t>
            </w:r>
            <w:r w:rsidR="00E23612" w:rsidRPr="00034E9B">
              <w:t xml:space="preserve">ifferential cost </w:t>
            </w:r>
            <w:r w:rsidR="004D59A0">
              <w:t xml:space="preserve">of </w:t>
            </w:r>
            <w:r w:rsidR="00E23612" w:rsidRPr="00034E9B">
              <w:t>floodways</w:t>
            </w:r>
          </w:p>
        </w:tc>
        <w:tc>
          <w:tcPr>
            <w:tcW w:w="531" w:type="pct"/>
          </w:tcPr>
          <w:p w14:paraId="1F6BCBA4" w14:textId="3D50E02E" w:rsidR="00E23612" w:rsidRPr="00034E9B" w:rsidRDefault="00E23612" w:rsidP="00E23612">
            <w:pPr>
              <w:pStyle w:val="CGCTablerow"/>
            </w:pPr>
            <w:r w:rsidRPr="00034E9B">
              <w:t>WA</w:t>
            </w:r>
          </w:p>
        </w:tc>
        <w:tc>
          <w:tcPr>
            <w:tcW w:w="530" w:type="pct"/>
          </w:tcPr>
          <w:p w14:paraId="05701A97" w14:textId="5A1CB07D" w:rsidR="00E23612" w:rsidRPr="00034E9B" w:rsidRDefault="00E23612" w:rsidP="00E23612">
            <w:pPr>
              <w:pStyle w:val="CGCTablerow"/>
            </w:pPr>
            <w:r w:rsidRPr="00034E9B">
              <w:t>No</w:t>
            </w:r>
          </w:p>
        </w:tc>
        <w:tc>
          <w:tcPr>
            <w:tcW w:w="2232" w:type="pct"/>
          </w:tcPr>
          <w:p w14:paraId="38B8B553" w14:textId="642C5988" w:rsidR="00E23612" w:rsidRPr="00034E9B" w:rsidRDefault="00E23612" w:rsidP="00E23612">
            <w:pPr>
              <w:pStyle w:val="CGCTablerow"/>
            </w:pPr>
            <w:r w:rsidRPr="00034E9B">
              <w:t>The Commission did not have information on the number and length of floodways.</w:t>
            </w:r>
          </w:p>
        </w:tc>
      </w:tr>
      <w:tr w:rsidR="00DD3D81" w:rsidRPr="00034E9B" w14:paraId="51DC28DD" w14:textId="77777777" w:rsidTr="00C01414">
        <w:tc>
          <w:tcPr>
            <w:tcW w:w="1707" w:type="pct"/>
          </w:tcPr>
          <w:p w14:paraId="3BBFECBD" w14:textId="0343C954" w:rsidR="00DD3D81" w:rsidRPr="00034E9B" w:rsidRDefault="00930F7C" w:rsidP="00E23612">
            <w:pPr>
              <w:pStyle w:val="CGCTablerow"/>
            </w:pPr>
            <w:r w:rsidRPr="00034E9B">
              <w:t>Retain EPC treatment of other expenses</w:t>
            </w:r>
          </w:p>
        </w:tc>
        <w:tc>
          <w:tcPr>
            <w:tcW w:w="531" w:type="pct"/>
          </w:tcPr>
          <w:p w14:paraId="4CE9D1DF" w14:textId="5A8F4327" w:rsidR="00DD3D81" w:rsidRPr="00034E9B" w:rsidRDefault="00930F7C" w:rsidP="00E23612">
            <w:pPr>
              <w:pStyle w:val="CGCTablerow"/>
            </w:pPr>
            <w:r w:rsidRPr="00034E9B">
              <w:t>NSW, Vic, ACT</w:t>
            </w:r>
          </w:p>
        </w:tc>
        <w:tc>
          <w:tcPr>
            <w:tcW w:w="530" w:type="pct"/>
          </w:tcPr>
          <w:p w14:paraId="41252F3A" w14:textId="45100C62" w:rsidR="00DD3D81" w:rsidRPr="00034E9B" w:rsidRDefault="00930F7C" w:rsidP="00E23612">
            <w:pPr>
              <w:pStyle w:val="CGCTablerow"/>
            </w:pPr>
            <w:r w:rsidRPr="00034E9B">
              <w:t>No</w:t>
            </w:r>
          </w:p>
        </w:tc>
        <w:tc>
          <w:tcPr>
            <w:tcW w:w="2232" w:type="pct"/>
          </w:tcPr>
          <w:p w14:paraId="4A91AE65" w14:textId="13B7D496" w:rsidR="00DD3D81" w:rsidRPr="00034E9B" w:rsidRDefault="00930F7C" w:rsidP="00E23612">
            <w:pPr>
              <w:pStyle w:val="CGCTablerow"/>
            </w:pPr>
            <w:r w:rsidRPr="00034E9B">
              <w:t>Expenses on corporate services and regulation are influenced by the same disabilities as those that affect service delivery expenses.</w:t>
            </w:r>
          </w:p>
        </w:tc>
      </w:tr>
      <w:tr w:rsidR="00E23612" w:rsidRPr="00034E9B" w14:paraId="79C6137B" w14:textId="77777777" w:rsidTr="00C01414">
        <w:tc>
          <w:tcPr>
            <w:tcW w:w="1707" w:type="pct"/>
          </w:tcPr>
          <w:p w14:paraId="2350216F" w14:textId="3445C676" w:rsidR="00E23612" w:rsidRPr="00034E9B" w:rsidRDefault="00E23612" w:rsidP="00E23612">
            <w:pPr>
              <w:pStyle w:val="CGCTablerow"/>
            </w:pPr>
            <w:r w:rsidRPr="00034E9B">
              <w:t>Use only the NTC urban/rural split for roads investment</w:t>
            </w:r>
          </w:p>
        </w:tc>
        <w:tc>
          <w:tcPr>
            <w:tcW w:w="531" w:type="pct"/>
          </w:tcPr>
          <w:p w14:paraId="541F653B" w14:textId="41B419F9" w:rsidR="00E23612" w:rsidRPr="00034E9B" w:rsidRDefault="00E23612" w:rsidP="00E23612">
            <w:pPr>
              <w:pStyle w:val="CGCTablerow"/>
            </w:pPr>
            <w:r w:rsidRPr="00034E9B">
              <w:t>NSW</w:t>
            </w:r>
          </w:p>
        </w:tc>
        <w:tc>
          <w:tcPr>
            <w:tcW w:w="530" w:type="pct"/>
          </w:tcPr>
          <w:p w14:paraId="537B7454" w14:textId="2452C24C" w:rsidR="00E23612" w:rsidRPr="00034E9B" w:rsidRDefault="00E23612" w:rsidP="00E23612">
            <w:pPr>
              <w:pStyle w:val="CGCTablerow"/>
            </w:pPr>
            <w:r w:rsidRPr="00034E9B">
              <w:t>No</w:t>
            </w:r>
          </w:p>
        </w:tc>
        <w:tc>
          <w:tcPr>
            <w:tcW w:w="2232" w:type="pct"/>
          </w:tcPr>
          <w:p w14:paraId="422AA9EF" w14:textId="669C1A8E" w:rsidR="00E23612" w:rsidRPr="00034E9B" w:rsidRDefault="00E23612" w:rsidP="00E23612">
            <w:pPr>
              <w:pStyle w:val="CGCTablerow"/>
            </w:pPr>
            <w:r w:rsidRPr="00034E9B">
              <w:t>NTC data has continued to be blended with the split in State provided data to provide better alignment with stock data. This is an area of focus for the next review.</w:t>
            </w:r>
          </w:p>
        </w:tc>
      </w:tr>
      <w:tr w:rsidR="00E23612" w:rsidRPr="00034E9B" w14:paraId="4C70F1E5" w14:textId="77777777" w:rsidTr="00C01414">
        <w:tc>
          <w:tcPr>
            <w:tcW w:w="1707" w:type="pct"/>
            <w:shd w:val="clear" w:color="auto" w:fill="B6D5E4"/>
          </w:tcPr>
          <w:p w14:paraId="3EE657D6" w14:textId="3D53CC76" w:rsidR="00E23612" w:rsidRPr="00034E9B" w:rsidRDefault="00E23612" w:rsidP="00E23612">
            <w:pPr>
              <w:pStyle w:val="CGCTablesubhead1"/>
              <w:rPr>
                <w:lang w:val="en-AU"/>
              </w:rPr>
            </w:pPr>
            <w:r w:rsidRPr="00034E9B">
              <w:rPr>
                <w:lang w:val="en-AU"/>
              </w:rPr>
              <w:t>Transport</w:t>
            </w:r>
          </w:p>
        </w:tc>
        <w:tc>
          <w:tcPr>
            <w:tcW w:w="531" w:type="pct"/>
            <w:shd w:val="clear" w:color="auto" w:fill="B6D5E4"/>
          </w:tcPr>
          <w:p w14:paraId="25C473DA" w14:textId="77777777" w:rsidR="00E23612" w:rsidRPr="00034E9B" w:rsidRDefault="00E23612" w:rsidP="00E23612">
            <w:pPr>
              <w:pStyle w:val="CGCTablesubhead1"/>
              <w:rPr>
                <w:lang w:val="en-AU"/>
              </w:rPr>
            </w:pPr>
          </w:p>
        </w:tc>
        <w:tc>
          <w:tcPr>
            <w:tcW w:w="530" w:type="pct"/>
            <w:shd w:val="clear" w:color="auto" w:fill="B6D5E4"/>
          </w:tcPr>
          <w:p w14:paraId="7C9D3421" w14:textId="77777777" w:rsidR="00E23612" w:rsidRPr="00034E9B" w:rsidRDefault="00E23612" w:rsidP="00E23612">
            <w:pPr>
              <w:pStyle w:val="CGCTablesubhead1"/>
              <w:rPr>
                <w:lang w:val="en-AU"/>
              </w:rPr>
            </w:pPr>
          </w:p>
        </w:tc>
        <w:tc>
          <w:tcPr>
            <w:tcW w:w="2232" w:type="pct"/>
            <w:shd w:val="clear" w:color="auto" w:fill="B6D5E4"/>
          </w:tcPr>
          <w:p w14:paraId="35E5D033" w14:textId="77777777" w:rsidR="00E23612" w:rsidRPr="00034E9B" w:rsidRDefault="00E23612" w:rsidP="00E23612">
            <w:pPr>
              <w:pStyle w:val="CGCTablesubhead1"/>
              <w:rPr>
                <w:lang w:val="en-AU"/>
              </w:rPr>
            </w:pPr>
          </w:p>
        </w:tc>
      </w:tr>
      <w:tr w:rsidR="00E23612" w:rsidRPr="00034E9B" w14:paraId="52ABF995" w14:textId="77777777" w:rsidTr="00C01414">
        <w:tc>
          <w:tcPr>
            <w:tcW w:w="1707" w:type="pct"/>
          </w:tcPr>
          <w:p w14:paraId="23FCAEF7" w14:textId="32DFA792" w:rsidR="00E23612" w:rsidRPr="00034E9B" w:rsidRDefault="00E23612" w:rsidP="00E23612">
            <w:pPr>
              <w:pStyle w:val="CGCTablerow"/>
              <w:rPr>
                <w:b/>
              </w:rPr>
            </w:pPr>
            <w:r w:rsidRPr="00034E9B">
              <w:t>States requested that the urban transport assessment be expanded to capture additional disabilities, such as urban form and topography</w:t>
            </w:r>
          </w:p>
        </w:tc>
        <w:tc>
          <w:tcPr>
            <w:tcW w:w="531" w:type="pct"/>
          </w:tcPr>
          <w:p w14:paraId="2FD10C3A" w14:textId="438D259B" w:rsidR="00E23612" w:rsidRPr="00034E9B" w:rsidRDefault="00E23612" w:rsidP="00E23612">
            <w:pPr>
              <w:pStyle w:val="CGCTablerow"/>
            </w:pPr>
            <w:r w:rsidRPr="00034E9B">
              <w:t>Most States</w:t>
            </w:r>
          </w:p>
        </w:tc>
        <w:tc>
          <w:tcPr>
            <w:tcW w:w="530" w:type="pct"/>
          </w:tcPr>
          <w:p w14:paraId="01CEE664" w14:textId="2A855D46" w:rsidR="00E23612" w:rsidRPr="00034E9B" w:rsidRDefault="00E23612" w:rsidP="00E23612">
            <w:pPr>
              <w:pStyle w:val="CGCTablerow"/>
            </w:pPr>
            <w:r w:rsidRPr="00034E9B">
              <w:t>Partially</w:t>
            </w:r>
          </w:p>
        </w:tc>
        <w:tc>
          <w:tcPr>
            <w:tcW w:w="2232" w:type="pct"/>
          </w:tcPr>
          <w:p w14:paraId="79692B38" w14:textId="20CA378E" w:rsidR="00E23612" w:rsidRPr="00034E9B" w:rsidRDefault="00E23612" w:rsidP="00E23612">
            <w:pPr>
              <w:pStyle w:val="CGCTablerow"/>
            </w:pPr>
            <w:r w:rsidRPr="00034E9B">
              <w:t xml:space="preserve">Some disabilities requested were not included because either no data were available (for example, international students) or their inclusion did not improve the model (for example, waterways). </w:t>
            </w:r>
          </w:p>
        </w:tc>
      </w:tr>
      <w:tr w:rsidR="00E23612" w:rsidRPr="00034E9B" w14:paraId="0AC068B6" w14:textId="77777777" w:rsidTr="00C01414">
        <w:tc>
          <w:tcPr>
            <w:tcW w:w="1707" w:type="pct"/>
          </w:tcPr>
          <w:p w14:paraId="2A92ABD0" w14:textId="19115B8D" w:rsidR="00E23612" w:rsidRPr="00034E9B" w:rsidRDefault="00E23612" w:rsidP="00E23612">
            <w:pPr>
              <w:pStyle w:val="CGCTablerow"/>
            </w:pPr>
            <w:r w:rsidRPr="00034E9B">
              <w:t>States requested that the non</w:t>
            </w:r>
            <w:r w:rsidRPr="00034E9B">
              <w:noBreakHyphen/>
              <w:t xml:space="preserve">urban transport assessment be reviewed to ensure that all material drivers are captured </w:t>
            </w:r>
          </w:p>
        </w:tc>
        <w:tc>
          <w:tcPr>
            <w:tcW w:w="531" w:type="pct"/>
          </w:tcPr>
          <w:p w14:paraId="57D60681" w14:textId="5EEFE4C0" w:rsidR="00E23612" w:rsidRPr="00034E9B" w:rsidRDefault="00E23612" w:rsidP="00E23612">
            <w:pPr>
              <w:pStyle w:val="CGCTablerow"/>
            </w:pPr>
            <w:r w:rsidRPr="00034E9B">
              <w:t>Vic, Qld, ACT</w:t>
            </w:r>
          </w:p>
        </w:tc>
        <w:tc>
          <w:tcPr>
            <w:tcW w:w="530" w:type="pct"/>
          </w:tcPr>
          <w:p w14:paraId="48C468B1" w14:textId="6B7597E6" w:rsidR="00E23612" w:rsidRPr="00034E9B" w:rsidRDefault="00E23612" w:rsidP="00E23612">
            <w:pPr>
              <w:pStyle w:val="CGCTablerow"/>
            </w:pPr>
            <w:r w:rsidRPr="00034E9B">
              <w:t>Yes</w:t>
            </w:r>
          </w:p>
        </w:tc>
        <w:tc>
          <w:tcPr>
            <w:tcW w:w="2232" w:type="pct"/>
          </w:tcPr>
          <w:p w14:paraId="31F1225F" w14:textId="6036EA58" w:rsidR="00E23612" w:rsidRPr="00034E9B" w:rsidRDefault="00E23612" w:rsidP="00E23612">
            <w:pPr>
              <w:pStyle w:val="CGCTablerow"/>
            </w:pPr>
            <w:r w:rsidRPr="00034E9B">
              <w:t>No material drivers could be identified.</w:t>
            </w:r>
          </w:p>
        </w:tc>
      </w:tr>
      <w:tr w:rsidR="00E23612" w:rsidRPr="00034E9B" w14:paraId="0279279D" w14:textId="77777777" w:rsidTr="00C01414">
        <w:tc>
          <w:tcPr>
            <w:tcW w:w="1707" w:type="pct"/>
          </w:tcPr>
          <w:p w14:paraId="127DCB90" w14:textId="7C89395C" w:rsidR="00E23612" w:rsidRPr="00034E9B" w:rsidRDefault="00E23612" w:rsidP="00E23612">
            <w:pPr>
              <w:pStyle w:val="CGCTablerow"/>
              <w:rPr>
                <w:b/>
              </w:rPr>
            </w:pPr>
            <w:r w:rsidRPr="00034E9B">
              <w:t>Change the definition of urban centre and/or include satellite cities as part of capital city</w:t>
            </w:r>
          </w:p>
        </w:tc>
        <w:tc>
          <w:tcPr>
            <w:tcW w:w="531" w:type="pct"/>
          </w:tcPr>
          <w:p w14:paraId="7EF704B0" w14:textId="0AE4B952" w:rsidR="00E23612" w:rsidRPr="00034E9B" w:rsidRDefault="00E23612" w:rsidP="00E23612">
            <w:pPr>
              <w:pStyle w:val="CGCTablerow"/>
            </w:pPr>
            <w:r w:rsidRPr="00034E9B">
              <w:t>Qld</w:t>
            </w:r>
          </w:p>
        </w:tc>
        <w:tc>
          <w:tcPr>
            <w:tcW w:w="530" w:type="pct"/>
          </w:tcPr>
          <w:p w14:paraId="657BC8AD" w14:textId="1C9DACF4" w:rsidR="00E23612" w:rsidRPr="00034E9B" w:rsidRDefault="00E23612" w:rsidP="00E23612">
            <w:pPr>
              <w:pStyle w:val="CGCTablerow"/>
            </w:pPr>
            <w:r w:rsidRPr="00034E9B">
              <w:t>No</w:t>
            </w:r>
          </w:p>
        </w:tc>
        <w:tc>
          <w:tcPr>
            <w:tcW w:w="2232" w:type="pct"/>
          </w:tcPr>
          <w:p w14:paraId="58CE6EAF" w14:textId="7F2D7832" w:rsidR="00E23612" w:rsidRPr="00034E9B" w:rsidRDefault="00E23612" w:rsidP="00E23612">
            <w:pPr>
              <w:pStyle w:val="CGCTablerow"/>
            </w:pPr>
            <w:r w:rsidRPr="00034E9B">
              <w:t>The analysis by the consultants did not support this change.</w:t>
            </w:r>
          </w:p>
        </w:tc>
      </w:tr>
      <w:tr w:rsidR="00E23612" w:rsidRPr="00034E9B" w14:paraId="00123DC3" w14:textId="77777777" w:rsidTr="00C01414">
        <w:tc>
          <w:tcPr>
            <w:tcW w:w="1707" w:type="pct"/>
          </w:tcPr>
          <w:p w14:paraId="7CF1650F" w14:textId="726BF05F" w:rsidR="00E23612" w:rsidRPr="00034E9B" w:rsidRDefault="00E23612" w:rsidP="00E23612">
            <w:pPr>
              <w:pStyle w:val="CGCTablerow"/>
            </w:pPr>
            <w:r w:rsidRPr="00034E9B">
              <w:t>Assess urban transport expenses EPC</w:t>
            </w:r>
          </w:p>
        </w:tc>
        <w:tc>
          <w:tcPr>
            <w:tcW w:w="531" w:type="pct"/>
          </w:tcPr>
          <w:p w14:paraId="53BEE50A" w14:textId="1283413B" w:rsidR="00E23612" w:rsidRPr="00034E9B" w:rsidRDefault="00E23612" w:rsidP="00E23612">
            <w:pPr>
              <w:pStyle w:val="CGCTablerow"/>
            </w:pPr>
            <w:r w:rsidRPr="00034E9B">
              <w:t>WA</w:t>
            </w:r>
          </w:p>
        </w:tc>
        <w:tc>
          <w:tcPr>
            <w:tcW w:w="530" w:type="pct"/>
          </w:tcPr>
          <w:p w14:paraId="5D659376" w14:textId="177AD9ED" w:rsidR="00E23612" w:rsidRPr="00034E9B" w:rsidRDefault="00E23612" w:rsidP="00E23612">
            <w:pPr>
              <w:pStyle w:val="CGCTablerow"/>
            </w:pPr>
            <w:r w:rsidRPr="00034E9B">
              <w:t>No</w:t>
            </w:r>
          </w:p>
        </w:tc>
        <w:tc>
          <w:tcPr>
            <w:tcW w:w="2232" w:type="pct"/>
          </w:tcPr>
          <w:p w14:paraId="1CD7061D" w14:textId="2E1B0253" w:rsidR="00E23612" w:rsidRPr="00034E9B" w:rsidRDefault="00E23612" w:rsidP="00E23612">
            <w:pPr>
              <w:pStyle w:val="CGCTablerow"/>
            </w:pPr>
            <w:r w:rsidRPr="00034E9B">
              <w:t>Evidence shows that there are significant non</w:t>
            </w:r>
            <w:r w:rsidRPr="00034E9B">
              <w:noBreakHyphen/>
              <w:t>policy differences between States in the cost of providing urban transport services.</w:t>
            </w:r>
          </w:p>
        </w:tc>
      </w:tr>
      <w:tr w:rsidR="00E23612" w:rsidRPr="00034E9B" w14:paraId="0BE83735" w14:textId="77777777" w:rsidTr="00C01414">
        <w:tc>
          <w:tcPr>
            <w:tcW w:w="1707" w:type="pct"/>
          </w:tcPr>
          <w:p w14:paraId="56D8104B" w14:textId="5285BFDF" w:rsidR="00E23612" w:rsidRPr="00034E9B" w:rsidRDefault="00E23612" w:rsidP="00E23612">
            <w:pPr>
              <w:pStyle w:val="CGCTablerow"/>
            </w:pPr>
            <w:r w:rsidRPr="00034E9B">
              <w:t>Assess non-urban transport expenses EPC</w:t>
            </w:r>
          </w:p>
        </w:tc>
        <w:tc>
          <w:tcPr>
            <w:tcW w:w="531" w:type="pct"/>
          </w:tcPr>
          <w:p w14:paraId="39F5FEC4" w14:textId="64F47287" w:rsidR="00E23612" w:rsidRPr="00034E9B" w:rsidRDefault="00E23612" w:rsidP="00E23612">
            <w:pPr>
              <w:pStyle w:val="CGCTablerow"/>
            </w:pPr>
            <w:r w:rsidRPr="00034E9B">
              <w:t>WA</w:t>
            </w:r>
          </w:p>
        </w:tc>
        <w:tc>
          <w:tcPr>
            <w:tcW w:w="530" w:type="pct"/>
          </w:tcPr>
          <w:p w14:paraId="2D3B6D6F" w14:textId="2AC96430" w:rsidR="00E23612" w:rsidRPr="00034E9B" w:rsidRDefault="00E23612" w:rsidP="00E23612">
            <w:pPr>
              <w:pStyle w:val="CGCTablerow"/>
            </w:pPr>
            <w:r w:rsidRPr="00034E9B">
              <w:t>Yes</w:t>
            </w:r>
          </w:p>
        </w:tc>
        <w:tc>
          <w:tcPr>
            <w:tcW w:w="2232" w:type="pct"/>
          </w:tcPr>
          <w:p w14:paraId="5BE2190F" w14:textId="4A62E197" w:rsidR="00E23612" w:rsidRPr="00034E9B" w:rsidRDefault="00E23612" w:rsidP="00E23612">
            <w:pPr>
              <w:pStyle w:val="CGCTablerow"/>
            </w:pPr>
            <w:r w:rsidRPr="00034E9B">
              <w:t>No material drivers could be identified.</w:t>
            </w:r>
          </w:p>
        </w:tc>
      </w:tr>
      <w:tr w:rsidR="00E23612" w:rsidRPr="00034E9B" w14:paraId="4D224161" w14:textId="77777777" w:rsidTr="00C01414">
        <w:tc>
          <w:tcPr>
            <w:tcW w:w="1707" w:type="pct"/>
          </w:tcPr>
          <w:p w14:paraId="669AAF2A" w14:textId="02C0EF83" w:rsidR="00E23612" w:rsidRPr="00034E9B" w:rsidRDefault="00E23612" w:rsidP="00E23612">
            <w:pPr>
              <w:pStyle w:val="CGCTablerow"/>
            </w:pPr>
            <w:r w:rsidRPr="00034E9B">
              <w:t>Remove blending</w:t>
            </w:r>
          </w:p>
        </w:tc>
        <w:tc>
          <w:tcPr>
            <w:tcW w:w="531" w:type="pct"/>
          </w:tcPr>
          <w:p w14:paraId="573EBFF7" w14:textId="2C58317E" w:rsidR="00E23612" w:rsidRPr="00034E9B" w:rsidRDefault="00E23612" w:rsidP="00E23612">
            <w:pPr>
              <w:pStyle w:val="CGCTablerow"/>
            </w:pPr>
            <w:r w:rsidRPr="00034E9B">
              <w:t>NSW</w:t>
            </w:r>
          </w:p>
        </w:tc>
        <w:tc>
          <w:tcPr>
            <w:tcW w:w="530" w:type="pct"/>
          </w:tcPr>
          <w:p w14:paraId="1D573B2D" w14:textId="239191FB" w:rsidR="00E23612" w:rsidRPr="00034E9B" w:rsidRDefault="00E23612" w:rsidP="00E23612">
            <w:pPr>
              <w:pStyle w:val="CGCTablerow"/>
            </w:pPr>
            <w:r w:rsidRPr="00034E9B">
              <w:t>No</w:t>
            </w:r>
          </w:p>
        </w:tc>
        <w:tc>
          <w:tcPr>
            <w:tcW w:w="2232" w:type="pct"/>
          </w:tcPr>
          <w:p w14:paraId="3685FC06" w14:textId="0DE9316A" w:rsidR="00E23612" w:rsidRPr="00034E9B" w:rsidRDefault="00E23612" w:rsidP="00E23612">
            <w:pPr>
              <w:pStyle w:val="CGCTablerow"/>
            </w:pPr>
            <w:r w:rsidRPr="00034E9B">
              <w:t>There are concerns about the reliability of the data.</w:t>
            </w:r>
          </w:p>
        </w:tc>
      </w:tr>
      <w:tr w:rsidR="00E23612" w:rsidRPr="00034E9B" w14:paraId="3D9CE4EB" w14:textId="77777777" w:rsidTr="00C01414">
        <w:tc>
          <w:tcPr>
            <w:tcW w:w="1707" w:type="pct"/>
          </w:tcPr>
          <w:p w14:paraId="3632FFDA" w14:textId="5A7526FF" w:rsidR="00E23612" w:rsidRPr="00034E9B" w:rsidRDefault="00E23612" w:rsidP="00E23612">
            <w:pPr>
              <w:pStyle w:val="CGCTablerow"/>
            </w:pPr>
            <w:r w:rsidRPr="00034E9B">
              <w:t>Discount instead of blending</w:t>
            </w:r>
          </w:p>
        </w:tc>
        <w:tc>
          <w:tcPr>
            <w:tcW w:w="531" w:type="pct"/>
          </w:tcPr>
          <w:p w14:paraId="5D8E3153" w14:textId="716A7994" w:rsidR="00E23612" w:rsidRPr="00034E9B" w:rsidRDefault="00E23612" w:rsidP="00E23612">
            <w:pPr>
              <w:pStyle w:val="CGCTablerow"/>
            </w:pPr>
            <w:r w:rsidRPr="00034E9B">
              <w:t>Tas, ACT</w:t>
            </w:r>
          </w:p>
        </w:tc>
        <w:tc>
          <w:tcPr>
            <w:tcW w:w="530" w:type="pct"/>
          </w:tcPr>
          <w:p w14:paraId="330722E8" w14:textId="1F10F05B" w:rsidR="00E23612" w:rsidRPr="00034E9B" w:rsidRDefault="00E23612" w:rsidP="00E23612">
            <w:pPr>
              <w:pStyle w:val="CGCTablerow"/>
            </w:pPr>
            <w:r w:rsidRPr="00034E9B">
              <w:t>No</w:t>
            </w:r>
          </w:p>
        </w:tc>
        <w:tc>
          <w:tcPr>
            <w:tcW w:w="2232" w:type="pct"/>
          </w:tcPr>
          <w:p w14:paraId="33D2EB62" w14:textId="5628F6F1" w:rsidR="00E23612" w:rsidRPr="00034E9B" w:rsidRDefault="00E23612" w:rsidP="00E23612">
            <w:pPr>
              <w:pStyle w:val="CGCTablerow"/>
            </w:pPr>
            <w:r w:rsidRPr="00034E9B">
              <w:t>The Commission does not consider that discounting would provide a better outcome.</w:t>
            </w:r>
          </w:p>
        </w:tc>
      </w:tr>
      <w:tr w:rsidR="00E23612" w:rsidRPr="00034E9B" w14:paraId="055CB8E4" w14:textId="77777777" w:rsidTr="00C01414">
        <w:tc>
          <w:tcPr>
            <w:tcW w:w="1707" w:type="pct"/>
            <w:shd w:val="clear" w:color="auto" w:fill="B6D5E4"/>
          </w:tcPr>
          <w:p w14:paraId="4706EECD" w14:textId="32646051" w:rsidR="00E23612" w:rsidRPr="00034E9B" w:rsidRDefault="00E23612" w:rsidP="00E23612">
            <w:pPr>
              <w:pStyle w:val="CGCTablesubhead1"/>
              <w:rPr>
                <w:lang w:val="en-AU"/>
              </w:rPr>
            </w:pPr>
            <w:r w:rsidRPr="00034E9B">
              <w:rPr>
                <w:lang w:val="en-AU"/>
              </w:rPr>
              <w:t>Services to industry</w:t>
            </w:r>
          </w:p>
        </w:tc>
        <w:tc>
          <w:tcPr>
            <w:tcW w:w="531" w:type="pct"/>
            <w:shd w:val="clear" w:color="auto" w:fill="B6D5E4"/>
          </w:tcPr>
          <w:p w14:paraId="700409BC" w14:textId="77777777" w:rsidR="00E23612" w:rsidRPr="00034E9B" w:rsidRDefault="00E23612" w:rsidP="00E23612">
            <w:pPr>
              <w:pStyle w:val="CGCTablesubhead1"/>
              <w:rPr>
                <w:lang w:val="en-AU"/>
              </w:rPr>
            </w:pPr>
          </w:p>
        </w:tc>
        <w:tc>
          <w:tcPr>
            <w:tcW w:w="530" w:type="pct"/>
            <w:shd w:val="clear" w:color="auto" w:fill="B6D5E4"/>
          </w:tcPr>
          <w:p w14:paraId="65F65446" w14:textId="77777777" w:rsidR="00E23612" w:rsidRPr="00034E9B" w:rsidRDefault="00E23612" w:rsidP="00E23612">
            <w:pPr>
              <w:pStyle w:val="CGCTablesubhead1"/>
              <w:rPr>
                <w:lang w:val="en-AU"/>
              </w:rPr>
            </w:pPr>
          </w:p>
        </w:tc>
        <w:tc>
          <w:tcPr>
            <w:tcW w:w="2232" w:type="pct"/>
            <w:shd w:val="clear" w:color="auto" w:fill="B6D5E4"/>
          </w:tcPr>
          <w:p w14:paraId="360BFFAF" w14:textId="77777777" w:rsidR="00E23612" w:rsidRPr="00034E9B" w:rsidRDefault="00E23612" w:rsidP="00E23612">
            <w:pPr>
              <w:pStyle w:val="CGCTablesubhead1"/>
              <w:rPr>
                <w:lang w:val="en-AU"/>
              </w:rPr>
            </w:pPr>
          </w:p>
        </w:tc>
      </w:tr>
      <w:tr w:rsidR="00E23612" w:rsidRPr="00034E9B" w14:paraId="25614D0D" w14:textId="77777777" w:rsidTr="00C01414">
        <w:tc>
          <w:tcPr>
            <w:tcW w:w="1707" w:type="pct"/>
          </w:tcPr>
          <w:p w14:paraId="512DADE9" w14:textId="6FDEFF9F" w:rsidR="00E23612" w:rsidRPr="00034E9B" w:rsidRDefault="00E23612" w:rsidP="00E23612">
            <w:pPr>
              <w:pStyle w:val="CGCTablerow"/>
              <w:rPr>
                <w:b/>
              </w:rPr>
            </w:pPr>
            <w:r w:rsidRPr="00034E9B">
              <w:t>Consider the impact of Commonwealth assistance to industry on State business development spending</w:t>
            </w:r>
          </w:p>
        </w:tc>
        <w:tc>
          <w:tcPr>
            <w:tcW w:w="531" w:type="pct"/>
          </w:tcPr>
          <w:p w14:paraId="6075AE7E" w14:textId="24B71C16" w:rsidR="00E23612" w:rsidRPr="00034E9B" w:rsidRDefault="00E23612" w:rsidP="00E23612">
            <w:pPr>
              <w:pStyle w:val="CGCTablerow"/>
            </w:pPr>
            <w:r w:rsidRPr="00034E9B">
              <w:t>ACT</w:t>
            </w:r>
          </w:p>
        </w:tc>
        <w:tc>
          <w:tcPr>
            <w:tcW w:w="530" w:type="pct"/>
          </w:tcPr>
          <w:p w14:paraId="1DB3F25D" w14:textId="3C6690A6" w:rsidR="00E23612" w:rsidRPr="00034E9B" w:rsidRDefault="00E23612" w:rsidP="00E23612">
            <w:pPr>
              <w:pStyle w:val="CGCTablerow"/>
            </w:pPr>
            <w:r w:rsidRPr="00034E9B">
              <w:t>No</w:t>
            </w:r>
          </w:p>
        </w:tc>
        <w:tc>
          <w:tcPr>
            <w:tcW w:w="2232" w:type="pct"/>
          </w:tcPr>
          <w:p w14:paraId="1B65A46B" w14:textId="2329426C" w:rsidR="00E23612" w:rsidRPr="00034E9B" w:rsidRDefault="00E23612" w:rsidP="00E23612">
            <w:pPr>
              <w:pStyle w:val="CGCTablerow"/>
            </w:pPr>
            <w:r w:rsidRPr="00034E9B">
              <w:t>The interstate distribution of these payments is unknown and it would be difficult to determine how these affect State fiscal capacities.</w:t>
            </w:r>
          </w:p>
        </w:tc>
      </w:tr>
      <w:tr w:rsidR="00E23612" w:rsidRPr="00034E9B" w14:paraId="335F3398" w14:textId="77777777" w:rsidTr="00C01414">
        <w:tc>
          <w:tcPr>
            <w:tcW w:w="1707" w:type="pct"/>
          </w:tcPr>
          <w:p w14:paraId="20D5BDB2" w14:textId="0F1FCEF9" w:rsidR="00E23612" w:rsidRPr="00034E9B" w:rsidRDefault="00E23612" w:rsidP="00E23612">
            <w:pPr>
              <w:pStyle w:val="CGCTablerow"/>
            </w:pPr>
            <w:r w:rsidRPr="00034E9B">
              <w:t>Restrict the EPC assessment to expenses that develop new industries — for existing industries, use industry activity measures to assess needs</w:t>
            </w:r>
          </w:p>
        </w:tc>
        <w:tc>
          <w:tcPr>
            <w:tcW w:w="531" w:type="pct"/>
          </w:tcPr>
          <w:p w14:paraId="42DB2490" w14:textId="7419374D" w:rsidR="00E23612" w:rsidRPr="00034E9B" w:rsidRDefault="00E23612" w:rsidP="00E23612">
            <w:pPr>
              <w:pStyle w:val="CGCTablerow"/>
            </w:pPr>
            <w:r w:rsidRPr="00034E9B">
              <w:t>WA</w:t>
            </w:r>
          </w:p>
        </w:tc>
        <w:tc>
          <w:tcPr>
            <w:tcW w:w="530" w:type="pct"/>
          </w:tcPr>
          <w:p w14:paraId="6C168C6A" w14:textId="617CF396" w:rsidR="00E23612" w:rsidRPr="00034E9B" w:rsidRDefault="00E23612" w:rsidP="00E23612">
            <w:pPr>
              <w:pStyle w:val="CGCTablerow"/>
            </w:pPr>
            <w:r w:rsidRPr="00034E9B">
              <w:t>No</w:t>
            </w:r>
          </w:p>
        </w:tc>
        <w:tc>
          <w:tcPr>
            <w:tcW w:w="2232" w:type="pct"/>
          </w:tcPr>
          <w:p w14:paraId="3815B21F" w14:textId="4CDA7E32" w:rsidR="00E23612" w:rsidRPr="00034E9B" w:rsidRDefault="00E23612" w:rsidP="00E23612">
            <w:pPr>
              <w:pStyle w:val="CGCTablerow"/>
            </w:pPr>
            <w:r w:rsidRPr="00034E9B">
              <w:t>States have considerable discretion over the amount and types of programs that receive funding. Population remains the appropriate driver of business development expenses.</w:t>
            </w:r>
          </w:p>
        </w:tc>
      </w:tr>
      <w:tr w:rsidR="00E23612" w:rsidRPr="00034E9B" w14:paraId="703CB0F9" w14:textId="77777777" w:rsidTr="00C01414">
        <w:tc>
          <w:tcPr>
            <w:tcW w:w="1707" w:type="pct"/>
          </w:tcPr>
          <w:p w14:paraId="664B0A02" w14:textId="22191B40" w:rsidR="00E23612" w:rsidRPr="00034E9B" w:rsidRDefault="00E23612" w:rsidP="00E23612">
            <w:pPr>
              <w:pStyle w:val="CGCTablerow"/>
            </w:pPr>
            <w:r w:rsidRPr="00034E9B">
              <w:t>The absence of a well-established private sector is a driver of State spending on business development</w:t>
            </w:r>
          </w:p>
        </w:tc>
        <w:tc>
          <w:tcPr>
            <w:tcW w:w="531" w:type="pct"/>
          </w:tcPr>
          <w:p w14:paraId="67CBECFB" w14:textId="356CC009" w:rsidR="00E23612" w:rsidRPr="00034E9B" w:rsidRDefault="00E23612" w:rsidP="00E23612">
            <w:pPr>
              <w:pStyle w:val="CGCTablerow"/>
            </w:pPr>
            <w:r w:rsidRPr="00034E9B">
              <w:t>NT</w:t>
            </w:r>
          </w:p>
        </w:tc>
        <w:tc>
          <w:tcPr>
            <w:tcW w:w="530" w:type="pct"/>
          </w:tcPr>
          <w:p w14:paraId="154F3580" w14:textId="05F715F8" w:rsidR="00E23612" w:rsidRPr="00034E9B" w:rsidRDefault="00E23612" w:rsidP="00E23612">
            <w:pPr>
              <w:pStyle w:val="CGCTablerow"/>
            </w:pPr>
            <w:r w:rsidRPr="00034E9B">
              <w:t>No</w:t>
            </w:r>
          </w:p>
        </w:tc>
        <w:tc>
          <w:tcPr>
            <w:tcW w:w="2232" w:type="pct"/>
          </w:tcPr>
          <w:p w14:paraId="1AC41A96" w14:textId="28DBE9B6" w:rsidR="00E23612" w:rsidRPr="00034E9B" w:rsidRDefault="00E23612" w:rsidP="00E23612">
            <w:pPr>
              <w:pStyle w:val="CGCTablerow"/>
            </w:pPr>
            <w:r w:rsidRPr="00034E9B">
              <w:t>As above.</w:t>
            </w:r>
          </w:p>
        </w:tc>
      </w:tr>
      <w:tr w:rsidR="00E23612" w:rsidRPr="00034E9B" w14:paraId="337FD190" w14:textId="77777777" w:rsidTr="00C01414">
        <w:tc>
          <w:tcPr>
            <w:tcW w:w="1707" w:type="pct"/>
          </w:tcPr>
          <w:p w14:paraId="635E4168" w14:textId="315BDBB7" w:rsidR="00E23612" w:rsidRPr="00034E9B" w:rsidRDefault="00E23612" w:rsidP="00E23612">
            <w:pPr>
              <w:pStyle w:val="CGCTablerow"/>
            </w:pPr>
            <w:r w:rsidRPr="00034E9B">
              <w:t>Include business counts in the agriculture and mining regulation assessments</w:t>
            </w:r>
          </w:p>
        </w:tc>
        <w:tc>
          <w:tcPr>
            <w:tcW w:w="531" w:type="pct"/>
          </w:tcPr>
          <w:p w14:paraId="320023D9" w14:textId="68994BB8" w:rsidR="00E23612" w:rsidRPr="00034E9B" w:rsidRDefault="00E23612" w:rsidP="00E23612">
            <w:pPr>
              <w:pStyle w:val="CGCTablerow"/>
            </w:pPr>
            <w:r w:rsidRPr="00034E9B">
              <w:t>NSW, Vic, SA</w:t>
            </w:r>
          </w:p>
        </w:tc>
        <w:tc>
          <w:tcPr>
            <w:tcW w:w="530" w:type="pct"/>
          </w:tcPr>
          <w:p w14:paraId="4A6C1958" w14:textId="3E6A7E47" w:rsidR="00E23612" w:rsidRPr="00034E9B" w:rsidRDefault="00E23612" w:rsidP="00E23612">
            <w:pPr>
              <w:pStyle w:val="CGCTablerow"/>
            </w:pPr>
            <w:r w:rsidRPr="00034E9B">
              <w:t>No</w:t>
            </w:r>
          </w:p>
        </w:tc>
        <w:tc>
          <w:tcPr>
            <w:tcW w:w="2232" w:type="pct"/>
          </w:tcPr>
          <w:p w14:paraId="301512D2" w14:textId="3D58C832" w:rsidR="00E23612" w:rsidRPr="00034E9B" w:rsidRDefault="00B13FAC" w:rsidP="00E23612">
            <w:pPr>
              <w:pStyle w:val="CGCTablerow"/>
            </w:pPr>
            <w:r>
              <w:t>The</w:t>
            </w:r>
            <w:r w:rsidR="00E23612" w:rsidRPr="00034E9B">
              <w:t xml:space="preserve"> disability </w:t>
            </w:r>
            <w:r>
              <w:t>is</w:t>
            </w:r>
            <w:r w:rsidR="00E23612" w:rsidRPr="00034E9B">
              <w:t xml:space="preserve"> not material</w:t>
            </w:r>
            <w:r>
              <w:t xml:space="preserve">. </w:t>
            </w:r>
          </w:p>
        </w:tc>
      </w:tr>
      <w:tr w:rsidR="00E23612" w:rsidRPr="00034E9B" w14:paraId="0F7E21C0" w14:textId="77777777" w:rsidTr="00C01414">
        <w:tc>
          <w:tcPr>
            <w:tcW w:w="1707" w:type="pct"/>
          </w:tcPr>
          <w:p w14:paraId="499761E5" w14:textId="62444634" w:rsidR="00E23612" w:rsidRPr="00034E9B" w:rsidRDefault="00E23612" w:rsidP="00E23612">
            <w:pPr>
              <w:pStyle w:val="CGCTablerow"/>
            </w:pPr>
            <w:r w:rsidRPr="00034E9B">
              <w:t>A regional costs factor should be applied to business development expenses</w:t>
            </w:r>
          </w:p>
        </w:tc>
        <w:tc>
          <w:tcPr>
            <w:tcW w:w="531" w:type="pct"/>
          </w:tcPr>
          <w:p w14:paraId="4F936D33" w14:textId="4FCCED9E" w:rsidR="00E23612" w:rsidRPr="00034E9B" w:rsidRDefault="00E23612" w:rsidP="00E23612">
            <w:pPr>
              <w:pStyle w:val="CGCTablerow"/>
            </w:pPr>
            <w:r w:rsidRPr="00034E9B">
              <w:t>WA</w:t>
            </w:r>
          </w:p>
        </w:tc>
        <w:tc>
          <w:tcPr>
            <w:tcW w:w="530" w:type="pct"/>
          </w:tcPr>
          <w:p w14:paraId="65D123A7" w14:textId="2824A2C4" w:rsidR="00E23612" w:rsidRPr="00034E9B" w:rsidRDefault="00E23612" w:rsidP="00E23612">
            <w:pPr>
              <w:pStyle w:val="CGCTablerow"/>
            </w:pPr>
            <w:r w:rsidRPr="00034E9B">
              <w:t>No</w:t>
            </w:r>
          </w:p>
        </w:tc>
        <w:tc>
          <w:tcPr>
            <w:tcW w:w="2232" w:type="pct"/>
          </w:tcPr>
          <w:p w14:paraId="2351AD9D" w14:textId="2AABB084" w:rsidR="00E23612" w:rsidRPr="00034E9B" w:rsidRDefault="00E23612" w:rsidP="00E23612">
            <w:pPr>
              <w:pStyle w:val="CGCTablerow"/>
            </w:pPr>
            <w:r w:rsidRPr="00034E9B">
              <w:t>A significant proportion of business development expenses are incurred in capital cities or provided as grants, which are set amounts with no provision for regional or other costs</w:t>
            </w:r>
          </w:p>
        </w:tc>
      </w:tr>
      <w:tr w:rsidR="00E23612" w:rsidRPr="00034E9B" w14:paraId="7B9E4B65" w14:textId="77777777" w:rsidTr="00C01414">
        <w:tc>
          <w:tcPr>
            <w:tcW w:w="1707" w:type="pct"/>
          </w:tcPr>
          <w:p w14:paraId="74E181B0" w14:textId="5E94F6D5" w:rsidR="00E23612" w:rsidRPr="00034E9B" w:rsidRDefault="00E23612" w:rsidP="00E23612">
            <w:pPr>
              <w:pStyle w:val="CGCTablerow"/>
            </w:pPr>
            <w:r w:rsidRPr="00034E9B">
              <w:t xml:space="preserve">Use a regression approach to determine disability weights </w:t>
            </w:r>
          </w:p>
        </w:tc>
        <w:tc>
          <w:tcPr>
            <w:tcW w:w="531" w:type="pct"/>
          </w:tcPr>
          <w:p w14:paraId="0A392CF5" w14:textId="67E49919" w:rsidR="00E23612" w:rsidRPr="00034E9B" w:rsidRDefault="00E23612" w:rsidP="00E23612">
            <w:pPr>
              <w:pStyle w:val="CGCTablerow"/>
            </w:pPr>
            <w:r w:rsidRPr="00034E9B">
              <w:t>WA</w:t>
            </w:r>
          </w:p>
        </w:tc>
        <w:tc>
          <w:tcPr>
            <w:tcW w:w="530" w:type="pct"/>
          </w:tcPr>
          <w:p w14:paraId="4E7E7BC2" w14:textId="67C7EAEB" w:rsidR="00E23612" w:rsidRPr="00034E9B" w:rsidRDefault="00E23612" w:rsidP="00E23612">
            <w:pPr>
              <w:pStyle w:val="CGCTablerow"/>
            </w:pPr>
            <w:r w:rsidRPr="00034E9B">
              <w:t>No</w:t>
            </w:r>
          </w:p>
        </w:tc>
        <w:tc>
          <w:tcPr>
            <w:tcW w:w="2232" w:type="pct"/>
          </w:tcPr>
          <w:p w14:paraId="655EA9A0" w14:textId="4AA3EF71" w:rsidR="00E23612" w:rsidRPr="00034E9B" w:rsidRDefault="00E23612" w:rsidP="00E23612">
            <w:pPr>
              <w:pStyle w:val="CGCTablerow"/>
            </w:pPr>
            <w:r w:rsidRPr="00034E9B">
              <w:t>There is significant policy influence on the expense data, and volatility in the annual value of agricultural production.</w:t>
            </w:r>
          </w:p>
        </w:tc>
      </w:tr>
      <w:tr w:rsidR="00E23612" w:rsidRPr="00034E9B" w14:paraId="0544A1A0" w14:textId="77777777" w:rsidTr="00C01414">
        <w:tc>
          <w:tcPr>
            <w:tcW w:w="1707" w:type="pct"/>
          </w:tcPr>
          <w:p w14:paraId="02BF4D98" w14:textId="1DE351F7" w:rsidR="00E23612" w:rsidRPr="00034E9B" w:rsidRDefault="00E23612" w:rsidP="00E23612">
            <w:pPr>
              <w:pStyle w:val="CGCTablerow"/>
            </w:pPr>
            <w:r w:rsidRPr="00034E9B">
              <w:t xml:space="preserve">Major projects disability </w:t>
            </w:r>
            <w:r w:rsidR="00616173">
              <w:t>should</w:t>
            </w:r>
            <w:r w:rsidRPr="00034E9B">
              <w:t xml:space="preserve"> include Commonwealth non-dwelling construction, rather than just private non-dwelling construction</w:t>
            </w:r>
          </w:p>
        </w:tc>
        <w:tc>
          <w:tcPr>
            <w:tcW w:w="531" w:type="pct"/>
          </w:tcPr>
          <w:p w14:paraId="001062EA" w14:textId="364FC83C" w:rsidR="00E23612" w:rsidRPr="00034E9B" w:rsidRDefault="00E23612" w:rsidP="00E23612">
            <w:pPr>
              <w:pStyle w:val="CGCTablerow"/>
            </w:pPr>
            <w:r w:rsidRPr="00034E9B">
              <w:t>ACT</w:t>
            </w:r>
          </w:p>
        </w:tc>
        <w:tc>
          <w:tcPr>
            <w:tcW w:w="530" w:type="pct"/>
          </w:tcPr>
          <w:p w14:paraId="0FAF624F" w14:textId="70E8FD4D" w:rsidR="00E23612" w:rsidRPr="00034E9B" w:rsidRDefault="00E23612" w:rsidP="00E23612">
            <w:pPr>
              <w:pStyle w:val="CGCTablerow"/>
            </w:pPr>
            <w:r w:rsidRPr="00034E9B">
              <w:t>No</w:t>
            </w:r>
          </w:p>
        </w:tc>
        <w:tc>
          <w:tcPr>
            <w:tcW w:w="2232" w:type="pct"/>
          </w:tcPr>
          <w:p w14:paraId="565B3D1F" w14:textId="02D2A6E0" w:rsidR="00E23612" w:rsidRPr="00034E9B" w:rsidRDefault="00E23612" w:rsidP="00E23612">
            <w:pPr>
              <w:pStyle w:val="CGCTablerow"/>
            </w:pPr>
            <w:r w:rsidRPr="00034E9B">
              <w:t>Including this indicator is appropriate and is material for the ACT. However, major project expenses will no longer be assessed.</w:t>
            </w:r>
          </w:p>
        </w:tc>
      </w:tr>
    </w:tbl>
    <w:p w14:paraId="34F91A58" w14:textId="7F41A187" w:rsidR="00593181" w:rsidRPr="00034E9B" w:rsidRDefault="00593181" w:rsidP="00593181">
      <w:pPr>
        <w:pStyle w:val="CGCTablenote"/>
      </w:pPr>
      <w:r w:rsidRPr="00034E9B">
        <w:t>Note:</w:t>
      </w:r>
      <w:r w:rsidRPr="00034E9B">
        <w:tab/>
        <w:t xml:space="preserve">Acronyms used in this table are spelt out in the </w:t>
      </w:r>
      <w:r w:rsidR="00AB0B9B">
        <w:t>list of acronyms at the beginning of this volume</w:t>
      </w:r>
      <w:r w:rsidRPr="00034E9B">
        <w:t>.</w:t>
      </w:r>
    </w:p>
    <w:p w14:paraId="537463AE" w14:textId="77777777" w:rsidR="00593181" w:rsidRPr="00034E9B" w:rsidRDefault="00593181" w:rsidP="00593181">
      <w:pPr>
        <w:pStyle w:val="CGCTablenote"/>
      </w:pPr>
      <w:r w:rsidRPr="00034E9B">
        <w:t>Source:</w:t>
      </w:r>
      <w:r w:rsidRPr="00034E9B">
        <w:tab/>
        <w:t>Commission decisions.</w:t>
      </w:r>
    </w:p>
    <w:p w14:paraId="6CD62443" w14:textId="11CD7D5B" w:rsidR="00593181" w:rsidRPr="00034E9B" w:rsidRDefault="00593181" w:rsidP="00161EFB"/>
    <w:p w14:paraId="134EC6E1" w14:textId="50306FC4" w:rsidR="00593181" w:rsidRPr="00034E9B" w:rsidRDefault="00593181" w:rsidP="00161EFB"/>
    <w:p w14:paraId="25C21C0B" w14:textId="77777777" w:rsidR="00593181" w:rsidRPr="00034E9B" w:rsidRDefault="00593181" w:rsidP="00593181">
      <w:pPr>
        <w:pStyle w:val="Caption"/>
      </w:pPr>
      <w:r w:rsidRPr="00034E9B">
        <w:lastRenderedPageBreak/>
        <w:t>Table 1</w:t>
      </w:r>
      <w:r w:rsidRPr="00034E9B">
        <w:noBreakHyphen/>
        <w:t>5</w:t>
      </w:r>
      <w:r w:rsidRPr="00034E9B">
        <w:tab/>
        <w:t>Commission responses to State proposals, 2020 Review (continued)</w:t>
      </w:r>
    </w:p>
    <w:tbl>
      <w:tblPr>
        <w:tblW w:w="5147" w:type="pct"/>
        <w:tblBorders>
          <w:top w:val="single" w:sz="4" w:space="0" w:color="ADD6EA"/>
          <w:bottom w:val="single" w:sz="4" w:space="0" w:color="ADD6EA"/>
          <w:insideH w:val="single" w:sz="4" w:space="0" w:color="ADD6EA"/>
        </w:tblBorders>
        <w:tblCellMar>
          <w:left w:w="28" w:type="dxa"/>
          <w:right w:w="85" w:type="dxa"/>
        </w:tblCellMar>
        <w:tblLook w:val="0000" w:firstRow="0" w:lastRow="0" w:firstColumn="0" w:lastColumn="0" w:noHBand="0" w:noVBand="0"/>
      </w:tblPr>
      <w:tblGrid>
        <w:gridCol w:w="3094"/>
        <w:gridCol w:w="963"/>
        <w:gridCol w:w="886"/>
        <w:gridCol w:w="4387"/>
      </w:tblGrid>
      <w:tr w:rsidR="004F0552" w:rsidRPr="00034E9B" w14:paraId="45CEED81" w14:textId="77777777" w:rsidTr="00C01414">
        <w:trPr>
          <w:trHeight w:val="284"/>
        </w:trPr>
        <w:tc>
          <w:tcPr>
            <w:tcW w:w="1658" w:type="pct"/>
            <w:shd w:val="clear" w:color="auto" w:fill="006991"/>
            <w:vAlign w:val="center"/>
          </w:tcPr>
          <w:p w14:paraId="22BA8852" w14:textId="41583ED9" w:rsidR="004F0552" w:rsidRPr="00034E9B" w:rsidRDefault="004F0552" w:rsidP="00CF5E20">
            <w:pPr>
              <w:pStyle w:val="CGCTableheader"/>
              <w:rPr>
                <w:lang w:val="en-AU"/>
              </w:rPr>
            </w:pPr>
            <w:r w:rsidRPr="00034E9B">
              <w:rPr>
                <w:lang w:val="en-AU"/>
              </w:rPr>
              <w:t>Proposal</w:t>
            </w:r>
          </w:p>
        </w:tc>
        <w:tc>
          <w:tcPr>
            <w:tcW w:w="516" w:type="pct"/>
            <w:shd w:val="clear" w:color="auto" w:fill="006991"/>
            <w:vAlign w:val="center"/>
          </w:tcPr>
          <w:p w14:paraId="690C7FB6" w14:textId="6D56A423" w:rsidR="004F0552" w:rsidRPr="00034E9B" w:rsidRDefault="004F0552" w:rsidP="00CF5E20">
            <w:pPr>
              <w:pStyle w:val="CGCTableheader"/>
              <w:rPr>
                <w:lang w:val="en-AU"/>
              </w:rPr>
            </w:pPr>
            <w:r w:rsidRPr="00034E9B">
              <w:rPr>
                <w:lang w:val="en-AU"/>
              </w:rPr>
              <w:t>State</w:t>
            </w:r>
          </w:p>
        </w:tc>
        <w:tc>
          <w:tcPr>
            <w:tcW w:w="475" w:type="pct"/>
            <w:shd w:val="clear" w:color="auto" w:fill="006991"/>
            <w:vAlign w:val="center"/>
          </w:tcPr>
          <w:p w14:paraId="1F8C65BA" w14:textId="4E427F9B" w:rsidR="004F0552" w:rsidRPr="00034E9B" w:rsidRDefault="004F0552" w:rsidP="00CF5E20">
            <w:pPr>
              <w:pStyle w:val="CGCTableheader"/>
              <w:rPr>
                <w:lang w:val="en-AU"/>
              </w:rPr>
            </w:pPr>
            <w:r w:rsidRPr="00034E9B">
              <w:rPr>
                <w:lang w:val="en-AU"/>
              </w:rPr>
              <w:t>Adopted</w:t>
            </w:r>
          </w:p>
        </w:tc>
        <w:tc>
          <w:tcPr>
            <w:tcW w:w="2351" w:type="pct"/>
            <w:shd w:val="clear" w:color="auto" w:fill="006991"/>
            <w:vAlign w:val="center"/>
          </w:tcPr>
          <w:p w14:paraId="682746AB" w14:textId="1DD39655" w:rsidR="004F0552" w:rsidRPr="00034E9B" w:rsidRDefault="004F0552" w:rsidP="00CF5E20">
            <w:pPr>
              <w:pStyle w:val="CGCTableheader"/>
              <w:rPr>
                <w:lang w:val="en-AU"/>
              </w:rPr>
            </w:pPr>
            <w:r w:rsidRPr="00034E9B">
              <w:rPr>
                <w:lang w:val="en-AU"/>
              </w:rPr>
              <w:t>Explanation</w:t>
            </w:r>
          </w:p>
        </w:tc>
      </w:tr>
      <w:tr w:rsidR="004F0552" w:rsidRPr="00034E9B" w14:paraId="7D04B2D2" w14:textId="77777777" w:rsidTr="00C01414">
        <w:tc>
          <w:tcPr>
            <w:tcW w:w="1658" w:type="pct"/>
            <w:shd w:val="clear" w:color="auto" w:fill="B6D5E4"/>
          </w:tcPr>
          <w:p w14:paraId="2E7A5078" w14:textId="461BBC1E" w:rsidR="004F0552" w:rsidRPr="00034E9B" w:rsidRDefault="004F0552" w:rsidP="00CF5E20">
            <w:pPr>
              <w:pStyle w:val="CGCTablesubhead1"/>
              <w:rPr>
                <w:lang w:val="en-AU"/>
              </w:rPr>
            </w:pPr>
            <w:r w:rsidRPr="00034E9B">
              <w:rPr>
                <w:lang w:val="en-AU"/>
              </w:rPr>
              <w:t>Other expenses</w:t>
            </w:r>
          </w:p>
        </w:tc>
        <w:tc>
          <w:tcPr>
            <w:tcW w:w="516" w:type="pct"/>
            <w:shd w:val="clear" w:color="auto" w:fill="B6D5E4"/>
          </w:tcPr>
          <w:p w14:paraId="256DE6EF" w14:textId="77777777" w:rsidR="004F0552" w:rsidRPr="00034E9B" w:rsidRDefault="004F0552" w:rsidP="00CF5E20">
            <w:pPr>
              <w:pStyle w:val="CGCTablesubhead1"/>
              <w:rPr>
                <w:lang w:val="en-AU"/>
              </w:rPr>
            </w:pPr>
          </w:p>
        </w:tc>
        <w:tc>
          <w:tcPr>
            <w:tcW w:w="475" w:type="pct"/>
            <w:shd w:val="clear" w:color="auto" w:fill="B6D5E4"/>
          </w:tcPr>
          <w:p w14:paraId="0441226A" w14:textId="77777777" w:rsidR="004F0552" w:rsidRPr="00034E9B" w:rsidRDefault="004F0552" w:rsidP="00CF5E20">
            <w:pPr>
              <w:pStyle w:val="CGCTablesubhead1"/>
              <w:rPr>
                <w:lang w:val="en-AU"/>
              </w:rPr>
            </w:pPr>
          </w:p>
        </w:tc>
        <w:tc>
          <w:tcPr>
            <w:tcW w:w="2351" w:type="pct"/>
            <w:shd w:val="clear" w:color="auto" w:fill="B6D5E4"/>
          </w:tcPr>
          <w:p w14:paraId="51D1E9D7" w14:textId="77777777" w:rsidR="004F0552" w:rsidRPr="00034E9B" w:rsidRDefault="004F0552" w:rsidP="00CF5E20">
            <w:pPr>
              <w:pStyle w:val="CGCTablesubhead1"/>
              <w:rPr>
                <w:lang w:val="en-AU"/>
              </w:rPr>
            </w:pPr>
          </w:p>
        </w:tc>
      </w:tr>
      <w:tr w:rsidR="004F0552" w:rsidRPr="00034E9B" w14:paraId="50E306DB" w14:textId="77777777" w:rsidTr="00C01414">
        <w:tc>
          <w:tcPr>
            <w:tcW w:w="1658" w:type="pct"/>
          </w:tcPr>
          <w:p w14:paraId="384D1AB3" w14:textId="4C3B624A" w:rsidR="004F0552" w:rsidRPr="00034E9B" w:rsidRDefault="004F0552" w:rsidP="004F0552">
            <w:pPr>
              <w:pStyle w:val="CGCTablerow"/>
            </w:pPr>
            <w:r w:rsidRPr="00034E9B">
              <w:t>Assess natural disaster mitigation expenses APC</w:t>
            </w:r>
          </w:p>
        </w:tc>
        <w:tc>
          <w:tcPr>
            <w:tcW w:w="516" w:type="pct"/>
          </w:tcPr>
          <w:p w14:paraId="01061AF9" w14:textId="51F2FBAE" w:rsidR="004F0552" w:rsidRPr="00034E9B" w:rsidRDefault="004F0552" w:rsidP="004F0552">
            <w:pPr>
              <w:pStyle w:val="CGCTablerow"/>
            </w:pPr>
            <w:r w:rsidRPr="00034E9B">
              <w:t>ACT</w:t>
            </w:r>
          </w:p>
        </w:tc>
        <w:tc>
          <w:tcPr>
            <w:tcW w:w="475" w:type="pct"/>
          </w:tcPr>
          <w:p w14:paraId="6245830B" w14:textId="3DBF242F" w:rsidR="004F0552" w:rsidRPr="00034E9B" w:rsidRDefault="004F0552" w:rsidP="004F0552">
            <w:pPr>
              <w:pStyle w:val="CGCTablerow"/>
            </w:pPr>
            <w:r w:rsidRPr="00034E9B">
              <w:t>No</w:t>
            </w:r>
          </w:p>
        </w:tc>
        <w:tc>
          <w:tcPr>
            <w:tcW w:w="2351" w:type="pct"/>
          </w:tcPr>
          <w:p w14:paraId="1FC12CDE" w14:textId="569BE0B3" w:rsidR="004F0552" w:rsidRPr="00034E9B" w:rsidRDefault="004F0552" w:rsidP="004F0552">
            <w:pPr>
              <w:pStyle w:val="CGCTablerow"/>
            </w:pPr>
            <w:r w:rsidRPr="00034E9B">
              <w:t>Unable to isolate expenses and identify an appropriate disability.</w:t>
            </w:r>
          </w:p>
        </w:tc>
      </w:tr>
      <w:tr w:rsidR="004F0552" w:rsidRPr="00034E9B" w14:paraId="2C5CCD3E" w14:textId="77777777" w:rsidTr="00C01414">
        <w:tc>
          <w:tcPr>
            <w:tcW w:w="1658" w:type="pct"/>
          </w:tcPr>
          <w:p w14:paraId="308AE0F7" w14:textId="1429CC8F" w:rsidR="004F0552" w:rsidRPr="00034E9B" w:rsidRDefault="004F0552" w:rsidP="004F0552">
            <w:pPr>
              <w:pStyle w:val="CGCTablerow"/>
            </w:pPr>
            <w:r w:rsidRPr="00034E9B">
              <w:t>Assess natural disaster mitigation expenses APC, with 50% discount</w:t>
            </w:r>
          </w:p>
        </w:tc>
        <w:tc>
          <w:tcPr>
            <w:tcW w:w="516" w:type="pct"/>
          </w:tcPr>
          <w:p w14:paraId="5AE542AA" w14:textId="6F686724" w:rsidR="004F0552" w:rsidRPr="00034E9B" w:rsidRDefault="004F0552" w:rsidP="004F0552">
            <w:pPr>
              <w:pStyle w:val="CGCTablerow"/>
            </w:pPr>
            <w:r w:rsidRPr="00034E9B">
              <w:t>NSW</w:t>
            </w:r>
          </w:p>
        </w:tc>
        <w:tc>
          <w:tcPr>
            <w:tcW w:w="475" w:type="pct"/>
          </w:tcPr>
          <w:p w14:paraId="283B52EB" w14:textId="10CB3749" w:rsidR="004F0552" w:rsidRPr="00034E9B" w:rsidRDefault="004F0552" w:rsidP="004F0552">
            <w:pPr>
              <w:pStyle w:val="CGCTablerow"/>
            </w:pPr>
            <w:r w:rsidRPr="00034E9B">
              <w:t>No</w:t>
            </w:r>
          </w:p>
        </w:tc>
        <w:tc>
          <w:tcPr>
            <w:tcW w:w="2351" w:type="pct"/>
          </w:tcPr>
          <w:p w14:paraId="06E8CF13" w14:textId="38B9650E" w:rsidR="004F0552" w:rsidRPr="00034E9B" w:rsidRDefault="004F0552" w:rsidP="004F0552">
            <w:pPr>
              <w:pStyle w:val="CGCTablerow"/>
            </w:pPr>
            <w:r w:rsidRPr="00034E9B">
              <w:t>As above.</w:t>
            </w:r>
          </w:p>
        </w:tc>
      </w:tr>
      <w:tr w:rsidR="004F0552" w:rsidRPr="00034E9B" w14:paraId="6F25A247" w14:textId="77777777" w:rsidTr="00C01414">
        <w:tc>
          <w:tcPr>
            <w:tcW w:w="1658" w:type="pct"/>
          </w:tcPr>
          <w:p w14:paraId="7F3A85FB" w14:textId="6A107F43" w:rsidR="004F0552" w:rsidRPr="00034E9B" w:rsidRDefault="004F0552" w:rsidP="004F0552">
            <w:pPr>
              <w:pStyle w:val="CGCTablerow"/>
            </w:pPr>
            <w:r w:rsidRPr="00034E9B">
              <w:t>Apply a cross-border disability to recreation and culture expenses</w:t>
            </w:r>
          </w:p>
        </w:tc>
        <w:tc>
          <w:tcPr>
            <w:tcW w:w="516" w:type="pct"/>
          </w:tcPr>
          <w:p w14:paraId="0332F2D0" w14:textId="0FF5CA3D" w:rsidR="004F0552" w:rsidRPr="00034E9B" w:rsidRDefault="004F0552" w:rsidP="004F0552">
            <w:pPr>
              <w:pStyle w:val="CGCTablerow"/>
            </w:pPr>
            <w:r w:rsidRPr="00034E9B">
              <w:t>ACT</w:t>
            </w:r>
          </w:p>
        </w:tc>
        <w:tc>
          <w:tcPr>
            <w:tcW w:w="475" w:type="pct"/>
          </w:tcPr>
          <w:p w14:paraId="5499B628" w14:textId="62BA63CB" w:rsidR="004F0552" w:rsidRPr="00034E9B" w:rsidRDefault="004F0552" w:rsidP="004F0552">
            <w:pPr>
              <w:pStyle w:val="CGCTablerow"/>
            </w:pPr>
            <w:r w:rsidRPr="00034E9B">
              <w:t>No</w:t>
            </w:r>
          </w:p>
        </w:tc>
        <w:tc>
          <w:tcPr>
            <w:tcW w:w="2351" w:type="pct"/>
          </w:tcPr>
          <w:p w14:paraId="27EDF6E6" w14:textId="63B02AD7" w:rsidR="004F0552" w:rsidRPr="00034E9B" w:rsidRDefault="004F0552" w:rsidP="004F0552">
            <w:pPr>
              <w:pStyle w:val="CGCTablerow"/>
            </w:pPr>
            <w:r w:rsidRPr="00034E9B">
              <w:t>Insufficient evidence to support a disability.</w:t>
            </w:r>
          </w:p>
        </w:tc>
      </w:tr>
      <w:tr w:rsidR="004F0552" w:rsidRPr="00034E9B" w14:paraId="51181529" w14:textId="77777777" w:rsidTr="00C01414">
        <w:tc>
          <w:tcPr>
            <w:tcW w:w="1658" w:type="pct"/>
            <w:shd w:val="clear" w:color="auto" w:fill="auto"/>
          </w:tcPr>
          <w:p w14:paraId="11CF7E00" w14:textId="12E3D786" w:rsidR="004F0552" w:rsidRPr="00034E9B" w:rsidRDefault="004F0552" w:rsidP="004F0552">
            <w:pPr>
              <w:pStyle w:val="CGCTablerow"/>
            </w:pPr>
            <w:r w:rsidRPr="00034E9B">
              <w:t xml:space="preserve">Include </w:t>
            </w:r>
            <w:r w:rsidR="001F6B7F">
              <w:t xml:space="preserve">State </w:t>
            </w:r>
            <w:r w:rsidR="00FA13CD">
              <w:t xml:space="preserve">payments for </w:t>
            </w:r>
            <w:r w:rsidRPr="00034E9B">
              <w:t>local government net expenses for natural disaster recovery</w:t>
            </w:r>
          </w:p>
        </w:tc>
        <w:tc>
          <w:tcPr>
            <w:tcW w:w="516" w:type="pct"/>
            <w:shd w:val="clear" w:color="auto" w:fill="auto"/>
          </w:tcPr>
          <w:p w14:paraId="60217162" w14:textId="5244FF1B" w:rsidR="004F0552" w:rsidRPr="00034E9B" w:rsidRDefault="004F0552" w:rsidP="004F0552">
            <w:pPr>
              <w:pStyle w:val="CGCTablerow"/>
            </w:pPr>
            <w:r w:rsidRPr="00034E9B">
              <w:t>Qld</w:t>
            </w:r>
          </w:p>
        </w:tc>
        <w:tc>
          <w:tcPr>
            <w:tcW w:w="475" w:type="pct"/>
            <w:shd w:val="clear" w:color="auto" w:fill="auto"/>
          </w:tcPr>
          <w:p w14:paraId="7E079CF5" w14:textId="3C515E75" w:rsidR="004F0552" w:rsidRPr="00034E9B" w:rsidRDefault="004F0552" w:rsidP="004F0552">
            <w:pPr>
              <w:pStyle w:val="CGCTablerow"/>
            </w:pPr>
            <w:r w:rsidRPr="00034E9B">
              <w:t>Yes</w:t>
            </w:r>
          </w:p>
        </w:tc>
        <w:tc>
          <w:tcPr>
            <w:tcW w:w="2351" w:type="pct"/>
            <w:shd w:val="clear" w:color="auto" w:fill="auto"/>
          </w:tcPr>
          <w:p w14:paraId="051D537A" w14:textId="2A5D863F" w:rsidR="004F0552" w:rsidRPr="00034E9B" w:rsidRDefault="004F0552" w:rsidP="004F0552">
            <w:pPr>
              <w:pStyle w:val="CGCTablerow"/>
            </w:pPr>
            <w:r w:rsidRPr="00034E9B">
              <w:t xml:space="preserve">All States provide financial support to local government for natural disaster recovery and local government are fiscally unable to </w:t>
            </w:r>
            <w:r w:rsidR="00C165EC">
              <w:t xml:space="preserve">fully </w:t>
            </w:r>
            <w:r w:rsidRPr="00034E9B">
              <w:t>self-fund disaster relief</w:t>
            </w:r>
            <w:r w:rsidR="00C9424B">
              <w:t>.</w:t>
            </w:r>
          </w:p>
        </w:tc>
      </w:tr>
      <w:tr w:rsidR="004F0552" w:rsidRPr="00034E9B" w14:paraId="24366AE5" w14:textId="77777777" w:rsidTr="00C01414">
        <w:tc>
          <w:tcPr>
            <w:tcW w:w="1658" w:type="pct"/>
            <w:shd w:val="clear" w:color="auto" w:fill="auto"/>
          </w:tcPr>
          <w:p w14:paraId="23F09552" w14:textId="601A3316" w:rsidR="004F0552" w:rsidRPr="00034E9B" w:rsidRDefault="004F0552" w:rsidP="004F0552">
            <w:pPr>
              <w:pStyle w:val="CGCTablerow"/>
            </w:pPr>
            <w:r w:rsidRPr="00034E9B">
              <w:t>Unwind the 2019 natural disaster relief assessment and adjustment</w:t>
            </w:r>
          </w:p>
        </w:tc>
        <w:tc>
          <w:tcPr>
            <w:tcW w:w="516" w:type="pct"/>
            <w:shd w:val="clear" w:color="auto" w:fill="auto"/>
          </w:tcPr>
          <w:p w14:paraId="5F9D32F2" w14:textId="3272EE81" w:rsidR="004F0552" w:rsidRPr="00034E9B" w:rsidRDefault="004F0552" w:rsidP="004F0552">
            <w:pPr>
              <w:pStyle w:val="CGCTablerow"/>
            </w:pPr>
            <w:r w:rsidRPr="00034E9B">
              <w:t>Qld</w:t>
            </w:r>
          </w:p>
        </w:tc>
        <w:tc>
          <w:tcPr>
            <w:tcW w:w="475" w:type="pct"/>
            <w:shd w:val="clear" w:color="auto" w:fill="auto"/>
          </w:tcPr>
          <w:p w14:paraId="2CB844AF" w14:textId="42971678" w:rsidR="004F0552" w:rsidRPr="00034E9B" w:rsidRDefault="004F0552" w:rsidP="004F0552">
            <w:pPr>
              <w:pStyle w:val="CGCTablerow"/>
            </w:pPr>
            <w:r w:rsidRPr="00034E9B">
              <w:t>Yes</w:t>
            </w:r>
          </w:p>
        </w:tc>
        <w:tc>
          <w:tcPr>
            <w:tcW w:w="2351" w:type="pct"/>
            <w:shd w:val="clear" w:color="auto" w:fill="auto"/>
          </w:tcPr>
          <w:p w14:paraId="342FAE17" w14:textId="494B3E49" w:rsidR="004F0552" w:rsidRPr="00034E9B" w:rsidRDefault="004F0552" w:rsidP="004F0552">
            <w:pPr>
              <w:pStyle w:val="CGCTablerow"/>
            </w:pPr>
            <w:r w:rsidRPr="00034E9B">
              <w:t>The Commission would have assessed 2019 Update expenses differently if complete funding information had been provided.</w:t>
            </w:r>
          </w:p>
        </w:tc>
      </w:tr>
      <w:tr w:rsidR="004F0552" w:rsidRPr="00034E9B" w14:paraId="272FED64" w14:textId="77777777" w:rsidTr="00C01414">
        <w:tc>
          <w:tcPr>
            <w:tcW w:w="1658" w:type="pct"/>
          </w:tcPr>
          <w:p w14:paraId="56AF920E" w14:textId="5663A1C8" w:rsidR="004F0552" w:rsidRPr="00034E9B" w:rsidRDefault="004F0552" w:rsidP="004F0552">
            <w:pPr>
              <w:pStyle w:val="CGCTablerow"/>
            </w:pPr>
            <w:r w:rsidRPr="00034E9B">
              <w:t>Assess natural disaster relief expenses EPC</w:t>
            </w:r>
          </w:p>
        </w:tc>
        <w:tc>
          <w:tcPr>
            <w:tcW w:w="516" w:type="pct"/>
          </w:tcPr>
          <w:p w14:paraId="28830C23" w14:textId="57663BFF" w:rsidR="004F0552" w:rsidRPr="00034E9B" w:rsidRDefault="004F0552" w:rsidP="004F0552">
            <w:pPr>
              <w:pStyle w:val="CGCTablerow"/>
            </w:pPr>
            <w:r w:rsidRPr="00034E9B">
              <w:t>Vic</w:t>
            </w:r>
          </w:p>
        </w:tc>
        <w:tc>
          <w:tcPr>
            <w:tcW w:w="475" w:type="pct"/>
          </w:tcPr>
          <w:p w14:paraId="46756784" w14:textId="2F01BB71" w:rsidR="004F0552" w:rsidRPr="00034E9B" w:rsidRDefault="004F0552" w:rsidP="004F0552">
            <w:pPr>
              <w:pStyle w:val="CGCTablerow"/>
            </w:pPr>
            <w:r w:rsidRPr="00034E9B">
              <w:t>No</w:t>
            </w:r>
          </w:p>
        </w:tc>
        <w:tc>
          <w:tcPr>
            <w:tcW w:w="2351" w:type="pct"/>
          </w:tcPr>
          <w:p w14:paraId="211113C3" w14:textId="1360CB6B" w:rsidR="004F0552" w:rsidRPr="00034E9B" w:rsidRDefault="004F0552" w:rsidP="004F0552">
            <w:pPr>
              <w:pStyle w:val="CGCTablerow"/>
            </w:pPr>
            <w:r w:rsidRPr="00034E9B">
              <w:t>Insurance and mitigation measures considered to be sufficiently consistent between States for an APC assessment due to the common national framework.</w:t>
            </w:r>
          </w:p>
        </w:tc>
      </w:tr>
      <w:tr w:rsidR="004F0552" w:rsidRPr="00034E9B" w14:paraId="4F297053" w14:textId="77777777" w:rsidTr="00C01414">
        <w:tc>
          <w:tcPr>
            <w:tcW w:w="1658" w:type="pct"/>
            <w:shd w:val="clear" w:color="auto" w:fill="B6D5E4"/>
          </w:tcPr>
          <w:p w14:paraId="74B2EF17" w14:textId="5D5EB3D3" w:rsidR="004F0552" w:rsidRPr="00034E9B" w:rsidRDefault="004F0552" w:rsidP="00E94F6C">
            <w:pPr>
              <w:pStyle w:val="CGCTablesubhead1"/>
              <w:rPr>
                <w:lang w:val="en-AU"/>
              </w:rPr>
            </w:pPr>
            <w:r w:rsidRPr="00034E9B">
              <w:rPr>
                <w:lang w:val="en-AU"/>
              </w:rPr>
              <w:t>Investment</w:t>
            </w:r>
          </w:p>
        </w:tc>
        <w:tc>
          <w:tcPr>
            <w:tcW w:w="516" w:type="pct"/>
            <w:shd w:val="clear" w:color="auto" w:fill="B6D5E4"/>
            <w:vAlign w:val="bottom"/>
          </w:tcPr>
          <w:p w14:paraId="0F8B366D" w14:textId="77777777" w:rsidR="004F0552" w:rsidRPr="00034E9B" w:rsidRDefault="004F0552" w:rsidP="004F0552">
            <w:pPr>
              <w:pStyle w:val="CGCTablesubhead1"/>
              <w:rPr>
                <w:lang w:val="en-AU"/>
              </w:rPr>
            </w:pPr>
          </w:p>
        </w:tc>
        <w:tc>
          <w:tcPr>
            <w:tcW w:w="475" w:type="pct"/>
            <w:shd w:val="clear" w:color="auto" w:fill="B6D5E4"/>
            <w:vAlign w:val="bottom"/>
          </w:tcPr>
          <w:p w14:paraId="6AB3AAD1" w14:textId="77777777" w:rsidR="004F0552" w:rsidRPr="00034E9B" w:rsidRDefault="004F0552" w:rsidP="004F0552">
            <w:pPr>
              <w:pStyle w:val="CGCTablesubhead1"/>
              <w:rPr>
                <w:lang w:val="en-AU"/>
              </w:rPr>
            </w:pPr>
          </w:p>
        </w:tc>
        <w:tc>
          <w:tcPr>
            <w:tcW w:w="2351" w:type="pct"/>
            <w:shd w:val="clear" w:color="auto" w:fill="B6D5E4"/>
            <w:vAlign w:val="bottom"/>
          </w:tcPr>
          <w:p w14:paraId="09AD0F1D" w14:textId="77777777" w:rsidR="004F0552" w:rsidRPr="00034E9B" w:rsidRDefault="004F0552" w:rsidP="004F0552">
            <w:pPr>
              <w:pStyle w:val="CGCTablesubhead1"/>
              <w:rPr>
                <w:lang w:val="en-AU"/>
              </w:rPr>
            </w:pPr>
          </w:p>
        </w:tc>
      </w:tr>
      <w:tr w:rsidR="004F0552" w:rsidRPr="00034E9B" w14:paraId="48CB851F" w14:textId="77777777" w:rsidTr="00C01414">
        <w:tc>
          <w:tcPr>
            <w:tcW w:w="1658" w:type="pct"/>
          </w:tcPr>
          <w:p w14:paraId="03C7011D" w14:textId="07C31ACE" w:rsidR="004F0552" w:rsidRPr="00034E9B" w:rsidRDefault="00910A0B" w:rsidP="004F0552">
            <w:pPr>
              <w:pStyle w:val="CGCTablerow"/>
            </w:pPr>
            <w:r>
              <w:t xml:space="preserve">Assess a </w:t>
            </w:r>
            <w:r w:rsidR="003C4512">
              <w:t>p</w:t>
            </w:r>
            <w:r w:rsidR="004F0552" w:rsidRPr="00066FAD">
              <w:t>hysical environment</w:t>
            </w:r>
            <w:r w:rsidR="003C4512">
              <w:t xml:space="preserve"> disability</w:t>
            </w:r>
          </w:p>
        </w:tc>
        <w:tc>
          <w:tcPr>
            <w:tcW w:w="516" w:type="pct"/>
          </w:tcPr>
          <w:p w14:paraId="04826AAA" w14:textId="1BD098F4" w:rsidR="004F0552" w:rsidRPr="00034E9B" w:rsidRDefault="004F0552" w:rsidP="004F0552">
            <w:pPr>
              <w:pStyle w:val="CGCTablerow"/>
            </w:pPr>
            <w:r w:rsidRPr="00034E9B">
              <w:t>NT</w:t>
            </w:r>
          </w:p>
        </w:tc>
        <w:tc>
          <w:tcPr>
            <w:tcW w:w="475" w:type="pct"/>
          </w:tcPr>
          <w:p w14:paraId="1A42A6EB" w14:textId="0DC03D89" w:rsidR="004F0552" w:rsidRPr="00034E9B" w:rsidRDefault="004F0552" w:rsidP="004F0552">
            <w:pPr>
              <w:pStyle w:val="CGCTablerow"/>
            </w:pPr>
            <w:r w:rsidRPr="00034E9B">
              <w:t>No</w:t>
            </w:r>
          </w:p>
        </w:tc>
        <w:tc>
          <w:tcPr>
            <w:tcW w:w="2351" w:type="pct"/>
          </w:tcPr>
          <w:p w14:paraId="0A0A50D4" w14:textId="221448DA" w:rsidR="004F0552" w:rsidRPr="00034E9B" w:rsidRDefault="004F0552" w:rsidP="004F0552">
            <w:pPr>
              <w:pStyle w:val="CGCTablerow"/>
            </w:pPr>
            <w:r w:rsidRPr="00034E9B">
              <w:t>Current capital cost measure captures some influences. It is not possible, with the data available, to further refine the assessment.</w:t>
            </w:r>
          </w:p>
        </w:tc>
      </w:tr>
      <w:tr w:rsidR="004F0552" w:rsidRPr="00034E9B" w14:paraId="43B016DD" w14:textId="77777777" w:rsidTr="00C01414">
        <w:tc>
          <w:tcPr>
            <w:tcW w:w="1658" w:type="pct"/>
          </w:tcPr>
          <w:p w14:paraId="42BEC144" w14:textId="06F5A2CC" w:rsidR="004F0552" w:rsidRPr="00034E9B" w:rsidRDefault="00F419E0" w:rsidP="004F0552">
            <w:pPr>
              <w:pStyle w:val="CGCTablerow"/>
            </w:pPr>
            <w:r>
              <w:t>Recognise v</w:t>
            </w:r>
            <w:r w:rsidR="004F0552" w:rsidRPr="00066FAD">
              <w:t>olatility</w:t>
            </w:r>
            <w:r w:rsidR="004F0552" w:rsidRPr="00034E9B">
              <w:t xml:space="preserve"> of population growth</w:t>
            </w:r>
          </w:p>
        </w:tc>
        <w:tc>
          <w:tcPr>
            <w:tcW w:w="516" w:type="pct"/>
          </w:tcPr>
          <w:p w14:paraId="2B0920BA" w14:textId="5B277B27" w:rsidR="004F0552" w:rsidRPr="00034E9B" w:rsidRDefault="004F0552" w:rsidP="004F0552">
            <w:pPr>
              <w:pStyle w:val="CGCTablerow"/>
            </w:pPr>
            <w:r w:rsidRPr="00034E9B">
              <w:t>WA</w:t>
            </w:r>
          </w:p>
        </w:tc>
        <w:tc>
          <w:tcPr>
            <w:tcW w:w="475" w:type="pct"/>
          </w:tcPr>
          <w:p w14:paraId="18393CF0" w14:textId="34E711D4" w:rsidR="004F0552" w:rsidRPr="00034E9B" w:rsidRDefault="004F0552" w:rsidP="004F0552">
            <w:pPr>
              <w:pStyle w:val="CGCTablerow"/>
            </w:pPr>
            <w:r w:rsidRPr="00034E9B">
              <w:t>No</w:t>
            </w:r>
          </w:p>
        </w:tc>
        <w:tc>
          <w:tcPr>
            <w:tcW w:w="2351" w:type="pct"/>
          </w:tcPr>
          <w:p w14:paraId="66E393F5" w14:textId="6A09DFA4" w:rsidR="004F0552" w:rsidRPr="00034E9B" w:rsidRDefault="004F0552" w:rsidP="004F0552">
            <w:pPr>
              <w:pStyle w:val="CGCTablerow"/>
            </w:pPr>
            <w:r w:rsidRPr="00034E9B">
              <w:t>The conceptual case is weak, a reliable assessment cannot be produced. Any assessment is likely to be immaterial.</w:t>
            </w:r>
          </w:p>
        </w:tc>
      </w:tr>
      <w:tr w:rsidR="004F0552" w:rsidRPr="00034E9B" w14:paraId="23773B3E" w14:textId="77777777" w:rsidTr="00C01414">
        <w:tc>
          <w:tcPr>
            <w:tcW w:w="1658" w:type="pct"/>
          </w:tcPr>
          <w:p w14:paraId="5569F599" w14:textId="5B6EF188" w:rsidR="004F0552" w:rsidRPr="00034E9B" w:rsidRDefault="00F27FDB" w:rsidP="004F0552">
            <w:pPr>
              <w:pStyle w:val="CGCTablerow"/>
            </w:pPr>
            <w:r>
              <w:t xml:space="preserve">Recognise the </w:t>
            </w:r>
            <w:r w:rsidR="00CE0EF3">
              <w:t>c</w:t>
            </w:r>
            <w:r w:rsidR="004F0552" w:rsidRPr="00066FAD">
              <w:t>ost</w:t>
            </w:r>
            <w:r w:rsidR="008C6E18">
              <w:t>s</w:t>
            </w:r>
            <w:r w:rsidR="004F0552" w:rsidRPr="00034E9B">
              <w:t xml:space="preserve"> of construction on Indigenous owned/managed land</w:t>
            </w:r>
          </w:p>
        </w:tc>
        <w:tc>
          <w:tcPr>
            <w:tcW w:w="516" w:type="pct"/>
          </w:tcPr>
          <w:p w14:paraId="5CFFDC33" w14:textId="438BBCF4" w:rsidR="004F0552" w:rsidRPr="00034E9B" w:rsidRDefault="004F0552" w:rsidP="004F0552">
            <w:pPr>
              <w:pStyle w:val="CGCTablerow"/>
            </w:pPr>
            <w:r w:rsidRPr="00034E9B">
              <w:t>NT</w:t>
            </w:r>
          </w:p>
        </w:tc>
        <w:tc>
          <w:tcPr>
            <w:tcW w:w="475" w:type="pct"/>
          </w:tcPr>
          <w:p w14:paraId="5EAF86C3" w14:textId="4A4867B9" w:rsidR="004F0552" w:rsidRPr="00034E9B" w:rsidRDefault="004F0552" w:rsidP="004F0552">
            <w:pPr>
              <w:pStyle w:val="CGCTablerow"/>
            </w:pPr>
            <w:r w:rsidRPr="00034E9B">
              <w:t>No</w:t>
            </w:r>
          </w:p>
        </w:tc>
        <w:tc>
          <w:tcPr>
            <w:tcW w:w="2351" w:type="pct"/>
          </w:tcPr>
          <w:p w14:paraId="0ED1D8CF" w14:textId="1F98B77D" w:rsidR="004F0552" w:rsidRPr="00034E9B" w:rsidRDefault="004F0552" w:rsidP="004F0552">
            <w:pPr>
              <w:pStyle w:val="CGCTablerow"/>
            </w:pPr>
            <w:r w:rsidRPr="00034E9B">
              <w:t>Data are not available.</w:t>
            </w:r>
          </w:p>
        </w:tc>
      </w:tr>
      <w:tr w:rsidR="004F0552" w:rsidRPr="00034E9B" w14:paraId="1D5BEAFA" w14:textId="77777777" w:rsidTr="00C01414">
        <w:tc>
          <w:tcPr>
            <w:tcW w:w="1658" w:type="pct"/>
          </w:tcPr>
          <w:p w14:paraId="30287C49" w14:textId="06BCBA8E" w:rsidR="004F0552" w:rsidRPr="00034E9B" w:rsidRDefault="008C6E18" w:rsidP="004F0552">
            <w:pPr>
              <w:pStyle w:val="CGCTablerow"/>
            </w:pPr>
            <w:r>
              <w:t xml:space="preserve">Recognise differential </w:t>
            </w:r>
            <w:r w:rsidR="00470B31">
              <w:t>a</w:t>
            </w:r>
            <w:r w:rsidR="004F0552" w:rsidRPr="00066FAD">
              <w:t>bility to attract PPPs</w:t>
            </w:r>
          </w:p>
        </w:tc>
        <w:tc>
          <w:tcPr>
            <w:tcW w:w="516" w:type="pct"/>
          </w:tcPr>
          <w:p w14:paraId="1C34D04B" w14:textId="5292500A" w:rsidR="004F0552" w:rsidRPr="00034E9B" w:rsidRDefault="004F0552" w:rsidP="004F0552">
            <w:pPr>
              <w:pStyle w:val="CGCTablerow"/>
            </w:pPr>
            <w:r w:rsidRPr="00034E9B">
              <w:t>TAS, ACT</w:t>
            </w:r>
          </w:p>
        </w:tc>
        <w:tc>
          <w:tcPr>
            <w:tcW w:w="475" w:type="pct"/>
          </w:tcPr>
          <w:p w14:paraId="31278392" w14:textId="1A063DEF" w:rsidR="004F0552" w:rsidRPr="00034E9B" w:rsidRDefault="004F0552" w:rsidP="004F0552">
            <w:pPr>
              <w:pStyle w:val="CGCTablerow"/>
            </w:pPr>
            <w:r w:rsidRPr="00034E9B">
              <w:t>No</w:t>
            </w:r>
          </w:p>
        </w:tc>
        <w:tc>
          <w:tcPr>
            <w:tcW w:w="2351" w:type="pct"/>
          </w:tcPr>
          <w:p w14:paraId="53EF45F7" w14:textId="3E80FAA7" w:rsidR="004F0552" w:rsidRPr="00034E9B" w:rsidRDefault="004F0552" w:rsidP="004F0552">
            <w:pPr>
              <w:pStyle w:val="CGCTablerow"/>
            </w:pPr>
            <w:r w:rsidRPr="00034E9B">
              <w:t>Unlikely to be material.</w:t>
            </w:r>
          </w:p>
        </w:tc>
      </w:tr>
      <w:tr w:rsidR="004F0552" w:rsidRPr="00034E9B" w14:paraId="34BA7EA9" w14:textId="77777777" w:rsidTr="00C01414">
        <w:tc>
          <w:tcPr>
            <w:tcW w:w="1658" w:type="pct"/>
          </w:tcPr>
          <w:p w14:paraId="6A522EEB" w14:textId="584DA8A3" w:rsidR="004F0552" w:rsidRPr="00034E9B" w:rsidRDefault="009A60A8" w:rsidP="004F0552">
            <w:pPr>
              <w:pStyle w:val="CGCTablerow"/>
            </w:pPr>
            <w:r>
              <w:t>Recognise h</w:t>
            </w:r>
            <w:r w:rsidR="004F0552" w:rsidRPr="00066FAD">
              <w:t>igher</w:t>
            </w:r>
            <w:r w:rsidR="004F0552" w:rsidRPr="00034E9B">
              <w:t xml:space="preserve"> land costs in urban areas</w:t>
            </w:r>
          </w:p>
        </w:tc>
        <w:tc>
          <w:tcPr>
            <w:tcW w:w="516" w:type="pct"/>
          </w:tcPr>
          <w:p w14:paraId="6DDECCC1" w14:textId="4C8D896E" w:rsidR="004F0552" w:rsidRPr="00034E9B" w:rsidRDefault="004F0552" w:rsidP="004F0552">
            <w:pPr>
              <w:pStyle w:val="CGCTablerow"/>
            </w:pPr>
            <w:r w:rsidRPr="00034E9B">
              <w:t>NSW, Vic</w:t>
            </w:r>
          </w:p>
        </w:tc>
        <w:tc>
          <w:tcPr>
            <w:tcW w:w="475" w:type="pct"/>
          </w:tcPr>
          <w:p w14:paraId="1761EAB9" w14:textId="1DF0D095" w:rsidR="004F0552" w:rsidRPr="00034E9B" w:rsidRDefault="004F0552" w:rsidP="004F0552">
            <w:pPr>
              <w:pStyle w:val="CGCTablerow"/>
            </w:pPr>
            <w:r w:rsidRPr="00034E9B">
              <w:t>No</w:t>
            </w:r>
          </w:p>
        </w:tc>
        <w:tc>
          <w:tcPr>
            <w:tcW w:w="2351" w:type="pct"/>
          </w:tcPr>
          <w:p w14:paraId="2276702F" w14:textId="25516992" w:rsidR="004F0552" w:rsidRPr="00034E9B" w:rsidRDefault="004F0552" w:rsidP="004F0552">
            <w:pPr>
              <w:pStyle w:val="CGCTablerow"/>
            </w:pPr>
            <w:r w:rsidRPr="00034E9B">
              <w:t>Unlikely to be material.</w:t>
            </w:r>
          </w:p>
        </w:tc>
      </w:tr>
      <w:tr w:rsidR="004F0552" w:rsidRPr="00034E9B" w14:paraId="55DC0A6C" w14:textId="77777777" w:rsidTr="00C01414">
        <w:tc>
          <w:tcPr>
            <w:tcW w:w="1658" w:type="pct"/>
          </w:tcPr>
          <w:p w14:paraId="7199ED16" w14:textId="71A377C2" w:rsidR="004F0552" w:rsidRPr="00034E9B" w:rsidRDefault="009A60A8" w:rsidP="004F0552">
            <w:pPr>
              <w:pStyle w:val="CGCTablerow"/>
            </w:pPr>
            <w:r>
              <w:t>Retain a s</w:t>
            </w:r>
            <w:r w:rsidR="004F0552" w:rsidRPr="00066FAD">
              <w:t>eparate</w:t>
            </w:r>
            <w:r w:rsidR="004F0552" w:rsidRPr="00034E9B">
              <w:t xml:space="preserve"> depreciation assessment</w:t>
            </w:r>
          </w:p>
        </w:tc>
        <w:tc>
          <w:tcPr>
            <w:tcW w:w="516" w:type="pct"/>
          </w:tcPr>
          <w:p w14:paraId="39296113" w14:textId="3A40E95F" w:rsidR="004F0552" w:rsidRPr="00034E9B" w:rsidRDefault="004F0552" w:rsidP="004F0552">
            <w:pPr>
              <w:pStyle w:val="CGCTablerow"/>
            </w:pPr>
            <w:r w:rsidRPr="00034E9B">
              <w:t>WA, TAS, NT</w:t>
            </w:r>
          </w:p>
        </w:tc>
        <w:tc>
          <w:tcPr>
            <w:tcW w:w="475" w:type="pct"/>
          </w:tcPr>
          <w:p w14:paraId="037DE7F4" w14:textId="7A61EFA8" w:rsidR="004F0552" w:rsidRPr="00034E9B" w:rsidRDefault="004F0552" w:rsidP="004F0552">
            <w:pPr>
              <w:pStyle w:val="CGCTablerow"/>
            </w:pPr>
            <w:r w:rsidRPr="00034E9B">
              <w:t>No</w:t>
            </w:r>
          </w:p>
        </w:tc>
        <w:tc>
          <w:tcPr>
            <w:tcW w:w="2351" w:type="pct"/>
          </w:tcPr>
          <w:p w14:paraId="10382B26" w14:textId="55AF69ED" w:rsidR="004F0552" w:rsidRPr="00034E9B" w:rsidRDefault="004F0552" w:rsidP="004F0552">
            <w:pPr>
              <w:pStyle w:val="CGCTablerow"/>
            </w:pPr>
            <w:r w:rsidRPr="00034E9B">
              <w:t>More transparent to assess depreciation with investment in a gross assessment.</w:t>
            </w:r>
          </w:p>
        </w:tc>
      </w:tr>
      <w:tr w:rsidR="004F0552" w:rsidRPr="00034E9B" w14:paraId="3D28A3E1" w14:textId="77777777" w:rsidTr="00C01414">
        <w:tc>
          <w:tcPr>
            <w:tcW w:w="1658" w:type="pct"/>
          </w:tcPr>
          <w:p w14:paraId="7588C538" w14:textId="484A9D4C" w:rsidR="004F0552" w:rsidRPr="00034E9B" w:rsidRDefault="004F0552" w:rsidP="004F0552">
            <w:pPr>
              <w:pStyle w:val="CGCTablerow"/>
            </w:pPr>
            <w:r w:rsidRPr="00034E9B">
              <w:t>Alter assessment for timing mismatches</w:t>
            </w:r>
          </w:p>
        </w:tc>
        <w:tc>
          <w:tcPr>
            <w:tcW w:w="516" w:type="pct"/>
          </w:tcPr>
          <w:p w14:paraId="1B02FC71" w14:textId="0997C303" w:rsidR="004F0552" w:rsidRPr="00034E9B" w:rsidRDefault="004F0552" w:rsidP="004F0552">
            <w:pPr>
              <w:pStyle w:val="CGCTablerow"/>
            </w:pPr>
            <w:r w:rsidRPr="00034E9B">
              <w:t>WA</w:t>
            </w:r>
          </w:p>
        </w:tc>
        <w:tc>
          <w:tcPr>
            <w:tcW w:w="475" w:type="pct"/>
          </w:tcPr>
          <w:p w14:paraId="5C9B41B5" w14:textId="70E08A09" w:rsidR="004F0552" w:rsidRPr="00034E9B" w:rsidRDefault="004F0552" w:rsidP="004F0552">
            <w:pPr>
              <w:pStyle w:val="CGCTablerow"/>
            </w:pPr>
            <w:r w:rsidRPr="00034E9B">
              <w:t>No</w:t>
            </w:r>
          </w:p>
        </w:tc>
        <w:tc>
          <w:tcPr>
            <w:tcW w:w="2351" w:type="pct"/>
          </w:tcPr>
          <w:p w14:paraId="4B34A19B" w14:textId="6DBC5710" w:rsidR="004F0552" w:rsidRPr="00034E9B" w:rsidRDefault="004F0552" w:rsidP="004F0552">
            <w:pPr>
              <w:pStyle w:val="CGCTablerow"/>
            </w:pPr>
            <w:r w:rsidRPr="00034E9B">
              <w:t xml:space="preserve">The Commission considers that the assessment captures pressures on State budgets as accurately and consistently as possible. </w:t>
            </w:r>
          </w:p>
        </w:tc>
      </w:tr>
      <w:tr w:rsidR="00281FD4" w:rsidRPr="00560781" w14:paraId="34123F41" w14:textId="77777777" w:rsidTr="00C01414">
        <w:tc>
          <w:tcPr>
            <w:tcW w:w="1658" w:type="pct"/>
          </w:tcPr>
          <w:p w14:paraId="32314E8F" w14:textId="7C2C425F" w:rsidR="00281FD4" w:rsidRPr="00066FAD" w:rsidRDefault="001859B9" w:rsidP="004F0552">
            <w:pPr>
              <w:pStyle w:val="CGCTablerow"/>
            </w:pPr>
            <w:r>
              <w:t xml:space="preserve">Not include </w:t>
            </w:r>
            <w:r w:rsidR="009A632D">
              <w:t xml:space="preserve">wage costs </w:t>
            </w:r>
            <w:r w:rsidR="00C63E11">
              <w:t>in the blended</w:t>
            </w:r>
            <w:r w:rsidR="009A72C4">
              <w:t xml:space="preserve"> </w:t>
            </w:r>
            <w:r w:rsidR="00357C04">
              <w:t>construction cost fac</w:t>
            </w:r>
            <w:r w:rsidR="0046388B">
              <w:t>t</w:t>
            </w:r>
            <w:r w:rsidR="00357C04">
              <w:t>or</w:t>
            </w:r>
          </w:p>
        </w:tc>
        <w:tc>
          <w:tcPr>
            <w:tcW w:w="516" w:type="pct"/>
          </w:tcPr>
          <w:p w14:paraId="289F85AA" w14:textId="6732AA73" w:rsidR="00281FD4" w:rsidRPr="00066FAD" w:rsidRDefault="0046388B" w:rsidP="004F0552">
            <w:pPr>
              <w:pStyle w:val="CGCTablerow"/>
            </w:pPr>
            <w:r>
              <w:t>WA</w:t>
            </w:r>
          </w:p>
        </w:tc>
        <w:tc>
          <w:tcPr>
            <w:tcW w:w="475" w:type="pct"/>
          </w:tcPr>
          <w:p w14:paraId="0AD789B3" w14:textId="362538C3" w:rsidR="00281FD4" w:rsidRPr="00066FAD" w:rsidRDefault="0046388B" w:rsidP="004F0552">
            <w:pPr>
              <w:pStyle w:val="CGCTablerow"/>
            </w:pPr>
            <w:r>
              <w:t>No</w:t>
            </w:r>
          </w:p>
        </w:tc>
        <w:tc>
          <w:tcPr>
            <w:tcW w:w="2351" w:type="pct"/>
          </w:tcPr>
          <w:p w14:paraId="09CA61AF" w14:textId="19494C4D" w:rsidR="00281FD4" w:rsidRPr="00066FAD" w:rsidRDefault="00B67A04" w:rsidP="004F0552">
            <w:pPr>
              <w:pStyle w:val="CGCTablerow"/>
            </w:pPr>
            <w:r>
              <w:t>Rawlinsons’ does not recognise all public sector road and transport type costs</w:t>
            </w:r>
            <w:r w:rsidR="00D00E70">
              <w:t>.</w:t>
            </w:r>
          </w:p>
        </w:tc>
      </w:tr>
      <w:tr w:rsidR="004F0552" w:rsidRPr="00034E9B" w14:paraId="483393CB" w14:textId="77777777" w:rsidTr="00C01414">
        <w:tc>
          <w:tcPr>
            <w:tcW w:w="1658" w:type="pct"/>
          </w:tcPr>
          <w:p w14:paraId="5B23D025" w14:textId="540AA90C" w:rsidR="004F0552" w:rsidRPr="00034E9B" w:rsidRDefault="004F0552" w:rsidP="004F0552">
            <w:pPr>
              <w:pStyle w:val="CGCTablerow"/>
            </w:pPr>
            <w:r w:rsidRPr="00034E9B">
              <w:t>Not assess negative investment</w:t>
            </w:r>
          </w:p>
        </w:tc>
        <w:tc>
          <w:tcPr>
            <w:tcW w:w="516" w:type="pct"/>
          </w:tcPr>
          <w:p w14:paraId="07F4FA61" w14:textId="10CF16F1" w:rsidR="004F0552" w:rsidRPr="00034E9B" w:rsidRDefault="004F0552" w:rsidP="004F0552">
            <w:pPr>
              <w:pStyle w:val="CGCTablerow"/>
            </w:pPr>
            <w:r w:rsidRPr="00034E9B">
              <w:t>NT</w:t>
            </w:r>
          </w:p>
        </w:tc>
        <w:tc>
          <w:tcPr>
            <w:tcW w:w="475" w:type="pct"/>
          </w:tcPr>
          <w:p w14:paraId="5C361408" w14:textId="39CB9B0B" w:rsidR="004F0552" w:rsidRPr="00034E9B" w:rsidRDefault="004F0552" w:rsidP="004F0552">
            <w:pPr>
              <w:pStyle w:val="CGCTablerow"/>
            </w:pPr>
            <w:r w:rsidRPr="00034E9B">
              <w:t>Partially</w:t>
            </w:r>
          </w:p>
        </w:tc>
        <w:tc>
          <w:tcPr>
            <w:tcW w:w="2351" w:type="pct"/>
          </w:tcPr>
          <w:p w14:paraId="21AB6AF9" w14:textId="6E7CAF11" w:rsidR="004F0552" w:rsidRPr="00034E9B" w:rsidRDefault="004F0552" w:rsidP="004F0552">
            <w:pPr>
              <w:pStyle w:val="CGCTablerow"/>
            </w:pPr>
            <w:r w:rsidRPr="00034E9B">
              <w:t>Assessed negative investment reflects pressures on State governments with slow population growth and relatively low investment. The construction cost weight on such investment has been removed.</w:t>
            </w:r>
          </w:p>
        </w:tc>
      </w:tr>
      <w:tr w:rsidR="004F0552" w:rsidRPr="00034E9B" w14:paraId="714FA4E3" w14:textId="77777777" w:rsidTr="00C01414">
        <w:tc>
          <w:tcPr>
            <w:tcW w:w="1658" w:type="pct"/>
          </w:tcPr>
          <w:p w14:paraId="7DB9BB91" w14:textId="19268614" w:rsidR="004F0552" w:rsidRPr="00034E9B" w:rsidRDefault="004F0552" w:rsidP="004F0552">
            <w:pPr>
              <w:pStyle w:val="CGCTablerow"/>
            </w:pPr>
            <w:r w:rsidRPr="00034E9B">
              <w:t>Not include intercensal discrepancy as population growth</w:t>
            </w:r>
          </w:p>
        </w:tc>
        <w:tc>
          <w:tcPr>
            <w:tcW w:w="516" w:type="pct"/>
          </w:tcPr>
          <w:p w14:paraId="595DAE4C" w14:textId="4373A55B" w:rsidR="004F0552" w:rsidRPr="00034E9B" w:rsidRDefault="004F0552" w:rsidP="004F0552">
            <w:pPr>
              <w:pStyle w:val="CGCTablerow"/>
            </w:pPr>
            <w:r w:rsidRPr="00034E9B">
              <w:t>WA</w:t>
            </w:r>
            <w:r w:rsidR="001611F6">
              <w:t xml:space="preserve">, </w:t>
            </w:r>
            <w:r w:rsidRPr="00034E9B">
              <w:t>NT</w:t>
            </w:r>
          </w:p>
        </w:tc>
        <w:tc>
          <w:tcPr>
            <w:tcW w:w="475" w:type="pct"/>
          </w:tcPr>
          <w:p w14:paraId="79F486ED" w14:textId="3EF1F020" w:rsidR="004F0552" w:rsidRPr="00034E9B" w:rsidRDefault="004F0552" w:rsidP="004F0552">
            <w:pPr>
              <w:pStyle w:val="CGCTablerow"/>
            </w:pPr>
            <w:r w:rsidRPr="00034E9B">
              <w:t>No</w:t>
            </w:r>
          </w:p>
        </w:tc>
        <w:tc>
          <w:tcPr>
            <w:tcW w:w="2351" w:type="pct"/>
          </w:tcPr>
          <w:p w14:paraId="34E932D3" w14:textId="26C6C373" w:rsidR="004F0552" w:rsidRPr="00034E9B" w:rsidRDefault="004F0552" w:rsidP="004F0552">
            <w:pPr>
              <w:pStyle w:val="CGCTablerow"/>
            </w:pPr>
            <w:r w:rsidRPr="00034E9B">
              <w:t xml:space="preserve">Western Australia does not consider the Commission should bind future Commissions to a treatment of intercensal discrepancy. The Commission is describing its method for updating assessments. If unforeseen circumstances demand a departure from this method, that would be considered in the appropriate update. </w:t>
            </w:r>
          </w:p>
        </w:tc>
      </w:tr>
      <w:tr w:rsidR="004F0552" w:rsidRPr="00034E9B" w14:paraId="426EE911" w14:textId="77777777" w:rsidTr="00C01414">
        <w:tc>
          <w:tcPr>
            <w:tcW w:w="1658" w:type="pct"/>
            <w:shd w:val="clear" w:color="auto" w:fill="B6D5E4"/>
          </w:tcPr>
          <w:p w14:paraId="1775894F" w14:textId="1875A3BD" w:rsidR="004F0552" w:rsidRPr="00034E9B" w:rsidRDefault="004F0552" w:rsidP="004F0552">
            <w:pPr>
              <w:pStyle w:val="CGCTablesubhead1"/>
              <w:rPr>
                <w:lang w:val="en-AU"/>
              </w:rPr>
            </w:pPr>
            <w:r w:rsidRPr="00034E9B">
              <w:rPr>
                <w:lang w:val="en-AU"/>
              </w:rPr>
              <w:t>Net borrowing</w:t>
            </w:r>
          </w:p>
        </w:tc>
        <w:tc>
          <w:tcPr>
            <w:tcW w:w="516" w:type="pct"/>
            <w:shd w:val="clear" w:color="auto" w:fill="B6D5E4"/>
          </w:tcPr>
          <w:p w14:paraId="13216475" w14:textId="77777777" w:rsidR="004F0552" w:rsidRPr="00034E9B" w:rsidRDefault="004F0552" w:rsidP="004F0552">
            <w:pPr>
              <w:pStyle w:val="CGCTablesubhead1"/>
              <w:rPr>
                <w:lang w:val="en-AU"/>
              </w:rPr>
            </w:pPr>
          </w:p>
        </w:tc>
        <w:tc>
          <w:tcPr>
            <w:tcW w:w="475" w:type="pct"/>
            <w:shd w:val="clear" w:color="auto" w:fill="B6D5E4"/>
          </w:tcPr>
          <w:p w14:paraId="03179E4C" w14:textId="77777777" w:rsidR="004F0552" w:rsidRPr="00034E9B" w:rsidRDefault="004F0552" w:rsidP="004F0552">
            <w:pPr>
              <w:pStyle w:val="CGCTablesubhead1"/>
              <w:rPr>
                <w:lang w:val="en-AU"/>
              </w:rPr>
            </w:pPr>
          </w:p>
        </w:tc>
        <w:tc>
          <w:tcPr>
            <w:tcW w:w="2351" w:type="pct"/>
            <w:shd w:val="clear" w:color="auto" w:fill="B6D5E4"/>
          </w:tcPr>
          <w:p w14:paraId="3C206928" w14:textId="77777777" w:rsidR="004F0552" w:rsidRPr="00034E9B" w:rsidRDefault="004F0552" w:rsidP="004F0552">
            <w:pPr>
              <w:pStyle w:val="CGCTablesubhead1"/>
              <w:rPr>
                <w:lang w:val="en-AU"/>
              </w:rPr>
            </w:pPr>
          </w:p>
        </w:tc>
      </w:tr>
      <w:tr w:rsidR="004F0552" w:rsidRPr="00034E9B" w14:paraId="0461BC98" w14:textId="77777777" w:rsidTr="00C01414">
        <w:tc>
          <w:tcPr>
            <w:tcW w:w="1658" w:type="pct"/>
          </w:tcPr>
          <w:p w14:paraId="33F0113C" w14:textId="3BA24D1A" w:rsidR="004F0552" w:rsidRPr="00034E9B" w:rsidRDefault="004F0552" w:rsidP="004F0552">
            <w:pPr>
              <w:pStyle w:val="CGCTablerow"/>
            </w:pPr>
            <w:r w:rsidRPr="00034E9B">
              <w:t>EPC assessment</w:t>
            </w:r>
          </w:p>
        </w:tc>
        <w:tc>
          <w:tcPr>
            <w:tcW w:w="516" w:type="pct"/>
          </w:tcPr>
          <w:p w14:paraId="1BD1FF65" w14:textId="0392686C" w:rsidR="004F0552" w:rsidRPr="00034E9B" w:rsidRDefault="004F0552" w:rsidP="004F0552">
            <w:pPr>
              <w:pStyle w:val="CGCTablerow"/>
            </w:pPr>
            <w:r w:rsidRPr="00034E9B">
              <w:t>Vic</w:t>
            </w:r>
          </w:p>
        </w:tc>
        <w:tc>
          <w:tcPr>
            <w:tcW w:w="475" w:type="pct"/>
          </w:tcPr>
          <w:p w14:paraId="623F7BF0" w14:textId="39CE66B9" w:rsidR="004F0552" w:rsidRPr="00034E9B" w:rsidRDefault="004F0552" w:rsidP="004F0552">
            <w:pPr>
              <w:pStyle w:val="CGCTablerow"/>
            </w:pPr>
            <w:r w:rsidRPr="00034E9B">
              <w:t>No</w:t>
            </w:r>
          </w:p>
        </w:tc>
        <w:tc>
          <w:tcPr>
            <w:tcW w:w="2351" w:type="pct"/>
          </w:tcPr>
          <w:p w14:paraId="38829382" w14:textId="5B6D6CE0" w:rsidR="004F0552" w:rsidRPr="00034E9B" w:rsidRDefault="004F0552" w:rsidP="004F0552">
            <w:pPr>
              <w:pStyle w:val="CGCTablerow"/>
            </w:pPr>
            <w:r w:rsidRPr="00034E9B">
              <w:t xml:space="preserve">States hold net financial assets on average and faster growing States have higher GST requirements. </w:t>
            </w:r>
          </w:p>
        </w:tc>
      </w:tr>
      <w:tr w:rsidR="004F0552" w:rsidRPr="00034E9B" w14:paraId="514D6116" w14:textId="77777777" w:rsidTr="00C01414">
        <w:tc>
          <w:tcPr>
            <w:tcW w:w="1658" w:type="pct"/>
            <w:shd w:val="clear" w:color="auto" w:fill="B6D5E4"/>
          </w:tcPr>
          <w:p w14:paraId="348CC8F2" w14:textId="092584DB" w:rsidR="004F0552" w:rsidRPr="00034E9B" w:rsidRDefault="004F0552" w:rsidP="004F0552">
            <w:pPr>
              <w:pStyle w:val="CGCTablesubhead1"/>
              <w:rPr>
                <w:lang w:val="en-AU"/>
              </w:rPr>
            </w:pPr>
            <w:r w:rsidRPr="00034E9B">
              <w:rPr>
                <w:lang w:val="en-AU"/>
              </w:rPr>
              <w:t>Administrative scale</w:t>
            </w:r>
          </w:p>
        </w:tc>
        <w:tc>
          <w:tcPr>
            <w:tcW w:w="516" w:type="pct"/>
            <w:shd w:val="clear" w:color="auto" w:fill="B6D5E4"/>
          </w:tcPr>
          <w:p w14:paraId="1805A875" w14:textId="77777777" w:rsidR="004F0552" w:rsidRPr="00034E9B" w:rsidRDefault="004F0552" w:rsidP="004F0552">
            <w:pPr>
              <w:pStyle w:val="CGCTablesubhead1"/>
              <w:rPr>
                <w:lang w:val="en-AU"/>
              </w:rPr>
            </w:pPr>
          </w:p>
        </w:tc>
        <w:tc>
          <w:tcPr>
            <w:tcW w:w="475" w:type="pct"/>
            <w:shd w:val="clear" w:color="auto" w:fill="B6D5E4"/>
          </w:tcPr>
          <w:p w14:paraId="2C1C615A" w14:textId="77777777" w:rsidR="004F0552" w:rsidRPr="00034E9B" w:rsidRDefault="004F0552" w:rsidP="004F0552">
            <w:pPr>
              <w:pStyle w:val="CGCTablesubhead1"/>
              <w:rPr>
                <w:lang w:val="en-AU"/>
              </w:rPr>
            </w:pPr>
          </w:p>
        </w:tc>
        <w:tc>
          <w:tcPr>
            <w:tcW w:w="2351" w:type="pct"/>
            <w:shd w:val="clear" w:color="auto" w:fill="B6D5E4"/>
          </w:tcPr>
          <w:p w14:paraId="57CF9329" w14:textId="77777777" w:rsidR="004F0552" w:rsidRPr="00034E9B" w:rsidRDefault="004F0552" w:rsidP="004F0552">
            <w:pPr>
              <w:pStyle w:val="CGCTablesubhead1"/>
              <w:rPr>
                <w:lang w:val="en-AU"/>
              </w:rPr>
            </w:pPr>
          </w:p>
        </w:tc>
      </w:tr>
      <w:tr w:rsidR="004F0552" w:rsidRPr="00034E9B" w14:paraId="51BCFFDA" w14:textId="77777777" w:rsidTr="00C01414">
        <w:tc>
          <w:tcPr>
            <w:tcW w:w="1658" w:type="pct"/>
          </w:tcPr>
          <w:p w14:paraId="209276FD" w14:textId="1AF8CC07" w:rsidR="004F0552" w:rsidRPr="00034E9B" w:rsidRDefault="004F0552" w:rsidP="004F0552">
            <w:pPr>
              <w:pStyle w:val="CGCTablerow"/>
            </w:pPr>
            <w:r w:rsidRPr="00034E9B">
              <w:t>Review the administrative scale cost estimates</w:t>
            </w:r>
          </w:p>
        </w:tc>
        <w:tc>
          <w:tcPr>
            <w:tcW w:w="516" w:type="pct"/>
          </w:tcPr>
          <w:p w14:paraId="2DEB9443" w14:textId="0C0FE001" w:rsidR="004F0552" w:rsidRPr="00034E9B" w:rsidRDefault="004F0552" w:rsidP="004F0552">
            <w:pPr>
              <w:pStyle w:val="CGCTablerow"/>
            </w:pPr>
            <w:r w:rsidRPr="00034E9B">
              <w:t>All States</w:t>
            </w:r>
          </w:p>
        </w:tc>
        <w:tc>
          <w:tcPr>
            <w:tcW w:w="475" w:type="pct"/>
          </w:tcPr>
          <w:p w14:paraId="41A3ABB3" w14:textId="2ABEDDEE" w:rsidR="004F0552" w:rsidRPr="00034E9B" w:rsidRDefault="004F0552" w:rsidP="004F0552">
            <w:pPr>
              <w:pStyle w:val="CGCTablerow"/>
            </w:pPr>
            <w:r w:rsidRPr="00034E9B">
              <w:t>Yes</w:t>
            </w:r>
          </w:p>
        </w:tc>
        <w:tc>
          <w:tcPr>
            <w:tcW w:w="2351" w:type="pct"/>
          </w:tcPr>
          <w:p w14:paraId="3EFED84E" w14:textId="68BE47DD" w:rsidR="004F0552" w:rsidRPr="00034E9B" w:rsidRDefault="004F0552" w:rsidP="004F0552">
            <w:pPr>
              <w:pStyle w:val="CGCTablerow"/>
            </w:pPr>
            <w:r w:rsidRPr="00034E9B">
              <w:t>The cost estimates had not been reviewed since the 2004</w:t>
            </w:r>
            <w:r w:rsidR="002F2C6E">
              <w:t> </w:t>
            </w:r>
            <w:r w:rsidRPr="00034E9B">
              <w:t>Review.</w:t>
            </w:r>
          </w:p>
        </w:tc>
      </w:tr>
    </w:tbl>
    <w:p w14:paraId="5AB02E07" w14:textId="6015F43D" w:rsidR="00593181" w:rsidRPr="00034E9B" w:rsidRDefault="00593181" w:rsidP="00593181">
      <w:pPr>
        <w:pStyle w:val="CGCTablenote"/>
      </w:pPr>
      <w:r w:rsidRPr="00034E9B">
        <w:t>Note:</w:t>
      </w:r>
      <w:r w:rsidRPr="00034E9B">
        <w:tab/>
        <w:t xml:space="preserve">Acronyms used in this table are spelt out in the </w:t>
      </w:r>
      <w:r w:rsidR="00AB0B9B">
        <w:t>list of acronyms at the beginning of this volume</w:t>
      </w:r>
      <w:r w:rsidRPr="00034E9B">
        <w:t>.</w:t>
      </w:r>
    </w:p>
    <w:p w14:paraId="33E2A899" w14:textId="77777777" w:rsidR="00593181" w:rsidRPr="00034E9B" w:rsidRDefault="00593181" w:rsidP="00593181">
      <w:pPr>
        <w:pStyle w:val="CGCTablenote"/>
      </w:pPr>
      <w:r w:rsidRPr="00034E9B">
        <w:t>Source:</w:t>
      </w:r>
      <w:r w:rsidRPr="00034E9B">
        <w:tab/>
        <w:t>Commission decisions.</w:t>
      </w:r>
    </w:p>
    <w:p w14:paraId="6D3C9DB9" w14:textId="7A23EA90" w:rsidR="00593181" w:rsidRPr="00034E9B" w:rsidRDefault="00593181" w:rsidP="00161EFB"/>
    <w:p w14:paraId="1EDCF8BD" w14:textId="77777777" w:rsidR="00593181" w:rsidRPr="00034E9B" w:rsidRDefault="00593181" w:rsidP="004C3D1C">
      <w:pPr>
        <w:pStyle w:val="Caption"/>
      </w:pPr>
      <w:r w:rsidRPr="00034E9B">
        <w:lastRenderedPageBreak/>
        <w:t>Table 1</w:t>
      </w:r>
      <w:r w:rsidRPr="00034E9B">
        <w:noBreakHyphen/>
        <w:t>5</w:t>
      </w:r>
      <w:r w:rsidRPr="00034E9B">
        <w:tab/>
        <w:t>Commission responses to State proposals, 2020 Review (continued)</w:t>
      </w:r>
    </w:p>
    <w:tbl>
      <w:tblPr>
        <w:tblW w:w="5147" w:type="pct"/>
        <w:tblBorders>
          <w:top w:val="single" w:sz="4" w:space="0" w:color="ADD6EA"/>
          <w:bottom w:val="single" w:sz="4" w:space="0" w:color="ADD6EA"/>
          <w:insideH w:val="single" w:sz="4" w:space="0" w:color="ADD6EA"/>
        </w:tblBorders>
        <w:tblCellMar>
          <w:left w:w="28" w:type="dxa"/>
          <w:right w:w="85" w:type="dxa"/>
        </w:tblCellMar>
        <w:tblLook w:val="0000" w:firstRow="0" w:lastRow="0" w:firstColumn="0" w:lastColumn="0" w:noHBand="0" w:noVBand="0"/>
      </w:tblPr>
      <w:tblGrid>
        <w:gridCol w:w="3094"/>
        <w:gridCol w:w="963"/>
        <w:gridCol w:w="886"/>
        <w:gridCol w:w="4387"/>
      </w:tblGrid>
      <w:tr w:rsidR="00B80F8D" w:rsidRPr="00034E9B" w14:paraId="1E3BCA7A" w14:textId="77777777" w:rsidTr="00C01414">
        <w:trPr>
          <w:trHeight w:val="284"/>
        </w:trPr>
        <w:tc>
          <w:tcPr>
            <w:tcW w:w="1658" w:type="pct"/>
            <w:shd w:val="clear" w:color="auto" w:fill="006991"/>
            <w:vAlign w:val="center"/>
          </w:tcPr>
          <w:p w14:paraId="1E3F234F" w14:textId="2103E112" w:rsidR="00B80F8D" w:rsidRPr="00034E9B" w:rsidRDefault="00B80F8D" w:rsidP="00E22BC2">
            <w:pPr>
              <w:pStyle w:val="CGCTableheader"/>
              <w:keepNext/>
              <w:keepLines/>
              <w:rPr>
                <w:lang w:val="en-AU"/>
              </w:rPr>
            </w:pPr>
            <w:r w:rsidRPr="00034E9B">
              <w:rPr>
                <w:lang w:val="en-AU"/>
              </w:rPr>
              <w:t>Proposal</w:t>
            </w:r>
          </w:p>
        </w:tc>
        <w:tc>
          <w:tcPr>
            <w:tcW w:w="516" w:type="pct"/>
            <w:shd w:val="clear" w:color="auto" w:fill="006991"/>
            <w:vAlign w:val="center"/>
          </w:tcPr>
          <w:p w14:paraId="773A4D76" w14:textId="65AF2B8C" w:rsidR="00B80F8D" w:rsidRPr="00034E9B" w:rsidRDefault="00B80F8D" w:rsidP="00E22BC2">
            <w:pPr>
              <w:pStyle w:val="CGCTableheader"/>
              <w:keepNext/>
              <w:keepLines/>
              <w:rPr>
                <w:lang w:val="en-AU"/>
              </w:rPr>
            </w:pPr>
            <w:r w:rsidRPr="00034E9B">
              <w:rPr>
                <w:lang w:val="en-AU"/>
              </w:rPr>
              <w:t>State</w:t>
            </w:r>
          </w:p>
        </w:tc>
        <w:tc>
          <w:tcPr>
            <w:tcW w:w="475" w:type="pct"/>
            <w:shd w:val="clear" w:color="auto" w:fill="006991"/>
            <w:vAlign w:val="center"/>
          </w:tcPr>
          <w:p w14:paraId="12BA97D0" w14:textId="3DF7403F" w:rsidR="00B80F8D" w:rsidRPr="00034E9B" w:rsidRDefault="00B80F8D" w:rsidP="00E22BC2">
            <w:pPr>
              <w:pStyle w:val="CGCTableheader"/>
              <w:keepNext/>
              <w:keepLines/>
              <w:rPr>
                <w:lang w:val="en-AU"/>
              </w:rPr>
            </w:pPr>
            <w:r w:rsidRPr="00034E9B">
              <w:rPr>
                <w:lang w:val="en-AU"/>
              </w:rPr>
              <w:t>Adopted</w:t>
            </w:r>
          </w:p>
        </w:tc>
        <w:tc>
          <w:tcPr>
            <w:tcW w:w="2351" w:type="pct"/>
            <w:shd w:val="clear" w:color="auto" w:fill="006991"/>
            <w:vAlign w:val="center"/>
          </w:tcPr>
          <w:p w14:paraId="1B5EC86D" w14:textId="32039A3A" w:rsidR="00B80F8D" w:rsidRPr="00034E9B" w:rsidRDefault="00B80F8D" w:rsidP="00E22BC2">
            <w:pPr>
              <w:pStyle w:val="CGCTableheader"/>
              <w:keepNext/>
              <w:keepLines/>
              <w:rPr>
                <w:lang w:val="en-AU"/>
              </w:rPr>
            </w:pPr>
            <w:r w:rsidRPr="00034E9B">
              <w:rPr>
                <w:lang w:val="en-AU"/>
              </w:rPr>
              <w:t>Explanation</w:t>
            </w:r>
          </w:p>
        </w:tc>
      </w:tr>
      <w:tr w:rsidR="00B80F8D" w:rsidRPr="00034E9B" w14:paraId="3DFD70E1" w14:textId="77777777" w:rsidTr="00C01414">
        <w:tc>
          <w:tcPr>
            <w:tcW w:w="1658" w:type="pct"/>
            <w:shd w:val="clear" w:color="auto" w:fill="B6D5E4"/>
          </w:tcPr>
          <w:p w14:paraId="76D36BBB" w14:textId="76CE5648" w:rsidR="00B80F8D" w:rsidRPr="00034E9B" w:rsidRDefault="00B80F8D" w:rsidP="004C3D1C">
            <w:pPr>
              <w:pStyle w:val="CGCTablesubhead1"/>
              <w:keepNext/>
              <w:keepLines/>
              <w:rPr>
                <w:lang w:val="en-AU"/>
              </w:rPr>
            </w:pPr>
            <w:r w:rsidRPr="00034E9B">
              <w:rPr>
                <w:lang w:val="en-AU"/>
              </w:rPr>
              <w:t>Wage costs</w:t>
            </w:r>
          </w:p>
        </w:tc>
        <w:tc>
          <w:tcPr>
            <w:tcW w:w="516" w:type="pct"/>
            <w:shd w:val="clear" w:color="auto" w:fill="B6D5E4"/>
          </w:tcPr>
          <w:p w14:paraId="27D8D4BA" w14:textId="77777777" w:rsidR="00B80F8D" w:rsidRPr="00034E9B" w:rsidRDefault="00B80F8D" w:rsidP="004C3D1C">
            <w:pPr>
              <w:pStyle w:val="CGCTablesubhead1"/>
              <w:keepNext/>
              <w:keepLines/>
              <w:rPr>
                <w:lang w:val="en-AU"/>
              </w:rPr>
            </w:pPr>
          </w:p>
        </w:tc>
        <w:tc>
          <w:tcPr>
            <w:tcW w:w="475" w:type="pct"/>
            <w:shd w:val="clear" w:color="auto" w:fill="B6D5E4"/>
          </w:tcPr>
          <w:p w14:paraId="4465BDB6" w14:textId="77777777" w:rsidR="00B80F8D" w:rsidRPr="00034E9B" w:rsidRDefault="00B80F8D" w:rsidP="004C3D1C">
            <w:pPr>
              <w:pStyle w:val="CGCTablesubhead1"/>
              <w:keepNext/>
              <w:keepLines/>
              <w:rPr>
                <w:lang w:val="en-AU"/>
              </w:rPr>
            </w:pPr>
          </w:p>
        </w:tc>
        <w:tc>
          <w:tcPr>
            <w:tcW w:w="2351" w:type="pct"/>
            <w:shd w:val="clear" w:color="auto" w:fill="B6D5E4"/>
          </w:tcPr>
          <w:p w14:paraId="0E2BB64D" w14:textId="77777777" w:rsidR="00B80F8D" w:rsidRPr="00034E9B" w:rsidRDefault="00B80F8D" w:rsidP="004C3D1C">
            <w:pPr>
              <w:pStyle w:val="CGCTablesubhead1"/>
              <w:keepNext/>
              <w:keepLines/>
              <w:rPr>
                <w:lang w:val="en-AU"/>
              </w:rPr>
            </w:pPr>
          </w:p>
        </w:tc>
      </w:tr>
      <w:tr w:rsidR="00B80F8D" w:rsidRPr="00034E9B" w14:paraId="0D7AD1CA" w14:textId="77777777" w:rsidTr="00C01414">
        <w:tc>
          <w:tcPr>
            <w:tcW w:w="1658" w:type="pct"/>
          </w:tcPr>
          <w:p w14:paraId="3EE03776" w14:textId="6B47EED9" w:rsidR="00B80F8D" w:rsidRPr="00034E9B" w:rsidRDefault="00603841" w:rsidP="004C3D1C">
            <w:pPr>
              <w:pStyle w:val="CGCTablerow"/>
              <w:keepNext/>
              <w:keepLines/>
            </w:pPr>
            <w:r>
              <w:t>Recognise a n</w:t>
            </w:r>
            <w:r w:rsidR="00B80F8D" w:rsidRPr="00066FAD">
              <w:t>ational</w:t>
            </w:r>
            <w:r w:rsidR="00B80F8D" w:rsidRPr="00034E9B">
              <w:t xml:space="preserve"> labour market</w:t>
            </w:r>
          </w:p>
        </w:tc>
        <w:tc>
          <w:tcPr>
            <w:tcW w:w="516" w:type="pct"/>
          </w:tcPr>
          <w:p w14:paraId="3ABC8DE6" w14:textId="0A4AE4B6" w:rsidR="00B80F8D" w:rsidRPr="00034E9B" w:rsidRDefault="00B80F8D" w:rsidP="004C3D1C">
            <w:pPr>
              <w:pStyle w:val="CGCTablerow"/>
              <w:keepNext/>
              <w:keepLines/>
            </w:pPr>
            <w:r w:rsidRPr="00034E9B">
              <w:t>Vic, SA</w:t>
            </w:r>
          </w:p>
        </w:tc>
        <w:tc>
          <w:tcPr>
            <w:tcW w:w="475" w:type="pct"/>
          </w:tcPr>
          <w:p w14:paraId="6E9C76D6" w14:textId="624A3731" w:rsidR="00B80F8D" w:rsidRPr="00034E9B" w:rsidRDefault="00B80F8D" w:rsidP="004C3D1C">
            <w:pPr>
              <w:pStyle w:val="CGCTablerow"/>
              <w:keepNext/>
              <w:keepLines/>
            </w:pPr>
            <w:r w:rsidRPr="00034E9B">
              <w:t>No</w:t>
            </w:r>
          </w:p>
        </w:tc>
        <w:tc>
          <w:tcPr>
            <w:tcW w:w="2351" w:type="pct"/>
          </w:tcPr>
          <w:p w14:paraId="0387D81F" w14:textId="72E60720" w:rsidR="00B80F8D" w:rsidRPr="00034E9B" w:rsidRDefault="00B80F8D" w:rsidP="004C3D1C">
            <w:pPr>
              <w:pStyle w:val="CGCTablerow"/>
              <w:keepNext/>
              <w:keepLines/>
            </w:pPr>
            <w:r w:rsidRPr="00034E9B">
              <w:t>No evidence for large impact of national market over and above impact of competition for labour from other sectors within a State.</w:t>
            </w:r>
          </w:p>
        </w:tc>
      </w:tr>
      <w:tr w:rsidR="00B80F8D" w:rsidRPr="00034E9B" w14:paraId="5C67A8AB" w14:textId="77777777" w:rsidTr="00C01414">
        <w:tc>
          <w:tcPr>
            <w:tcW w:w="1658" w:type="pct"/>
          </w:tcPr>
          <w:p w14:paraId="3BCEF286" w14:textId="537583D6" w:rsidR="00B80F8D" w:rsidRPr="00034E9B" w:rsidRDefault="00B80F8D" w:rsidP="004C3D1C">
            <w:pPr>
              <w:pStyle w:val="CGCTablerow"/>
              <w:keepNext/>
              <w:keepLines/>
            </w:pPr>
            <w:r w:rsidRPr="00034E9B">
              <w:t>Productivity adjustment</w:t>
            </w:r>
          </w:p>
        </w:tc>
        <w:tc>
          <w:tcPr>
            <w:tcW w:w="516" w:type="pct"/>
          </w:tcPr>
          <w:p w14:paraId="0D3AC4BE" w14:textId="2CE3CDB2" w:rsidR="00B80F8D" w:rsidRPr="00034E9B" w:rsidRDefault="00B80F8D" w:rsidP="004C3D1C">
            <w:pPr>
              <w:pStyle w:val="CGCTablerow"/>
              <w:keepNext/>
              <w:keepLines/>
            </w:pPr>
            <w:r w:rsidRPr="00034E9B">
              <w:t>SA</w:t>
            </w:r>
          </w:p>
        </w:tc>
        <w:tc>
          <w:tcPr>
            <w:tcW w:w="475" w:type="pct"/>
          </w:tcPr>
          <w:p w14:paraId="229A5A22" w14:textId="364A0CE6" w:rsidR="00B80F8D" w:rsidRPr="00034E9B" w:rsidRDefault="00B80F8D" w:rsidP="004C3D1C">
            <w:pPr>
              <w:pStyle w:val="CGCTablerow"/>
              <w:keepNext/>
              <w:keepLines/>
            </w:pPr>
            <w:r w:rsidRPr="00034E9B">
              <w:t>Partially</w:t>
            </w:r>
          </w:p>
        </w:tc>
        <w:tc>
          <w:tcPr>
            <w:tcW w:w="2351" w:type="pct"/>
          </w:tcPr>
          <w:p w14:paraId="16808B2B" w14:textId="3F0FDBD9" w:rsidR="00B80F8D" w:rsidRPr="00034E9B" w:rsidRDefault="00B80F8D" w:rsidP="004C3D1C">
            <w:pPr>
              <w:pStyle w:val="CGCTablerow"/>
              <w:keepNext/>
              <w:keepLines/>
            </w:pPr>
            <w:r w:rsidRPr="00034E9B">
              <w:t>Comparison with HILDA model does not indicate bias, but contributing factor to retention of discount.</w:t>
            </w:r>
          </w:p>
        </w:tc>
      </w:tr>
      <w:tr w:rsidR="00B80F8D" w:rsidRPr="00034E9B" w14:paraId="282D2D72" w14:textId="77777777" w:rsidTr="00C01414">
        <w:tc>
          <w:tcPr>
            <w:tcW w:w="1658" w:type="pct"/>
          </w:tcPr>
          <w:p w14:paraId="0FBE7CDE" w14:textId="53D46FDD" w:rsidR="00B80F8D" w:rsidRPr="00034E9B" w:rsidRDefault="00B80F8D" w:rsidP="00B80F8D">
            <w:pPr>
              <w:pStyle w:val="CGCTablerow"/>
            </w:pPr>
            <w:r w:rsidRPr="00034E9B">
              <w:t>PSS adjustment</w:t>
            </w:r>
          </w:p>
        </w:tc>
        <w:tc>
          <w:tcPr>
            <w:tcW w:w="516" w:type="pct"/>
          </w:tcPr>
          <w:p w14:paraId="19C914D6" w14:textId="45D461FD" w:rsidR="00B80F8D" w:rsidRPr="00034E9B" w:rsidRDefault="00B80F8D" w:rsidP="00B80F8D">
            <w:pPr>
              <w:pStyle w:val="CGCTablerow"/>
            </w:pPr>
            <w:r w:rsidRPr="00034E9B">
              <w:t>ACT</w:t>
            </w:r>
          </w:p>
        </w:tc>
        <w:tc>
          <w:tcPr>
            <w:tcW w:w="475" w:type="pct"/>
          </w:tcPr>
          <w:p w14:paraId="52311475" w14:textId="0245EA4F" w:rsidR="00B80F8D" w:rsidRPr="00034E9B" w:rsidRDefault="00B80F8D" w:rsidP="00B80F8D">
            <w:pPr>
              <w:pStyle w:val="CGCTablerow"/>
            </w:pPr>
            <w:r w:rsidRPr="00034E9B">
              <w:t>No</w:t>
            </w:r>
          </w:p>
        </w:tc>
        <w:tc>
          <w:tcPr>
            <w:tcW w:w="2351" w:type="pct"/>
          </w:tcPr>
          <w:p w14:paraId="3FEAA79E" w14:textId="123D81C0" w:rsidR="00B80F8D" w:rsidRPr="00034E9B" w:rsidRDefault="00B80F8D" w:rsidP="00B80F8D">
            <w:pPr>
              <w:pStyle w:val="CGCTablerow"/>
            </w:pPr>
            <w:r w:rsidRPr="00034E9B">
              <w:t>Not material under specified conditions.</w:t>
            </w:r>
          </w:p>
        </w:tc>
      </w:tr>
      <w:tr w:rsidR="00B80F8D" w:rsidRPr="00034E9B" w14:paraId="48FD8977" w14:textId="77777777" w:rsidTr="00C01414">
        <w:tc>
          <w:tcPr>
            <w:tcW w:w="1658" w:type="pct"/>
          </w:tcPr>
          <w:p w14:paraId="6835281B" w14:textId="1E49F6B7" w:rsidR="00B80F8D" w:rsidRPr="00034E9B" w:rsidRDefault="00B80F8D" w:rsidP="00B80F8D">
            <w:pPr>
              <w:pStyle w:val="CGCTablerow"/>
            </w:pPr>
            <w:r w:rsidRPr="00034E9B">
              <w:t>Health wage costs adjustment</w:t>
            </w:r>
          </w:p>
        </w:tc>
        <w:tc>
          <w:tcPr>
            <w:tcW w:w="516" w:type="pct"/>
          </w:tcPr>
          <w:p w14:paraId="5A508EC4" w14:textId="5A7F0CA1" w:rsidR="00B80F8D" w:rsidRPr="00034E9B" w:rsidRDefault="00B80F8D" w:rsidP="00B80F8D">
            <w:pPr>
              <w:pStyle w:val="CGCTablerow"/>
            </w:pPr>
            <w:r w:rsidRPr="00034E9B">
              <w:t>WA</w:t>
            </w:r>
          </w:p>
        </w:tc>
        <w:tc>
          <w:tcPr>
            <w:tcW w:w="475" w:type="pct"/>
          </w:tcPr>
          <w:p w14:paraId="5F81D1D0" w14:textId="46D8514B" w:rsidR="00B80F8D" w:rsidRPr="00034E9B" w:rsidRDefault="00B80F8D" w:rsidP="00B80F8D">
            <w:pPr>
              <w:pStyle w:val="CGCTablerow"/>
            </w:pPr>
            <w:r w:rsidRPr="00034E9B">
              <w:t>No</w:t>
            </w:r>
          </w:p>
        </w:tc>
        <w:tc>
          <w:tcPr>
            <w:tcW w:w="2351" w:type="pct"/>
          </w:tcPr>
          <w:p w14:paraId="125B05E3" w14:textId="492CAE2C" w:rsidR="00B80F8D" w:rsidRPr="00034E9B" w:rsidRDefault="00B80F8D" w:rsidP="00B80F8D">
            <w:pPr>
              <w:pStyle w:val="CGCTablerow"/>
            </w:pPr>
            <w:r w:rsidRPr="00034E9B">
              <w:t>Would introduce policy choice concerns and increase the requirement for Commission judgement in the assessment.</w:t>
            </w:r>
          </w:p>
        </w:tc>
      </w:tr>
      <w:tr w:rsidR="00B80F8D" w:rsidRPr="00034E9B" w14:paraId="603E8C76" w14:textId="77777777" w:rsidTr="00C01414">
        <w:tc>
          <w:tcPr>
            <w:tcW w:w="1658" w:type="pct"/>
          </w:tcPr>
          <w:p w14:paraId="418F7651" w14:textId="17115561" w:rsidR="00B80F8D" w:rsidRPr="00034E9B" w:rsidRDefault="00B80F8D" w:rsidP="00B80F8D">
            <w:pPr>
              <w:pStyle w:val="CGCTablerow"/>
            </w:pPr>
            <w:r w:rsidRPr="00034E9B">
              <w:t>Tasmania specific adjustment</w:t>
            </w:r>
          </w:p>
        </w:tc>
        <w:tc>
          <w:tcPr>
            <w:tcW w:w="516" w:type="pct"/>
          </w:tcPr>
          <w:p w14:paraId="37BAE455" w14:textId="5296C40C" w:rsidR="00B80F8D" w:rsidRPr="00034E9B" w:rsidRDefault="00B80F8D" w:rsidP="00B80F8D">
            <w:pPr>
              <w:pStyle w:val="CGCTablerow"/>
            </w:pPr>
            <w:r w:rsidRPr="00034E9B">
              <w:t>Tas</w:t>
            </w:r>
          </w:p>
        </w:tc>
        <w:tc>
          <w:tcPr>
            <w:tcW w:w="475" w:type="pct"/>
          </w:tcPr>
          <w:p w14:paraId="17D661BB" w14:textId="017A4D0B" w:rsidR="00B80F8D" w:rsidRPr="00034E9B" w:rsidRDefault="00B80F8D" w:rsidP="00B80F8D">
            <w:pPr>
              <w:pStyle w:val="CGCTablerow"/>
            </w:pPr>
            <w:r w:rsidRPr="00034E9B">
              <w:t>No</w:t>
            </w:r>
          </w:p>
        </w:tc>
        <w:tc>
          <w:tcPr>
            <w:tcW w:w="2351" w:type="pct"/>
          </w:tcPr>
          <w:p w14:paraId="166FF60A" w14:textId="79E3212D" w:rsidR="00B80F8D" w:rsidRPr="00034E9B" w:rsidRDefault="00B80F8D" w:rsidP="00B80F8D">
            <w:pPr>
              <w:pStyle w:val="CGCTablerow"/>
            </w:pPr>
            <w:r w:rsidRPr="00034E9B">
              <w:t>Most recent model results for Tasmania lay within reasonable bounds, reducing the concerns.</w:t>
            </w:r>
          </w:p>
        </w:tc>
      </w:tr>
      <w:tr w:rsidR="00B80F8D" w:rsidRPr="00034E9B" w14:paraId="1E1CA7BB" w14:textId="77777777" w:rsidTr="00C01414">
        <w:tc>
          <w:tcPr>
            <w:tcW w:w="1658" w:type="pct"/>
          </w:tcPr>
          <w:p w14:paraId="5A9F78DC" w14:textId="5F3718EF" w:rsidR="00B80F8D" w:rsidRPr="00034E9B" w:rsidRDefault="00B80F8D" w:rsidP="00B80F8D">
            <w:pPr>
              <w:pStyle w:val="CGCTablerow"/>
            </w:pPr>
            <w:r w:rsidRPr="00034E9B">
              <w:t>Not use private sector wages</w:t>
            </w:r>
          </w:p>
        </w:tc>
        <w:tc>
          <w:tcPr>
            <w:tcW w:w="516" w:type="pct"/>
          </w:tcPr>
          <w:p w14:paraId="32EC82A3" w14:textId="0E236D40" w:rsidR="00B80F8D" w:rsidRPr="00034E9B" w:rsidRDefault="00B80F8D" w:rsidP="00B80F8D">
            <w:pPr>
              <w:pStyle w:val="CGCTablerow"/>
            </w:pPr>
            <w:r w:rsidRPr="00034E9B">
              <w:t>Qld, SA</w:t>
            </w:r>
          </w:p>
        </w:tc>
        <w:tc>
          <w:tcPr>
            <w:tcW w:w="475" w:type="pct"/>
          </w:tcPr>
          <w:p w14:paraId="365C8494" w14:textId="54F48ED6" w:rsidR="00B80F8D" w:rsidRPr="00034E9B" w:rsidRDefault="00B80F8D" w:rsidP="00B80F8D">
            <w:pPr>
              <w:pStyle w:val="CGCTablerow"/>
            </w:pPr>
            <w:r w:rsidRPr="00034E9B">
              <w:t>No</w:t>
            </w:r>
          </w:p>
        </w:tc>
        <w:tc>
          <w:tcPr>
            <w:tcW w:w="2351" w:type="pct"/>
          </w:tcPr>
          <w:p w14:paraId="1656E1AF" w14:textId="5ADF1247" w:rsidR="00B80F8D" w:rsidRPr="00034E9B" w:rsidRDefault="00B80F8D" w:rsidP="00B80F8D">
            <w:pPr>
              <w:pStyle w:val="CGCTablerow"/>
            </w:pPr>
            <w:r w:rsidRPr="00034E9B">
              <w:t>Consultants found that public sector wages respond to the same pressures as private sector wages.</w:t>
            </w:r>
          </w:p>
        </w:tc>
      </w:tr>
      <w:tr w:rsidR="00B80F8D" w:rsidRPr="00034E9B" w14:paraId="683AD4F0" w14:textId="77777777" w:rsidTr="00C01414">
        <w:tc>
          <w:tcPr>
            <w:tcW w:w="1658" w:type="pct"/>
          </w:tcPr>
          <w:p w14:paraId="4C5B6A67" w14:textId="40395666" w:rsidR="00B80F8D" w:rsidRPr="00034E9B" w:rsidRDefault="00603841" w:rsidP="00B80F8D">
            <w:pPr>
              <w:pStyle w:val="CGCTablerow"/>
            </w:pPr>
            <w:r>
              <w:t>Revise m</w:t>
            </w:r>
            <w:r w:rsidR="00B80F8D" w:rsidRPr="00066FAD">
              <w:t>odel</w:t>
            </w:r>
            <w:r w:rsidR="00B80F8D" w:rsidRPr="00034E9B">
              <w:t xml:space="preserve"> specifications</w:t>
            </w:r>
          </w:p>
        </w:tc>
        <w:tc>
          <w:tcPr>
            <w:tcW w:w="516" w:type="pct"/>
          </w:tcPr>
          <w:p w14:paraId="6A0DD778" w14:textId="4C95556F" w:rsidR="00B80F8D" w:rsidRPr="00034E9B" w:rsidRDefault="00B80F8D" w:rsidP="00B80F8D">
            <w:pPr>
              <w:pStyle w:val="CGCTablerow"/>
            </w:pPr>
            <w:r w:rsidRPr="00034E9B">
              <w:t>Vic</w:t>
            </w:r>
          </w:p>
        </w:tc>
        <w:tc>
          <w:tcPr>
            <w:tcW w:w="475" w:type="pct"/>
          </w:tcPr>
          <w:p w14:paraId="300FFF92" w14:textId="1FA257E9" w:rsidR="00B80F8D" w:rsidRPr="00034E9B" w:rsidRDefault="00B80F8D" w:rsidP="00B80F8D">
            <w:pPr>
              <w:pStyle w:val="CGCTablerow"/>
            </w:pPr>
            <w:r w:rsidRPr="00034E9B">
              <w:t>No</w:t>
            </w:r>
          </w:p>
        </w:tc>
        <w:tc>
          <w:tcPr>
            <w:tcW w:w="2351" w:type="pct"/>
          </w:tcPr>
          <w:p w14:paraId="70CC49DF" w14:textId="260D513D" w:rsidR="00B80F8D" w:rsidRPr="00034E9B" w:rsidRDefault="00B80F8D" w:rsidP="00B80F8D">
            <w:pPr>
              <w:pStyle w:val="CGCTablerow"/>
            </w:pPr>
            <w:r w:rsidRPr="00034E9B">
              <w:t>There is a strong conceptual case for the existing model.</w:t>
            </w:r>
          </w:p>
        </w:tc>
      </w:tr>
      <w:tr w:rsidR="00B80F8D" w:rsidRPr="00034E9B" w14:paraId="75F07158" w14:textId="77777777" w:rsidTr="00C01414">
        <w:tc>
          <w:tcPr>
            <w:tcW w:w="1658" w:type="pct"/>
          </w:tcPr>
          <w:p w14:paraId="3407EECE" w14:textId="5681B8E4" w:rsidR="00B80F8D" w:rsidRPr="00034E9B" w:rsidRDefault="00B80F8D" w:rsidP="00B80F8D">
            <w:pPr>
              <w:pStyle w:val="CGCTablerow"/>
            </w:pPr>
            <w:r w:rsidRPr="00034E9B">
              <w:t>Remove the discount</w:t>
            </w:r>
          </w:p>
        </w:tc>
        <w:tc>
          <w:tcPr>
            <w:tcW w:w="516" w:type="pct"/>
          </w:tcPr>
          <w:p w14:paraId="2F6112BA" w14:textId="70CBE38A" w:rsidR="00B80F8D" w:rsidRPr="00034E9B" w:rsidRDefault="00B80F8D" w:rsidP="00B80F8D">
            <w:pPr>
              <w:pStyle w:val="CGCTablerow"/>
            </w:pPr>
            <w:r w:rsidRPr="00034E9B">
              <w:t>WA, Tas, ACT</w:t>
            </w:r>
          </w:p>
        </w:tc>
        <w:tc>
          <w:tcPr>
            <w:tcW w:w="475" w:type="pct"/>
          </w:tcPr>
          <w:p w14:paraId="3A1844C2" w14:textId="6521BC1A" w:rsidR="00B80F8D" w:rsidRPr="00034E9B" w:rsidRDefault="00B80F8D" w:rsidP="00B80F8D">
            <w:pPr>
              <w:pStyle w:val="CGCTablerow"/>
            </w:pPr>
            <w:r w:rsidRPr="00034E9B">
              <w:t>No</w:t>
            </w:r>
          </w:p>
        </w:tc>
        <w:tc>
          <w:tcPr>
            <w:tcW w:w="2351" w:type="pct"/>
          </w:tcPr>
          <w:p w14:paraId="5012A27D" w14:textId="7FCCE151" w:rsidR="00B80F8D" w:rsidRPr="00034E9B" w:rsidRDefault="00B80F8D" w:rsidP="00B80F8D">
            <w:pPr>
              <w:pStyle w:val="CGCTablerow"/>
            </w:pPr>
            <w:r w:rsidRPr="00034E9B">
              <w:t>There are still low levels of concerns over how well private sector wages may proxy government sector wages and how well the model controls for productivity.</w:t>
            </w:r>
          </w:p>
        </w:tc>
      </w:tr>
      <w:tr w:rsidR="00B80F8D" w:rsidRPr="00034E9B" w14:paraId="6DEDE50A" w14:textId="77777777" w:rsidTr="00C01414">
        <w:tc>
          <w:tcPr>
            <w:tcW w:w="1658" w:type="pct"/>
          </w:tcPr>
          <w:p w14:paraId="2439384E" w14:textId="27FF2BD3" w:rsidR="00B80F8D" w:rsidRPr="00034E9B" w:rsidRDefault="00B80F8D" w:rsidP="00B80F8D">
            <w:pPr>
              <w:pStyle w:val="CGCTablerow"/>
            </w:pPr>
            <w:r w:rsidRPr="00034E9B">
              <w:t>Reduce model volatility</w:t>
            </w:r>
          </w:p>
        </w:tc>
        <w:tc>
          <w:tcPr>
            <w:tcW w:w="516" w:type="pct"/>
          </w:tcPr>
          <w:p w14:paraId="4231BB36" w14:textId="719CA08C" w:rsidR="00B80F8D" w:rsidRPr="00034E9B" w:rsidRDefault="00B80F8D" w:rsidP="00B80F8D">
            <w:pPr>
              <w:pStyle w:val="CGCTablerow"/>
            </w:pPr>
            <w:r w:rsidRPr="00034E9B">
              <w:t>WA</w:t>
            </w:r>
          </w:p>
        </w:tc>
        <w:tc>
          <w:tcPr>
            <w:tcW w:w="475" w:type="pct"/>
          </w:tcPr>
          <w:p w14:paraId="08E7ED46" w14:textId="37EB5BAD" w:rsidR="00B80F8D" w:rsidRPr="00034E9B" w:rsidRDefault="00B80F8D" w:rsidP="00B80F8D">
            <w:pPr>
              <w:pStyle w:val="CGCTablerow"/>
            </w:pPr>
            <w:r w:rsidRPr="00034E9B">
              <w:t>No</w:t>
            </w:r>
          </w:p>
        </w:tc>
        <w:tc>
          <w:tcPr>
            <w:tcW w:w="2351" w:type="pct"/>
          </w:tcPr>
          <w:p w14:paraId="44864410" w14:textId="3A796059" w:rsidR="00B80F8D" w:rsidRPr="00034E9B" w:rsidRDefault="00B80F8D" w:rsidP="00B80F8D">
            <w:pPr>
              <w:pStyle w:val="CGCTablerow"/>
            </w:pPr>
            <w:r w:rsidRPr="00034E9B">
              <w:t>The current three</w:t>
            </w:r>
            <w:r w:rsidR="009F336A" w:rsidRPr="00034E9B">
              <w:t>-</w:t>
            </w:r>
            <w:r w:rsidRPr="00034E9B">
              <w:t>year averaging process sufficiently reduces the volatility in the single year estimates.</w:t>
            </w:r>
          </w:p>
        </w:tc>
      </w:tr>
      <w:tr w:rsidR="00B80F8D" w:rsidRPr="00034E9B" w14:paraId="417E840F" w14:textId="77777777" w:rsidTr="00C01414">
        <w:tc>
          <w:tcPr>
            <w:tcW w:w="1658" w:type="pct"/>
          </w:tcPr>
          <w:p w14:paraId="5A78988F" w14:textId="07D6B1CB" w:rsidR="00B80F8D" w:rsidRPr="00034E9B" w:rsidRDefault="00B80F8D" w:rsidP="00B80F8D">
            <w:pPr>
              <w:pStyle w:val="CGCTablerow"/>
            </w:pPr>
            <w:r w:rsidRPr="00034E9B">
              <w:t>Change model and data source</w:t>
            </w:r>
          </w:p>
        </w:tc>
        <w:tc>
          <w:tcPr>
            <w:tcW w:w="516" w:type="pct"/>
          </w:tcPr>
          <w:p w14:paraId="5F817D64" w14:textId="17723A10" w:rsidR="00B80F8D" w:rsidRPr="00034E9B" w:rsidRDefault="00B80F8D" w:rsidP="00B80F8D">
            <w:pPr>
              <w:pStyle w:val="CGCTablerow"/>
            </w:pPr>
            <w:r w:rsidRPr="00034E9B">
              <w:t>WA</w:t>
            </w:r>
          </w:p>
        </w:tc>
        <w:tc>
          <w:tcPr>
            <w:tcW w:w="475" w:type="pct"/>
          </w:tcPr>
          <w:p w14:paraId="05B43E32" w14:textId="3301CE14" w:rsidR="00B80F8D" w:rsidRPr="00034E9B" w:rsidRDefault="00B80F8D" w:rsidP="00B80F8D">
            <w:pPr>
              <w:pStyle w:val="CGCTablerow"/>
            </w:pPr>
            <w:r w:rsidRPr="00034E9B">
              <w:t>No</w:t>
            </w:r>
          </w:p>
        </w:tc>
        <w:tc>
          <w:tcPr>
            <w:tcW w:w="2351" w:type="pct"/>
          </w:tcPr>
          <w:p w14:paraId="6EC2C7F9" w14:textId="5C899BFD" w:rsidR="00B80F8D" w:rsidRPr="00034E9B" w:rsidRDefault="00B80F8D" w:rsidP="00B80F8D">
            <w:pPr>
              <w:pStyle w:val="CGCTablerow"/>
            </w:pPr>
            <w:r w:rsidRPr="00034E9B">
              <w:t>The Commission considers the current method and data source are the most appropriate way to estimate differences in relative wage costs.</w:t>
            </w:r>
          </w:p>
        </w:tc>
      </w:tr>
      <w:tr w:rsidR="00B80F8D" w:rsidRPr="00034E9B" w14:paraId="19EEB8CE" w14:textId="77777777" w:rsidTr="00C01414">
        <w:tc>
          <w:tcPr>
            <w:tcW w:w="1658" w:type="pct"/>
            <w:shd w:val="clear" w:color="auto" w:fill="B6D5E4"/>
            <w:vAlign w:val="bottom"/>
          </w:tcPr>
          <w:p w14:paraId="2D9CFCCE" w14:textId="6D2DDD14" w:rsidR="00B80F8D" w:rsidRPr="00034E9B" w:rsidRDefault="00B80F8D" w:rsidP="00B80F8D">
            <w:pPr>
              <w:pStyle w:val="CGCTablesubhead1"/>
              <w:rPr>
                <w:lang w:val="en-AU"/>
              </w:rPr>
            </w:pPr>
            <w:r w:rsidRPr="00034E9B">
              <w:rPr>
                <w:lang w:val="en-AU"/>
              </w:rPr>
              <w:t>Geography</w:t>
            </w:r>
          </w:p>
        </w:tc>
        <w:tc>
          <w:tcPr>
            <w:tcW w:w="516" w:type="pct"/>
            <w:shd w:val="clear" w:color="auto" w:fill="B6D5E4"/>
            <w:vAlign w:val="bottom"/>
          </w:tcPr>
          <w:p w14:paraId="7A9B3E01" w14:textId="77777777" w:rsidR="00B80F8D" w:rsidRPr="00034E9B" w:rsidRDefault="00B80F8D" w:rsidP="00B80F8D">
            <w:pPr>
              <w:pStyle w:val="CGCTablesubhead1"/>
              <w:rPr>
                <w:lang w:val="en-AU"/>
              </w:rPr>
            </w:pPr>
          </w:p>
        </w:tc>
        <w:tc>
          <w:tcPr>
            <w:tcW w:w="475" w:type="pct"/>
            <w:shd w:val="clear" w:color="auto" w:fill="B6D5E4"/>
            <w:vAlign w:val="bottom"/>
          </w:tcPr>
          <w:p w14:paraId="30A69E08" w14:textId="77777777" w:rsidR="00B80F8D" w:rsidRPr="00034E9B" w:rsidRDefault="00B80F8D" w:rsidP="00B80F8D">
            <w:pPr>
              <w:pStyle w:val="CGCTablesubhead1"/>
              <w:rPr>
                <w:lang w:val="en-AU"/>
              </w:rPr>
            </w:pPr>
          </w:p>
        </w:tc>
        <w:tc>
          <w:tcPr>
            <w:tcW w:w="2351" w:type="pct"/>
            <w:shd w:val="clear" w:color="auto" w:fill="B6D5E4"/>
            <w:vAlign w:val="bottom"/>
          </w:tcPr>
          <w:p w14:paraId="03096184" w14:textId="77777777" w:rsidR="00B80F8D" w:rsidRPr="00034E9B" w:rsidRDefault="00B80F8D" w:rsidP="00B80F8D">
            <w:pPr>
              <w:pStyle w:val="CGCTablesubhead1"/>
              <w:rPr>
                <w:lang w:val="en-AU"/>
              </w:rPr>
            </w:pPr>
          </w:p>
        </w:tc>
      </w:tr>
      <w:tr w:rsidR="00B80F8D" w:rsidRPr="00034E9B" w14:paraId="445B6183" w14:textId="77777777" w:rsidTr="00C01414">
        <w:tc>
          <w:tcPr>
            <w:tcW w:w="1658" w:type="pct"/>
          </w:tcPr>
          <w:p w14:paraId="763484FC" w14:textId="05CB6748" w:rsidR="00B80F8D" w:rsidRPr="00034E9B" w:rsidRDefault="00575C8D" w:rsidP="00B80F8D">
            <w:pPr>
              <w:pStyle w:val="CGCTablerow"/>
            </w:pPr>
            <w:r>
              <w:t>Recognise</w:t>
            </w:r>
            <w:r w:rsidR="00183C7F">
              <w:t xml:space="preserve"> d</w:t>
            </w:r>
            <w:r w:rsidR="00B80F8D" w:rsidRPr="00066FAD">
              <w:t>ifference</w:t>
            </w:r>
            <w:r w:rsidR="00183C7F">
              <w:t>s</w:t>
            </w:r>
            <w:r w:rsidR="00B80F8D" w:rsidRPr="00034E9B">
              <w:t xml:space="preserve"> between place of residence and place of </w:t>
            </w:r>
            <w:r w:rsidR="006C5D57">
              <w:t>receiving</w:t>
            </w:r>
            <w:r w:rsidR="006B6640">
              <w:t xml:space="preserve"> </w:t>
            </w:r>
            <w:r w:rsidR="0064037C">
              <w:t>services</w:t>
            </w:r>
          </w:p>
        </w:tc>
        <w:tc>
          <w:tcPr>
            <w:tcW w:w="516" w:type="pct"/>
          </w:tcPr>
          <w:p w14:paraId="57DEB9B2" w14:textId="52C8953F" w:rsidR="00B80F8D" w:rsidRPr="00034E9B" w:rsidRDefault="00B80F8D" w:rsidP="00B80F8D">
            <w:pPr>
              <w:pStyle w:val="CGCTablerow"/>
            </w:pPr>
            <w:r w:rsidRPr="00034E9B">
              <w:t>NSW, Vic</w:t>
            </w:r>
          </w:p>
        </w:tc>
        <w:tc>
          <w:tcPr>
            <w:tcW w:w="475" w:type="pct"/>
          </w:tcPr>
          <w:p w14:paraId="1686CF23" w14:textId="014E5529" w:rsidR="00B80F8D" w:rsidRPr="00034E9B" w:rsidRDefault="00B80F8D" w:rsidP="00B80F8D">
            <w:pPr>
              <w:pStyle w:val="CGCTablerow"/>
            </w:pPr>
            <w:r w:rsidRPr="00034E9B">
              <w:t>Yes</w:t>
            </w:r>
          </w:p>
        </w:tc>
        <w:tc>
          <w:tcPr>
            <w:tcW w:w="2351" w:type="pct"/>
          </w:tcPr>
          <w:p w14:paraId="4CC533A7" w14:textId="03ACBE88" w:rsidR="00B80F8D" w:rsidRPr="00034E9B" w:rsidRDefault="00B80F8D" w:rsidP="00B80F8D">
            <w:pPr>
              <w:pStyle w:val="CGCTablerow"/>
            </w:pPr>
            <w:r w:rsidRPr="00034E9B">
              <w:t>A strong conceptual case for these allowances.</w:t>
            </w:r>
          </w:p>
        </w:tc>
      </w:tr>
      <w:tr w:rsidR="00B80F8D" w:rsidRPr="00034E9B" w14:paraId="041D240F" w14:textId="77777777" w:rsidTr="00C01414">
        <w:tc>
          <w:tcPr>
            <w:tcW w:w="1658" w:type="pct"/>
            <w:vAlign w:val="center"/>
          </w:tcPr>
          <w:p w14:paraId="00B8C240" w14:textId="0E7D95E8" w:rsidR="00B80F8D" w:rsidRPr="00034E9B" w:rsidRDefault="00B80F8D" w:rsidP="00B80F8D">
            <w:pPr>
              <w:pStyle w:val="CGCTablerow"/>
            </w:pPr>
            <w:r w:rsidRPr="00034E9B">
              <w:t>Allow increasing distance to increase remoteness without limit</w:t>
            </w:r>
          </w:p>
        </w:tc>
        <w:tc>
          <w:tcPr>
            <w:tcW w:w="516" w:type="pct"/>
            <w:vAlign w:val="center"/>
          </w:tcPr>
          <w:p w14:paraId="4B00B4B1" w14:textId="4B9FD5B6" w:rsidR="00B80F8D" w:rsidRPr="00034E9B" w:rsidRDefault="00B80F8D" w:rsidP="00B80F8D">
            <w:pPr>
              <w:pStyle w:val="CGCTablerow"/>
            </w:pPr>
            <w:r w:rsidRPr="00034E9B">
              <w:t>WA</w:t>
            </w:r>
          </w:p>
        </w:tc>
        <w:tc>
          <w:tcPr>
            <w:tcW w:w="475" w:type="pct"/>
            <w:vAlign w:val="center"/>
          </w:tcPr>
          <w:p w14:paraId="7520C0EB" w14:textId="38423989" w:rsidR="00B80F8D" w:rsidRPr="00034E9B" w:rsidRDefault="00B80F8D" w:rsidP="00B80F8D">
            <w:pPr>
              <w:pStyle w:val="CGCTablerow"/>
            </w:pPr>
            <w:r w:rsidRPr="00034E9B">
              <w:t>No</w:t>
            </w:r>
          </w:p>
        </w:tc>
        <w:tc>
          <w:tcPr>
            <w:tcW w:w="2351" w:type="pct"/>
            <w:vAlign w:val="center"/>
          </w:tcPr>
          <w:p w14:paraId="0495DBC7" w14:textId="010BF85E" w:rsidR="00B80F8D" w:rsidRPr="00034E9B" w:rsidRDefault="00B80F8D" w:rsidP="00B80F8D">
            <w:pPr>
              <w:pStyle w:val="CGCTablerow"/>
            </w:pPr>
            <w:r w:rsidRPr="00034E9B">
              <w:t>This does not reflect the real world phenomenon being measured.</w:t>
            </w:r>
          </w:p>
        </w:tc>
      </w:tr>
      <w:tr w:rsidR="00B80F8D" w:rsidRPr="00034E9B" w14:paraId="4A329630" w14:textId="77777777" w:rsidTr="00C01414">
        <w:tc>
          <w:tcPr>
            <w:tcW w:w="1658" w:type="pct"/>
          </w:tcPr>
          <w:p w14:paraId="6CFD00DA" w14:textId="1C2E2014" w:rsidR="00B80F8D" w:rsidRPr="00034E9B" w:rsidRDefault="00B80F8D" w:rsidP="00B80F8D">
            <w:pPr>
              <w:pStyle w:val="CGCTablerow"/>
            </w:pPr>
            <w:r w:rsidRPr="00034E9B">
              <w:t>Apply a continuous remoteness score rather than remoteness categories</w:t>
            </w:r>
          </w:p>
        </w:tc>
        <w:tc>
          <w:tcPr>
            <w:tcW w:w="516" w:type="pct"/>
          </w:tcPr>
          <w:p w14:paraId="4116AE3F" w14:textId="55B50B70" w:rsidR="00B80F8D" w:rsidRPr="00034E9B" w:rsidRDefault="00B80F8D" w:rsidP="00B80F8D">
            <w:pPr>
              <w:pStyle w:val="CGCTablerow"/>
            </w:pPr>
            <w:r w:rsidRPr="00034E9B">
              <w:t>WA</w:t>
            </w:r>
          </w:p>
        </w:tc>
        <w:tc>
          <w:tcPr>
            <w:tcW w:w="475" w:type="pct"/>
          </w:tcPr>
          <w:p w14:paraId="1E2774E4" w14:textId="085A39FF" w:rsidR="00B80F8D" w:rsidRPr="00034E9B" w:rsidRDefault="00B80F8D" w:rsidP="00B80F8D">
            <w:pPr>
              <w:pStyle w:val="CGCTablerow"/>
            </w:pPr>
            <w:r w:rsidRPr="00034E9B">
              <w:t>No</w:t>
            </w:r>
          </w:p>
        </w:tc>
        <w:tc>
          <w:tcPr>
            <w:tcW w:w="2351" w:type="pct"/>
            <w:vAlign w:val="bottom"/>
          </w:tcPr>
          <w:p w14:paraId="6ABC05AC" w14:textId="3F3A760F" w:rsidR="00B80F8D" w:rsidRPr="00034E9B" w:rsidRDefault="00B80F8D" w:rsidP="00B80F8D">
            <w:pPr>
              <w:pStyle w:val="CGCTablerow"/>
            </w:pPr>
            <w:r w:rsidRPr="00034E9B">
              <w:t>There is no evidence that the relationship between ARIA scores and cost is linear, and attempting to measure such a relationship is likely to be difficult, incomplete and misleading.</w:t>
            </w:r>
          </w:p>
        </w:tc>
      </w:tr>
      <w:tr w:rsidR="00B80F8D" w:rsidRPr="00034E9B" w14:paraId="573A68D0" w14:textId="77777777" w:rsidTr="00C01414">
        <w:tc>
          <w:tcPr>
            <w:tcW w:w="1658" w:type="pct"/>
          </w:tcPr>
          <w:p w14:paraId="11B88F33" w14:textId="46191E2D" w:rsidR="00B80F8D" w:rsidRPr="00034E9B" w:rsidRDefault="00B80F8D" w:rsidP="00B80F8D">
            <w:pPr>
              <w:pStyle w:val="CGCTablerow"/>
            </w:pPr>
            <w:r w:rsidRPr="00034E9B">
              <w:t>Further differentiation of very remote areas</w:t>
            </w:r>
          </w:p>
        </w:tc>
        <w:tc>
          <w:tcPr>
            <w:tcW w:w="516" w:type="pct"/>
          </w:tcPr>
          <w:p w14:paraId="705A503F" w14:textId="47C2571B" w:rsidR="00B80F8D" w:rsidRPr="00034E9B" w:rsidRDefault="00B80F8D" w:rsidP="00B80F8D">
            <w:pPr>
              <w:pStyle w:val="CGCTablerow"/>
            </w:pPr>
            <w:r w:rsidRPr="00034E9B">
              <w:t>WA, NT</w:t>
            </w:r>
          </w:p>
        </w:tc>
        <w:tc>
          <w:tcPr>
            <w:tcW w:w="475" w:type="pct"/>
          </w:tcPr>
          <w:p w14:paraId="53C56DFB" w14:textId="2CA81706" w:rsidR="00B80F8D" w:rsidRPr="00034E9B" w:rsidRDefault="00B80F8D" w:rsidP="00B80F8D">
            <w:pPr>
              <w:pStyle w:val="CGCTablerow"/>
            </w:pPr>
            <w:r w:rsidRPr="00034E9B">
              <w:t>No</w:t>
            </w:r>
          </w:p>
        </w:tc>
        <w:tc>
          <w:tcPr>
            <w:tcW w:w="2351" w:type="pct"/>
          </w:tcPr>
          <w:p w14:paraId="58192201" w14:textId="46C736EF" w:rsidR="00B80F8D" w:rsidRPr="00034E9B" w:rsidRDefault="00B80F8D" w:rsidP="00B80F8D">
            <w:pPr>
              <w:pStyle w:val="CGCTablerow"/>
            </w:pPr>
            <w:r w:rsidRPr="00034E9B">
              <w:t>No practical way of doing so, and not clear what basis upon which to do it.</w:t>
            </w:r>
          </w:p>
        </w:tc>
      </w:tr>
      <w:tr w:rsidR="00B80F8D" w:rsidRPr="00034E9B" w14:paraId="21DC9E0E" w14:textId="77777777" w:rsidTr="00C01414">
        <w:tc>
          <w:tcPr>
            <w:tcW w:w="1658" w:type="pct"/>
          </w:tcPr>
          <w:p w14:paraId="76D3D557" w14:textId="2590C556" w:rsidR="00B80F8D" w:rsidRPr="00034E9B" w:rsidRDefault="00B80F8D" w:rsidP="00B80F8D">
            <w:pPr>
              <w:pStyle w:val="CGCTablerow"/>
            </w:pPr>
            <w:r w:rsidRPr="00034E9B">
              <w:t>Distinguish between remote and very remote areas even when data does not support such a distinction.</w:t>
            </w:r>
          </w:p>
        </w:tc>
        <w:tc>
          <w:tcPr>
            <w:tcW w:w="516" w:type="pct"/>
          </w:tcPr>
          <w:p w14:paraId="37AC6C62" w14:textId="1C6E9D06" w:rsidR="00B80F8D" w:rsidRPr="00034E9B" w:rsidRDefault="00B80F8D" w:rsidP="00B80F8D">
            <w:pPr>
              <w:pStyle w:val="CGCTablerow"/>
            </w:pPr>
            <w:r w:rsidRPr="00034E9B">
              <w:t>WA</w:t>
            </w:r>
          </w:p>
        </w:tc>
        <w:tc>
          <w:tcPr>
            <w:tcW w:w="475" w:type="pct"/>
          </w:tcPr>
          <w:p w14:paraId="6CC6B627" w14:textId="17298F31" w:rsidR="00B80F8D" w:rsidRPr="00034E9B" w:rsidRDefault="00B80F8D" w:rsidP="00B80F8D">
            <w:pPr>
              <w:pStyle w:val="CGCTablerow"/>
            </w:pPr>
            <w:r w:rsidRPr="00034E9B">
              <w:t>No</w:t>
            </w:r>
          </w:p>
        </w:tc>
        <w:tc>
          <w:tcPr>
            <w:tcW w:w="2351" w:type="pct"/>
          </w:tcPr>
          <w:p w14:paraId="1E46EC1C" w14:textId="7D1E39F7" w:rsidR="00B80F8D" w:rsidRPr="00034E9B" w:rsidRDefault="00B80F8D" w:rsidP="00B80F8D">
            <w:pPr>
              <w:pStyle w:val="CGCTablerow"/>
            </w:pPr>
            <w:r w:rsidRPr="00034E9B">
              <w:t>In the absence of data on the nature of the cost difference, this adjustment cannot be reliably made.</w:t>
            </w:r>
          </w:p>
        </w:tc>
      </w:tr>
      <w:tr w:rsidR="003E3DBC" w:rsidRPr="00560781" w14:paraId="6D0E368D" w14:textId="77777777" w:rsidTr="00C01414">
        <w:tc>
          <w:tcPr>
            <w:tcW w:w="1658" w:type="pct"/>
          </w:tcPr>
          <w:p w14:paraId="48229468" w14:textId="2793FD34" w:rsidR="003E3DBC" w:rsidRPr="00066FAD" w:rsidRDefault="003E3DBC" w:rsidP="00B80F8D">
            <w:pPr>
              <w:pStyle w:val="CGCTablerow"/>
            </w:pPr>
            <w:r>
              <w:t>Retain interstate non-wage cost assessment</w:t>
            </w:r>
          </w:p>
        </w:tc>
        <w:tc>
          <w:tcPr>
            <w:tcW w:w="516" w:type="pct"/>
          </w:tcPr>
          <w:p w14:paraId="71A43FC2" w14:textId="61B4C6EB" w:rsidR="003E3DBC" w:rsidRPr="00066FAD" w:rsidRDefault="00E06D1A" w:rsidP="00B80F8D">
            <w:pPr>
              <w:pStyle w:val="CGCTablerow"/>
            </w:pPr>
            <w:r>
              <w:t>WA</w:t>
            </w:r>
          </w:p>
        </w:tc>
        <w:tc>
          <w:tcPr>
            <w:tcW w:w="475" w:type="pct"/>
          </w:tcPr>
          <w:p w14:paraId="452ED77C" w14:textId="07031736" w:rsidR="003E3DBC" w:rsidRPr="00066FAD" w:rsidRDefault="00E06D1A" w:rsidP="00B80F8D">
            <w:pPr>
              <w:pStyle w:val="CGCTablerow"/>
            </w:pPr>
            <w:r>
              <w:t>No</w:t>
            </w:r>
          </w:p>
        </w:tc>
        <w:tc>
          <w:tcPr>
            <w:tcW w:w="2351" w:type="pct"/>
          </w:tcPr>
          <w:p w14:paraId="310D7A01" w14:textId="510E8292" w:rsidR="003E3DBC" w:rsidRPr="00066FAD" w:rsidRDefault="00EB292E" w:rsidP="00B80F8D">
            <w:pPr>
              <w:pStyle w:val="CGCTablerow"/>
            </w:pPr>
            <w:r>
              <w:t xml:space="preserve">Conceptual case but </w:t>
            </w:r>
            <w:r w:rsidR="002A21DE">
              <w:t xml:space="preserve">no evidence </w:t>
            </w:r>
            <w:r w:rsidR="0081405B">
              <w:t>that a disability would be material.</w:t>
            </w:r>
          </w:p>
        </w:tc>
      </w:tr>
      <w:tr w:rsidR="00B80F8D" w:rsidRPr="00034E9B" w14:paraId="2EFAF82D" w14:textId="77777777" w:rsidTr="00C01414">
        <w:tc>
          <w:tcPr>
            <w:tcW w:w="1658" w:type="pct"/>
          </w:tcPr>
          <w:p w14:paraId="27A83530" w14:textId="7D91CF80" w:rsidR="00B80F8D" w:rsidRPr="00034E9B" w:rsidRDefault="00B80F8D" w:rsidP="00B80F8D">
            <w:pPr>
              <w:pStyle w:val="CGCTablerow"/>
            </w:pPr>
            <w:r w:rsidRPr="00034E9B">
              <w:t>Cease interstate non-wage cost assessment</w:t>
            </w:r>
          </w:p>
        </w:tc>
        <w:tc>
          <w:tcPr>
            <w:tcW w:w="516" w:type="pct"/>
          </w:tcPr>
          <w:p w14:paraId="7B0D2B74" w14:textId="6A2931A7" w:rsidR="00B80F8D" w:rsidRPr="00034E9B" w:rsidRDefault="00B80F8D" w:rsidP="00B80F8D">
            <w:pPr>
              <w:pStyle w:val="CGCTablerow"/>
            </w:pPr>
            <w:r w:rsidRPr="00034E9B">
              <w:t>NSW, Vic, NT</w:t>
            </w:r>
          </w:p>
        </w:tc>
        <w:tc>
          <w:tcPr>
            <w:tcW w:w="475" w:type="pct"/>
          </w:tcPr>
          <w:p w14:paraId="43490A1C" w14:textId="6AC3B918" w:rsidR="00B80F8D" w:rsidRPr="00034E9B" w:rsidRDefault="00B80F8D" w:rsidP="00B80F8D">
            <w:pPr>
              <w:pStyle w:val="CGCTablerow"/>
            </w:pPr>
            <w:r w:rsidRPr="00034E9B">
              <w:t>Yes</w:t>
            </w:r>
          </w:p>
        </w:tc>
        <w:tc>
          <w:tcPr>
            <w:tcW w:w="2351" w:type="pct"/>
          </w:tcPr>
          <w:p w14:paraId="6415AF82" w14:textId="3D513337" w:rsidR="00B80F8D" w:rsidRPr="00034E9B" w:rsidRDefault="00B80F8D" w:rsidP="00B80F8D">
            <w:pPr>
              <w:pStyle w:val="CGCTablerow"/>
            </w:pPr>
            <w:r w:rsidRPr="00034E9B">
              <w:t xml:space="preserve">Convinced by State arguments that assessment is unreliable. </w:t>
            </w:r>
          </w:p>
        </w:tc>
      </w:tr>
      <w:tr w:rsidR="00B80F8D" w:rsidRPr="00034E9B" w14:paraId="788179A0" w14:textId="77777777" w:rsidTr="00C01414">
        <w:tc>
          <w:tcPr>
            <w:tcW w:w="1658" w:type="pct"/>
          </w:tcPr>
          <w:p w14:paraId="6D0FAA0A" w14:textId="350CCDF7" w:rsidR="00B80F8D" w:rsidRPr="00034E9B" w:rsidRDefault="00B80F8D" w:rsidP="00B80F8D">
            <w:pPr>
              <w:pStyle w:val="CGCTablerow"/>
            </w:pPr>
            <w:r w:rsidRPr="00034E9B">
              <w:t xml:space="preserve">Cost of construction in brownfield areas </w:t>
            </w:r>
          </w:p>
        </w:tc>
        <w:tc>
          <w:tcPr>
            <w:tcW w:w="516" w:type="pct"/>
          </w:tcPr>
          <w:p w14:paraId="0CFB3DB8" w14:textId="6FF57666" w:rsidR="00B80F8D" w:rsidRPr="00034E9B" w:rsidRDefault="00B80F8D" w:rsidP="00B80F8D">
            <w:pPr>
              <w:pStyle w:val="CGCTablerow"/>
            </w:pPr>
            <w:r w:rsidRPr="00034E9B">
              <w:t>VIC</w:t>
            </w:r>
          </w:p>
        </w:tc>
        <w:tc>
          <w:tcPr>
            <w:tcW w:w="475" w:type="pct"/>
          </w:tcPr>
          <w:p w14:paraId="1D7B6788" w14:textId="4F67339B" w:rsidR="00B80F8D" w:rsidRPr="00034E9B" w:rsidRDefault="00B80F8D" w:rsidP="00B80F8D">
            <w:pPr>
              <w:pStyle w:val="CGCTablerow"/>
            </w:pPr>
            <w:r w:rsidRPr="00034E9B">
              <w:t>No</w:t>
            </w:r>
          </w:p>
        </w:tc>
        <w:tc>
          <w:tcPr>
            <w:tcW w:w="2351" w:type="pct"/>
          </w:tcPr>
          <w:p w14:paraId="223F7BEA" w14:textId="66FC3C2D" w:rsidR="00B80F8D" w:rsidRPr="00034E9B" w:rsidRDefault="00B80F8D" w:rsidP="00B80F8D">
            <w:pPr>
              <w:pStyle w:val="CGCTablerow"/>
            </w:pPr>
            <w:r w:rsidRPr="00034E9B">
              <w:t>Not material.</w:t>
            </w:r>
          </w:p>
        </w:tc>
      </w:tr>
      <w:tr w:rsidR="00B80F8D" w:rsidRPr="00034E9B" w14:paraId="29121CDF" w14:textId="77777777" w:rsidTr="00C01414">
        <w:tc>
          <w:tcPr>
            <w:tcW w:w="1658" w:type="pct"/>
          </w:tcPr>
          <w:p w14:paraId="1A23E31E" w14:textId="325B7423" w:rsidR="00B80F8D" w:rsidRPr="00034E9B" w:rsidRDefault="00B80F8D" w:rsidP="00B80F8D">
            <w:pPr>
              <w:pStyle w:val="CGCTablerow"/>
            </w:pPr>
            <w:r w:rsidRPr="00034E9B">
              <w:t>Incorporate housing costs into measure of SES</w:t>
            </w:r>
          </w:p>
        </w:tc>
        <w:tc>
          <w:tcPr>
            <w:tcW w:w="516" w:type="pct"/>
          </w:tcPr>
          <w:p w14:paraId="6DCCB044" w14:textId="37F3C513" w:rsidR="00B80F8D" w:rsidRPr="00034E9B" w:rsidRDefault="00B80F8D" w:rsidP="00B80F8D">
            <w:pPr>
              <w:pStyle w:val="CGCTablerow"/>
            </w:pPr>
            <w:r w:rsidRPr="00034E9B">
              <w:t>NSW</w:t>
            </w:r>
          </w:p>
        </w:tc>
        <w:tc>
          <w:tcPr>
            <w:tcW w:w="475" w:type="pct"/>
          </w:tcPr>
          <w:p w14:paraId="60930DA6" w14:textId="22C1487F" w:rsidR="00B80F8D" w:rsidRPr="00034E9B" w:rsidRDefault="00B80F8D" w:rsidP="00B80F8D">
            <w:pPr>
              <w:pStyle w:val="CGCTablerow"/>
            </w:pPr>
            <w:r w:rsidRPr="00034E9B">
              <w:t>No</w:t>
            </w:r>
          </w:p>
        </w:tc>
        <w:tc>
          <w:tcPr>
            <w:tcW w:w="2351" w:type="pct"/>
          </w:tcPr>
          <w:p w14:paraId="047F7758" w14:textId="47D69244" w:rsidR="00B80F8D" w:rsidRPr="00034E9B" w:rsidRDefault="00B80F8D" w:rsidP="00B80F8D">
            <w:pPr>
              <w:pStyle w:val="CGCTablerow"/>
            </w:pPr>
            <w:r w:rsidRPr="00034E9B">
              <w:t xml:space="preserve">Not material, but intend to follow </w:t>
            </w:r>
            <w:r w:rsidR="006A1FDF" w:rsidRPr="006A1FDF">
              <w:t xml:space="preserve">Australian Bureau of Statistics (ABS) </w:t>
            </w:r>
            <w:r w:rsidRPr="00034E9B">
              <w:t>if ABS adopts this approach.</w:t>
            </w:r>
          </w:p>
        </w:tc>
      </w:tr>
      <w:tr w:rsidR="00B80F8D" w:rsidRPr="00034E9B" w14:paraId="64965FA8" w14:textId="77777777" w:rsidTr="00C01414">
        <w:tc>
          <w:tcPr>
            <w:tcW w:w="1658" w:type="pct"/>
          </w:tcPr>
          <w:p w14:paraId="36EA6FCD" w14:textId="3553CBF9" w:rsidR="00B80F8D" w:rsidRPr="00034E9B" w:rsidRDefault="00B80F8D" w:rsidP="00B80F8D">
            <w:pPr>
              <w:pStyle w:val="CGCTablerow"/>
            </w:pPr>
            <w:r w:rsidRPr="00034E9B">
              <w:t>Use remoteness areas to measure SDS</w:t>
            </w:r>
          </w:p>
        </w:tc>
        <w:tc>
          <w:tcPr>
            <w:tcW w:w="516" w:type="pct"/>
          </w:tcPr>
          <w:p w14:paraId="5ACFEEAD" w14:textId="1C8AD011" w:rsidR="00B80F8D" w:rsidRPr="00034E9B" w:rsidRDefault="00B80F8D" w:rsidP="00B80F8D">
            <w:pPr>
              <w:pStyle w:val="CGCTablerow"/>
            </w:pPr>
            <w:r w:rsidRPr="00034E9B">
              <w:t>ACT</w:t>
            </w:r>
          </w:p>
        </w:tc>
        <w:tc>
          <w:tcPr>
            <w:tcW w:w="475" w:type="pct"/>
          </w:tcPr>
          <w:p w14:paraId="76044F91" w14:textId="496E7621" w:rsidR="00B80F8D" w:rsidRPr="00034E9B" w:rsidRDefault="00B80F8D" w:rsidP="00B80F8D">
            <w:pPr>
              <w:pStyle w:val="CGCTablerow"/>
            </w:pPr>
            <w:r w:rsidRPr="00034E9B">
              <w:t>Yes</w:t>
            </w:r>
          </w:p>
        </w:tc>
        <w:tc>
          <w:tcPr>
            <w:tcW w:w="2351" w:type="pct"/>
          </w:tcPr>
          <w:p w14:paraId="1E6D5D06" w14:textId="55C0231D" w:rsidR="00B80F8D" w:rsidRPr="00034E9B" w:rsidRDefault="00B80F8D" w:rsidP="00B80F8D">
            <w:pPr>
              <w:pStyle w:val="CGCTablerow"/>
            </w:pPr>
            <w:r w:rsidRPr="00034E9B">
              <w:t>This represents a simplification of the assessment.</w:t>
            </w:r>
          </w:p>
        </w:tc>
      </w:tr>
      <w:tr w:rsidR="00B80F8D" w:rsidRPr="00034E9B" w14:paraId="4187801D" w14:textId="77777777" w:rsidTr="00C01414">
        <w:tc>
          <w:tcPr>
            <w:tcW w:w="1658" w:type="pct"/>
          </w:tcPr>
          <w:p w14:paraId="77E09DDF" w14:textId="4BCBB344" w:rsidR="00B80F8D" w:rsidRPr="00034E9B" w:rsidRDefault="00B80F8D" w:rsidP="00B80F8D">
            <w:pPr>
              <w:pStyle w:val="CGCTablerow"/>
            </w:pPr>
            <w:r w:rsidRPr="00034E9B">
              <w:t>Adopt State specific regional cost assessment</w:t>
            </w:r>
          </w:p>
        </w:tc>
        <w:tc>
          <w:tcPr>
            <w:tcW w:w="516" w:type="pct"/>
          </w:tcPr>
          <w:p w14:paraId="7F157F26" w14:textId="522C867E" w:rsidR="00B80F8D" w:rsidRPr="00034E9B" w:rsidRDefault="00B80F8D" w:rsidP="00B80F8D">
            <w:pPr>
              <w:pStyle w:val="CGCTablerow"/>
            </w:pPr>
            <w:r w:rsidRPr="00034E9B">
              <w:t>WA</w:t>
            </w:r>
          </w:p>
        </w:tc>
        <w:tc>
          <w:tcPr>
            <w:tcW w:w="475" w:type="pct"/>
          </w:tcPr>
          <w:p w14:paraId="76BBE0D8" w14:textId="0BF6DF31" w:rsidR="00B80F8D" w:rsidRPr="00034E9B" w:rsidRDefault="00B80F8D" w:rsidP="00B80F8D">
            <w:pPr>
              <w:pStyle w:val="CGCTablerow"/>
            </w:pPr>
            <w:r w:rsidRPr="00034E9B">
              <w:t>No</w:t>
            </w:r>
          </w:p>
        </w:tc>
        <w:tc>
          <w:tcPr>
            <w:tcW w:w="2351" w:type="pct"/>
          </w:tcPr>
          <w:p w14:paraId="20ADAB0B" w14:textId="7162E384" w:rsidR="00B80F8D" w:rsidRPr="00034E9B" w:rsidRDefault="00B80F8D" w:rsidP="00B80F8D">
            <w:pPr>
              <w:pStyle w:val="CGCTablerow"/>
            </w:pPr>
            <w:r w:rsidRPr="00034E9B">
              <w:t xml:space="preserve">It is not clear how this could be assessed without introducing major opportunities and incentives for States to game the system. It is not clear that any material disabilities are not currently being captured. </w:t>
            </w:r>
          </w:p>
        </w:tc>
      </w:tr>
      <w:tr w:rsidR="00B80F8D" w:rsidRPr="00034E9B" w14:paraId="7841C138" w14:textId="77777777" w:rsidTr="00C01414">
        <w:tc>
          <w:tcPr>
            <w:tcW w:w="1658" w:type="pct"/>
          </w:tcPr>
          <w:p w14:paraId="064ABE71" w14:textId="38B8B559" w:rsidR="00B80F8D" w:rsidRPr="00034E9B" w:rsidRDefault="00B80F8D" w:rsidP="00B80F8D">
            <w:pPr>
              <w:pStyle w:val="CGCTablerow"/>
            </w:pPr>
            <w:r w:rsidRPr="00034E9B">
              <w:t>Use category specific data to measure regional costs where possible</w:t>
            </w:r>
          </w:p>
        </w:tc>
        <w:tc>
          <w:tcPr>
            <w:tcW w:w="516" w:type="pct"/>
          </w:tcPr>
          <w:p w14:paraId="7C78A9B9" w14:textId="47BCFDE6" w:rsidR="00B80F8D" w:rsidRPr="00034E9B" w:rsidRDefault="00B80F8D" w:rsidP="00B80F8D">
            <w:pPr>
              <w:pStyle w:val="CGCTablerow"/>
            </w:pPr>
            <w:r w:rsidRPr="00034E9B">
              <w:t>NSW, Vic, Qld</w:t>
            </w:r>
          </w:p>
        </w:tc>
        <w:tc>
          <w:tcPr>
            <w:tcW w:w="475" w:type="pct"/>
          </w:tcPr>
          <w:p w14:paraId="3C1412A5" w14:textId="1E83C61B" w:rsidR="00B80F8D" w:rsidRPr="00034E9B" w:rsidRDefault="00B80F8D" w:rsidP="00B80F8D">
            <w:pPr>
              <w:pStyle w:val="CGCTablerow"/>
            </w:pPr>
            <w:r w:rsidRPr="00034E9B">
              <w:t>Yes</w:t>
            </w:r>
          </w:p>
        </w:tc>
        <w:tc>
          <w:tcPr>
            <w:tcW w:w="2351" w:type="pct"/>
          </w:tcPr>
          <w:p w14:paraId="691C2845" w14:textId="699DE7FA" w:rsidR="00B80F8D" w:rsidRPr="00034E9B" w:rsidRDefault="00B80F8D" w:rsidP="00B80F8D">
            <w:pPr>
              <w:pStyle w:val="CGCTablerow"/>
            </w:pPr>
            <w:r w:rsidRPr="00034E9B">
              <w:t xml:space="preserve">This improves the reliability of the assessment. </w:t>
            </w:r>
          </w:p>
        </w:tc>
      </w:tr>
      <w:tr w:rsidR="00B80F8D" w:rsidRPr="00034E9B" w14:paraId="7351D69A" w14:textId="77777777" w:rsidTr="00C01414">
        <w:tc>
          <w:tcPr>
            <w:tcW w:w="1658" w:type="pct"/>
          </w:tcPr>
          <w:p w14:paraId="0D9E7F9A" w14:textId="5067B652" w:rsidR="00B80F8D" w:rsidRPr="00034E9B" w:rsidRDefault="00B80F8D" w:rsidP="00B80F8D">
            <w:pPr>
              <w:pStyle w:val="CGCTablerow"/>
            </w:pPr>
            <w:r w:rsidRPr="00034E9B">
              <w:t>Exclude hospitals from general gradient</w:t>
            </w:r>
          </w:p>
        </w:tc>
        <w:tc>
          <w:tcPr>
            <w:tcW w:w="516" w:type="pct"/>
          </w:tcPr>
          <w:p w14:paraId="1491ECF9" w14:textId="2CE27C8A" w:rsidR="00B80F8D" w:rsidRPr="00034E9B" w:rsidRDefault="00B80F8D" w:rsidP="00B80F8D">
            <w:pPr>
              <w:pStyle w:val="CGCTablerow"/>
            </w:pPr>
            <w:r w:rsidRPr="00034E9B">
              <w:t>WA</w:t>
            </w:r>
          </w:p>
        </w:tc>
        <w:tc>
          <w:tcPr>
            <w:tcW w:w="475" w:type="pct"/>
          </w:tcPr>
          <w:p w14:paraId="3D3CBE82" w14:textId="650668F1" w:rsidR="00B80F8D" w:rsidRPr="00034E9B" w:rsidRDefault="00B80F8D" w:rsidP="00B80F8D">
            <w:pPr>
              <w:pStyle w:val="CGCTablerow"/>
            </w:pPr>
            <w:r w:rsidRPr="00034E9B">
              <w:t>No</w:t>
            </w:r>
          </w:p>
        </w:tc>
        <w:tc>
          <w:tcPr>
            <w:tcW w:w="2351" w:type="pct"/>
          </w:tcPr>
          <w:p w14:paraId="5E6567F4" w14:textId="67C09595" w:rsidR="00B80F8D" w:rsidRPr="00034E9B" w:rsidRDefault="00B80F8D" w:rsidP="00B80F8D">
            <w:pPr>
              <w:pStyle w:val="CGCTablerow"/>
            </w:pPr>
            <w:r w:rsidRPr="00034E9B">
              <w:t>The Commission considers that using a combination of accurate and diverse services as a proxy is appropriate when direct information is available.</w:t>
            </w:r>
          </w:p>
        </w:tc>
      </w:tr>
      <w:tr w:rsidR="00B80F8D" w:rsidRPr="00034E9B" w14:paraId="4EC927C0" w14:textId="77777777" w:rsidTr="00C01414">
        <w:tc>
          <w:tcPr>
            <w:tcW w:w="1658" w:type="pct"/>
          </w:tcPr>
          <w:p w14:paraId="25A2BF6B" w14:textId="0019838B" w:rsidR="00B80F8D" w:rsidRPr="00034E9B" w:rsidRDefault="00B80F8D" w:rsidP="00B80F8D">
            <w:pPr>
              <w:pStyle w:val="CGCTablerow"/>
            </w:pPr>
            <w:r w:rsidRPr="00034E9B">
              <w:t>Include patient remoteness within general gradient</w:t>
            </w:r>
          </w:p>
        </w:tc>
        <w:tc>
          <w:tcPr>
            <w:tcW w:w="516" w:type="pct"/>
          </w:tcPr>
          <w:p w14:paraId="6F962DE1" w14:textId="1825FCC1" w:rsidR="00B80F8D" w:rsidRPr="00034E9B" w:rsidRDefault="00B80F8D" w:rsidP="00B80F8D">
            <w:pPr>
              <w:pStyle w:val="CGCTablerow"/>
            </w:pPr>
            <w:r w:rsidRPr="00034E9B">
              <w:t>WA</w:t>
            </w:r>
          </w:p>
        </w:tc>
        <w:tc>
          <w:tcPr>
            <w:tcW w:w="475" w:type="pct"/>
          </w:tcPr>
          <w:p w14:paraId="6F6B11E9" w14:textId="2B1FD883" w:rsidR="00B80F8D" w:rsidRPr="00034E9B" w:rsidRDefault="00B80F8D" w:rsidP="00B80F8D">
            <w:pPr>
              <w:pStyle w:val="CGCTablerow"/>
            </w:pPr>
            <w:r w:rsidRPr="00034E9B">
              <w:t>No</w:t>
            </w:r>
          </w:p>
        </w:tc>
        <w:tc>
          <w:tcPr>
            <w:tcW w:w="2351" w:type="pct"/>
          </w:tcPr>
          <w:p w14:paraId="799B1D8A" w14:textId="4D6E2299" w:rsidR="00B80F8D" w:rsidRPr="00034E9B" w:rsidRDefault="00B80F8D" w:rsidP="00B80F8D">
            <w:pPr>
              <w:pStyle w:val="CGCTablerow"/>
            </w:pPr>
            <w:r w:rsidRPr="00034E9B">
              <w:t xml:space="preserve">The conceptual basis that place of residence has an effect on cost of services has been established for hospitals, but there is no evidence that such effects can be extrapolated to other services. </w:t>
            </w:r>
          </w:p>
        </w:tc>
      </w:tr>
    </w:tbl>
    <w:p w14:paraId="1606CAE4" w14:textId="6AA56E92" w:rsidR="00593181" w:rsidRPr="00034E9B" w:rsidRDefault="00593181" w:rsidP="00593181">
      <w:pPr>
        <w:pStyle w:val="CGCTablenote"/>
      </w:pPr>
      <w:r w:rsidRPr="00034E9B">
        <w:t>Note:</w:t>
      </w:r>
      <w:r w:rsidRPr="00034E9B">
        <w:tab/>
        <w:t xml:space="preserve">Acronyms used in this table are spelt out in the </w:t>
      </w:r>
      <w:r w:rsidR="00AB0B9B">
        <w:t>list of acronyms at the beginning of this volume</w:t>
      </w:r>
      <w:r w:rsidRPr="00034E9B">
        <w:t>.</w:t>
      </w:r>
    </w:p>
    <w:p w14:paraId="1DA25403" w14:textId="77777777" w:rsidR="00593181" w:rsidRPr="00034E9B" w:rsidRDefault="00593181" w:rsidP="00593181">
      <w:pPr>
        <w:pStyle w:val="CGCTablenote"/>
      </w:pPr>
      <w:r w:rsidRPr="00034E9B">
        <w:t>Source:</w:t>
      </w:r>
      <w:r w:rsidRPr="00034E9B">
        <w:tab/>
        <w:t>Commission decisions.</w:t>
      </w:r>
    </w:p>
    <w:p w14:paraId="43EBD3BF" w14:textId="77777777" w:rsidR="003E515A" w:rsidRPr="00034E9B" w:rsidRDefault="003E515A" w:rsidP="003E515A">
      <w:pPr>
        <w:pStyle w:val="Caption"/>
      </w:pPr>
      <w:r w:rsidRPr="00034E9B">
        <w:lastRenderedPageBreak/>
        <w:t>Table 1</w:t>
      </w:r>
      <w:r w:rsidRPr="00034E9B">
        <w:noBreakHyphen/>
        <w:t>5</w:t>
      </w:r>
      <w:r w:rsidRPr="00034E9B">
        <w:tab/>
        <w:t>Commission responses to State proposals, 2020 Review (continued)</w:t>
      </w:r>
    </w:p>
    <w:tbl>
      <w:tblPr>
        <w:tblW w:w="5068" w:type="pct"/>
        <w:tblBorders>
          <w:top w:val="single" w:sz="4" w:space="0" w:color="ADD6EA"/>
          <w:bottom w:val="single" w:sz="4" w:space="0" w:color="ADD6EA"/>
          <w:insideH w:val="single" w:sz="4" w:space="0" w:color="ADD6EA"/>
        </w:tblBorders>
        <w:tblCellMar>
          <w:left w:w="28" w:type="dxa"/>
          <w:right w:w="85" w:type="dxa"/>
        </w:tblCellMar>
        <w:tblLook w:val="0000" w:firstRow="0" w:lastRow="0" w:firstColumn="0" w:lastColumn="0" w:noHBand="0" w:noVBand="0"/>
      </w:tblPr>
      <w:tblGrid>
        <w:gridCol w:w="3095"/>
        <w:gridCol w:w="963"/>
        <w:gridCol w:w="886"/>
        <w:gridCol w:w="4243"/>
      </w:tblGrid>
      <w:tr w:rsidR="003E515A" w:rsidRPr="00034E9B" w14:paraId="24DC1CAF" w14:textId="77777777" w:rsidTr="00C01414">
        <w:trPr>
          <w:trHeight w:val="284"/>
        </w:trPr>
        <w:tc>
          <w:tcPr>
            <w:tcW w:w="1684" w:type="pct"/>
            <w:tcBorders>
              <w:bottom w:val="single" w:sz="4" w:space="0" w:color="ADD6EA"/>
            </w:tcBorders>
            <w:shd w:val="clear" w:color="auto" w:fill="006991"/>
            <w:vAlign w:val="center"/>
          </w:tcPr>
          <w:p w14:paraId="49272027" w14:textId="77777777" w:rsidR="003E515A" w:rsidRPr="00034E9B" w:rsidRDefault="003E515A" w:rsidP="00397C34">
            <w:pPr>
              <w:pStyle w:val="CGCTableheader"/>
              <w:rPr>
                <w:lang w:val="en-AU"/>
              </w:rPr>
            </w:pPr>
            <w:r w:rsidRPr="00034E9B">
              <w:rPr>
                <w:lang w:val="en-AU"/>
              </w:rPr>
              <w:t>Proposal</w:t>
            </w:r>
          </w:p>
        </w:tc>
        <w:tc>
          <w:tcPr>
            <w:tcW w:w="524" w:type="pct"/>
            <w:tcBorders>
              <w:bottom w:val="single" w:sz="4" w:space="0" w:color="ADD6EA"/>
            </w:tcBorders>
            <w:shd w:val="clear" w:color="auto" w:fill="006991"/>
            <w:vAlign w:val="center"/>
          </w:tcPr>
          <w:p w14:paraId="7D0942DE" w14:textId="77777777" w:rsidR="003E515A" w:rsidRPr="00034E9B" w:rsidRDefault="003E515A" w:rsidP="00397C34">
            <w:pPr>
              <w:pStyle w:val="CGCTableheader"/>
              <w:rPr>
                <w:lang w:val="en-AU"/>
              </w:rPr>
            </w:pPr>
            <w:r w:rsidRPr="00034E9B">
              <w:rPr>
                <w:lang w:val="en-AU"/>
              </w:rPr>
              <w:t>State</w:t>
            </w:r>
          </w:p>
        </w:tc>
        <w:tc>
          <w:tcPr>
            <w:tcW w:w="482" w:type="pct"/>
            <w:tcBorders>
              <w:bottom w:val="single" w:sz="4" w:space="0" w:color="ADD6EA"/>
            </w:tcBorders>
            <w:shd w:val="clear" w:color="auto" w:fill="006991"/>
            <w:vAlign w:val="center"/>
          </w:tcPr>
          <w:p w14:paraId="67574285" w14:textId="77777777" w:rsidR="003E515A" w:rsidRPr="00034E9B" w:rsidRDefault="003E515A" w:rsidP="00397C34">
            <w:pPr>
              <w:pStyle w:val="CGCTableheader"/>
              <w:rPr>
                <w:lang w:val="en-AU"/>
              </w:rPr>
            </w:pPr>
            <w:r w:rsidRPr="00034E9B">
              <w:rPr>
                <w:lang w:val="en-AU"/>
              </w:rPr>
              <w:t>Adopted</w:t>
            </w:r>
          </w:p>
        </w:tc>
        <w:tc>
          <w:tcPr>
            <w:tcW w:w="2309" w:type="pct"/>
            <w:tcBorders>
              <w:bottom w:val="single" w:sz="4" w:space="0" w:color="ADD6EA"/>
            </w:tcBorders>
            <w:shd w:val="clear" w:color="auto" w:fill="006991"/>
            <w:vAlign w:val="center"/>
          </w:tcPr>
          <w:p w14:paraId="199FDC88" w14:textId="77777777" w:rsidR="003E515A" w:rsidRPr="00034E9B" w:rsidRDefault="003E515A" w:rsidP="00397C34">
            <w:pPr>
              <w:pStyle w:val="CGCTableheader"/>
              <w:rPr>
                <w:lang w:val="en-AU"/>
              </w:rPr>
            </w:pPr>
            <w:r w:rsidRPr="00034E9B">
              <w:rPr>
                <w:lang w:val="en-AU"/>
              </w:rPr>
              <w:t>Explanation</w:t>
            </w:r>
          </w:p>
        </w:tc>
      </w:tr>
      <w:tr w:rsidR="003E515A" w:rsidRPr="00034E9B" w14:paraId="757DB485" w14:textId="77777777" w:rsidTr="00C01414">
        <w:tc>
          <w:tcPr>
            <w:tcW w:w="1684" w:type="pct"/>
            <w:shd w:val="clear" w:color="auto" w:fill="B6D5E4"/>
          </w:tcPr>
          <w:p w14:paraId="2B451FCC" w14:textId="77777777" w:rsidR="003E515A" w:rsidRPr="00034E9B" w:rsidRDefault="003E515A" w:rsidP="00B80D74">
            <w:pPr>
              <w:pStyle w:val="CGCTablesubhead1"/>
              <w:rPr>
                <w:lang w:val="en-AU"/>
              </w:rPr>
            </w:pPr>
            <w:r w:rsidRPr="00034E9B">
              <w:rPr>
                <w:lang w:val="en-AU"/>
              </w:rPr>
              <w:t>National Capital</w:t>
            </w:r>
          </w:p>
        </w:tc>
        <w:tc>
          <w:tcPr>
            <w:tcW w:w="524" w:type="pct"/>
            <w:shd w:val="clear" w:color="auto" w:fill="B6D5E4"/>
          </w:tcPr>
          <w:p w14:paraId="15E18DC2" w14:textId="77777777" w:rsidR="003E515A" w:rsidRPr="00034E9B" w:rsidRDefault="003E515A" w:rsidP="00B80D74">
            <w:pPr>
              <w:pStyle w:val="CGCTablesubhead1"/>
              <w:rPr>
                <w:lang w:val="en-AU"/>
              </w:rPr>
            </w:pPr>
          </w:p>
        </w:tc>
        <w:tc>
          <w:tcPr>
            <w:tcW w:w="482" w:type="pct"/>
            <w:shd w:val="clear" w:color="auto" w:fill="B6D5E4"/>
          </w:tcPr>
          <w:p w14:paraId="09080B3F" w14:textId="77777777" w:rsidR="003E515A" w:rsidRPr="00034E9B" w:rsidRDefault="003E515A" w:rsidP="00B80D74">
            <w:pPr>
              <w:pStyle w:val="CGCTablesubhead1"/>
              <w:rPr>
                <w:lang w:val="en-AU"/>
              </w:rPr>
            </w:pPr>
          </w:p>
        </w:tc>
        <w:tc>
          <w:tcPr>
            <w:tcW w:w="2309" w:type="pct"/>
            <w:shd w:val="clear" w:color="auto" w:fill="B6D5E4"/>
          </w:tcPr>
          <w:p w14:paraId="14A4131B" w14:textId="77777777" w:rsidR="003E515A" w:rsidRPr="00034E9B" w:rsidRDefault="003E515A" w:rsidP="00B80D74">
            <w:pPr>
              <w:pStyle w:val="CGCTablesubhead1"/>
              <w:rPr>
                <w:lang w:val="en-AU"/>
              </w:rPr>
            </w:pPr>
          </w:p>
        </w:tc>
      </w:tr>
      <w:tr w:rsidR="003E515A" w:rsidRPr="00034E9B" w14:paraId="219694B4" w14:textId="77777777" w:rsidTr="00C01414">
        <w:tc>
          <w:tcPr>
            <w:tcW w:w="1684" w:type="pct"/>
            <w:shd w:val="clear" w:color="auto" w:fill="auto"/>
          </w:tcPr>
          <w:p w14:paraId="7283379E" w14:textId="77777777" w:rsidR="003E515A" w:rsidRPr="00034E9B" w:rsidRDefault="003E515A" w:rsidP="00B80D74">
            <w:pPr>
              <w:pStyle w:val="CGCTablerow"/>
              <w:rPr>
                <w:rFonts w:cs="Open Sans Light"/>
              </w:rPr>
            </w:pPr>
            <w:r w:rsidRPr="00034E9B">
              <w:rPr>
                <w:rFonts w:eastAsia="Times New Roman" w:cs="Open Sans Light"/>
                <w:color w:val="000000"/>
                <w:lang w:eastAsia="en-AU"/>
              </w:rPr>
              <w:t>National Capital Plan on planning and development activities</w:t>
            </w:r>
          </w:p>
        </w:tc>
        <w:tc>
          <w:tcPr>
            <w:tcW w:w="524" w:type="pct"/>
            <w:shd w:val="clear" w:color="auto" w:fill="auto"/>
          </w:tcPr>
          <w:p w14:paraId="2EF9986B" w14:textId="77777777" w:rsidR="003E515A" w:rsidRPr="00034E9B" w:rsidRDefault="003E515A" w:rsidP="00B80D74">
            <w:pPr>
              <w:pStyle w:val="CGCTablerow"/>
              <w:rPr>
                <w:rFonts w:cs="Open Sans Light"/>
              </w:rPr>
            </w:pPr>
            <w:r w:rsidRPr="00034E9B">
              <w:rPr>
                <w:rFonts w:cs="Open Sans Light"/>
              </w:rPr>
              <w:t>ACT</w:t>
            </w:r>
          </w:p>
        </w:tc>
        <w:tc>
          <w:tcPr>
            <w:tcW w:w="482" w:type="pct"/>
            <w:shd w:val="clear" w:color="auto" w:fill="auto"/>
          </w:tcPr>
          <w:p w14:paraId="385909A1" w14:textId="77777777" w:rsidR="003E515A" w:rsidRPr="00034E9B" w:rsidRDefault="003E515A" w:rsidP="00B80D74">
            <w:pPr>
              <w:pStyle w:val="CGCTablerow"/>
              <w:rPr>
                <w:rFonts w:cs="Open Sans Light"/>
              </w:rPr>
            </w:pPr>
            <w:r w:rsidRPr="00034E9B">
              <w:rPr>
                <w:rFonts w:cs="Open Sans Light"/>
              </w:rPr>
              <w:t>Yes</w:t>
            </w:r>
          </w:p>
        </w:tc>
        <w:tc>
          <w:tcPr>
            <w:tcW w:w="2309" w:type="pct"/>
            <w:shd w:val="clear" w:color="auto" w:fill="auto"/>
          </w:tcPr>
          <w:p w14:paraId="4AD32746" w14:textId="77777777" w:rsidR="003E515A" w:rsidRPr="00034E9B" w:rsidRDefault="003E515A" w:rsidP="00B80D74">
            <w:pPr>
              <w:pStyle w:val="CGCTablerow"/>
              <w:rPr>
                <w:rFonts w:cs="Open Sans Light"/>
              </w:rPr>
            </w:pPr>
            <w:r w:rsidRPr="00034E9B">
              <w:rPr>
                <w:rFonts w:cs="Open Sans Light"/>
              </w:rPr>
              <w:t>A strong conceptual case for these allowances.</w:t>
            </w:r>
          </w:p>
        </w:tc>
      </w:tr>
      <w:tr w:rsidR="003E515A" w:rsidRPr="00034E9B" w14:paraId="1F8785DF" w14:textId="77777777" w:rsidTr="00C01414">
        <w:tc>
          <w:tcPr>
            <w:tcW w:w="1684" w:type="pct"/>
            <w:shd w:val="clear" w:color="auto" w:fill="auto"/>
          </w:tcPr>
          <w:p w14:paraId="28D382ED" w14:textId="77777777" w:rsidR="003E515A" w:rsidRPr="00034E9B" w:rsidRDefault="003E515A" w:rsidP="00B80D74">
            <w:pPr>
              <w:pStyle w:val="CGCTablerow"/>
              <w:rPr>
                <w:rFonts w:cs="Open Sans Light"/>
              </w:rPr>
            </w:pPr>
            <w:r w:rsidRPr="00034E9B">
              <w:rPr>
                <w:rFonts w:eastAsia="Times New Roman" w:cs="Open Sans Light"/>
                <w:color w:val="000000"/>
                <w:lang w:eastAsia="en-AU"/>
              </w:rPr>
              <w:t>National Capital Plan on the ACT's capital works program</w:t>
            </w:r>
          </w:p>
        </w:tc>
        <w:tc>
          <w:tcPr>
            <w:tcW w:w="524" w:type="pct"/>
            <w:shd w:val="clear" w:color="auto" w:fill="auto"/>
          </w:tcPr>
          <w:p w14:paraId="55528727" w14:textId="77777777" w:rsidR="003E515A" w:rsidRPr="00034E9B" w:rsidRDefault="003E515A" w:rsidP="00B80D74">
            <w:pPr>
              <w:pStyle w:val="CGCTablerow"/>
              <w:rPr>
                <w:rFonts w:cs="Open Sans Light"/>
              </w:rPr>
            </w:pPr>
            <w:r w:rsidRPr="00034E9B">
              <w:rPr>
                <w:rFonts w:cs="Open Sans Light"/>
              </w:rPr>
              <w:t>ACT</w:t>
            </w:r>
          </w:p>
        </w:tc>
        <w:tc>
          <w:tcPr>
            <w:tcW w:w="482" w:type="pct"/>
            <w:shd w:val="clear" w:color="auto" w:fill="auto"/>
          </w:tcPr>
          <w:p w14:paraId="5A17C0D4" w14:textId="77777777" w:rsidR="003E515A" w:rsidRPr="00034E9B" w:rsidRDefault="003E515A" w:rsidP="00B80D74">
            <w:pPr>
              <w:pStyle w:val="CGCTablerow"/>
              <w:rPr>
                <w:rFonts w:cs="Open Sans Light"/>
              </w:rPr>
            </w:pPr>
            <w:r w:rsidRPr="00034E9B">
              <w:rPr>
                <w:rFonts w:cs="Open Sans Light"/>
              </w:rPr>
              <w:t>Partially</w:t>
            </w:r>
          </w:p>
        </w:tc>
        <w:tc>
          <w:tcPr>
            <w:tcW w:w="2309" w:type="pct"/>
            <w:shd w:val="clear" w:color="auto" w:fill="auto"/>
          </w:tcPr>
          <w:p w14:paraId="5C4D60CD" w14:textId="77777777" w:rsidR="003E515A" w:rsidRPr="00034E9B" w:rsidRDefault="003E515A" w:rsidP="00B80D74">
            <w:pPr>
              <w:pStyle w:val="CGCTablerow"/>
              <w:rPr>
                <w:rFonts w:cs="Open Sans Light"/>
              </w:rPr>
            </w:pPr>
            <w:r w:rsidRPr="00034E9B">
              <w:rPr>
                <w:rFonts w:cs="Open Sans Light"/>
              </w:rPr>
              <w:t xml:space="preserve">An allowance for the administration costs related to capital works is accepted but the capital costs are not. </w:t>
            </w:r>
          </w:p>
        </w:tc>
      </w:tr>
      <w:tr w:rsidR="003E515A" w:rsidRPr="00034E9B" w14:paraId="5855BFA6" w14:textId="77777777" w:rsidTr="00C01414">
        <w:tc>
          <w:tcPr>
            <w:tcW w:w="1684" w:type="pct"/>
            <w:shd w:val="clear" w:color="auto" w:fill="auto"/>
          </w:tcPr>
          <w:p w14:paraId="2D2776FB" w14:textId="77777777" w:rsidR="003E515A" w:rsidRPr="00034E9B" w:rsidRDefault="003E515A" w:rsidP="00B80D74">
            <w:pPr>
              <w:pStyle w:val="CGCTablerow"/>
              <w:rPr>
                <w:rFonts w:cs="Open Sans Light"/>
              </w:rPr>
            </w:pPr>
            <w:r w:rsidRPr="00034E9B">
              <w:rPr>
                <w:rFonts w:eastAsia="Times New Roman" w:cs="Open Sans Light"/>
                <w:color w:val="000000"/>
                <w:lang w:eastAsia="en-AU"/>
              </w:rPr>
              <w:t>National Capital Plan on the ACT's light rail project</w:t>
            </w:r>
          </w:p>
        </w:tc>
        <w:tc>
          <w:tcPr>
            <w:tcW w:w="524" w:type="pct"/>
            <w:shd w:val="clear" w:color="auto" w:fill="auto"/>
          </w:tcPr>
          <w:p w14:paraId="5E0C5326" w14:textId="77777777" w:rsidR="003E515A" w:rsidRPr="00034E9B" w:rsidRDefault="003E515A" w:rsidP="00B80D74">
            <w:pPr>
              <w:pStyle w:val="CGCTablerow"/>
              <w:rPr>
                <w:rFonts w:cs="Open Sans Light"/>
              </w:rPr>
            </w:pPr>
            <w:r w:rsidRPr="00034E9B">
              <w:rPr>
                <w:rFonts w:cs="Open Sans Light"/>
              </w:rPr>
              <w:t>ACT</w:t>
            </w:r>
          </w:p>
        </w:tc>
        <w:tc>
          <w:tcPr>
            <w:tcW w:w="482" w:type="pct"/>
            <w:shd w:val="clear" w:color="auto" w:fill="auto"/>
          </w:tcPr>
          <w:p w14:paraId="19DEBC16" w14:textId="77777777" w:rsidR="003E515A" w:rsidRPr="00034E9B" w:rsidRDefault="003E515A" w:rsidP="00B80D74">
            <w:pPr>
              <w:pStyle w:val="CGCTablerow"/>
              <w:rPr>
                <w:rFonts w:cs="Open Sans Light"/>
              </w:rPr>
            </w:pPr>
            <w:r w:rsidRPr="00034E9B">
              <w:rPr>
                <w:rFonts w:cs="Open Sans Light"/>
              </w:rPr>
              <w:t>Partially</w:t>
            </w:r>
          </w:p>
        </w:tc>
        <w:tc>
          <w:tcPr>
            <w:tcW w:w="2309" w:type="pct"/>
            <w:shd w:val="clear" w:color="auto" w:fill="auto"/>
          </w:tcPr>
          <w:p w14:paraId="10E26552" w14:textId="77777777" w:rsidR="003E515A" w:rsidRPr="00034E9B" w:rsidRDefault="003E515A" w:rsidP="00B80D74">
            <w:pPr>
              <w:pStyle w:val="CGCTablerow"/>
              <w:rPr>
                <w:rFonts w:cs="Open Sans Light"/>
              </w:rPr>
            </w:pPr>
            <w:r w:rsidRPr="00034E9B">
              <w:rPr>
                <w:rFonts w:cs="Open Sans Light"/>
              </w:rPr>
              <w:t>An allowance for the administration costs related to light rail works is accepted but the capital costs are not.</w:t>
            </w:r>
          </w:p>
        </w:tc>
      </w:tr>
      <w:tr w:rsidR="003E515A" w:rsidRPr="00034E9B" w14:paraId="51D34624" w14:textId="77777777" w:rsidTr="00C01414">
        <w:tc>
          <w:tcPr>
            <w:tcW w:w="1684" w:type="pct"/>
            <w:shd w:val="clear" w:color="auto" w:fill="auto"/>
          </w:tcPr>
          <w:p w14:paraId="6CA61A5E" w14:textId="77777777" w:rsidR="003E515A" w:rsidRPr="00034E9B" w:rsidRDefault="003E515A" w:rsidP="00B80D74">
            <w:pPr>
              <w:pStyle w:val="CGCTablerow"/>
              <w:rPr>
                <w:rFonts w:cs="Open Sans Light"/>
              </w:rPr>
            </w:pPr>
            <w:r w:rsidRPr="00034E9B">
              <w:rPr>
                <w:rFonts w:eastAsia="Times New Roman" w:cs="Open Sans Light"/>
                <w:color w:val="000000"/>
                <w:lang w:eastAsia="en-AU"/>
              </w:rPr>
              <w:t>National Capital Plan costs incurred due to leasehold system</w:t>
            </w:r>
          </w:p>
        </w:tc>
        <w:tc>
          <w:tcPr>
            <w:tcW w:w="524" w:type="pct"/>
            <w:shd w:val="clear" w:color="auto" w:fill="auto"/>
          </w:tcPr>
          <w:p w14:paraId="3B4E8AE6" w14:textId="77777777" w:rsidR="003E515A" w:rsidRPr="00034E9B" w:rsidRDefault="003E515A" w:rsidP="00B80D74">
            <w:pPr>
              <w:pStyle w:val="CGCTablerow"/>
              <w:rPr>
                <w:rFonts w:cs="Open Sans Light"/>
              </w:rPr>
            </w:pPr>
            <w:r w:rsidRPr="00034E9B">
              <w:rPr>
                <w:rFonts w:cs="Open Sans Light"/>
              </w:rPr>
              <w:t>ACT</w:t>
            </w:r>
          </w:p>
        </w:tc>
        <w:tc>
          <w:tcPr>
            <w:tcW w:w="482" w:type="pct"/>
            <w:shd w:val="clear" w:color="auto" w:fill="auto"/>
          </w:tcPr>
          <w:p w14:paraId="4F33720B" w14:textId="77777777" w:rsidR="003E515A" w:rsidRPr="00034E9B" w:rsidRDefault="003E515A" w:rsidP="00B80D74">
            <w:pPr>
              <w:pStyle w:val="CGCTablerow"/>
              <w:rPr>
                <w:rFonts w:cs="Open Sans Light"/>
              </w:rPr>
            </w:pPr>
            <w:r w:rsidRPr="00034E9B">
              <w:rPr>
                <w:rFonts w:cs="Open Sans Light"/>
              </w:rPr>
              <w:t>Yes</w:t>
            </w:r>
          </w:p>
        </w:tc>
        <w:tc>
          <w:tcPr>
            <w:tcW w:w="2309" w:type="pct"/>
            <w:shd w:val="clear" w:color="auto" w:fill="auto"/>
          </w:tcPr>
          <w:p w14:paraId="03AAFDB2" w14:textId="77777777" w:rsidR="003E515A" w:rsidRPr="00034E9B" w:rsidRDefault="003E515A" w:rsidP="00B80D74">
            <w:pPr>
              <w:pStyle w:val="CGCTablerow"/>
              <w:rPr>
                <w:rFonts w:cs="Open Sans Light"/>
              </w:rPr>
            </w:pPr>
            <w:r w:rsidRPr="00034E9B">
              <w:rPr>
                <w:rFonts w:cs="Open Sans Light"/>
              </w:rPr>
              <w:t>The ACT does not have an option to end the leasehold system and move to a freehold system.</w:t>
            </w:r>
          </w:p>
        </w:tc>
      </w:tr>
      <w:tr w:rsidR="003E515A" w:rsidRPr="00034E9B" w14:paraId="522AA726" w14:textId="77777777" w:rsidTr="00C01414">
        <w:tc>
          <w:tcPr>
            <w:tcW w:w="1684" w:type="pct"/>
            <w:shd w:val="clear" w:color="auto" w:fill="auto"/>
          </w:tcPr>
          <w:p w14:paraId="3136C0ED" w14:textId="77777777" w:rsidR="003E515A" w:rsidRPr="00034E9B" w:rsidRDefault="003E515A" w:rsidP="00B80D74">
            <w:pPr>
              <w:pStyle w:val="CGCTablerow"/>
              <w:rPr>
                <w:rFonts w:cs="Open Sans Light"/>
              </w:rPr>
            </w:pPr>
            <w:r w:rsidRPr="00034E9B">
              <w:rPr>
                <w:rFonts w:eastAsia="Times New Roman" w:cs="Open Sans Light"/>
                <w:color w:val="000000"/>
                <w:lang w:eastAsia="en-AU"/>
              </w:rPr>
              <w:t>The additional costs of maintaining above average urban space</w:t>
            </w:r>
          </w:p>
        </w:tc>
        <w:tc>
          <w:tcPr>
            <w:tcW w:w="524" w:type="pct"/>
            <w:shd w:val="clear" w:color="auto" w:fill="auto"/>
          </w:tcPr>
          <w:p w14:paraId="1C940284" w14:textId="77777777" w:rsidR="003E515A" w:rsidRPr="00034E9B" w:rsidRDefault="003E515A" w:rsidP="00B80D74">
            <w:pPr>
              <w:pStyle w:val="CGCTablerow"/>
              <w:rPr>
                <w:rFonts w:cs="Open Sans Light"/>
              </w:rPr>
            </w:pPr>
            <w:r w:rsidRPr="00034E9B">
              <w:rPr>
                <w:rFonts w:cs="Open Sans Light"/>
              </w:rPr>
              <w:t>ACT</w:t>
            </w:r>
          </w:p>
        </w:tc>
        <w:tc>
          <w:tcPr>
            <w:tcW w:w="482" w:type="pct"/>
            <w:shd w:val="clear" w:color="auto" w:fill="auto"/>
          </w:tcPr>
          <w:p w14:paraId="75314131" w14:textId="77777777" w:rsidR="003E515A" w:rsidRPr="00034E9B" w:rsidRDefault="003E515A" w:rsidP="00B80D74">
            <w:pPr>
              <w:pStyle w:val="CGCTablerow"/>
              <w:rPr>
                <w:rFonts w:cs="Open Sans Light"/>
              </w:rPr>
            </w:pPr>
            <w:r w:rsidRPr="00034E9B">
              <w:rPr>
                <w:rFonts w:cs="Open Sans Light"/>
              </w:rPr>
              <w:t>No</w:t>
            </w:r>
          </w:p>
        </w:tc>
        <w:tc>
          <w:tcPr>
            <w:tcW w:w="2309" w:type="pct"/>
            <w:shd w:val="clear" w:color="auto" w:fill="auto"/>
          </w:tcPr>
          <w:p w14:paraId="7D9EDA53" w14:textId="77777777" w:rsidR="003E515A" w:rsidRPr="00034E9B" w:rsidRDefault="003E515A" w:rsidP="00B80D74">
            <w:pPr>
              <w:pStyle w:val="CGCTablerow"/>
              <w:rPr>
                <w:rFonts w:cs="Open Sans Light"/>
              </w:rPr>
            </w:pPr>
            <w:r w:rsidRPr="00034E9B">
              <w:rPr>
                <w:rFonts w:cs="Open Sans Light"/>
              </w:rPr>
              <w:t>Insufficient evidence ACT faces above average costs beyond its control.</w:t>
            </w:r>
          </w:p>
        </w:tc>
      </w:tr>
      <w:tr w:rsidR="003E515A" w:rsidRPr="00034E9B" w14:paraId="531AA8A2" w14:textId="77777777" w:rsidTr="00C01414">
        <w:tc>
          <w:tcPr>
            <w:tcW w:w="1684" w:type="pct"/>
            <w:shd w:val="clear" w:color="auto" w:fill="auto"/>
          </w:tcPr>
          <w:p w14:paraId="495B4687" w14:textId="77777777" w:rsidR="003E515A" w:rsidRPr="00034E9B" w:rsidRDefault="003E515A" w:rsidP="00B80D74">
            <w:pPr>
              <w:pStyle w:val="CGCTablerow"/>
              <w:rPr>
                <w:rFonts w:cs="Open Sans Light"/>
              </w:rPr>
            </w:pPr>
            <w:r w:rsidRPr="00034E9B">
              <w:rPr>
                <w:rFonts w:eastAsia="Times New Roman" w:cs="Open Sans Light"/>
                <w:color w:val="000000"/>
                <w:lang w:eastAsia="en-AU"/>
              </w:rPr>
              <w:t>Additional ACTION costs</w:t>
            </w:r>
          </w:p>
        </w:tc>
        <w:tc>
          <w:tcPr>
            <w:tcW w:w="524" w:type="pct"/>
            <w:shd w:val="clear" w:color="auto" w:fill="auto"/>
          </w:tcPr>
          <w:p w14:paraId="4DAD8E32" w14:textId="77777777" w:rsidR="003E515A" w:rsidRPr="00034E9B" w:rsidRDefault="003E515A" w:rsidP="00B80D74">
            <w:pPr>
              <w:pStyle w:val="CGCTablerow"/>
              <w:rPr>
                <w:rFonts w:cs="Open Sans Light"/>
              </w:rPr>
            </w:pPr>
            <w:r w:rsidRPr="00034E9B">
              <w:rPr>
                <w:rFonts w:cs="Open Sans Light"/>
              </w:rPr>
              <w:t>ACT</w:t>
            </w:r>
          </w:p>
        </w:tc>
        <w:tc>
          <w:tcPr>
            <w:tcW w:w="482" w:type="pct"/>
            <w:shd w:val="clear" w:color="auto" w:fill="auto"/>
          </w:tcPr>
          <w:p w14:paraId="1634F640" w14:textId="77777777" w:rsidR="003E515A" w:rsidRPr="00034E9B" w:rsidRDefault="003E515A" w:rsidP="00B80D74">
            <w:pPr>
              <w:pStyle w:val="CGCTablerow"/>
              <w:rPr>
                <w:rFonts w:cs="Open Sans Light"/>
              </w:rPr>
            </w:pPr>
            <w:r w:rsidRPr="00034E9B">
              <w:rPr>
                <w:rFonts w:cs="Open Sans Light"/>
              </w:rPr>
              <w:t>No</w:t>
            </w:r>
          </w:p>
        </w:tc>
        <w:tc>
          <w:tcPr>
            <w:tcW w:w="2309" w:type="pct"/>
            <w:shd w:val="clear" w:color="auto" w:fill="auto"/>
          </w:tcPr>
          <w:p w14:paraId="08D79FD0" w14:textId="77777777" w:rsidR="003E515A" w:rsidRPr="00034E9B" w:rsidRDefault="003E515A" w:rsidP="00B80D74">
            <w:pPr>
              <w:pStyle w:val="CGCTablerow"/>
              <w:rPr>
                <w:rFonts w:cs="Open Sans Light"/>
              </w:rPr>
            </w:pPr>
            <w:r w:rsidRPr="00034E9B">
              <w:rPr>
                <w:rFonts w:cs="Open Sans Light"/>
              </w:rPr>
              <w:t>Considered in Transport assessment.</w:t>
            </w:r>
          </w:p>
        </w:tc>
      </w:tr>
      <w:tr w:rsidR="003E515A" w:rsidRPr="00034E9B" w14:paraId="6BF6501A" w14:textId="77777777" w:rsidTr="00C01414">
        <w:tc>
          <w:tcPr>
            <w:tcW w:w="1684" w:type="pct"/>
            <w:shd w:val="clear" w:color="auto" w:fill="auto"/>
          </w:tcPr>
          <w:p w14:paraId="40C41FED" w14:textId="77777777" w:rsidR="003E515A" w:rsidRPr="00034E9B" w:rsidRDefault="003E515A" w:rsidP="00B80D74">
            <w:pPr>
              <w:pStyle w:val="CGCTablerow"/>
              <w:rPr>
                <w:rFonts w:cs="Open Sans Light"/>
              </w:rPr>
            </w:pPr>
            <w:r w:rsidRPr="00034E9B">
              <w:rPr>
                <w:rFonts w:eastAsia="Times New Roman" w:cs="Open Sans Light"/>
                <w:color w:val="000000"/>
                <w:lang w:eastAsia="en-AU"/>
              </w:rPr>
              <w:t>Above average urban/bush interface</w:t>
            </w:r>
          </w:p>
        </w:tc>
        <w:tc>
          <w:tcPr>
            <w:tcW w:w="524" w:type="pct"/>
            <w:shd w:val="clear" w:color="auto" w:fill="auto"/>
          </w:tcPr>
          <w:p w14:paraId="3F098F1B" w14:textId="77777777" w:rsidR="003E515A" w:rsidRPr="00034E9B" w:rsidRDefault="003E515A" w:rsidP="00B80D74">
            <w:pPr>
              <w:pStyle w:val="CGCTablerow"/>
              <w:rPr>
                <w:rFonts w:cs="Open Sans Light"/>
              </w:rPr>
            </w:pPr>
            <w:r w:rsidRPr="00034E9B">
              <w:rPr>
                <w:rFonts w:cs="Open Sans Light"/>
              </w:rPr>
              <w:t>ACT</w:t>
            </w:r>
          </w:p>
        </w:tc>
        <w:tc>
          <w:tcPr>
            <w:tcW w:w="482" w:type="pct"/>
            <w:shd w:val="clear" w:color="auto" w:fill="auto"/>
          </w:tcPr>
          <w:p w14:paraId="6CC3C7A3" w14:textId="77777777" w:rsidR="003E515A" w:rsidRPr="00034E9B" w:rsidRDefault="003E515A" w:rsidP="00B80D74">
            <w:pPr>
              <w:pStyle w:val="CGCTablerow"/>
              <w:rPr>
                <w:rFonts w:cs="Open Sans Light"/>
              </w:rPr>
            </w:pPr>
            <w:r w:rsidRPr="00034E9B">
              <w:rPr>
                <w:rFonts w:cs="Open Sans Light"/>
              </w:rPr>
              <w:t>No</w:t>
            </w:r>
          </w:p>
        </w:tc>
        <w:tc>
          <w:tcPr>
            <w:tcW w:w="2309" w:type="pct"/>
            <w:shd w:val="clear" w:color="auto" w:fill="auto"/>
          </w:tcPr>
          <w:p w14:paraId="2DCEA756" w14:textId="77777777" w:rsidR="003E515A" w:rsidRPr="00034E9B" w:rsidRDefault="003E515A" w:rsidP="00B80D74">
            <w:pPr>
              <w:pStyle w:val="CGCTablerow"/>
              <w:rPr>
                <w:rFonts w:cs="Open Sans Light"/>
              </w:rPr>
            </w:pPr>
            <w:r w:rsidRPr="00034E9B">
              <w:rPr>
                <w:rFonts w:cs="Open Sans Light"/>
              </w:rPr>
              <w:t>Insufficient evidence ACT faces above average costs beyond its control.</w:t>
            </w:r>
          </w:p>
        </w:tc>
      </w:tr>
      <w:tr w:rsidR="003E515A" w:rsidRPr="00034E9B" w14:paraId="5EF4BACA" w14:textId="77777777" w:rsidTr="00C01414">
        <w:tc>
          <w:tcPr>
            <w:tcW w:w="1684" w:type="pct"/>
            <w:shd w:val="clear" w:color="auto" w:fill="auto"/>
          </w:tcPr>
          <w:p w14:paraId="636BE8AF" w14:textId="77777777" w:rsidR="003E515A" w:rsidRPr="00034E9B" w:rsidRDefault="003E515A" w:rsidP="00B80D74">
            <w:pPr>
              <w:pStyle w:val="CGCTablerow"/>
              <w:rPr>
                <w:rFonts w:cs="Open Sans Light"/>
              </w:rPr>
            </w:pPr>
            <w:r w:rsidRPr="00034E9B">
              <w:rPr>
                <w:rFonts w:eastAsia="Times New Roman" w:cs="Open Sans Light"/>
                <w:color w:val="000000"/>
                <w:lang w:eastAsia="en-AU"/>
              </w:rPr>
              <w:t>Additional services provided to the Commonwealth - suspicious packages</w:t>
            </w:r>
          </w:p>
        </w:tc>
        <w:tc>
          <w:tcPr>
            <w:tcW w:w="524" w:type="pct"/>
            <w:shd w:val="clear" w:color="auto" w:fill="auto"/>
          </w:tcPr>
          <w:p w14:paraId="3DCA6980" w14:textId="77777777" w:rsidR="003E515A" w:rsidRPr="00034E9B" w:rsidRDefault="003E515A" w:rsidP="00B80D74">
            <w:pPr>
              <w:pStyle w:val="CGCTablerow"/>
              <w:rPr>
                <w:rFonts w:cs="Open Sans Light"/>
              </w:rPr>
            </w:pPr>
            <w:r w:rsidRPr="00034E9B">
              <w:rPr>
                <w:rFonts w:cs="Open Sans Light"/>
              </w:rPr>
              <w:t>ACT</w:t>
            </w:r>
          </w:p>
        </w:tc>
        <w:tc>
          <w:tcPr>
            <w:tcW w:w="482" w:type="pct"/>
            <w:shd w:val="clear" w:color="auto" w:fill="auto"/>
          </w:tcPr>
          <w:p w14:paraId="193E2ADE" w14:textId="77777777" w:rsidR="003E515A" w:rsidRPr="00034E9B" w:rsidRDefault="003E515A" w:rsidP="00B80D74">
            <w:pPr>
              <w:pStyle w:val="CGCTablerow"/>
              <w:rPr>
                <w:rFonts w:cs="Open Sans Light"/>
              </w:rPr>
            </w:pPr>
            <w:r w:rsidRPr="00034E9B">
              <w:rPr>
                <w:rFonts w:cs="Open Sans Light"/>
              </w:rPr>
              <w:t>No</w:t>
            </w:r>
          </w:p>
        </w:tc>
        <w:tc>
          <w:tcPr>
            <w:tcW w:w="2309" w:type="pct"/>
            <w:shd w:val="clear" w:color="auto" w:fill="auto"/>
          </w:tcPr>
          <w:p w14:paraId="00FF588D" w14:textId="77777777" w:rsidR="003E515A" w:rsidRPr="00034E9B" w:rsidRDefault="003E515A" w:rsidP="00B80D74">
            <w:pPr>
              <w:pStyle w:val="CGCTablerow"/>
              <w:rPr>
                <w:rFonts w:cs="Open Sans Light"/>
              </w:rPr>
            </w:pPr>
            <w:r w:rsidRPr="00034E9B">
              <w:rPr>
                <w:rFonts w:cs="Open Sans Light"/>
              </w:rPr>
              <w:t>Relates to a federal agreement between States and is outside the scope of this assessment.</w:t>
            </w:r>
          </w:p>
        </w:tc>
      </w:tr>
      <w:tr w:rsidR="003E515A" w:rsidRPr="00034E9B" w14:paraId="7064CD24" w14:textId="77777777" w:rsidTr="00C01414">
        <w:tc>
          <w:tcPr>
            <w:tcW w:w="1684" w:type="pct"/>
            <w:tcBorders>
              <w:bottom w:val="single" w:sz="4" w:space="0" w:color="ADD6EA"/>
            </w:tcBorders>
            <w:shd w:val="clear" w:color="auto" w:fill="auto"/>
          </w:tcPr>
          <w:p w14:paraId="6DAEBF9B" w14:textId="77777777" w:rsidR="003E515A" w:rsidRPr="00034E9B" w:rsidRDefault="003E515A" w:rsidP="00B80D74">
            <w:pPr>
              <w:pStyle w:val="CGCTablerow"/>
              <w:rPr>
                <w:rFonts w:cs="Open Sans Light"/>
              </w:rPr>
            </w:pPr>
            <w:r w:rsidRPr="00034E9B">
              <w:rPr>
                <w:rFonts w:eastAsia="Times New Roman" w:cs="Open Sans Light"/>
                <w:color w:val="000000"/>
                <w:lang w:eastAsia="en-AU"/>
              </w:rPr>
              <w:t>Wider arterial roads</w:t>
            </w:r>
          </w:p>
        </w:tc>
        <w:tc>
          <w:tcPr>
            <w:tcW w:w="524" w:type="pct"/>
            <w:tcBorders>
              <w:bottom w:val="single" w:sz="4" w:space="0" w:color="ADD6EA"/>
            </w:tcBorders>
            <w:shd w:val="clear" w:color="auto" w:fill="auto"/>
          </w:tcPr>
          <w:p w14:paraId="63F99C03" w14:textId="77777777" w:rsidR="003E515A" w:rsidRPr="00034E9B" w:rsidRDefault="003E515A" w:rsidP="00B80D74">
            <w:pPr>
              <w:pStyle w:val="CGCTablerow"/>
              <w:rPr>
                <w:rFonts w:cs="Open Sans Light"/>
              </w:rPr>
            </w:pPr>
            <w:r w:rsidRPr="00034E9B">
              <w:rPr>
                <w:rFonts w:cs="Open Sans Light"/>
              </w:rPr>
              <w:t>ACT</w:t>
            </w:r>
          </w:p>
        </w:tc>
        <w:tc>
          <w:tcPr>
            <w:tcW w:w="482" w:type="pct"/>
            <w:tcBorders>
              <w:bottom w:val="single" w:sz="4" w:space="0" w:color="ADD6EA"/>
            </w:tcBorders>
            <w:shd w:val="clear" w:color="auto" w:fill="auto"/>
          </w:tcPr>
          <w:p w14:paraId="79E2FEEB" w14:textId="77777777" w:rsidR="003E515A" w:rsidRPr="00034E9B" w:rsidRDefault="003E515A" w:rsidP="00B80D74">
            <w:pPr>
              <w:pStyle w:val="CGCTablerow"/>
              <w:rPr>
                <w:rFonts w:cs="Open Sans Light"/>
              </w:rPr>
            </w:pPr>
            <w:r w:rsidRPr="00034E9B">
              <w:rPr>
                <w:rFonts w:cs="Open Sans Light"/>
              </w:rPr>
              <w:t>No</w:t>
            </w:r>
          </w:p>
        </w:tc>
        <w:tc>
          <w:tcPr>
            <w:tcW w:w="2309" w:type="pct"/>
            <w:tcBorders>
              <w:bottom w:val="single" w:sz="4" w:space="0" w:color="ADD6EA"/>
            </w:tcBorders>
            <w:shd w:val="clear" w:color="auto" w:fill="auto"/>
          </w:tcPr>
          <w:p w14:paraId="145A89CA" w14:textId="77777777" w:rsidR="003E515A" w:rsidRPr="00034E9B" w:rsidRDefault="003E515A" w:rsidP="00B80D74">
            <w:pPr>
              <w:pStyle w:val="CGCTablerow"/>
              <w:rPr>
                <w:rFonts w:cs="Open Sans Light"/>
              </w:rPr>
            </w:pPr>
            <w:r w:rsidRPr="00034E9B">
              <w:rPr>
                <w:rFonts w:cs="Open Sans Light"/>
              </w:rPr>
              <w:t>Sufficient time has passed for the road network to be restructured and no longer impose additional costs.</w:t>
            </w:r>
          </w:p>
        </w:tc>
      </w:tr>
      <w:tr w:rsidR="003E515A" w:rsidRPr="00034E9B" w14:paraId="05AB3B00" w14:textId="77777777" w:rsidTr="00C01414">
        <w:tc>
          <w:tcPr>
            <w:tcW w:w="1684" w:type="pct"/>
            <w:shd w:val="clear" w:color="auto" w:fill="B6D5E4"/>
            <w:vAlign w:val="bottom"/>
          </w:tcPr>
          <w:p w14:paraId="661ED836" w14:textId="77777777" w:rsidR="003E515A" w:rsidRPr="00034E9B" w:rsidRDefault="003E515A" w:rsidP="00B80D74">
            <w:pPr>
              <w:pStyle w:val="CGCTablesubhead1"/>
              <w:rPr>
                <w:lang w:val="en-AU"/>
              </w:rPr>
            </w:pPr>
            <w:r w:rsidRPr="00034E9B">
              <w:rPr>
                <w:lang w:val="en-AU"/>
              </w:rPr>
              <w:t>Native title and land rights</w:t>
            </w:r>
          </w:p>
        </w:tc>
        <w:tc>
          <w:tcPr>
            <w:tcW w:w="524" w:type="pct"/>
            <w:shd w:val="clear" w:color="auto" w:fill="B6D5E4"/>
            <w:vAlign w:val="bottom"/>
          </w:tcPr>
          <w:p w14:paraId="48596C74" w14:textId="77777777" w:rsidR="003E515A" w:rsidRPr="00034E9B" w:rsidRDefault="003E515A" w:rsidP="00B80D74">
            <w:pPr>
              <w:pStyle w:val="CGCTablesubhead1"/>
              <w:rPr>
                <w:lang w:val="en-AU"/>
              </w:rPr>
            </w:pPr>
          </w:p>
        </w:tc>
        <w:tc>
          <w:tcPr>
            <w:tcW w:w="482" w:type="pct"/>
            <w:shd w:val="clear" w:color="auto" w:fill="B6D5E4"/>
            <w:vAlign w:val="bottom"/>
          </w:tcPr>
          <w:p w14:paraId="29A27A01" w14:textId="77777777" w:rsidR="003E515A" w:rsidRPr="00034E9B" w:rsidRDefault="003E515A" w:rsidP="00B80D74">
            <w:pPr>
              <w:pStyle w:val="CGCTablesubhead1"/>
              <w:rPr>
                <w:lang w:val="en-AU"/>
              </w:rPr>
            </w:pPr>
          </w:p>
        </w:tc>
        <w:tc>
          <w:tcPr>
            <w:tcW w:w="2309" w:type="pct"/>
            <w:shd w:val="clear" w:color="auto" w:fill="B6D5E4"/>
            <w:vAlign w:val="bottom"/>
          </w:tcPr>
          <w:p w14:paraId="592F465D" w14:textId="77777777" w:rsidR="003E515A" w:rsidRPr="00034E9B" w:rsidRDefault="003E515A" w:rsidP="00B80D74">
            <w:pPr>
              <w:pStyle w:val="CGCTablesubhead1"/>
              <w:rPr>
                <w:lang w:val="en-AU"/>
              </w:rPr>
            </w:pPr>
          </w:p>
        </w:tc>
      </w:tr>
      <w:tr w:rsidR="003E515A" w:rsidRPr="00034E9B" w14:paraId="0271B6EC" w14:textId="77777777" w:rsidTr="00C01414">
        <w:tc>
          <w:tcPr>
            <w:tcW w:w="1684" w:type="pct"/>
            <w:shd w:val="clear" w:color="auto" w:fill="auto"/>
          </w:tcPr>
          <w:p w14:paraId="150320FB" w14:textId="36621C97" w:rsidR="003E515A" w:rsidRPr="00034E9B" w:rsidRDefault="00E8192D" w:rsidP="00B80D74">
            <w:pPr>
              <w:pStyle w:val="CGCTablerow"/>
            </w:pPr>
            <w:r>
              <w:t xml:space="preserve">Consider </w:t>
            </w:r>
            <w:r w:rsidR="00607B39">
              <w:t xml:space="preserve">alternative </w:t>
            </w:r>
            <w:r w:rsidR="00CA1537">
              <w:t>indicators for a</w:t>
            </w:r>
            <w:r w:rsidR="003E515A" w:rsidRPr="00066FAD">
              <w:t xml:space="preserve"> differential assessment</w:t>
            </w:r>
            <w:r w:rsidR="00B87290">
              <w:t>, rather than APC assessment</w:t>
            </w:r>
          </w:p>
        </w:tc>
        <w:tc>
          <w:tcPr>
            <w:tcW w:w="524" w:type="pct"/>
            <w:shd w:val="clear" w:color="auto" w:fill="auto"/>
          </w:tcPr>
          <w:p w14:paraId="3414F694" w14:textId="77777777" w:rsidR="003E515A" w:rsidRPr="00034E9B" w:rsidRDefault="003E515A" w:rsidP="00B80D74">
            <w:pPr>
              <w:pStyle w:val="CGCTablerow"/>
            </w:pPr>
            <w:r w:rsidRPr="00034E9B">
              <w:t>NSW, ACT</w:t>
            </w:r>
          </w:p>
        </w:tc>
        <w:tc>
          <w:tcPr>
            <w:tcW w:w="482" w:type="pct"/>
            <w:shd w:val="clear" w:color="auto" w:fill="auto"/>
          </w:tcPr>
          <w:p w14:paraId="23446ADA" w14:textId="77777777" w:rsidR="003E515A" w:rsidRPr="00034E9B" w:rsidRDefault="003E515A" w:rsidP="00B80D74">
            <w:pPr>
              <w:pStyle w:val="CGCTablerow"/>
            </w:pPr>
            <w:r w:rsidRPr="00034E9B">
              <w:t>No</w:t>
            </w:r>
          </w:p>
        </w:tc>
        <w:tc>
          <w:tcPr>
            <w:tcW w:w="2309" w:type="pct"/>
            <w:shd w:val="clear" w:color="auto" w:fill="auto"/>
          </w:tcPr>
          <w:p w14:paraId="12C3F3EE" w14:textId="77777777" w:rsidR="003E515A" w:rsidRPr="00034E9B" w:rsidRDefault="003E515A" w:rsidP="00B80D74">
            <w:pPr>
              <w:pStyle w:val="CGCTablerow"/>
            </w:pPr>
            <w:r w:rsidRPr="00034E9B">
              <w:t>States tend to provide these services in cost effective ways and any differences in the level of expenses reflect their circumstances.</w:t>
            </w:r>
          </w:p>
        </w:tc>
      </w:tr>
    </w:tbl>
    <w:p w14:paraId="336F6DE0" w14:textId="1335E33A" w:rsidR="00593181" w:rsidRPr="00034E9B" w:rsidRDefault="00593181" w:rsidP="00593181">
      <w:pPr>
        <w:pStyle w:val="CGCTablenote"/>
      </w:pPr>
      <w:r w:rsidRPr="00034E9B">
        <w:t>Note:</w:t>
      </w:r>
      <w:r w:rsidRPr="00034E9B">
        <w:tab/>
        <w:t xml:space="preserve">Acronyms used in this table are spelt out in the </w:t>
      </w:r>
      <w:r w:rsidR="00AB0B9B">
        <w:t>list of acronyms at the beginning of this volume</w:t>
      </w:r>
      <w:r w:rsidRPr="00034E9B">
        <w:t>.</w:t>
      </w:r>
    </w:p>
    <w:p w14:paraId="0952BF83" w14:textId="3F37D0AE" w:rsidR="00593181" w:rsidRPr="00034E9B" w:rsidRDefault="00593181" w:rsidP="00593181">
      <w:pPr>
        <w:pStyle w:val="CGCTablenote"/>
      </w:pPr>
      <w:r w:rsidRPr="00034E9B">
        <w:t>Source:</w:t>
      </w:r>
      <w:r w:rsidRPr="00034E9B">
        <w:tab/>
        <w:t>Commission decisions.</w:t>
      </w:r>
    </w:p>
    <w:p w14:paraId="37C52BA7" w14:textId="77777777" w:rsidR="00242AD6" w:rsidRPr="00034E9B" w:rsidRDefault="00242AD6" w:rsidP="00242AD6">
      <w:pPr>
        <w:pStyle w:val="Heading5"/>
      </w:pPr>
      <w:bookmarkStart w:id="58" w:name="_Toc26890310"/>
      <w:r w:rsidRPr="00034E9B">
        <w:t>General State concerns — simplification and State-specific circumstances</w:t>
      </w:r>
    </w:p>
    <w:p w14:paraId="22287A6A" w14:textId="7DBFFEFD" w:rsidR="00242AD6" w:rsidRPr="00034E9B" w:rsidRDefault="00242AD6" w:rsidP="00DC5A36">
      <w:pPr>
        <w:pStyle w:val="CGCParaNumber"/>
        <w:numPr>
          <w:ilvl w:val="0"/>
          <w:numId w:val="2"/>
        </w:numPr>
        <w:ind w:left="567" w:hanging="567"/>
        <w:rPr>
          <w:lang w:val="en-AU"/>
        </w:rPr>
      </w:pPr>
      <w:r w:rsidRPr="00034E9B">
        <w:rPr>
          <w:lang w:val="en-AU"/>
        </w:rPr>
        <w:t xml:space="preserve">More broadly, </w:t>
      </w:r>
      <w:r w:rsidRPr="00034E9B">
        <w:rPr>
          <w:lang w:val="en-AU"/>
        </w:rPr>
        <w:fldChar w:fldCharType="begin"/>
      </w:r>
      <w:r w:rsidRPr="00034E9B">
        <w:rPr>
          <w:lang w:val="en-AU"/>
        </w:rPr>
        <w:instrText xml:space="preserve"> REF _Ref6988256 \h </w:instrText>
      </w:r>
      <w:r w:rsidRPr="00034E9B">
        <w:rPr>
          <w:lang w:val="en-AU"/>
        </w:rPr>
      </w:r>
      <w:r w:rsidRPr="00034E9B">
        <w:rPr>
          <w:lang w:val="en-AU"/>
        </w:rPr>
        <w:fldChar w:fldCharType="separate"/>
      </w:r>
      <w:r w:rsidR="004A0DFA" w:rsidRPr="00034E9B">
        <w:t>Table </w:t>
      </w:r>
      <w:r w:rsidR="004A0DFA" w:rsidRPr="00034E9B">
        <w:rPr>
          <w:noProof/>
        </w:rPr>
        <w:t>1</w:t>
      </w:r>
      <w:r w:rsidR="004A0DFA" w:rsidRPr="00034E9B">
        <w:noBreakHyphen/>
      </w:r>
      <w:r w:rsidR="004A0DFA">
        <w:rPr>
          <w:noProof/>
        </w:rPr>
        <w:t>5</w:t>
      </w:r>
      <w:r w:rsidRPr="00034E9B">
        <w:rPr>
          <w:lang w:val="en-AU"/>
        </w:rPr>
        <w:fldChar w:fldCharType="end"/>
      </w:r>
      <w:r w:rsidRPr="00034E9B">
        <w:rPr>
          <w:lang w:val="en-AU"/>
        </w:rPr>
        <w:t xml:space="preserve"> shows that most State proposals, if adopted, would result in increased complexity in the Commission’s methods. These proposals include, for example, even finer disaggregation of remoteness areas or SES cohorts, and the introduction of non</w:t>
      </w:r>
      <w:r w:rsidR="00D11F73">
        <w:rPr>
          <w:lang w:val="en-AU"/>
        </w:rPr>
        <w:noBreakHyphen/>
      </w:r>
      <w:r w:rsidRPr="00034E9B">
        <w:rPr>
          <w:lang w:val="en-AU"/>
        </w:rPr>
        <w:t>linear relationships for measuring SDS effects. In some cases, application of the proposals put forward by States are not practical. For example, seeking to have differential Indigenous or low SES cost weights, depending upon the proportion of each of these types of students in a school, presupposes that the Commission could, on an average policy basis, assess the number of schools (including their student mixes) that each State would have.</w:t>
      </w:r>
    </w:p>
    <w:p w14:paraId="05ECF8B2" w14:textId="65B44833" w:rsidR="00242AD6" w:rsidRPr="00034E9B" w:rsidRDefault="00242AD6" w:rsidP="00DC5A36">
      <w:pPr>
        <w:pStyle w:val="CGCParaNumber"/>
        <w:numPr>
          <w:ilvl w:val="0"/>
          <w:numId w:val="2"/>
        </w:numPr>
        <w:ind w:left="567" w:hanging="567"/>
        <w:rPr>
          <w:lang w:val="en-AU"/>
        </w:rPr>
      </w:pPr>
      <w:r w:rsidRPr="00034E9B">
        <w:rPr>
          <w:lang w:val="en-AU"/>
        </w:rPr>
        <w:t xml:space="preserve">The Commission has generally resisted this push by States for ever increasing complexity. Consistent with the direction in its terms of reference for the 2010 Review to simplify its assessments (progressing earlier work undertaken by Heads of Treasury), the Commission has aimed for methods that are no more complex than required to determine relative fiscal capacity, recognising the inherent complexity in the range of activities undertaken by State governments. </w:t>
      </w:r>
    </w:p>
    <w:p w14:paraId="6F0D8360" w14:textId="77777777" w:rsidR="00242AD6" w:rsidRPr="00034E9B" w:rsidRDefault="00242AD6" w:rsidP="00DC5A36">
      <w:pPr>
        <w:pStyle w:val="CGCParaNumber"/>
        <w:numPr>
          <w:ilvl w:val="0"/>
          <w:numId w:val="2"/>
        </w:numPr>
        <w:ind w:left="567" w:hanging="567"/>
        <w:rPr>
          <w:lang w:val="en-AU"/>
        </w:rPr>
      </w:pPr>
      <w:r w:rsidRPr="00034E9B">
        <w:rPr>
          <w:lang w:val="en-AU"/>
        </w:rPr>
        <w:t>To those States that consider its methods do not sufficiently reflect the nuances of their specific service delivery circumstances, the Commission would respond that its role is to measure, on a comparable basis across States, the effects of the major drivers of service delivery cost differences. The heterogeneity of individual State service delivery circumstances means that it would be unlikely, no matter how complex a method might be developed, for that method to be able to address each and every individual State circumstance. Proceeding down such a path would inevitably lead to nothing more than an assessment reflecting actual State spending which, consistent with the policy neutrality supporting principle, would not accurately reflect underlying differences in State fiscal capacity.</w:t>
      </w:r>
    </w:p>
    <w:p w14:paraId="7475FB59" w14:textId="00CDDFAB" w:rsidR="00242AD6" w:rsidRPr="00034E9B" w:rsidRDefault="00242AD6" w:rsidP="00242AD6">
      <w:pPr>
        <w:pStyle w:val="Heading5"/>
      </w:pPr>
      <w:r w:rsidRPr="00034E9B">
        <w:lastRenderedPageBreak/>
        <w:t>Western Australia</w:t>
      </w:r>
      <w:r w:rsidR="00FA6AB9">
        <w:t>’s</w:t>
      </w:r>
      <w:r w:rsidRPr="00034E9B">
        <w:t xml:space="preserve"> concerns</w:t>
      </w:r>
    </w:p>
    <w:p w14:paraId="6D3880BD" w14:textId="77777777" w:rsidR="00242AD6" w:rsidRPr="00034E9B" w:rsidRDefault="00242AD6" w:rsidP="00DC5A36">
      <w:pPr>
        <w:pStyle w:val="CGCParaNumber"/>
        <w:numPr>
          <w:ilvl w:val="0"/>
          <w:numId w:val="2"/>
        </w:numPr>
        <w:ind w:left="567" w:hanging="567"/>
        <w:rPr>
          <w:lang w:val="en-AU"/>
        </w:rPr>
      </w:pPr>
      <w:r w:rsidRPr="00034E9B">
        <w:rPr>
          <w:lang w:val="en-AU"/>
        </w:rPr>
        <w:t xml:space="preserve">The Commission would also like to specifically address concerns raised by Western Australia. Western Australia has argued for major changes in the way equalisation is conceptualised, approached and implemented by the Commission. While most States have some issues in the detail of the Commission’s assessments, in the Commission’s view Western Australia stands alone among the States in its fundamental opposition to the approaches to measuring relative fiscal capacity, first adopted with the introduction of all State equalisation in the early 1980s. </w:t>
      </w:r>
    </w:p>
    <w:p w14:paraId="2BAFB2CB" w14:textId="77777777" w:rsidR="00242AD6" w:rsidRPr="00034E9B" w:rsidRDefault="00242AD6" w:rsidP="00DC5A36">
      <w:pPr>
        <w:pStyle w:val="CGCParaNumber"/>
        <w:numPr>
          <w:ilvl w:val="0"/>
          <w:numId w:val="2"/>
        </w:numPr>
        <w:ind w:left="567" w:hanging="567"/>
        <w:rPr>
          <w:lang w:val="en-AU"/>
        </w:rPr>
      </w:pPr>
      <w:r w:rsidRPr="00034E9B">
        <w:rPr>
          <w:lang w:val="en-AU"/>
        </w:rPr>
        <w:t>The Commission rejects the assertion by Western Australia that recent legislated reforms to the GST distribution reflect serious concerns with the Commission’s approach to measuring State relative fiscal capacities. On the contrary, past and present Commissions have been consistent in their approach, and argued the form of equalisation used to distribute GST revenue is properly a matter for governments.</w:t>
      </w:r>
      <w:r w:rsidRPr="00034E9B">
        <w:rPr>
          <w:vertAlign w:val="superscript"/>
          <w:lang w:val="en-AU"/>
        </w:rPr>
        <w:footnoteReference w:id="17"/>
      </w:r>
      <w:r w:rsidRPr="00034E9B">
        <w:rPr>
          <w:lang w:val="en-AU"/>
        </w:rPr>
        <w:t xml:space="preserve">  </w:t>
      </w:r>
    </w:p>
    <w:p w14:paraId="0E6AF163" w14:textId="77777777" w:rsidR="00242AD6" w:rsidRPr="00034E9B" w:rsidRDefault="00242AD6" w:rsidP="00DC5A36">
      <w:pPr>
        <w:pStyle w:val="CGCParaNumber"/>
        <w:numPr>
          <w:ilvl w:val="0"/>
          <w:numId w:val="2"/>
        </w:numPr>
        <w:ind w:left="567" w:hanging="567"/>
        <w:rPr>
          <w:lang w:val="en-AU"/>
        </w:rPr>
      </w:pPr>
      <w:r w:rsidRPr="00034E9B">
        <w:rPr>
          <w:lang w:val="en-AU"/>
        </w:rPr>
        <w:t xml:space="preserve">The recent reforms enshrine the approaches adopted by the Commission, which form the basis for identifying the fiscally stronger of New South Wales and Victoria. The reforms make clear the transition path from the previous arrangements (based on State relative fiscal capacities as measured by the Commission), to new arrangements (equalising to a standard State, being the fiscally stronger of New South Wales and Victoria) for the distribution of general revenue assistance to the States. </w:t>
      </w:r>
    </w:p>
    <w:p w14:paraId="37BB1C10" w14:textId="77777777" w:rsidR="00242AD6" w:rsidRPr="00034E9B" w:rsidRDefault="00242AD6" w:rsidP="00DC5A36">
      <w:pPr>
        <w:pStyle w:val="CGCParaNumber"/>
        <w:numPr>
          <w:ilvl w:val="0"/>
          <w:numId w:val="2"/>
        </w:numPr>
        <w:ind w:left="567" w:hanging="567"/>
        <w:rPr>
          <w:lang w:val="en-AU"/>
        </w:rPr>
      </w:pPr>
      <w:r w:rsidRPr="00034E9B">
        <w:rPr>
          <w:lang w:val="en-AU"/>
        </w:rPr>
        <w:t xml:space="preserve">The Commission considers calls by Western Australia for changes to its approach to be inconsistent and contradictory. For example, Western Australia has argued for more broadly based tax assessments (which would ignore material differences in State revenue raising capacity due to progressivity of tax rates across thresholds and suchlike) on the one hand, while conversely also arguing the Commission overlooks ‘extreme’ expense disabilities affecting only outlier States on the other. </w:t>
      </w:r>
    </w:p>
    <w:p w14:paraId="20305507" w14:textId="39D7738F" w:rsidR="00242AD6" w:rsidRPr="00034E9B" w:rsidRDefault="00242AD6" w:rsidP="00DC5A36">
      <w:pPr>
        <w:pStyle w:val="CGCParaNumber"/>
        <w:numPr>
          <w:ilvl w:val="0"/>
          <w:numId w:val="2"/>
        </w:numPr>
        <w:ind w:left="567" w:hanging="567"/>
        <w:rPr>
          <w:lang w:val="en-AU"/>
        </w:rPr>
      </w:pPr>
      <w:r w:rsidRPr="00034E9B">
        <w:rPr>
          <w:lang w:val="en-AU"/>
        </w:rPr>
        <w:t>The Commission’s Representative Tax System (RTS) approach to measuring revenue raising capacity is consistent with world practice, for example that being used in Canada’s equalisation system.</w:t>
      </w:r>
      <w:r w:rsidRPr="00034E9B">
        <w:rPr>
          <w:vertAlign w:val="superscript"/>
          <w:lang w:val="en-AU"/>
        </w:rPr>
        <w:footnoteReference w:id="18"/>
      </w:r>
      <w:r w:rsidRPr="00034E9B">
        <w:rPr>
          <w:lang w:val="en-AU"/>
        </w:rPr>
        <w:t xml:space="preserve"> Past and present Commissions have consistently observed the bases States actually tax. Most often this is the legislative base, with adjustments to derive average exemptions and thresholds because this is what States collectively tax. No Commission has ever considered that global measures (such as household disposable income or adjusted gross State product), or broader measures of potential tax bases (unadjusted for differences in tax</w:t>
      </w:r>
      <w:r w:rsidR="00646A24">
        <w:rPr>
          <w:lang w:val="en-AU"/>
        </w:rPr>
        <w:t>-</w:t>
      </w:r>
      <w:r w:rsidRPr="00034E9B">
        <w:rPr>
          <w:lang w:val="en-AU"/>
        </w:rPr>
        <w:t xml:space="preserve">free thresholds, progressive rates of tax or other exemptions), approaches favoured by Western Australia, are good indicators of the revenue States can raise. </w:t>
      </w:r>
    </w:p>
    <w:p w14:paraId="793A9E65" w14:textId="77777777" w:rsidR="00242AD6" w:rsidRPr="00034E9B" w:rsidRDefault="00242AD6" w:rsidP="00DC5A36">
      <w:pPr>
        <w:pStyle w:val="CGCParaNumber"/>
        <w:numPr>
          <w:ilvl w:val="0"/>
          <w:numId w:val="2"/>
        </w:numPr>
        <w:ind w:left="567" w:hanging="567"/>
        <w:rPr>
          <w:lang w:val="en-AU"/>
        </w:rPr>
      </w:pPr>
      <w:r w:rsidRPr="00034E9B">
        <w:rPr>
          <w:lang w:val="en-AU"/>
        </w:rPr>
        <w:t xml:space="preserve">On the expenditure side, the Commission rejects Western Australia’s assertion that it only includes disabilities for which data exist. In the 2015 Review, reliable data on a regional cost gradient were only available for schools, and to a slightly lesser extent for police. However, the Commission’s view was that the conceptual case that regional cost effects would also apply across other service delivery areas was sufficiently strong that an improved HFE outcome would result from it making an assessment. To that end, the Commission constructed a ‘general gradient’, which it applied to other service areas. </w:t>
      </w:r>
    </w:p>
    <w:p w14:paraId="58DB7303" w14:textId="77777777" w:rsidR="00242AD6" w:rsidRPr="00034E9B" w:rsidRDefault="00242AD6" w:rsidP="00DC5A36">
      <w:pPr>
        <w:pStyle w:val="CGCParaNumber"/>
        <w:numPr>
          <w:ilvl w:val="0"/>
          <w:numId w:val="2"/>
        </w:numPr>
        <w:ind w:left="567" w:hanging="567"/>
        <w:rPr>
          <w:lang w:val="en-AU"/>
        </w:rPr>
      </w:pPr>
      <w:r w:rsidRPr="00034E9B">
        <w:rPr>
          <w:lang w:val="en-AU"/>
        </w:rPr>
        <w:lastRenderedPageBreak/>
        <w:t>While a particular focus of the 2020 Review has been on trying to better measure the regional cost gradients across different service areas, the Commission continues to apply a ‘general gradient’ where reliable data are not available but the conceptual case is strong. The interstate non-wage adjustments applied in the 2015 Review (to the benefit of Western Australia) were a clear case of the Commission being prepared to make a judgment call in the absence of data. While the conceptual case for an adjustment remains strong (in the case of Western Australia), the Commission has been unable to find supporting evidence for the effects, or a data source to confirm the relative size of the effect. Due to this unreliability in the assessment, it has been discontinued in this review.</w:t>
      </w:r>
    </w:p>
    <w:p w14:paraId="75D830B3" w14:textId="77777777" w:rsidR="00242AD6" w:rsidRPr="00034E9B" w:rsidRDefault="00242AD6" w:rsidP="00DC5A36">
      <w:pPr>
        <w:pStyle w:val="CGCParaNumber"/>
        <w:numPr>
          <w:ilvl w:val="0"/>
          <w:numId w:val="2"/>
        </w:numPr>
        <w:ind w:left="567" w:hanging="567"/>
        <w:rPr>
          <w:lang w:val="en-AU"/>
        </w:rPr>
      </w:pPr>
      <w:r w:rsidRPr="00034E9B">
        <w:rPr>
          <w:lang w:val="en-AU"/>
        </w:rPr>
        <w:t xml:space="preserve">More broadly, the Commission considers that the exercise of judgment is an integral part of its role. In some areas of State activity, data that reflect the particular interests of the Commission are only partial, or absent. In these cases, the Commission makes a judgment call, following the processes outlined in its ‘Assessment guidelines’, as to an approach that will result in an improved measure of State relative fiscal capacities.    </w:t>
      </w:r>
    </w:p>
    <w:p w14:paraId="01D1317A" w14:textId="77777777" w:rsidR="00242AD6" w:rsidRPr="00034E9B" w:rsidRDefault="00242AD6" w:rsidP="00DC5A36">
      <w:pPr>
        <w:pStyle w:val="CGCParaNumber"/>
        <w:numPr>
          <w:ilvl w:val="0"/>
          <w:numId w:val="2"/>
        </w:numPr>
        <w:ind w:left="567" w:hanging="567"/>
        <w:rPr>
          <w:lang w:val="en-AU"/>
        </w:rPr>
      </w:pPr>
      <w:r w:rsidRPr="00034E9B">
        <w:rPr>
          <w:lang w:val="en-AU"/>
        </w:rPr>
        <w:t xml:space="preserve">Putting aside the direction in the terms of reference for the Commission not to change its 2015 Mining revenue assessment methodology, Western Australia has criticised the Commission’s use of State value of production data (and State tax base data more generally). Western Australia said that these data reflect individual State policy positions and are hence not policy neutral, and consequently, as they do not reflect average policy positions, are not fit for purpose. </w:t>
      </w:r>
    </w:p>
    <w:p w14:paraId="5163BEE8" w14:textId="1F15D119" w:rsidR="00242AD6" w:rsidRPr="00034E9B" w:rsidRDefault="00242AD6" w:rsidP="00DC5A36">
      <w:pPr>
        <w:pStyle w:val="CGCParaNumber"/>
        <w:numPr>
          <w:ilvl w:val="0"/>
          <w:numId w:val="2"/>
        </w:numPr>
        <w:ind w:left="567" w:hanging="567"/>
        <w:rPr>
          <w:lang w:val="en-AU"/>
        </w:rPr>
      </w:pPr>
      <w:r w:rsidRPr="00034E9B">
        <w:rPr>
          <w:lang w:val="en-AU"/>
        </w:rPr>
        <w:t>The assessment of revenue arising from mineral deposits has consistently presented issues for equalisation systems around the world. In Australia, the approach to assessing mining revenue has been considered in some detail by others apart from the Commission, most recently by the Productivity Commission.</w:t>
      </w:r>
      <w:r w:rsidRPr="00034E9B">
        <w:rPr>
          <w:vertAlign w:val="superscript"/>
          <w:lang w:val="en-AU"/>
        </w:rPr>
        <w:footnoteReference w:id="19"/>
      </w:r>
      <w:r w:rsidRPr="00034E9B">
        <w:rPr>
          <w:lang w:val="en-AU"/>
        </w:rPr>
        <w:t xml:space="preserve"> Indeed, the assessment of mining revenue is one area where successive Commissions have found it difficult to settle on an approach. While the Commission does acknowledge that State policies can affect value of production data, its view is that these effects cannot be disentangled from other non-policy influenced effects and, in any case, are subsidiary to these other non-policy effects. Mining is not undertaken by State governments, but by private companies. It is considerably more likely that the world demand for a particular mineral commodity, as reflected in current and prospective prices, is a much greater driver for these companies in making investment decisions, than State policies such as on planning approvals and royalty regimes (not to say that these policies have no bearing on investment decisions).</w:t>
      </w:r>
    </w:p>
    <w:p w14:paraId="7A9F9CDA" w14:textId="3AEF1014" w:rsidR="00242AD6" w:rsidRPr="00034E9B" w:rsidRDefault="00242AD6" w:rsidP="00DC5A36">
      <w:pPr>
        <w:pStyle w:val="CGCParaNumber"/>
        <w:numPr>
          <w:ilvl w:val="0"/>
          <w:numId w:val="2"/>
        </w:numPr>
        <w:ind w:left="567" w:hanging="567"/>
        <w:rPr>
          <w:lang w:val="en-AU"/>
        </w:rPr>
      </w:pPr>
      <w:r w:rsidRPr="00034E9B">
        <w:rPr>
          <w:lang w:val="en-AU"/>
        </w:rPr>
        <w:t xml:space="preserve">The </w:t>
      </w:r>
      <w:r w:rsidR="00B16716" w:rsidRPr="00B16716">
        <w:rPr>
          <w:lang w:val="en-AU"/>
        </w:rPr>
        <w:t>boom in iron ore volumes and prices has resulted in a structural change in Western Australia's economy, and as a consequence, the national economy. As a result, although actual value</w:t>
      </w:r>
      <w:r w:rsidR="007B00D3">
        <w:rPr>
          <w:lang w:val="en-AU"/>
        </w:rPr>
        <w:t>s</w:t>
      </w:r>
      <w:r w:rsidR="00B16716" w:rsidRPr="00B16716">
        <w:rPr>
          <w:lang w:val="en-AU"/>
        </w:rPr>
        <w:t xml:space="preserve"> of mining production data are used by the Commission, the three year lag in the assessment methodology has meant that Western Australia's actual mining revenue has generally exceeded its assessed mining revenue. This means that Western Australia has received substantially more GST revenue than it would have got under a fully contemporaneous approach. Put another way, Western Australia has received more GST revenue than required for horizontal fiscal equalisation purposes</w:t>
      </w:r>
    </w:p>
    <w:p w14:paraId="58514E7B" w14:textId="14093E34" w:rsidR="00242AD6" w:rsidRPr="00034E9B" w:rsidRDefault="00743848" w:rsidP="002659C2">
      <w:pPr>
        <w:pStyle w:val="CGCParaNumber"/>
        <w:keepNext/>
        <w:keepLines/>
        <w:numPr>
          <w:ilvl w:val="0"/>
          <w:numId w:val="2"/>
        </w:numPr>
        <w:ind w:left="567" w:hanging="567"/>
        <w:rPr>
          <w:lang w:val="en-AU"/>
        </w:rPr>
      </w:pPr>
      <w:r>
        <w:rPr>
          <w:lang w:val="en-AU"/>
        </w:rPr>
        <w:lastRenderedPageBreak/>
        <w:fldChar w:fldCharType="begin"/>
      </w:r>
      <w:r>
        <w:rPr>
          <w:lang w:val="en-AU"/>
        </w:rPr>
        <w:instrText xml:space="preserve"> REF _Ref32493232 \h </w:instrText>
      </w:r>
      <w:r>
        <w:rPr>
          <w:lang w:val="en-AU"/>
        </w:rPr>
      </w:r>
      <w:r>
        <w:rPr>
          <w:lang w:val="en-AU"/>
        </w:rPr>
        <w:fldChar w:fldCharType="separate"/>
      </w:r>
      <w:r w:rsidR="004A0DFA" w:rsidRPr="00034E9B">
        <w:t xml:space="preserve">Figure </w:t>
      </w:r>
      <w:r w:rsidR="004A0DFA">
        <w:t>1-</w:t>
      </w:r>
      <w:r w:rsidR="004A0DFA">
        <w:rPr>
          <w:noProof/>
        </w:rPr>
        <w:t>1</w:t>
      </w:r>
      <w:r>
        <w:rPr>
          <w:lang w:val="en-AU"/>
        </w:rPr>
        <w:fldChar w:fldCharType="end"/>
      </w:r>
      <w:r w:rsidR="00CE0ED6">
        <w:rPr>
          <w:lang w:val="en-AU"/>
        </w:rPr>
        <w:t xml:space="preserve"> </w:t>
      </w:r>
      <w:r w:rsidR="00242AD6" w:rsidRPr="00034E9B">
        <w:rPr>
          <w:lang w:val="en-AU"/>
        </w:rPr>
        <w:t>shows</w:t>
      </w:r>
      <w:r w:rsidR="003754A6" w:rsidRPr="003754A6">
        <w:rPr>
          <w:lang w:val="en-AU"/>
        </w:rPr>
        <w:t xml:space="preserve"> that this has been the case over the decade from 2010-11 to 2019-20, with the exception of only three years from 2015-16 to 2017-18. A consequence of the legislated changes to the GST distribution (see Chapter 4 of this Volume for details) is that Western Australia will retain most of this benefit even if a structural downgrade in iron ore volumes and/or prices occurs in future years</w:t>
      </w:r>
      <w:r w:rsidR="00242AD6" w:rsidRPr="00034E9B">
        <w:rPr>
          <w:lang w:val="en-AU"/>
        </w:rPr>
        <w:t>.</w:t>
      </w:r>
    </w:p>
    <w:p w14:paraId="423CA51E" w14:textId="71514785" w:rsidR="00242AD6" w:rsidRPr="00034E9B" w:rsidRDefault="00242AD6" w:rsidP="00242AD6">
      <w:pPr>
        <w:pStyle w:val="Caption"/>
      </w:pPr>
      <w:bookmarkStart w:id="59" w:name="_Ref32493232"/>
      <w:r w:rsidRPr="00034E9B">
        <w:t xml:space="preserve">Figure </w:t>
      </w:r>
      <w:r w:rsidR="009E30A6">
        <w:t>1-</w:t>
      </w:r>
      <w:r w:rsidR="009063F1">
        <w:fldChar w:fldCharType="begin"/>
      </w:r>
      <w:r w:rsidR="009063F1">
        <w:instrText xml:space="preserve"> SEQ Figure \* ARABIC </w:instrText>
      </w:r>
      <w:r w:rsidR="009063F1">
        <w:fldChar w:fldCharType="separate"/>
      </w:r>
      <w:r w:rsidR="004A0DFA">
        <w:rPr>
          <w:noProof/>
        </w:rPr>
        <w:t>1</w:t>
      </w:r>
      <w:r w:rsidR="009063F1">
        <w:rPr>
          <w:noProof/>
        </w:rPr>
        <w:fldChar w:fldCharType="end"/>
      </w:r>
      <w:bookmarkEnd w:id="59"/>
      <w:r w:rsidRPr="00034E9B">
        <w:tab/>
        <w:t>Iron ore royalties, assessed and actual, 2010-11 to 2019-20</w:t>
      </w:r>
    </w:p>
    <w:p w14:paraId="2B9740F9" w14:textId="4B93ED90" w:rsidR="00242AD6" w:rsidRPr="00034E9B" w:rsidRDefault="00CE4E1B" w:rsidP="00242AD6">
      <w:pPr>
        <w:keepNext/>
        <w:spacing w:before="0" w:after="80" w:line="320" w:lineRule="atLeast"/>
        <w:rPr>
          <w:rFonts w:asciiTheme="minorHAnsi" w:hAnsiTheme="minorHAnsi"/>
          <w:sz w:val="24"/>
        </w:rPr>
      </w:pPr>
      <w:r>
        <w:rPr>
          <w:rFonts w:asciiTheme="minorHAnsi" w:hAnsiTheme="minorHAnsi"/>
          <w:noProof/>
          <w:sz w:val="24"/>
        </w:rPr>
        <w:drawing>
          <wp:inline distT="0" distB="0" distL="0" distR="0" wp14:anchorId="49EBD755" wp14:editId="1018007E">
            <wp:extent cx="5605200" cy="3542400"/>
            <wp:effectExtent l="0" t="0" r="0" b="1270"/>
            <wp:docPr id="6" name="Picture 6" descr="Data over time show actual revenue is generally higher than assessed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05200" cy="3542400"/>
                    </a:xfrm>
                    <a:prstGeom prst="rect">
                      <a:avLst/>
                    </a:prstGeom>
                    <a:noFill/>
                  </pic:spPr>
                </pic:pic>
              </a:graphicData>
            </a:graphic>
          </wp:inline>
        </w:drawing>
      </w:r>
    </w:p>
    <w:p w14:paraId="64A45876" w14:textId="3D79DEBF" w:rsidR="00242AD6" w:rsidRPr="00034E9B" w:rsidRDefault="00242AD6" w:rsidP="00242AD6">
      <w:pPr>
        <w:pStyle w:val="CGCTablenote"/>
      </w:pPr>
      <w:r w:rsidRPr="00034E9B">
        <w:t>Source:</w:t>
      </w:r>
      <w:r w:rsidRPr="00034E9B">
        <w:tab/>
        <w:t xml:space="preserve">Commission calculations, Western Australia Budget Paper 3 </w:t>
      </w:r>
      <w:r w:rsidR="00883762">
        <w:t>—</w:t>
      </w:r>
      <w:r w:rsidRPr="00034E9B">
        <w:t xml:space="preserve"> Economic and fiscal outlook, various years. </w:t>
      </w:r>
    </w:p>
    <w:p w14:paraId="0FE29610" w14:textId="108DBBAD" w:rsidR="00242AD6" w:rsidRPr="00034E9B" w:rsidRDefault="00242AD6" w:rsidP="00242AD6">
      <w:pPr>
        <w:pStyle w:val="Heading3"/>
      </w:pPr>
      <w:bookmarkStart w:id="60" w:name="_Toc33545889"/>
      <w:r w:rsidRPr="00034E9B">
        <w:t>Looking ahead</w:t>
      </w:r>
      <w:bookmarkEnd w:id="58"/>
      <w:bookmarkEnd w:id="60"/>
    </w:p>
    <w:p w14:paraId="02A3AC92" w14:textId="313144BC" w:rsidR="00242AD6" w:rsidRPr="00034E9B" w:rsidRDefault="00242AD6" w:rsidP="00DC5A36">
      <w:pPr>
        <w:pStyle w:val="CGCParaNumber"/>
        <w:numPr>
          <w:ilvl w:val="0"/>
          <w:numId w:val="2"/>
        </w:numPr>
        <w:ind w:left="567" w:hanging="567"/>
        <w:rPr>
          <w:lang w:val="en-AU"/>
        </w:rPr>
      </w:pPr>
      <w:r w:rsidRPr="00034E9B">
        <w:rPr>
          <w:lang w:val="en-AU"/>
        </w:rPr>
        <w:t>The completion of the 2020 methodology review marks the fourth method review completed by Commissions since the introduction of the GST.</w:t>
      </w:r>
      <w:r w:rsidRPr="00034E9B">
        <w:rPr>
          <w:vertAlign w:val="superscript"/>
          <w:lang w:val="en-AU"/>
        </w:rPr>
        <w:footnoteReference w:id="20"/>
      </w:r>
      <w:r w:rsidRPr="00034E9B">
        <w:rPr>
          <w:lang w:val="en-AU"/>
        </w:rPr>
        <w:t xml:space="preserve"> These roughly five yearly reviews have enabled the entire suite of assessments to be considered and weighed by each Commission, before all method changes to its assessments are introduced concurrently. Each successive review has produced a coherent measure of State relative fiscal capacities, but there has inevitably been a step change in GST shares from the preceding update inquiry, based on the previous review methods. The Commission understands that these step changes have implications for the stability and predictability of GST shares, which States value for their budget management purposes.</w:t>
      </w:r>
    </w:p>
    <w:p w14:paraId="5C201ED3" w14:textId="77777777" w:rsidR="00242AD6" w:rsidRPr="00034E9B" w:rsidRDefault="00242AD6" w:rsidP="00DC5A36">
      <w:pPr>
        <w:pStyle w:val="CGCParaNumber"/>
        <w:numPr>
          <w:ilvl w:val="0"/>
          <w:numId w:val="2"/>
        </w:numPr>
        <w:ind w:left="567" w:hanging="567"/>
        <w:rPr>
          <w:lang w:val="en-AU"/>
        </w:rPr>
      </w:pPr>
      <w:r w:rsidRPr="00034E9B">
        <w:rPr>
          <w:lang w:val="en-AU"/>
        </w:rPr>
        <w:t>In 1993, the Commission said that the workload variations over the course of a five</w:t>
      </w:r>
      <w:r w:rsidRPr="00034E9B">
        <w:rPr>
          <w:lang w:val="en-AU"/>
        </w:rPr>
        <w:noBreakHyphen/>
        <w:t>yearly review present challenges to the Commission (as well as presumably to States) in efficient and effective staff resourcing.</w:t>
      </w:r>
      <w:r w:rsidRPr="00034E9B">
        <w:rPr>
          <w:vertAlign w:val="superscript"/>
          <w:lang w:val="en-AU"/>
        </w:rPr>
        <w:footnoteReference w:id="21"/>
      </w:r>
      <w:r w:rsidRPr="00034E9B">
        <w:rPr>
          <w:lang w:val="en-AU"/>
        </w:rPr>
        <w:t xml:space="preserve"> In its submission on the draft report, the ACT argued that ‘the major peaks and troughs created by the five-year review cycle make it more difficult to </w:t>
      </w:r>
      <w:r w:rsidRPr="00034E9B">
        <w:rPr>
          <w:lang w:val="en-AU"/>
        </w:rPr>
        <w:lastRenderedPageBreak/>
        <w:t>maintain the detailed technical expertise necessary to participate in the reviews, and this could be improved by a better distribution of the workload over that period.’</w:t>
      </w:r>
    </w:p>
    <w:p w14:paraId="574B70ED" w14:textId="77777777" w:rsidR="00242AD6" w:rsidRPr="00034E9B" w:rsidRDefault="00242AD6" w:rsidP="00DC5A36">
      <w:pPr>
        <w:pStyle w:val="CGCParaNumber"/>
        <w:numPr>
          <w:ilvl w:val="0"/>
          <w:numId w:val="2"/>
        </w:numPr>
        <w:ind w:left="567" w:hanging="567"/>
        <w:rPr>
          <w:lang w:val="en-AU"/>
        </w:rPr>
      </w:pPr>
      <w:r w:rsidRPr="00034E9B">
        <w:rPr>
          <w:lang w:val="en-AU"/>
        </w:rPr>
        <w:t xml:space="preserve">The ACT said that one of the key disadvantages of the five-yearly review cycle is the large variations in workload during the inter-review period. It said the resources required for the two final years of each inter-review period significantly exceed those for the updates for the first three years of the period. </w:t>
      </w:r>
    </w:p>
    <w:p w14:paraId="043810A3" w14:textId="77777777" w:rsidR="00242AD6" w:rsidRPr="00034E9B" w:rsidRDefault="00242AD6" w:rsidP="00DC5A36">
      <w:pPr>
        <w:pStyle w:val="CGCParaNumber"/>
        <w:numPr>
          <w:ilvl w:val="0"/>
          <w:numId w:val="2"/>
        </w:numPr>
        <w:ind w:left="567" w:hanging="567"/>
        <w:rPr>
          <w:lang w:val="en-AU"/>
        </w:rPr>
      </w:pPr>
      <w:r w:rsidRPr="00034E9B">
        <w:rPr>
          <w:lang w:val="en-AU"/>
        </w:rPr>
        <w:t>Additionally, the ACT has argued that today’s public sector is significantly different to that which existed in 1993, with a focus on staff agility, flexibility and multi-tasking. It said this approach has resulted in staff, particularly at the management and executive levels, getting a broader experience across a range of issues, rather than necessarily developing deep expertise in individual areas. In the ACT’s view, the major peaks and troughs created by the five-year review cycle make it more difficult to maintain the detailed technical expertise necessary to participate in the reviews.</w:t>
      </w:r>
    </w:p>
    <w:p w14:paraId="75E2FD33" w14:textId="4427E308" w:rsidR="00242AD6" w:rsidRPr="00034E9B" w:rsidRDefault="00242AD6" w:rsidP="00DC5A36">
      <w:pPr>
        <w:pStyle w:val="CGCParaNumber"/>
        <w:numPr>
          <w:ilvl w:val="0"/>
          <w:numId w:val="2"/>
        </w:numPr>
        <w:ind w:left="567" w:hanging="567"/>
        <w:rPr>
          <w:lang w:val="en-AU"/>
        </w:rPr>
      </w:pPr>
      <w:r w:rsidRPr="00034E9B">
        <w:rPr>
          <w:lang w:val="en-AU"/>
        </w:rPr>
        <w:t xml:space="preserve">The ACT argues for a rolling review. It said that while this would represent a significant shift in how the GST distribution methodology is determined, the approach would significantly smooth the workload of reviewing the GST distribution methodology, while making the process more responsive to changes in Commonwealth and State policy.  </w:t>
      </w:r>
    </w:p>
    <w:p w14:paraId="20189261" w14:textId="77777777" w:rsidR="00242AD6" w:rsidRPr="00034E9B" w:rsidRDefault="00242AD6" w:rsidP="00DC5A36">
      <w:pPr>
        <w:pStyle w:val="CGCParaNumber"/>
        <w:numPr>
          <w:ilvl w:val="0"/>
          <w:numId w:val="2"/>
        </w:numPr>
        <w:ind w:left="567" w:hanging="567"/>
        <w:rPr>
          <w:lang w:val="en-AU"/>
        </w:rPr>
      </w:pPr>
      <w:r w:rsidRPr="00034E9B">
        <w:rPr>
          <w:lang w:val="en-AU"/>
        </w:rPr>
        <w:t xml:space="preserve">The work of the Commission is determined by the terms of reference which it receives. For many years, the terms of reference have specified comprehensive methodology reviews every five years or so, and annual updates of relativities using new data under established methods. The reviews and updates then formally enter into an established process of ministerial consideration including consultation between the Commonwealth and the States. </w:t>
      </w:r>
    </w:p>
    <w:p w14:paraId="69B448A9" w14:textId="77777777" w:rsidR="00242AD6" w:rsidRPr="00034E9B" w:rsidRDefault="00242AD6" w:rsidP="00DC5A36">
      <w:pPr>
        <w:pStyle w:val="CGCParaNumber"/>
        <w:numPr>
          <w:ilvl w:val="0"/>
          <w:numId w:val="2"/>
        </w:numPr>
        <w:ind w:left="567" w:hanging="567"/>
        <w:rPr>
          <w:lang w:val="en-AU"/>
        </w:rPr>
      </w:pPr>
      <w:r w:rsidRPr="00034E9B">
        <w:rPr>
          <w:lang w:val="en-AU"/>
        </w:rPr>
        <w:t>The approach suggested by the ACT would require a quite different approach to terms of reference and these processes. It is not open to the Commission to make decisions on these matters. Rather, they are matters for the Commonwealth and the States to consider, and to decide the direction they wish to pursue.</w:t>
      </w:r>
    </w:p>
    <w:p w14:paraId="445468CA" w14:textId="77777777" w:rsidR="00242AD6" w:rsidRPr="00034E9B" w:rsidRDefault="00242AD6" w:rsidP="00DC5A36">
      <w:pPr>
        <w:pStyle w:val="CGCParaNumber"/>
        <w:numPr>
          <w:ilvl w:val="0"/>
          <w:numId w:val="2"/>
        </w:numPr>
        <w:ind w:left="567" w:hanging="567"/>
        <w:rPr>
          <w:lang w:val="en-AU"/>
        </w:rPr>
      </w:pPr>
      <w:r w:rsidRPr="00034E9B">
        <w:rPr>
          <w:lang w:val="en-AU"/>
        </w:rPr>
        <w:t xml:space="preserve">There is, however, one way that the Commission, in consultation with the Commonwealth and the States, could seek to improve work flows in future, and that is in its work program for the methodology reviews. The past pattern has been to concentrate initially on principles and guidelines and then to follow up later with specific assessments, all at the same time. Future work plans (if terms of reference allow and if they are received sufficiently early in the cycle) could instead nominate a sequence of assessment reviews — some starting immediately with others spaced over the available time. </w:t>
      </w:r>
    </w:p>
    <w:p w14:paraId="7544EEB6" w14:textId="0ED61021" w:rsidR="00242AD6" w:rsidRPr="00034E9B" w:rsidRDefault="00242AD6" w:rsidP="00DC5A36">
      <w:pPr>
        <w:pStyle w:val="CGCParaNumber"/>
        <w:numPr>
          <w:ilvl w:val="0"/>
          <w:numId w:val="2"/>
        </w:numPr>
        <w:ind w:left="567" w:hanging="567"/>
        <w:rPr>
          <w:lang w:val="en-AU"/>
        </w:rPr>
      </w:pPr>
      <w:r w:rsidRPr="00034E9B">
        <w:rPr>
          <w:lang w:val="en-AU"/>
        </w:rPr>
        <w:t xml:space="preserve">The Commission considers that the Commonwealth and the States, through Heads of Treasury, could give consideration to the ACT suggestions insofar as they may </w:t>
      </w:r>
      <w:r w:rsidR="00D87F7B">
        <w:rPr>
          <w:lang w:val="en-AU"/>
        </w:rPr>
        <w:t>affect</w:t>
      </w:r>
      <w:r w:rsidRPr="00034E9B">
        <w:rPr>
          <w:lang w:val="en-AU"/>
        </w:rPr>
        <w:t xml:space="preserve"> future terms of reference and other processes. Separately, the Commission proposes, if governments agree and in consultation with them, to develop an early indicative work program for the next methodology review period that includes a sequential approach to the review of priority specific assessments. The Commission would see advantage in pursuing these considerations in 2020, even in advance of receiving new terms of reference.</w:t>
      </w:r>
    </w:p>
    <w:p w14:paraId="7086BA72" w14:textId="77777777" w:rsidR="00242AD6" w:rsidRPr="00034E9B" w:rsidRDefault="00242AD6" w:rsidP="002659C2">
      <w:pPr>
        <w:pStyle w:val="CGCParaNumber"/>
        <w:keepNext/>
        <w:keepLines/>
        <w:numPr>
          <w:ilvl w:val="0"/>
          <w:numId w:val="2"/>
        </w:numPr>
        <w:ind w:left="567" w:hanging="567"/>
        <w:rPr>
          <w:lang w:val="en-AU"/>
        </w:rPr>
      </w:pPr>
      <w:r w:rsidRPr="00034E9B">
        <w:rPr>
          <w:lang w:val="en-AU"/>
        </w:rPr>
        <w:lastRenderedPageBreak/>
        <w:t>Examples of assessments that could be progressed on a priority basis, particularly relating to outstanding data related issues, include:</w:t>
      </w:r>
    </w:p>
    <w:p w14:paraId="7BAB8AD7" w14:textId="77777777" w:rsidR="00242AD6" w:rsidRPr="00034E9B" w:rsidRDefault="00242AD6" w:rsidP="002659C2">
      <w:pPr>
        <w:pStyle w:val="CGCBullet1"/>
        <w:keepNext/>
        <w:keepLines/>
        <w:numPr>
          <w:ilvl w:val="0"/>
          <w:numId w:val="3"/>
        </w:numPr>
        <w:ind w:left="924" w:hanging="357"/>
      </w:pPr>
      <w:r w:rsidRPr="00034E9B">
        <w:t>the allocation of roads expenditure between urban and rural roads using NTC and State data</w:t>
      </w:r>
    </w:p>
    <w:p w14:paraId="7EFA5BCE" w14:textId="782BBA17" w:rsidR="00242AD6" w:rsidRPr="00034E9B" w:rsidRDefault="007A4CF1" w:rsidP="002659C2">
      <w:pPr>
        <w:pStyle w:val="CGCBullet1"/>
        <w:keepNext/>
        <w:keepLines/>
        <w:numPr>
          <w:ilvl w:val="0"/>
          <w:numId w:val="3"/>
        </w:numPr>
        <w:ind w:left="924" w:hanging="357"/>
      </w:pPr>
      <w:r>
        <w:t xml:space="preserve">investigating </w:t>
      </w:r>
      <w:r w:rsidR="008E78EE">
        <w:t xml:space="preserve">the interaction between </w:t>
      </w:r>
      <w:r w:rsidR="00591FEB">
        <w:t>remoteness</w:t>
      </w:r>
      <w:r w:rsidR="001C3F12">
        <w:t xml:space="preserve"> and Indigeneity costs </w:t>
      </w:r>
      <w:r w:rsidR="00591FEB">
        <w:t>for social housing</w:t>
      </w:r>
    </w:p>
    <w:p w14:paraId="65A0D7DC" w14:textId="77777777" w:rsidR="00242AD6" w:rsidRPr="00034E9B" w:rsidRDefault="00242AD6" w:rsidP="002659C2">
      <w:pPr>
        <w:pStyle w:val="CGCBullet1"/>
        <w:keepNext/>
        <w:keepLines/>
        <w:numPr>
          <w:ilvl w:val="0"/>
          <w:numId w:val="3"/>
        </w:numPr>
        <w:ind w:left="924" w:hanging="357"/>
      </w:pPr>
      <w:r w:rsidRPr="00034E9B">
        <w:t>fitness for purpose of IHPA non-admitted patient NWAU data</w:t>
      </w:r>
    </w:p>
    <w:p w14:paraId="6685EDA8" w14:textId="77777777" w:rsidR="00242AD6" w:rsidRPr="00034E9B" w:rsidRDefault="00242AD6" w:rsidP="002659C2">
      <w:pPr>
        <w:pStyle w:val="CGCBullet1"/>
        <w:keepNext/>
        <w:keepLines/>
        <w:numPr>
          <w:ilvl w:val="0"/>
          <w:numId w:val="3"/>
        </w:numPr>
        <w:ind w:left="924" w:hanging="357"/>
      </w:pPr>
      <w:r w:rsidRPr="00034E9B">
        <w:t>responsiveness of State spending to changes in non-State health services</w:t>
      </w:r>
    </w:p>
    <w:p w14:paraId="5DD2DFE9" w14:textId="3F73C5A0" w:rsidR="002659C2" w:rsidRDefault="00242AD6" w:rsidP="002659C2">
      <w:pPr>
        <w:pStyle w:val="CGCBullet1"/>
        <w:keepNext/>
        <w:keepLines/>
        <w:numPr>
          <w:ilvl w:val="0"/>
          <w:numId w:val="3"/>
        </w:numPr>
        <w:ind w:left="924" w:hanging="357"/>
      </w:pPr>
      <w:r w:rsidRPr="00034E9B">
        <w:t>suitability of the BLADE dataset to underlie the payroll tax assessment</w:t>
      </w:r>
      <w:r w:rsidR="00DE1B17">
        <w:t xml:space="preserve">, </w:t>
      </w:r>
      <w:r w:rsidR="00DE1B17" w:rsidRPr="00DE1B17">
        <w:t>once these data become available</w:t>
      </w:r>
      <w:r w:rsidRPr="00034E9B">
        <w:t>.</w:t>
      </w:r>
    </w:p>
    <w:p w14:paraId="505A9108" w14:textId="77777777" w:rsidR="00CE45BB" w:rsidRDefault="00CE45BB" w:rsidP="00CE45BB"/>
    <w:p w14:paraId="6B010AAB" w14:textId="77777777" w:rsidR="00CE45BB" w:rsidRDefault="00CE45BB" w:rsidP="00CE45BB"/>
    <w:p w14:paraId="15B25A19" w14:textId="77777777" w:rsidR="002659C2" w:rsidRDefault="002659C2" w:rsidP="002659C2">
      <w:pPr>
        <w:sectPr w:rsidR="002659C2" w:rsidSect="00BA2C0E">
          <w:footerReference w:type="default" r:id="rId25"/>
          <w:footerReference w:type="first" r:id="rId26"/>
          <w:footnotePr>
            <w:numRestart w:val="eachSect"/>
          </w:footnotePr>
          <w:type w:val="continuous"/>
          <w:pgSz w:w="11899" w:h="16838" w:code="9"/>
          <w:pgMar w:top="1418" w:right="1474" w:bottom="1418" w:left="1474" w:header="709" w:footer="567" w:gutter="0"/>
          <w:pgNumType w:start="1"/>
          <w:cols w:space="708"/>
          <w:titlePg/>
          <w:docGrid w:linePitch="299"/>
        </w:sectPr>
      </w:pPr>
    </w:p>
    <w:p w14:paraId="78C64A6A" w14:textId="14C417B8" w:rsidR="009B4602" w:rsidRPr="00034E9B" w:rsidRDefault="009B4602" w:rsidP="0052689A">
      <w:pPr>
        <w:pStyle w:val="Heading1"/>
      </w:pPr>
      <w:bookmarkStart w:id="61" w:name="_Toc26890311"/>
      <w:bookmarkStart w:id="62" w:name="_Toc33545890"/>
      <w:r w:rsidRPr="00034E9B">
        <w:lastRenderedPageBreak/>
        <w:t>2</w:t>
      </w:r>
      <w:r w:rsidRPr="00034E9B">
        <w:tab/>
        <w:t>Measuring relative fiscal capacity</w:t>
      </w:r>
      <w:bookmarkEnd w:id="61"/>
      <w:bookmarkEnd w:id="62"/>
    </w:p>
    <w:p w14:paraId="6A21CB4D" w14:textId="77777777" w:rsidR="009B4602" w:rsidRPr="00034E9B" w:rsidRDefault="009B4602" w:rsidP="00DC5A36">
      <w:pPr>
        <w:pStyle w:val="CGCParaNumber"/>
        <w:numPr>
          <w:ilvl w:val="0"/>
          <w:numId w:val="21"/>
        </w:numPr>
        <w:ind w:left="567" w:hanging="567"/>
        <w:rPr>
          <w:lang w:val="en-AU"/>
        </w:rPr>
      </w:pPr>
      <w:r w:rsidRPr="00034E9B">
        <w:rPr>
          <w:lang w:val="en-AU"/>
        </w:rPr>
        <w:t xml:space="preserve">This chapter sets out the principles and guidelines the Commission has applied in developing the methodology for measuring State fiscal capacities. The Commission has had regard to State views in response to the draft report and earlier consultation papers. </w:t>
      </w:r>
    </w:p>
    <w:p w14:paraId="2D81407C" w14:textId="295BF7D1" w:rsidR="009B4602" w:rsidRPr="00034E9B" w:rsidRDefault="009B4602" w:rsidP="00B80D74">
      <w:pPr>
        <w:pStyle w:val="Heading3"/>
      </w:pPr>
      <w:bookmarkStart w:id="63" w:name="_Toc7003283"/>
      <w:bookmarkStart w:id="64" w:name="_Toc7003993"/>
      <w:bookmarkStart w:id="65" w:name="_Toc7601602"/>
      <w:bookmarkStart w:id="66" w:name="_Toc9319962"/>
      <w:bookmarkStart w:id="67" w:name="_Toc12023835"/>
      <w:bookmarkStart w:id="68" w:name="_Toc26890312"/>
      <w:bookmarkStart w:id="69" w:name="_Toc33545891"/>
      <w:r w:rsidRPr="00034E9B">
        <w:t>The Commission’s task</w:t>
      </w:r>
      <w:bookmarkEnd w:id="63"/>
      <w:bookmarkEnd w:id="64"/>
      <w:bookmarkEnd w:id="65"/>
      <w:bookmarkEnd w:id="66"/>
      <w:bookmarkEnd w:id="67"/>
      <w:bookmarkEnd w:id="68"/>
      <w:bookmarkEnd w:id="69"/>
      <w:r w:rsidRPr="00034E9B">
        <w:t xml:space="preserve"> </w:t>
      </w:r>
    </w:p>
    <w:p w14:paraId="5293A405" w14:textId="77777777" w:rsidR="009B4602" w:rsidRPr="00034E9B" w:rsidRDefault="009B4602" w:rsidP="00DC5A36">
      <w:pPr>
        <w:pStyle w:val="CGCParaNumber"/>
        <w:numPr>
          <w:ilvl w:val="0"/>
          <w:numId w:val="2"/>
        </w:numPr>
        <w:ind w:left="567" w:hanging="567"/>
        <w:rPr>
          <w:lang w:val="en-AU"/>
        </w:rPr>
      </w:pPr>
      <w:r w:rsidRPr="00034E9B">
        <w:rPr>
          <w:lang w:val="en-AU"/>
        </w:rPr>
        <w:t xml:space="preserve">On 28 November 2016, the Treasurer gave the Commission terms of reference for a review of the methodology for calculating the GST relativities from 2020-21. A copy of those terms of reference is in Volume 1 and is available on the </w:t>
      </w:r>
      <w:hyperlink r:id="rId27" w:history="1">
        <w:r w:rsidRPr="00034E9B">
          <w:rPr>
            <w:rStyle w:val="Hyperlink"/>
            <w:lang w:val="en-AU"/>
          </w:rPr>
          <w:t>Commission website</w:t>
        </w:r>
      </w:hyperlink>
      <w:r w:rsidRPr="00034E9B">
        <w:rPr>
          <w:lang w:val="en-AU"/>
        </w:rPr>
        <w:t xml:space="preserve"> (https://cgc.gov.au/).</w:t>
      </w:r>
    </w:p>
    <w:p w14:paraId="05083EE5" w14:textId="39BF0A5C" w:rsidR="009B4602" w:rsidRPr="00E85F01" w:rsidRDefault="009B4602" w:rsidP="006267EA">
      <w:pPr>
        <w:pStyle w:val="CGCParaNumber"/>
        <w:numPr>
          <w:ilvl w:val="0"/>
          <w:numId w:val="2"/>
        </w:numPr>
        <w:ind w:left="567" w:hanging="567"/>
        <w:rPr>
          <w:lang w:val="en-AU"/>
        </w:rPr>
      </w:pPr>
      <w:r w:rsidRPr="00E85F01">
        <w:rPr>
          <w:lang w:val="en-AU"/>
        </w:rPr>
        <w:t>The 2020 Review methodology will provide the basis for measuring State relative fiscal capacities under the current and new arrangements for determining the GST distribution from 2020-21.</w:t>
      </w:r>
      <w:r w:rsidRPr="00034E9B">
        <w:rPr>
          <w:vertAlign w:val="superscript"/>
          <w:lang w:val="en-AU"/>
        </w:rPr>
        <w:footnoteReference w:id="22"/>
      </w:r>
      <w:r w:rsidRPr="00E85F01">
        <w:rPr>
          <w:lang w:val="en-AU"/>
        </w:rPr>
        <w:t xml:space="preserve"> </w:t>
      </w:r>
    </w:p>
    <w:p w14:paraId="286179F6" w14:textId="77777777" w:rsidR="009B4602" w:rsidRPr="00034E9B" w:rsidRDefault="009B4602" w:rsidP="00B80D74">
      <w:pPr>
        <w:pStyle w:val="Heading4"/>
      </w:pPr>
      <w:bookmarkStart w:id="70" w:name="_Toc26890313"/>
      <w:r w:rsidRPr="00034E9B">
        <w:t>The terms of reference and the principle of HFE</w:t>
      </w:r>
      <w:bookmarkEnd w:id="70"/>
    </w:p>
    <w:p w14:paraId="3E9090A2" w14:textId="77777777" w:rsidR="009B4602" w:rsidRPr="00034E9B" w:rsidRDefault="009B4602" w:rsidP="00DC5A36">
      <w:pPr>
        <w:pStyle w:val="CGCParaNumber"/>
        <w:numPr>
          <w:ilvl w:val="0"/>
          <w:numId w:val="2"/>
        </w:numPr>
        <w:ind w:left="567" w:hanging="567"/>
        <w:rPr>
          <w:lang w:val="en-AU"/>
        </w:rPr>
      </w:pPr>
      <w:r w:rsidRPr="00034E9B">
        <w:rPr>
          <w:lang w:val="en-AU"/>
        </w:rPr>
        <w:t>Chapter 1 of Volume 2 set out the requirements of the terms of reference for this review. The terms of reference require the Commission to base its methodology for measuring State fiscal capacities on the principle of HFE. In the 2015 Review, the Commission articulated the HFE principle for determining the distribution of GST revenue as follows:</w:t>
      </w:r>
    </w:p>
    <w:p w14:paraId="4B096E84" w14:textId="77777777" w:rsidR="009B4602" w:rsidRPr="00034E9B" w:rsidRDefault="009B4602" w:rsidP="00B80D74">
      <w:pPr>
        <w:pStyle w:val="CGCQuotation"/>
      </w:pPr>
      <w:r w:rsidRPr="00034E9B">
        <w:t>State governments should receive funding from the pool of GST such that, after allowing for material factors affecting revenues and expenditures, each would have the fiscal capacity to provide services and the associated infrastructure at the same standard, if each made the same effort to raise revenue from its own sources and operated at the same level of efficiency.</w:t>
      </w:r>
    </w:p>
    <w:p w14:paraId="43E1ABB9" w14:textId="424E0E60" w:rsidR="009B4602" w:rsidRPr="00034E9B" w:rsidRDefault="009B4602" w:rsidP="00DC5A36">
      <w:pPr>
        <w:pStyle w:val="CGCParaNumber"/>
        <w:numPr>
          <w:ilvl w:val="0"/>
          <w:numId w:val="2"/>
        </w:numPr>
        <w:ind w:left="567" w:hanging="567"/>
        <w:rPr>
          <w:lang w:val="en-AU"/>
        </w:rPr>
      </w:pPr>
      <w:r w:rsidRPr="00034E9B">
        <w:rPr>
          <w:lang w:val="en-AU"/>
        </w:rPr>
        <w:t xml:space="preserve">This definition reflects the Commission’s approach to measuring the relative fiscal capacities of the States. </w:t>
      </w:r>
      <w:r w:rsidRPr="00034E9B">
        <w:rPr>
          <w:lang w:val="en-AU"/>
        </w:rPr>
        <w:fldChar w:fldCharType="begin"/>
      </w:r>
      <w:r w:rsidRPr="00034E9B">
        <w:rPr>
          <w:lang w:val="en-AU"/>
        </w:rPr>
        <w:instrText xml:space="preserve"> REF _Ref6413055 \h  \* MERGEFORMAT </w:instrText>
      </w:r>
      <w:r w:rsidRPr="00034E9B">
        <w:rPr>
          <w:lang w:val="en-AU"/>
        </w:rPr>
      </w:r>
      <w:r w:rsidRPr="00034E9B">
        <w:rPr>
          <w:lang w:val="en-AU"/>
        </w:rPr>
        <w:fldChar w:fldCharType="separate"/>
      </w:r>
      <w:r w:rsidR="004A0DFA" w:rsidRPr="004A0DFA">
        <w:rPr>
          <w:lang w:val="en-AU"/>
        </w:rPr>
        <w:t>Figure</w:t>
      </w:r>
      <w:r w:rsidR="004A0DFA">
        <w:t xml:space="preserve"> 2</w:t>
      </w:r>
      <w:r w:rsidR="004A0DFA">
        <w:noBreakHyphen/>
        <w:t>1</w:t>
      </w:r>
      <w:r w:rsidRPr="00034E9B">
        <w:rPr>
          <w:lang w:val="en-AU"/>
        </w:rPr>
        <w:fldChar w:fldCharType="end"/>
      </w:r>
      <w:r w:rsidRPr="00034E9B">
        <w:rPr>
          <w:lang w:val="en-AU"/>
        </w:rPr>
        <w:t xml:space="preserve"> illustrates the approach.</w:t>
      </w:r>
    </w:p>
    <w:p w14:paraId="4385B604" w14:textId="262569E4" w:rsidR="009B4602" w:rsidRPr="00034E9B" w:rsidRDefault="00250088" w:rsidP="00250088">
      <w:pPr>
        <w:pStyle w:val="Caption"/>
      </w:pPr>
      <w:bookmarkStart w:id="71" w:name="_Ref6413055"/>
      <w:bookmarkStart w:id="72" w:name="_Toc7003268"/>
      <w:bookmarkStart w:id="73" w:name="_Ref9947181"/>
      <w:bookmarkStart w:id="74" w:name="_Ref12022212"/>
      <w:r>
        <w:lastRenderedPageBreak/>
        <w:t>Figure 2</w:t>
      </w:r>
      <w:r>
        <w:noBreakHyphen/>
      </w:r>
      <w:r w:rsidR="009063F1">
        <w:fldChar w:fldCharType="begin"/>
      </w:r>
      <w:r w:rsidR="009063F1">
        <w:instrText xml:space="preserve"> S</w:instrText>
      </w:r>
      <w:r w:rsidR="009063F1">
        <w:instrText xml:space="preserve">EQ Figure \* ARABIC \r 1 </w:instrText>
      </w:r>
      <w:r w:rsidR="009063F1">
        <w:fldChar w:fldCharType="separate"/>
      </w:r>
      <w:r w:rsidR="004A0DFA">
        <w:rPr>
          <w:noProof/>
        </w:rPr>
        <w:t>1</w:t>
      </w:r>
      <w:r w:rsidR="009063F1">
        <w:rPr>
          <w:noProof/>
        </w:rPr>
        <w:fldChar w:fldCharType="end"/>
      </w:r>
      <w:bookmarkEnd w:id="71"/>
      <w:r w:rsidR="009B4602" w:rsidRPr="00034E9B">
        <w:tab/>
        <w:t xml:space="preserve">Equalisation requirement, </w:t>
      </w:r>
      <w:bookmarkEnd w:id="72"/>
      <w:bookmarkEnd w:id="73"/>
      <w:bookmarkEnd w:id="74"/>
      <w:r w:rsidR="009B4602" w:rsidRPr="00034E9B">
        <w:t>2020-21</w:t>
      </w:r>
    </w:p>
    <w:p w14:paraId="7BA4A12C" w14:textId="77777777" w:rsidR="009B4602" w:rsidRPr="00034E9B" w:rsidRDefault="009B4602" w:rsidP="00B80D74">
      <w:r w:rsidRPr="00034E9B">
        <w:rPr>
          <w:noProof/>
        </w:rPr>
        <w:drawing>
          <wp:inline distT="0" distB="0" distL="0" distR="0" wp14:anchorId="59721465" wp14:editId="25B36C33">
            <wp:extent cx="5657324" cy="3528000"/>
            <wp:effectExtent l="0" t="0" r="635" b="15875"/>
            <wp:docPr id="1" name="Chart 1">
              <a:extLst xmlns:a="http://schemas.openxmlformats.org/drawingml/2006/main">
                <a:ext uri="{FF2B5EF4-FFF2-40B4-BE49-F238E27FC236}">
                  <a16:creationId xmlns:a16="http://schemas.microsoft.com/office/drawing/2014/main" id="{B726A40A-A009-4D7C-A8A7-EFE05A656A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4756416" w14:textId="1B826A8D" w:rsidR="009B4602" w:rsidRPr="00034E9B" w:rsidRDefault="009B4602" w:rsidP="00B80D74">
      <w:pPr>
        <w:pStyle w:val="CGCTablenote"/>
      </w:pPr>
      <w:r w:rsidRPr="00034E9B">
        <w:t>(a)</w:t>
      </w:r>
      <w:r w:rsidRPr="00034E9B">
        <w:tab/>
        <w:t>Includes expenses and investment.</w:t>
      </w:r>
    </w:p>
    <w:p w14:paraId="406BE992" w14:textId="34743082" w:rsidR="00B2394B" w:rsidRDefault="00B2394B" w:rsidP="004F0379">
      <w:pPr>
        <w:pStyle w:val="CGCTablenote"/>
      </w:pPr>
      <w:r>
        <w:t>Note:</w:t>
      </w:r>
      <w:r w:rsidR="001C62D4">
        <w:tab/>
      </w:r>
      <w:r>
        <w:t>These are assessed expenditures, own</w:t>
      </w:r>
      <w:r w:rsidR="004159B1">
        <w:t>-</w:t>
      </w:r>
      <w:r>
        <w:t>source revenue, net borrowing, Commonwealth payments and GST.</w:t>
      </w:r>
    </w:p>
    <w:p w14:paraId="1993B0BC" w14:textId="14CBB8AE" w:rsidR="009B4602" w:rsidRPr="00034E9B" w:rsidRDefault="009B4602" w:rsidP="00B80D74">
      <w:pPr>
        <w:pStyle w:val="CGCTablenote"/>
      </w:pPr>
      <w:r w:rsidRPr="00034E9B">
        <w:t>Source:</w:t>
      </w:r>
      <w:r w:rsidRPr="00034E9B">
        <w:tab/>
        <w:t>Commission calculation.</w:t>
      </w:r>
    </w:p>
    <w:p w14:paraId="51EFD4DE" w14:textId="086C61FC" w:rsidR="009B4602" w:rsidRPr="00034E9B" w:rsidRDefault="009B4602" w:rsidP="00DC5A36">
      <w:pPr>
        <w:pStyle w:val="CGCParaNumber"/>
        <w:numPr>
          <w:ilvl w:val="0"/>
          <w:numId w:val="2"/>
        </w:numPr>
        <w:ind w:left="567" w:hanging="567"/>
        <w:rPr>
          <w:lang w:val="en-AU"/>
        </w:rPr>
      </w:pPr>
      <w:r w:rsidRPr="00034E9B">
        <w:rPr>
          <w:lang w:val="en-AU"/>
        </w:rPr>
        <w:t>A State’s equalisation requirement is the difference between the sum of its assessed expenses and assessed investment, and the sum of its assessed own</w:t>
      </w:r>
      <w:r w:rsidR="004159B1">
        <w:rPr>
          <w:lang w:val="en-AU"/>
        </w:rPr>
        <w:t>-</w:t>
      </w:r>
      <w:r w:rsidRPr="00034E9B">
        <w:rPr>
          <w:lang w:val="en-AU"/>
        </w:rPr>
        <w:t>source revenue, assessed net borrowing and Commonwealth payments for specific purposes (PSPs). That is:</w:t>
      </w:r>
    </w:p>
    <w:p w14:paraId="78C627CE" w14:textId="77777777" w:rsidR="009B4602" w:rsidRPr="00034E9B" w:rsidRDefault="009B4602" w:rsidP="00DC5A36">
      <w:pPr>
        <w:pStyle w:val="CGCBullet1"/>
        <w:numPr>
          <w:ilvl w:val="0"/>
          <w:numId w:val="3"/>
        </w:numPr>
        <w:ind w:left="924" w:hanging="357"/>
      </w:pPr>
      <w:r w:rsidRPr="00034E9B">
        <w:t>a State’s assessed expenses are the expenses it would incur if it were to follow average expense policies, allowing for the disabilities it faces in providing services, and assuming it provides services at the average level of efficiency</w:t>
      </w:r>
      <w:r w:rsidRPr="00034E9B">
        <w:rPr>
          <w:vertAlign w:val="superscript"/>
        </w:rPr>
        <w:footnoteReference w:id="23"/>
      </w:r>
    </w:p>
    <w:p w14:paraId="64F1FDE6" w14:textId="77777777" w:rsidR="009B4602" w:rsidRPr="00034E9B" w:rsidRDefault="009B4602" w:rsidP="00DC5A36">
      <w:pPr>
        <w:pStyle w:val="CGCBullet1"/>
        <w:numPr>
          <w:ilvl w:val="0"/>
          <w:numId w:val="3"/>
        </w:numPr>
        <w:ind w:left="924" w:hanging="357"/>
      </w:pPr>
      <w:r w:rsidRPr="00034E9B">
        <w:t>a State’s assessed investment is the expenditure on infrastructure it would incur if it were to follow average policies, allowing for disabilities it faces in providing infrastructure, and assuming it requires the average level of infrastructure to deliver the average level of services</w:t>
      </w:r>
    </w:p>
    <w:p w14:paraId="32A64855" w14:textId="77777777" w:rsidR="009B4602" w:rsidRPr="00034E9B" w:rsidRDefault="009B4602" w:rsidP="00DC5A36">
      <w:pPr>
        <w:pStyle w:val="CGCBullet1"/>
        <w:numPr>
          <w:ilvl w:val="0"/>
          <w:numId w:val="3"/>
        </w:numPr>
        <w:ind w:left="924" w:hanging="357"/>
      </w:pPr>
      <w:r w:rsidRPr="00034E9B">
        <w:t>a State’s assessed revenue is the revenue it would raise if it were to apply the average policies to its revenue base, and raise revenue at the average level of efficiency</w:t>
      </w:r>
    </w:p>
    <w:p w14:paraId="3031AE4F" w14:textId="77777777" w:rsidR="009B4602" w:rsidRPr="00034E9B" w:rsidRDefault="009B4602" w:rsidP="00DC5A36">
      <w:pPr>
        <w:pStyle w:val="CGCBullet1"/>
        <w:numPr>
          <w:ilvl w:val="0"/>
          <w:numId w:val="3"/>
        </w:numPr>
        <w:ind w:left="924" w:hanging="357"/>
      </w:pPr>
      <w:r w:rsidRPr="00034E9B">
        <w:t>a State’s assessed net borrowing is the amount a State would require to achieve the average net financial worth at the end of each year</w:t>
      </w:r>
    </w:p>
    <w:p w14:paraId="7CF8E6D6" w14:textId="77777777" w:rsidR="009B4602" w:rsidRPr="00034E9B" w:rsidRDefault="009B4602" w:rsidP="00DC5A36">
      <w:pPr>
        <w:pStyle w:val="CGCBullet1"/>
        <w:numPr>
          <w:ilvl w:val="0"/>
          <w:numId w:val="3"/>
        </w:numPr>
        <w:ind w:left="924" w:hanging="357"/>
      </w:pPr>
      <w:r w:rsidRPr="00034E9B">
        <w:t>a State’s assessed Commonwealth payments is the amount of PSPs it receives from the Commonwealth.</w:t>
      </w:r>
      <w:r w:rsidRPr="00034E9B">
        <w:rPr>
          <w:vertAlign w:val="superscript"/>
        </w:rPr>
        <w:footnoteReference w:id="24"/>
      </w:r>
    </w:p>
    <w:p w14:paraId="73BC8D49" w14:textId="77777777" w:rsidR="009B4602" w:rsidRPr="00034E9B" w:rsidRDefault="009B4602" w:rsidP="00DC5A36">
      <w:pPr>
        <w:pStyle w:val="CGCParaNumber"/>
        <w:numPr>
          <w:ilvl w:val="0"/>
          <w:numId w:val="2"/>
        </w:numPr>
        <w:ind w:left="567" w:hanging="567"/>
        <w:rPr>
          <w:lang w:val="en-AU"/>
        </w:rPr>
      </w:pPr>
      <w:r w:rsidRPr="00034E9B">
        <w:rPr>
          <w:lang w:val="en-AU"/>
        </w:rPr>
        <w:lastRenderedPageBreak/>
        <w:t>The equalisation requirement is the Commission’s estimate of the funding each State requires to have the financial capacity to provide the average (or same) standard of services. This level of funding also ensures that each State has the financial capacity to finish the year with the average (or same) net financial worth (NFW) per capita. In other words, NFW is equalised.</w:t>
      </w:r>
    </w:p>
    <w:p w14:paraId="238518F1" w14:textId="5E621505" w:rsidR="009B4602" w:rsidRPr="00034E9B" w:rsidRDefault="009B4602" w:rsidP="00DC5A36">
      <w:pPr>
        <w:pStyle w:val="CGCParaNumber"/>
        <w:numPr>
          <w:ilvl w:val="0"/>
          <w:numId w:val="2"/>
        </w:numPr>
        <w:ind w:left="567" w:hanging="567"/>
        <w:rPr>
          <w:lang w:val="en-AU"/>
        </w:rPr>
      </w:pPr>
      <w:r w:rsidRPr="00034E9B">
        <w:rPr>
          <w:lang w:val="en-AU"/>
        </w:rPr>
        <w:t>Under the current arrangements, the Commission is required to produce per capita relativities for distributing GST revenue in accordance with the above principle of HFE.</w:t>
      </w:r>
      <w:r w:rsidRPr="00034E9B">
        <w:rPr>
          <w:vertAlign w:val="superscript"/>
          <w:lang w:val="en-AU"/>
        </w:rPr>
        <w:footnoteReference w:id="25"/>
      </w:r>
      <w:r w:rsidRPr="00034E9B">
        <w:rPr>
          <w:lang w:val="en-AU"/>
        </w:rPr>
        <w:t xml:space="preserve"> These relativities reflect each State’s equalisation requirement. Under the new arrangements for distributing the GST that take effect from 2021-22, the Commission’s measures of relative fiscal capacity will no longer be the sole basis for determining the recommended GST distribution. The Commonwealth </w:t>
      </w:r>
      <w:r w:rsidR="00571F7A">
        <w:rPr>
          <w:lang w:val="en-AU"/>
        </w:rPr>
        <w:t>government</w:t>
      </w:r>
      <w:r w:rsidRPr="00034E9B">
        <w:rPr>
          <w:lang w:val="en-AU"/>
        </w:rPr>
        <w:t xml:space="preserve"> has adopted a new equalisation standard under which State governments will receive funding from the GST pool such that each has the capacity to provide services at the standard of New South Wales or Victoria, whichever is higher.</w:t>
      </w:r>
      <w:r w:rsidRPr="00034E9B">
        <w:rPr>
          <w:vertAlign w:val="superscript"/>
          <w:lang w:val="en-AU"/>
        </w:rPr>
        <w:footnoteReference w:id="26"/>
      </w:r>
      <w:r w:rsidRPr="00034E9B">
        <w:rPr>
          <w:lang w:val="en-AU"/>
        </w:rPr>
        <w:t xml:space="preserve"> </w:t>
      </w:r>
    </w:p>
    <w:p w14:paraId="441A8CEC" w14:textId="41255DD8" w:rsidR="009B4602" w:rsidRPr="00034E9B" w:rsidRDefault="009B4602" w:rsidP="00DC5A36">
      <w:pPr>
        <w:pStyle w:val="CGCParaNumber"/>
        <w:numPr>
          <w:ilvl w:val="0"/>
          <w:numId w:val="2"/>
        </w:numPr>
        <w:ind w:left="567" w:hanging="567"/>
        <w:rPr>
          <w:lang w:val="en-AU"/>
        </w:rPr>
      </w:pPr>
      <w:r w:rsidRPr="00034E9B">
        <w:rPr>
          <w:lang w:val="en-AU"/>
        </w:rPr>
        <w:t>The new arrangements will require the Commission to measure the relative fiscal capacity of all States as a step towards recommending GST revenue sharing relativities consistent with the legislated transition to ‘reasonable equalisation’ in 2026-27. Throughout this transition, the Commission will continue to base its measures of relative fiscal capacity on the same HFE definition that applied previously, but it will be expressed in a way that has regard to the changes to the arrangements for determining GST payments to the States. For the 2020</w:t>
      </w:r>
      <w:r w:rsidR="001E362E">
        <w:rPr>
          <w:lang w:val="en-AU"/>
        </w:rPr>
        <w:t> </w:t>
      </w:r>
      <w:r w:rsidRPr="00034E9B">
        <w:rPr>
          <w:lang w:val="en-AU"/>
        </w:rPr>
        <w:t xml:space="preserve">Review, the principle of HFE </w:t>
      </w:r>
      <w:r w:rsidR="00DA275C">
        <w:rPr>
          <w:lang w:val="en-AU"/>
        </w:rPr>
        <w:t>has been</w:t>
      </w:r>
      <w:r w:rsidRPr="00034E9B">
        <w:rPr>
          <w:lang w:val="en-AU"/>
        </w:rPr>
        <w:t xml:space="preserve"> articulated as follows:</w:t>
      </w:r>
    </w:p>
    <w:p w14:paraId="499D1C7D" w14:textId="7815CF1E" w:rsidR="009B4602" w:rsidRPr="00034E9B" w:rsidRDefault="009B4602" w:rsidP="00B80D74">
      <w:pPr>
        <w:pStyle w:val="CGCQuotation"/>
      </w:pPr>
      <w:r w:rsidRPr="00034E9B">
        <w:t>The assessment of State relative fiscal capacities, for informing the GST distribution, will be determined for each State such that, after allowing for material factors affecting revenues and expenditures, each would have the fiscal capacity to provide services and the associated infrastructure at the same standard, if each made the same effort to raise revenue from its own</w:t>
      </w:r>
      <w:r w:rsidR="004159B1">
        <w:t>-</w:t>
      </w:r>
      <w:r w:rsidRPr="00034E9B">
        <w:t xml:space="preserve">sources and operated at the same level of efficiency. </w:t>
      </w:r>
    </w:p>
    <w:p w14:paraId="2B5AD0B0" w14:textId="77777777" w:rsidR="009B4602" w:rsidRPr="00034E9B" w:rsidRDefault="009B4602" w:rsidP="00DC5A36">
      <w:pPr>
        <w:pStyle w:val="CGCParaNumber"/>
        <w:numPr>
          <w:ilvl w:val="0"/>
          <w:numId w:val="2"/>
        </w:numPr>
        <w:ind w:left="567" w:hanging="567"/>
        <w:rPr>
          <w:lang w:val="en-AU"/>
        </w:rPr>
      </w:pPr>
      <w:r w:rsidRPr="00034E9B">
        <w:rPr>
          <w:lang w:val="en-AU"/>
        </w:rPr>
        <w:t>The definition continues to focus on the main task of the Commission: to identify factors, or ‘disabilities’, affecting State finances.</w:t>
      </w:r>
    </w:p>
    <w:p w14:paraId="5604AB48" w14:textId="77777777" w:rsidR="009B4602" w:rsidRPr="00034E9B" w:rsidRDefault="009B4602" w:rsidP="00DC5A36">
      <w:pPr>
        <w:pStyle w:val="CGCParaNumber"/>
        <w:numPr>
          <w:ilvl w:val="0"/>
          <w:numId w:val="2"/>
        </w:numPr>
        <w:ind w:left="567" w:hanging="567"/>
        <w:rPr>
          <w:lang w:val="en-AU"/>
        </w:rPr>
      </w:pPr>
      <w:bookmarkStart w:id="75" w:name="_Ref9497683"/>
      <w:r w:rsidRPr="00034E9B">
        <w:rPr>
          <w:lang w:val="en-AU"/>
        </w:rPr>
        <w:t>Disabilities are influences that are beyond the direct control of States that cause their fiscal capacities to diverge. By assessing these factors, the Commission is able to determine the level of funding each State would need to provide the average level of services. The reference to material factors in the definition makes it clear that the Commission only measures those disabilities that have a relatively significant effect on State expenditure needs or revenue raising capacity.</w:t>
      </w:r>
      <w:bookmarkEnd w:id="75"/>
    </w:p>
    <w:p w14:paraId="0C2BBD9B" w14:textId="77777777" w:rsidR="009B4602" w:rsidRPr="00034E9B" w:rsidRDefault="009B4602" w:rsidP="00DC5A36">
      <w:pPr>
        <w:pStyle w:val="CGCParaNumber"/>
        <w:numPr>
          <w:ilvl w:val="0"/>
          <w:numId w:val="2"/>
        </w:numPr>
        <w:ind w:left="567" w:hanging="567"/>
        <w:rPr>
          <w:lang w:val="en-AU"/>
        </w:rPr>
      </w:pPr>
      <w:r w:rsidRPr="00034E9B">
        <w:rPr>
          <w:lang w:val="en-AU"/>
        </w:rPr>
        <w:t>Specifically, material factors affecting revenue and expenditures mean differences in State circumstances outside their direct control that:</w:t>
      </w:r>
    </w:p>
    <w:p w14:paraId="05158BA0" w14:textId="77777777" w:rsidR="009B4602" w:rsidRPr="00034E9B" w:rsidRDefault="009B4602" w:rsidP="00DC5A36">
      <w:pPr>
        <w:pStyle w:val="CGCBullet1"/>
        <w:numPr>
          <w:ilvl w:val="0"/>
          <w:numId w:val="3"/>
        </w:numPr>
        <w:ind w:left="924" w:hanging="357"/>
      </w:pPr>
      <w:r w:rsidRPr="00034E9B">
        <w:t>give rise to differences in the capacities of States to raise revenue or differences in the cost of providing services or infrastructure, other than those that result from the policy choices of individual States</w:t>
      </w:r>
    </w:p>
    <w:p w14:paraId="269A21F6" w14:textId="77777777" w:rsidR="009B4602" w:rsidRPr="00034E9B" w:rsidRDefault="009B4602" w:rsidP="00DC5A36">
      <w:pPr>
        <w:pStyle w:val="CGCBullet1"/>
        <w:numPr>
          <w:ilvl w:val="0"/>
          <w:numId w:val="3"/>
        </w:numPr>
        <w:ind w:left="924" w:hanging="357"/>
      </w:pPr>
      <w:r w:rsidRPr="00034E9B">
        <w:t xml:space="preserve">can be measured or estimated reliably </w:t>
      </w:r>
    </w:p>
    <w:p w14:paraId="0215B3FC" w14:textId="77777777" w:rsidR="009B4602" w:rsidRPr="00034E9B" w:rsidRDefault="009B4602" w:rsidP="00DC5A36">
      <w:pPr>
        <w:pStyle w:val="CGCBullet1"/>
        <w:numPr>
          <w:ilvl w:val="0"/>
          <w:numId w:val="3"/>
        </w:numPr>
        <w:ind w:left="924" w:hanging="357"/>
      </w:pPr>
      <w:r w:rsidRPr="00034E9B">
        <w:lastRenderedPageBreak/>
        <w:t>cause their assessed expenditure or revenue to differ from an equal per capita (EPC) assessment by more than the materiality thresholds.</w:t>
      </w:r>
      <w:r w:rsidRPr="00034E9B">
        <w:rPr>
          <w:vertAlign w:val="superscript"/>
        </w:rPr>
        <w:footnoteReference w:id="27"/>
      </w:r>
      <w:r w:rsidRPr="00034E9B">
        <w:rPr>
          <w:vertAlign w:val="superscript"/>
        </w:rPr>
        <w:t>,</w:t>
      </w:r>
      <w:r w:rsidRPr="00034E9B">
        <w:rPr>
          <w:vertAlign w:val="superscript"/>
        </w:rPr>
        <w:footnoteReference w:id="28"/>
      </w:r>
      <w:r w:rsidRPr="00034E9B">
        <w:t xml:space="preserve"> </w:t>
      </w:r>
    </w:p>
    <w:p w14:paraId="15A68751" w14:textId="249AA1D5" w:rsidR="009B4602" w:rsidRPr="00034E9B" w:rsidRDefault="009B4602" w:rsidP="00DC5A36">
      <w:pPr>
        <w:pStyle w:val="CGCParaNumber"/>
        <w:numPr>
          <w:ilvl w:val="0"/>
          <w:numId w:val="2"/>
        </w:numPr>
        <w:ind w:left="567" w:hanging="567"/>
        <w:rPr>
          <w:lang w:val="en-AU"/>
        </w:rPr>
      </w:pPr>
      <w:r w:rsidRPr="00034E9B">
        <w:rPr>
          <w:lang w:val="en-AU"/>
        </w:rPr>
        <w:t xml:space="preserve">In 2020-21, the Commission’s assessment of State relative fiscal capacities will provide the recommended GST revenue sharing relativities as in previous years. From 2021-22, the Commission’s assessments will allow it to assist the </w:t>
      </w:r>
      <w:r w:rsidR="00571F7A">
        <w:rPr>
          <w:lang w:val="en-AU"/>
        </w:rPr>
        <w:t>government</w:t>
      </w:r>
      <w:r w:rsidRPr="00034E9B">
        <w:rPr>
          <w:lang w:val="en-AU"/>
        </w:rPr>
        <w:t xml:space="preserve"> to implement the legislated changes by:</w:t>
      </w:r>
    </w:p>
    <w:p w14:paraId="30A1EDD2" w14:textId="77777777" w:rsidR="009B4602" w:rsidRPr="00034E9B" w:rsidRDefault="009B4602" w:rsidP="00DC5A36">
      <w:pPr>
        <w:pStyle w:val="CGCBullet1"/>
        <w:numPr>
          <w:ilvl w:val="0"/>
          <w:numId w:val="3"/>
        </w:numPr>
        <w:ind w:left="924" w:hanging="357"/>
      </w:pPr>
      <w:r w:rsidRPr="00034E9B">
        <w:t xml:space="preserve">identifying the stronger of New South Wales and Victoria for the purpose of producing reasonable equalisation relativities </w:t>
      </w:r>
    </w:p>
    <w:p w14:paraId="4F2D4F08" w14:textId="77777777" w:rsidR="009B4602" w:rsidRPr="00034E9B" w:rsidRDefault="009B4602" w:rsidP="00DC5A36">
      <w:pPr>
        <w:pStyle w:val="CGCBullet1"/>
        <w:numPr>
          <w:ilvl w:val="0"/>
          <w:numId w:val="3"/>
        </w:numPr>
        <w:ind w:left="924" w:hanging="357"/>
      </w:pPr>
      <w:r w:rsidRPr="00034E9B">
        <w:t>facilitating the legislated calculation of a set of blended relativities for distributing GST revenue during the transition years</w:t>
      </w:r>
    </w:p>
    <w:p w14:paraId="183DB329" w14:textId="77777777" w:rsidR="009B4602" w:rsidRPr="00034E9B" w:rsidRDefault="009B4602" w:rsidP="00DC5A36">
      <w:pPr>
        <w:pStyle w:val="CGCBullet1"/>
        <w:numPr>
          <w:ilvl w:val="0"/>
          <w:numId w:val="3"/>
        </w:numPr>
        <w:ind w:left="924" w:hanging="357"/>
      </w:pPr>
      <w:r w:rsidRPr="00034E9B">
        <w:t>providing information to allow the Treasurer to determine if any State is worse off under the new arrangements during the transition years.</w:t>
      </w:r>
    </w:p>
    <w:p w14:paraId="120EE9CA" w14:textId="77777777" w:rsidR="009B4602" w:rsidRPr="00034E9B" w:rsidRDefault="009B4602" w:rsidP="00DC5A36">
      <w:pPr>
        <w:pStyle w:val="CGCParaNumber"/>
        <w:numPr>
          <w:ilvl w:val="0"/>
          <w:numId w:val="2"/>
        </w:numPr>
        <w:ind w:left="567" w:hanging="567"/>
        <w:rPr>
          <w:lang w:val="en-AU"/>
        </w:rPr>
      </w:pPr>
      <w:r w:rsidRPr="00034E9B">
        <w:rPr>
          <w:lang w:val="en-AU"/>
        </w:rPr>
        <w:t>Chapter 4 of Volume 2 discusses the new arrangements in detail.</w:t>
      </w:r>
    </w:p>
    <w:p w14:paraId="612B9F35" w14:textId="77777777" w:rsidR="009B4602" w:rsidRPr="00034E9B" w:rsidRDefault="009B4602" w:rsidP="00DC5A36">
      <w:pPr>
        <w:pStyle w:val="CGCParaNumber"/>
        <w:numPr>
          <w:ilvl w:val="0"/>
          <w:numId w:val="2"/>
        </w:numPr>
        <w:ind w:left="567" w:hanging="567"/>
        <w:rPr>
          <w:lang w:val="en-AU"/>
        </w:rPr>
      </w:pPr>
      <w:r w:rsidRPr="00034E9B">
        <w:rPr>
          <w:lang w:val="en-AU"/>
        </w:rPr>
        <w:t xml:space="preserve">Having regard to the terms of reference and the amendments to the </w:t>
      </w:r>
      <w:r w:rsidRPr="00034E9B">
        <w:rPr>
          <w:i/>
          <w:lang w:val="en-AU"/>
        </w:rPr>
        <w:t>Commonwealth Grants Commission Act 1973</w:t>
      </w:r>
      <w:r w:rsidRPr="00034E9B">
        <w:rPr>
          <w:lang w:val="en-AU"/>
        </w:rPr>
        <w:t xml:space="preserve"> and </w:t>
      </w:r>
      <w:r w:rsidRPr="00034E9B">
        <w:rPr>
          <w:i/>
          <w:lang w:val="en-AU"/>
        </w:rPr>
        <w:t>Federal Financial Relations Act 2009</w:t>
      </w:r>
      <w:r w:rsidRPr="00034E9B">
        <w:rPr>
          <w:lang w:val="en-AU"/>
        </w:rPr>
        <w:t>, it will be necessary for the Commission to continue to assess State relative fiscal capacities in accordance with the principle of HFE applying before the HFE reforms were legislated. Consistent with this, the Commission considers that it must continue to estimate the amount required by each State under the current ‘full equalisation’ standard.</w:t>
      </w:r>
    </w:p>
    <w:p w14:paraId="61879044" w14:textId="77777777" w:rsidR="009B4602" w:rsidRPr="00034E9B" w:rsidRDefault="009B4602" w:rsidP="00DC5A36">
      <w:pPr>
        <w:pStyle w:val="CGCParaNumber"/>
        <w:numPr>
          <w:ilvl w:val="0"/>
          <w:numId w:val="2"/>
        </w:numPr>
        <w:ind w:left="567" w:hanging="567"/>
        <w:rPr>
          <w:lang w:val="en-AU"/>
        </w:rPr>
      </w:pPr>
      <w:r w:rsidRPr="00034E9B">
        <w:rPr>
          <w:lang w:val="en-AU"/>
        </w:rPr>
        <w:t xml:space="preserve">Victoria said the Commission’s HFE definition should refer to the new equalisation standard in the amended legislation. The Commission considers it unnecessary to alter its definition in the way Victoria proposes. The Commission prefers a definition that articulates its main task, which is to measure relative fiscal capacity of the States for the purpose of informing the GST distribution. </w:t>
      </w:r>
    </w:p>
    <w:p w14:paraId="28B65CA4" w14:textId="77777777" w:rsidR="009B4602" w:rsidRPr="00034E9B" w:rsidRDefault="009B4602" w:rsidP="00DC5A36">
      <w:pPr>
        <w:pStyle w:val="CGCParaNumber"/>
        <w:numPr>
          <w:ilvl w:val="0"/>
          <w:numId w:val="2"/>
        </w:numPr>
        <w:ind w:left="567" w:hanging="567"/>
        <w:rPr>
          <w:lang w:val="en-AU"/>
        </w:rPr>
      </w:pPr>
      <w:r w:rsidRPr="00034E9B">
        <w:rPr>
          <w:lang w:val="en-AU"/>
        </w:rPr>
        <w:t>New South Wales said it supports HFE that, in its view, an EPC distribution would achieve. The Commission does not agree that an EPC distribution is consistent with achieving HFE. Furthermore, it would be inconsistent with the Commonwealth’s fiscal equalisation policy.</w:t>
      </w:r>
    </w:p>
    <w:p w14:paraId="770CD48B" w14:textId="3CAA3648" w:rsidR="009B4602" w:rsidRPr="00034E9B" w:rsidRDefault="009B4602" w:rsidP="00DC5A36">
      <w:pPr>
        <w:pStyle w:val="CGCParaNumber"/>
        <w:numPr>
          <w:ilvl w:val="0"/>
          <w:numId w:val="2"/>
        </w:numPr>
        <w:ind w:left="567" w:hanging="567"/>
        <w:rPr>
          <w:lang w:val="en-AU"/>
        </w:rPr>
      </w:pPr>
      <w:r w:rsidRPr="00034E9B">
        <w:rPr>
          <w:lang w:val="en-AU"/>
        </w:rPr>
        <w:t xml:space="preserve">Queensland said it strongly supported HFE but the definition should change to reflect better that in practice the outcomes deliver similar rather than the same fiscal capacities. The Commission considers that the references to ‘same standard’ and ‘same effort’ in the definition reflects what the Commission aims to achieve, which is illustrated in </w:t>
      </w:r>
      <w:r w:rsidRPr="00034E9B">
        <w:rPr>
          <w:lang w:val="en-AU"/>
        </w:rPr>
        <w:fldChar w:fldCharType="begin"/>
      </w:r>
      <w:r w:rsidRPr="00034E9B">
        <w:rPr>
          <w:lang w:val="en-AU"/>
        </w:rPr>
        <w:instrText xml:space="preserve"> REF _Ref6413055 \h  \* MERGEFORMAT </w:instrText>
      </w:r>
      <w:r w:rsidRPr="00034E9B">
        <w:rPr>
          <w:lang w:val="en-AU"/>
        </w:rPr>
      </w:r>
      <w:r w:rsidRPr="00034E9B">
        <w:rPr>
          <w:lang w:val="en-AU"/>
        </w:rPr>
        <w:fldChar w:fldCharType="separate"/>
      </w:r>
      <w:r w:rsidR="004A0DFA" w:rsidRPr="004A0DFA">
        <w:rPr>
          <w:lang w:val="en-AU"/>
        </w:rPr>
        <w:t>Figure</w:t>
      </w:r>
      <w:r w:rsidR="004A0DFA">
        <w:t xml:space="preserve"> 2</w:t>
      </w:r>
      <w:r w:rsidR="004A0DFA">
        <w:noBreakHyphen/>
        <w:t>1</w:t>
      </w:r>
      <w:r w:rsidRPr="00034E9B">
        <w:rPr>
          <w:lang w:val="en-AU"/>
        </w:rPr>
        <w:fldChar w:fldCharType="end"/>
      </w:r>
      <w:r w:rsidRPr="00034E9B">
        <w:rPr>
          <w:lang w:val="en-AU"/>
        </w:rPr>
        <w:t xml:space="preserve">. Furthermore, changes to the terminology would not improve understanding of the Commission’s task. </w:t>
      </w:r>
    </w:p>
    <w:p w14:paraId="4242D7F3" w14:textId="77777777" w:rsidR="009B4602" w:rsidRPr="00034E9B" w:rsidRDefault="009B4602" w:rsidP="00DC5A36">
      <w:pPr>
        <w:pStyle w:val="CGCParaNumber"/>
        <w:numPr>
          <w:ilvl w:val="0"/>
          <w:numId w:val="2"/>
        </w:numPr>
        <w:ind w:left="567" w:hanging="567"/>
        <w:rPr>
          <w:lang w:val="en-AU"/>
        </w:rPr>
      </w:pPr>
      <w:r w:rsidRPr="00034E9B">
        <w:rPr>
          <w:lang w:val="en-AU"/>
        </w:rPr>
        <w:t xml:space="preserve">Other States supported or did not comment on the definition of HFE. However, Western Australia said that although it was comfortable with the definition, not even proximate HFE is achieved under current implementation and methods. Western Australia’s criticisms of the Commission’s approach to implementing HFE are discussed in the following sections of this chapter, and in Chapter 1 of Volume 2. </w:t>
      </w:r>
    </w:p>
    <w:p w14:paraId="19635E12" w14:textId="0FC89713" w:rsidR="009B4602" w:rsidRPr="00034E9B" w:rsidRDefault="009B4602" w:rsidP="00DC5A36">
      <w:pPr>
        <w:pStyle w:val="CGCParaNumber"/>
        <w:numPr>
          <w:ilvl w:val="0"/>
          <w:numId w:val="2"/>
        </w:numPr>
        <w:ind w:left="567" w:hanging="567"/>
        <w:rPr>
          <w:lang w:val="en-AU"/>
        </w:rPr>
      </w:pPr>
      <w:r w:rsidRPr="00034E9B">
        <w:rPr>
          <w:lang w:val="en-AU"/>
        </w:rPr>
        <w:lastRenderedPageBreak/>
        <w:t xml:space="preserve">An understanding of what HFE is, and its purpose in Australia’s fiscal federalism arrangements, provides useful context when considering the Commission’s approach to its task. </w:t>
      </w:r>
      <w:r w:rsidRPr="00034E9B">
        <w:rPr>
          <w:lang w:val="en-AU"/>
        </w:rPr>
        <w:fldChar w:fldCharType="begin"/>
      </w:r>
      <w:r w:rsidRPr="00034E9B">
        <w:rPr>
          <w:lang w:val="en-AU"/>
        </w:rPr>
        <w:instrText xml:space="preserve"> REF Box2_1 \h  \* MERGEFORMAT </w:instrText>
      </w:r>
      <w:r w:rsidRPr="00034E9B">
        <w:rPr>
          <w:lang w:val="en-AU"/>
        </w:rPr>
      </w:r>
      <w:r w:rsidRPr="00034E9B">
        <w:rPr>
          <w:lang w:val="en-AU"/>
        </w:rPr>
        <w:fldChar w:fldCharType="separate"/>
      </w:r>
      <w:r w:rsidR="004A0DFA" w:rsidRPr="004A0DFA">
        <w:rPr>
          <w:lang w:val="en-AU"/>
        </w:rPr>
        <w:t>Box 2-1</w:t>
      </w:r>
      <w:r w:rsidRPr="00034E9B">
        <w:rPr>
          <w:lang w:val="en-AU"/>
        </w:rPr>
        <w:fldChar w:fldCharType="end"/>
      </w:r>
      <w:r w:rsidRPr="00034E9B">
        <w:rPr>
          <w:lang w:val="en-AU"/>
        </w:rPr>
        <w:t xml:space="preserve"> discusses these arrangements in the Australian federation.</w:t>
      </w:r>
    </w:p>
    <w:p w14:paraId="141C9562" w14:textId="77777777" w:rsidR="009B4602" w:rsidRPr="00034E9B" w:rsidRDefault="009B4602" w:rsidP="00CD16C6">
      <w:pPr>
        <w:spacing w:before="0"/>
      </w:pPr>
    </w:p>
    <w:tbl>
      <w:tblPr>
        <w:tblW w:w="0" w:type="auto"/>
        <w:tblInd w:w="108" w:type="dxa"/>
        <w:shd w:val="clear" w:color="auto" w:fill="EBF3F5"/>
        <w:tblLook w:val="04A0" w:firstRow="1" w:lastRow="0" w:firstColumn="1" w:lastColumn="0" w:noHBand="0" w:noVBand="1"/>
      </w:tblPr>
      <w:tblGrid>
        <w:gridCol w:w="8843"/>
      </w:tblGrid>
      <w:tr w:rsidR="009B4602" w:rsidRPr="00034E9B" w14:paraId="16FB245A" w14:textId="77777777" w:rsidTr="00B80D74">
        <w:tc>
          <w:tcPr>
            <w:tcW w:w="8843" w:type="dxa"/>
            <w:shd w:val="clear" w:color="auto" w:fill="EBF3F5"/>
          </w:tcPr>
          <w:p w14:paraId="279B96F6" w14:textId="6F3C11C8" w:rsidR="009B4602" w:rsidRPr="00034E9B" w:rsidRDefault="009B4602" w:rsidP="00B80D74">
            <w:pPr>
              <w:pStyle w:val="Caption"/>
            </w:pPr>
            <w:bookmarkStart w:id="76" w:name="_Ref536538076"/>
            <w:bookmarkStart w:id="77" w:name="Box2_1"/>
            <w:r w:rsidRPr="00034E9B">
              <w:t>Box 2-</w:t>
            </w:r>
            <w:r w:rsidRPr="00034E9B">
              <w:rPr>
                <w:noProof/>
              </w:rPr>
              <w:fldChar w:fldCharType="begin"/>
            </w:r>
            <w:r w:rsidRPr="00034E9B">
              <w:rPr>
                <w:noProof/>
              </w:rPr>
              <w:instrText xml:space="preserve"> SEQ Box \* ARABIC </w:instrText>
            </w:r>
            <w:r w:rsidRPr="00034E9B">
              <w:rPr>
                <w:noProof/>
              </w:rPr>
              <w:fldChar w:fldCharType="separate"/>
            </w:r>
            <w:r w:rsidR="004A0DFA">
              <w:rPr>
                <w:noProof/>
              </w:rPr>
              <w:t>1</w:t>
            </w:r>
            <w:r w:rsidRPr="00034E9B">
              <w:rPr>
                <w:noProof/>
              </w:rPr>
              <w:fldChar w:fldCharType="end"/>
            </w:r>
            <w:bookmarkEnd w:id="76"/>
            <w:bookmarkEnd w:id="77"/>
            <w:r w:rsidRPr="00034E9B">
              <w:tab/>
              <w:t>Horizontal Fiscal Equalisation in the Australian Federation</w:t>
            </w:r>
          </w:p>
        </w:tc>
      </w:tr>
      <w:tr w:rsidR="009B4602" w:rsidRPr="00034E9B" w14:paraId="3D3CBDD6" w14:textId="77777777" w:rsidTr="00B80D74">
        <w:tc>
          <w:tcPr>
            <w:tcW w:w="8843" w:type="dxa"/>
            <w:shd w:val="clear" w:color="auto" w:fill="EBF3F5"/>
          </w:tcPr>
          <w:p w14:paraId="3BAE4106" w14:textId="58DB00FA" w:rsidR="009B4602" w:rsidRPr="00034E9B" w:rsidRDefault="009B4602" w:rsidP="00B80D74">
            <w:r w:rsidRPr="00034E9B">
              <w:t>The principle of HFE underlies the fiscal equalisation arrangements of all federations. Broadly, fiscal equalisation seeks to reduce fiscal disparities between sub</w:t>
            </w:r>
            <w:r w:rsidRPr="00034E9B">
              <w:noBreakHyphen/>
              <w:t xml:space="preserve">central governments. Each federation decides how to give effect to the principle and no two federations have the same arrangements. In Australia, the Commonwealth </w:t>
            </w:r>
            <w:r w:rsidR="00571F7A">
              <w:t>government</w:t>
            </w:r>
            <w:r w:rsidRPr="00034E9B">
              <w:t xml:space="preserve">, in consultation with the States, is responsible for deciding the form of equalisation. The Commonwealth Grants Commission is the body responsible for measuring the relative fiscal capacities of the States and recommending the distribution of GST revenue in accordance with the </w:t>
            </w:r>
            <w:r w:rsidR="00571F7A">
              <w:t>government</w:t>
            </w:r>
            <w:r w:rsidRPr="00034E9B">
              <w:t>’s fiscal equalisation policy.</w:t>
            </w:r>
          </w:p>
          <w:p w14:paraId="27016317" w14:textId="77777777" w:rsidR="009B4602" w:rsidRPr="00034E9B" w:rsidRDefault="009B4602" w:rsidP="00B80D74">
            <w:r w:rsidRPr="00034E9B">
              <w:t xml:space="preserve">Under HFE arrangements in Australia since the 1980s, equalisation has sought to ensure that each State has the same fiscal capacity to deliver services. Each State may pursue its own policies and priorities, but its fiscal capacity to do so is equalised, taking account of the differences between jurisdictions in their tax bases and their service delivery needs or costs. In practice most of the spending by the States delivers a broadly similar set of services across Australia, and HFE makes this possible. </w:t>
            </w:r>
          </w:p>
          <w:p w14:paraId="7B433002" w14:textId="77777777" w:rsidR="009B4602" w:rsidRPr="00034E9B" w:rsidRDefault="009B4602" w:rsidP="00B80D74">
            <w:r w:rsidRPr="00034E9B">
              <w:t xml:space="preserve">The Commonwealth and State governments have responsibility for delivering major public services to Australians. The Commonwealth collects most of the tax revenue for both levels of government. In addition to defence and other national functions, the Commonwealth also delivers most of the social assistance transfers (pensions, family allowances, Medicare payments and pharmaceutical benefits) and plays the major role in funding many service areas such as universities, childcare and aged care. </w:t>
            </w:r>
          </w:p>
          <w:p w14:paraId="5B95C7F1" w14:textId="77777777" w:rsidR="009B4602" w:rsidRPr="00034E9B" w:rsidRDefault="009B4602" w:rsidP="00B80D74">
            <w:r w:rsidRPr="00034E9B">
              <w:t>Commonwealth funding policies generally apply on a common basis in all States, so that in these areas there is effective equalisation operating throughout the Commonwealth. The Commonwealth collects more revenue from taxpayers in States with stronger tax bases, and more Commonwealth spending occurs in States with higher needs, simply because the same Commonwealth policies (obligations and entitlements) apply across all States.</w:t>
            </w:r>
          </w:p>
          <w:p w14:paraId="1C245546" w14:textId="26427021" w:rsidR="009B4602" w:rsidRPr="00034E9B" w:rsidRDefault="009B4602" w:rsidP="00B80D74">
            <w:r w:rsidRPr="00034E9B">
              <w:t xml:space="preserve">Over 80% of State spending relates to programs in </w:t>
            </w:r>
            <w:r w:rsidR="004251BD">
              <w:t>several</w:t>
            </w:r>
            <w:r w:rsidRPr="00034E9B">
              <w:t xml:space="preserve"> broad areas — health (mainly public hospitals), education (mainly public schools), justice, roads, public transport and some remaining welfare and social housing services. While the Commonwealth has been playing an ever-increasing role in most of these areas, the States retain major roles, including responsibility for service delivery. HFE makes it possible for every State to have the financial resources to provide the same standards of services in these and other areas for which they are responsible. </w:t>
            </w:r>
          </w:p>
          <w:p w14:paraId="38E82769" w14:textId="77777777" w:rsidR="009B4602" w:rsidRPr="00034E9B" w:rsidRDefault="009B4602" w:rsidP="00B80D74">
            <w:pPr>
              <w:spacing w:after="120"/>
            </w:pPr>
            <w:r w:rsidRPr="00034E9B">
              <w:t xml:space="preserve">Thus, HFE seeks to achieve the benefits of equalisation that would otherwise require transfers of functions to the Commonwealth, without losing the benefits of decentralised governance and administration provided by sub-national jurisdictions. The payment of HFE grants as general revenue assistance allows State governments to deliver services according to State specific needs and circumstances. The combination of fiscal equalisation with decentralised governance is a longstanding feature of the Australian federation. </w:t>
            </w:r>
          </w:p>
        </w:tc>
      </w:tr>
    </w:tbl>
    <w:p w14:paraId="5E4B9AA6" w14:textId="63087585" w:rsidR="009B4602" w:rsidRPr="00034E9B" w:rsidRDefault="009B4602" w:rsidP="00B80D74">
      <w:pPr>
        <w:pStyle w:val="Heading3"/>
      </w:pPr>
      <w:bookmarkStart w:id="78" w:name="_Toc7601603"/>
      <w:bookmarkStart w:id="79" w:name="_Toc9319963"/>
      <w:bookmarkStart w:id="80" w:name="_Toc12023836"/>
      <w:bookmarkStart w:id="81" w:name="_Toc26890314"/>
      <w:bookmarkStart w:id="82" w:name="_Toc33545892"/>
      <w:r w:rsidRPr="00034E9B">
        <w:lastRenderedPageBreak/>
        <w:t>Supporting principles</w:t>
      </w:r>
      <w:bookmarkEnd w:id="78"/>
      <w:bookmarkEnd w:id="79"/>
      <w:bookmarkEnd w:id="80"/>
      <w:bookmarkEnd w:id="81"/>
      <w:bookmarkEnd w:id="82"/>
    </w:p>
    <w:p w14:paraId="1578BF54" w14:textId="77777777" w:rsidR="009B4602" w:rsidRPr="00034E9B" w:rsidRDefault="009B4602" w:rsidP="00DC5A36">
      <w:pPr>
        <w:pStyle w:val="CGCParaNumber"/>
        <w:numPr>
          <w:ilvl w:val="0"/>
          <w:numId w:val="2"/>
        </w:numPr>
        <w:ind w:left="567" w:hanging="567"/>
        <w:rPr>
          <w:lang w:val="en-AU"/>
        </w:rPr>
      </w:pPr>
      <w:r w:rsidRPr="00034E9B">
        <w:rPr>
          <w:lang w:val="en-AU"/>
        </w:rPr>
        <w:t>In making and explaining decisions on the development of its methodology in accordance with HFE, the Commission has adopted certain supporting principles. They capture the main influences that experience suggests the Commission has to consider in evaluating the different aspects of the methodology for assessing State fiscal capacities. These principles also provide guidance to the States in preparing their submissions through the consultation process.</w:t>
      </w:r>
    </w:p>
    <w:p w14:paraId="5450B801" w14:textId="77777777" w:rsidR="009B4602" w:rsidRPr="00034E9B" w:rsidRDefault="009B4602" w:rsidP="00DC5A36">
      <w:pPr>
        <w:pStyle w:val="CGCParaNumber"/>
        <w:numPr>
          <w:ilvl w:val="0"/>
          <w:numId w:val="2"/>
        </w:numPr>
        <w:ind w:left="567" w:hanging="567"/>
        <w:rPr>
          <w:lang w:val="en-AU"/>
        </w:rPr>
      </w:pPr>
      <w:r w:rsidRPr="00034E9B">
        <w:rPr>
          <w:lang w:val="en-AU"/>
        </w:rPr>
        <w:t>The four supporting principles developed over time are:</w:t>
      </w:r>
    </w:p>
    <w:p w14:paraId="37AFEAEF" w14:textId="77777777" w:rsidR="009B4602" w:rsidRPr="00034E9B" w:rsidRDefault="009B4602" w:rsidP="00DC5A36">
      <w:pPr>
        <w:pStyle w:val="CGCBullet1"/>
        <w:numPr>
          <w:ilvl w:val="0"/>
          <w:numId w:val="3"/>
        </w:numPr>
        <w:ind w:left="924" w:hanging="357"/>
      </w:pPr>
      <w:r w:rsidRPr="00034E9B">
        <w:t>what States do</w:t>
      </w:r>
    </w:p>
    <w:p w14:paraId="72D4B43A" w14:textId="77777777" w:rsidR="009B4602" w:rsidRPr="00034E9B" w:rsidRDefault="009B4602" w:rsidP="00DC5A36">
      <w:pPr>
        <w:pStyle w:val="CGCBullet1"/>
        <w:numPr>
          <w:ilvl w:val="0"/>
          <w:numId w:val="3"/>
        </w:numPr>
        <w:ind w:left="924" w:hanging="357"/>
      </w:pPr>
      <w:r w:rsidRPr="00034E9B">
        <w:t>policy neutrality</w:t>
      </w:r>
    </w:p>
    <w:p w14:paraId="65131A5E" w14:textId="77777777" w:rsidR="009B4602" w:rsidRPr="00034E9B" w:rsidRDefault="009B4602" w:rsidP="00DC5A36">
      <w:pPr>
        <w:pStyle w:val="CGCBullet1"/>
        <w:numPr>
          <w:ilvl w:val="0"/>
          <w:numId w:val="3"/>
        </w:numPr>
        <w:ind w:left="924" w:hanging="357"/>
      </w:pPr>
      <w:r w:rsidRPr="00034E9B">
        <w:t>practicality</w:t>
      </w:r>
    </w:p>
    <w:p w14:paraId="28E76762" w14:textId="77777777" w:rsidR="009B4602" w:rsidRPr="00034E9B" w:rsidRDefault="009B4602" w:rsidP="00DC5A36">
      <w:pPr>
        <w:pStyle w:val="CGCBullet1"/>
        <w:numPr>
          <w:ilvl w:val="0"/>
          <w:numId w:val="3"/>
        </w:numPr>
        <w:ind w:left="924" w:hanging="357"/>
      </w:pPr>
      <w:r w:rsidRPr="00034E9B">
        <w:t>contemporaneity.</w:t>
      </w:r>
    </w:p>
    <w:p w14:paraId="5075EF45" w14:textId="77777777" w:rsidR="009B4602" w:rsidRPr="00034E9B" w:rsidRDefault="009B4602" w:rsidP="00DC5A36">
      <w:pPr>
        <w:pStyle w:val="CGCParaNumber"/>
        <w:numPr>
          <w:ilvl w:val="0"/>
          <w:numId w:val="2"/>
        </w:numPr>
        <w:ind w:left="567" w:hanging="567"/>
        <w:rPr>
          <w:lang w:val="en-AU"/>
        </w:rPr>
      </w:pPr>
      <w:r w:rsidRPr="00034E9B">
        <w:rPr>
          <w:lang w:val="en-AU"/>
        </w:rPr>
        <w:t>The supporting principles inform decisions on the structural elements of the Commission’s methodology:</w:t>
      </w:r>
    </w:p>
    <w:p w14:paraId="57690DA5" w14:textId="77777777" w:rsidR="009B4602" w:rsidRPr="00034E9B" w:rsidRDefault="009B4602" w:rsidP="00DC5A36">
      <w:pPr>
        <w:pStyle w:val="CGCBullet1"/>
        <w:numPr>
          <w:ilvl w:val="0"/>
          <w:numId w:val="3"/>
        </w:numPr>
        <w:ind w:left="924" w:hanging="357"/>
      </w:pPr>
      <w:r w:rsidRPr="00034E9B">
        <w:t>scope — identifying which revenues and expenditures to assess and how to categorise them</w:t>
      </w:r>
    </w:p>
    <w:p w14:paraId="743D5C23" w14:textId="77777777" w:rsidR="009B4602" w:rsidRPr="00034E9B" w:rsidRDefault="009B4602" w:rsidP="00DC5A36">
      <w:pPr>
        <w:pStyle w:val="CGCBullet1"/>
        <w:numPr>
          <w:ilvl w:val="0"/>
          <w:numId w:val="3"/>
        </w:numPr>
        <w:ind w:left="924" w:hanging="357"/>
      </w:pPr>
      <w:r w:rsidRPr="00034E9B">
        <w:t>disabilities — identifying the conceptual case supporting the existence of a disability</w:t>
      </w:r>
      <w:r w:rsidRPr="00034E9B">
        <w:rPr>
          <w:vertAlign w:val="superscript"/>
        </w:rPr>
        <w:footnoteReference w:id="29"/>
      </w:r>
    </w:p>
    <w:p w14:paraId="7104ABD0" w14:textId="77777777" w:rsidR="009B4602" w:rsidRPr="00034E9B" w:rsidRDefault="009B4602" w:rsidP="00DC5A36">
      <w:pPr>
        <w:pStyle w:val="CGCBullet1"/>
        <w:numPr>
          <w:ilvl w:val="0"/>
          <w:numId w:val="3"/>
        </w:numPr>
        <w:ind w:left="924" w:hanging="357"/>
      </w:pPr>
      <w:r w:rsidRPr="00034E9B">
        <w:t>assessment methods — how to give effect to, and measure, the disabilities.</w:t>
      </w:r>
    </w:p>
    <w:p w14:paraId="5B404991" w14:textId="77777777" w:rsidR="009B4602" w:rsidRPr="00034E9B" w:rsidRDefault="009B4602" w:rsidP="00DC5A36">
      <w:pPr>
        <w:pStyle w:val="CGCParaNumber"/>
        <w:numPr>
          <w:ilvl w:val="0"/>
          <w:numId w:val="2"/>
        </w:numPr>
        <w:ind w:left="567" w:hanging="567"/>
        <w:rPr>
          <w:lang w:val="en-AU"/>
        </w:rPr>
      </w:pPr>
      <w:r w:rsidRPr="00034E9B">
        <w:rPr>
          <w:lang w:val="en-AU"/>
        </w:rPr>
        <w:t xml:space="preserve">Clause 6 of the terms of reference asked the Commission to consider whether the supporting principles it uses remain appropriate, including whether different weights should apply to different supporting principles. </w:t>
      </w:r>
    </w:p>
    <w:p w14:paraId="4C531505" w14:textId="47887D90" w:rsidR="009B4602" w:rsidRPr="00034E9B" w:rsidRDefault="009B4602" w:rsidP="00DC5A36">
      <w:pPr>
        <w:pStyle w:val="CGCParaNumber"/>
        <w:numPr>
          <w:ilvl w:val="0"/>
          <w:numId w:val="2"/>
        </w:numPr>
        <w:ind w:left="567" w:hanging="567"/>
        <w:rPr>
          <w:lang w:val="en-AU"/>
        </w:rPr>
      </w:pPr>
      <w:r w:rsidRPr="00034E9B">
        <w:rPr>
          <w:lang w:val="en-AU"/>
        </w:rPr>
        <w:t>The supporting principles are guiding considerations for the Commission in determining its methodologies. They are neither separate objectives nor pre</w:t>
      </w:r>
      <w:r w:rsidRPr="00034E9B">
        <w:rPr>
          <w:lang w:val="en-AU"/>
        </w:rPr>
        <w:noBreakHyphen/>
        <w:t xml:space="preserve">conditions for methodological choices. In most cases, all or most of the supporting principles apply concurrently and so each is constrained by the others. Their relevance and role inevitably </w:t>
      </w:r>
      <w:r w:rsidR="00AD31CC" w:rsidRPr="00034E9B">
        <w:rPr>
          <w:lang w:val="en-AU"/>
        </w:rPr>
        <w:t>vary</w:t>
      </w:r>
      <w:r w:rsidRPr="00034E9B">
        <w:rPr>
          <w:lang w:val="en-AU"/>
        </w:rPr>
        <w:t xml:space="preserve"> according to the issues and circumstances under consideration.</w:t>
      </w:r>
    </w:p>
    <w:p w14:paraId="2A5A3663" w14:textId="667A911E" w:rsidR="009B4602" w:rsidRPr="00034E9B" w:rsidRDefault="009B4602" w:rsidP="00DC5A36">
      <w:pPr>
        <w:pStyle w:val="CGCParaNumber"/>
        <w:numPr>
          <w:ilvl w:val="0"/>
          <w:numId w:val="2"/>
        </w:numPr>
        <w:ind w:left="567" w:hanging="567"/>
        <w:rPr>
          <w:lang w:val="en-AU"/>
        </w:rPr>
      </w:pPr>
      <w:r w:rsidRPr="00034E9B">
        <w:rPr>
          <w:lang w:val="en-AU"/>
        </w:rPr>
        <w:t xml:space="preserve">The interaction and subsequent constraints between the supporting principles requires a balancing of competing considerations when </w:t>
      </w:r>
      <w:r w:rsidR="00EF6A2F">
        <w:rPr>
          <w:lang w:val="en-AU"/>
        </w:rPr>
        <w:t xml:space="preserve">choosing </w:t>
      </w:r>
      <w:r w:rsidRPr="00034E9B">
        <w:rPr>
          <w:lang w:val="en-AU"/>
        </w:rPr>
        <w:t>methods. The need to balance competing considerations reflects the complex issues the Commission must consider when undertaking its task, which in turn reflects the complexity and variety of State government activities. As required, the Commission uses its judgment to devise the best overall result consistent with the definition of HFE.</w:t>
      </w:r>
    </w:p>
    <w:p w14:paraId="61E53813" w14:textId="4686F0A2" w:rsidR="009B4602" w:rsidRPr="00034E9B" w:rsidRDefault="009B4602" w:rsidP="00DC5A36">
      <w:pPr>
        <w:pStyle w:val="CGCParaNumber"/>
        <w:numPr>
          <w:ilvl w:val="0"/>
          <w:numId w:val="2"/>
        </w:numPr>
        <w:ind w:left="567" w:hanging="567"/>
        <w:rPr>
          <w:lang w:val="en-AU"/>
        </w:rPr>
      </w:pPr>
      <w:r w:rsidRPr="00034E9B">
        <w:rPr>
          <w:lang w:val="en-AU"/>
        </w:rPr>
        <w:t>For the 2020 Review, the four existing supporting principles have been maintained, but with some further clarification of their purpose and scope. The Commission has not establish</w:t>
      </w:r>
      <w:r w:rsidR="00936BC2">
        <w:rPr>
          <w:lang w:val="en-AU"/>
        </w:rPr>
        <w:t>ed</w:t>
      </w:r>
      <w:r w:rsidRPr="00034E9B">
        <w:rPr>
          <w:lang w:val="en-AU"/>
        </w:rPr>
        <w:t xml:space="preserve"> any prior ranking or weighting of them. The balance of considerations may differ with the varying structural elements of the Commission’s methodology and with varying underlying circumstances in each assessment</w:t>
      </w:r>
      <w:r w:rsidR="00EF6A2F">
        <w:rPr>
          <w:lang w:val="en-AU"/>
        </w:rPr>
        <w:t xml:space="preserve"> area</w:t>
      </w:r>
      <w:r w:rsidRPr="00034E9B">
        <w:rPr>
          <w:lang w:val="en-AU"/>
        </w:rPr>
        <w:t>. The Commission considers that wherever possible, methods should have regard to al</w:t>
      </w:r>
      <w:bookmarkStart w:id="83" w:name="_Toc493766172"/>
      <w:bookmarkStart w:id="84" w:name="_Toc493766520"/>
      <w:r w:rsidRPr="00034E9B">
        <w:rPr>
          <w:lang w:val="en-AU"/>
        </w:rPr>
        <w:t>l of the supporting principles.</w:t>
      </w:r>
    </w:p>
    <w:bookmarkEnd w:id="83"/>
    <w:bookmarkEnd w:id="84"/>
    <w:p w14:paraId="31A50F03" w14:textId="77777777" w:rsidR="009B4602" w:rsidRPr="00034E9B" w:rsidRDefault="009B4602" w:rsidP="00DC5A36">
      <w:pPr>
        <w:pStyle w:val="CGCParaNumber"/>
        <w:numPr>
          <w:ilvl w:val="0"/>
          <w:numId w:val="2"/>
        </w:numPr>
        <w:ind w:left="567" w:hanging="567"/>
        <w:rPr>
          <w:lang w:val="en-AU"/>
        </w:rPr>
      </w:pPr>
      <w:r w:rsidRPr="00034E9B">
        <w:rPr>
          <w:lang w:val="en-AU"/>
        </w:rPr>
        <w:lastRenderedPageBreak/>
        <w:t>All States except New South Wales and Western Australia expressed support for retaining the supporting principles from the 2015 Review. In addition, Victoria, South Australia, Tasmania and the Northern Territory did not support a hierarchy of principles and argued the Commission should retain flexibility to use its judgment to determine the relative priority of the principles on a case-by-case basis. These States considered the supporting principles assist the Commission to implement HFE in a consistent and coherent way, and ensure HFE remains the priority. In addition, they did not suggest any new principles, noting that the four current principles are appropriate and sufficient.</w:t>
      </w:r>
    </w:p>
    <w:p w14:paraId="243DC553" w14:textId="77777777" w:rsidR="009B4602" w:rsidRPr="00034E9B" w:rsidRDefault="009B4602" w:rsidP="00DC5A36">
      <w:pPr>
        <w:pStyle w:val="CGCParaNumber"/>
        <w:numPr>
          <w:ilvl w:val="0"/>
          <w:numId w:val="2"/>
        </w:numPr>
        <w:ind w:left="567" w:hanging="567"/>
        <w:rPr>
          <w:lang w:val="en-AU"/>
        </w:rPr>
      </w:pPr>
      <w:r w:rsidRPr="00034E9B">
        <w:rPr>
          <w:lang w:val="en-AU"/>
        </w:rPr>
        <w:t>The ACT considered that there is already an implicit weighting built into the current listing of the principles and that ‘what States do’ and ‘policy neutrality’ are the most important. It said that any trade-offs should ensure HFE remains the priority. The ACT said that one of the positive aspects of the HFE arrangements is that the Commission can exercise judgment if its best endeavours to build a reliable assessment do not lead to an outcome consistent with its observations of State circumstances.</w:t>
      </w:r>
    </w:p>
    <w:p w14:paraId="70C7D5D2" w14:textId="77777777" w:rsidR="009B4602" w:rsidRPr="00034E9B" w:rsidRDefault="009B4602" w:rsidP="00DC5A36">
      <w:pPr>
        <w:pStyle w:val="CGCParaNumber"/>
        <w:numPr>
          <w:ilvl w:val="0"/>
          <w:numId w:val="2"/>
        </w:numPr>
        <w:ind w:left="567" w:hanging="567"/>
        <w:rPr>
          <w:lang w:val="en-AU"/>
        </w:rPr>
      </w:pPr>
      <w:r w:rsidRPr="00034E9B">
        <w:rPr>
          <w:lang w:val="en-AU"/>
        </w:rPr>
        <w:t>Queensland also viewed HFE as the priority, with the supporting principles assisting the Commission to achieve HFE. Queensland emphasised the importance of:</w:t>
      </w:r>
    </w:p>
    <w:p w14:paraId="3D62BCDF" w14:textId="77777777" w:rsidR="009B4602" w:rsidRPr="00034E9B" w:rsidRDefault="009B4602" w:rsidP="00DC5A36">
      <w:pPr>
        <w:pStyle w:val="CGCBullet1"/>
        <w:numPr>
          <w:ilvl w:val="0"/>
          <w:numId w:val="3"/>
        </w:numPr>
        <w:ind w:left="924" w:hanging="357"/>
      </w:pPr>
      <w:r w:rsidRPr="00034E9B">
        <w:t>practicality, particularly simplicity, which helps to build the credibility and robustness of the HFE system</w:t>
      </w:r>
    </w:p>
    <w:p w14:paraId="0FF479ED" w14:textId="77777777" w:rsidR="009B4602" w:rsidRPr="00034E9B" w:rsidRDefault="009B4602" w:rsidP="00DC5A36">
      <w:pPr>
        <w:pStyle w:val="CGCBullet1"/>
        <w:numPr>
          <w:ilvl w:val="0"/>
          <w:numId w:val="3"/>
        </w:numPr>
        <w:ind w:left="924" w:hanging="357"/>
      </w:pPr>
      <w:r w:rsidRPr="00034E9B">
        <w:t>‘what States do’, which is critical in determining the scope of HFE and the factors affecting State finances</w:t>
      </w:r>
    </w:p>
    <w:p w14:paraId="30F63471" w14:textId="77777777" w:rsidR="009B4602" w:rsidRPr="00034E9B" w:rsidRDefault="009B4602" w:rsidP="00DC5A36">
      <w:pPr>
        <w:pStyle w:val="CGCBullet1"/>
        <w:numPr>
          <w:ilvl w:val="0"/>
          <w:numId w:val="3"/>
        </w:numPr>
        <w:ind w:left="924" w:hanging="357"/>
      </w:pPr>
      <w:r w:rsidRPr="00034E9B">
        <w:t>policy neutrality, because the HFE process should not be allowed to be a significant consideration for policy makers.</w:t>
      </w:r>
    </w:p>
    <w:p w14:paraId="7046A77E" w14:textId="77777777" w:rsidR="009B4602" w:rsidRPr="00034E9B" w:rsidRDefault="009B4602" w:rsidP="00DC5A36">
      <w:pPr>
        <w:pStyle w:val="CGCParaNumber"/>
        <w:numPr>
          <w:ilvl w:val="0"/>
          <w:numId w:val="2"/>
        </w:numPr>
        <w:ind w:left="567" w:hanging="567"/>
        <w:rPr>
          <w:lang w:val="en-AU"/>
        </w:rPr>
      </w:pPr>
      <w:r w:rsidRPr="00034E9B">
        <w:rPr>
          <w:lang w:val="en-AU"/>
        </w:rPr>
        <w:t>Queensland suggested the Commission specify a hierarchy for the supporting principles but did not suggest how a hierarchy might be developed or used.</w:t>
      </w:r>
    </w:p>
    <w:p w14:paraId="619481CF" w14:textId="77777777" w:rsidR="009B4602" w:rsidRPr="00034E9B" w:rsidRDefault="009B4602" w:rsidP="00DC5A36">
      <w:pPr>
        <w:pStyle w:val="CGCParaNumber"/>
        <w:numPr>
          <w:ilvl w:val="0"/>
          <w:numId w:val="2"/>
        </w:numPr>
        <w:ind w:left="567" w:hanging="567"/>
        <w:rPr>
          <w:lang w:val="en-AU"/>
        </w:rPr>
      </w:pPr>
      <w:r w:rsidRPr="00034E9B">
        <w:rPr>
          <w:lang w:val="en-AU"/>
        </w:rPr>
        <w:t>Western Australia argued for a new set of principles and raised concerns about the current principles.</w:t>
      </w:r>
    </w:p>
    <w:p w14:paraId="1944D7EA" w14:textId="77777777" w:rsidR="009B4602" w:rsidRPr="00034E9B" w:rsidRDefault="009B4602" w:rsidP="00DC5A36">
      <w:pPr>
        <w:pStyle w:val="CGCParaNumber"/>
        <w:numPr>
          <w:ilvl w:val="0"/>
          <w:numId w:val="2"/>
        </w:numPr>
        <w:ind w:left="567" w:hanging="567"/>
        <w:rPr>
          <w:lang w:val="en-AU"/>
        </w:rPr>
      </w:pPr>
      <w:r w:rsidRPr="00034E9B">
        <w:rPr>
          <w:lang w:val="en-AU"/>
        </w:rPr>
        <w:t>Western Australia’s main concerns were:</w:t>
      </w:r>
    </w:p>
    <w:p w14:paraId="011BED33" w14:textId="77777777" w:rsidR="009B4602" w:rsidRPr="00034E9B" w:rsidRDefault="009B4602" w:rsidP="00DC5A36">
      <w:pPr>
        <w:pStyle w:val="CGCBullet1"/>
        <w:numPr>
          <w:ilvl w:val="0"/>
          <w:numId w:val="3"/>
        </w:numPr>
        <w:ind w:left="924" w:hanging="357"/>
      </w:pPr>
      <w:r w:rsidRPr="00034E9B">
        <w:t>HFE cannot be achieved without policy neutrality, because it is integral to ensuring that the outcomes reflect States applying the same effort and HFE does not distort their policy decisions</w:t>
      </w:r>
    </w:p>
    <w:p w14:paraId="2767720E" w14:textId="77777777" w:rsidR="009B4602" w:rsidRPr="00034E9B" w:rsidRDefault="009B4602" w:rsidP="00DC5A36">
      <w:pPr>
        <w:pStyle w:val="CGCBullet1"/>
        <w:numPr>
          <w:ilvl w:val="0"/>
          <w:numId w:val="3"/>
        </w:numPr>
        <w:ind w:left="924" w:hanging="357"/>
      </w:pPr>
      <w:r w:rsidRPr="00034E9B">
        <w:t>the Commission’s use of the ‘what States do’ principle leads to a micro approach which fails to uncover the essence of what States do and ignores intertemporal aspects of what States do</w:t>
      </w:r>
    </w:p>
    <w:p w14:paraId="468F433A" w14:textId="77777777" w:rsidR="009B4602" w:rsidRPr="00034E9B" w:rsidRDefault="009B4602" w:rsidP="00DC5A36">
      <w:pPr>
        <w:pStyle w:val="CGCBullet1"/>
        <w:numPr>
          <w:ilvl w:val="0"/>
          <w:numId w:val="3"/>
        </w:numPr>
        <w:ind w:left="924" w:hanging="357"/>
      </w:pPr>
      <w:r w:rsidRPr="00034E9B">
        <w:t>the practicality principle is really an operational consideration, not a core principle, and it is inherently ambiguous</w:t>
      </w:r>
    </w:p>
    <w:p w14:paraId="0112D9A2" w14:textId="77777777" w:rsidR="009B4602" w:rsidRPr="00034E9B" w:rsidRDefault="009B4602" w:rsidP="00DC5A36">
      <w:pPr>
        <w:pStyle w:val="CGCBullet1"/>
        <w:numPr>
          <w:ilvl w:val="0"/>
          <w:numId w:val="3"/>
        </w:numPr>
        <w:ind w:left="924" w:hanging="357"/>
      </w:pPr>
      <w:r w:rsidRPr="00034E9B">
        <w:t xml:space="preserve">contemporaneity is also an operational consideration rather than a defining principle, which the Commission acknowledges is not achieved due to the use of average historical assessments; this causes significant budget management difficulties and volatility for an outlier State. </w:t>
      </w:r>
    </w:p>
    <w:p w14:paraId="4B33D7A5" w14:textId="77777777" w:rsidR="009B4602" w:rsidRPr="00034E9B" w:rsidRDefault="009B4602" w:rsidP="00DC5A36">
      <w:pPr>
        <w:pStyle w:val="CGCParaNumber"/>
        <w:numPr>
          <w:ilvl w:val="0"/>
          <w:numId w:val="2"/>
        </w:numPr>
        <w:ind w:left="567" w:hanging="567"/>
        <w:rPr>
          <w:lang w:val="en-AU"/>
        </w:rPr>
      </w:pPr>
      <w:r w:rsidRPr="00034E9B">
        <w:rPr>
          <w:lang w:val="en-AU"/>
        </w:rPr>
        <w:t>Western Australia distinguished between fundamental principles and operational principles. It proposed the following fundamental principles to support HFE.</w:t>
      </w:r>
    </w:p>
    <w:p w14:paraId="1EE4ACD6" w14:textId="77777777" w:rsidR="009B4602" w:rsidRPr="00034E9B" w:rsidRDefault="009B4602" w:rsidP="00DC5A36">
      <w:pPr>
        <w:pStyle w:val="CGCBullet1"/>
        <w:numPr>
          <w:ilvl w:val="0"/>
          <w:numId w:val="3"/>
        </w:numPr>
        <w:ind w:left="924" w:hanging="357"/>
      </w:pPr>
      <w:r w:rsidRPr="00034E9B">
        <w:lastRenderedPageBreak/>
        <w:t>Policy neutrality — proposing that broader indicators should be used so that GST grants are unaffected by revenue or spending mixes or differences in policies that affect revenue bases and spending needs. Western Australia’s arguments focused on revenue assessments.</w:t>
      </w:r>
    </w:p>
    <w:p w14:paraId="45C74F28" w14:textId="77777777" w:rsidR="009B4602" w:rsidRPr="00034E9B" w:rsidRDefault="009B4602" w:rsidP="00DC5A36">
      <w:pPr>
        <w:pStyle w:val="CGCBullet1"/>
        <w:numPr>
          <w:ilvl w:val="0"/>
          <w:numId w:val="3"/>
        </w:numPr>
        <w:ind w:left="924" w:hanging="357"/>
      </w:pPr>
      <w:r w:rsidRPr="00034E9B">
        <w:t>Equity — so that underlying disabilities are recognised (rather than their detailed manifestations), consistent with policy neutrality, broadly reflecting State policies.</w:t>
      </w:r>
    </w:p>
    <w:p w14:paraId="0A347AF7" w14:textId="77777777" w:rsidR="009B4602" w:rsidRPr="00034E9B" w:rsidRDefault="009B4602" w:rsidP="00DC5A36">
      <w:pPr>
        <w:pStyle w:val="CGCParaNumber"/>
        <w:numPr>
          <w:ilvl w:val="0"/>
          <w:numId w:val="2"/>
        </w:numPr>
        <w:ind w:left="567" w:hanging="567"/>
        <w:rPr>
          <w:lang w:val="en-AU"/>
        </w:rPr>
      </w:pPr>
      <w:r w:rsidRPr="00034E9B">
        <w:rPr>
          <w:lang w:val="en-AU"/>
        </w:rPr>
        <w:t>Western Australia proposed the following operational principles to guide implementation.</w:t>
      </w:r>
    </w:p>
    <w:p w14:paraId="1A5E0982" w14:textId="77777777" w:rsidR="009B4602" w:rsidRPr="00034E9B" w:rsidRDefault="009B4602" w:rsidP="00DC5A36">
      <w:pPr>
        <w:pStyle w:val="CGCBullet1"/>
        <w:numPr>
          <w:ilvl w:val="0"/>
          <w:numId w:val="3"/>
        </w:numPr>
        <w:ind w:left="924" w:hanging="357"/>
      </w:pPr>
      <w:r w:rsidRPr="00034E9B">
        <w:t>Contemporaneity — by using forward estimates volatility would be recognised as it occurs (using budget estimates and later corrections), or long run capacity should be recognised, avoiding the influence of cyclical factors.</w:t>
      </w:r>
    </w:p>
    <w:p w14:paraId="249F8769" w14:textId="77777777" w:rsidR="009B4602" w:rsidRPr="00034E9B" w:rsidRDefault="009B4602" w:rsidP="00DC5A36">
      <w:pPr>
        <w:pStyle w:val="CGCBullet1"/>
        <w:numPr>
          <w:ilvl w:val="0"/>
          <w:numId w:val="3"/>
        </w:numPr>
        <w:ind w:left="924" w:hanging="357"/>
      </w:pPr>
      <w:r w:rsidRPr="00034E9B">
        <w:t>Conservatism — a State’s fiscal capacity should be presumed to fully or partly reflect its own effort if there is no, or only partial, evidence to the contrary, so that the Commission should use caution in redistributing away from EPC.</w:t>
      </w:r>
    </w:p>
    <w:p w14:paraId="171A900D" w14:textId="77777777" w:rsidR="009B4602" w:rsidRPr="00034E9B" w:rsidRDefault="009B4602" w:rsidP="00DC5A36">
      <w:pPr>
        <w:pStyle w:val="CGCBullet1"/>
        <w:numPr>
          <w:ilvl w:val="0"/>
          <w:numId w:val="3"/>
        </w:numPr>
        <w:ind w:left="924" w:hanging="357"/>
      </w:pPr>
      <w:r w:rsidRPr="00034E9B">
        <w:t>Accountability, simplicity and transparency.</w:t>
      </w:r>
    </w:p>
    <w:p w14:paraId="71151272" w14:textId="6B50C640" w:rsidR="009B4602" w:rsidRPr="00034E9B" w:rsidRDefault="009B4602" w:rsidP="00DC5A36">
      <w:pPr>
        <w:pStyle w:val="CGCBullet2"/>
        <w:numPr>
          <w:ilvl w:val="0"/>
          <w:numId w:val="4"/>
        </w:numPr>
        <w:ind w:left="1208" w:hanging="357"/>
      </w:pPr>
      <w:r w:rsidRPr="00034E9B">
        <w:t xml:space="preserve">High-level implementation decisions should reflect a consensus view of </w:t>
      </w:r>
      <w:r w:rsidR="00571F7A">
        <w:t>government</w:t>
      </w:r>
      <w:r w:rsidRPr="00034E9B">
        <w:t>s or decisions of the Commonwealth Treasurer (where there is no consensus). The Commission should be responsible for implementation, not policy.</w:t>
      </w:r>
    </w:p>
    <w:p w14:paraId="50718371" w14:textId="77777777" w:rsidR="009B4602" w:rsidRPr="00034E9B" w:rsidRDefault="009B4602" w:rsidP="00DC5A36">
      <w:pPr>
        <w:pStyle w:val="CGCBullet2"/>
        <w:numPr>
          <w:ilvl w:val="0"/>
          <w:numId w:val="4"/>
        </w:numPr>
        <w:ind w:left="1208" w:hanging="357"/>
      </w:pPr>
      <w:r w:rsidRPr="00034E9B">
        <w:t>The Commission’s methods should undergo regular peer review by independent experts commissioned to conduct reviews.</w:t>
      </w:r>
    </w:p>
    <w:p w14:paraId="2DCC72C6" w14:textId="77777777" w:rsidR="009B4602" w:rsidRPr="00034E9B" w:rsidRDefault="009B4602" w:rsidP="00DC5A36">
      <w:pPr>
        <w:pStyle w:val="CGCBullet2"/>
        <w:numPr>
          <w:ilvl w:val="0"/>
          <w:numId w:val="4"/>
        </w:numPr>
        <w:ind w:left="1208" w:hanging="357"/>
      </w:pPr>
      <w:r w:rsidRPr="00034E9B">
        <w:t>There needs to be full documentation of data and evidence used by the Commission in reaching decisions.</w:t>
      </w:r>
    </w:p>
    <w:p w14:paraId="175BDEEA" w14:textId="77777777" w:rsidR="009B4602" w:rsidRPr="00034E9B" w:rsidRDefault="009B4602" w:rsidP="00DC5A36">
      <w:pPr>
        <w:pStyle w:val="CGCBullet2"/>
        <w:numPr>
          <w:ilvl w:val="0"/>
          <w:numId w:val="4"/>
        </w:numPr>
        <w:ind w:left="1208" w:hanging="357"/>
      </w:pPr>
      <w:r w:rsidRPr="00034E9B">
        <w:t>Methods should be clearly described and simple.</w:t>
      </w:r>
    </w:p>
    <w:p w14:paraId="3A836756" w14:textId="77777777" w:rsidR="009B4602" w:rsidRPr="00034E9B" w:rsidRDefault="009B4602" w:rsidP="00DC5A36">
      <w:pPr>
        <w:pStyle w:val="CGCParaNumber"/>
        <w:numPr>
          <w:ilvl w:val="0"/>
          <w:numId w:val="2"/>
        </w:numPr>
        <w:ind w:left="567" w:hanging="567"/>
        <w:rPr>
          <w:lang w:val="en-AU"/>
        </w:rPr>
      </w:pPr>
      <w:r w:rsidRPr="00034E9B">
        <w:rPr>
          <w:lang w:val="en-AU"/>
        </w:rPr>
        <w:t>New South Wales did not discuss the current supporting principles. Instead, it proposed a new set of principles to guide an appropriate distribution of the GST.</w:t>
      </w:r>
    </w:p>
    <w:p w14:paraId="5E202E26" w14:textId="77777777" w:rsidR="009B4602" w:rsidRPr="00034E9B" w:rsidRDefault="009B4602" w:rsidP="00DC5A36">
      <w:pPr>
        <w:pStyle w:val="CGCParaNumber"/>
        <w:numPr>
          <w:ilvl w:val="0"/>
          <w:numId w:val="2"/>
        </w:numPr>
        <w:ind w:left="567" w:hanging="567"/>
        <w:rPr>
          <w:lang w:val="en-AU"/>
        </w:rPr>
      </w:pPr>
      <w:r w:rsidRPr="00034E9B">
        <w:rPr>
          <w:lang w:val="en-AU"/>
        </w:rPr>
        <w:t>New South Wales argued that a well-designed and carefully targeted system of HFE, which it considers could be achieved by an EPC distribution, must be consistent with the following principles.</w:t>
      </w:r>
    </w:p>
    <w:p w14:paraId="139754D4" w14:textId="77777777" w:rsidR="009B4602" w:rsidRPr="00034E9B" w:rsidRDefault="009B4602" w:rsidP="00DC5A36">
      <w:pPr>
        <w:pStyle w:val="CGCBullet1"/>
        <w:numPr>
          <w:ilvl w:val="0"/>
          <w:numId w:val="3"/>
        </w:numPr>
        <w:ind w:left="924" w:hanging="357"/>
      </w:pPr>
      <w:r w:rsidRPr="00034E9B">
        <w:t>Fairness — the distribution of GST revenue should be fair in the eyes of Australians. The system should provide sufficient revenue for States to provide minimum levels of selected critical services — health, education, law and order and infrastructure. No single State should bear an unreasonable burden that would detract from their responsibilities towards their own constituents.</w:t>
      </w:r>
    </w:p>
    <w:p w14:paraId="2F9E0782" w14:textId="77777777" w:rsidR="009B4602" w:rsidRPr="00034E9B" w:rsidRDefault="009B4602" w:rsidP="00DC5A36">
      <w:pPr>
        <w:pStyle w:val="CGCBullet1"/>
        <w:numPr>
          <w:ilvl w:val="0"/>
          <w:numId w:val="3"/>
        </w:numPr>
        <w:ind w:left="924" w:hanging="357"/>
      </w:pPr>
      <w:r w:rsidRPr="00034E9B">
        <w:t>Efficiency — the distribution of GST should not create disincentives for economic adjustment and reform relating to expenditures or taxes. The benefits of pursuing equity should be greater than the efficiency cost.</w:t>
      </w:r>
    </w:p>
    <w:p w14:paraId="5C92CC6F" w14:textId="77777777" w:rsidR="009B4602" w:rsidRPr="00034E9B" w:rsidRDefault="009B4602" w:rsidP="00DC5A36">
      <w:pPr>
        <w:pStyle w:val="CGCBullet1"/>
        <w:numPr>
          <w:ilvl w:val="0"/>
          <w:numId w:val="3"/>
        </w:numPr>
        <w:ind w:left="924" w:hanging="357"/>
      </w:pPr>
      <w:r w:rsidRPr="00034E9B">
        <w:t>Simplicity — the mechanism should be simple to understand and administer, and easy to replicate.</w:t>
      </w:r>
    </w:p>
    <w:p w14:paraId="06B99FBC" w14:textId="77777777" w:rsidR="009B4602" w:rsidRPr="00034E9B" w:rsidRDefault="009B4602" w:rsidP="00DC5A36">
      <w:pPr>
        <w:pStyle w:val="CGCBullet1"/>
        <w:numPr>
          <w:ilvl w:val="0"/>
          <w:numId w:val="3"/>
        </w:numPr>
        <w:ind w:left="924" w:hanging="357"/>
      </w:pPr>
      <w:r w:rsidRPr="00034E9B">
        <w:t>Accountability — this should apply to both the body making the calculations of GST distribution and to the Commonwealth and State governments who must be responsible to their citizens for the spending and revenue choices they make.</w:t>
      </w:r>
    </w:p>
    <w:p w14:paraId="1A31A7DF" w14:textId="77777777" w:rsidR="009B4602" w:rsidRPr="00034E9B" w:rsidRDefault="009B4602" w:rsidP="00DC5A36">
      <w:pPr>
        <w:pStyle w:val="CGCBullet1"/>
        <w:numPr>
          <w:ilvl w:val="0"/>
          <w:numId w:val="3"/>
        </w:numPr>
        <w:ind w:left="924" w:hanging="357"/>
      </w:pPr>
      <w:r w:rsidRPr="00034E9B">
        <w:lastRenderedPageBreak/>
        <w:t>Stability — GST revenue distribution needs to be more predictable so that State governments can confidently budget to provide essential services.</w:t>
      </w:r>
    </w:p>
    <w:p w14:paraId="7E01CECE" w14:textId="77777777" w:rsidR="009B4602" w:rsidRPr="00034E9B" w:rsidRDefault="009B4602" w:rsidP="00DC5A36">
      <w:pPr>
        <w:pStyle w:val="CGCParaNumber"/>
        <w:numPr>
          <w:ilvl w:val="0"/>
          <w:numId w:val="2"/>
        </w:numPr>
        <w:ind w:left="567" w:hanging="567"/>
        <w:rPr>
          <w:lang w:val="en-AU"/>
        </w:rPr>
      </w:pPr>
      <w:r w:rsidRPr="00034E9B">
        <w:rPr>
          <w:lang w:val="en-AU"/>
        </w:rPr>
        <w:t>New South Wales acknowledged these principles are similar to the current principles the Commission uses. It argued that they are essential to HFE and not subsidiary to the overarching equity principle.</w:t>
      </w:r>
    </w:p>
    <w:p w14:paraId="2667A8E7" w14:textId="77777777" w:rsidR="009B4602" w:rsidRPr="00034E9B" w:rsidRDefault="009B4602" w:rsidP="00DC5A36">
      <w:pPr>
        <w:pStyle w:val="CGCParaNumber"/>
        <w:numPr>
          <w:ilvl w:val="0"/>
          <w:numId w:val="2"/>
        </w:numPr>
        <w:ind w:left="567" w:hanging="567"/>
        <w:rPr>
          <w:lang w:val="en-AU"/>
        </w:rPr>
      </w:pPr>
      <w:r w:rsidRPr="00034E9B">
        <w:rPr>
          <w:lang w:val="en-AU"/>
        </w:rPr>
        <w:t xml:space="preserve">The Commission noted a significant overlap between the supporting principles proposed by New South Wales and Western Australia and the Commission’s current principles. The Commission considered that the proposals put forward by New South Wales and Western Australia stem from concerns with the Commission’s emphasis on HFE and relate to how it applies the supporting principles to its work. For example, both States support a policy neutrality principle. However, their judgments on how to apply the principles in deciding questions of scope, disabilities and methods would be different to the Commission’s judgments. </w:t>
      </w:r>
    </w:p>
    <w:p w14:paraId="71C76754" w14:textId="77777777" w:rsidR="009B4602" w:rsidRPr="00034E9B" w:rsidRDefault="009B4602" w:rsidP="00DC5A36">
      <w:pPr>
        <w:pStyle w:val="CGCParaNumber"/>
        <w:numPr>
          <w:ilvl w:val="0"/>
          <w:numId w:val="2"/>
        </w:numPr>
        <w:ind w:left="567" w:hanging="567"/>
        <w:rPr>
          <w:lang w:val="en-AU"/>
        </w:rPr>
      </w:pPr>
      <w:r w:rsidRPr="00034E9B">
        <w:rPr>
          <w:lang w:val="en-AU"/>
        </w:rPr>
        <w:t>The main area of difference between the Commission’s principles and those proposed by New South Wales and Western Australia relates to their views on HFE. Western Australia supports an equity principle that takes a broad view of what States do and a broader approach to measuring fiscal capacity (especially on the revenue side of the budget). New South Wales prefers a fairness principle that provides capacity for a minimum standard of core services. It also supports broader assessments, which it considers could be achieved by increasing the materiality threshold for a disability.</w:t>
      </w:r>
    </w:p>
    <w:p w14:paraId="09D3F150" w14:textId="77777777" w:rsidR="009B4602" w:rsidRPr="00034E9B" w:rsidRDefault="009B4602" w:rsidP="00DC5A36">
      <w:pPr>
        <w:pStyle w:val="CGCParaNumber"/>
        <w:numPr>
          <w:ilvl w:val="0"/>
          <w:numId w:val="2"/>
        </w:numPr>
        <w:ind w:left="567" w:hanging="567"/>
        <w:rPr>
          <w:lang w:val="en-AU"/>
        </w:rPr>
      </w:pPr>
      <w:r w:rsidRPr="00034E9B">
        <w:rPr>
          <w:lang w:val="en-AU"/>
        </w:rPr>
        <w:t xml:space="preserve">New South Wales and Western Australia also emphasised accountability and transparency as supporting principles. The Commission agreed these are important matters but considered them governance issues that do not change, in themselves, the task of measuring fiscal capacities. The Commission noted that simplicity, which is an aspect of the practicality principle, supports transparency. </w:t>
      </w:r>
    </w:p>
    <w:p w14:paraId="22DD3DD7" w14:textId="590BC51D" w:rsidR="009B4602" w:rsidRPr="00034E9B" w:rsidRDefault="009B4602" w:rsidP="00DC5A36">
      <w:pPr>
        <w:pStyle w:val="CGCParaNumber"/>
        <w:numPr>
          <w:ilvl w:val="0"/>
          <w:numId w:val="2"/>
        </w:numPr>
        <w:ind w:left="567" w:hanging="567"/>
        <w:rPr>
          <w:lang w:val="en-AU"/>
        </w:rPr>
      </w:pPr>
      <w:r w:rsidRPr="00034E9B">
        <w:rPr>
          <w:lang w:val="en-AU"/>
        </w:rPr>
        <w:t xml:space="preserve">Having considered the proposals of New South Wales and Western Australia, the Commission took the view that the current supporting principles remain relevant and appropriate for supporting its work in assessing State fiscal capacities. The Commission considered that there would be no advantage in weighting the supporting principles or distinguishing between fundamental and operational principles as suggested by Western Australia. The task of the Commission, articulated in the terms of reference, is to measure the fiscal capacities of the States in accordance with the principle of HFE. The Commission considered that proposals presented by New South Wales and Western Australia would have the effect of limiting the Commission’s ability to achieve its </w:t>
      </w:r>
      <w:r w:rsidR="00435465">
        <w:rPr>
          <w:lang w:val="en-AU"/>
        </w:rPr>
        <w:t xml:space="preserve">mandated </w:t>
      </w:r>
      <w:r w:rsidRPr="00034E9B">
        <w:rPr>
          <w:lang w:val="en-AU"/>
        </w:rPr>
        <w:t>task.</w:t>
      </w:r>
    </w:p>
    <w:p w14:paraId="1C9A284A" w14:textId="77777777" w:rsidR="009B4602" w:rsidRPr="00034E9B" w:rsidRDefault="009B4602" w:rsidP="00B80D74">
      <w:pPr>
        <w:pStyle w:val="Heading4"/>
      </w:pPr>
      <w:bookmarkStart w:id="85" w:name="_Toc7003286"/>
      <w:bookmarkStart w:id="86" w:name="_Toc7003996"/>
      <w:bookmarkStart w:id="87" w:name="_Toc26890315"/>
      <w:r w:rsidRPr="00034E9B">
        <w:t>‘What States do</w:t>
      </w:r>
      <w:bookmarkEnd w:id="85"/>
      <w:bookmarkEnd w:id="86"/>
      <w:r w:rsidRPr="00034E9B">
        <w:t>’</w:t>
      </w:r>
      <w:bookmarkEnd w:id="87"/>
    </w:p>
    <w:p w14:paraId="610867C9" w14:textId="77777777" w:rsidR="009B4602" w:rsidRPr="00034E9B" w:rsidRDefault="009B4602" w:rsidP="00DC5A36">
      <w:pPr>
        <w:pStyle w:val="CGCParaNumber"/>
        <w:numPr>
          <w:ilvl w:val="0"/>
          <w:numId w:val="2"/>
        </w:numPr>
        <w:ind w:left="567" w:hanging="567"/>
        <w:rPr>
          <w:lang w:val="en-AU"/>
        </w:rPr>
      </w:pPr>
      <w:r w:rsidRPr="00034E9B">
        <w:rPr>
          <w:lang w:val="en-AU"/>
        </w:rPr>
        <w:t>This supporting principle ensures that the Commission’s assessments reflect the full range of State expenditures and revenues. It applies mainly to deciding the scope of assessments and to identifying disabilities. It refers to what States collectively do (rather than what each does individually) because the assessment of fiscal capacity is based on determining what State revenues and expenditures would be under a common (or average) policy. Importantly, this principle reflects the long</w:t>
      </w:r>
      <w:r w:rsidRPr="00034E9B">
        <w:rPr>
          <w:lang w:val="en-AU"/>
        </w:rPr>
        <w:noBreakHyphen/>
        <w:t>standing empirical nature of the Commission’s way of working to equalise State budgets, as opposed to a normative approach whereby the Commission would substitute its own view of ‘what States should do’ or ‘what States could do’.</w:t>
      </w:r>
    </w:p>
    <w:p w14:paraId="1A82801C" w14:textId="77777777" w:rsidR="009B4602" w:rsidRPr="00034E9B" w:rsidRDefault="009B4602" w:rsidP="00DC5A36">
      <w:pPr>
        <w:pStyle w:val="CGCParaNumber"/>
        <w:numPr>
          <w:ilvl w:val="0"/>
          <w:numId w:val="2"/>
        </w:numPr>
        <w:ind w:left="567" w:hanging="567"/>
        <w:rPr>
          <w:lang w:val="en-AU"/>
        </w:rPr>
      </w:pPr>
      <w:r w:rsidRPr="00034E9B">
        <w:rPr>
          <w:lang w:val="en-AU"/>
        </w:rPr>
        <w:lastRenderedPageBreak/>
        <w:t>Following the ‘what States do’ supporting principle means that the common policy assessed by the Commission generally is the (weighted) average policy of all States combined. ‘What States do’ sets the average expenditure and revenue,</w:t>
      </w:r>
      <w:r w:rsidRPr="00034E9B">
        <w:rPr>
          <w:szCs w:val="20"/>
          <w:vertAlign w:val="superscript"/>
          <w:lang w:val="en-AU"/>
        </w:rPr>
        <w:footnoteReference w:id="30"/>
      </w:r>
      <w:r w:rsidRPr="00034E9B">
        <w:rPr>
          <w:lang w:val="en-AU"/>
        </w:rPr>
        <w:t xml:space="preserve"> rather than requiring judgment of what States should, or could, do. As the roles, functions, priorities and circumstances of the States change, so does the assessment of their fiscal capacities.</w:t>
      </w:r>
    </w:p>
    <w:p w14:paraId="1B796FD7" w14:textId="77777777" w:rsidR="009B4602" w:rsidRPr="00034E9B" w:rsidRDefault="009B4602" w:rsidP="00DC5A36">
      <w:pPr>
        <w:pStyle w:val="CGCParaNumber"/>
        <w:numPr>
          <w:ilvl w:val="0"/>
          <w:numId w:val="2"/>
        </w:numPr>
        <w:ind w:left="567" w:hanging="567"/>
        <w:rPr>
          <w:lang w:val="en-AU"/>
        </w:rPr>
      </w:pPr>
      <w:r w:rsidRPr="00034E9B">
        <w:rPr>
          <w:lang w:val="en-AU"/>
        </w:rPr>
        <w:t>More specifically, as a result of following this supporting principle:</w:t>
      </w:r>
    </w:p>
    <w:p w14:paraId="1CC45164" w14:textId="77777777" w:rsidR="009B4602" w:rsidRPr="00034E9B" w:rsidRDefault="009B4602" w:rsidP="00DC5A36">
      <w:pPr>
        <w:pStyle w:val="CGCBullet1"/>
        <w:numPr>
          <w:ilvl w:val="0"/>
          <w:numId w:val="3"/>
        </w:numPr>
        <w:ind w:left="924" w:hanging="357"/>
      </w:pPr>
      <w:r w:rsidRPr="00034E9B">
        <w:t>the scope of the assessments reflects the average range of services provided collectively by States and the average range of taxes and other revenues to fund them</w:t>
      </w:r>
    </w:p>
    <w:p w14:paraId="32732B57" w14:textId="77777777" w:rsidR="009B4602" w:rsidRPr="00034E9B" w:rsidRDefault="009B4602" w:rsidP="00DC5A36">
      <w:pPr>
        <w:pStyle w:val="CGCBullet1"/>
        <w:numPr>
          <w:ilvl w:val="0"/>
          <w:numId w:val="3"/>
        </w:numPr>
        <w:ind w:left="924" w:hanging="357"/>
      </w:pPr>
      <w:r w:rsidRPr="00034E9B">
        <w:t>the level of services and associated infrastructure States are funded to provide, and the revenue raising efforts they are presumed to make, are an average of those actually provided or made</w:t>
      </w:r>
    </w:p>
    <w:p w14:paraId="0752836C" w14:textId="77777777" w:rsidR="009B4602" w:rsidRPr="00034E9B" w:rsidRDefault="009B4602" w:rsidP="00DC5A36">
      <w:pPr>
        <w:pStyle w:val="CGCBullet1"/>
        <w:numPr>
          <w:ilvl w:val="0"/>
          <w:numId w:val="3"/>
        </w:numPr>
        <w:ind w:left="924" w:hanging="357"/>
      </w:pPr>
      <w:r w:rsidRPr="00034E9B">
        <w:t>the range of disabilities assessed reflects the material factors beyond a State’s control actually affecting the cost of delivering State services and the capacity to raise State taxes.</w:t>
      </w:r>
      <w:r w:rsidRPr="00034E9B">
        <w:rPr>
          <w:vertAlign w:val="superscript"/>
        </w:rPr>
        <w:footnoteReference w:id="31"/>
      </w:r>
    </w:p>
    <w:p w14:paraId="03887F69" w14:textId="77777777" w:rsidR="009B4602" w:rsidRPr="00034E9B" w:rsidRDefault="009B4602" w:rsidP="00DC5A36">
      <w:pPr>
        <w:pStyle w:val="CGCParaNumber"/>
        <w:numPr>
          <w:ilvl w:val="0"/>
          <w:numId w:val="2"/>
        </w:numPr>
        <w:ind w:left="567" w:hanging="567"/>
        <w:rPr>
          <w:lang w:val="en-AU"/>
        </w:rPr>
      </w:pPr>
      <w:r w:rsidRPr="00034E9B">
        <w:rPr>
          <w:lang w:val="en-AU"/>
        </w:rPr>
        <w:t>Victoria, Queensland, South Australia, Tasmania, ACT and the Northern Territory supported the ‘what States do’ principle and its implications for the scope of equalisation, choice of standards and disability measurement. New South Wales did not comment.</w:t>
      </w:r>
    </w:p>
    <w:p w14:paraId="268C82F6" w14:textId="77777777" w:rsidR="009B4602" w:rsidRPr="00034E9B" w:rsidRDefault="009B4602" w:rsidP="00DC5A36">
      <w:pPr>
        <w:pStyle w:val="CGCParaNumber"/>
        <w:numPr>
          <w:ilvl w:val="0"/>
          <w:numId w:val="2"/>
        </w:numPr>
        <w:ind w:left="567" w:hanging="567"/>
        <w:rPr>
          <w:lang w:val="en-AU"/>
        </w:rPr>
      </w:pPr>
      <w:r w:rsidRPr="00034E9B">
        <w:rPr>
          <w:lang w:val="en-AU"/>
        </w:rPr>
        <w:t>Western Australia agrees with the use of internal standards and that assessments should be based on ‘what States do’.</w:t>
      </w:r>
      <w:r w:rsidRPr="00034E9B">
        <w:rPr>
          <w:vertAlign w:val="superscript"/>
          <w:lang w:val="en-AU"/>
        </w:rPr>
        <w:footnoteReference w:id="32"/>
      </w:r>
      <w:r w:rsidRPr="00034E9B">
        <w:rPr>
          <w:lang w:val="en-AU"/>
        </w:rPr>
        <w:t xml:space="preserve"> However, it argued that the ‘what States do’ principle leads to the recognition of disabilities generated by policy instead of underlying disabilities. Western Australia suggested the Commission should ‘try to uncover the essence of what States do’, rather than focusing on the detailed manifestations of ‘what States do’. To illustrate its point, Western Australia said the Commission should consider how States establish their tax thresholds, presumably instead of simply observing that this is ‘what States do’ when developing an assessment that reflects average State policies.</w:t>
      </w:r>
      <w:r w:rsidRPr="00034E9B">
        <w:rPr>
          <w:vertAlign w:val="superscript"/>
          <w:lang w:val="en-AU"/>
        </w:rPr>
        <w:footnoteReference w:id="33"/>
      </w:r>
      <w:r w:rsidRPr="00034E9B">
        <w:rPr>
          <w:lang w:val="en-AU"/>
        </w:rPr>
        <w:t xml:space="preserve"> Western Australia appears to be making the case for broader assessments. In recent reviews, the Commission has considered adopting broader assessments, particularly for revenue. </w:t>
      </w:r>
    </w:p>
    <w:p w14:paraId="7788EA76" w14:textId="77777777" w:rsidR="009B4602" w:rsidRPr="00034E9B" w:rsidRDefault="009B4602" w:rsidP="00DC5A36">
      <w:pPr>
        <w:pStyle w:val="CGCParaNumber"/>
        <w:numPr>
          <w:ilvl w:val="0"/>
          <w:numId w:val="2"/>
        </w:numPr>
        <w:ind w:left="567" w:hanging="567"/>
        <w:rPr>
          <w:lang w:val="en-AU"/>
        </w:rPr>
      </w:pPr>
      <w:r w:rsidRPr="00034E9B">
        <w:rPr>
          <w:lang w:val="en-AU"/>
        </w:rPr>
        <w:t>The Commission acknowledges that there are advantages and disadvantages with the current tax approach for assessing revenue capacity compared with broader revenue assessments. However, the Commission has consistently concluded that moving to broader revenue assessments would not result in a better HFE outcome because it has not been able to identify broader indicators, or global measures, that reliably measure State capacity to raise revenue. The Commission has considered options for assessing service delivery costs using broader indicators but it has been unable to identify a way forward that would be consistent with achieving equalisation. No State has suggested alternative approaches, other than increasing materiality thresholds.</w:t>
      </w:r>
    </w:p>
    <w:p w14:paraId="5A979B90" w14:textId="77777777" w:rsidR="009B4602" w:rsidRPr="00034E9B" w:rsidRDefault="009B4602" w:rsidP="00081353">
      <w:pPr>
        <w:pStyle w:val="CGCParaNumber"/>
        <w:keepNext/>
        <w:keepLines/>
        <w:numPr>
          <w:ilvl w:val="0"/>
          <w:numId w:val="2"/>
        </w:numPr>
        <w:ind w:left="567" w:hanging="567"/>
        <w:rPr>
          <w:lang w:val="en-AU"/>
        </w:rPr>
      </w:pPr>
      <w:r w:rsidRPr="00034E9B">
        <w:rPr>
          <w:lang w:val="en-AU"/>
        </w:rPr>
        <w:lastRenderedPageBreak/>
        <w:t>As well as a concern that broader assessment approaches would compromise the achievement of HFE, the Commission also noted that adopting Western Australia’s suggestion would involve a fundamental departure from the Commission’s practices since its establishment in 1933. It runs the risk of creating a ‘castle in the air’ of what States might, in a theoretical sense, be able to do if freed from real world constraints.</w:t>
      </w:r>
    </w:p>
    <w:p w14:paraId="0537D655" w14:textId="77777777" w:rsidR="009B4602" w:rsidRPr="00034E9B" w:rsidRDefault="009B4602" w:rsidP="00B80D74">
      <w:pPr>
        <w:pStyle w:val="Heading5"/>
      </w:pPr>
      <w:r w:rsidRPr="00034E9B">
        <w:t>Scope of equalisation</w:t>
      </w:r>
    </w:p>
    <w:p w14:paraId="4A262763" w14:textId="77777777" w:rsidR="009B4602" w:rsidRPr="00034E9B" w:rsidRDefault="009B4602" w:rsidP="00DC5A36">
      <w:pPr>
        <w:pStyle w:val="CGCParaNumber"/>
        <w:numPr>
          <w:ilvl w:val="0"/>
          <w:numId w:val="2"/>
        </w:numPr>
        <w:ind w:left="567" w:hanging="567"/>
        <w:rPr>
          <w:lang w:val="en-AU"/>
        </w:rPr>
      </w:pPr>
      <w:r w:rsidRPr="00034E9B">
        <w:rPr>
          <w:lang w:val="en-AU"/>
        </w:rPr>
        <w:t>The Commission retained the 2015 Review scope of equalisation, which includes the State general government sector, plus urban transport and social housing public non</w:t>
      </w:r>
      <w:r w:rsidRPr="00034E9B">
        <w:rPr>
          <w:lang w:val="en-AU"/>
        </w:rPr>
        <w:noBreakHyphen/>
        <w:t>financial corporations (PNFCs) and excluding local government (except for the interactions between it and the State sector).</w:t>
      </w:r>
    </w:p>
    <w:p w14:paraId="34C1D6C2" w14:textId="77777777" w:rsidR="009B4602" w:rsidRPr="00034E9B" w:rsidRDefault="009B4602" w:rsidP="00DC5A36">
      <w:pPr>
        <w:pStyle w:val="CGCParaNumber"/>
        <w:numPr>
          <w:ilvl w:val="0"/>
          <w:numId w:val="2"/>
        </w:numPr>
        <w:ind w:left="567" w:hanging="567"/>
        <w:rPr>
          <w:lang w:val="en-AU"/>
        </w:rPr>
      </w:pPr>
      <w:r w:rsidRPr="00034E9B">
        <w:rPr>
          <w:lang w:val="en-AU"/>
        </w:rPr>
        <w:t xml:space="preserve">The Commission considered that neither the intergovernmental agreement (IGA), nor successive terms of reference from the Treasurer, provided a basis for discriminating between services or revenues. Therefore, it considered there to be no logical basis for excluding particular activities as proposed by New South Wales and Queensland. A comprehensive coverage is consistent with an aim of measuring (to the extent possible) the capacities of States to provide services at the average standard. Omitting major revenues, expenditure or disabilities would not be consistent with equalising fiscal capacities. A comprehensive scope does not mean that all functions can or need to be differentially assessed or that spending and revenue needs to be examined in detail. Most States supported a comprehensive coverage of State activities, although Western Australia said it preferred to take a broader view of State activities. It suggested options for broader revenue assessments but not for expenditure. </w:t>
      </w:r>
    </w:p>
    <w:p w14:paraId="0B58A97F" w14:textId="77777777" w:rsidR="009B4602" w:rsidRPr="00034E9B" w:rsidRDefault="009B4602" w:rsidP="00DC5A36">
      <w:pPr>
        <w:pStyle w:val="CGCParaNumber"/>
        <w:numPr>
          <w:ilvl w:val="0"/>
          <w:numId w:val="2"/>
        </w:numPr>
        <w:ind w:left="567" w:hanging="567"/>
        <w:rPr>
          <w:lang w:val="en-AU"/>
        </w:rPr>
      </w:pPr>
      <w:r w:rsidRPr="00034E9B">
        <w:rPr>
          <w:lang w:val="en-AU"/>
        </w:rPr>
        <w:t>A comprehensive scope is also fully consistent with a policy framework that encourages innovation in service delivery or revenue raising. It would make no sense, for example, for the Commission to consider only service delivery spending in the general government sector when some services, in some States, are delivered through PNFCs. A comprehensive scope limits the risk of inadvertently favouring or prejudicing certain ways of delivery services through the creation of artificial distinctions. It leaves States with flexibility on how they manage the business of government.</w:t>
      </w:r>
    </w:p>
    <w:p w14:paraId="636B1885" w14:textId="77777777" w:rsidR="009B4602" w:rsidRPr="00034E9B" w:rsidRDefault="009B4602" w:rsidP="00DC5A36">
      <w:pPr>
        <w:pStyle w:val="CGCParaNumber"/>
        <w:numPr>
          <w:ilvl w:val="0"/>
          <w:numId w:val="2"/>
        </w:numPr>
        <w:ind w:left="567" w:hanging="567"/>
        <w:rPr>
          <w:lang w:val="en-AU"/>
        </w:rPr>
      </w:pPr>
      <w:r w:rsidRPr="00034E9B">
        <w:rPr>
          <w:lang w:val="en-AU"/>
        </w:rPr>
        <w:t>The Commission will continue to equalise the fiscal capacity of States so that they have the same average per capita NFW. That is, as in the 2015 Review, the Commission will implement the HFE principle as follows:</w:t>
      </w:r>
    </w:p>
    <w:p w14:paraId="1E9886AD" w14:textId="77777777" w:rsidR="009B4602" w:rsidRPr="00034E9B" w:rsidRDefault="009B4602" w:rsidP="00B80D74">
      <w:pPr>
        <w:pStyle w:val="CGCQuotation"/>
      </w:pPr>
      <w:r w:rsidRPr="00034E9B">
        <w:t>Fiscal capacities are equal when each State has the capacity to hold the average per capita value of net financial worth (and earn income from it) after recognising their differential revenue raising capacities, different amounts received from Commonwealth payments and differential costs of providing the average level of services and holding the infrastructure necessary to provide them.</w:t>
      </w:r>
    </w:p>
    <w:p w14:paraId="5C7364F3" w14:textId="77777777" w:rsidR="009B4602" w:rsidRPr="00034E9B" w:rsidRDefault="009B4602" w:rsidP="00DC5A36">
      <w:pPr>
        <w:pStyle w:val="CGCParaNumber"/>
        <w:numPr>
          <w:ilvl w:val="0"/>
          <w:numId w:val="2"/>
        </w:numPr>
        <w:ind w:left="567" w:hanging="567"/>
        <w:rPr>
          <w:lang w:val="en-AU"/>
        </w:rPr>
      </w:pPr>
      <w:r w:rsidRPr="00034E9B">
        <w:rPr>
          <w:lang w:val="en-AU"/>
        </w:rPr>
        <w:t xml:space="preserve">This approach explicitly states that equalising net financial worth means that income from general government holdings of NFW is equalised. There is a simplifying assumption underlying the equalisation of NFW, that States hold the average mix of financial assets and have the same capacity to earn income from those assets. </w:t>
      </w:r>
    </w:p>
    <w:p w14:paraId="51F4B0C4" w14:textId="77777777" w:rsidR="009B4602" w:rsidRPr="00034E9B" w:rsidRDefault="009B4602" w:rsidP="00DC5A36">
      <w:pPr>
        <w:pStyle w:val="CGCParaNumber"/>
        <w:numPr>
          <w:ilvl w:val="0"/>
          <w:numId w:val="2"/>
        </w:numPr>
        <w:ind w:left="567" w:hanging="567"/>
        <w:rPr>
          <w:lang w:val="en-AU"/>
        </w:rPr>
      </w:pPr>
      <w:r w:rsidRPr="00034E9B">
        <w:rPr>
          <w:lang w:val="en-AU"/>
        </w:rPr>
        <w:t xml:space="preserve">Victoria, South Australia, the ACT and the Northern Territory said they supported, or were comfortable with, the current approach to implementing HFE, which culminates in the equalisation of NFW. South Australia noted it continues to see merit in the 2012 GST </w:t>
      </w:r>
      <w:r w:rsidRPr="00034E9B">
        <w:rPr>
          <w:lang w:val="en-AU"/>
        </w:rPr>
        <w:lastRenderedPageBreak/>
        <w:t>Distribution Review’s recommendation of a simplified and integrated assessment framework.</w:t>
      </w:r>
      <w:r w:rsidRPr="00034E9B">
        <w:rPr>
          <w:vertAlign w:val="superscript"/>
          <w:lang w:val="en-AU"/>
        </w:rPr>
        <w:footnoteReference w:id="34"/>
      </w:r>
      <w:r w:rsidRPr="00034E9B">
        <w:rPr>
          <w:lang w:val="en-AU"/>
        </w:rPr>
        <w:t xml:space="preserve"> Tasmania said it continued to have concerns with the assumptions underlying the net borrowing assessment that ensures NFW is equalised. It acknowledged the effects of population growth on NFW but considered there are other offsetting effects that the assessment should recognise. Tasmania has not presented any new analysis of the issue, which the Commission considered in some detail in the 2010 and 2015 Reviews. In addition, the expanded scope of the adjusted budget from the 2015 Review, to include certain PNFCs, has seen a reduction in materiality of the net borrowing assessment. As a result, an assessment to recognise the influences Tasmania described would be immaterial. New South Wales, Queensland and Western Australia did not comment. In the absence of any new analysis to support a change to the assessment, the Commission will continue to implement the HFE principle so that States have the capacity to hold the same average per capita NFW.</w:t>
      </w:r>
    </w:p>
    <w:p w14:paraId="332E3E06" w14:textId="1A3C9D08" w:rsidR="009B4602" w:rsidRPr="00034E9B" w:rsidRDefault="009B4602" w:rsidP="00DC5A36">
      <w:pPr>
        <w:pStyle w:val="CGCParaNumber"/>
        <w:numPr>
          <w:ilvl w:val="0"/>
          <w:numId w:val="2"/>
        </w:numPr>
        <w:ind w:left="567" w:hanging="567"/>
        <w:rPr>
          <w:lang w:val="en-AU"/>
        </w:rPr>
      </w:pPr>
      <w:r w:rsidRPr="00034E9B">
        <w:rPr>
          <w:lang w:val="en-AU"/>
        </w:rPr>
        <w:t>Regarding local government, all States that commented on this issue supported the exclusion of local government.</w:t>
      </w:r>
      <w:r w:rsidRPr="00034E9B">
        <w:rPr>
          <w:vertAlign w:val="superscript"/>
          <w:lang w:val="en-AU"/>
        </w:rPr>
        <w:footnoteReference w:id="35"/>
      </w:r>
      <w:r w:rsidRPr="00034E9B">
        <w:rPr>
          <w:lang w:val="en-AU"/>
        </w:rPr>
        <w:t xml:space="preserve"> New South Wales and Western Australia did not comment.</w:t>
      </w:r>
    </w:p>
    <w:p w14:paraId="100E3876" w14:textId="77777777" w:rsidR="009B4602" w:rsidRPr="00034E9B" w:rsidRDefault="009B4602" w:rsidP="00DC5A36">
      <w:pPr>
        <w:pStyle w:val="CGCParaNumber"/>
        <w:numPr>
          <w:ilvl w:val="0"/>
          <w:numId w:val="2"/>
        </w:numPr>
        <w:ind w:left="567" w:hanging="567"/>
        <w:rPr>
          <w:lang w:val="en-AU"/>
        </w:rPr>
      </w:pPr>
      <w:r w:rsidRPr="00034E9B">
        <w:rPr>
          <w:lang w:val="en-AU"/>
        </w:rPr>
        <w:t>No State objected to including urban transport and social housing PNFCs; however, Tasmania noted the implications for the Investment assessment. Tasmania’s concerns related to the Commission’s approach to assessing capital rather than including PNFCs.</w:t>
      </w:r>
    </w:p>
    <w:p w14:paraId="0C98B6E6" w14:textId="77777777" w:rsidR="009B4602" w:rsidRPr="00034E9B" w:rsidRDefault="009B4602" w:rsidP="00B80D74">
      <w:pPr>
        <w:pStyle w:val="Heading5"/>
      </w:pPr>
      <w:r w:rsidRPr="00034E9B">
        <w:t>Internal standards</w:t>
      </w:r>
    </w:p>
    <w:p w14:paraId="59AD5997" w14:textId="77777777" w:rsidR="009B4602" w:rsidRPr="00034E9B" w:rsidRDefault="009B4602" w:rsidP="00DC5A36">
      <w:pPr>
        <w:pStyle w:val="CGCParaNumber"/>
        <w:numPr>
          <w:ilvl w:val="0"/>
          <w:numId w:val="2"/>
        </w:numPr>
        <w:ind w:left="567" w:hanging="567"/>
        <w:rPr>
          <w:lang w:val="en-AU"/>
        </w:rPr>
      </w:pPr>
      <w:bookmarkStart w:id="88" w:name="_Ref26711973"/>
      <w:r w:rsidRPr="00034E9B">
        <w:rPr>
          <w:lang w:val="en-AU"/>
        </w:rPr>
        <w:t>The Commission continues to have a strong preference for internal standards (that is, basing equalisation on what States do) because it avoids the need for normative judgments about appropriate external standards. However, in circumstances of extreme policy non-neutrality, where it is difficult to determine what average policy would be, the Commission could consider the use of external standards, if another suitable resolution is not available. In this review, the Commission has not identified any situations necessitating an external standard.</w:t>
      </w:r>
      <w:bookmarkEnd w:id="88"/>
    </w:p>
    <w:p w14:paraId="6A52CCFF" w14:textId="4ED022EB" w:rsidR="009B4602" w:rsidRPr="00034E9B" w:rsidRDefault="009B4602" w:rsidP="00DC5A36">
      <w:pPr>
        <w:pStyle w:val="CGCParaNumber"/>
        <w:numPr>
          <w:ilvl w:val="0"/>
          <w:numId w:val="2"/>
        </w:numPr>
        <w:ind w:left="567" w:hanging="567"/>
        <w:rPr>
          <w:lang w:val="en-AU"/>
        </w:rPr>
      </w:pPr>
      <w:r w:rsidRPr="00034E9B">
        <w:rPr>
          <w:lang w:val="en-AU"/>
        </w:rPr>
        <w:t>Average State expenses, investment and revenues per capita are derived generally by dividing the total State expenses, investment and revenues by total State population. Average revenue raising efforts generally are derived by dividing the total State revenue by the total State tax bases. Therefore, these averages are influenced by what States do, to the extent each State undertakes the activity.</w:t>
      </w:r>
    </w:p>
    <w:p w14:paraId="058F35FF" w14:textId="77777777" w:rsidR="009B4602" w:rsidRPr="00034E9B" w:rsidRDefault="009B4602" w:rsidP="00DC5A36">
      <w:pPr>
        <w:pStyle w:val="CGCParaNumber"/>
        <w:numPr>
          <w:ilvl w:val="0"/>
          <w:numId w:val="2"/>
        </w:numPr>
        <w:ind w:left="567" w:hanging="567"/>
        <w:rPr>
          <w:lang w:val="en-AU"/>
        </w:rPr>
      </w:pPr>
      <w:r w:rsidRPr="00034E9B">
        <w:rPr>
          <w:lang w:val="en-AU"/>
        </w:rPr>
        <w:t>In relation to service delivery, the Commission observes what the data reveal about the different spending patterns States collectively adopt for different groups in their populations — differentiated by characteristics such as age, SES and location. In this way, the Commission will recognise what each State would need to spend if it spent these average amounts on its own population groups.</w:t>
      </w:r>
    </w:p>
    <w:p w14:paraId="62172591" w14:textId="77777777" w:rsidR="009B4602" w:rsidRPr="00034E9B" w:rsidRDefault="009B4602" w:rsidP="00DC5A36">
      <w:pPr>
        <w:pStyle w:val="CGCParaNumber"/>
        <w:numPr>
          <w:ilvl w:val="0"/>
          <w:numId w:val="2"/>
        </w:numPr>
        <w:ind w:left="567" w:hanging="567"/>
        <w:rPr>
          <w:lang w:val="en-AU"/>
        </w:rPr>
      </w:pPr>
      <w:r w:rsidRPr="00034E9B">
        <w:rPr>
          <w:lang w:val="en-AU"/>
        </w:rPr>
        <w:t xml:space="preserve">The Commission does not discount or otherwise adjust standards as a means of more actively encouraging efficiency. This would distort the observed relationships. The Commission will equalise States to the average cost of service delivery that incorporates the average level of technical efficiency. If a State is more efficient than average, its own budget </w:t>
      </w:r>
      <w:r w:rsidRPr="00034E9B">
        <w:rPr>
          <w:lang w:val="en-AU"/>
        </w:rPr>
        <w:lastRenderedPageBreak/>
        <w:t>benefits. If a State is less efficient than average, it must finance this above average inefficiency itself.</w:t>
      </w:r>
    </w:p>
    <w:p w14:paraId="2D0912C7" w14:textId="77777777" w:rsidR="009B4602" w:rsidRPr="00034E9B" w:rsidRDefault="009B4602" w:rsidP="00DC5A36">
      <w:pPr>
        <w:pStyle w:val="CGCParaNumber"/>
        <w:numPr>
          <w:ilvl w:val="0"/>
          <w:numId w:val="2"/>
        </w:numPr>
        <w:ind w:left="567" w:hanging="567"/>
        <w:rPr>
          <w:lang w:val="en-AU"/>
        </w:rPr>
      </w:pPr>
      <w:r w:rsidRPr="00034E9B">
        <w:rPr>
          <w:lang w:val="en-AU"/>
        </w:rPr>
        <w:t>The Commission observes that different tax bases in States attract different (sometimes nil) rates of tax. These differences reflect constitutional, historical and economic conditions over the course of the development of States. In the same way, settlement patterns (including urban form) reflect a range of geographic, historical and economic conditions. The Commission’s view is that measuring State fiscal capacities must take account of these differences.</w:t>
      </w:r>
    </w:p>
    <w:p w14:paraId="502233BC" w14:textId="77777777" w:rsidR="009B4602" w:rsidRPr="00034E9B" w:rsidRDefault="009B4602" w:rsidP="00DC5A36">
      <w:pPr>
        <w:pStyle w:val="CGCParaNumber"/>
        <w:numPr>
          <w:ilvl w:val="0"/>
          <w:numId w:val="2"/>
        </w:numPr>
        <w:ind w:left="567" w:hanging="567"/>
        <w:rPr>
          <w:lang w:val="en-AU"/>
        </w:rPr>
      </w:pPr>
      <w:r w:rsidRPr="00034E9B">
        <w:rPr>
          <w:lang w:val="en-AU"/>
        </w:rPr>
        <w:t xml:space="preserve">The Commission acknowledges that data quality and policy neutrality challenges associated with more detailed approaches could potentially be solved or reduced with the use of a broad indicator. However, the Commission would only consider adopting a broader indicator if it were a more reliable indicator of State capacity to raise revenue or service delivery costs than any alternative approach. As already noted, Western Australia said the Commission should not focus on what States do in detail but try to uncover the essence of what States do. This appears to be a reference to adopting broader assessment approaches. Western Australia has described what this entails for revenue assessments but not how the Commission would uncover the essence of what States do for service delivery, or how it would implement an assessment or assessments recognising the essence of what States do. </w:t>
      </w:r>
    </w:p>
    <w:p w14:paraId="4B278C29" w14:textId="77777777" w:rsidR="009B4602" w:rsidRPr="00034E9B" w:rsidRDefault="009B4602" w:rsidP="00DC5A36">
      <w:pPr>
        <w:pStyle w:val="CGCParaNumber"/>
        <w:numPr>
          <w:ilvl w:val="0"/>
          <w:numId w:val="2"/>
        </w:numPr>
        <w:ind w:left="567" w:hanging="567"/>
        <w:rPr>
          <w:lang w:val="en-AU"/>
        </w:rPr>
      </w:pPr>
      <w:r w:rsidRPr="00034E9B">
        <w:rPr>
          <w:lang w:val="en-AU"/>
        </w:rPr>
        <w:t>Victoria, Queensland, Western Australia, South Australia, Tasmania, the ACT and the Northern Territory supported the use of internal standards and considered any departure from an internal standard to overcome policy neutrality concerns should be in extraordinary cases only. South Australia doubted there are any current circumstances that would warrant the use of external standards. Queensland, Tasmania and the Northern Territory commented that an external standard would impinge on State autonomy. The Northern Territory noted that the most populous States dominate an internal standard, which embeds a level of efficiency into the national average cost, based on the largest States being able to achieve economies of scale. New South Wales did not comment specifically on the issue.</w:t>
      </w:r>
    </w:p>
    <w:p w14:paraId="4738EB11" w14:textId="77777777" w:rsidR="009B4602" w:rsidRPr="00034E9B" w:rsidRDefault="009B4602" w:rsidP="00B80D74">
      <w:pPr>
        <w:pStyle w:val="Heading5"/>
      </w:pPr>
      <w:r w:rsidRPr="00034E9B">
        <w:t>Weighted averages and average policy</w:t>
      </w:r>
    </w:p>
    <w:p w14:paraId="6D9ED3C6" w14:textId="77777777" w:rsidR="009B4602" w:rsidRPr="00034E9B" w:rsidRDefault="009B4602" w:rsidP="00DC5A36">
      <w:pPr>
        <w:pStyle w:val="CGCParaNumber"/>
        <w:numPr>
          <w:ilvl w:val="0"/>
          <w:numId w:val="2"/>
        </w:numPr>
        <w:ind w:left="567" w:hanging="567"/>
        <w:rPr>
          <w:lang w:val="en-AU"/>
        </w:rPr>
      </w:pPr>
      <w:r w:rsidRPr="00034E9B">
        <w:rPr>
          <w:lang w:val="en-AU"/>
        </w:rPr>
        <w:t>Where States follow different policies, the Commission needs to determine the average policy to be used as a benchmark for its assessments. If the Commission observes that a tax or service is part of what States do, it considers whether there are material differences in underlying capacities to raise the tax or deliver the service.</w:t>
      </w:r>
    </w:p>
    <w:p w14:paraId="012F42A7" w14:textId="77777777" w:rsidR="009B4602" w:rsidRPr="00034E9B" w:rsidRDefault="009B4602" w:rsidP="00DC5A36">
      <w:pPr>
        <w:pStyle w:val="CGCParaNumber"/>
        <w:numPr>
          <w:ilvl w:val="0"/>
          <w:numId w:val="2"/>
        </w:numPr>
        <w:ind w:left="567" w:hanging="567"/>
        <w:rPr>
          <w:lang w:val="en-AU"/>
        </w:rPr>
      </w:pPr>
      <w:r w:rsidRPr="00034E9B">
        <w:rPr>
          <w:lang w:val="en-AU"/>
        </w:rPr>
        <w:t>In adopting internal standards, States with a larger share of a revenue base or service population will have a larger impact on the average policy. The more populous States, New South Wales and Victoria, generally have the largest effect on standards, but this is not always the case. A State with more of a revenue base (for example, Western Australia in regard to iron ore and Queensland in regard to coal) will have a larger effect on the average tax rate used to calculate the relevant revenue raising capacity if these minerals are assessed separately. Similarly, States with the greatest number of Indigenous people (New South Wales and Queensland) will have a larger effect on the average State spending on services to Indigenous people.</w:t>
      </w:r>
    </w:p>
    <w:p w14:paraId="0D1CAD8E" w14:textId="77777777" w:rsidR="009B4602" w:rsidRPr="00034E9B" w:rsidRDefault="009B4602" w:rsidP="00DC5A36">
      <w:pPr>
        <w:pStyle w:val="CGCParaNumber"/>
        <w:numPr>
          <w:ilvl w:val="0"/>
          <w:numId w:val="2"/>
        </w:numPr>
        <w:ind w:left="567" w:hanging="567"/>
        <w:rPr>
          <w:lang w:val="en-AU"/>
        </w:rPr>
      </w:pPr>
      <w:r w:rsidRPr="00034E9B">
        <w:rPr>
          <w:lang w:val="en-AU"/>
        </w:rPr>
        <w:t xml:space="preserve">In the 2015 Review, the Commission extended its approach to determining average standards to also determining average policy. It said the aim was to use what the data told it about what States do to decide the scope of the assessments. The Commission decided to </w:t>
      </w:r>
      <w:r w:rsidRPr="00034E9B">
        <w:rPr>
          <w:lang w:val="en-AU"/>
        </w:rPr>
        <w:lastRenderedPageBreak/>
        <w:t>retain this ‘weighted average’ method as its general approach, where average policy reflects the average of what all States do, recognising that some States may make a zero effort.</w:t>
      </w:r>
    </w:p>
    <w:p w14:paraId="203ACC7F" w14:textId="77777777" w:rsidR="009B4602" w:rsidRPr="00034E9B" w:rsidRDefault="009B4602" w:rsidP="00DC5A36">
      <w:pPr>
        <w:pStyle w:val="CGCParaNumber"/>
        <w:numPr>
          <w:ilvl w:val="0"/>
          <w:numId w:val="2"/>
        </w:numPr>
        <w:ind w:left="567" w:hanging="567"/>
        <w:rPr>
          <w:lang w:val="en-AU"/>
        </w:rPr>
      </w:pPr>
      <w:r w:rsidRPr="00034E9B">
        <w:rPr>
          <w:lang w:val="en-AU"/>
        </w:rPr>
        <w:t>Under this approach to average policy, if even one State raises a revenue or provides a service, the revenue raised or spent becomes part of what States do collectively. However, the Commission would only have a differential (non-EPC) assessment if the conceptual case for a disability is established, there is a reliable and policy neutral method for measuring the disability and it is material. In this way, average policy is not a switch, where States collectively either do, or do not do, an activity; rather it is a continuum, where:</w:t>
      </w:r>
    </w:p>
    <w:p w14:paraId="0AC3F40D" w14:textId="77777777" w:rsidR="009B4602" w:rsidRPr="00034E9B" w:rsidRDefault="009B4602" w:rsidP="00DC5A36">
      <w:pPr>
        <w:pStyle w:val="CGCBullet1"/>
        <w:numPr>
          <w:ilvl w:val="0"/>
          <w:numId w:val="3"/>
        </w:numPr>
        <w:ind w:left="924" w:hanging="357"/>
      </w:pPr>
      <w:r w:rsidRPr="00034E9B">
        <w:t>the average effective tax rate on a base is a reflection of the share of the tax base taxed by States</w:t>
      </w:r>
      <w:r w:rsidRPr="00034E9B">
        <w:rPr>
          <w:vertAlign w:val="superscript"/>
        </w:rPr>
        <w:footnoteReference w:id="36"/>
      </w:r>
      <w:r w:rsidRPr="00034E9B">
        <w:t xml:space="preserve"> </w:t>
      </w:r>
    </w:p>
    <w:p w14:paraId="1A7652A1" w14:textId="77777777" w:rsidR="009B4602" w:rsidRPr="00034E9B" w:rsidRDefault="009B4602" w:rsidP="00DC5A36">
      <w:pPr>
        <w:pStyle w:val="CGCBullet1"/>
        <w:numPr>
          <w:ilvl w:val="0"/>
          <w:numId w:val="3"/>
        </w:numPr>
        <w:ind w:left="924" w:hanging="357"/>
      </w:pPr>
      <w:r w:rsidRPr="00034E9B">
        <w:t>the average per capita spending on a service will depend on the total amount of money spent on that service, regardless of in which States that money is spent.</w:t>
      </w:r>
    </w:p>
    <w:p w14:paraId="484CB9A6" w14:textId="77777777" w:rsidR="009B4602" w:rsidRPr="00034E9B" w:rsidRDefault="009B4602" w:rsidP="00DC5A36">
      <w:pPr>
        <w:pStyle w:val="CGCParaNumber"/>
        <w:numPr>
          <w:ilvl w:val="0"/>
          <w:numId w:val="2"/>
        </w:numPr>
        <w:ind w:left="567" w:hanging="567"/>
        <w:rPr>
          <w:lang w:val="en-AU"/>
        </w:rPr>
      </w:pPr>
      <w:r w:rsidRPr="00034E9B">
        <w:rPr>
          <w:lang w:val="en-AU"/>
        </w:rPr>
        <w:t>Hence, the more States there are taxing a base, the higher the average effective rate will be; the more States providing a service, the higher the average per capita spending on the service will be. The Commission then determines if a differential assessment is to be made on the basis that it can be done reliably and would be materially different from an EPC assessment.</w:t>
      </w:r>
    </w:p>
    <w:p w14:paraId="427AFE9E" w14:textId="77777777" w:rsidR="009B4602" w:rsidRPr="00034E9B" w:rsidRDefault="009B4602" w:rsidP="00DC5A36">
      <w:pPr>
        <w:pStyle w:val="CGCParaNumber"/>
        <w:numPr>
          <w:ilvl w:val="0"/>
          <w:numId w:val="2"/>
        </w:numPr>
        <w:ind w:left="567" w:hanging="567"/>
        <w:rPr>
          <w:lang w:val="en-AU"/>
        </w:rPr>
      </w:pPr>
      <w:r w:rsidRPr="00034E9B">
        <w:rPr>
          <w:lang w:val="en-AU"/>
        </w:rPr>
        <w:t>The Commission observes that, where only one State raises a tax or provides a service, the average effective tax rate or national per capita spending is most likely to be very low and a differential assessment is unlikely to be material. Thus, the materiality threshold guards against a proliferation of assessments under its average policy approach. However, if one State raises a tax on a large tax base or spends a large amount on a service, a differential assessment could be material, in which case the impact on State fiscal capacities should be recognised.</w:t>
      </w:r>
    </w:p>
    <w:p w14:paraId="0386C560" w14:textId="77777777" w:rsidR="009B4602" w:rsidRPr="00034E9B" w:rsidRDefault="009B4602" w:rsidP="00DC5A36">
      <w:pPr>
        <w:pStyle w:val="CGCParaNumber"/>
        <w:numPr>
          <w:ilvl w:val="0"/>
          <w:numId w:val="2"/>
        </w:numPr>
        <w:ind w:left="567" w:hanging="567"/>
        <w:rPr>
          <w:lang w:val="en-AU"/>
        </w:rPr>
      </w:pPr>
      <w:r w:rsidRPr="00034E9B">
        <w:rPr>
          <w:lang w:val="en-AU"/>
        </w:rPr>
        <w:t>The Commission notes that applying this approach to determining average policy, at times, may need to be modified due to practical considerations; for example, where reliable assessments cannot be made. Data limitations can mean the approach may not always be practical. In these cases, the Commission uses its discretion in deciding the methods to adopt.</w:t>
      </w:r>
    </w:p>
    <w:p w14:paraId="644E9C69" w14:textId="77777777" w:rsidR="009B4602" w:rsidRPr="00034E9B" w:rsidRDefault="009B4602" w:rsidP="00DC5A36">
      <w:pPr>
        <w:pStyle w:val="CGCParaNumber"/>
        <w:numPr>
          <w:ilvl w:val="0"/>
          <w:numId w:val="2"/>
        </w:numPr>
        <w:ind w:left="567" w:hanging="567"/>
        <w:rPr>
          <w:lang w:val="en-AU"/>
        </w:rPr>
      </w:pPr>
      <w:r w:rsidRPr="00034E9B">
        <w:rPr>
          <w:lang w:val="en-AU"/>
        </w:rPr>
        <w:t>Victoria, Queensland, Western Australia and the Northern Territory commented on the Commission’s approach to average policy. Victoria said it could not determine if the 2015 Review approach would produce different outcomes and therefore it was indifferent to which approach the Commission uses. Queensland and the Northern Territory said there are policy neutrality concerns with the 2015 Review approach. They were concerned that one or two States could potentially set average policy and directly influence outcomes. Queensland cited the commodity based Mining assessment as an example. Western Australia raised concerns about the lack of policy neutrality arising from a detailed view of what States do. It considered that the Commission’s approach to average policy promotes a view that disabilities are generated by policy. The other States supported the Commission’s approach to average policy or did not comment.</w:t>
      </w:r>
    </w:p>
    <w:p w14:paraId="36D34C40" w14:textId="77777777" w:rsidR="009B4602" w:rsidRPr="00034E9B" w:rsidRDefault="009B4602" w:rsidP="00DC5A36">
      <w:pPr>
        <w:pStyle w:val="CGCParaNumber"/>
        <w:numPr>
          <w:ilvl w:val="0"/>
          <w:numId w:val="2"/>
        </w:numPr>
        <w:ind w:left="567" w:hanging="567"/>
        <w:rPr>
          <w:lang w:val="en-AU"/>
        </w:rPr>
      </w:pPr>
      <w:r w:rsidRPr="00034E9B">
        <w:rPr>
          <w:lang w:val="en-AU"/>
        </w:rPr>
        <w:lastRenderedPageBreak/>
        <w:t>The Commission notes that the change in its approach to average policy has not increased the number of disability assessments in the 2015 or 2020 Review. This is largely due to the materiality threshold applying to a disability or absence of data to support a reliable assessment of a tax or service that is not common to most States. The advantage of the 2015 Review approach is that it reduces the need for judgment about when a tax or service is part of average policy. In addition, the Commission notes that, although all State spending and revenue contribute to average policy, not all spending and revenue is subject to a differential assessment. By applying its assessment guidelines, the Commission avoids the potential for policy</w:t>
      </w:r>
      <w:r w:rsidRPr="00034E9B">
        <w:rPr>
          <w:lang w:val="en-AU"/>
        </w:rPr>
        <w:noBreakHyphen/>
        <w:t xml:space="preserve">generated disabilities, a concern raised by Western Australia. </w:t>
      </w:r>
    </w:p>
    <w:p w14:paraId="63210080" w14:textId="77777777" w:rsidR="009B4602" w:rsidRPr="00034E9B" w:rsidRDefault="009B4602" w:rsidP="00B80D74">
      <w:pPr>
        <w:pStyle w:val="Heading5"/>
      </w:pPr>
      <w:r w:rsidRPr="00034E9B">
        <w:t>Disability measurement</w:t>
      </w:r>
    </w:p>
    <w:p w14:paraId="041D12C2" w14:textId="77777777" w:rsidR="009B4602" w:rsidRPr="00034E9B" w:rsidRDefault="009B4602" w:rsidP="00DC5A36">
      <w:pPr>
        <w:pStyle w:val="CGCParaNumber"/>
        <w:numPr>
          <w:ilvl w:val="0"/>
          <w:numId w:val="2"/>
        </w:numPr>
        <w:ind w:left="567" w:hanging="567"/>
        <w:rPr>
          <w:lang w:val="en-AU"/>
        </w:rPr>
      </w:pPr>
      <w:r w:rsidRPr="00034E9B">
        <w:rPr>
          <w:lang w:val="en-AU"/>
        </w:rPr>
        <w:t>In this review, the Commission continued to use the general approaches it has used in the past and for its assessments to reflect ‘what States do’ on average. For revenue assessments, it can often do this in a straightforward manner. For example, in the case where a revenue assessment uses the base that States actually tax, actual (national average) tax rates can be applied to that base.</w:t>
      </w:r>
    </w:p>
    <w:p w14:paraId="6A65514C" w14:textId="77777777" w:rsidR="009B4602" w:rsidRPr="00034E9B" w:rsidRDefault="009B4602" w:rsidP="00DC5A36">
      <w:pPr>
        <w:pStyle w:val="CGCParaNumber"/>
        <w:numPr>
          <w:ilvl w:val="0"/>
          <w:numId w:val="2"/>
        </w:numPr>
        <w:ind w:left="567" w:hanging="567"/>
        <w:rPr>
          <w:lang w:val="en-AU"/>
        </w:rPr>
      </w:pPr>
      <w:r w:rsidRPr="00034E9B">
        <w:rPr>
          <w:lang w:val="en-AU"/>
        </w:rPr>
        <w:t>For expense assessments, the Commission observes State service delivery policies and collects administrative data that reveal what States do. The data reveal the populations to whom States provide services. What States spend on different population groups, such as Indigenous and non-Indigenous, different age groups, people living in different SES areas or different remoteness regions, is calculated. The Commission then takes total spending by States on each population group and divides that by the national number of people in each of those groups. The resulting expense per person for each group is applied to the actual numbers of people in the group in each State to calculate what each State needs to spend if it applied the average policy (if it spent the average amount per person in each group).</w:t>
      </w:r>
    </w:p>
    <w:p w14:paraId="4BECD2FC" w14:textId="77777777" w:rsidR="009B4602" w:rsidRPr="00034E9B" w:rsidRDefault="009B4602" w:rsidP="00DC5A36">
      <w:pPr>
        <w:pStyle w:val="CGCParaNumber"/>
        <w:numPr>
          <w:ilvl w:val="0"/>
          <w:numId w:val="2"/>
        </w:numPr>
        <w:ind w:left="567" w:hanging="567"/>
        <w:rPr>
          <w:lang w:val="en-AU"/>
        </w:rPr>
      </w:pPr>
      <w:r w:rsidRPr="00034E9B">
        <w:rPr>
          <w:lang w:val="en-AU"/>
        </w:rPr>
        <w:t>While States may not develop or implement their policies by deciding how much to spend per person in different groups, the data capture the result of how States have implemented their policies. Therefore, to that extent, the Commission measures what States do. For example, the Commission observes that for admitted patient hospital services, States spend twice as much per capita on Indigenous people as non</w:t>
      </w:r>
      <w:r w:rsidRPr="00034E9B">
        <w:rPr>
          <w:lang w:val="en-AU"/>
        </w:rPr>
        <w:noBreakHyphen/>
        <w:t>Indigenous people, and nearly six times as much on people aged 75 years and over as those under 15 years, based upon clinical need rather than explicit client group policy goals. The Commission’s assessments reflect these observations.</w:t>
      </w:r>
    </w:p>
    <w:p w14:paraId="5766E97C" w14:textId="77777777" w:rsidR="009B4602" w:rsidRPr="00034E9B" w:rsidRDefault="009B4602" w:rsidP="00DC5A36">
      <w:pPr>
        <w:pStyle w:val="CGCParaNumber"/>
        <w:numPr>
          <w:ilvl w:val="0"/>
          <w:numId w:val="2"/>
        </w:numPr>
        <w:ind w:left="567" w:hanging="567"/>
        <w:rPr>
          <w:lang w:val="en-AU"/>
        </w:rPr>
      </w:pPr>
      <w:r w:rsidRPr="00034E9B">
        <w:rPr>
          <w:lang w:val="en-AU"/>
        </w:rPr>
        <w:t>Western Australia said that this approach to assessing expenses relies on observing the manifestations of State policies rather than on a legal incidence basis, which differs from the approach for assessing revenues. The Commission agreed that its approaches to assessing revenue and expenses are different. The differences reflect how States legislate and administer these activities. For example, States do not legislate the proportion of the State hospital budget allocated to the elderly. The Commission considers the different assessment approaches for revenues and expenses are consistent with ‘what States do’.</w:t>
      </w:r>
    </w:p>
    <w:p w14:paraId="22180F05" w14:textId="77777777" w:rsidR="009B4602" w:rsidRPr="00034E9B" w:rsidRDefault="009B4602" w:rsidP="00DC5A36">
      <w:pPr>
        <w:pStyle w:val="CGCParaNumber"/>
        <w:numPr>
          <w:ilvl w:val="0"/>
          <w:numId w:val="2"/>
        </w:numPr>
        <w:ind w:left="567" w:hanging="567"/>
        <w:rPr>
          <w:lang w:val="en-AU"/>
        </w:rPr>
      </w:pPr>
      <w:bookmarkStart w:id="89" w:name="_Ref12022428"/>
      <w:bookmarkStart w:id="90" w:name="_Ref5896468"/>
      <w:r w:rsidRPr="00034E9B">
        <w:rPr>
          <w:lang w:val="en-AU"/>
        </w:rPr>
        <w:t>There are population groups that the Commission may not include in any differential assessment, for a variety of reasons.</w:t>
      </w:r>
      <w:bookmarkEnd w:id="89"/>
      <w:r w:rsidRPr="00034E9B">
        <w:rPr>
          <w:lang w:val="en-AU"/>
        </w:rPr>
        <w:t xml:space="preserve"> </w:t>
      </w:r>
      <w:bookmarkEnd w:id="90"/>
    </w:p>
    <w:p w14:paraId="1004E58C" w14:textId="77777777" w:rsidR="009B4602" w:rsidRPr="00034E9B" w:rsidRDefault="009B4602" w:rsidP="00DC5A36">
      <w:pPr>
        <w:pStyle w:val="CGCBullet1"/>
        <w:numPr>
          <w:ilvl w:val="0"/>
          <w:numId w:val="3"/>
        </w:numPr>
        <w:ind w:left="924" w:hanging="357"/>
      </w:pPr>
      <w:r w:rsidRPr="00034E9B">
        <w:t>Some groups may have a higher cost per episode of service delivery, but lower use of services, so that overall the cost of servicing these population groups is not materially different to other population groups. There is some evidence that overseas born populations fall into this category.</w:t>
      </w:r>
    </w:p>
    <w:p w14:paraId="26E6DE37" w14:textId="77777777" w:rsidR="009B4602" w:rsidRPr="00034E9B" w:rsidRDefault="009B4602" w:rsidP="00DC5A36">
      <w:pPr>
        <w:pStyle w:val="CGCBullet1"/>
        <w:numPr>
          <w:ilvl w:val="0"/>
          <w:numId w:val="3"/>
        </w:numPr>
        <w:ind w:left="924" w:hanging="357"/>
      </w:pPr>
      <w:r w:rsidRPr="00034E9B">
        <w:lastRenderedPageBreak/>
        <w:t xml:space="preserve">Some groups may be high cost, but the numbers of them are not large, or the interstate distribution is not sufficiently different from EPC to make a material impact. There is some evidence that the population of recent refugees falls into this category. </w:t>
      </w:r>
    </w:p>
    <w:p w14:paraId="01E799DC" w14:textId="77777777" w:rsidR="009B4602" w:rsidRPr="00034E9B" w:rsidRDefault="009B4602" w:rsidP="00DC5A36">
      <w:pPr>
        <w:pStyle w:val="CGCBullet1"/>
        <w:numPr>
          <w:ilvl w:val="0"/>
          <w:numId w:val="3"/>
        </w:numPr>
        <w:ind w:left="924" w:hanging="357"/>
      </w:pPr>
      <w:r w:rsidRPr="00034E9B">
        <w:t>Some groups may be high cost, but the Commission does not have reliable data on their interstate distribution. The population of students with disabilities currently falls into this category.</w:t>
      </w:r>
    </w:p>
    <w:p w14:paraId="2D06310A" w14:textId="77777777" w:rsidR="009B4602" w:rsidRPr="00034E9B" w:rsidRDefault="009B4602" w:rsidP="00DC5A36">
      <w:pPr>
        <w:pStyle w:val="CGCParaNumber"/>
        <w:numPr>
          <w:ilvl w:val="0"/>
          <w:numId w:val="2"/>
        </w:numPr>
        <w:ind w:left="567" w:hanging="567"/>
        <w:rPr>
          <w:lang w:val="en-AU"/>
        </w:rPr>
      </w:pPr>
      <w:r w:rsidRPr="00034E9B">
        <w:rPr>
          <w:lang w:val="en-AU"/>
        </w:rPr>
        <w:t>There are some assessments where the relationship between what States do and how the Commission assesses State needs is less direct. For example:</w:t>
      </w:r>
    </w:p>
    <w:p w14:paraId="6194153D" w14:textId="77777777" w:rsidR="009B4602" w:rsidRPr="00034E9B" w:rsidRDefault="009B4602" w:rsidP="00DC5A36">
      <w:pPr>
        <w:pStyle w:val="CGCBullet1"/>
        <w:numPr>
          <w:ilvl w:val="0"/>
          <w:numId w:val="3"/>
        </w:numPr>
        <w:ind w:left="924" w:hanging="357"/>
      </w:pPr>
      <w:r w:rsidRPr="00034E9B">
        <w:t>bulk</w:t>
      </w:r>
      <w:r w:rsidRPr="00034E9B">
        <w:noBreakHyphen/>
        <w:t>billed Medicare services are a proxy for non-State provided health services</w:t>
      </w:r>
    </w:p>
    <w:p w14:paraId="08FFB661" w14:textId="77777777" w:rsidR="009B4602" w:rsidRPr="00034E9B" w:rsidRDefault="009B4602" w:rsidP="00DC5A36">
      <w:pPr>
        <w:pStyle w:val="CGCBullet1"/>
        <w:numPr>
          <w:ilvl w:val="0"/>
          <w:numId w:val="3"/>
        </w:numPr>
        <w:ind w:left="924" w:hanging="357"/>
      </w:pPr>
      <w:r w:rsidRPr="00034E9B">
        <w:t>private sector wage levels for comparable employees are a proxy for the pressure on public sector wage levels</w:t>
      </w:r>
    </w:p>
    <w:p w14:paraId="55046C52" w14:textId="77777777" w:rsidR="009B4602" w:rsidRPr="00034E9B" w:rsidRDefault="009B4602" w:rsidP="00DC5A36">
      <w:pPr>
        <w:pStyle w:val="CGCBullet1"/>
        <w:numPr>
          <w:ilvl w:val="0"/>
          <w:numId w:val="3"/>
        </w:numPr>
        <w:ind w:left="924" w:hanging="357"/>
      </w:pPr>
      <w:r w:rsidRPr="00034E9B">
        <w:t>annual growth in service populations are proxies for the pressures States face in their capital requirements.</w:t>
      </w:r>
    </w:p>
    <w:p w14:paraId="25BC71C3" w14:textId="77777777" w:rsidR="009B4602" w:rsidRPr="00034E9B" w:rsidRDefault="009B4602" w:rsidP="00DC5A36">
      <w:pPr>
        <w:pStyle w:val="CGCParaNumber"/>
        <w:numPr>
          <w:ilvl w:val="0"/>
          <w:numId w:val="2"/>
        </w:numPr>
        <w:ind w:left="567" w:hanging="567"/>
        <w:rPr>
          <w:lang w:val="en-AU"/>
        </w:rPr>
      </w:pPr>
      <w:r w:rsidRPr="00034E9B">
        <w:rPr>
          <w:lang w:val="en-AU"/>
        </w:rPr>
        <w:t xml:space="preserve">In each of these cases, the Commission’s measurement is not directly tied to what States actually do, but reflects real disabilities and differences between States in the most reliable way it can measure them. </w:t>
      </w:r>
    </w:p>
    <w:p w14:paraId="496515DD" w14:textId="77777777" w:rsidR="009B4602" w:rsidRPr="00034E9B" w:rsidRDefault="009B4602" w:rsidP="00DC5A36">
      <w:pPr>
        <w:pStyle w:val="CGCParaNumber"/>
        <w:numPr>
          <w:ilvl w:val="0"/>
          <w:numId w:val="2"/>
        </w:numPr>
        <w:ind w:left="567" w:hanging="567"/>
        <w:rPr>
          <w:lang w:val="en-AU"/>
        </w:rPr>
      </w:pPr>
      <w:r w:rsidRPr="00034E9B">
        <w:rPr>
          <w:lang w:val="en-AU"/>
        </w:rPr>
        <w:t>Victoria, South Australia, Tasmania, the ACT and the Northern Territory supported the Commission’s approach to disability measurement. Victoria noted that disability measures must minimise double counting, be supported by reliable evidence, and balance the risk of under and over-compensating for a disability.</w:t>
      </w:r>
    </w:p>
    <w:p w14:paraId="460498D3" w14:textId="77777777" w:rsidR="009B4602" w:rsidRPr="00034E9B" w:rsidRDefault="009B4602" w:rsidP="00DC5A36">
      <w:pPr>
        <w:pStyle w:val="CGCParaNumber"/>
        <w:numPr>
          <w:ilvl w:val="0"/>
          <w:numId w:val="2"/>
        </w:numPr>
        <w:ind w:left="567" w:hanging="567"/>
        <w:rPr>
          <w:lang w:val="en-AU"/>
        </w:rPr>
      </w:pPr>
      <w:r w:rsidRPr="00034E9B">
        <w:rPr>
          <w:lang w:val="en-AU"/>
        </w:rPr>
        <w:t>In relation to Victoria’s concern about double counting, the Commission is aware of the potential for double counting some disabilities, for example, the potential to double counting the high costs associated with providing services to Indigenous people and remoteness costs. The Commission takes care in the design of assessment methods to avoid double counting.</w:t>
      </w:r>
    </w:p>
    <w:p w14:paraId="3967B2D1" w14:textId="0E5AF7E0" w:rsidR="009B4602" w:rsidRPr="00034E9B" w:rsidRDefault="009B4602" w:rsidP="00DC5A36">
      <w:pPr>
        <w:pStyle w:val="CGCParaNumber"/>
        <w:numPr>
          <w:ilvl w:val="0"/>
          <w:numId w:val="2"/>
        </w:numPr>
        <w:ind w:left="567" w:hanging="567"/>
        <w:rPr>
          <w:lang w:val="en-AU"/>
        </w:rPr>
      </w:pPr>
      <w:r w:rsidRPr="00034E9B">
        <w:rPr>
          <w:lang w:val="en-AU"/>
        </w:rPr>
        <w:t>Similarly, in designing methods, the Commission is careful to capture disabilities appropriately. One step the Commission takes to check that disabilities are not under- or overstated is to compare actual and assessed expenses and revenue. If there are deviations between actual and assessed that State policies cannot explain, then the Commission re</w:t>
      </w:r>
      <w:r w:rsidR="00A2723B">
        <w:rPr>
          <w:lang w:val="en-AU"/>
        </w:rPr>
        <w:noBreakHyphen/>
      </w:r>
      <w:r w:rsidRPr="00034E9B">
        <w:rPr>
          <w:lang w:val="en-AU"/>
        </w:rPr>
        <w:t xml:space="preserve">examines the assessment method. </w:t>
      </w:r>
    </w:p>
    <w:p w14:paraId="5A43BF6F" w14:textId="77777777" w:rsidR="009B4602" w:rsidRPr="00034E9B" w:rsidRDefault="009B4602" w:rsidP="00DC5A36">
      <w:pPr>
        <w:pStyle w:val="CGCParaNumber"/>
        <w:numPr>
          <w:ilvl w:val="0"/>
          <w:numId w:val="2"/>
        </w:numPr>
        <w:ind w:left="567" w:hanging="567"/>
        <w:rPr>
          <w:lang w:val="en-AU"/>
        </w:rPr>
      </w:pPr>
      <w:r w:rsidRPr="00034E9B">
        <w:rPr>
          <w:lang w:val="en-AU"/>
        </w:rPr>
        <w:t xml:space="preserve">Western Australia considered that the Commission’s ‘national-centric approach’ to identifying and measuring disabilities is one of the factors undermining confidence in HFE. The difficulty with moving away from measuring disabilities based on ‘what States do’ on average is that it runs the risk of including assessments that are not policy neutral. Western Australia has consistently argued that the Commission’s assessments are not sufficiently policy neutral. The Commission considers that its approach to measuring disabilities leads to assessments that are policy neutral while giving appropriate recognition to material disabilities affecting State revenue raising capacity and expenditure needs. </w:t>
      </w:r>
    </w:p>
    <w:p w14:paraId="7413F869" w14:textId="77777777" w:rsidR="009B4602" w:rsidRPr="00034E9B" w:rsidRDefault="009B4602" w:rsidP="00DC5A36">
      <w:pPr>
        <w:pStyle w:val="CGCParaNumber"/>
        <w:numPr>
          <w:ilvl w:val="0"/>
          <w:numId w:val="2"/>
        </w:numPr>
        <w:ind w:left="567" w:hanging="567"/>
        <w:rPr>
          <w:lang w:val="en-AU"/>
        </w:rPr>
      </w:pPr>
      <w:r w:rsidRPr="00034E9B">
        <w:rPr>
          <w:lang w:val="en-AU"/>
        </w:rPr>
        <w:t xml:space="preserve">Western Australia also argued that the Commission’s approach to implementing what States do leads to detailed data-driven assessments that are too reliant on standard national classifications (for example, the Accessibility and Remoteness Index of Australia (ARIA) and indexes of socio-economic disadvantage). It argued that this fails to capture underlying drivers of need. The Commission prefers methods that are evidence-based and use standard classifications. This reduces the need for judgment — of which, in other contexts, Western Australia is also wary. Many administrative datasets used in the expense </w:t>
      </w:r>
      <w:r w:rsidRPr="00034E9B">
        <w:rPr>
          <w:lang w:val="en-AU"/>
        </w:rPr>
        <w:lastRenderedPageBreak/>
        <w:t>assessments utilise standard classifications that are familiar to data providers and analysts. Adopting bespoke classifications would reduce transparency and unwind some of the simplification achieved in the 2010 and 2015 Reviews. It also appears inconsistent with other proposals put forward by Western Australia including on policy neutrality, conservatism and simplicity.</w:t>
      </w:r>
    </w:p>
    <w:p w14:paraId="3D2DD459" w14:textId="2E8F4487" w:rsidR="009B4602" w:rsidRPr="00034E9B" w:rsidRDefault="009B4602" w:rsidP="00DC5A36">
      <w:pPr>
        <w:pStyle w:val="CGCParaNumber"/>
        <w:numPr>
          <w:ilvl w:val="0"/>
          <w:numId w:val="2"/>
        </w:numPr>
        <w:ind w:left="567" w:hanging="567"/>
        <w:rPr>
          <w:lang w:val="en-AU"/>
        </w:rPr>
      </w:pPr>
      <w:r w:rsidRPr="00034E9B">
        <w:rPr>
          <w:lang w:val="en-AU"/>
        </w:rPr>
        <w:t xml:space="preserve">The Commission </w:t>
      </w:r>
      <w:r w:rsidR="00954819">
        <w:rPr>
          <w:lang w:val="en-AU"/>
        </w:rPr>
        <w:t>does</w:t>
      </w:r>
      <w:r w:rsidRPr="00034E9B">
        <w:rPr>
          <w:lang w:val="en-AU"/>
        </w:rPr>
        <w:t xml:space="preserve"> not agree with Western Australia that the disability assessments were data-driven, or that the Commission engaged in ‘data mining’. The Commission’s process for including a disability is set out in the assessment guidelines. The first step is to establish the conceptual case for a disability. In establishing the conceptual case, the Commission observes what States do. State visits and submissions are an important part of developing an understanding of the factors that affect service delivery costs and revenue raising capacity. Then the Commission looks for national datasets, or comparable State data, that show what States spend on different population groups or the size of each State’s tax base. Without data, it is difficult for the Commission to confirm the presence of a disability or measure its effect on State finances. This is how the Commission prefers to approach its task.</w:t>
      </w:r>
    </w:p>
    <w:p w14:paraId="22382C15" w14:textId="505D8DAF" w:rsidR="009B4602" w:rsidRPr="00034E9B" w:rsidRDefault="009B4602" w:rsidP="00DC5A36">
      <w:pPr>
        <w:pStyle w:val="CGCParaNumber"/>
        <w:numPr>
          <w:ilvl w:val="0"/>
          <w:numId w:val="2"/>
        </w:numPr>
        <w:ind w:left="567" w:hanging="567"/>
        <w:rPr>
          <w:lang w:val="en-AU"/>
        </w:rPr>
      </w:pPr>
      <w:r w:rsidRPr="00034E9B">
        <w:rPr>
          <w:lang w:val="en-AU"/>
        </w:rPr>
        <w:t>In submissions, States identified additional disabilities they wanted the Commission to assess. A summary of the specific disabilities States requested and the Commission’s responses are in Table 1</w:t>
      </w:r>
      <w:r w:rsidRPr="00034E9B">
        <w:rPr>
          <w:lang w:val="en-AU"/>
        </w:rPr>
        <w:noBreakHyphen/>
        <w:t xml:space="preserve">4 in </w:t>
      </w:r>
      <w:r w:rsidR="00954819">
        <w:rPr>
          <w:lang w:val="en-AU"/>
        </w:rPr>
        <w:t>Chapter</w:t>
      </w:r>
      <w:r w:rsidRPr="00034E9B">
        <w:rPr>
          <w:lang w:val="en-AU"/>
        </w:rPr>
        <w:t xml:space="preserve"> 1</w:t>
      </w:r>
      <w:r w:rsidR="00954819">
        <w:rPr>
          <w:lang w:val="en-AU"/>
        </w:rPr>
        <w:t>, Volume 2</w:t>
      </w:r>
      <w:r w:rsidRPr="00034E9B">
        <w:rPr>
          <w:lang w:val="en-AU"/>
        </w:rPr>
        <w:t>.</w:t>
      </w:r>
    </w:p>
    <w:p w14:paraId="5FFFDB9F" w14:textId="77777777" w:rsidR="009B4602" w:rsidRPr="00034E9B" w:rsidRDefault="009B4602" w:rsidP="00B80D74">
      <w:pPr>
        <w:pStyle w:val="Heading4"/>
      </w:pPr>
      <w:bookmarkStart w:id="91" w:name="_Toc7003287"/>
      <w:bookmarkStart w:id="92" w:name="_Toc7003997"/>
      <w:bookmarkStart w:id="93" w:name="_Ref7617445"/>
      <w:bookmarkStart w:id="94" w:name="_Toc26890316"/>
      <w:r w:rsidRPr="00034E9B">
        <w:t>Policy neutrality</w:t>
      </w:r>
      <w:bookmarkEnd w:id="91"/>
      <w:bookmarkEnd w:id="92"/>
      <w:bookmarkEnd w:id="93"/>
      <w:bookmarkEnd w:id="94"/>
    </w:p>
    <w:p w14:paraId="7599533A" w14:textId="77777777" w:rsidR="009B4602" w:rsidRPr="00034E9B" w:rsidRDefault="009B4602" w:rsidP="00DC5A36">
      <w:pPr>
        <w:pStyle w:val="CGCParaNumber"/>
        <w:numPr>
          <w:ilvl w:val="0"/>
          <w:numId w:val="2"/>
        </w:numPr>
        <w:ind w:left="567" w:hanging="567"/>
        <w:rPr>
          <w:lang w:val="en-AU"/>
        </w:rPr>
      </w:pPr>
      <w:r w:rsidRPr="00034E9B">
        <w:rPr>
          <w:lang w:val="en-AU"/>
        </w:rPr>
        <w:t xml:space="preserve">This supporting principle aims to ensure that State policy choices have minimal direct influence on HFE assessments and, conversely, that HFE has minimal direct influence on State policy choices. </w:t>
      </w:r>
    </w:p>
    <w:p w14:paraId="161ACA90" w14:textId="77777777" w:rsidR="009B4602" w:rsidRPr="00034E9B" w:rsidRDefault="009B4602" w:rsidP="00DC5A36">
      <w:pPr>
        <w:pStyle w:val="CGCParaNumber"/>
        <w:numPr>
          <w:ilvl w:val="0"/>
          <w:numId w:val="2"/>
        </w:numPr>
        <w:ind w:left="567" w:hanging="567"/>
        <w:rPr>
          <w:lang w:val="en-AU"/>
        </w:rPr>
      </w:pPr>
      <w:r w:rsidRPr="00034E9B">
        <w:rPr>
          <w:lang w:val="en-AU"/>
        </w:rPr>
        <w:t>Equalisation has the potential to interact with policy choices, at least indirectly. However, through assessing fiscal capacity using the weighted average of the revenue and expenditure policies of the States, it is possible to minimise direct effects of policy in most cases. Arguably, adopting a rotating standard approach might improve policy neutrality. However, the Commission did not consider these improvements would offset the increase in complexity that would flow from operationalising such an approach. No State supported a rotating standard, although Western Australia viewed it as a second best option to its broader revenue approach.</w:t>
      </w:r>
      <w:r w:rsidRPr="00034E9B">
        <w:rPr>
          <w:vertAlign w:val="superscript"/>
          <w:lang w:val="en-AU"/>
        </w:rPr>
        <w:footnoteReference w:id="37"/>
      </w:r>
    </w:p>
    <w:p w14:paraId="1CD9BEC5" w14:textId="77777777" w:rsidR="009B4602" w:rsidRPr="00034E9B" w:rsidRDefault="009B4602" w:rsidP="00DC5A36">
      <w:pPr>
        <w:pStyle w:val="CGCParaNumber"/>
        <w:numPr>
          <w:ilvl w:val="0"/>
          <w:numId w:val="2"/>
        </w:numPr>
        <w:ind w:left="567" w:hanging="567"/>
        <w:rPr>
          <w:lang w:val="en-AU"/>
        </w:rPr>
      </w:pPr>
      <w:r w:rsidRPr="00034E9B">
        <w:rPr>
          <w:lang w:val="en-AU"/>
        </w:rPr>
        <w:t xml:space="preserve">The Commission’s assessments continue to be based on average policies, so that a State’s incentive to change its own policies in the expectation of increasing its grant share (that is, engage in grant seeking behaviour) is limited to the effect of its policies on the average. Under the Commission’s approach, there are no allowances for differences between the average policy and a State’s own policy. To the extent that those differences lead to increased costs, States are responsible for funding those additional costs. If those differences lead to reduced costs, States retain the benefit of the cost savings. </w:t>
      </w:r>
    </w:p>
    <w:p w14:paraId="687857D7" w14:textId="77777777" w:rsidR="009B4602" w:rsidRPr="00034E9B" w:rsidRDefault="009B4602" w:rsidP="00DC5A36">
      <w:pPr>
        <w:pStyle w:val="CGCParaNumber"/>
        <w:numPr>
          <w:ilvl w:val="0"/>
          <w:numId w:val="2"/>
        </w:numPr>
        <w:ind w:left="567" w:hanging="567"/>
        <w:rPr>
          <w:lang w:val="en-AU"/>
        </w:rPr>
      </w:pPr>
      <w:r w:rsidRPr="00034E9B">
        <w:rPr>
          <w:lang w:val="en-AU"/>
        </w:rPr>
        <w:t xml:space="preserve">Western Australia said it accepted that complete policy neutrality is not feasible, but considered that policy neutrality needed greater emphasis. It highlighted policy neutrality concerns with the Mining assessment. Western Australia said the Commission’s over reliance on a narrow interpretation of the ‘what States do’ principle undermines policy neutrality, </w:t>
      </w:r>
      <w:r w:rsidRPr="00034E9B">
        <w:rPr>
          <w:lang w:val="en-AU"/>
        </w:rPr>
        <w:lastRenderedPageBreak/>
        <w:t>which could be improved by adopting global revenue indicators.</w:t>
      </w:r>
      <w:r w:rsidRPr="00034E9B">
        <w:rPr>
          <w:szCs w:val="20"/>
          <w:vertAlign w:val="superscript"/>
          <w:lang w:val="en-AU"/>
        </w:rPr>
        <w:footnoteReference w:id="38"/>
      </w:r>
      <w:r w:rsidRPr="00034E9B">
        <w:rPr>
          <w:lang w:val="en-AU"/>
        </w:rPr>
        <w:t xml:space="preserve"> Queensland suggested addressing policy neutrality concerns with the mining assessment through an aggregated Mining assessment or discounting. Nevertheless, Queensland stated that it is not aware of hard evidence that the current system creates disincentives for States to pursue economic reforms or engage in economic development.</w:t>
      </w:r>
    </w:p>
    <w:p w14:paraId="6BCECFDC" w14:textId="77777777" w:rsidR="009B4602" w:rsidRPr="00034E9B" w:rsidRDefault="009B4602" w:rsidP="00DC5A36">
      <w:pPr>
        <w:pStyle w:val="CGCParaNumber"/>
        <w:numPr>
          <w:ilvl w:val="0"/>
          <w:numId w:val="2"/>
        </w:numPr>
        <w:ind w:left="567" w:hanging="567"/>
        <w:rPr>
          <w:lang w:val="en-AU"/>
        </w:rPr>
      </w:pPr>
      <w:r w:rsidRPr="00034E9B">
        <w:rPr>
          <w:lang w:val="en-AU"/>
        </w:rPr>
        <w:t>Most States considered the Commission’s current approach to achieving policy neutrality is effective. South Australia considered that the motive behind proposals to address policy neutrality concerns through broader assessments appears to be a desire to increase grant shares for States with strong fiscal capacities. South Australia is opposed to broad indicators to measure revenue capacity because this would result in arbitrary winners and losers, is unlikely to achieve significant simplification and would result in a less equitable and efficient HFE outcome. Tasmania said that legislated changes to the HFE system obviate the need to adjust the Mining assessment to address policy neutrality. It also said the Commission’s proposal to limit the extent that tax and royalty changes constrained the operation of HFE, is impractical and may be unnecessary under new HFE arrangements.</w:t>
      </w:r>
      <w:r w:rsidRPr="00034E9B">
        <w:rPr>
          <w:vertAlign w:val="superscript"/>
          <w:lang w:val="en-AU"/>
        </w:rPr>
        <w:footnoteReference w:id="39"/>
      </w:r>
    </w:p>
    <w:p w14:paraId="78091551" w14:textId="77777777" w:rsidR="009B4602" w:rsidRPr="00034E9B" w:rsidRDefault="009B4602" w:rsidP="00DC5A36">
      <w:pPr>
        <w:pStyle w:val="CGCParaNumber"/>
        <w:numPr>
          <w:ilvl w:val="0"/>
          <w:numId w:val="2"/>
        </w:numPr>
        <w:ind w:left="567" w:hanging="567"/>
        <w:rPr>
          <w:lang w:val="en-AU"/>
        </w:rPr>
      </w:pPr>
      <w:r w:rsidRPr="00034E9B">
        <w:rPr>
          <w:lang w:val="en-AU"/>
        </w:rPr>
        <w:t>Victoria said that the current HFE system results in some minor incentives that could, conceptually, affect State policymaking. However, it said that in practice there appears to be no significant impact on policy. Victoria cited a number of examples of States undertaking reform in the presence of HFE. It also noted the view of the 2012 GST Distribution Review Panel, which doubted ‘that GST share effects are a very powerful factor when States are considering tax reform’. The Northern Territory agreed that grant distribution effects are not a determinant of whether States pursue reforms.</w:t>
      </w:r>
    </w:p>
    <w:p w14:paraId="0F83C1EF" w14:textId="77777777" w:rsidR="009B4602" w:rsidRPr="00034E9B" w:rsidRDefault="009B4602" w:rsidP="00DC5A36">
      <w:pPr>
        <w:pStyle w:val="CGCParaNumber"/>
        <w:numPr>
          <w:ilvl w:val="0"/>
          <w:numId w:val="2"/>
        </w:numPr>
        <w:ind w:left="567" w:hanging="567"/>
        <w:rPr>
          <w:lang w:val="en-AU"/>
        </w:rPr>
      </w:pPr>
      <w:r w:rsidRPr="00034E9B">
        <w:rPr>
          <w:lang w:val="en-AU"/>
        </w:rPr>
        <w:t>The ACT supported the Commission’s efforts to further strengthen policy neutrality through the proposal to limit the extent to which any discretionary change in mineral royalty rates flows through to assessed revenue capacities, ensuring States placing bans on minerals and energy development are not unduly rewarded and accounting for the influence of tax elasticities. New South Wales, Queensland and the Northern Territory also supported the Commission undertaking additional work to consider the influence of tax elasticities.</w:t>
      </w:r>
    </w:p>
    <w:p w14:paraId="4CB3AAE4" w14:textId="77777777" w:rsidR="009B4602" w:rsidRPr="00034E9B" w:rsidRDefault="009B4602" w:rsidP="00DC5A36">
      <w:pPr>
        <w:pStyle w:val="CGCParaNumber"/>
        <w:numPr>
          <w:ilvl w:val="0"/>
          <w:numId w:val="2"/>
        </w:numPr>
        <w:ind w:left="567" w:hanging="567"/>
        <w:rPr>
          <w:lang w:val="en-AU"/>
        </w:rPr>
      </w:pPr>
      <w:r w:rsidRPr="00034E9B">
        <w:rPr>
          <w:lang w:val="en-AU"/>
        </w:rPr>
        <w:t>Most State comments focused on policy neutrality and the revenue assessments, which the following sections discuss.</w:t>
      </w:r>
    </w:p>
    <w:p w14:paraId="23AFC818" w14:textId="77777777" w:rsidR="009B4602" w:rsidRPr="00034E9B" w:rsidRDefault="009B4602" w:rsidP="00B80D74">
      <w:pPr>
        <w:pStyle w:val="Heading5"/>
      </w:pPr>
      <w:bookmarkStart w:id="95" w:name="_Toc7003288"/>
      <w:bookmarkStart w:id="96" w:name="_Toc7003998"/>
      <w:r w:rsidRPr="00034E9B">
        <w:t>Dealing with policy neutrality of State revenue raising capacity</w:t>
      </w:r>
      <w:bookmarkEnd w:id="95"/>
      <w:bookmarkEnd w:id="96"/>
      <w:r w:rsidRPr="00034E9B">
        <w:t xml:space="preserve"> </w:t>
      </w:r>
    </w:p>
    <w:p w14:paraId="299BFD56" w14:textId="77777777" w:rsidR="009B4602" w:rsidRPr="00034E9B" w:rsidRDefault="009B4602" w:rsidP="00DC5A36">
      <w:pPr>
        <w:pStyle w:val="CGCParaNumber"/>
        <w:numPr>
          <w:ilvl w:val="0"/>
          <w:numId w:val="2"/>
        </w:numPr>
        <w:ind w:left="567" w:hanging="567"/>
        <w:rPr>
          <w:lang w:val="en-AU"/>
        </w:rPr>
      </w:pPr>
      <w:r w:rsidRPr="00034E9B">
        <w:rPr>
          <w:lang w:val="en-AU"/>
        </w:rPr>
        <w:t>The Commission accepted that adoption of broader indicators, particularly for revenue assessments, may improve policy neutrality, but it does not agree that this would necessarily result in an improved HFE outcome when having appropriate regard to all supporting principles. The Commission did not agree with the view that HFE can only be achieved with complete policy neutrality, and that policy neutrality could only be achieved with a ‘long term view’ of what States do, as argued by Western Australia.</w:t>
      </w:r>
      <w:r w:rsidRPr="00034E9B">
        <w:rPr>
          <w:szCs w:val="20"/>
          <w:vertAlign w:val="superscript"/>
          <w:lang w:val="en-AU"/>
        </w:rPr>
        <w:footnoteReference w:id="40"/>
      </w:r>
    </w:p>
    <w:p w14:paraId="6052A40E" w14:textId="77777777" w:rsidR="009B4602" w:rsidRPr="00034E9B" w:rsidRDefault="009B4602" w:rsidP="009D6B22">
      <w:pPr>
        <w:pStyle w:val="CGCParaNumber"/>
        <w:keepNext/>
        <w:keepLines/>
        <w:numPr>
          <w:ilvl w:val="0"/>
          <w:numId w:val="2"/>
        </w:numPr>
        <w:ind w:left="567" w:hanging="567"/>
        <w:rPr>
          <w:lang w:val="en-AU"/>
        </w:rPr>
      </w:pPr>
      <w:r w:rsidRPr="00034E9B">
        <w:rPr>
          <w:lang w:val="en-AU"/>
        </w:rPr>
        <w:lastRenderedPageBreak/>
        <w:t>Western Australia again raised the issue of differences in State development efforts. It said its above average development effort represented a policy influence on its mineral production that the Mining assessment should recognise.</w:t>
      </w:r>
      <w:r w:rsidRPr="00034E9B">
        <w:rPr>
          <w:vertAlign w:val="superscript"/>
          <w:lang w:val="en-AU"/>
        </w:rPr>
        <w:footnoteReference w:id="41"/>
      </w:r>
      <w:r w:rsidRPr="00034E9B">
        <w:rPr>
          <w:lang w:val="en-AU"/>
        </w:rPr>
        <w:t xml:space="preserve"> However, the Commission has not been able to determine how much of Western Australia’s royalty revenue can be attributed to its development effort or how much of its effort was above the average effort. Similarly, it is not possible to identify any additional revenue that may be attributable to various economic development projects (reflecting above average effort) in other States.</w:t>
      </w:r>
    </w:p>
    <w:p w14:paraId="5D6CA8CB" w14:textId="77777777" w:rsidR="009B4602" w:rsidRPr="00034E9B" w:rsidRDefault="009B4602" w:rsidP="00DC5A36">
      <w:pPr>
        <w:pStyle w:val="CGCParaNumber"/>
        <w:numPr>
          <w:ilvl w:val="0"/>
          <w:numId w:val="2"/>
        </w:numPr>
        <w:ind w:left="567" w:hanging="567"/>
        <w:rPr>
          <w:lang w:val="en-AU"/>
        </w:rPr>
      </w:pPr>
      <w:r w:rsidRPr="00034E9B">
        <w:rPr>
          <w:lang w:val="en-AU"/>
        </w:rPr>
        <w:t xml:space="preserve">In the absence of evidence that certain States have invested more, or invested more effectively, in the development of their State’s economic base (leading directly to enhanced State revenue bases), the Commission cannot separately identify revenue raised due to the effects of above average effort on the revenue base. There is no reason to assume that a discount (as proposed by some States) would produce a more reliable HFE measure. This would assume that in all cases, States with higher than average revenue raising capacity are in this position because of greater, or more effective, historical State development policies. Similarly, a discount would assume that States with lower than average revenue raising capacity have attained their positions due to lesser, or less effective, historical State development policies. </w:t>
      </w:r>
    </w:p>
    <w:p w14:paraId="2C944951" w14:textId="77777777" w:rsidR="009B4602" w:rsidRPr="00034E9B" w:rsidRDefault="009B4602" w:rsidP="00DC5A36">
      <w:pPr>
        <w:pStyle w:val="CGCParaNumber"/>
        <w:numPr>
          <w:ilvl w:val="0"/>
          <w:numId w:val="2"/>
        </w:numPr>
        <w:ind w:left="567" w:hanging="567"/>
        <w:rPr>
          <w:lang w:val="en-AU"/>
        </w:rPr>
      </w:pPr>
      <w:r w:rsidRPr="00034E9B">
        <w:rPr>
          <w:lang w:val="en-AU"/>
        </w:rPr>
        <w:t>The legislative incidence of State revenue raising policies affects rates of tax, as well as the tax base to which those rates are applied. In applying a common policy to determine State revenue raising capacities, the Commission adopts different approaches depending upon the circumstances.</w:t>
      </w:r>
    </w:p>
    <w:p w14:paraId="4FCD6C89" w14:textId="77777777" w:rsidR="009B4602" w:rsidRPr="00034E9B" w:rsidRDefault="009B4602" w:rsidP="00DC5A36">
      <w:pPr>
        <w:pStyle w:val="CGCParaNumber"/>
        <w:numPr>
          <w:ilvl w:val="0"/>
          <w:numId w:val="2"/>
        </w:numPr>
        <w:ind w:left="567" w:hanging="567"/>
        <w:rPr>
          <w:lang w:val="en-AU"/>
        </w:rPr>
      </w:pPr>
      <w:r w:rsidRPr="00034E9B">
        <w:rPr>
          <w:lang w:val="en-AU"/>
        </w:rPr>
        <w:t>There are a number of circumstances where the Commission has had to address policy neutrality concerns relating to the comparability of State revenue rates and bases.</w:t>
      </w:r>
    </w:p>
    <w:p w14:paraId="16C9A1E2" w14:textId="77777777" w:rsidR="009B4602" w:rsidRPr="00034E9B" w:rsidRDefault="009B4602" w:rsidP="00DC5A36">
      <w:pPr>
        <w:pStyle w:val="CGCParaNumber"/>
        <w:numPr>
          <w:ilvl w:val="0"/>
          <w:numId w:val="2"/>
        </w:numPr>
        <w:ind w:left="567" w:hanging="567"/>
        <w:rPr>
          <w:lang w:val="en-AU"/>
        </w:rPr>
      </w:pPr>
      <w:r w:rsidRPr="00034E9B">
        <w:rPr>
          <w:lang w:val="en-AU"/>
        </w:rPr>
        <w:t>Western Australia also argued that the current approach could result in a high loss of equalisation grants from increased tax compliance. This is because increasing compliance will increase the size of a State’s tax base, increasing its relative revenue raising capacity for that tax. The Commission acknowledges that under exceptional circumstances it is possible for grant losses to more than offset gains from increased compliance effort. This could occur if a State’s compliance effort caused its share of the tax base to deviate significantly from its population share. In reality, given the state of the current State tax bases, the Commission considers that HFE does not remove the incentive for States to maintain at least the average compliance effort and that there are sufficient incentives applying to States unrelated to the HFE system for them to maintain compliance activities.</w:t>
      </w:r>
    </w:p>
    <w:p w14:paraId="505413F9" w14:textId="77777777" w:rsidR="009B4602" w:rsidRPr="00034E9B" w:rsidRDefault="009B4602" w:rsidP="00B80D74">
      <w:pPr>
        <w:pStyle w:val="Heading5"/>
      </w:pPr>
      <w:r w:rsidRPr="00034E9B">
        <w:t>Dealing with policy neutrality concerns relating to revenue rates</w:t>
      </w:r>
    </w:p>
    <w:p w14:paraId="448F0C20" w14:textId="77777777" w:rsidR="009B4602" w:rsidRPr="00034E9B" w:rsidRDefault="009B4602" w:rsidP="00DC5A36">
      <w:pPr>
        <w:pStyle w:val="CGCParaNumber"/>
        <w:numPr>
          <w:ilvl w:val="0"/>
          <w:numId w:val="2"/>
        </w:numPr>
        <w:ind w:left="567" w:hanging="567"/>
        <w:rPr>
          <w:lang w:val="en-AU"/>
        </w:rPr>
      </w:pPr>
      <w:r w:rsidRPr="00034E9B">
        <w:rPr>
          <w:lang w:val="en-AU"/>
        </w:rPr>
        <w:t>In most cases, each State has only a limited influence on the average rate policy. However, exceptions can arise, and over the past decade, these have become potentially significant in the case of State mining revenues. When a tax base is concentrated in one or two States (such as iron ore in Western Australia and coal in Queensland), the policies of those States can have a dominant role in determining average rate policy, particularly where minerals are assessed separately.</w:t>
      </w:r>
    </w:p>
    <w:p w14:paraId="3ED10B35" w14:textId="3A733B06" w:rsidR="009B4602" w:rsidRPr="00034E9B" w:rsidRDefault="009B4602" w:rsidP="009D6B22">
      <w:pPr>
        <w:pStyle w:val="CGCParaNumber"/>
        <w:keepNext/>
        <w:keepLines/>
        <w:numPr>
          <w:ilvl w:val="0"/>
          <w:numId w:val="2"/>
        </w:numPr>
        <w:ind w:left="567" w:hanging="567"/>
        <w:rPr>
          <w:lang w:val="en-AU"/>
        </w:rPr>
      </w:pPr>
      <w:r w:rsidRPr="00034E9B">
        <w:rPr>
          <w:lang w:val="en-AU"/>
        </w:rPr>
        <w:lastRenderedPageBreak/>
        <w:t xml:space="preserve">The Commission determined that its current assessment of mining revenues appropriately supports the measurement of State fiscal capacities, observing that the Commonwealth’s recent changes to the form of equalisation insulate Western Australia from the distributional effects related to its dominant producer position. </w:t>
      </w:r>
      <w:bookmarkStart w:id="97" w:name="_Toc3279273"/>
      <w:bookmarkStart w:id="98" w:name="_Toc3899427"/>
      <w:r w:rsidRPr="00034E9B">
        <w:rPr>
          <w:lang w:val="en-AU"/>
        </w:rPr>
        <w:t xml:space="preserve">See </w:t>
      </w:r>
      <w:r w:rsidRPr="00034E9B">
        <w:rPr>
          <w:lang w:val="en-AU"/>
        </w:rPr>
        <w:fldChar w:fldCharType="begin"/>
      </w:r>
      <w:r w:rsidRPr="00034E9B">
        <w:rPr>
          <w:lang w:val="en-AU"/>
        </w:rPr>
        <w:instrText xml:space="preserve"> REF Box2_2 \h  \* MERGEFORMAT </w:instrText>
      </w:r>
      <w:r w:rsidRPr="00034E9B">
        <w:rPr>
          <w:lang w:val="en-AU"/>
        </w:rPr>
      </w:r>
      <w:r w:rsidRPr="00034E9B">
        <w:rPr>
          <w:lang w:val="en-AU"/>
        </w:rPr>
        <w:fldChar w:fldCharType="separate"/>
      </w:r>
      <w:r w:rsidR="004A0DFA" w:rsidRPr="004A0DFA">
        <w:rPr>
          <w:lang w:val="en-AU"/>
        </w:rPr>
        <w:t>Box 2-2</w:t>
      </w:r>
      <w:r w:rsidRPr="00034E9B">
        <w:rPr>
          <w:lang w:val="en-AU"/>
        </w:rPr>
        <w:fldChar w:fldCharType="end"/>
      </w:r>
      <w:r w:rsidRPr="00034E9B">
        <w:rPr>
          <w:lang w:val="en-AU"/>
        </w:rPr>
        <w:t xml:space="preserve"> for a discussion of the unique aspects of the mining assessment and Chapter 11 Mining revenue for further detail on the policy neutrality aspects of the Mining assessment. </w:t>
      </w:r>
    </w:p>
    <w:bookmarkEnd w:id="97"/>
    <w:bookmarkEnd w:id="98"/>
    <w:p w14:paraId="74A7B316" w14:textId="77777777" w:rsidR="009B4602" w:rsidRPr="00034E9B" w:rsidRDefault="009B4602" w:rsidP="00B80D74">
      <w:pPr>
        <w:pStyle w:val="Heading5"/>
      </w:pPr>
      <w:r w:rsidRPr="00034E9B">
        <w:t>Dealing with States applying a nil rate to a revenue base</w:t>
      </w:r>
    </w:p>
    <w:p w14:paraId="608E5418" w14:textId="77777777" w:rsidR="009B4602" w:rsidRPr="00034E9B" w:rsidRDefault="009B4602" w:rsidP="00DC5A36">
      <w:pPr>
        <w:pStyle w:val="CGCParaNumber"/>
        <w:numPr>
          <w:ilvl w:val="0"/>
          <w:numId w:val="2"/>
        </w:numPr>
        <w:ind w:left="567" w:hanging="567"/>
        <w:rPr>
          <w:lang w:val="en-AU"/>
        </w:rPr>
      </w:pPr>
      <w:r w:rsidRPr="00034E9B">
        <w:rPr>
          <w:lang w:val="en-AU"/>
        </w:rPr>
        <w:t>A State may apply a nil rate to a revenue base in circumstances where reliable data are available to estimate the revenue base for that State. This occurs in the case of land tax, where the Northern Territory does not raise this tax. The Commission imputes a land tax base for the Northern Territory for assessing its capacity to raise land tax, if it followed average policy.</w:t>
      </w:r>
    </w:p>
    <w:p w14:paraId="4F3CF55C" w14:textId="77777777" w:rsidR="009B4602" w:rsidRPr="00034E9B" w:rsidRDefault="009B4602" w:rsidP="00B80D74">
      <w:pPr>
        <w:pStyle w:val="Heading5"/>
      </w:pPr>
      <w:r w:rsidRPr="00034E9B">
        <w:t>Dealing with uncertain distributions of State revenue bases</w:t>
      </w:r>
    </w:p>
    <w:p w14:paraId="709D9FB0" w14:textId="77777777" w:rsidR="009B4602" w:rsidRPr="00034E9B" w:rsidRDefault="009B4602" w:rsidP="00DC5A36">
      <w:pPr>
        <w:pStyle w:val="CGCParaNumber"/>
        <w:numPr>
          <w:ilvl w:val="0"/>
          <w:numId w:val="2"/>
        </w:numPr>
        <w:ind w:left="567" w:hanging="567"/>
        <w:rPr>
          <w:lang w:val="en-AU"/>
        </w:rPr>
      </w:pPr>
      <w:r w:rsidRPr="00034E9B">
        <w:rPr>
          <w:lang w:val="en-AU"/>
        </w:rPr>
        <w:t>Revenue may be raised from a revenue base in circumstances where the distribution of that revenue base across States is unclear because specific policies relating to that activity are highly variable among the States. Gambling revenue is an example of this, where the legal framework for gaming varies considerably across the States, on the numbers and placement of gaming machines in particular. In the case of gambling revenue, since the 2010 Review the Commission has taken the view that, because it cannot identify comparable revenue bases across States, it cannot construct a reliable and material differential assessment. Therefore, it makes an EPC assessment of gambling revenue. This approach means that gambling revenues do not affect the measurement of State fiscal capacities.</w:t>
      </w:r>
    </w:p>
    <w:p w14:paraId="6A0417E6" w14:textId="77777777" w:rsidR="009B4602" w:rsidRPr="00034E9B" w:rsidRDefault="009B4602" w:rsidP="00B80D74">
      <w:pPr>
        <w:pStyle w:val="Heading5"/>
      </w:pPr>
      <w:r w:rsidRPr="00034E9B">
        <w:t>Dealing with tax rate effects on a revenue base</w:t>
      </w:r>
    </w:p>
    <w:p w14:paraId="3A15C139" w14:textId="77777777" w:rsidR="009B4602" w:rsidRPr="00034E9B" w:rsidRDefault="009B4602" w:rsidP="00DC5A36">
      <w:pPr>
        <w:pStyle w:val="CGCParaNumber"/>
        <w:numPr>
          <w:ilvl w:val="0"/>
          <w:numId w:val="2"/>
        </w:numPr>
        <w:ind w:left="567" w:hanging="567"/>
        <w:rPr>
          <w:lang w:val="en-AU"/>
        </w:rPr>
      </w:pPr>
      <w:r w:rsidRPr="00034E9B">
        <w:rPr>
          <w:lang w:val="en-AU"/>
        </w:rPr>
        <w:t>The Commission engaged consultants to produce elasticity estimates that would inform its decision whether to adjust its assessed revenue bases for elasticity effects. The aim was to minimise, to the extent practicable, tax reform disincentives arising from the direct effects on tax bases (elasticity effects) of tax policy choices.</w:t>
      </w:r>
    </w:p>
    <w:p w14:paraId="6FA28C68" w14:textId="77777777" w:rsidR="009B4602" w:rsidRPr="00034E9B" w:rsidRDefault="009B4602" w:rsidP="00DC5A36">
      <w:pPr>
        <w:pStyle w:val="CGCParaNumber"/>
        <w:numPr>
          <w:ilvl w:val="0"/>
          <w:numId w:val="2"/>
        </w:numPr>
        <w:ind w:left="567" w:hanging="567"/>
        <w:rPr>
          <w:lang w:val="en-AU"/>
        </w:rPr>
      </w:pPr>
      <w:bookmarkStart w:id="99" w:name="_Toc493766177"/>
      <w:bookmarkStart w:id="100" w:name="_Toc493766525"/>
      <w:bookmarkStart w:id="101" w:name="_Toc7003290"/>
      <w:bookmarkStart w:id="102" w:name="_Toc7003999"/>
      <w:r w:rsidRPr="00034E9B">
        <w:rPr>
          <w:lang w:val="en-AU"/>
        </w:rPr>
        <w:t>The consultants calculated elasticity estimates for four revenue assessments: insurance taxes, conveyance duties, motor taxes and land tax. After considering the consultants’ work and State views, the Commission concluded that elasticity effects are not unduly affecting HFE, as the effects are very small for all but one tax base, stamp duties on conveyances, for which they are also not substantial. On this basis, and given its concerns about the practical implementation of making an adjustment, the Commission decided not to make any elasticity adjustments to revenue bases. This issue is discussed in Chapter 1 of Volume 2. </w:t>
      </w:r>
      <w:bookmarkEnd w:id="99"/>
      <w:bookmarkEnd w:id="100"/>
      <w:bookmarkEnd w:id="101"/>
      <w:bookmarkEnd w:id="102"/>
    </w:p>
    <w:tbl>
      <w:tblPr>
        <w:tblW w:w="0" w:type="auto"/>
        <w:tblInd w:w="108" w:type="dxa"/>
        <w:shd w:val="clear" w:color="auto" w:fill="EBF3F5"/>
        <w:tblLook w:val="04A0" w:firstRow="1" w:lastRow="0" w:firstColumn="1" w:lastColumn="0" w:noHBand="0" w:noVBand="1"/>
      </w:tblPr>
      <w:tblGrid>
        <w:gridCol w:w="8843"/>
      </w:tblGrid>
      <w:tr w:rsidR="009B4602" w:rsidRPr="00034E9B" w14:paraId="0B85EE16" w14:textId="77777777" w:rsidTr="00B80D74">
        <w:tc>
          <w:tcPr>
            <w:tcW w:w="8843" w:type="dxa"/>
            <w:shd w:val="clear" w:color="auto" w:fill="EBF3F5"/>
          </w:tcPr>
          <w:p w14:paraId="49F176C7" w14:textId="4789E3BB" w:rsidR="009B4602" w:rsidRPr="00034E9B" w:rsidRDefault="009B4602" w:rsidP="00B80D74">
            <w:pPr>
              <w:pStyle w:val="Caption"/>
            </w:pPr>
            <w:bookmarkStart w:id="103" w:name="_Ref7003567"/>
            <w:bookmarkStart w:id="104" w:name="Box2_2"/>
            <w:bookmarkStart w:id="105" w:name="_Toc493766176"/>
            <w:bookmarkStart w:id="106" w:name="_Toc493766524"/>
            <w:bookmarkStart w:id="107" w:name="_Toc7003289"/>
            <w:r w:rsidRPr="00034E9B">
              <w:lastRenderedPageBreak/>
              <w:t>Box 2-</w:t>
            </w:r>
            <w:r w:rsidR="009063F1">
              <w:fldChar w:fldCharType="begin"/>
            </w:r>
            <w:r w:rsidR="009063F1">
              <w:instrText xml:space="preserve"> SEQ Box \* ARABIC </w:instrText>
            </w:r>
            <w:r w:rsidR="009063F1">
              <w:fldChar w:fldCharType="separate"/>
            </w:r>
            <w:r w:rsidR="004A0DFA">
              <w:rPr>
                <w:noProof/>
              </w:rPr>
              <w:t>2</w:t>
            </w:r>
            <w:r w:rsidR="009063F1">
              <w:rPr>
                <w:noProof/>
              </w:rPr>
              <w:fldChar w:fldCharType="end"/>
            </w:r>
            <w:bookmarkEnd w:id="103"/>
            <w:bookmarkEnd w:id="104"/>
            <w:r w:rsidRPr="00034E9B">
              <w:tab/>
              <w:t>HFE and mining revenue policy</w:t>
            </w:r>
            <w:bookmarkEnd w:id="105"/>
            <w:bookmarkEnd w:id="106"/>
            <w:bookmarkEnd w:id="107"/>
          </w:p>
          <w:p w14:paraId="4F669A04" w14:textId="77777777" w:rsidR="009B4602" w:rsidRPr="00034E9B" w:rsidRDefault="009B4602" w:rsidP="008445AF">
            <w:pPr>
              <w:pStyle w:val="Heading5"/>
            </w:pPr>
            <w:r w:rsidRPr="00034E9B">
              <w:t xml:space="preserve">The changing fiscal role of mining revenue </w:t>
            </w:r>
          </w:p>
          <w:p w14:paraId="2E2F709C" w14:textId="77777777" w:rsidR="009B4602" w:rsidRPr="00034E9B" w:rsidRDefault="009B4602" w:rsidP="00B80D74">
            <w:r w:rsidRPr="00034E9B">
              <w:t>Over the past decade, the role of mining revenues in fiscal equalisation has significantly increased. State mining revenues, mainly from iron ore and coal, have increased more than four-fold since the early 2000s. The expansion of mining has had major implications for the structure of Australia’s economic development. It has also resulted in some divergence and greater volatility in the fiscal capacities of the States.</w:t>
            </w:r>
          </w:p>
          <w:p w14:paraId="6CFFCC63" w14:textId="77777777" w:rsidR="009B4602" w:rsidRPr="00034E9B" w:rsidRDefault="009B4602" w:rsidP="00B80D74">
            <w:r w:rsidRPr="00034E9B">
              <w:t xml:space="preserve">The continuing emergence of China and other Asian countries as leading growth engines of the world economy has driven the expansion of Australia’s mineral and energy industries. Australia’s endowments are key inputs to the rapidly expanding Asian supply chain. </w:t>
            </w:r>
          </w:p>
          <w:p w14:paraId="2C50E941" w14:textId="77777777" w:rsidR="009B4602" w:rsidRPr="00034E9B" w:rsidRDefault="009B4602" w:rsidP="00B80D74">
            <w:r w:rsidRPr="00034E9B">
              <w:t>While there has been some cyclical element in the price of commodities, the mining expansion is largely long term and structural. It has transformed the fiscal capacity of Western Australia, the main mining State. Throughout most of the 20th century, Western Australia received above average per capita Commonwealth funding under fiscal equalisation arrangements. However, it now requires much less than average funding under the same arrangements, due overwhelmingly to its high share of State mining revenues, which have greatly increased its fiscal capacity.</w:t>
            </w:r>
          </w:p>
          <w:p w14:paraId="37111CAF" w14:textId="77777777" w:rsidR="009B4602" w:rsidRPr="00034E9B" w:rsidRDefault="009B4602" w:rsidP="008445AF">
            <w:pPr>
              <w:pStyle w:val="Heading5"/>
            </w:pPr>
            <w:r w:rsidRPr="00034E9B">
              <w:t>Applying the HFE supporting principles to mining revenues</w:t>
            </w:r>
          </w:p>
          <w:p w14:paraId="268636A6" w14:textId="1D080825" w:rsidR="009B4602" w:rsidRPr="00034E9B" w:rsidRDefault="009B4602" w:rsidP="00B80D74">
            <w:r w:rsidRPr="00034E9B">
              <w:t>Mining differs from most other State tax bases for the following reasons</w:t>
            </w:r>
            <w:r w:rsidR="00AA444F">
              <w:t>.</w:t>
            </w:r>
          </w:p>
          <w:p w14:paraId="05EB4651" w14:textId="77777777" w:rsidR="009B4602" w:rsidRPr="00034E9B" w:rsidRDefault="009B4602" w:rsidP="00DC5A36">
            <w:pPr>
              <w:pStyle w:val="CGCBullet1"/>
              <w:numPr>
                <w:ilvl w:val="0"/>
                <w:numId w:val="3"/>
              </w:numPr>
              <w:ind w:left="924" w:hanging="357"/>
            </w:pPr>
            <w:r w:rsidRPr="00034E9B">
              <w:t>The distribution of mineral resources is highly unequal across the States.</w:t>
            </w:r>
          </w:p>
          <w:p w14:paraId="2DF533E5" w14:textId="77777777" w:rsidR="009B4602" w:rsidRPr="00034E9B" w:rsidRDefault="009B4602" w:rsidP="00DC5A36">
            <w:pPr>
              <w:pStyle w:val="CGCBullet1"/>
              <w:numPr>
                <w:ilvl w:val="0"/>
                <w:numId w:val="3"/>
              </w:numPr>
              <w:ind w:left="924" w:hanging="357"/>
            </w:pPr>
            <w:r w:rsidRPr="00034E9B">
              <w:t>Each mineral product has a different effective tax (royalty) rate.</w:t>
            </w:r>
          </w:p>
          <w:p w14:paraId="32D4A0F3" w14:textId="77777777" w:rsidR="009B4602" w:rsidRPr="00034E9B" w:rsidRDefault="009B4602" w:rsidP="00DC5A36">
            <w:pPr>
              <w:pStyle w:val="CGCBullet1"/>
              <w:numPr>
                <w:ilvl w:val="0"/>
                <w:numId w:val="3"/>
              </w:numPr>
              <w:ind w:left="924" w:hanging="357"/>
            </w:pPr>
            <w:r w:rsidRPr="00034E9B">
              <w:t xml:space="preserve">The conceptual driver of the tax base is unclear — royalties appear to be related to the underlying profitability of mining activities, but the royalty base itself is generally the gross value of production rather than profit. States have adjusted some royalty rates in recent years to reflect the higher profitability of certain major mining developments, but royalty rates otherwise have tended to be relatively stable over time. </w:t>
            </w:r>
          </w:p>
          <w:p w14:paraId="222F4C11" w14:textId="7DCFEA7B" w:rsidR="009B4602" w:rsidRPr="00034E9B" w:rsidRDefault="009B4602" w:rsidP="009D6B22">
            <w:pPr>
              <w:spacing w:after="120"/>
              <w:rPr>
                <w:sz w:val="24"/>
              </w:rPr>
            </w:pPr>
            <w:r w:rsidRPr="00034E9B">
              <w:t xml:space="preserve">The unusual features of the mining revenue base in Australia present unique challenges in applying, and appropriately balancing, the supporting principles for HFE. In general, the ‘what States do’ and practicality principles have been applied reliably to mining revenues in much the same way as to other assessments. The issues raised by some States due to the interaction of the contemporaneity supporting principle with budget management processes are well-known (and addressed separately in the contemporaneity section of this </w:t>
            </w:r>
            <w:r w:rsidR="00964FC6">
              <w:t>chapter</w:t>
            </w:r>
            <w:r w:rsidRPr="00034E9B">
              <w:t>). However, the assessment approach has also generated policy neutrality concerns in some circumstances. Nonetheless, through supplementary terms of reference the Commission has been instructed not to change the approach to assessing mining revenues it developed in the 2015 Review. Chapter 11 Mining revenue, in Volume 2 of this report, discusses these issues in detail.</w:t>
            </w:r>
          </w:p>
        </w:tc>
      </w:tr>
    </w:tbl>
    <w:p w14:paraId="2C0B8787" w14:textId="7774D451" w:rsidR="009B4602" w:rsidRPr="00034E9B" w:rsidRDefault="009B4602" w:rsidP="00B80D74">
      <w:pPr>
        <w:pStyle w:val="Heading4"/>
      </w:pPr>
      <w:bookmarkStart w:id="108" w:name="_Toc26890317"/>
      <w:r w:rsidRPr="00034E9B">
        <w:t>Practicality</w:t>
      </w:r>
      <w:bookmarkEnd w:id="108"/>
    </w:p>
    <w:p w14:paraId="515B0F19" w14:textId="77777777" w:rsidR="009B4602" w:rsidRPr="00034E9B" w:rsidRDefault="009B4602" w:rsidP="00DC5A36">
      <w:pPr>
        <w:pStyle w:val="CGCParaNumber"/>
        <w:numPr>
          <w:ilvl w:val="0"/>
          <w:numId w:val="2"/>
        </w:numPr>
        <w:ind w:left="567" w:hanging="567"/>
        <w:rPr>
          <w:lang w:val="en-AU"/>
        </w:rPr>
      </w:pPr>
      <w:r w:rsidRPr="00034E9B">
        <w:rPr>
          <w:lang w:val="en-AU"/>
        </w:rPr>
        <w:t xml:space="preserve">This supporting principle means that assessments should be based on sound and reliable data and methods and be as simple as possible, while also reflecting the major influences on State expenses and revenues. </w:t>
      </w:r>
    </w:p>
    <w:p w14:paraId="2D5F0FBE" w14:textId="6053FD43" w:rsidR="009B4602" w:rsidRPr="00034E9B" w:rsidRDefault="009B4602" w:rsidP="00990C62">
      <w:pPr>
        <w:pStyle w:val="CGCParaNumber"/>
        <w:keepNext/>
        <w:keepLines/>
        <w:numPr>
          <w:ilvl w:val="0"/>
          <w:numId w:val="2"/>
        </w:numPr>
        <w:ind w:left="567" w:hanging="567"/>
        <w:rPr>
          <w:lang w:val="en-AU"/>
        </w:rPr>
      </w:pPr>
      <w:r w:rsidRPr="00034E9B">
        <w:rPr>
          <w:lang w:val="en-AU"/>
        </w:rPr>
        <w:lastRenderedPageBreak/>
        <w:t>Practicality is an umbrella principle that covers the following</w:t>
      </w:r>
      <w:r w:rsidR="00CA0671">
        <w:rPr>
          <w:lang w:val="en-AU"/>
        </w:rPr>
        <w:t xml:space="preserve"> concepts</w:t>
      </w:r>
      <w:r w:rsidRPr="00034E9B">
        <w:rPr>
          <w:lang w:val="en-AU"/>
        </w:rPr>
        <w:t>.</w:t>
      </w:r>
    </w:p>
    <w:p w14:paraId="32EBC7D0" w14:textId="77777777" w:rsidR="009B4602" w:rsidRPr="00034E9B" w:rsidRDefault="009B4602" w:rsidP="00990C62">
      <w:pPr>
        <w:pStyle w:val="CGCBullet1"/>
        <w:keepNext/>
        <w:keepLines/>
        <w:numPr>
          <w:ilvl w:val="0"/>
          <w:numId w:val="3"/>
        </w:numPr>
        <w:ind w:left="924" w:hanging="357"/>
      </w:pPr>
      <w:r w:rsidRPr="00034E9B">
        <w:t>Simplicity — assessments should be as simple as possible while being conceptually sound and reflecting the major influences on State expenses and revenues.</w:t>
      </w:r>
    </w:p>
    <w:p w14:paraId="1A5D3D99" w14:textId="77777777" w:rsidR="009B4602" w:rsidRPr="00034E9B" w:rsidRDefault="009B4602" w:rsidP="00990C62">
      <w:pPr>
        <w:pStyle w:val="CGCBullet1"/>
        <w:keepNext/>
        <w:keepLines/>
        <w:numPr>
          <w:ilvl w:val="0"/>
          <w:numId w:val="3"/>
        </w:numPr>
        <w:ind w:left="924" w:hanging="357"/>
      </w:pPr>
      <w:r w:rsidRPr="00034E9B">
        <w:t>Reliability — the methods for making assessments should use reliable data, including the use of discounting where there are specific concerns about the degree to which data are fit for purpose.</w:t>
      </w:r>
    </w:p>
    <w:p w14:paraId="0610D18E" w14:textId="77777777" w:rsidR="009B4602" w:rsidRPr="00034E9B" w:rsidRDefault="009B4602" w:rsidP="00DC5A36">
      <w:pPr>
        <w:pStyle w:val="CGCBullet1"/>
        <w:numPr>
          <w:ilvl w:val="0"/>
          <w:numId w:val="3"/>
        </w:numPr>
        <w:ind w:left="924" w:hanging="357"/>
      </w:pPr>
      <w:r w:rsidRPr="00034E9B">
        <w:t xml:space="preserve">Materiality — the Commission will make assessments only where they have a sufficiently large impact on assessed revenue and expenditure. </w:t>
      </w:r>
    </w:p>
    <w:p w14:paraId="4E43E630" w14:textId="77777777" w:rsidR="009B4602" w:rsidRPr="00034E9B" w:rsidRDefault="009B4602" w:rsidP="00DC5A36">
      <w:pPr>
        <w:pStyle w:val="CGCBullet1"/>
        <w:numPr>
          <w:ilvl w:val="0"/>
          <w:numId w:val="3"/>
        </w:numPr>
        <w:ind w:left="924" w:hanging="357"/>
      </w:pPr>
      <w:r w:rsidRPr="00034E9B">
        <w:t>Quality assurance — processes are in place to ensure data are accurate and fit for purpose, and methods are sound and delivering outcomes in accordance with HFE and the supporting principles.</w:t>
      </w:r>
    </w:p>
    <w:p w14:paraId="1DE2A2B8" w14:textId="77777777" w:rsidR="009B4602" w:rsidRPr="00034E9B" w:rsidRDefault="009B4602" w:rsidP="00DC5A36">
      <w:pPr>
        <w:pStyle w:val="CGCBullet1"/>
        <w:numPr>
          <w:ilvl w:val="0"/>
          <w:numId w:val="3"/>
        </w:numPr>
        <w:ind w:left="924" w:hanging="357"/>
      </w:pPr>
      <w:r w:rsidRPr="00034E9B">
        <w:t>Fitness for purpose — the Commission’s relativities are practically useful for States to incorporate into their budgets.</w:t>
      </w:r>
    </w:p>
    <w:p w14:paraId="1A893A2C" w14:textId="77777777" w:rsidR="009B4602" w:rsidRPr="00034E9B" w:rsidRDefault="009B4602" w:rsidP="00DC5A36">
      <w:pPr>
        <w:pStyle w:val="CGCParaNumber"/>
        <w:numPr>
          <w:ilvl w:val="0"/>
          <w:numId w:val="2"/>
        </w:numPr>
        <w:ind w:left="567" w:hanging="567"/>
        <w:rPr>
          <w:lang w:val="en-AU"/>
        </w:rPr>
      </w:pPr>
      <w:r w:rsidRPr="00034E9B">
        <w:rPr>
          <w:lang w:val="en-AU"/>
        </w:rPr>
        <w:t>The terms of reference (clause 7) ask the Commission to aim to have assessments that are simple and consistent with the quality and fitness for purpose of the available data and to ensure robust quality assurance processes. The practicality principle assists the Commission in ensuring it is meeting this requirement of the terms of reference.</w:t>
      </w:r>
    </w:p>
    <w:p w14:paraId="1D896ED9" w14:textId="7E22FE95" w:rsidR="009B4602" w:rsidRPr="00034E9B" w:rsidRDefault="009B4602" w:rsidP="00DC5A36">
      <w:pPr>
        <w:pStyle w:val="CGCParaNumber"/>
        <w:numPr>
          <w:ilvl w:val="0"/>
          <w:numId w:val="2"/>
        </w:numPr>
        <w:ind w:left="567" w:hanging="567"/>
        <w:rPr>
          <w:lang w:val="en-AU"/>
        </w:rPr>
      </w:pPr>
      <w:r w:rsidRPr="00034E9B">
        <w:rPr>
          <w:lang w:val="en-AU"/>
        </w:rPr>
        <w:t xml:space="preserve">This principle originated from the emphasis in the 2010 Review terms of reference on simplification, reliability, materiality and quality assurance. The practicality principle is put into practice in the Commission’s assessment guidelines (including a discounting framework and determination of materiality thresholds) and quality assurance plan, which are discussed in the section on </w:t>
      </w:r>
      <w:r w:rsidR="00954819">
        <w:rPr>
          <w:lang w:val="en-AU"/>
        </w:rPr>
        <w:t>i</w:t>
      </w:r>
      <w:r w:rsidRPr="00034E9B">
        <w:rPr>
          <w:lang w:val="en-AU"/>
        </w:rPr>
        <w:t>mplementation issues. (See Chapter 3</w:t>
      </w:r>
      <w:r w:rsidR="00954819">
        <w:rPr>
          <w:lang w:val="en-AU"/>
        </w:rPr>
        <w:t>,</w:t>
      </w:r>
      <w:r w:rsidRPr="00034E9B">
        <w:rPr>
          <w:lang w:val="en-AU"/>
        </w:rPr>
        <w:t xml:space="preserve"> Volume </w:t>
      </w:r>
      <w:r w:rsidR="004969F2">
        <w:rPr>
          <w:lang w:val="en-AU"/>
        </w:rPr>
        <w:t>2</w:t>
      </w:r>
      <w:r w:rsidRPr="00034E9B">
        <w:rPr>
          <w:lang w:val="en-AU"/>
        </w:rPr>
        <w:t>.)</w:t>
      </w:r>
    </w:p>
    <w:p w14:paraId="3C6E2B89" w14:textId="77777777" w:rsidR="009B4602" w:rsidRPr="00034E9B" w:rsidRDefault="009B4602" w:rsidP="00DC5A36">
      <w:pPr>
        <w:pStyle w:val="CGCParaNumber"/>
        <w:numPr>
          <w:ilvl w:val="0"/>
          <w:numId w:val="2"/>
        </w:numPr>
        <w:ind w:left="567" w:hanging="567"/>
        <w:rPr>
          <w:lang w:val="en-AU"/>
        </w:rPr>
      </w:pPr>
      <w:r w:rsidRPr="00034E9B">
        <w:rPr>
          <w:lang w:val="en-AU"/>
        </w:rPr>
        <w:t>Practicality recognises that, while a wide variety of factors affect State fiscal capacities, an improved HFE outcome may not be achieved by including factors when sufficient data are not available to measure their effects or where effects are small. This effectively limits the extent to which the Commission can achieve full fiscal equalisation.</w:t>
      </w:r>
    </w:p>
    <w:p w14:paraId="69890327" w14:textId="77777777" w:rsidR="009B4602" w:rsidRPr="00034E9B" w:rsidRDefault="009B4602" w:rsidP="00DC5A36">
      <w:pPr>
        <w:pStyle w:val="CGCParaNumber"/>
        <w:numPr>
          <w:ilvl w:val="0"/>
          <w:numId w:val="2"/>
        </w:numPr>
        <w:ind w:left="567" w:hanging="567"/>
        <w:rPr>
          <w:lang w:val="en-AU"/>
        </w:rPr>
      </w:pPr>
      <w:r w:rsidRPr="00034E9B">
        <w:rPr>
          <w:lang w:val="en-AU"/>
        </w:rPr>
        <w:t xml:space="preserve">The Commission considers that the practicality principle applies in all stages of the development of assessments, including: </w:t>
      </w:r>
    </w:p>
    <w:p w14:paraId="484AEDF2" w14:textId="77777777" w:rsidR="009B4602" w:rsidRPr="00034E9B" w:rsidRDefault="009B4602" w:rsidP="00DC5A36">
      <w:pPr>
        <w:pStyle w:val="CGCBullet1"/>
        <w:numPr>
          <w:ilvl w:val="0"/>
          <w:numId w:val="3"/>
        </w:numPr>
        <w:ind w:left="924" w:hanging="357"/>
      </w:pPr>
      <w:r w:rsidRPr="00034E9B">
        <w:t xml:space="preserve">the scope of the revenue and expenditure that should be part of fiscal equalisation and how they are grouped into categories and components </w:t>
      </w:r>
    </w:p>
    <w:p w14:paraId="7D9743A3" w14:textId="77777777" w:rsidR="009B4602" w:rsidRPr="00034E9B" w:rsidRDefault="009B4602" w:rsidP="00DC5A36">
      <w:pPr>
        <w:pStyle w:val="CGCBullet1"/>
        <w:numPr>
          <w:ilvl w:val="0"/>
          <w:numId w:val="3"/>
        </w:numPr>
        <w:ind w:left="924" w:hanging="357"/>
      </w:pPr>
      <w:r w:rsidRPr="00034E9B">
        <w:t>the disabilities that should be assessed — this covers the conceptual case and the assessment of disabilities.</w:t>
      </w:r>
    </w:p>
    <w:p w14:paraId="2F0AC58B" w14:textId="77777777" w:rsidR="009B4602" w:rsidRPr="00034E9B" w:rsidRDefault="009B4602" w:rsidP="00DC5A36">
      <w:pPr>
        <w:pStyle w:val="CGCParaNumber"/>
        <w:numPr>
          <w:ilvl w:val="0"/>
          <w:numId w:val="2"/>
        </w:numPr>
        <w:ind w:left="567" w:hanging="567"/>
        <w:rPr>
          <w:lang w:val="en-AU"/>
        </w:rPr>
      </w:pPr>
      <w:r w:rsidRPr="00034E9B">
        <w:rPr>
          <w:lang w:val="en-AU"/>
        </w:rPr>
        <w:t>Following consultations with States, the Commission further developed its view on the practicality principle, to make explicit the need for recommendations to be formulated and delivered in a way that is ‘fit for purpose’ for State budget processes.</w:t>
      </w:r>
    </w:p>
    <w:p w14:paraId="4B492CC1" w14:textId="77777777" w:rsidR="009B4602" w:rsidRPr="00034E9B" w:rsidRDefault="009B4602" w:rsidP="00DC5A36">
      <w:pPr>
        <w:pStyle w:val="CGCParaNumber"/>
        <w:numPr>
          <w:ilvl w:val="0"/>
          <w:numId w:val="2"/>
        </w:numPr>
        <w:ind w:left="567" w:hanging="567"/>
        <w:rPr>
          <w:lang w:val="en-AU"/>
        </w:rPr>
      </w:pPr>
      <w:r w:rsidRPr="00034E9B">
        <w:rPr>
          <w:lang w:val="en-AU"/>
        </w:rPr>
        <w:t>All States identified the Commission’s recommended relativities as being a key component in the preparation of their budgets, including across the forward estimates. All States except Western Australia have said that they prefer fixed relativities that are:</w:t>
      </w:r>
    </w:p>
    <w:p w14:paraId="5146B7FC" w14:textId="60A3AA8C" w:rsidR="009B4602" w:rsidRPr="00034E9B" w:rsidRDefault="009B4602" w:rsidP="00DC5A36">
      <w:pPr>
        <w:pStyle w:val="CGCBullet1"/>
        <w:numPr>
          <w:ilvl w:val="0"/>
          <w:numId w:val="3"/>
        </w:numPr>
        <w:ind w:left="924" w:hanging="357"/>
      </w:pPr>
      <w:r w:rsidRPr="00034E9B">
        <w:t>available in February, prior to the presentation of State budgets (for the following financial year)</w:t>
      </w:r>
    </w:p>
    <w:p w14:paraId="210D3084" w14:textId="77777777" w:rsidR="009B4602" w:rsidRPr="00034E9B" w:rsidRDefault="009B4602" w:rsidP="00DC5A36">
      <w:pPr>
        <w:pStyle w:val="CGCBullet1"/>
        <w:numPr>
          <w:ilvl w:val="0"/>
          <w:numId w:val="3"/>
        </w:numPr>
        <w:ind w:left="924" w:hanging="357"/>
      </w:pPr>
      <w:r w:rsidRPr="00034E9B">
        <w:t xml:space="preserve">to the extent possible, predictable and reasonably stable over the period of the forward estimates. </w:t>
      </w:r>
    </w:p>
    <w:p w14:paraId="120AF5FF" w14:textId="77777777" w:rsidR="009B4602" w:rsidRPr="00034E9B" w:rsidRDefault="009B4602" w:rsidP="00DC5A36">
      <w:pPr>
        <w:pStyle w:val="CGCParaNumber"/>
        <w:numPr>
          <w:ilvl w:val="0"/>
          <w:numId w:val="2"/>
        </w:numPr>
        <w:ind w:left="567" w:hanging="567"/>
        <w:rPr>
          <w:lang w:val="en-AU"/>
        </w:rPr>
      </w:pPr>
      <w:r w:rsidRPr="00034E9B">
        <w:rPr>
          <w:lang w:val="en-AU"/>
        </w:rPr>
        <w:lastRenderedPageBreak/>
        <w:t>These States seek to minimise forecasting errors across the forward years, which could be greater if relativities are based on a narrower assessment window,</w:t>
      </w:r>
      <w:r w:rsidRPr="00034E9B">
        <w:rPr>
          <w:szCs w:val="20"/>
          <w:vertAlign w:val="superscript"/>
          <w:lang w:val="en-AU"/>
        </w:rPr>
        <w:footnoteReference w:id="42"/>
      </w:r>
      <w:r w:rsidRPr="00034E9B">
        <w:rPr>
          <w:lang w:val="en-AU"/>
        </w:rPr>
        <w:t xml:space="preserve"> or are based upon forecasts and estimates which are subject to correction. While the Commission does not consider that stability or predictability are necessarily essential to achieving HFE, it recognises these considerations are of some practical relevance in its choice of methods, through their effect on State budget processes.</w:t>
      </w:r>
    </w:p>
    <w:p w14:paraId="498BFA66" w14:textId="77777777" w:rsidR="009B4602" w:rsidRPr="00034E9B" w:rsidRDefault="009B4602" w:rsidP="00DC5A36">
      <w:pPr>
        <w:pStyle w:val="CGCParaNumber"/>
        <w:numPr>
          <w:ilvl w:val="0"/>
          <w:numId w:val="2"/>
        </w:numPr>
        <w:ind w:left="567" w:hanging="567"/>
        <w:rPr>
          <w:lang w:val="en-AU"/>
        </w:rPr>
      </w:pPr>
      <w:r w:rsidRPr="00034E9B">
        <w:rPr>
          <w:lang w:val="en-AU"/>
        </w:rPr>
        <w:t>In contrast, as a State subject to considerable volatility in own-source revenue (which in turn affects its fiscal capacity), Western Australia would prefer GST revenue outcomes that are much more contemporaneous, to offset movements in its own-source revenues, leading to greater stability in its overall revenues. It regards the lag arising from the historical assessment window as creating difficulty for its budget processes.</w:t>
      </w:r>
      <w:r w:rsidRPr="00034E9B">
        <w:rPr>
          <w:szCs w:val="20"/>
          <w:vertAlign w:val="superscript"/>
          <w:lang w:val="en-AU"/>
        </w:rPr>
        <w:footnoteReference w:id="43"/>
      </w:r>
      <w:r w:rsidRPr="00034E9B">
        <w:rPr>
          <w:lang w:val="en-AU"/>
        </w:rPr>
        <w:t xml:space="preserve"> Western Australia supported the use of forecasts followed by a correction in the following year to reflect outcomes. In setting out this view, Western Australia has advocated a radical change to current assessment methods more generally. The following section on contemporaneity addresses these issues. Alternatively, Western Australia proposed adopting capacity measures that are unaffected by cyclical or transient factors. This appears to be a reference to using broader indicators. As noted previously, the Commission would only consider adopting broader indicators if they were a more reliable indicator of State capacity to raise revenue or service delivery costs than any alternative approach.</w:t>
      </w:r>
    </w:p>
    <w:p w14:paraId="1A11EED4" w14:textId="77777777" w:rsidR="009B4602" w:rsidRPr="00034E9B" w:rsidRDefault="009B4602" w:rsidP="00DC5A36">
      <w:pPr>
        <w:pStyle w:val="CGCParaNumber"/>
        <w:numPr>
          <w:ilvl w:val="0"/>
          <w:numId w:val="2"/>
        </w:numPr>
        <w:ind w:left="567" w:hanging="567"/>
        <w:rPr>
          <w:lang w:val="en-AU"/>
        </w:rPr>
      </w:pPr>
      <w:r w:rsidRPr="00034E9B">
        <w:rPr>
          <w:lang w:val="en-AU"/>
        </w:rPr>
        <w:t xml:space="preserve">The Commission provides detailed reports during a review that explain reasons for decisions, assessment approaches and outcomes. The update reports explain the main sources of change each year in State fiscal capacities and decisions on new issues following State consultation. All this information is publicly available on the </w:t>
      </w:r>
      <w:hyperlink r:id="rId29" w:history="1">
        <w:r w:rsidRPr="00034E9B">
          <w:rPr>
            <w:rStyle w:val="Hyperlink"/>
            <w:lang w:val="en-AU"/>
          </w:rPr>
          <w:t>Commission website</w:t>
        </w:r>
      </w:hyperlink>
      <w:r w:rsidRPr="00034E9B">
        <w:rPr>
          <w:lang w:val="en-AU"/>
        </w:rPr>
        <w:t xml:space="preserve"> (https://cgc.gov.au/). The Commission and its staff continue to work with stakeholders to increase accessibility and understanding. </w:t>
      </w:r>
    </w:p>
    <w:p w14:paraId="3D03F157" w14:textId="77777777" w:rsidR="009B4602" w:rsidRPr="00034E9B" w:rsidRDefault="009B4602" w:rsidP="00DC5A36">
      <w:pPr>
        <w:pStyle w:val="CGCParaNumber"/>
        <w:numPr>
          <w:ilvl w:val="0"/>
          <w:numId w:val="2"/>
        </w:numPr>
        <w:ind w:left="567" w:hanging="567"/>
        <w:rPr>
          <w:lang w:val="en-AU"/>
        </w:rPr>
      </w:pPr>
      <w:r w:rsidRPr="00034E9B">
        <w:rPr>
          <w:lang w:val="en-AU"/>
        </w:rPr>
        <w:t>Most States support the Commission’s practicality principle.</w:t>
      </w:r>
    </w:p>
    <w:p w14:paraId="5B4E6488" w14:textId="77777777" w:rsidR="009B4602" w:rsidRPr="00034E9B" w:rsidRDefault="009B4602" w:rsidP="00B80D74">
      <w:pPr>
        <w:pStyle w:val="Heading4"/>
      </w:pPr>
      <w:bookmarkStart w:id="109" w:name="_Toc493766178"/>
      <w:bookmarkStart w:id="110" w:name="_Toc493766526"/>
      <w:bookmarkStart w:id="111" w:name="_Toc7003291"/>
      <w:bookmarkStart w:id="112" w:name="_Toc7004000"/>
      <w:bookmarkStart w:id="113" w:name="_Toc26890318"/>
      <w:r w:rsidRPr="00034E9B">
        <w:t>Contemporaneity</w:t>
      </w:r>
      <w:bookmarkEnd w:id="109"/>
      <w:bookmarkEnd w:id="110"/>
      <w:bookmarkEnd w:id="111"/>
      <w:bookmarkEnd w:id="112"/>
      <w:bookmarkEnd w:id="113"/>
    </w:p>
    <w:p w14:paraId="69738BA6" w14:textId="77777777" w:rsidR="009B4602" w:rsidRPr="00034E9B" w:rsidRDefault="009B4602" w:rsidP="00DC5A36">
      <w:pPr>
        <w:pStyle w:val="CGCParaNumber"/>
        <w:numPr>
          <w:ilvl w:val="0"/>
          <w:numId w:val="2"/>
        </w:numPr>
        <w:ind w:left="567" w:hanging="567"/>
        <w:rPr>
          <w:lang w:val="en-AU"/>
        </w:rPr>
      </w:pPr>
      <w:r w:rsidRPr="00034E9B">
        <w:rPr>
          <w:lang w:val="en-AU"/>
        </w:rPr>
        <w:t>The terms of reference ask the Commission to provide relativities for distributing GST revenue in an application year (the year in which its recommended relativities are applied).</w:t>
      </w:r>
      <w:r w:rsidRPr="00034E9B">
        <w:rPr>
          <w:szCs w:val="20"/>
          <w:vertAlign w:val="superscript"/>
          <w:lang w:val="en-AU"/>
        </w:rPr>
        <w:footnoteReference w:id="44"/>
      </w:r>
      <w:r w:rsidRPr="00034E9B">
        <w:rPr>
          <w:lang w:val="en-AU"/>
        </w:rPr>
        <w:t xml:space="preserve"> The Commission interprets this to mean recommending relativities appropriate to equalising State fiscal capacities in the application year.</w:t>
      </w:r>
    </w:p>
    <w:p w14:paraId="10C13BC5" w14:textId="77777777" w:rsidR="009B4602" w:rsidRPr="00034E9B" w:rsidRDefault="009B4602" w:rsidP="00DC5A36">
      <w:pPr>
        <w:pStyle w:val="CGCParaNumber"/>
        <w:numPr>
          <w:ilvl w:val="0"/>
          <w:numId w:val="2"/>
        </w:numPr>
        <w:ind w:left="567" w:hanging="567"/>
        <w:rPr>
          <w:lang w:val="en-AU"/>
        </w:rPr>
      </w:pPr>
      <w:r w:rsidRPr="00034E9B">
        <w:rPr>
          <w:lang w:val="en-AU"/>
        </w:rPr>
        <w:t xml:space="preserve">Currently, the Commission expresses its recommendations in the form of relativities. The new legislation requires the Commission to continue to present the outcomes of its work in this way. The effect of applying relativities (based upon the assessment window) to the application year is that State GST requirements are inflated by the growth in GST revenue between the assessment window and the application year. </w:t>
      </w:r>
    </w:p>
    <w:p w14:paraId="601EAD96" w14:textId="77777777" w:rsidR="009B4602" w:rsidRPr="00034E9B" w:rsidRDefault="009B4602" w:rsidP="00DC5A36">
      <w:pPr>
        <w:pStyle w:val="CGCParaNumber"/>
        <w:numPr>
          <w:ilvl w:val="0"/>
          <w:numId w:val="2"/>
        </w:numPr>
        <w:ind w:left="567" w:hanging="567"/>
        <w:rPr>
          <w:lang w:val="en-AU"/>
        </w:rPr>
      </w:pPr>
      <w:r w:rsidRPr="00034E9B">
        <w:rPr>
          <w:lang w:val="en-AU"/>
        </w:rPr>
        <w:lastRenderedPageBreak/>
        <w:t>A fully contemporaneous approach would equalise State fiscal capacities in the application year. However, implementing this approach would require application year data, which are not available in a robust, tested way until the application year has passed.</w:t>
      </w:r>
      <w:r w:rsidRPr="00034E9B">
        <w:rPr>
          <w:vertAlign w:val="superscript"/>
          <w:lang w:val="en-AU"/>
        </w:rPr>
        <w:footnoteReference w:id="45"/>
      </w:r>
      <w:r w:rsidRPr="00034E9B">
        <w:rPr>
          <w:lang w:val="en-AU"/>
        </w:rPr>
        <w:t xml:space="preserve"> In the absence of such data, past Commissions have based recommendations on historical data. This provides a result that is reasonably appropriate for the application year, notwithstanding that it entails a lagged recognition of changes in State circumstances.</w:t>
      </w:r>
    </w:p>
    <w:p w14:paraId="13F6361A" w14:textId="77777777" w:rsidR="009B4602" w:rsidRPr="00034E9B" w:rsidRDefault="009B4602" w:rsidP="00DC5A36">
      <w:pPr>
        <w:pStyle w:val="CGCParaNumber"/>
        <w:numPr>
          <w:ilvl w:val="0"/>
          <w:numId w:val="2"/>
        </w:numPr>
        <w:ind w:left="567" w:hanging="567"/>
        <w:rPr>
          <w:lang w:val="en-AU"/>
        </w:rPr>
      </w:pPr>
      <w:r w:rsidRPr="00034E9B">
        <w:rPr>
          <w:lang w:val="en-AU"/>
        </w:rPr>
        <w:t>Since the 2010 Review, the assessment window has been the most recent three years for which reliable data are available. In this review, the Commission considered a range of alternative approaches. These have ranged from continuing to use historical data while reducing the gap between assessment and application years (by narrowing the assessment window from three years to one or two years), to treating volatile revenues by absorption, or by using forecasts of conditions in the application year.</w:t>
      </w:r>
      <w:r w:rsidRPr="00034E9B">
        <w:rPr>
          <w:szCs w:val="20"/>
          <w:vertAlign w:val="superscript"/>
          <w:lang w:val="en-AU"/>
        </w:rPr>
        <w:footnoteReference w:id="46"/>
      </w:r>
      <w:r w:rsidRPr="00034E9B">
        <w:rPr>
          <w:szCs w:val="20"/>
          <w:vertAlign w:val="superscript"/>
          <w:lang w:val="en-AU"/>
        </w:rPr>
        <w:t>,</w:t>
      </w:r>
      <w:r w:rsidRPr="00034E9B">
        <w:rPr>
          <w:szCs w:val="20"/>
          <w:vertAlign w:val="superscript"/>
          <w:lang w:val="en-AU"/>
        </w:rPr>
        <w:footnoteReference w:id="47"/>
      </w:r>
    </w:p>
    <w:p w14:paraId="6786386B" w14:textId="0FD9B304" w:rsidR="009B4602" w:rsidRPr="00034E9B" w:rsidRDefault="009B4602" w:rsidP="00DC5A36">
      <w:pPr>
        <w:pStyle w:val="CGCParaNumber"/>
        <w:numPr>
          <w:ilvl w:val="0"/>
          <w:numId w:val="2"/>
        </w:numPr>
        <w:ind w:left="567" w:hanging="567"/>
        <w:rPr>
          <w:lang w:val="en-AU"/>
        </w:rPr>
      </w:pPr>
      <w:r w:rsidRPr="00034E9B">
        <w:rPr>
          <w:lang w:val="en-AU"/>
        </w:rPr>
        <w:t>The Commission prefers not to use estimates or forecasts of revenues and expenditure in the application year because they are not sufficiently reliable. Historically, errors in forecasts have at times been large, particularly for volatile revenues. The Commission’s view is that an approach using such unreliable data raises a range of issues, including that it would almost certainly require consequent GST adjustments in future to compensate for errors. This ex</w:t>
      </w:r>
      <w:r w:rsidR="006D7420">
        <w:rPr>
          <w:lang w:val="en-AU"/>
        </w:rPr>
        <w:noBreakHyphen/>
      </w:r>
      <w:r w:rsidRPr="00034E9B">
        <w:rPr>
          <w:lang w:val="en-AU"/>
        </w:rPr>
        <w:t>post correction could, of itself, undermine the contemporaneity of GST distributions in future years. Most States expressed concerns that the use of forecasts would merely introduce unwarranted complexity, uncertainty and volatility. The Commission noted an approach using forecasts with subsequent adjustments would add to the complexity of the new arrangements.</w:t>
      </w:r>
    </w:p>
    <w:p w14:paraId="232F4AD2" w14:textId="77777777" w:rsidR="009B4602" w:rsidRPr="00034E9B" w:rsidRDefault="009B4602" w:rsidP="00DC5A36">
      <w:pPr>
        <w:pStyle w:val="CGCParaNumber"/>
        <w:numPr>
          <w:ilvl w:val="0"/>
          <w:numId w:val="2"/>
        </w:numPr>
        <w:ind w:left="567" w:hanging="567"/>
        <w:rPr>
          <w:lang w:val="en-AU"/>
        </w:rPr>
      </w:pPr>
      <w:r w:rsidRPr="00034E9B">
        <w:rPr>
          <w:lang w:val="en-AU"/>
        </w:rPr>
        <w:t>All States that commented on this issue, except Western Australia, said they supported the Commission’s current approach to contemporaneity. Western Australia supported a distribution more reflective of current budget circumstances to improve public transparency, aid budget management and mitigate the risks from volatility for an outlier State. It said the Commission could achieve contemporaneity, without volatility, by adopting policy neutral indicators of long-term revenue capacity. As a second best option, for achieving contemporaneity and stability for an outlier State, Western Australia supported the use of forecasts with ex-post corrections.</w:t>
      </w:r>
    </w:p>
    <w:p w14:paraId="68562DFB" w14:textId="4CEF041B" w:rsidR="009B4602" w:rsidRPr="00034E9B" w:rsidRDefault="009B4602" w:rsidP="00DC5A36">
      <w:pPr>
        <w:pStyle w:val="CGCParaNumber"/>
        <w:numPr>
          <w:ilvl w:val="0"/>
          <w:numId w:val="2"/>
        </w:numPr>
        <w:ind w:left="567" w:hanging="567"/>
        <w:rPr>
          <w:lang w:val="en-AU"/>
        </w:rPr>
      </w:pPr>
      <w:r w:rsidRPr="00034E9B">
        <w:rPr>
          <w:lang w:val="en-AU"/>
        </w:rPr>
        <w:t>The Commission’s view is that for this review it will continue to maintain the established approach, which uses the most recent three years for which reliable data are available, with each year receiving an equal weighting. The Commission acknowledges that it is possible to achieve HFE with a narrower assessment window; however, the current approach provides an appropriate balance between contemporaneity, stability and predictability. The Commission understands that stability of the GST distribution was a consideration in the design of the new HFE system.</w:t>
      </w:r>
    </w:p>
    <w:p w14:paraId="4D2EF244" w14:textId="7C104C17" w:rsidR="009B4602" w:rsidRPr="00034E9B" w:rsidRDefault="009B4602" w:rsidP="00990C62">
      <w:pPr>
        <w:pStyle w:val="CGCParaNumber"/>
        <w:keepNext/>
        <w:keepLines/>
        <w:numPr>
          <w:ilvl w:val="0"/>
          <w:numId w:val="2"/>
        </w:numPr>
        <w:ind w:left="567" w:hanging="567"/>
        <w:rPr>
          <w:lang w:val="en-AU"/>
        </w:rPr>
      </w:pPr>
      <w:r w:rsidRPr="00034E9B">
        <w:rPr>
          <w:lang w:val="en-AU"/>
        </w:rPr>
        <w:lastRenderedPageBreak/>
        <w:t>Western Australia said the Commission should quantify the differences arising from the use of lagged data. The Commission addressed this matter during the 2015 Review in response to a special request from the Treasurer.</w:t>
      </w:r>
      <w:r w:rsidRPr="00034E9B">
        <w:rPr>
          <w:vertAlign w:val="superscript"/>
          <w:lang w:val="en-AU"/>
        </w:rPr>
        <w:footnoteReference w:id="48"/>
      </w:r>
      <w:r w:rsidRPr="00034E9B">
        <w:rPr>
          <w:lang w:val="en-AU"/>
        </w:rPr>
        <w:t xml:space="preserve"> At that time, the Commission estimated that, compared with using lagged data, Western Australia had received most likely about $7 billion more over a six year period than under a fully contemporaneous approach. Updated data relating to this point are presented in Chapter 1</w:t>
      </w:r>
      <w:r w:rsidR="00370E6C">
        <w:rPr>
          <w:lang w:val="en-AU"/>
        </w:rPr>
        <w:t>,</w:t>
      </w:r>
      <w:r w:rsidRPr="00034E9B">
        <w:rPr>
          <w:lang w:val="en-AU"/>
        </w:rPr>
        <w:t xml:space="preserve"> Volume</w:t>
      </w:r>
      <w:r w:rsidR="00370E6C">
        <w:rPr>
          <w:lang w:val="en-AU"/>
        </w:rPr>
        <w:t xml:space="preserve"> 2</w:t>
      </w:r>
      <w:r w:rsidRPr="00034E9B">
        <w:rPr>
          <w:lang w:val="en-AU"/>
        </w:rPr>
        <w:t>. Staff discussion paper CGC</w:t>
      </w:r>
      <w:r w:rsidRPr="00034E9B">
        <w:rPr>
          <w:lang w:val="en-AU"/>
        </w:rPr>
        <w:noBreakHyphen/>
        <w:t>2017</w:t>
      </w:r>
      <w:r w:rsidRPr="00034E9B">
        <w:rPr>
          <w:lang w:val="en-AU"/>
        </w:rPr>
        <w:noBreakHyphen/>
        <w:t>05</w:t>
      </w:r>
      <w:r w:rsidRPr="00034E9B">
        <w:rPr>
          <w:lang w:val="en-AU"/>
        </w:rPr>
        <w:noBreakHyphen/>
        <w:t>S also provides information about the scale of discrepancies, or ‘gaps’, arising from the lack of contemporaneity.</w:t>
      </w:r>
      <w:r w:rsidRPr="00034E9B">
        <w:rPr>
          <w:vertAlign w:val="superscript"/>
          <w:lang w:val="en-AU"/>
        </w:rPr>
        <w:footnoteReference w:id="49"/>
      </w:r>
      <w:r w:rsidRPr="00034E9B">
        <w:rPr>
          <w:lang w:val="en-AU"/>
        </w:rPr>
        <w:t xml:space="preserve"> </w:t>
      </w:r>
    </w:p>
    <w:p w14:paraId="1D10ECC1" w14:textId="77777777" w:rsidR="009B4602" w:rsidRPr="00034E9B" w:rsidRDefault="009B4602" w:rsidP="00B80D74">
      <w:pPr>
        <w:pStyle w:val="Heading5"/>
      </w:pPr>
      <w:bookmarkStart w:id="114" w:name="_Toc493766184"/>
      <w:bookmarkStart w:id="115" w:name="_Toc493766532"/>
      <w:bookmarkStart w:id="116" w:name="_Toc493766179"/>
      <w:bookmarkStart w:id="117" w:name="_Toc493766527"/>
      <w:r w:rsidRPr="00034E9B">
        <w:t>Backcasting</w:t>
      </w:r>
      <w:bookmarkEnd w:id="114"/>
      <w:bookmarkEnd w:id="115"/>
    </w:p>
    <w:p w14:paraId="2D57579F" w14:textId="77777777" w:rsidR="009B4602" w:rsidRPr="00034E9B" w:rsidRDefault="009B4602" w:rsidP="00DC5A36">
      <w:pPr>
        <w:pStyle w:val="CGCParaNumber"/>
        <w:numPr>
          <w:ilvl w:val="0"/>
          <w:numId w:val="2"/>
        </w:numPr>
        <w:ind w:left="567" w:hanging="567"/>
        <w:rPr>
          <w:lang w:val="en-AU"/>
        </w:rPr>
      </w:pPr>
      <w:r w:rsidRPr="00034E9B">
        <w:rPr>
          <w:lang w:val="en-AU"/>
        </w:rPr>
        <w:t>If there are major changes in federal financial relations between the assessment years and the application year, the Commission ‘backcasts’ the new arrangements, unless the terms of reference direct the Commission not to or it cannot be done reliably. This makes the relativities more contemporary by ensuring they better reflect the range, level and interstate allocation of Commonwealth payments that will exist in the application year.</w:t>
      </w:r>
    </w:p>
    <w:p w14:paraId="0AC92863" w14:textId="77777777" w:rsidR="009B4602" w:rsidRPr="00034E9B" w:rsidRDefault="009B4602" w:rsidP="00DC5A36">
      <w:pPr>
        <w:pStyle w:val="CGCParaNumber"/>
        <w:numPr>
          <w:ilvl w:val="0"/>
          <w:numId w:val="2"/>
        </w:numPr>
        <w:ind w:left="567" w:hanging="567"/>
        <w:rPr>
          <w:lang w:val="en-AU"/>
        </w:rPr>
      </w:pPr>
      <w:r w:rsidRPr="00034E9B">
        <w:rPr>
          <w:lang w:val="en-AU"/>
        </w:rPr>
        <w:t xml:space="preserve">Most States supported backcasting major changes in federal financial relations, but only if the information and data used for backcasting are reliable. The ACT suggested the Commission backcast all Commonwealth payments to improve contemporaneity. </w:t>
      </w:r>
    </w:p>
    <w:p w14:paraId="621F053A" w14:textId="77777777" w:rsidR="009B4602" w:rsidRPr="00034E9B" w:rsidRDefault="009B4602" w:rsidP="00DC5A36">
      <w:pPr>
        <w:pStyle w:val="CGCParaNumber"/>
        <w:numPr>
          <w:ilvl w:val="0"/>
          <w:numId w:val="2"/>
        </w:numPr>
        <w:ind w:left="567" w:hanging="567"/>
        <w:rPr>
          <w:lang w:val="en-AU"/>
        </w:rPr>
      </w:pPr>
      <w:r w:rsidRPr="00034E9B">
        <w:rPr>
          <w:lang w:val="en-AU"/>
        </w:rPr>
        <w:t>The Commission does not support backcasting all Commonwealth payments. The estimated amounts for forward years published in the Commonwealth’s budget papers are not certain to eventuate and sometimes not available when a new agreement is under negotiation.</w:t>
      </w:r>
    </w:p>
    <w:p w14:paraId="5B1862CD" w14:textId="77777777" w:rsidR="009B4602" w:rsidRPr="00034E9B" w:rsidRDefault="009B4602" w:rsidP="00DC5A36">
      <w:pPr>
        <w:pStyle w:val="CGCParaNumber"/>
        <w:numPr>
          <w:ilvl w:val="0"/>
          <w:numId w:val="2"/>
        </w:numPr>
        <w:ind w:left="567" w:hanging="567"/>
        <w:rPr>
          <w:lang w:val="en-AU"/>
        </w:rPr>
      </w:pPr>
      <w:r w:rsidRPr="00034E9B">
        <w:rPr>
          <w:lang w:val="en-AU"/>
        </w:rPr>
        <w:t xml:space="preserve">The Commission will continue to backcast payments that are major changes in federal financial relations, only if the information and data available for backcasting are reliable. The Commission is currently backcasting State shares of spending on the NDIS and other disability services, and the National Disability SPP. </w:t>
      </w:r>
    </w:p>
    <w:p w14:paraId="51933F6B" w14:textId="77777777" w:rsidR="009B4602" w:rsidRPr="00034E9B" w:rsidRDefault="009B4602" w:rsidP="00B80D74">
      <w:pPr>
        <w:pStyle w:val="Heading4"/>
      </w:pPr>
      <w:bookmarkStart w:id="118" w:name="_Toc7003292"/>
      <w:bookmarkStart w:id="119" w:name="_Toc7004001"/>
      <w:bookmarkStart w:id="120" w:name="_Toc26890319"/>
      <w:bookmarkEnd w:id="116"/>
      <w:bookmarkEnd w:id="117"/>
      <w:r w:rsidRPr="00034E9B">
        <w:t>Applying the supporting principles</w:t>
      </w:r>
      <w:bookmarkEnd w:id="118"/>
      <w:bookmarkEnd w:id="119"/>
      <w:bookmarkEnd w:id="120"/>
    </w:p>
    <w:p w14:paraId="18F4C9C2" w14:textId="77777777" w:rsidR="009B4602" w:rsidRPr="00034E9B" w:rsidRDefault="009B4602" w:rsidP="00DC5A36">
      <w:pPr>
        <w:pStyle w:val="CGCParaNumber"/>
        <w:numPr>
          <w:ilvl w:val="0"/>
          <w:numId w:val="2"/>
        </w:numPr>
        <w:ind w:left="567" w:hanging="567"/>
        <w:rPr>
          <w:lang w:val="en-AU"/>
        </w:rPr>
      </w:pPr>
      <w:r w:rsidRPr="00034E9B">
        <w:rPr>
          <w:lang w:val="en-AU"/>
        </w:rPr>
        <w:t>In general, wherever data are adequate, the Commission adopts methods that are readily understood and reproducible. However, the areas of difference between the States are not always sufficiently clear-cut and the data to measure these differences not always sufficiently reliable. This means that judgments on what constitutes the best equalisation outcome continue to be necessary. The Commission seeks to make its judgments as consistent and understandable as possible, and rejects suggestions that its judgments are arbitrary or inexplicable. Such complaints often reflect that the critic would prefer a different outcome to that reached by the Commission.</w:t>
      </w:r>
    </w:p>
    <w:p w14:paraId="01ECE1CF" w14:textId="77777777" w:rsidR="009B4602" w:rsidRPr="00034E9B" w:rsidRDefault="009B4602" w:rsidP="00DC5A36">
      <w:pPr>
        <w:pStyle w:val="CGCParaNumber"/>
        <w:numPr>
          <w:ilvl w:val="0"/>
          <w:numId w:val="2"/>
        </w:numPr>
        <w:ind w:left="567" w:hanging="567"/>
        <w:rPr>
          <w:lang w:val="en-AU"/>
        </w:rPr>
      </w:pPr>
      <w:r w:rsidRPr="00034E9B">
        <w:rPr>
          <w:lang w:val="en-AU"/>
        </w:rPr>
        <w:t>Ideally, all methods would embody the attributes of all the supporting principles. In practice, the Commission often has to evaluate alternative methods that embody mixtures of these principles and has to decide trade-offs between them — for example, between methods that capture what States do and methods that are policy neutral.</w:t>
      </w:r>
    </w:p>
    <w:p w14:paraId="779F7CDD" w14:textId="77777777" w:rsidR="009B4602" w:rsidRPr="00034E9B" w:rsidRDefault="009B4602" w:rsidP="00990C62">
      <w:pPr>
        <w:pStyle w:val="CGCParaNumber"/>
        <w:keepNext/>
        <w:keepLines/>
        <w:numPr>
          <w:ilvl w:val="0"/>
          <w:numId w:val="2"/>
        </w:numPr>
        <w:ind w:left="567" w:hanging="567"/>
        <w:rPr>
          <w:lang w:val="en-AU"/>
        </w:rPr>
      </w:pPr>
      <w:r w:rsidRPr="00034E9B">
        <w:rPr>
          <w:lang w:val="en-AU"/>
        </w:rPr>
        <w:lastRenderedPageBreak/>
        <w:t>As in past reviews, as circumstances require, the Commission has no practical alternative but to reserve the right to exercise its own judgment on how best to measure State fiscal capacities based upon the principle of HFE. The Commission does not think that the impracticality of giving full weight to all supporting principles in every situation is an argument, as some States suggested, for diverging from HFE.</w:t>
      </w:r>
    </w:p>
    <w:p w14:paraId="3C86331B" w14:textId="77777777" w:rsidR="009B4602" w:rsidRPr="00034E9B" w:rsidRDefault="009B4602" w:rsidP="00DC5A36">
      <w:pPr>
        <w:pStyle w:val="CGCParaNumber"/>
        <w:numPr>
          <w:ilvl w:val="0"/>
          <w:numId w:val="2"/>
        </w:numPr>
        <w:ind w:left="567" w:hanging="567"/>
        <w:rPr>
          <w:lang w:val="en-AU"/>
        </w:rPr>
      </w:pPr>
      <w:r w:rsidRPr="00034E9B">
        <w:rPr>
          <w:lang w:val="en-AU"/>
        </w:rPr>
        <w:t>The Commission’s approach is to develop methods that achieve HFE, balancing the principles to guide it among alternative methods. For example, the weighted average approach to determining revenue and expenditure standards incorporates aspects of all the supporting principles:</w:t>
      </w:r>
    </w:p>
    <w:p w14:paraId="0363774B" w14:textId="77777777" w:rsidR="009B4602" w:rsidRPr="00034E9B" w:rsidRDefault="009B4602" w:rsidP="00DC5A36">
      <w:pPr>
        <w:pStyle w:val="CGCBullet1"/>
        <w:numPr>
          <w:ilvl w:val="0"/>
          <w:numId w:val="3"/>
        </w:numPr>
        <w:ind w:left="924" w:hanging="357"/>
      </w:pPr>
      <w:r w:rsidRPr="00034E9B">
        <w:t>what States do — the standards reflect the actual revenue raising or spending practices collectively of the States, with each State contributing on the basis of its weight in the tax or spending base</w:t>
      </w:r>
    </w:p>
    <w:p w14:paraId="19E41B9D" w14:textId="77777777" w:rsidR="009B4602" w:rsidRPr="00034E9B" w:rsidRDefault="009B4602" w:rsidP="00DC5A36">
      <w:pPr>
        <w:pStyle w:val="CGCBullet1"/>
        <w:numPr>
          <w:ilvl w:val="0"/>
          <w:numId w:val="3"/>
        </w:numPr>
        <w:ind w:left="924" w:hanging="357"/>
      </w:pPr>
      <w:r w:rsidRPr="00034E9B">
        <w:t>policy neutrality — the averaging process means that (in the vast majority of cases) no one State’s policy decisions directly drive the average revenue or expenses</w:t>
      </w:r>
    </w:p>
    <w:p w14:paraId="5F0425AF" w14:textId="77777777" w:rsidR="009B4602" w:rsidRPr="00034E9B" w:rsidRDefault="009B4602" w:rsidP="00DC5A36">
      <w:pPr>
        <w:pStyle w:val="CGCBullet1"/>
        <w:numPr>
          <w:ilvl w:val="0"/>
          <w:numId w:val="3"/>
        </w:numPr>
        <w:ind w:left="924" w:hanging="357"/>
      </w:pPr>
      <w:r w:rsidRPr="00034E9B">
        <w:t>practicality — reliable and comparable data on State revenue raising and spending practices are readily available when assessments are based on what States do</w:t>
      </w:r>
    </w:p>
    <w:p w14:paraId="3D2687A3" w14:textId="77777777" w:rsidR="009B4602" w:rsidRPr="00034E9B" w:rsidRDefault="009B4602" w:rsidP="00DC5A36">
      <w:pPr>
        <w:pStyle w:val="CGCBullet1"/>
        <w:numPr>
          <w:ilvl w:val="0"/>
          <w:numId w:val="3"/>
        </w:numPr>
        <w:ind w:left="924" w:hanging="357"/>
      </w:pPr>
      <w:r w:rsidRPr="00034E9B">
        <w:t>contemporaneity — the actual revenue and spending as revealed in the assessment window, and data for measuring disabilities, are those upon which assessments are based, and are updated each year.</w:t>
      </w:r>
    </w:p>
    <w:p w14:paraId="0A2E429F" w14:textId="77777777" w:rsidR="009B4602" w:rsidRPr="00034E9B" w:rsidRDefault="009B4602" w:rsidP="00DC5A36">
      <w:pPr>
        <w:pStyle w:val="CGCParaNumber"/>
        <w:numPr>
          <w:ilvl w:val="0"/>
          <w:numId w:val="2"/>
        </w:numPr>
        <w:ind w:left="567" w:hanging="567"/>
        <w:rPr>
          <w:lang w:val="en-AU"/>
        </w:rPr>
      </w:pPr>
      <w:r w:rsidRPr="00034E9B">
        <w:rPr>
          <w:lang w:val="en-AU"/>
        </w:rPr>
        <w:t>The Commission considers that the current supporting principles, together with the HFE objective itself, are sufficient to guide consideration of all relevant methodological issues and that the addition of further supporting principles, including those suggested by Western Australia, would not be operationally useful. Particular issues are as follows.</w:t>
      </w:r>
    </w:p>
    <w:p w14:paraId="2BBE8F67" w14:textId="225F2BA6" w:rsidR="009B4602" w:rsidRPr="00034E9B" w:rsidRDefault="009B4602" w:rsidP="00DC5A36">
      <w:pPr>
        <w:pStyle w:val="CGCBullet1"/>
        <w:numPr>
          <w:ilvl w:val="0"/>
          <w:numId w:val="3"/>
        </w:numPr>
        <w:ind w:left="924" w:hanging="357"/>
      </w:pPr>
      <w:r w:rsidRPr="00034E9B">
        <w:t>An equity principle incorporates elements of other existing supporting principles, such as policy neutrality, while a principle of conservatism appears likely to be interpreted as leading to partial equalisation. In both cases the Commission’s assessment guidelines (Chapter 3</w:t>
      </w:r>
      <w:r w:rsidR="00370E6C">
        <w:t>, Volume 2</w:t>
      </w:r>
      <w:r w:rsidRPr="00034E9B">
        <w:t>) act to ensure that disabilities are only recognised where a conceptual case exists and the effects of the disability can be measured using sufficiently reliable data.</w:t>
      </w:r>
    </w:p>
    <w:p w14:paraId="48901A64" w14:textId="77777777" w:rsidR="009B4602" w:rsidRPr="00034E9B" w:rsidRDefault="009B4602" w:rsidP="00DC5A36">
      <w:pPr>
        <w:pStyle w:val="CGCBullet1"/>
        <w:numPr>
          <w:ilvl w:val="0"/>
          <w:numId w:val="3"/>
        </w:numPr>
        <w:ind w:left="924" w:hanging="357"/>
      </w:pPr>
      <w:r w:rsidRPr="00034E9B">
        <w:t>Suggested accountability and transparency principles appear to relate more to processes or governance of the arrangements (of the Commission or of other bodies) rather than to guiding assessment methodologies to achieve HFE. As distinct issues, insofar as they relate to the Commission’s task, they are covered separately in the terms of reference. For example, in accordance with clause 3 of the terms of reference, the Commission regularly consults the Commonwealth and the States on its methods. Clause 7 directs the Commission to aim to have assessments that are simple and consistent with the quality and fitness for purpose of the available data, to use the latest available data consistent with this and to ensure robust quality assurance processes. Some matters (such as simplicity) referred to by Western Australia in suggesting these further principles may relate in part to assessment methods, but are already covered in the existing practicality principle.</w:t>
      </w:r>
    </w:p>
    <w:p w14:paraId="5B513C1A" w14:textId="77777777" w:rsidR="009B4602" w:rsidRPr="00034E9B" w:rsidRDefault="009B4602" w:rsidP="00990C62">
      <w:pPr>
        <w:pStyle w:val="CGCParaNumber"/>
        <w:keepNext/>
        <w:keepLines/>
        <w:numPr>
          <w:ilvl w:val="0"/>
          <w:numId w:val="2"/>
        </w:numPr>
        <w:ind w:left="567" w:hanging="567"/>
        <w:rPr>
          <w:lang w:val="en-AU"/>
        </w:rPr>
      </w:pPr>
      <w:r w:rsidRPr="00034E9B">
        <w:rPr>
          <w:lang w:val="en-AU"/>
        </w:rPr>
        <w:lastRenderedPageBreak/>
        <w:t>In the case of an EPC distribution, as proposed by New South Wales, the supporting principles are largely superfluous (perhaps other than contemporaneity). However, such a distribution does not meet HFE and so is not consistent with the Commission’s terms of reference, or the IGA.</w:t>
      </w:r>
      <w:r w:rsidRPr="00034E9B">
        <w:rPr>
          <w:szCs w:val="20"/>
          <w:vertAlign w:val="superscript"/>
          <w:lang w:val="en-AU"/>
        </w:rPr>
        <w:footnoteReference w:id="50"/>
      </w:r>
      <w:r w:rsidRPr="00034E9B">
        <w:rPr>
          <w:lang w:val="en-AU"/>
        </w:rPr>
        <w:t xml:space="preserve"> </w:t>
      </w:r>
    </w:p>
    <w:p w14:paraId="567BA01D" w14:textId="77777777" w:rsidR="009B4602" w:rsidRPr="00034E9B" w:rsidRDefault="009B4602" w:rsidP="00DC5A36">
      <w:pPr>
        <w:pStyle w:val="CGCParaNumber"/>
        <w:numPr>
          <w:ilvl w:val="0"/>
          <w:numId w:val="2"/>
        </w:numPr>
        <w:ind w:left="567" w:hanging="567"/>
        <w:rPr>
          <w:lang w:val="en-AU"/>
        </w:rPr>
      </w:pPr>
      <w:r w:rsidRPr="00034E9B">
        <w:rPr>
          <w:lang w:val="en-AU"/>
        </w:rPr>
        <w:t xml:space="preserve">Finally, a number of States raised issues relating to administrative arrangements or the Commission’s communication processes. These are not relevant to the supporting principles for interpreting HFE. The work of improving communication and accessibility is ongoing. </w:t>
      </w:r>
    </w:p>
    <w:p w14:paraId="5FBA5D3D" w14:textId="77777777" w:rsidR="009B4602" w:rsidRPr="00034E9B" w:rsidRDefault="009B4602" w:rsidP="00DC5A36">
      <w:pPr>
        <w:pStyle w:val="CGCParaNumber"/>
        <w:numPr>
          <w:ilvl w:val="0"/>
          <w:numId w:val="2"/>
        </w:numPr>
        <w:ind w:left="567" w:hanging="567"/>
        <w:rPr>
          <w:lang w:val="en-AU"/>
        </w:rPr>
      </w:pPr>
      <w:r w:rsidRPr="00034E9B">
        <w:rPr>
          <w:lang w:val="en-AU"/>
        </w:rPr>
        <w:t>The following chapter addresses specific implementation issues.</w:t>
      </w:r>
    </w:p>
    <w:p w14:paraId="0B97CBCC" w14:textId="77777777" w:rsidR="009B4602" w:rsidRPr="00034E9B" w:rsidRDefault="009B4602" w:rsidP="00B80D74"/>
    <w:p w14:paraId="0C88A75F" w14:textId="77777777" w:rsidR="00355FE4" w:rsidRPr="00034E9B" w:rsidRDefault="00355FE4" w:rsidP="00161EFB"/>
    <w:p w14:paraId="4D9D813A" w14:textId="6FAE4B38" w:rsidR="00355FE4" w:rsidRPr="00034E9B" w:rsidRDefault="00355FE4" w:rsidP="00161EFB">
      <w:pPr>
        <w:sectPr w:rsidR="00355FE4" w:rsidRPr="00034E9B" w:rsidSect="002659C2">
          <w:footerReference w:type="default" r:id="rId30"/>
          <w:footnotePr>
            <w:numRestart w:val="eachSect"/>
          </w:footnotePr>
          <w:pgSz w:w="11899" w:h="16838" w:code="9"/>
          <w:pgMar w:top="1418" w:right="1474" w:bottom="1418" w:left="1474" w:header="709" w:footer="567" w:gutter="0"/>
          <w:cols w:space="708"/>
          <w:titlePg/>
          <w:docGrid w:linePitch="299"/>
        </w:sectPr>
      </w:pPr>
    </w:p>
    <w:p w14:paraId="243A1E75" w14:textId="575C4B95" w:rsidR="00CA57AD" w:rsidRPr="00034E9B" w:rsidRDefault="00CA57AD" w:rsidP="00B80D74">
      <w:pPr>
        <w:pStyle w:val="Heading1"/>
      </w:pPr>
      <w:bookmarkStart w:id="121" w:name="_Toc33545893"/>
      <w:r w:rsidRPr="00034E9B">
        <w:lastRenderedPageBreak/>
        <w:t>3</w:t>
      </w:r>
      <w:bookmarkStart w:id="122" w:name="_Toc26890320"/>
      <w:r w:rsidRPr="00034E9B">
        <w:tab/>
        <w:t>Implementation issues and assessment guidelines</w:t>
      </w:r>
      <w:bookmarkEnd w:id="121"/>
      <w:bookmarkEnd w:id="122"/>
    </w:p>
    <w:p w14:paraId="64AF4425" w14:textId="77777777" w:rsidR="00CA57AD" w:rsidRPr="00034E9B" w:rsidRDefault="00CA57AD" w:rsidP="00DC5A36">
      <w:pPr>
        <w:pStyle w:val="CGCParaNumber"/>
        <w:numPr>
          <w:ilvl w:val="0"/>
          <w:numId w:val="22"/>
        </w:numPr>
        <w:ind w:left="567" w:hanging="567"/>
        <w:rPr>
          <w:szCs w:val="20"/>
          <w:lang w:val="en-AU"/>
        </w:rPr>
      </w:pPr>
      <w:bookmarkStart w:id="123" w:name="_Toc493766181"/>
      <w:bookmarkStart w:id="124" w:name="_Toc493766529"/>
      <w:bookmarkStart w:id="125" w:name="_Toc7003294"/>
      <w:bookmarkStart w:id="126" w:name="_Toc7004003"/>
      <w:r w:rsidRPr="00034E9B">
        <w:rPr>
          <w:lang w:val="en-AU"/>
        </w:rPr>
        <w:t>Since the 2010 Review, the Commission has used guidelines to assist in the implementation of HFE. The guidelines allow the Commission to give effect to the HFE objective having regard to the supporting principles. The Commission decided in this review to retain the assessment guidelines developed in the 2015 Review with some amendments to explain more clearly the Commission’s approach to discounting. The assessment guidelines for the 2020 Review are included in Box 3-1.</w:t>
      </w:r>
    </w:p>
    <w:p w14:paraId="32D630E2" w14:textId="77777777" w:rsidR="00CA57AD" w:rsidRPr="00034E9B" w:rsidRDefault="00CA57AD" w:rsidP="00DC5A36">
      <w:pPr>
        <w:pStyle w:val="CGCParaNumber"/>
        <w:numPr>
          <w:ilvl w:val="0"/>
          <w:numId w:val="2"/>
        </w:numPr>
        <w:ind w:left="567" w:hanging="567"/>
        <w:rPr>
          <w:lang w:val="en-AU"/>
        </w:rPr>
      </w:pPr>
      <w:r w:rsidRPr="00034E9B">
        <w:rPr>
          <w:lang w:val="en-AU"/>
        </w:rPr>
        <w:t>The guidelines also form a key part of the quality assurance (QA) process. They allow the Commission to be confident that all relevant steps in the decision-making process have been followed. They allow external parties to follow the Commission’s decision processes and to form conclusions about whether due process has been observed. This is important for ensuring transparency.</w:t>
      </w:r>
    </w:p>
    <w:p w14:paraId="5E1E2817" w14:textId="77777777" w:rsidR="00CA57AD" w:rsidRPr="00034E9B" w:rsidRDefault="00CA57AD" w:rsidP="00DC5A36">
      <w:pPr>
        <w:pStyle w:val="CGCParaNumber"/>
        <w:numPr>
          <w:ilvl w:val="0"/>
          <w:numId w:val="2"/>
        </w:numPr>
        <w:ind w:left="567" w:hanging="567"/>
        <w:rPr>
          <w:lang w:val="en-AU"/>
        </w:rPr>
      </w:pPr>
      <w:r w:rsidRPr="00034E9B">
        <w:rPr>
          <w:lang w:val="en-AU"/>
        </w:rPr>
        <w:t>The guidelines cover the following implementation processes:</w:t>
      </w:r>
    </w:p>
    <w:p w14:paraId="45F4D9F7" w14:textId="77777777" w:rsidR="00CA57AD" w:rsidRPr="00034E9B" w:rsidRDefault="00CA57AD" w:rsidP="00DC5A36">
      <w:pPr>
        <w:pStyle w:val="CGCBullet1"/>
        <w:numPr>
          <w:ilvl w:val="0"/>
          <w:numId w:val="3"/>
        </w:numPr>
        <w:ind w:left="924" w:hanging="357"/>
      </w:pPr>
      <w:r w:rsidRPr="00034E9B">
        <w:t>the steps for establishing and measuring disabilities</w:t>
      </w:r>
    </w:p>
    <w:p w14:paraId="5D5AA9E0" w14:textId="77777777" w:rsidR="00CA57AD" w:rsidRPr="00034E9B" w:rsidRDefault="00CA57AD" w:rsidP="00DC5A36">
      <w:pPr>
        <w:pStyle w:val="CGCBullet1"/>
        <w:numPr>
          <w:ilvl w:val="0"/>
          <w:numId w:val="3"/>
        </w:numPr>
        <w:ind w:left="924" w:hanging="357"/>
      </w:pPr>
      <w:r w:rsidRPr="00034E9B">
        <w:t>when and how discounting decisions are made and applied</w:t>
      </w:r>
    </w:p>
    <w:p w14:paraId="7A33EBB6" w14:textId="77777777" w:rsidR="00CA57AD" w:rsidRPr="00034E9B" w:rsidRDefault="00CA57AD" w:rsidP="00DC5A36">
      <w:pPr>
        <w:pStyle w:val="CGCBullet1"/>
        <w:numPr>
          <w:ilvl w:val="0"/>
          <w:numId w:val="3"/>
        </w:numPr>
        <w:ind w:left="924" w:hanging="357"/>
      </w:pPr>
      <w:r w:rsidRPr="00034E9B">
        <w:t>the materiality threshold for recognising a disability and making a data adjustment.</w:t>
      </w:r>
    </w:p>
    <w:p w14:paraId="34E69031" w14:textId="77777777" w:rsidR="00CA57AD" w:rsidRPr="00034E9B" w:rsidRDefault="00CA57AD" w:rsidP="00DC5A36">
      <w:pPr>
        <w:pStyle w:val="CGCParaNumber"/>
        <w:numPr>
          <w:ilvl w:val="0"/>
          <w:numId w:val="2"/>
        </w:numPr>
        <w:ind w:left="567" w:hanging="567"/>
        <w:rPr>
          <w:lang w:val="en-AU"/>
        </w:rPr>
      </w:pPr>
      <w:r w:rsidRPr="00034E9B">
        <w:rPr>
          <w:lang w:val="en-AU"/>
        </w:rPr>
        <w:t xml:space="preserve">The guidelines inform the Commission’s decision-making processes. However, it retains the right to exercise judgment if its best endeavours to build a reliable assessment do not lead to an outcome consistent with its observations and understanding of State circumstances. Where the Commission deviates from the guidelines, it will aim to explain clearly its reasoning. The Commission notes the views expressed by some States that it could improve the way it documents its deliberations and decisions by providing additional information on how it applies the supporting principles to reach conclusions for individual assessments including discounting decisions. The Commission consistently endeavours to provide clear documentation of its decision-making processes. </w:t>
      </w:r>
    </w:p>
    <w:p w14:paraId="0C367102" w14:textId="77777777" w:rsidR="00CA57AD" w:rsidRPr="00034E9B" w:rsidRDefault="00CA57AD" w:rsidP="00DC5A36">
      <w:pPr>
        <w:pStyle w:val="CGCParaNumber"/>
        <w:numPr>
          <w:ilvl w:val="0"/>
          <w:numId w:val="2"/>
        </w:numPr>
        <w:ind w:left="567" w:hanging="567"/>
        <w:rPr>
          <w:lang w:val="en-AU"/>
        </w:rPr>
      </w:pPr>
      <w:r w:rsidRPr="00034E9B">
        <w:rPr>
          <w:lang w:val="en-AU"/>
        </w:rPr>
        <w:t>The following sections elaborate on how the Commission approaches discounting and materiality. States frequently comment on these aspects of the assessment guidelines.</w:t>
      </w:r>
    </w:p>
    <w:p w14:paraId="1F9A1EF6" w14:textId="77777777" w:rsidR="00CA57AD" w:rsidRPr="00034E9B" w:rsidRDefault="00CA57AD" w:rsidP="00B80D74">
      <w:pPr>
        <w:pStyle w:val="Heading4"/>
      </w:pPr>
      <w:bookmarkStart w:id="127" w:name="_Toc26890321"/>
      <w:r w:rsidRPr="00034E9B">
        <w:t>Discounting assessments</w:t>
      </w:r>
      <w:bookmarkEnd w:id="127"/>
    </w:p>
    <w:p w14:paraId="76A296E9" w14:textId="77777777" w:rsidR="00CA57AD" w:rsidRPr="00034E9B" w:rsidRDefault="00CA57AD" w:rsidP="00DC5A36">
      <w:pPr>
        <w:pStyle w:val="CGCParaNumber"/>
        <w:numPr>
          <w:ilvl w:val="0"/>
          <w:numId w:val="2"/>
        </w:numPr>
        <w:ind w:left="567" w:hanging="567"/>
        <w:rPr>
          <w:lang w:val="en-AU"/>
        </w:rPr>
      </w:pPr>
      <w:bookmarkStart w:id="128" w:name="_Ref9497809"/>
      <w:r w:rsidRPr="00034E9B">
        <w:rPr>
          <w:lang w:val="en-AU"/>
        </w:rPr>
        <w:t xml:space="preserve">The Commission is often in the position where it considers there is a conceptual case for including a particular influence (disability) beyond State control that would materially affect State fiscal capacities. The Commission has a choice of either letting the data influence the assessments in proportion to their quality or ignoring the data and the particular influence completely. </w:t>
      </w:r>
      <w:bookmarkEnd w:id="128"/>
    </w:p>
    <w:p w14:paraId="568456CA" w14:textId="77777777" w:rsidR="00CA57AD" w:rsidRPr="00034E9B" w:rsidRDefault="00CA57AD" w:rsidP="00DC5A36">
      <w:pPr>
        <w:pStyle w:val="CGCParaNumber"/>
        <w:numPr>
          <w:ilvl w:val="0"/>
          <w:numId w:val="2"/>
        </w:numPr>
        <w:ind w:left="567" w:hanging="567"/>
        <w:rPr>
          <w:lang w:val="en-AU"/>
        </w:rPr>
      </w:pPr>
      <w:r w:rsidRPr="00034E9B">
        <w:rPr>
          <w:lang w:val="en-AU"/>
        </w:rPr>
        <w:t>Measurement of the effect of a disability can be affected when the associated data are incomplete, dated, unreliable, not fully fit for purpose or a combination of all these factors. In these cases, the Commission has to exercise judgment about whether to recognise the disability or not. The quality of the available data is a key consideration guiding the Commission’s judgment.</w:t>
      </w:r>
    </w:p>
    <w:tbl>
      <w:tblPr>
        <w:tblW w:w="0" w:type="auto"/>
        <w:tblInd w:w="108" w:type="dxa"/>
        <w:shd w:val="clear" w:color="auto" w:fill="EBF3F5"/>
        <w:tblLook w:val="04A0" w:firstRow="1" w:lastRow="0" w:firstColumn="1" w:lastColumn="0" w:noHBand="0" w:noVBand="1"/>
      </w:tblPr>
      <w:tblGrid>
        <w:gridCol w:w="8843"/>
      </w:tblGrid>
      <w:tr w:rsidR="00CA57AD" w:rsidRPr="00034E9B" w14:paraId="7FCC0B1F" w14:textId="77777777" w:rsidTr="00B80D74">
        <w:trPr>
          <w:cantSplit/>
        </w:trPr>
        <w:tc>
          <w:tcPr>
            <w:tcW w:w="8843" w:type="dxa"/>
            <w:shd w:val="clear" w:color="auto" w:fill="EBF3F5"/>
          </w:tcPr>
          <w:p w14:paraId="2E025DD3" w14:textId="77777777" w:rsidR="00CA57AD" w:rsidRPr="00034E9B" w:rsidRDefault="00CA57AD" w:rsidP="00B80D74">
            <w:pPr>
              <w:pStyle w:val="Caption"/>
            </w:pPr>
            <w:bookmarkStart w:id="129" w:name="_Ref7003586"/>
            <w:bookmarkStart w:id="130" w:name="Box2_3"/>
            <w:bookmarkStart w:id="131" w:name="_Toc493766187"/>
            <w:bookmarkStart w:id="132" w:name="_Toc493766535"/>
            <w:r w:rsidRPr="00034E9B">
              <w:lastRenderedPageBreak/>
              <w:t>Box </w:t>
            </w:r>
            <w:bookmarkEnd w:id="129"/>
            <w:bookmarkEnd w:id="130"/>
            <w:r w:rsidRPr="00034E9B">
              <w:t>3-1</w:t>
            </w:r>
            <w:r w:rsidRPr="00034E9B">
              <w:tab/>
              <w:t>Assessment guidelines for the 2020 Review</w:t>
            </w:r>
            <w:bookmarkEnd w:id="131"/>
            <w:bookmarkEnd w:id="132"/>
          </w:p>
          <w:p w14:paraId="2BD62459" w14:textId="77777777" w:rsidR="00CA57AD" w:rsidRPr="00034E9B" w:rsidRDefault="00CA57AD" w:rsidP="00B80D74">
            <w:r w:rsidRPr="00034E9B">
              <w:t>The Commission organises its work by making assessments for individual categories. Separate assessments will be made when they are materially different from other assessments or if the assessment is easier to understand if undertaken in a separate category.</w:t>
            </w:r>
          </w:p>
          <w:p w14:paraId="513D22C1" w14:textId="77777777" w:rsidR="00CA57AD" w:rsidRPr="00034E9B" w:rsidRDefault="00CA57AD" w:rsidP="00B80D74">
            <w:r w:rsidRPr="00034E9B">
              <w:t>The Commission will include a disability in a category when:</w:t>
            </w:r>
          </w:p>
          <w:p w14:paraId="316B1756" w14:textId="77777777" w:rsidR="00CA57AD" w:rsidRPr="00034E9B" w:rsidRDefault="00CA57AD" w:rsidP="00DC5A36">
            <w:pPr>
              <w:pStyle w:val="CGCBullet1"/>
              <w:numPr>
                <w:ilvl w:val="0"/>
                <w:numId w:val="3"/>
              </w:numPr>
              <w:ind w:left="924" w:hanging="357"/>
            </w:pPr>
            <w:r w:rsidRPr="00034E9B">
              <w:t>a case for the disability is established, namely:</w:t>
            </w:r>
          </w:p>
          <w:p w14:paraId="746B142F" w14:textId="77777777" w:rsidR="00CA57AD" w:rsidRPr="00034E9B" w:rsidRDefault="00CA57AD" w:rsidP="00DC5A36">
            <w:pPr>
              <w:pStyle w:val="CGCBullet2"/>
              <w:numPr>
                <w:ilvl w:val="0"/>
                <w:numId w:val="4"/>
              </w:numPr>
              <w:ind w:left="1208" w:hanging="357"/>
            </w:pPr>
            <w:r w:rsidRPr="00034E9B">
              <w:t>a sound conceptual basis for these differences exists</w:t>
            </w:r>
          </w:p>
          <w:p w14:paraId="4AF23606" w14:textId="77777777" w:rsidR="00CA57AD" w:rsidRPr="00034E9B" w:rsidRDefault="00CA57AD" w:rsidP="00DC5A36">
            <w:pPr>
              <w:pStyle w:val="CGCBullet2"/>
              <w:numPr>
                <w:ilvl w:val="0"/>
                <w:numId w:val="4"/>
              </w:numPr>
              <w:ind w:left="1208" w:hanging="357"/>
            </w:pPr>
            <w:r w:rsidRPr="00034E9B">
              <w:t>there is sufficient empirical evidence that material differences exist between States in the levels of use or unit costs, or both, in providing services or in their capacities to raise revenues</w:t>
            </w:r>
          </w:p>
          <w:p w14:paraId="490F7432" w14:textId="77777777" w:rsidR="00CA57AD" w:rsidRPr="00034E9B" w:rsidRDefault="00CA57AD" w:rsidP="00DC5A36">
            <w:pPr>
              <w:pStyle w:val="CGCBullet1"/>
              <w:numPr>
                <w:ilvl w:val="0"/>
                <w:numId w:val="3"/>
              </w:numPr>
              <w:ind w:left="924" w:hanging="357"/>
            </w:pPr>
            <w:r w:rsidRPr="00034E9B">
              <w:t>a reliable method has been devised that is:</w:t>
            </w:r>
          </w:p>
          <w:p w14:paraId="70E99135" w14:textId="77777777" w:rsidR="00CA57AD" w:rsidRPr="00034E9B" w:rsidRDefault="00CA57AD" w:rsidP="00DC5A36">
            <w:pPr>
              <w:pStyle w:val="CGCBullet2"/>
              <w:numPr>
                <w:ilvl w:val="0"/>
                <w:numId w:val="4"/>
              </w:numPr>
              <w:ind w:left="1208" w:hanging="357"/>
            </w:pPr>
            <w:r w:rsidRPr="00034E9B">
              <w:t>conceptually rigorous (for example, it measures what is intended to be measured, is based on internal standards and is policy neutral)</w:t>
            </w:r>
          </w:p>
          <w:p w14:paraId="4B747F6F" w14:textId="77777777" w:rsidR="00CA57AD" w:rsidRPr="00034E9B" w:rsidRDefault="00CA57AD" w:rsidP="00DC5A36">
            <w:pPr>
              <w:pStyle w:val="CGCBullet2"/>
              <w:numPr>
                <w:ilvl w:val="0"/>
                <w:numId w:val="4"/>
              </w:numPr>
              <w:ind w:left="1208" w:hanging="357"/>
            </w:pPr>
            <w:r w:rsidRPr="00034E9B">
              <w:t>implementable (the disability can be measured satisfactorily)</w:t>
            </w:r>
          </w:p>
          <w:p w14:paraId="4F49B5CA" w14:textId="77777777" w:rsidR="00CA57AD" w:rsidRPr="00034E9B" w:rsidRDefault="00CA57AD" w:rsidP="00DC5A36">
            <w:pPr>
              <w:pStyle w:val="CGCBullet2"/>
              <w:numPr>
                <w:ilvl w:val="0"/>
                <w:numId w:val="4"/>
              </w:numPr>
              <w:ind w:left="1208" w:hanging="357"/>
            </w:pPr>
            <w:r w:rsidRPr="00034E9B">
              <w:t>where used, consistent with external review outcomes.</w:t>
            </w:r>
          </w:p>
          <w:p w14:paraId="59CFF8DF" w14:textId="77777777" w:rsidR="00CA57AD" w:rsidRPr="00034E9B" w:rsidRDefault="00CA57AD" w:rsidP="00DC5A36">
            <w:pPr>
              <w:pStyle w:val="CGCBullet1"/>
              <w:numPr>
                <w:ilvl w:val="0"/>
                <w:numId w:val="3"/>
              </w:numPr>
              <w:ind w:left="924" w:hanging="357"/>
            </w:pPr>
            <w:r w:rsidRPr="00034E9B">
              <w:t>data are available that are:</w:t>
            </w:r>
          </w:p>
          <w:p w14:paraId="1A8B71D5" w14:textId="77777777" w:rsidR="00CA57AD" w:rsidRPr="00034E9B" w:rsidRDefault="00CA57AD" w:rsidP="00DC5A36">
            <w:pPr>
              <w:pStyle w:val="CGCBullet2"/>
              <w:numPr>
                <w:ilvl w:val="0"/>
                <w:numId w:val="4"/>
              </w:numPr>
              <w:ind w:left="1208" w:hanging="357"/>
            </w:pPr>
            <w:r w:rsidRPr="00034E9B">
              <w:t>fit for purpose — they capture the influence the Commission is trying to measure and provide a valid measure of State circumstances</w:t>
            </w:r>
          </w:p>
          <w:p w14:paraId="729AC4A7" w14:textId="77777777" w:rsidR="00CA57AD" w:rsidRPr="00034E9B" w:rsidRDefault="00CA57AD" w:rsidP="00DC5A36">
            <w:pPr>
              <w:pStyle w:val="CGCBullet2"/>
              <w:numPr>
                <w:ilvl w:val="0"/>
                <w:numId w:val="4"/>
              </w:numPr>
              <w:ind w:left="1208" w:hanging="357"/>
            </w:pPr>
            <w:r w:rsidRPr="00034E9B">
              <w:t>of suitable quality — the collection process and sampling techniques are appropriate, the data are consistent across the States and over time and are not subject to large revisions.</w:t>
            </w:r>
          </w:p>
          <w:p w14:paraId="3677376D" w14:textId="77777777" w:rsidR="00CA57AD" w:rsidRPr="00034E9B" w:rsidRDefault="00CA57AD" w:rsidP="00B80D74">
            <w:r w:rsidRPr="00034E9B">
              <w:t>The Commission will adjust data where necessary to improve interstate comparability. However, the Commission will only make data adjustments if they redistribute more than $10 per capita for any State in the assessment period.</w:t>
            </w:r>
          </w:p>
          <w:p w14:paraId="169614B6" w14:textId="77777777" w:rsidR="00CA57AD" w:rsidRPr="00034E9B" w:rsidRDefault="00CA57AD" w:rsidP="00B80D74">
            <w:r w:rsidRPr="00034E9B">
              <w:t xml:space="preserve">The Commission will include a disability in its final assessments if: </w:t>
            </w:r>
          </w:p>
          <w:p w14:paraId="16A541DE" w14:textId="77777777" w:rsidR="00CA57AD" w:rsidRPr="00034E9B" w:rsidRDefault="00CA57AD" w:rsidP="00DC5A36">
            <w:pPr>
              <w:pStyle w:val="CGCBullet1"/>
              <w:numPr>
                <w:ilvl w:val="0"/>
                <w:numId w:val="3"/>
              </w:numPr>
              <w:ind w:left="924" w:hanging="357"/>
            </w:pPr>
            <w:r w:rsidRPr="00034E9B">
              <w:t>it redistributes more than $35 per capita for any State in the assessment period (the materiality test will be applied to the total effect the disability has on the redistribution from an EPC assessment of revenue or expenditure, averaged over the three assessment years)</w:t>
            </w:r>
          </w:p>
          <w:p w14:paraId="5CDC9A85" w14:textId="77777777" w:rsidR="00CA57AD" w:rsidRPr="00034E9B" w:rsidRDefault="00CA57AD" w:rsidP="00DC5A36">
            <w:pPr>
              <w:pStyle w:val="CGCBullet1"/>
              <w:numPr>
                <w:ilvl w:val="0"/>
                <w:numId w:val="3"/>
              </w:numPr>
              <w:ind w:left="924" w:hanging="357"/>
              <w:rPr>
                <w:sz w:val="24"/>
                <w:szCs w:val="20"/>
              </w:rPr>
            </w:pPr>
            <w:r w:rsidRPr="00034E9B">
              <w:t>removing the disability has a significant effect on the conceptual rigor and reliability of assessments.</w:t>
            </w:r>
          </w:p>
          <w:p w14:paraId="1620B4FD" w14:textId="77777777" w:rsidR="00CA57AD" w:rsidRPr="00034E9B" w:rsidRDefault="00CA57AD" w:rsidP="00B80D74">
            <w:pPr>
              <w:spacing w:after="120"/>
            </w:pPr>
            <w:r w:rsidRPr="00034E9B">
              <w:t>Where a case for assessing a disability in a category is established, but the Commission has concerns with the underlying data or assessment method, a uniform set of discounts will be used — low (12.5%), medium (25%), high (50%) or no assessment (100%). The Commission will use higher discounts when the Commission has greater concerns with the underlying data or assessment method.</w:t>
            </w:r>
          </w:p>
        </w:tc>
      </w:tr>
    </w:tbl>
    <w:bookmarkEnd w:id="123"/>
    <w:bookmarkEnd w:id="124"/>
    <w:bookmarkEnd w:id="125"/>
    <w:bookmarkEnd w:id="126"/>
    <w:p w14:paraId="51D3B3D3" w14:textId="77777777" w:rsidR="00CA57AD" w:rsidRPr="00034E9B" w:rsidRDefault="00CA57AD" w:rsidP="00370E6C">
      <w:pPr>
        <w:pStyle w:val="CGCParaNumber"/>
        <w:keepNext/>
        <w:keepLines/>
        <w:numPr>
          <w:ilvl w:val="0"/>
          <w:numId w:val="2"/>
        </w:numPr>
        <w:ind w:left="567" w:hanging="567"/>
        <w:rPr>
          <w:lang w:val="en-AU"/>
        </w:rPr>
      </w:pPr>
      <w:r w:rsidRPr="00034E9B">
        <w:rPr>
          <w:lang w:val="en-AU"/>
        </w:rPr>
        <w:lastRenderedPageBreak/>
        <w:t xml:space="preserve">Discounting allows the Commission to partially recognise a disability when the presumptive case for the disability is established but there are concerns with its measurement. In other words, discounting allows the Commission to achieve the HFE objective while taking account of practical issues that affect the measurement of disabilities. The Commission considers a better HFE outcome is achieved if discounting targets the data or methods of concern, rather than applying a global discount, which would guarantee partial equalisation at best. </w:t>
      </w:r>
    </w:p>
    <w:p w14:paraId="41A68064" w14:textId="54D6395C" w:rsidR="00CA57AD" w:rsidRPr="00034E9B" w:rsidRDefault="00CA57AD" w:rsidP="00DC5A36">
      <w:pPr>
        <w:pStyle w:val="CGCParaNumber"/>
        <w:numPr>
          <w:ilvl w:val="0"/>
          <w:numId w:val="2"/>
        </w:numPr>
        <w:ind w:left="567" w:hanging="567"/>
        <w:rPr>
          <w:lang w:val="en-AU"/>
        </w:rPr>
      </w:pPr>
      <w:r w:rsidRPr="00034E9B">
        <w:rPr>
          <w:lang w:val="en-AU"/>
        </w:rPr>
        <w:t xml:space="preserve">The Commission </w:t>
      </w:r>
      <w:r w:rsidR="00BB043E">
        <w:rPr>
          <w:lang w:val="en-AU"/>
        </w:rPr>
        <w:t>has</w:t>
      </w:r>
      <w:r w:rsidRPr="00034E9B">
        <w:rPr>
          <w:lang w:val="en-AU"/>
        </w:rPr>
        <w:t xml:space="preserve"> retained the 2015 Review discounting framework. This framework consists of four levels of discounting — low (12.5%), medium (25%), high (50%) and no assessment (100%) — depending on the Commission’s judgment about the reliability of the data. The Commission has simplified the discussion of discounting in the assessment guidelines </w:t>
      </w:r>
      <w:r w:rsidRPr="00034E9B">
        <w:rPr>
          <w:lang w:val="en-AU"/>
        </w:rPr>
        <w:br/>
        <w:t>(</w:t>
      </w:r>
      <w:r w:rsidRPr="00034E9B">
        <w:rPr>
          <w:lang w:val="en-AU"/>
        </w:rPr>
        <w:fldChar w:fldCharType="begin"/>
      </w:r>
      <w:r w:rsidRPr="00034E9B">
        <w:rPr>
          <w:lang w:val="en-AU"/>
        </w:rPr>
        <w:instrText xml:space="preserve"> REF Box2_3 \h  \* MERGEFORMAT </w:instrText>
      </w:r>
      <w:r w:rsidRPr="00034E9B">
        <w:rPr>
          <w:lang w:val="en-AU"/>
        </w:rPr>
      </w:r>
      <w:r w:rsidRPr="00034E9B">
        <w:rPr>
          <w:lang w:val="en-AU"/>
        </w:rPr>
        <w:fldChar w:fldCharType="separate"/>
      </w:r>
      <w:r w:rsidR="004A0DFA" w:rsidRPr="004A0DFA">
        <w:rPr>
          <w:lang w:val="en-AU"/>
        </w:rPr>
        <w:t>Box </w:t>
      </w:r>
      <w:r w:rsidRPr="00034E9B">
        <w:rPr>
          <w:lang w:val="en-AU"/>
        </w:rPr>
        <w:fldChar w:fldCharType="end"/>
      </w:r>
      <w:r w:rsidRPr="00034E9B">
        <w:rPr>
          <w:lang w:val="en-AU"/>
        </w:rPr>
        <w:t>3-1). This change seeks to clarify when discounting should apply.</w:t>
      </w:r>
    </w:p>
    <w:p w14:paraId="2B9854E5" w14:textId="6198C9FB" w:rsidR="00CA57AD" w:rsidRPr="00034E9B" w:rsidRDefault="00CA57AD" w:rsidP="00DC5A36">
      <w:pPr>
        <w:pStyle w:val="CGCParaNumber"/>
        <w:numPr>
          <w:ilvl w:val="0"/>
          <w:numId w:val="2"/>
        </w:numPr>
        <w:ind w:left="567" w:hanging="567"/>
        <w:rPr>
          <w:lang w:val="en-AU"/>
        </w:rPr>
      </w:pPr>
      <w:r w:rsidRPr="00034E9B">
        <w:rPr>
          <w:lang w:val="en-AU"/>
        </w:rPr>
        <w:t xml:space="preserve">States raised concerns about the appropriateness of having discounts and with the consistency of their application. The </w:t>
      </w:r>
      <w:r w:rsidR="005D6B5E">
        <w:rPr>
          <w:lang w:val="en-AU"/>
        </w:rPr>
        <w:t>Commission notes that the</w:t>
      </w:r>
      <w:r w:rsidRPr="00034E9B">
        <w:rPr>
          <w:lang w:val="en-AU"/>
        </w:rPr>
        <w:t xml:space="preserve"> 2020 Review assessments include fewer discounts than the 2015 Review and the Commission has considered each discount carefully, having regard to the need to recognise all material disabilities affecting State fiscal capacities and the data and methods available for measuring these influences. Where discounts are applied, the Commission has explained its concerns with the data or methods, or both.</w:t>
      </w:r>
    </w:p>
    <w:p w14:paraId="0DFDA37F" w14:textId="3D8981A5" w:rsidR="00CA57AD" w:rsidRPr="00034E9B" w:rsidRDefault="00CA57AD" w:rsidP="00DC5A36">
      <w:pPr>
        <w:pStyle w:val="CGCParaNumber"/>
        <w:numPr>
          <w:ilvl w:val="0"/>
          <w:numId w:val="2"/>
        </w:numPr>
        <w:ind w:left="567" w:hanging="567"/>
        <w:rPr>
          <w:lang w:val="en-AU"/>
        </w:rPr>
      </w:pPr>
      <w:r w:rsidRPr="00034E9B">
        <w:rPr>
          <w:lang w:val="en-AU"/>
        </w:rPr>
        <w:t>In some instances, the Commission removed or reduced discounts in this review. This reflects improvements in the available data (for example, land tax and service-specific regional cost gradients)</w:t>
      </w:r>
      <w:r w:rsidR="005D6B5E">
        <w:rPr>
          <w:lang w:val="en-AU"/>
        </w:rPr>
        <w:t>,</w:t>
      </w:r>
      <w:r w:rsidRPr="00034E9B">
        <w:rPr>
          <w:lang w:val="en-AU"/>
        </w:rPr>
        <w:t xml:space="preserve"> or further consideration of the suitability of proxies (for example, community health). Victoria and Queensland urged caution in removing discounts from existing assessments if the concerns about the data or methods are unresolved. Where discounts have been reduced or removed, the Commission has explained its reasons in the relevant assessment chapters.</w:t>
      </w:r>
      <w:r w:rsidRPr="00034E9B">
        <w:rPr>
          <w:vertAlign w:val="superscript"/>
          <w:lang w:val="en-AU"/>
        </w:rPr>
        <w:footnoteReference w:id="51"/>
      </w:r>
    </w:p>
    <w:p w14:paraId="5675EB7E" w14:textId="77777777" w:rsidR="00CA57AD" w:rsidRPr="00034E9B" w:rsidRDefault="00CA57AD" w:rsidP="00DC5A36">
      <w:pPr>
        <w:pStyle w:val="CGCParaNumber"/>
        <w:numPr>
          <w:ilvl w:val="0"/>
          <w:numId w:val="2"/>
        </w:numPr>
        <w:ind w:left="567" w:hanging="567"/>
        <w:rPr>
          <w:lang w:val="en-AU"/>
        </w:rPr>
      </w:pPr>
      <w:r w:rsidRPr="00034E9B">
        <w:rPr>
          <w:lang w:val="en-AU"/>
        </w:rPr>
        <w:t>Occasionally, the Commission addresses data concerns by adopting a blended assessment (for example, urban transport). Blending allows the Commission to moderate the influence of an assessment due to data concerns when a discount towards an equal per capita (EPC) assessment does not achieve the best equalisation outcome. In the case of urban transport expenses, discounting towards EPC is inferior to blending with urban population shares because the urban population is the relevant service population.</w:t>
      </w:r>
      <w:r w:rsidRPr="00034E9B">
        <w:rPr>
          <w:vertAlign w:val="superscript"/>
          <w:lang w:val="en-AU"/>
        </w:rPr>
        <w:footnoteReference w:id="52"/>
      </w:r>
      <w:r w:rsidRPr="00034E9B">
        <w:rPr>
          <w:lang w:val="en-AU"/>
        </w:rPr>
        <w:t xml:space="preserve"> </w:t>
      </w:r>
    </w:p>
    <w:p w14:paraId="04D82EFF" w14:textId="6B0ED6EC" w:rsidR="00CA57AD" w:rsidRPr="00034E9B" w:rsidRDefault="00CA57AD" w:rsidP="00DC5A36">
      <w:pPr>
        <w:pStyle w:val="CGCParaNumber"/>
        <w:numPr>
          <w:ilvl w:val="0"/>
          <w:numId w:val="2"/>
        </w:numPr>
        <w:ind w:left="567" w:hanging="567"/>
        <w:rPr>
          <w:lang w:val="en-AU"/>
        </w:rPr>
      </w:pPr>
      <w:r w:rsidRPr="00034E9B">
        <w:rPr>
          <w:lang w:val="en-AU"/>
        </w:rPr>
        <w:t>In the final stages of the review, the Commission considered the consistency of discounting across all assessments. Compared to the draft report, this led the Commission to reinstate a low-level discount (12.5%) in the community health SDC assessment (compared with 25% in the 2015 Review), and a 25% discount to the regional costs and service delivery scale general gradient</w:t>
      </w:r>
      <w:r w:rsidR="005D6B5E">
        <w:rPr>
          <w:lang w:val="en-AU"/>
        </w:rPr>
        <w:t>s</w:t>
      </w:r>
      <w:r w:rsidRPr="00034E9B">
        <w:rPr>
          <w:lang w:val="en-AU"/>
        </w:rPr>
        <w:t xml:space="preserve"> when they are used as proxy indicator</w:t>
      </w:r>
      <w:r w:rsidR="005D6B5E">
        <w:rPr>
          <w:lang w:val="en-AU"/>
        </w:rPr>
        <w:t>s</w:t>
      </w:r>
      <w:r w:rsidRPr="00034E9B">
        <w:rPr>
          <w:lang w:val="en-AU"/>
        </w:rPr>
        <w:t xml:space="preserve">. Despite reinstating the discount to the general gradient, this discount affects fewer assessments in this review because the Commission has more information about how remoteness affects costs for a greater range of services. </w:t>
      </w:r>
    </w:p>
    <w:p w14:paraId="748FA787" w14:textId="4439E7B9" w:rsidR="00CA57AD" w:rsidRPr="00034E9B" w:rsidRDefault="00CA57AD" w:rsidP="00DC5A36">
      <w:pPr>
        <w:pStyle w:val="CGCParaNumber"/>
        <w:numPr>
          <w:ilvl w:val="0"/>
          <w:numId w:val="2"/>
        </w:numPr>
        <w:ind w:left="567" w:hanging="567"/>
        <w:rPr>
          <w:lang w:val="en-AU"/>
        </w:rPr>
      </w:pPr>
      <w:r w:rsidRPr="00034E9B">
        <w:rPr>
          <w:lang w:val="en-AU"/>
        </w:rPr>
        <w:t>Box 3-2 summari</w:t>
      </w:r>
      <w:r w:rsidR="00A25774">
        <w:rPr>
          <w:lang w:val="en-AU"/>
        </w:rPr>
        <w:t>s</w:t>
      </w:r>
      <w:r w:rsidRPr="00034E9B">
        <w:rPr>
          <w:lang w:val="en-AU"/>
        </w:rPr>
        <w:t xml:space="preserve">es the changes to discounts in this review and their effects on the GST distribution. </w:t>
      </w:r>
    </w:p>
    <w:tbl>
      <w:tblPr>
        <w:tblW w:w="0" w:type="auto"/>
        <w:tblInd w:w="108" w:type="dxa"/>
        <w:shd w:val="clear" w:color="auto" w:fill="EBF3F5"/>
        <w:tblLook w:val="04A0" w:firstRow="1" w:lastRow="0" w:firstColumn="1" w:lastColumn="0" w:noHBand="0" w:noVBand="1"/>
      </w:tblPr>
      <w:tblGrid>
        <w:gridCol w:w="9059"/>
      </w:tblGrid>
      <w:tr w:rsidR="00CA57AD" w:rsidRPr="00034E9B" w14:paraId="20FE262E" w14:textId="77777777" w:rsidTr="00370E6C">
        <w:trPr>
          <w:cantSplit/>
        </w:trPr>
        <w:tc>
          <w:tcPr>
            <w:tcW w:w="9059" w:type="dxa"/>
            <w:shd w:val="clear" w:color="auto" w:fill="EBF3F5"/>
          </w:tcPr>
          <w:p w14:paraId="461ADD67" w14:textId="77777777" w:rsidR="00CA57AD" w:rsidRPr="00034E9B" w:rsidRDefault="00CA57AD" w:rsidP="00B80D74">
            <w:pPr>
              <w:pStyle w:val="Caption"/>
            </w:pPr>
            <w:r w:rsidRPr="00034E9B">
              <w:lastRenderedPageBreak/>
              <w:t>Box 3-2</w:t>
            </w:r>
            <w:r w:rsidRPr="00034E9B">
              <w:tab/>
              <w:t>Discounting in the 2020 Review</w:t>
            </w:r>
          </w:p>
          <w:p w14:paraId="0FAC9FE6" w14:textId="61A60197" w:rsidR="00CA57AD" w:rsidRPr="00034E9B" w:rsidRDefault="00CA57AD" w:rsidP="00B80D74">
            <w:r w:rsidRPr="00034E9B">
              <w:t xml:space="preserve">The 2020 Review assessments include fewer discounts than the 2015 Review — there are four discounts in the 2020 Review compared with eight in the 2015 Review. </w:t>
            </w:r>
            <w:r w:rsidR="00624AA2" w:rsidRPr="00034E9B">
              <w:t>In this review, the Commission removed discounts from the community health non-State sector adjustment, police custody weights, police SDS factors and net borrowing.</w:t>
            </w:r>
            <w:r w:rsidR="00624AA2">
              <w:t xml:space="preserve"> </w:t>
            </w:r>
            <w:r w:rsidRPr="00034E9B">
              <w:t xml:space="preserve">The following table summarises the </w:t>
            </w:r>
            <w:r w:rsidR="006566DC">
              <w:t xml:space="preserve">remaining </w:t>
            </w:r>
            <w:r w:rsidRPr="00034E9B">
              <w:t>discounts, the reasons for them and their level. The Commission’s reasons for discounting are explained in greater detail in the relevant assessment chapters.</w:t>
            </w:r>
          </w:p>
          <w:p w14:paraId="6C7EE81C" w14:textId="77777777" w:rsidR="00CA57AD" w:rsidRPr="00034E9B" w:rsidRDefault="00CA57AD" w:rsidP="00B80D74">
            <w:pPr>
              <w:pStyle w:val="CGCTablerow"/>
            </w:pPr>
          </w:p>
          <w:tbl>
            <w:tblPr>
              <w:tblW w:w="5000" w:type="pct"/>
              <w:tblBorders>
                <w:top w:val="single" w:sz="6" w:space="0" w:color="ADD6EA"/>
                <w:bottom w:val="single" w:sz="6" w:space="0" w:color="ADD6EA"/>
                <w:insideH w:val="single" w:sz="6" w:space="0" w:color="ADD6EA"/>
              </w:tblBorders>
              <w:tblCellMar>
                <w:left w:w="28" w:type="dxa"/>
                <w:right w:w="28" w:type="dxa"/>
              </w:tblCellMar>
              <w:tblLook w:val="0000" w:firstRow="0" w:lastRow="0" w:firstColumn="0" w:lastColumn="0" w:noHBand="0" w:noVBand="0"/>
            </w:tblPr>
            <w:tblGrid>
              <w:gridCol w:w="3537"/>
              <w:gridCol w:w="4510"/>
              <w:gridCol w:w="796"/>
            </w:tblGrid>
            <w:tr w:rsidR="00CA57AD" w:rsidRPr="00034E9B" w14:paraId="2D5DCF1F" w14:textId="77777777" w:rsidTr="007B3C5D">
              <w:trPr>
                <w:trHeight w:val="380"/>
              </w:trPr>
              <w:tc>
                <w:tcPr>
                  <w:tcW w:w="2000" w:type="pct"/>
                  <w:tcBorders>
                    <w:bottom w:val="single" w:sz="6" w:space="0" w:color="ADD6EA"/>
                  </w:tcBorders>
                  <w:shd w:val="clear" w:color="auto" w:fill="006991"/>
                  <w:vAlign w:val="center"/>
                </w:tcPr>
                <w:p w14:paraId="5B9B64CB" w14:textId="77777777" w:rsidR="00CA57AD" w:rsidRPr="00034E9B" w:rsidRDefault="00CA57AD" w:rsidP="007B3C5D">
                  <w:pPr>
                    <w:pStyle w:val="CGCTableheader"/>
                    <w:rPr>
                      <w:lang w:val="en-AU"/>
                    </w:rPr>
                  </w:pPr>
                  <w:r w:rsidRPr="00034E9B">
                    <w:rPr>
                      <w:lang w:val="en-AU"/>
                    </w:rPr>
                    <w:t xml:space="preserve">Assessment </w:t>
                  </w:r>
                </w:p>
              </w:tc>
              <w:tc>
                <w:tcPr>
                  <w:tcW w:w="2550" w:type="pct"/>
                  <w:tcBorders>
                    <w:bottom w:val="single" w:sz="6" w:space="0" w:color="ADD6EA"/>
                  </w:tcBorders>
                  <w:shd w:val="clear" w:color="auto" w:fill="006991"/>
                  <w:vAlign w:val="center"/>
                </w:tcPr>
                <w:p w14:paraId="7376ABDD" w14:textId="77777777" w:rsidR="00CA57AD" w:rsidRPr="00034E9B" w:rsidRDefault="00CA57AD" w:rsidP="007B3C5D">
                  <w:pPr>
                    <w:pStyle w:val="CGCTableheader"/>
                    <w:rPr>
                      <w:lang w:val="en-AU"/>
                    </w:rPr>
                  </w:pPr>
                  <w:r w:rsidRPr="00034E9B">
                    <w:rPr>
                      <w:lang w:val="en-AU"/>
                    </w:rPr>
                    <w:t>Reason for discount</w:t>
                  </w:r>
                </w:p>
              </w:tc>
              <w:tc>
                <w:tcPr>
                  <w:tcW w:w="494" w:type="pct"/>
                  <w:tcBorders>
                    <w:bottom w:val="single" w:sz="6" w:space="0" w:color="ADD6EA"/>
                  </w:tcBorders>
                  <w:shd w:val="clear" w:color="auto" w:fill="006991"/>
                  <w:vAlign w:val="center"/>
                </w:tcPr>
                <w:p w14:paraId="2AAC419C" w14:textId="77777777" w:rsidR="00CA57AD" w:rsidRPr="00034E9B" w:rsidRDefault="00CA57AD" w:rsidP="007B3C5D">
                  <w:pPr>
                    <w:pStyle w:val="CGCTableheader"/>
                    <w:jc w:val="right"/>
                    <w:rPr>
                      <w:lang w:val="en-AU"/>
                    </w:rPr>
                  </w:pPr>
                  <w:r w:rsidRPr="00034E9B">
                    <w:rPr>
                      <w:lang w:val="en-AU"/>
                    </w:rPr>
                    <w:t>Discount level</w:t>
                  </w:r>
                </w:p>
              </w:tc>
            </w:tr>
            <w:tr w:rsidR="00CA57AD" w:rsidRPr="00034E9B" w14:paraId="7F28D352" w14:textId="77777777" w:rsidTr="009F04E1">
              <w:trPr>
                <w:trHeight w:val="737"/>
              </w:trPr>
              <w:tc>
                <w:tcPr>
                  <w:tcW w:w="2000" w:type="pct"/>
                  <w:tcMar>
                    <w:top w:w="0" w:type="dxa"/>
                    <w:bottom w:w="0" w:type="dxa"/>
                  </w:tcMar>
                </w:tcPr>
                <w:p w14:paraId="02DF9CC0" w14:textId="77777777" w:rsidR="00CA57AD" w:rsidRPr="00034E9B" w:rsidRDefault="00CA57AD" w:rsidP="007B3C5D">
                  <w:pPr>
                    <w:pStyle w:val="CGCTablerow"/>
                    <w:spacing w:line="254" w:lineRule="auto"/>
                  </w:pPr>
                  <w:r w:rsidRPr="00034E9B">
                    <w:t>Land tax</w:t>
                  </w:r>
                </w:p>
              </w:tc>
              <w:tc>
                <w:tcPr>
                  <w:tcW w:w="2550" w:type="pct"/>
                  <w:tcMar>
                    <w:top w:w="0" w:type="dxa"/>
                    <w:bottom w:w="0" w:type="dxa"/>
                  </w:tcMar>
                </w:tcPr>
                <w:p w14:paraId="578D25F9" w14:textId="77777777" w:rsidR="00CA57AD" w:rsidRPr="00034E9B" w:rsidRDefault="00CA57AD" w:rsidP="007B3C5D">
                  <w:pPr>
                    <w:pStyle w:val="CGCTablerow"/>
                    <w:spacing w:line="254" w:lineRule="auto"/>
                    <w:ind w:hanging="3"/>
                  </w:pPr>
                  <w:r w:rsidRPr="00034E9B">
                    <w:t>Concern over the comparability of State land holdings data, primarily related to State adjustments to data to address differences in the treatment of jointly owned properties.</w:t>
                  </w:r>
                </w:p>
              </w:tc>
              <w:tc>
                <w:tcPr>
                  <w:tcW w:w="494" w:type="pct"/>
                  <w:tcMar>
                    <w:top w:w="0" w:type="dxa"/>
                    <w:bottom w:w="0" w:type="dxa"/>
                  </w:tcMar>
                </w:tcPr>
                <w:p w14:paraId="5CF6B273" w14:textId="77777777" w:rsidR="00CA57AD" w:rsidRPr="00034E9B" w:rsidRDefault="00CA57AD" w:rsidP="007B3C5D">
                  <w:pPr>
                    <w:pStyle w:val="CGCTablerow"/>
                    <w:spacing w:line="254" w:lineRule="auto"/>
                    <w:jc w:val="right"/>
                  </w:pPr>
                  <w:r w:rsidRPr="00034E9B">
                    <w:t>12.5%</w:t>
                  </w:r>
                </w:p>
              </w:tc>
            </w:tr>
            <w:tr w:rsidR="00CA57AD" w:rsidRPr="00034E9B" w14:paraId="25F4FCA1" w14:textId="77777777" w:rsidTr="007B3C5D">
              <w:trPr>
                <w:trHeight w:val="964"/>
              </w:trPr>
              <w:tc>
                <w:tcPr>
                  <w:tcW w:w="2000" w:type="pct"/>
                </w:tcPr>
                <w:p w14:paraId="5C3FE00E" w14:textId="77777777" w:rsidR="00CA57AD" w:rsidRPr="00034E9B" w:rsidRDefault="00CA57AD" w:rsidP="007B3C5D">
                  <w:pPr>
                    <w:pStyle w:val="CGCTablerow"/>
                    <w:spacing w:line="254" w:lineRule="auto"/>
                  </w:pPr>
                  <w:r w:rsidRPr="00034E9B">
                    <w:t>Wage costs</w:t>
                  </w:r>
                </w:p>
              </w:tc>
              <w:tc>
                <w:tcPr>
                  <w:tcW w:w="2550" w:type="pct"/>
                </w:tcPr>
                <w:p w14:paraId="19836F40" w14:textId="77777777" w:rsidR="00CA57AD" w:rsidRPr="00034E9B" w:rsidRDefault="00CA57AD" w:rsidP="007B3C5D">
                  <w:pPr>
                    <w:pStyle w:val="CGCTablerow"/>
                    <w:spacing w:line="254" w:lineRule="auto"/>
                  </w:pPr>
                  <w:r w:rsidRPr="00034E9B">
                    <w:t>Concerns about how accurately the data measure wage costs and the econometric model controls for differences in productivity; and how well private sector wages proxy wage pressures in the public sector.</w:t>
                  </w:r>
                </w:p>
              </w:tc>
              <w:tc>
                <w:tcPr>
                  <w:tcW w:w="494" w:type="pct"/>
                </w:tcPr>
                <w:p w14:paraId="624FAEE2" w14:textId="77777777" w:rsidR="00CA57AD" w:rsidRPr="00034E9B" w:rsidRDefault="00CA57AD" w:rsidP="007B3C5D">
                  <w:pPr>
                    <w:pStyle w:val="CGCTablerow"/>
                    <w:spacing w:line="254" w:lineRule="auto"/>
                    <w:jc w:val="right"/>
                  </w:pPr>
                  <w:r w:rsidRPr="00034E9B">
                    <w:t>12.5%</w:t>
                  </w:r>
                </w:p>
              </w:tc>
            </w:tr>
            <w:tr w:rsidR="00CA57AD" w:rsidRPr="00034E9B" w14:paraId="0ACB6BC7" w14:textId="77777777" w:rsidTr="007B3C5D">
              <w:trPr>
                <w:trHeight w:val="737"/>
              </w:trPr>
              <w:tc>
                <w:tcPr>
                  <w:tcW w:w="2000" w:type="pct"/>
                </w:tcPr>
                <w:p w14:paraId="428C6EE0" w14:textId="57F787A2" w:rsidR="00CA57AD" w:rsidRPr="00034E9B" w:rsidRDefault="00CA57AD" w:rsidP="007B3C5D">
                  <w:pPr>
                    <w:pStyle w:val="CGCTablerow"/>
                    <w:spacing w:line="254" w:lineRule="auto"/>
                  </w:pPr>
                  <w:r w:rsidRPr="00034E9B">
                    <w:t xml:space="preserve">Health, </w:t>
                  </w:r>
                  <w:r w:rsidR="00370E6C">
                    <w:t>c</w:t>
                  </w:r>
                  <w:r w:rsidRPr="00034E9B">
                    <w:t>ommunity health, SDC assessment</w:t>
                  </w:r>
                </w:p>
              </w:tc>
              <w:tc>
                <w:tcPr>
                  <w:tcW w:w="2550" w:type="pct"/>
                </w:tcPr>
                <w:p w14:paraId="20865EAB" w14:textId="77777777" w:rsidR="00CA57AD" w:rsidRPr="00034E9B" w:rsidRDefault="00CA57AD" w:rsidP="007B3C5D">
                  <w:pPr>
                    <w:pStyle w:val="CGCTablerow"/>
                    <w:spacing w:line="254" w:lineRule="auto"/>
                  </w:pPr>
                  <w:r w:rsidRPr="00034E9B">
                    <w:t>Concerns about how well the proxy data used in the assessment (Emergency Department triage 4/5) measure the use and cost of community health services.</w:t>
                  </w:r>
                </w:p>
              </w:tc>
              <w:tc>
                <w:tcPr>
                  <w:tcW w:w="494" w:type="pct"/>
                </w:tcPr>
                <w:p w14:paraId="5DEA910C" w14:textId="77777777" w:rsidR="00CA57AD" w:rsidRPr="00034E9B" w:rsidRDefault="00CA57AD" w:rsidP="007B3C5D">
                  <w:pPr>
                    <w:pStyle w:val="CGCTablerow"/>
                    <w:spacing w:line="254" w:lineRule="auto"/>
                    <w:jc w:val="right"/>
                  </w:pPr>
                  <w:r w:rsidRPr="00034E9B">
                    <w:t>12.5%</w:t>
                  </w:r>
                </w:p>
              </w:tc>
            </w:tr>
            <w:tr w:rsidR="00CA57AD" w:rsidRPr="00034E9B" w14:paraId="04C0B15E" w14:textId="77777777" w:rsidTr="007B3C5D">
              <w:trPr>
                <w:trHeight w:val="567"/>
              </w:trPr>
              <w:tc>
                <w:tcPr>
                  <w:tcW w:w="2000" w:type="pct"/>
                </w:tcPr>
                <w:p w14:paraId="38F272C8" w14:textId="77777777" w:rsidR="00CA57AD" w:rsidRPr="00034E9B" w:rsidRDefault="00CA57AD" w:rsidP="007B3C5D">
                  <w:pPr>
                    <w:pStyle w:val="CGCTablerow"/>
                    <w:spacing w:line="254" w:lineRule="auto"/>
                  </w:pPr>
                  <w:r w:rsidRPr="00034E9B">
                    <w:t>Regional costs and service delivery scale (SDS) when the general gradient is used as a proxy</w:t>
                  </w:r>
                </w:p>
              </w:tc>
              <w:tc>
                <w:tcPr>
                  <w:tcW w:w="2550" w:type="pct"/>
                </w:tcPr>
                <w:p w14:paraId="482A330E" w14:textId="77777777" w:rsidR="00CA57AD" w:rsidRPr="00034E9B" w:rsidRDefault="00CA57AD" w:rsidP="007B3C5D">
                  <w:pPr>
                    <w:pStyle w:val="CGCTablerow"/>
                    <w:spacing w:line="254" w:lineRule="auto"/>
                  </w:pPr>
                  <w:r w:rsidRPr="00034E9B">
                    <w:t>Concerns about how well the schools and hospitals data reflect regional cost and SDS influences for other services.</w:t>
                  </w:r>
                </w:p>
              </w:tc>
              <w:tc>
                <w:tcPr>
                  <w:tcW w:w="494" w:type="pct"/>
                </w:tcPr>
                <w:p w14:paraId="15F5761B" w14:textId="77777777" w:rsidR="00CA57AD" w:rsidRPr="00034E9B" w:rsidRDefault="00CA57AD" w:rsidP="007B3C5D">
                  <w:pPr>
                    <w:pStyle w:val="CGCTablerow"/>
                    <w:spacing w:line="254" w:lineRule="auto"/>
                    <w:jc w:val="right"/>
                  </w:pPr>
                  <w:r w:rsidRPr="00034E9B">
                    <w:t>25%</w:t>
                  </w:r>
                </w:p>
              </w:tc>
            </w:tr>
          </w:tbl>
          <w:p w14:paraId="6F612888" w14:textId="6113836F" w:rsidR="00CA57AD" w:rsidRPr="00034E9B" w:rsidRDefault="00CA57AD" w:rsidP="00B80D74">
            <w:pPr>
              <w:pStyle w:val="FootnoteText"/>
            </w:pPr>
            <w:r w:rsidRPr="00034E9B">
              <w:t>Source:</w:t>
            </w:r>
            <w:r w:rsidR="00AD001C" w:rsidRPr="00034E9B">
              <w:tab/>
            </w:r>
            <w:r w:rsidRPr="00034E9B">
              <w:t xml:space="preserve">Commission </w:t>
            </w:r>
            <w:r w:rsidR="00AD001C" w:rsidRPr="00034E9B">
              <w:t>calculation</w:t>
            </w:r>
            <w:r w:rsidR="00757AC1">
              <w:t>.</w:t>
            </w:r>
          </w:p>
          <w:p w14:paraId="7D5CCAE2" w14:textId="77777777" w:rsidR="00CA57AD" w:rsidRPr="00034E9B" w:rsidRDefault="00CA57AD" w:rsidP="00B80D74">
            <w:r w:rsidRPr="00034E9B">
              <w:t>The Commission also discounted these assessments in the 2015 Review; however, the discounts for the land tax and community health SDC assessments have been reduced in this review from 25% to 12.5%. This reflects improvements in State Revenue Office land tax data and partial information on the user profile of the population using community health services. The discounts for the wage costs and the general regional costs and SDS gradients are unchanged. However, the Commission notes that the general regional costs gradient is applied to fewer assessments in the 2020 Review, which has significantly reduced the effects of this discount.</w:t>
            </w:r>
          </w:p>
          <w:p w14:paraId="6BE04C71" w14:textId="77777777" w:rsidR="00CA57AD" w:rsidRPr="00034E9B" w:rsidRDefault="00CA57AD" w:rsidP="00B80D74">
            <w:r w:rsidRPr="00034E9B">
              <w:t xml:space="preserve">The following table shows the effect on the GST distribution in 2020-21 of including the discounts. </w:t>
            </w:r>
          </w:p>
          <w:tbl>
            <w:tblPr>
              <w:tblW w:w="8920" w:type="dxa"/>
              <w:tblCellMar>
                <w:left w:w="0" w:type="dxa"/>
                <w:right w:w="0" w:type="dxa"/>
              </w:tblCellMar>
              <w:tblLook w:val="04A0" w:firstRow="1" w:lastRow="0" w:firstColumn="1" w:lastColumn="0" w:noHBand="0" w:noVBand="1"/>
            </w:tblPr>
            <w:tblGrid>
              <w:gridCol w:w="2393"/>
              <w:gridCol w:w="698"/>
              <w:gridCol w:w="697"/>
              <w:gridCol w:w="697"/>
              <w:gridCol w:w="697"/>
              <w:gridCol w:w="697"/>
              <w:gridCol w:w="697"/>
              <w:gridCol w:w="697"/>
              <w:gridCol w:w="697"/>
              <w:gridCol w:w="873"/>
            </w:tblGrid>
            <w:tr w:rsidR="000E6858" w:rsidRPr="00370E6C" w14:paraId="08D74BF8" w14:textId="77777777" w:rsidTr="000E6858">
              <w:trPr>
                <w:trHeight w:val="379"/>
              </w:trPr>
              <w:tc>
                <w:tcPr>
                  <w:tcW w:w="2440" w:type="dxa"/>
                  <w:tcBorders>
                    <w:top w:val="nil"/>
                    <w:left w:val="nil"/>
                    <w:bottom w:val="nil"/>
                    <w:right w:val="nil"/>
                  </w:tcBorders>
                  <w:shd w:val="clear" w:color="000000" w:fill="006991"/>
                  <w:noWrap/>
                  <w:vAlign w:val="center"/>
                  <w:hideMark/>
                </w:tcPr>
                <w:p w14:paraId="11B6F54D" w14:textId="77777777" w:rsidR="000E6858" w:rsidRPr="00370E6C" w:rsidRDefault="000E6858" w:rsidP="009F04E1">
                  <w:pPr>
                    <w:keepNext/>
                    <w:keepLines/>
                    <w:tabs>
                      <w:tab w:val="clear" w:pos="567"/>
                    </w:tabs>
                    <w:spacing w:before="0" w:line="240" w:lineRule="auto"/>
                    <w:jc w:val="right"/>
                    <w:rPr>
                      <w:rFonts w:eastAsia="Times New Roman" w:cs="Open Sans Light"/>
                      <w:color w:val="FFFFFF"/>
                      <w:sz w:val="16"/>
                      <w:szCs w:val="16"/>
                      <w:lang w:eastAsia="en-AU"/>
                    </w:rPr>
                  </w:pPr>
                  <w:bookmarkStart w:id="133" w:name="RANGE!A2:J8"/>
                  <w:r w:rsidRPr="00370E6C">
                    <w:rPr>
                      <w:rFonts w:eastAsia="Times New Roman" w:cs="Open Sans Light"/>
                      <w:color w:val="FFFFFF"/>
                      <w:sz w:val="16"/>
                      <w:szCs w:val="16"/>
                      <w:lang w:eastAsia="en-AU"/>
                    </w:rPr>
                    <w:t> </w:t>
                  </w:r>
                </w:p>
              </w:tc>
              <w:tc>
                <w:tcPr>
                  <w:tcW w:w="700" w:type="dxa"/>
                  <w:tcBorders>
                    <w:top w:val="nil"/>
                    <w:left w:val="nil"/>
                    <w:bottom w:val="nil"/>
                    <w:right w:val="nil"/>
                  </w:tcBorders>
                  <w:shd w:val="clear" w:color="000000" w:fill="006991"/>
                  <w:noWrap/>
                  <w:vAlign w:val="center"/>
                  <w:hideMark/>
                </w:tcPr>
                <w:p w14:paraId="32ED4771"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0E6C">
                    <w:rPr>
                      <w:rFonts w:ascii="Open Sans Semibold" w:eastAsia="Times New Roman" w:hAnsi="Open Sans Semibold" w:cs="Open Sans Semibold"/>
                      <w:color w:val="FFFFFF"/>
                      <w:sz w:val="16"/>
                      <w:szCs w:val="16"/>
                      <w:lang w:eastAsia="en-AU"/>
                    </w:rPr>
                    <w:t>NSW</w:t>
                  </w:r>
                </w:p>
              </w:tc>
              <w:tc>
                <w:tcPr>
                  <w:tcW w:w="700" w:type="dxa"/>
                  <w:tcBorders>
                    <w:top w:val="nil"/>
                    <w:left w:val="nil"/>
                    <w:bottom w:val="nil"/>
                    <w:right w:val="nil"/>
                  </w:tcBorders>
                  <w:shd w:val="clear" w:color="000000" w:fill="006991"/>
                  <w:noWrap/>
                  <w:vAlign w:val="center"/>
                  <w:hideMark/>
                </w:tcPr>
                <w:p w14:paraId="53DA83EE"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0E6C">
                    <w:rPr>
                      <w:rFonts w:ascii="Open Sans Semibold" w:eastAsia="Times New Roman" w:hAnsi="Open Sans Semibold" w:cs="Open Sans Semibold"/>
                      <w:color w:val="FFFFFF"/>
                      <w:sz w:val="16"/>
                      <w:szCs w:val="16"/>
                      <w:lang w:eastAsia="en-AU"/>
                    </w:rPr>
                    <w:t>Vic</w:t>
                  </w:r>
                </w:p>
              </w:tc>
              <w:tc>
                <w:tcPr>
                  <w:tcW w:w="700" w:type="dxa"/>
                  <w:tcBorders>
                    <w:top w:val="nil"/>
                    <w:left w:val="nil"/>
                    <w:bottom w:val="nil"/>
                    <w:right w:val="nil"/>
                  </w:tcBorders>
                  <w:shd w:val="clear" w:color="000000" w:fill="006991"/>
                  <w:noWrap/>
                  <w:vAlign w:val="center"/>
                  <w:hideMark/>
                </w:tcPr>
                <w:p w14:paraId="01041F0D"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0E6C">
                    <w:rPr>
                      <w:rFonts w:ascii="Open Sans Semibold" w:eastAsia="Times New Roman" w:hAnsi="Open Sans Semibold" w:cs="Open Sans Semibold"/>
                      <w:color w:val="FFFFFF"/>
                      <w:sz w:val="16"/>
                      <w:szCs w:val="16"/>
                      <w:lang w:eastAsia="en-AU"/>
                    </w:rPr>
                    <w:t>Qld</w:t>
                  </w:r>
                </w:p>
              </w:tc>
              <w:tc>
                <w:tcPr>
                  <w:tcW w:w="700" w:type="dxa"/>
                  <w:tcBorders>
                    <w:top w:val="nil"/>
                    <w:left w:val="nil"/>
                    <w:bottom w:val="nil"/>
                    <w:right w:val="nil"/>
                  </w:tcBorders>
                  <w:shd w:val="clear" w:color="000000" w:fill="006991"/>
                  <w:noWrap/>
                  <w:vAlign w:val="center"/>
                  <w:hideMark/>
                </w:tcPr>
                <w:p w14:paraId="1627E42E"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0E6C">
                    <w:rPr>
                      <w:rFonts w:ascii="Open Sans Semibold" w:eastAsia="Times New Roman" w:hAnsi="Open Sans Semibold" w:cs="Open Sans Semibold"/>
                      <w:color w:val="FFFFFF"/>
                      <w:sz w:val="16"/>
                      <w:szCs w:val="16"/>
                      <w:lang w:eastAsia="en-AU"/>
                    </w:rPr>
                    <w:t>WA</w:t>
                  </w:r>
                </w:p>
              </w:tc>
              <w:tc>
                <w:tcPr>
                  <w:tcW w:w="700" w:type="dxa"/>
                  <w:tcBorders>
                    <w:top w:val="nil"/>
                    <w:left w:val="nil"/>
                    <w:bottom w:val="nil"/>
                    <w:right w:val="nil"/>
                  </w:tcBorders>
                  <w:shd w:val="clear" w:color="000000" w:fill="006991"/>
                  <w:noWrap/>
                  <w:vAlign w:val="center"/>
                  <w:hideMark/>
                </w:tcPr>
                <w:p w14:paraId="136983DE"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0E6C">
                    <w:rPr>
                      <w:rFonts w:ascii="Open Sans Semibold" w:eastAsia="Times New Roman" w:hAnsi="Open Sans Semibold" w:cs="Open Sans Semibold"/>
                      <w:color w:val="FFFFFF"/>
                      <w:sz w:val="16"/>
                      <w:szCs w:val="16"/>
                      <w:lang w:eastAsia="en-AU"/>
                    </w:rPr>
                    <w:t>SA</w:t>
                  </w:r>
                </w:p>
              </w:tc>
              <w:tc>
                <w:tcPr>
                  <w:tcW w:w="700" w:type="dxa"/>
                  <w:tcBorders>
                    <w:top w:val="nil"/>
                    <w:left w:val="nil"/>
                    <w:bottom w:val="nil"/>
                    <w:right w:val="nil"/>
                  </w:tcBorders>
                  <w:shd w:val="clear" w:color="000000" w:fill="006991"/>
                  <w:noWrap/>
                  <w:vAlign w:val="center"/>
                  <w:hideMark/>
                </w:tcPr>
                <w:p w14:paraId="51F4A1BE"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0E6C">
                    <w:rPr>
                      <w:rFonts w:ascii="Open Sans Semibold" w:eastAsia="Times New Roman" w:hAnsi="Open Sans Semibold" w:cs="Open Sans Semibold"/>
                      <w:color w:val="FFFFFF"/>
                      <w:sz w:val="16"/>
                      <w:szCs w:val="16"/>
                      <w:lang w:eastAsia="en-AU"/>
                    </w:rPr>
                    <w:t>Tas</w:t>
                  </w:r>
                </w:p>
              </w:tc>
              <w:tc>
                <w:tcPr>
                  <w:tcW w:w="700" w:type="dxa"/>
                  <w:tcBorders>
                    <w:top w:val="nil"/>
                    <w:left w:val="nil"/>
                    <w:bottom w:val="nil"/>
                    <w:right w:val="nil"/>
                  </w:tcBorders>
                  <w:shd w:val="clear" w:color="000000" w:fill="006991"/>
                  <w:noWrap/>
                  <w:vAlign w:val="center"/>
                  <w:hideMark/>
                </w:tcPr>
                <w:p w14:paraId="30EDE029"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0E6C">
                    <w:rPr>
                      <w:rFonts w:ascii="Open Sans Semibold" w:eastAsia="Times New Roman" w:hAnsi="Open Sans Semibold" w:cs="Open Sans Semibold"/>
                      <w:color w:val="FFFFFF"/>
                      <w:sz w:val="16"/>
                      <w:szCs w:val="16"/>
                      <w:lang w:eastAsia="en-AU"/>
                    </w:rPr>
                    <w:t>ACT</w:t>
                  </w:r>
                </w:p>
              </w:tc>
              <w:tc>
                <w:tcPr>
                  <w:tcW w:w="700" w:type="dxa"/>
                  <w:tcBorders>
                    <w:top w:val="nil"/>
                    <w:left w:val="nil"/>
                    <w:bottom w:val="nil"/>
                    <w:right w:val="nil"/>
                  </w:tcBorders>
                  <w:shd w:val="clear" w:color="000000" w:fill="006991"/>
                  <w:noWrap/>
                  <w:vAlign w:val="center"/>
                  <w:hideMark/>
                </w:tcPr>
                <w:p w14:paraId="30BD56DE"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0E6C">
                    <w:rPr>
                      <w:rFonts w:ascii="Open Sans Semibold" w:eastAsia="Times New Roman" w:hAnsi="Open Sans Semibold" w:cs="Open Sans Semibold"/>
                      <w:color w:val="FFFFFF"/>
                      <w:sz w:val="16"/>
                      <w:szCs w:val="16"/>
                      <w:lang w:eastAsia="en-AU"/>
                    </w:rPr>
                    <w:t>NT</w:t>
                  </w:r>
                </w:p>
              </w:tc>
              <w:tc>
                <w:tcPr>
                  <w:tcW w:w="880" w:type="dxa"/>
                  <w:tcBorders>
                    <w:top w:val="nil"/>
                    <w:left w:val="nil"/>
                    <w:bottom w:val="nil"/>
                    <w:right w:val="nil"/>
                  </w:tcBorders>
                  <w:shd w:val="clear" w:color="000000" w:fill="006991"/>
                  <w:noWrap/>
                  <w:vAlign w:val="center"/>
                  <w:hideMark/>
                </w:tcPr>
                <w:p w14:paraId="6ABA518C"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0E6C">
                    <w:rPr>
                      <w:rFonts w:ascii="Open Sans Semibold" w:eastAsia="Times New Roman" w:hAnsi="Open Sans Semibold" w:cs="Open Sans Semibold"/>
                      <w:color w:val="FFFFFF"/>
                      <w:sz w:val="16"/>
                      <w:szCs w:val="16"/>
                      <w:lang w:eastAsia="en-AU"/>
                    </w:rPr>
                    <w:t>Redist</w:t>
                  </w:r>
                </w:p>
              </w:tc>
            </w:tr>
            <w:tr w:rsidR="000E6858" w:rsidRPr="000E6858" w14:paraId="0CA6DE6E" w14:textId="77777777" w:rsidTr="009D187C">
              <w:trPr>
                <w:trHeight w:val="259"/>
              </w:trPr>
              <w:tc>
                <w:tcPr>
                  <w:tcW w:w="2440" w:type="dxa"/>
                  <w:tcBorders>
                    <w:top w:val="nil"/>
                    <w:left w:val="nil"/>
                    <w:bottom w:val="nil"/>
                    <w:right w:val="nil"/>
                  </w:tcBorders>
                  <w:shd w:val="clear" w:color="000000" w:fill="B6D5E4"/>
                  <w:noWrap/>
                  <w:vAlign w:val="center"/>
                  <w:hideMark/>
                </w:tcPr>
                <w:p w14:paraId="468A0FFB" w14:textId="77777777" w:rsidR="000E6858" w:rsidRPr="000E6858" w:rsidRDefault="000E6858" w:rsidP="009F04E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E6858">
                    <w:rPr>
                      <w:rFonts w:ascii="Open Sans Semibold" w:eastAsia="Times New Roman" w:hAnsi="Open Sans Semibold" w:cs="Open Sans Semibold"/>
                      <w:color w:val="000000"/>
                      <w:sz w:val="16"/>
                      <w:szCs w:val="16"/>
                      <w:lang w:eastAsia="en-AU"/>
                    </w:rPr>
                    <w:t> </w:t>
                  </w:r>
                </w:p>
              </w:tc>
              <w:tc>
                <w:tcPr>
                  <w:tcW w:w="700" w:type="dxa"/>
                  <w:tcBorders>
                    <w:top w:val="nil"/>
                    <w:left w:val="nil"/>
                    <w:bottom w:val="nil"/>
                    <w:right w:val="nil"/>
                  </w:tcBorders>
                  <w:shd w:val="clear" w:color="000000" w:fill="B6D5E4"/>
                  <w:noWrap/>
                  <w:vAlign w:val="center"/>
                  <w:hideMark/>
                </w:tcPr>
                <w:p w14:paraId="3993F470" w14:textId="77777777" w:rsidR="000E6858" w:rsidRPr="000E6858"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E6858">
                    <w:rPr>
                      <w:rFonts w:ascii="Open Sans Semibold" w:eastAsia="Times New Roman" w:hAnsi="Open Sans Semibold" w:cs="Open Sans Semibold"/>
                      <w:color w:val="000000"/>
                      <w:sz w:val="16"/>
                      <w:szCs w:val="16"/>
                      <w:lang w:eastAsia="en-AU"/>
                    </w:rPr>
                    <w:t>$m</w:t>
                  </w:r>
                </w:p>
              </w:tc>
              <w:tc>
                <w:tcPr>
                  <w:tcW w:w="700" w:type="dxa"/>
                  <w:tcBorders>
                    <w:top w:val="nil"/>
                    <w:left w:val="nil"/>
                    <w:bottom w:val="nil"/>
                    <w:right w:val="nil"/>
                  </w:tcBorders>
                  <w:shd w:val="clear" w:color="000000" w:fill="B6D5E4"/>
                  <w:noWrap/>
                  <w:vAlign w:val="center"/>
                  <w:hideMark/>
                </w:tcPr>
                <w:p w14:paraId="7C1547DF" w14:textId="77777777" w:rsidR="000E6858" w:rsidRPr="000E6858"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E6858">
                    <w:rPr>
                      <w:rFonts w:ascii="Open Sans Semibold" w:eastAsia="Times New Roman" w:hAnsi="Open Sans Semibold" w:cs="Open Sans Semibold"/>
                      <w:color w:val="000000"/>
                      <w:sz w:val="16"/>
                      <w:szCs w:val="16"/>
                      <w:lang w:eastAsia="en-AU"/>
                    </w:rPr>
                    <w:t>$m</w:t>
                  </w:r>
                </w:p>
              </w:tc>
              <w:tc>
                <w:tcPr>
                  <w:tcW w:w="700" w:type="dxa"/>
                  <w:tcBorders>
                    <w:top w:val="nil"/>
                    <w:left w:val="nil"/>
                    <w:bottom w:val="nil"/>
                    <w:right w:val="nil"/>
                  </w:tcBorders>
                  <w:shd w:val="clear" w:color="000000" w:fill="B6D5E4"/>
                  <w:noWrap/>
                  <w:vAlign w:val="center"/>
                  <w:hideMark/>
                </w:tcPr>
                <w:p w14:paraId="57733863" w14:textId="77777777" w:rsidR="000E6858" w:rsidRPr="000E6858"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E6858">
                    <w:rPr>
                      <w:rFonts w:ascii="Open Sans Semibold" w:eastAsia="Times New Roman" w:hAnsi="Open Sans Semibold" w:cs="Open Sans Semibold"/>
                      <w:color w:val="000000"/>
                      <w:sz w:val="16"/>
                      <w:szCs w:val="16"/>
                      <w:lang w:eastAsia="en-AU"/>
                    </w:rPr>
                    <w:t>$m</w:t>
                  </w:r>
                </w:p>
              </w:tc>
              <w:tc>
                <w:tcPr>
                  <w:tcW w:w="700" w:type="dxa"/>
                  <w:tcBorders>
                    <w:top w:val="nil"/>
                    <w:left w:val="nil"/>
                    <w:bottom w:val="nil"/>
                    <w:right w:val="nil"/>
                  </w:tcBorders>
                  <w:shd w:val="clear" w:color="000000" w:fill="B6D5E4"/>
                  <w:noWrap/>
                  <w:vAlign w:val="center"/>
                  <w:hideMark/>
                </w:tcPr>
                <w:p w14:paraId="7A4709E6" w14:textId="77777777" w:rsidR="000E6858" w:rsidRPr="000E6858"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E6858">
                    <w:rPr>
                      <w:rFonts w:ascii="Open Sans Semibold" w:eastAsia="Times New Roman" w:hAnsi="Open Sans Semibold" w:cs="Open Sans Semibold"/>
                      <w:color w:val="000000"/>
                      <w:sz w:val="16"/>
                      <w:szCs w:val="16"/>
                      <w:lang w:eastAsia="en-AU"/>
                    </w:rPr>
                    <w:t>$m</w:t>
                  </w:r>
                </w:p>
              </w:tc>
              <w:tc>
                <w:tcPr>
                  <w:tcW w:w="700" w:type="dxa"/>
                  <w:tcBorders>
                    <w:top w:val="nil"/>
                    <w:left w:val="nil"/>
                    <w:bottom w:val="nil"/>
                    <w:right w:val="nil"/>
                  </w:tcBorders>
                  <w:shd w:val="clear" w:color="000000" w:fill="B6D5E4"/>
                  <w:noWrap/>
                  <w:vAlign w:val="center"/>
                  <w:hideMark/>
                </w:tcPr>
                <w:p w14:paraId="1253B7E4" w14:textId="77777777" w:rsidR="000E6858" w:rsidRPr="000E6858"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E6858">
                    <w:rPr>
                      <w:rFonts w:ascii="Open Sans Semibold" w:eastAsia="Times New Roman" w:hAnsi="Open Sans Semibold" w:cs="Open Sans Semibold"/>
                      <w:color w:val="000000"/>
                      <w:sz w:val="16"/>
                      <w:szCs w:val="16"/>
                      <w:lang w:eastAsia="en-AU"/>
                    </w:rPr>
                    <w:t>$m</w:t>
                  </w:r>
                </w:p>
              </w:tc>
              <w:tc>
                <w:tcPr>
                  <w:tcW w:w="700" w:type="dxa"/>
                  <w:tcBorders>
                    <w:top w:val="nil"/>
                    <w:left w:val="nil"/>
                    <w:bottom w:val="nil"/>
                    <w:right w:val="nil"/>
                  </w:tcBorders>
                  <w:shd w:val="clear" w:color="000000" w:fill="B6D5E4"/>
                  <w:noWrap/>
                  <w:vAlign w:val="center"/>
                  <w:hideMark/>
                </w:tcPr>
                <w:p w14:paraId="30C258B5" w14:textId="77777777" w:rsidR="000E6858" w:rsidRPr="000E6858"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E6858">
                    <w:rPr>
                      <w:rFonts w:ascii="Open Sans Semibold" w:eastAsia="Times New Roman" w:hAnsi="Open Sans Semibold" w:cs="Open Sans Semibold"/>
                      <w:color w:val="000000"/>
                      <w:sz w:val="16"/>
                      <w:szCs w:val="16"/>
                      <w:lang w:eastAsia="en-AU"/>
                    </w:rPr>
                    <w:t>$m</w:t>
                  </w:r>
                </w:p>
              </w:tc>
              <w:tc>
                <w:tcPr>
                  <w:tcW w:w="700" w:type="dxa"/>
                  <w:tcBorders>
                    <w:top w:val="nil"/>
                    <w:left w:val="nil"/>
                    <w:bottom w:val="nil"/>
                    <w:right w:val="nil"/>
                  </w:tcBorders>
                  <w:shd w:val="clear" w:color="000000" w:fill="B6D5E4"/>
                  <w:noWrap/>
                  <w:vAlign w:val="center"/>
                  <w:hideMark/>
                </w:tcPr>
                <w:p w14:paraId="2AD1D80B" w14:textId="77777777" w:rsidR="000E6858" w:rsidRPr="000E6858"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E6858">
                    <w:rPr>
                      <w:rFonts w:ascii="Open Sans Semibold" w:eastAsia="Times New Roman" w:hAnsi="Open Sans Semibold" w:cs="Open Sans Semibold"/>
                      <w:color w:val="000000"/>
                      <w:sz w:val="16"/>
                      <w:szCs w:val="16"/>
                      <w:lang w:eastAsia="en-AU"/>
                    </w:rPr>
                    <w:t>$m</w:t>
                  </w:r>
                </w:p>
              </w:tc>
              <w:tc>
                <w:tcPr>
                  <w:tcW w:w="700" w:type="dxa"/>
                  <w:tcBorders>
                    <w:top w:val="nil"/>
                    <w:left w:val="nil"/>
                    <w:bottom w:val="nil"/>
                    <w:right w:val="nil"/>
                  </w:tcBorders>
                  <w:shd w:val="clear" w:color="000000" w:fill="B6D5E4"/>
                  <w:noWrap/>
                  <w:vAlign w:val="center"/>
                  <w:hideMark/>
                </w:tcPr>
                <w:p w14:paraId="4F59F1FD" w14:textId="77777777" w:rsidR="000E6858" w:rsidRPr="000E6858"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E6858">
                    <w:rPr>
                      <w:rFonts w:ascii="Open Sans Semibold" w:eastAsia="Times New Roman" w:hAnsi="Open Sans Semibold" w:cs="Open Sans Semibold"/>
                      <w:color w:val="000000"/>
                      <w:sz w:val="16"/>
                      <w:szCs w:val="16"/>
                      <w:lang w:eastAsia="en-AU"/>
                    </w:rPr>
                    <w:t>$m</w:t>
                  </w:r>
                </w:p>
              </w:tc>
              <w:tc>
                <w:tcPr>
                  <w:tcW w:w="880" w:type="dxa"/>
                  <w:tcBorders>
                    <w:top w:val="nil"/>
                    <w:left w:val="nil"/>
                    <w:bottom w:val="nil"/>
                    <w:right w:val="nil"/>
                  </w:tcBorders>
                  <w:shd w:val="clear" w:color="000000" w:fill="B6D5E4"/>
                  <w:noWrap/>
                  <w:vAlign w:val="center"/>
                  <w:hideMark/>
                </w:tcPr>
                <w:p w14:paraId="48A56880" w14:textId="77777777" w:rsidR="000E6858" w:rsidRPr="000E6858"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E6858">
                    <w:rPr>
                      <w:rFonts w:ascii="Open Sans Semibold" w:eastAsia="Times New Roman" w:hAnsi="Open Sans Semibold" w:cs="Open Sans Semibold"/>
                      <w:color w:val="000000"/>
                      <w:sz w:val="16"/>
                      <w:szCs w:val="16"/>
                      <w:lang w:eastAsia="en-AU"/>
                    </w:rPr>
                    <w:t>$m</w:t>
                  </w:r>
                </w:p>
              </w:tc>
            </w:tr>
            <w:tr w:rsidR="000E6858" w:rsidRPr="000E6858" w14:paraId="1999925F" w14:textId="77777777" w:rsidTr="000E6858">
              <w:trPr>
                <w:trHeight w:val="315"/>
              </w:trPr>
              <w:tc>
                <w:tcPr>
                  <w:tcW w:w="2440" w:type="dxa"/>
                  <w:tcBorders>
                    <w:top w:val="nil"/>
                    <w:left w:val="nil"/>
                    <w:bottom w:val="single" w:sz="4" w:space="0" w:color="ADD6EA"/>
                    <w:right w:val="nil"/>
                  </w:tcBorders>
                  <w:shd w:val="clear" w:color="auto" w:fill="auto"/>
                  <w:noWrap/>
                  <w:vAlign w:val="bottom"/>
                  <w:hideMark/>
                </w:tcPr>
                <w:p w14:paraId="78AFD2F6" w14:textId="77777777" w:rsidR="000E6858" w:rsidRPr="000E6858" w:rsidRDefault="000E6858" w:rsidP="009F04E1">
                  <w:pPr>
                    <w:keepNext/>
                    <w:keepLines/>
                    <w:tabs>
                      <w:tab w:val="clear" w:pos="567"/>
                    </w:tabs>
                    <w:spacing w:before="0" w:line="240" w:lineRule="auto"/>
                    <w:rPr>
                      <w:rFonts w:eastAsia="Times New Roman" w:cs="Open Sans Light"/>
                      <w:color w:val="000000"/>
                      <w:sz w:val="16"/>
                      <w:szCs w:val="16"/>
                      <w:lang w:eastAsia="en-AU"/>
                    </w:rPr>
                  </w:pPr>
                  <w:r w:rsidRPr="000E6858">
                    <w:rPr>
                      <w:rFonts w:eastAsia="Times New Roman" w:cs="Open Sans Light"/>
                      <w:color w:val="000000"/>
                      <w:sz w:val="16"/>
                      <w:szCs w:val="16"/>
                      <w:lang w:eastAsia="en-AU"/>
                    </w:rPr>
                    <w:t>Land tax (12.5%)</w:t>
                  </w:r>
                </w:p>
              </w:tc>
              <w:tc>
                <w:tcPr>
                  <w:tcW w:w="700" w:type="dxa"/>
                  <w:tcBorders>
                    <w:top w:val="nil"/>
                    <w:left w:val="nil"/>
                    <w:bottom w:val="single" w:sz="4" w:space="0" w:color="ADD6EA"/>
                    <w:right w:val="nil"/>
                  </w:tcBorders>
                  <w:shd w:val="clear" w:color="auto" w:fill="auto"/>
                  <w:noWrap/>
                  <w:vAlign w:val="bottom"/>
                  <w:hideMark/>
                </w:tcPr>
                <w:p w14:paraId="0C3D1FA1"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156</w:t>
                  </w:r>
                </w:p>
              </w:tc>
              <w:tc>
                <w:tcPr>
                  <w:tcW w:w="700" w:type="dxa"/>
                  <w:tcBorders>
                    <w:top w:val="nil"/>
                    <w:left w:val="nil"/>
                    <w:bottom w:val="single" w:sz="4" w:space="0" w:color="ADD6EA"/>
                    <w:right w:val="nil"/>
                  </w:tcBorders>
                  <w:shd w:val="clear" w:color="auto" w:fill="auto"/>
                  <w:noWrap/>
                  <w:vAlign w:val="bottom"/>
                  <w:hideMark/>
                </w:tcPr>
                <w:p w14:paraId="1FF32B7F"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92</w:t>
                  </w:r>
                </w:p>
              </w:tc>
              <w:tc>
                <w:tcPr>
                  <w:tcW w:w="700" w:type="dxa"/>
                  <w:tcBorders>
                    <w:top w:val="nil"/>
                    <w:left w:val="nil"/>
                    <w:bottom w:val="single" w:sz="4" w:space="0" w:color="ADD6EA"/>
                    <w:right w:val="nil"/>
                  </w:tcBorders>
                  <w:shd w:val="clear" w:color="auto" w:fill="auto"/>
                  <w:noWrap/>
                  <w:vAlign w:val="bottom"/>
                  <w:hideMark/>
                </w:tcPr>
                <w:p w14:paraId="4ED86FF7"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-123</w:t>
                  </w:r>
                </w:p>
              </w:tc>
              <w:tc>
                <w:tcPr>
                  <w:tcW w:w="700" w:type="dxa"/>
                  <w:tcBorders>
                    <w:top w:val="nil"/>
                    <w:left w:val="nil"/>
                    <w:bottom w:val="single" w:sz="4" w:space="0" w:color="ADD6EA"/>
                    <w:right w:val="nil"/>
                  </w:tcBorders>
                  <w:shd w:val="clear" w:color="auto" w:fill="auto"/>
                  <w:noWrap/>
                  <w:vAlign w:val="bottom"/>
                  <w:hideMark/>
                </w:tcPr>
                <w:p w14:paraId="604C45D9"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-28</w:t>
                  </w:r>
                </w:p>
              </w:tc>
              <w:tc>
                <w:tcPr>
                  <w:tcW w:w="700" w:type="dxa"/>
                  <w:tcBorders>
                    <w:top w:val="nil"/>
                    <w:left w:val="nil"/>
                    <w:bottom w:val="single" w:sz="4" w:space="0" w:color="ADD6EA"/>
                    <w:right w:val="nil"/>
                  </w:tcBorders>
                  <w:shd w:val="clear" w:color="auto" w:fill="auto"/>
                  <w:noWrap/>
                  <w:vAlign w:val="bottom"/>
                  <w:hideMark/>
                </w:tcPr>
                <w:p w14:paraId="69207DFB"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-60</w:t>
                  </w:r>
                </w:p>
              </w:tc>
              <w:tc>
                <w:tcPr>
                  <w:tcW w:w="700" w:type="dxa"/>
                  <w:tcBorders>
                    <w:top w:val="nil"/>
                    <w:left w:val="nil"/>
                    <w:bottom w:val="single" w:sz="4" w:space="0" w:color="ADD6EA"/>
                    <w:right w:val="nil"/>
                  </w:tcBorders>
                  <w:shd w:val="clear" w:color="auto" w:fill="auto"/>
                  <w:noWrap/>
                  <w:vAlign w:val="bottom"/>
                  <w:hideMark/>
                </w:tcPr>
                <w:p w14:paraId="1E8DF275"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-22</w:t>
                  </w:r>
                </w:p>
              </w:tc>
              <w:tc>
                <w:tcPr>
                  <w:tcW w:w="700" w:type="dxa"/>
                  <w:tcBorders>
                    <w:top w:val="nil"/>
                    <w:left w:val="nil"/>
                    <w:bottom w:val="single" w:sz="4" w:space="0" w:color="ADD6EA"/>
                    <w:right w:val="nil"/>
                  </w:tcBorders>
                  <w:shd w:val="clear" w:color="auto" w:fill="auto"/>
                  <w:noWrap/>
                  <w:vAlign w:val="bottom"/>
                  <w:hideMark/>
                </w:tcPr>
                <w:p w14:paraId="469B380A"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-14</w:t>
                  </w:r>
                </w:p>
              </w:tc>
              <w:tc>
                <w:tcPr>
                  <w:tcW w:w="700" w:type="dxa"/>
                  <w:tcBorders>
                    <w:top w:val="nil"/>
                    <w:left w:val="nil"/>
                    <w:bottom w:val="single" w:sz="4" w:space="0" w:color="ADD6EA"/>
                    <w:right w:val="nil"/>
                  </w:tcBorders>
                  <w:shd w:val="clear" w:color="auto" w:fill="auto"/>
                  <w:noWrap/>
                  <w:vAlign w:val="bottom"/>
                  <w:hideMark/>
                </w:tcPr>
                <w:p w14:paraId="4BC1A0B0"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-2</w:t>
                  </w:r>
                </w:p>
              </w:tc>
              <w:tc>
                <w:tcPr>
                  <w:tcW w:w="880" w:type="dxa"/>
                  <w:tcBorders>
                    <w:top w:val="nil"/>
                    <w:left w:val="nil"/>
                    <w:bottom w:val="single" w:sz="4" w:space="0" w:color="ADD6EA"/>
                    <w:right w:val="nil"/>
                  </w:tcBorders>
                  <w:shd w:val="clear" w:color="auto" w:fill="auto"/>
                  <w:noWrap/>
                  <w:vAlign w:val="bottom"/>
                  <w:hideMark/>
                </w:tcPr>
                <w:p w14:paraId="5E3E5D99"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248</w:t>
                  </w:r>
                </w:p>
              </w:tc>
            </w:tr>
            <w:tr w:rsidR="000E6858" w:rsidRPr="000E6858" w14:paraId="4F3D2319" w14:textId="77777777" w:rsidTr="000E6858">
              <w:trPr>
                <w:trHeight w:val="315"/>
              </w:trPr>
              <w:tc>
                <w:tcPr>
                  <w:tcW w:w="2440" w:type="dxa"/>
                  <w:tcBorders>
                    <w:top w:val="nil"/>
                    <w:left w:val="nil"/>
                    <w:bottom w:val="single" w:sz="4" w:space="0" w:color="ADD6EA"/>
                    <w:right w:val="nil"/>
                  </w:tcBorders>
                  <w:shd w:val="clear" w:color="auto" w:fill="auto"/>
                  <w:noWrap/>
                  <w:vAlign w:val="bottom"/>
                  <w:hideMark/>
                </w:tcPr>
                <w:p w14:paraId="33910D8B" w14:textId="77777777" w:rsidR="000E6858" w:rsidRPr="000E6858" w:rsidRDefault="000E6858" w:rsidP="009F04E1">
                  <w:pPr>
                    <w:keepNext/>
                    <w:keepLines/>
                    <w:tabs>
                      <w:tab w:val="clear" w:pos="567"/>
                    </w:tabs>
                    <w:spacing w:before="0" w:line="240" w:lineRule="auto"/>
                    <w:rPr>
                      <w:rFonts w:eastAsia="Times New Roman" w:cs="Open Sans Light"/>
                      <w:color w:val="000000"/>
                      <w:sz w:val="16"/>
                      <w:szCs w:val="16"/>
                      <w:lang w:eastAsia="en-AU"/>
                    </w:rPr>
                  </w:pPr>
                  <w:r w:rsidRPr="000E6858">
                    <w:rPr>
                      <w:rFonts w:eastAsia="Times New Roman" w:cs="Open Sans Light"/>
                      <w:color w:val="000000"/>
                      <w:sz w:val="16"/>
                      <w:szCs w:val="16"/>
                      <w:lang w:eastAsia="en-AU"/>
                    </w:rPr>
                    <w:t>Wage costs (12.5%)</w:t>
                  </w:r>
                </w:p>
              </w:tc>
              <w:tc>
                <w:tcPr>
                  <w:tcW w:w="700" w:type="dxa"/>
                  <w:tcBorders>
                    <w:top w:val="nil"/>
                    <w:left w:val="nil"/>
                    <w:bottom w:val="single" w:sz="4" w:space="0" w:color="ADD6EA"/>
                    <w:right w:val="nil"/>
                  </w:tcBorders>
                  <w:shd w:val="clear" w:color="auto" w:fill="auto"/>
                  <w:noWrap/>
                  <w:vAlign w:val="bottom"/>
                  <w:hideMark/>
                </w:tcPr>
                <w:p w14:paraId="5EC16ED4"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-58</w:t>
                  </w:r>
                </w:p>
              </w:tc>
              <w:tc>
                <w:tcPr>
                  <w:tcW w:w="700" w:type="dxa"/>
                  <w:tcBorders>
                    <w:top w:val="nil"/>
                    <w:left w:val="nil"/>
                    <w:bottom w:val="single" w:sz="4" w:space="0" w:color="ADD6EA"/>
                    <w:right w:val="nil"/>
                  </w:tcBorders>
                  <w:shd w:val="clear" w:color="auto" w:fill="auto"/>
                  <w:noWrap/>
                  <w:vAlign w:val="bottom"/>
                  <w:hideMark/>
                </w:tcPr>
                <w:p w14:paraId="3DC592FB"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46</w:t>
                  </w:r>
                </w:p>
              </w:tc>
              <w:tc>
                <w:tcPr>
                  <w:tcW w:w="700" w:type="dxa"/>
                  <w:tcBorders>
                    <w:top w:val="nil"/>
                    <w:left w:val="nil"/>
                    <w:bottom w:val="single" w:sz="4" w:space="0" w:color="ADD6EA"/>
                    <w:right w:val="nil"/>
                  </w:tcBorders>
                  <w:shd w:val="clear" w:color="auto" w:fill="auto"/>
                  <w:noWrap/>
                  <w:vAlign w:val="bottom"/>
                  <w:hideMark/>
                </w:tcPr>
                <w:p w14:paraId="5FA48A76"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28</w:t>
                  </w:r>
                </w:p>
              </w:tc>
              <w:tc>
                <w:tcPr>
                  <w:tcW w:w="700" w:type="dxa"/>
                  <w:tcBorders>
                    <w:top w:val="nil"/>
                    <w:left w:val="nil"/>
                    <w:bottom w:val="single" w:sz="4" w:space="0" w:color="ADD6EA"/>
                    <w:right w:val="nil"/>
                  </w:tcBorders>
                  <w:shd w:val="clear" w:color="auto" w:fill="auto"/>
                  <w:noWrap/>
                  <w:vAlign w:val="bottom"/>
                  <w:hideMark/>
                </w:tcPr>
                <w:p w14:paraId="4660C48E"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-55</w:t>
                  </w:r>
                </w:p>
              </w:tc>
              <w:tc>
                <w:tcPr>
                  <w:tcW w:w="700" w:type="dxa"/>
                  <w:tcBorders>
                    <w:top w:val="nil"/>
                    <w:left w:val="nil"/>
                    <w:bottom w:val="single" w:sz="4" w:space="0" w:color="ADD6EA"/>
                    <w:right w:val="nil"/>
                  </w:tcBorders>
                  <w:shd w:val="clear" w:color="auto" w:fill="auto"/>
                  <w:noWrap/>
                  <w:vAlign w:val="bottom"/>
                  <w:hideMark/>
                </w:tcPr>
                <w:p w14:paraId="096166D0"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45</w:t>
                  </w:r>
                </w:p>
              </w:tc>
              <w:tc>
                <w:tcPr>
                  <w:tcW w:w="700" w:type="dxa"/>
                  <w:tcBorders>
                    <w:top w:val="nil"/>
                    <w:left w:val="nil"/>
                    <w:bottom w:val="single" w:sz="4" w:space="0" w:color="ADD6EA"/>
                    <w:right w:val="nil"/>
                  </w:tcBorders>
                  <w:shd w:val="clear" w:color="auto" w:fill="auto"/>
                  <w:noWrap/>
                  <w:vAlign w:val="bottom"/>
                  <w:hideMark/>
                </w:tcPr>
                <w:p w14:paraId="78B1EA43"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21</w:t>
                  </w:r>
                </w:p>
              </w:tc>
              <w:tc>
                <w:tcPr>
                  <w:tcW w:w="700" w:type="dxa"/>
                  <w:tcBorders>
                    <w:top w:val="nil"/>
                    <w:left w:val="nil"/>
                    <w:bottom w:val="single" w:sz="4" w:space="0" w:color="ADD6EA"/>
                    <w:right w:val="nil"/>
                  </w:tcBorders>
                  <w:shd w:val="clear" w:color="auto" w:fill="auto"/>
                  <w:noWrap/>
                  <w:vAlign w:val="bottom"/>
                  <w:hideMark/>
                </w:tcPr>
                <w:p w14:paraId="5C750F17"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-8</w:t>
                  </w:r>
                </w:p>
              </w:tc>
              <w:tc>
                <w:tcPr>
                  <w:tcW w:w="700" w:type="dxa"/>
                  <w:tcBorders>
                    <w:top w:val="nil"/>
                    <w:left w:val="nil"/>
                    <w:bottom w:val="single" w:sz="4" w:space="0" w:color="ADD6EA"/>
                    <w:right w:val="nil"/>
                  </w:tcBorders>
                  <w:shd w:val="clear" w:color="auto" w:fill="auto"/>
                  <w:noWrap/>
                  <w:vAlign w:val="bottom"/>
                  <w:hideMark/>
                </w:tcPr>
                <w:p w14:paraId="11D0BDD9"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-19</w:t>
                  </w:r>
                </w:p>
              </w:tc>
              <w:tc>
                <w:tcPr>
                  <w:tcW w:w="880" w:type="dxa"/>
                  <w:tcBorders>
                    <w:top w:val="nil"/>
                    <w:left w:val="nil"/>
                    <w:bottom w:val="single" w:sz="4" w:space="0" w:color="ADD6EA"/>
                    <w:right w:val="nil"/>
                  </w:tcBorders>
                  <w:shd w:val="clear" w:color="auto" w:fill="auto"/>
                  <w:noWrap/>
                  <w:vAlign w:val="bottom"/>
                  <w:hideMark/>
                </w:tcPr>
                <w:p w14:paraId="100FF52B"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139</w:t>
                  </w:r>
                </w:p>
              </w:tc>
            </w:tr>
            <w:tr w:rsidR="000E6858" w:rsidRPr="000E6858" w14:paraId="41257FCF" w14:textId="77777777" w:rsidTr="000E6858">
              <w:trPr>
                <w:trHeight w:val="315"/>
              </w:trPr>
              <w:tc>
                <w:tcPr>
                  <w:tcW w:w="2440" w:type="dxa"/>
                  <w:tcBorders>
                    <w:top w:val="nil"/>
                    <w:left w:val="nil"/>
                    <w:bottom w:val="single" w:sz="4" w:space="0" w:color="ADD6EA"/>
                    <w:right w:val="nil"/>
                  </w:tcBorders>
                  <w:shd w:val="clear" w:color="auto" w:fill="auto"/>
                  <w:vAlign w:val="bottom"/>
                  <w:hideMark/>
                </w:tcPr>
                <w:p w14:paraId="777863ED" w14:textId="77777777" w:rsidR="000E6858" w:rsidRPr="000E6858" w:rsidRDefault="000E6858" w:rsidP="009F04E1">
                  <w:pPr>
                    <w:keepNext/>
                    <w:keepLines/>
                    <w:tabs>
                      <w:tab w:val="clear" w:pos="567"/>
                    </w:tabs>
                    <w:spacing w:before="0" w:line="240" w:lineRule="auto"/>
                    <w:rPr>
                      <w:rFonts w:eastAsia="Times New Roman" w:cs="Open Sans Light"/>
                      <w:color w:val="000000"/>
                      <w:sz w:val="16"/>
                      <w:szCs w:val="16"/>
                      <w:lang w:eastAsia="en-AU"/>
                    </w:rPr>
                  </w:pPr>
                  <w:r w:rsidRPr="000E6858">
                    <w:rPr>
                      <w:rFonts w:eastAsia="Times New Roman" w:cs="Open Sans Light"/>
                      <w:color w:val="000000"/>
                      <w:sz w:val="16"/>
                      <w:szCs w:val="16"/>
                      <w:lang w:eastAsia="en-AU"/>
                    </w:rPr>
                    <w:t>Community health SDC (12.5%)</w:t>
                  </w:r>
                </w:p>
              </w:tc>
              <w:tc>
                <w:tcPr>
                  <w:tcW w:w="700" w:type="dxa"/>
                  <w:tcBorders>
                    <w:top w:val="nil"/>
                    <w:left w:val="nil"/>
                    <w:bottom w:val="single" w:sz="4" w:space="0" w:color="ADD6EA"/>
                    <w:right w:val="nil"/>
                  </w:tcBorders>
                  <w:shd w:val="clear" w:color="auto" w:fill="auto"/>
                  <w:vAlign w:val="bottom"/>
                  <w:hideMark/>
                </w:tcPr>
                <w:p w14:paraId="609E5FE0"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24</w:t>
                  </w:r>
                </w:p>
              </w:tc>
              <w:tc>
                <w:tcPr>
                  <w:tcW w:w="700" w:type="dxa"/>
                  <w:tcBorders>
                    <w:top w:val="nil"/>
                    <w:left w:val="nil"/>
                    <w:bottom w:val="single" w:sz="4" w:space="0" w:color="ADD6EA"/>
                    <w:right w:val="nil"/>
                  </w:tcBorders>
                  <w:shd w:val="clear" w:color="auto" w:fill="auto"/>
                  <w:vAlign w:val="bottom"/>
                  <w:hideMark/>
                </w:tcPr>
                <w:p w14:paraId="36D0FA0E"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38</w:t>
                  </w:r>
                </w:p>
              </w:tc>
              <w:tc>
                <w:tcPr>
                  <w:tcW w:w="700" w:type="dxa"/>
                  <w:tcBorders>
                    <w:top w:val="nil"/>
                    <w:left w:val="nil"/>
                    <w:bottom w:val="single" w:sz="4" w:space="0" w:color="ADD6EA"/>
                    <w:right w:val="nil"/>
                  </w:tcBorders>
                  <w:shd w:val="clear" w:color="auto" w:fill="auto"/>
                  <w:vAlign w:val="bottom"/>
                  <w:hideMark/>
                </w:tcPr>
                <w:p w14:paraId="0A15B139"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-21</w:t>
                  </w:r>
                </w:p>
              </w:tc>
              <w:tc>
                <w:tcPr>
                  <w:tcW w:w="700" w:type="dxa"/>
                  <w:tcBorders>
                    <w:top w:val="nil"/>
                    <w:left w:val="nil"/>
                    <w:bottom w:val="single" w:sz="4" w:space="0" w:color="ADD6EA"/>
                    <w:right w:val="nil"/>
                  </w:tcBorders>
                  <w:shd w:val="clear" w:color="auto" w:fill="auto"/>
                  <w:vAlign w:val="bottom"/>
                  <w:hideMark/>
                </w:tcPr>
                <w:p w14:paraId="7D3C8BC7"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-10</w:t>
                  </w:r>
                </w:p>
              </w:tc>
              <w:tc>
                <w:tcPr>
                  <w:tcW w:w="700" w:type="dxa"/>
                  <w:tcBorders>
                    <w:top w:val="nil"/>
                    <w:left w:val="nil"/>
                    <w:bottom w:val="single" w:sz="4" w:space="0" w:color="ADD6EA"/>
                    <w:right w:val="nil"/>
                  </w:tcBorders>
                  <w:shd w:val="clear" w:color="auto" w:fill="auto"/>
                  <w:vAlign w:val="bottom"/>
                  <w:hideMark/>
                </w:tcPr>
                <w:p w14:paraId="16CB5AB7"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-5</w:t>
                  </w:r>
                </w:p>
              </w:tc>
              <w:tc>
                <w:tcPr>
                  <w:tcW w:w="700" w:type="dxa"/>
                  <w:tcBorders>
                    <w:top w:val="nil"/>
                    <w:left w:val="nil"/>
                    <w:bottom w:val="single" w:sz="4" w:space="0" w:color="ADD6EA"/>
                    <w:right w:val="nil"/>
                  </w:tcBorders>
                  <w:shd w:val="clear" w:color="auto" w:fill="auto"/>
                  <w:vAlign w:val="bottom"/>
                  <w:hideMark/>
                </w:tcPr>
                <w:p w14:paraId="1263D70E"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-12</w:t>
                  </w:r>
                </w:p>
              </w:tc>
              <w:tc>
                <w:tcPr>
                  <w:tcW w:w="700" w:type="dxa"/>
                  <w:tcBorders>
                    <w:top w:val="nil"/>
                    <w:left w:val="nil"/>
                    <w:bottom w:val="single" w:sz="4" w:space="0" w:color="ADD6EA"/>
                    <w:right w:val="nil"/>
                  </w:tcBorders>
                  <w:shd w:val="clear" w:color="auto" w:fill="auto"/>
                  <w:vAlign w:val="bottom"/>
                  <w:hideMark/>
                </w:tcPr>
                <w:p w14:paraId="1B3DECE2"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6</w:t>
                  </w:r>
                </w:p>
              </w:tc>
              <w:tc>
                <w:tcPr>
                  <w:tcW w:w="700" w:type="dxa"/>
                  <w:tcBorders>
                    <w:top w:val="nil"/>
                    <w:left w:val="nil"/>
                    <w:bottom w:val="single" w:sz="4" w:space="0" w:color="ADD6EA"/>
                    <w:right w:val="nil"/>
                  </w:tcBorders>
                  <w:shd w:val="clear" w:color="auto" w:fill="auto"/>
                  <w:vAlign w:val="bottom"/>
                  <w:hideMark/>
                </w:tcPr>
                <w:p w14:paraId="31B567CE"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-22</w:t>
                  </w:r>
                </w:p>
              </w:tc>
              <w:tc>
                <w:tcPr>
                  <w:tcW w:w="880" w:type="dxa"/>
                  <w:tcBorders>
                    <w:top w:val="nil"/>
                    <w:left w:val="nil"/>
                    <w:bottom w:val="single" w:sz="4" w:space="0" w:color="ADD6EA"/>
                    <w:right w:val="nil"/>
                  </w:tcBorders>
                  <w:shd w:val="clear" w:color="auto" w:fill="auto"/>
                  <w:vAlign w:val="bottom"/>
                  <w:hideMark/>
                </w:tcPr>
                <w:p w14:paraId="175C0B2D"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68</w:t>
                  </w:r>
                </w:p>
              </w:tc>
            </w:tr>
            <w:tr w:rsidR="000E6858" w:rsidRPr="000E6858" w14:paraId="72A6F9AB" w14:textId="77777777" w:rsidTr="000E6858">
              <w:trPr>
                <w:trHeight w:val="315"/>
              </w:trPr>
              <w:tc>
                <w:tcPr>
                  <w:tcW w:w="2440" w:type="dxa"/>
                  <w:tcBorders>
                    <w:top w:val="nil"/>
                    <w:left w:val="nil"/>
                    <w:bottom w:val="single" w:sz="4" w:space="0" w:color="ADD6EA"/>
                    <w:right w:val="nil"/>
                  </w:tcBorders>
                  <w:shd w:val="clear" w:color="auto" w:fill="auto"/>
                  <w:noWrap/>
                  <w:vAlign w:val="bottom"/>
                  <w:hideMark/>
                </w:tcPr>
                <w:p w14:paraId="56A50675" w14:textId="36717090" w:rsidR="000E6858" w:rsidRPr="000E6858" w:rsidRDefault="000E6858" w:rsidP="009F04E1">
                  <w:pPr>
                    <w:keepNext/>
                    <w:keepLines/>
                    <w:tabs>
                      <w:tab w:val="clear" w:pos="567"/>
                    </w:tabs>
                    <w:spacing w:before="0" w:line="240" w:lineRule="auto"/>
                    <w:rPr>
                      <w:rFonts w:eastAsia="Times New Roman" w:cs="Open Sans Light"/>
                      <w:color w:val="000000"/>
                      <w:sz w:val="16"/>
                      <w:szCs w:val="16"/>
                      <w:lang w:eastAsia="en-AU"/>
                    </w:rPr>
                  </w:pPr>
                  <w:r w:rsidRPr="000E6858">
                    <w:rPr>
                      <w:rFonts w:eastAsia="Times New Roman" w:cs="Open Sans Light"/>
                      <w:color w:val="000000"/>
                      <w:sz w:val="16"/>
                      <w:szCs w:val="16"/>
                      <w:lang w:eastAsia="en-AU"/>
                    </w:rPr>
                    <w:t>Regional costs and SDS (25%)</w:t>
                  </w:r>
                  <w:r w:rsidR="00877670">
                    <w:rPr>
                      <w:rFonts w:eastAsia="Times New Roman" w:cs="Open Sans Light"/>
                      <w:color w:val="000000"/>
                      <w:sz w:val="16"/>
                      <w:szCs w:val="16"/>
                      <w:lang w:eastAsia="en-AU"/>
                    </w:rPr>
                    <w:t xml:space="preserve"> (a)</w:t>
                  </w:r>
                </w:p>
              </w:tc>
              <w:tc>
                <w:tcPr>
                  <w:tcW w:w="700" w:type="dxa"/>
                  <w:tcBorders>
                    <w:top w:val="nil"/>
                    <w:left w:val="nil"/>
                    <w:bottom w:val="single" w:sz="4" w:space="0" w:color="ADD6EA"/>
                    <w:right w:val="nil"/>
                  </w:tcBorders>
                  <w:shd w:val="clear" w:color="auto" w:fill="auto"/>
                  <w:noWrap/>
                  <w:vAlign w:val="bottom"/>
                  <w:hideMark/>
                </w:tcPr>
                <w:p w14:paraId="13F5A3AD"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40</w:t>
                  </w:r>
                </w:p>
              </w:tc>
              <w:tc>
                <w:tcPr>
                  <w:tcW w:w="700" w:type="dxa"/>
                  <w:tcBorders>
                    <w:top w:val="nil"/>
                    <w:left w:val="nil"/>
                    <w:bottom w:val="single" w:sz="4" w:space="0" w:color="ADD6EA"/>
                    <w:right w:val="nil"/>
                  </w:tcBorders>
                  <w:shd w:val="clear" w:color="auto" w:fill="auto"/>
                  <w:noWrap/>
                  <w:vAlign w:val="bottom"/>
                  <w:hideMark/>
                </w:tcPr>
                <w:p w14:paraId="5194F046"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35</w:t>
                  </w:r>
                </w:p>
              </w:tc>
              <w:tc>
                <w:tcPr>
                  <w:tcW w:w="700" w:type="dxa"/>
                  <w:tcBorders>
                    <w:top w:val="nil"/>
                    <w:left w:val="nil"/>
                    <w:bottom w:val="single" w:sz="4" w:space="0" w:color="ADD6EA"/>
                    <w:right w:val="nil"/>
                  </w:tcBorders>
                  <w:shd w:val="clear" w:color="auto" w:fill="auto"/>
                  <w:noWrap/>
                  <w:vAlign w:val="bottom"/>
                  <w:hideMark/>
                </w:tcPr>
                <w:p w14:paraId="59D291C2"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-12</w:t>
                  </w:r>
                </w:p>
              </w:tc>
              <w:tc>
                <w:tcPr>
                  <w:tcW w:w="700" w:type="dxa"/>
                  <w:tcBorders>
                    <w:top w:val="nil"/>
                    <w:left w:val="nil"/>
                    <w:bottom w:val="single" w:sz="4" w:space="0" w:color="ADD6EA"/>
                    <w:right w:val="nil"/>
                  </w:tcBorders>
                  <w:shd w:val="clear" w:color="auto" w:fill="auto"/>
                  <w:noWrap/>
                  <w:vAlign w:val="bottom"/>
                  <w:hideMark/>
                </w:tcPr>
                <w:p w14:paraId="7E2EA1A1"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-21</w:t>
                  </w:r>
                </w:p>
              </w:tc>
              <w:tc>
                <w:tcPr>
                  <w:tcW w:w="700" w:type="dxa"/>
                  <w:tcBorders>
                    <w:top w:val="nil"/>
                    <w:left w:val="nil"/>
                    <w:bottom w:val="single" w:sz="4" w:space="0" w:color="ADD6EA"/>
                    <w:right w:val="nil"/>
                  </w:tcBorders>
                  <w:shd w:val="clear" w:color="auto" w:fill="auto"/>
                  <w:noWrap/>
                  <w:vAlign w:val="bottom"/>
                  <w:hideMark/>
                </w:tcPr>
                <w:p w14:paraId="5DFB9BBE"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-2</w:t>
                  </w:r>
                </w:p>
              </w:tc>
              <w:tc>
                <w:tcPr>
                  <w:tcW w:w="700" w:type="dxa"/>
                  <w:tcBorders>
                    <w:top w:val="nil"/>
                    <w:left w:val="nil"/>
                    <w:bottom w:val="single" w:sz="4" w:space="0" w:color="ADD6EA"/>
                    <w:right w:val="nil"/>
                  </w:tcBorders>
                  <w:shd w:val="clear" w:color="auto" w:fill="auto"/>
                  <w:noWrap/>
                  <w:vAlign w:val="bottom"/>
                  <w:hideMark/>
                </w:tcPr>
                <w:p w14:paraId="1892A46A"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-2</w:t>
                  </w:r>
                </w:p>
              </w:tc>
              <w:tc>
                <w:tcPr>
                  <w:tcW w:w="700" w:type="dxa"/>
                  <w:tcBorders>
                    <w:top w:val="nil"/>
                    <w:left w:val="nil"/>
                    <w:bottom w:val="single" w:sz="4" w:space="0" w:color="ADD6EA"/>
                    <w:right w:val="nil"/>
                  </w:tcBorders>
                  <w:shd w:val="clear" w:color="auto" w:fill="auto"/>
                  <w:noWrap/>
                  <w:vAlign w:val="bottom"/>
                  <w:hideMark/>
                </w:tcPr>
                <w:p w14:paraId="4CBA288F"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3</w:t>
                  </w:r>
                </w:p>
              </w:tc>
              <w:tc>
                <w:tcPr>
                  <w:tcW w:w="700" w:type="dxa"/>
                  <w:tcBorders>
                    <w:top w:val="nil"/>
                    <w:left w:val="nil"/>
                    <w:bottom w:val="single" w:sz="4" w:space="0" w:color="ADD6EA"/>
                    <w:right w:val="nil"/>
                  </w:tcBorders>
                  <w:shd w:val="clear" w:color="auto" w:fill="auto"/>
                  <w:noWrap/>
                  <w:vAlign w:val="bottom"/>
                  <w:hideMark/>
                </w:tcPr>
                <w:p w14:paraId="1CB2DCAE"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-39</w:t>
                  </w:r>
                </w:p>
              </w:tc>
              <w:tc>
                <w:tcPr>
                  <w:tcW w:w="880" w:type="dxa"/>
                  <w:tcBorders>
                    <w:top w:val="nil"/>
                    <w:left w:val="nil"/>
                    <w:bottom w:val="single" w:sz="4" w:space="0" w:color="ADD6EA"/>
                    <w:right w:val="nil"/>
                  </w:tcBorders>
                  <w:shd w:val="clear" w:color="auto" w:fill="auto"/>
                  <w:noWrap/>
                  <w:vAlign w:val="bottom"/>
                  <w:hideMark/>
                </w:tcPr>
                <w:p w14:paraId="14C8B3D0" w14:textId="77777777" w:rsidR="000E6858" w:rsidRPr="000E6858" w:rsidRDefault="000E6858" w:rsidP="000E6858">
                  <w:pPr>
                    <w:keepNext/>
                    <w:keepLines/>
                    <w:tabs>
                      <w:tab w:val="clear" w:pos="567"/>
                    </w:tabs>
                    <w:spacing w:before="0" w:line="240" w:lineRule="auto"/>
                    <w:jc w:val="right"/>
                    <w:rPr>
                      <w:rFonts w:eastAsia="Times New Roman" w:cs="Open Sans Light"/>
                      <w:color w:val="000000"/>
                      <w:sz w:val="16"/>
                      <w:szCs w:val="16"/>
                      <w:lang w:eastAsia="en-AU"/>
                    </w:rPr>
                  </w:pPr>
                  <w:r w:rsidRPr="000E6858">
                    <w:rPr>
                      <w:rFonts w:eastAsia="Times New Roman" w:cs="Open Sans Light"/>
                      <w:color w:val="000000"/>
                      <w:sz w:val="16"/>
                      <w:szCs w:val="16"/>
                      <w:lang w:eastAsia="en-AU"/>
                    </w:rPr>
                    <w:t>77</w:t>
                  </w:r>
                </w:p>
              </w:tc>
            </w:tr>
            <w:tr w:rsidR="000E6858" w:rsidRPr="00370E6C" w14:paraId="06A14A12" w14:textId="77777777" w:rsidTr="000E6858">
              <w:trPr>
                <w:trHeight w:val="315"/>
              </w:trPr>
              <w:tc>
                <w:tcPr>
                  <w:tcW w:w="2440" w:type="dxa"/>
                  <w:tcBorders>
                    <w:top w:val="nil"/>
                    <w:left w:val="nil"/>
                    <w:bottom w:val="single" w:sz="4" w:space="0" w:color="ADD6EA"/>
                    <w:right w:val="nil"/>
                  </w:tcBorders>
                  <w:shd w:val="clear" w:color="000000" w:fill="D6E7F0"/>
                  <w:noWrap/>
                  <w:vAlign w:val="bottom"/>
                  <w:hideMark/>
                </w:tcPr>
                <w:p w14:paraId="0AC4FD6D" w14:textId="77777777" w:rsidR="000E6858" w:rsidRPr="00370E6C" w:rsidRDefault="000E6858" w:rsidP="009F04E1">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370E6C">
                    <w:rPr>
                      <w:rFonts w:ascii="Open Sans Semibold" w:eastAsia="Times New Roman" w:hAnsi="Open Sans Semibold" w:cs="Open Sans Semibold"/>
                      <w:color w:val="000000"/>
                      <w:sz w:val="16"/>
                      <w:szCs w:val="16"/>
                      <w:lang w:eastAsia="en-AU"/>
                    </w:rPr>
                    <w:t>Total ($m)</w:t>
                  </w:r>
                </w:p>
              </w:tc>
              <w:tc>
                <w:tcPr>
                  <w:tcW w:w="700" w:type="dxa"/>
                  <w:tcBorders>
                    <w:top w:val="nil"/>
                    <w:left w:val="nil"/>
                    <w:bottom w:val="single" w:sz="4" w:space="0" w:color="ADD6EA"/>
                    <w:right w:val="nil"/>
                  </w:tcBorders>
                  <w:shd w:val="clear" w:color="000000" w:fill="D6E7F0"/>
                  <w:noWrap/>
                  <w:vAlign w:val="bottom"/>
                  <w:hideMark/>
                </w:tcPr>
                <w:p w14:paraId="423AEC14"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0E6C">
                    <w:rPr>
                      <w:rFonts w:ascii="Open Sans Semibold" w:eastAsia="Times New Roman" w:hAnsi="Open Sans Semibold" w:cs="Open Sans Semibold"/>
                      <w:color w:val="000000"/>
                      <w:sz w:val="16"/>
                      <w:szCs w:val="16"/>
                      <w:lang w:eastAsia="en-AU"/>
                    </w:rPr>
                    <w:t>162</w:t>
                  </w:r>
                </w:p>
              </w:tc>
              <w:tc>
                <w:tcPr>
                  <w:tcW w:w="700" w:type="dxa"/>
                  <w:tcBorders>
                    <w:top w:val="nil"/>
                    <w:left w:val="nil"/>
                    <w:bottom w:val="single" w:sz="4" w:space="0" w:color="ADD6EA"/>
                    <w:right w:val="nil"/>
                  </w:tcBorders>
                  <w:shd w:val="clear" w:color="000000" w:fill="D6E7F0"/>
                  <w:noWrap/>
                  <w:vAlign w:val="bottom"/>
                  <w:hideMark/>
                </w:tcPr>
                <w:p w14:paraId="697F9EEB"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0E6C">
                    <w:rPr>
                      <w:rFonts w:ascii="Open Sans Semibold" w:eastAsia="Times New Roman" w:hAnsi="Open Sans Semibold" w:cs="Open Sans Semibold"/>
                      <w:color w:val="000000"/>
                      <w:sz w:val="16"/>
                      <w:szCs w:val="16"/>
                      <w:lang w:eastAsia="en-AU"/>
                    </w:rPr>
                    <w:t>212</w:t>
                  </w:r>
                </w:p>
              </w:tc>
              <w:tc>
                <w:tcPr>
                  <w:tcW w:w="700" w:type="dxa"/>
                  <w:tcBorders>
                    <w:top w:val="nil"/>
                    <w:left w:val="nil"/>
                    <w:bottom w:val="single" w:sz="4" w:space="0" w:color="ADD6EA"/>
                    <w:right w:val="nil"/>
                  </w:tcBorders>
                  <w:shd w:val="clear" w:color="000000" w:fill="D6E7F0"/>
                  <w:noWrap/>
                  <w:vAlign w:val="bottom"/>
                  <w:hideMark/>
                </w:tcPr>
                <w:p w14:paraId="60008D8A"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0E6C">
                    <w:rPr>
                      <w:rFonts w:ascii="Open Sans Semibold" w:eastAsia="Times New Roman" w:hAnsi="Open Sans Semibold" w:cs="Open Sans Semibold"/>
                      <w:color w:val="000000"/>
                      <w:sz w:val="16"/>
                      <w:szCs w:val="16"/>
                      <w:lang w:eastAsia="en-AU"/>
                    </w:rPr>
                    <w:t>-128</w:t>
                  </w:r>
                </w:p>
              </w:tc>
              <w:tc>
                <w:tcPr>
                  <w:tcW w:w="700" w:type="dxa"/>
                  <w:tcBorders>
                    <w:top w:val="nil"/>
                    <w:left w:val="nil"/>
                    <w:bottom w:val="single" w:sz="4" w:space="0" w:color="ADD6EA"/>
                    <w:right w:val="nil"/>
                  </w:tcBorders>
                  <w:shd w:val="clear" w:color="000000" w:fill="D6E7F0"/>
                  <w:noWrap/>
                  <w:vAlign w:val="bottom"/>
                  <w:hideMark/>
                </w:tcPr>
                <w:p w14:paraId="1042BDC1"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0E6C">
                    <w:rPr>
                      <w:rFonts w:ascii="Open Sans Semibold" w:eastAsia="Times New Roman" w:hAnsi="Open Sans Semibold" w:cs="Open Sans Semibold"/>
                      <w:color w:val="000000"/>
                      <w:sz w:val="16"/>
                      <w:szCs w:val="16"/>
                      <w:lang w:eastAsia="en-AU"/>
                    </w:rPr>
                    <w:t>-114</w:t>
                  </w:r>
                </w:p>
              </w:tc>
              <w:tc>
                <w:tcPr>
                  <w:tcW w:w="700" w:type="dxa"/>
                  <w:tcBorders>
                    <w:top w:val="nil"/>
                    <w:left w:val="nil"/>
                    <w:bottom w:val="single" w:sz="4" w:space="0" w:color="ADD6EA"/>
                    <w:right w:val="nil"/>
                  </w:tcBorders>
                  <w:shd w:val="clear" w:color="000000" w:fill="D6E7F0"/>
                  <w:noWrap/>
                  <w:vAlign w:val="bottom"/>
                  <w:hideMark/>
                </w:tcPr>
                <w:p w14:paraId="6B7647B0"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0E6C">
                    <w:rPr>
                      <w:rFonts w:ascii="Open Sans Semibold" w:eastAsia="Times New Roman" w:hAnsi="Open Sans Semibold" w:cs="Open Sans Semibold"/>
                      <w:color w:val="000000"/>
                      <w:sz w:val="16"/>
                      <w:szCs w:val="16"/>
                      <w:lang w:eastAsia="en-AU"/>
                    </w:rPr>
                    <w:t>-21</w:t>
                  </w:r>
                </w:p>
              </w:tc>
              <w:tc>
                <w:tcPr>
                  <w:tcW w:w="700" w:type="dxa"/>
                  <w:tcBorders>
                    <w:top w:val="nil"/>
                    <w:left w:val="nil"/>
                    <w:bottom w:val="single" w:sz="4" w:space="0" w:color="ADD6EA"/>
                    <w:right w:val="nil"/>
                  </w:tcBorders>
                  <w:shd w:val="clear" w:color="000000" w:fill="D6E7F0"/>
                  <w:noWrap/>
                  <w:vAlign w:val="bottom"/>
                  <w:hideMark/>
                </w:tcPr>
                <w:p w14:paraId="33A91C15"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0E6C">
                    <w:rPr>
                      <w:rFonts w:ascii="Open Sans Semibold" w:eastAsia="Times New Roman" w:hAnsi="Open Sans Semibold" w:cs="Open Sans Semibold"/>
                      <w:color w:val="000000"/>
                      <w:sz w:val="16"/>
                      <w:szCs w:val="16"/>
                      <w:lang w:eastAsia="en-AU"/>
                    </w:rPr>
                    <w:t>-15</w:t>
                  </w:r>
                </w:p>
              </w:tc>
              <w:tc>
                <w:tcPr>
                  <w:tcW w:w="700" w:type="dxa"/>
                  <w:tcBorders>
                    <w:top w:val="nil"/>
                    <w:left w:val="nil"/>
                    <w:bottom w:val="single" w:sz="4" w:space="0" w:color="ADD6EA"/>
                    <w:right w:val="nil"/>
                  </w:tcBorders>
                  <w:shd w:val="clear" w:color="000000" w:fill="D6E7F0"/>
                  <w:noWrap/>
                  <w:vAlign w:val="bottom"/>
                  <w:hideMark/>
                </w:tcPr>
                <w:p w14:paraId="79A70FE4"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0E6C">
                    <w:rPr>
                      <w:rFonts w:ascii="Open Sans Semibold" w:eastAsia="Times New Roman" w:hAnsi="Open Sans Semibold" w:cs="Open Sans Semibold"/>
                      <w:color w:val="000000"/>
                      <w:sz w:val="16"/>
                      <w:szCs w:val="16"/>
                      <w:lang w:eastAsia="en-AU"/>
                    </w:rPr>
                    <w:t>-13</w:t>
                  </w:r>
                </w:p>
              </w:tc>
              <w:tc>
                <w:tcPr>
                  <w:tcW w:w="700" w:type="dxa"/>
                  <w:tcBorders>
                    <w:top w:val="nil"/>
                    <w:left w:val="nil"/>
                    <w:bottom w:val="single" w:sz="4" w:space="0" w:color="ADD6EA"/>
                    <w:right w:val="nil"/>
                  </w:tcBorders>
                  <w:shd w:val="clear" w:color="000000" w:fill="D6E7F0"/>
                  <w:noWrap/>
                  <w:vAlign w:val="bottom"/>
                  <w:hideMark/>
                </w:tcPr>
                <w:p w14:paraId="19199BDC"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0E6C">
                    <w:rPr>
                      <w:rFonts w:ascii="Open Sans Semibold" w:eastAsia="Times New Roman" w:hAnsi="Open Sans Semibold" w:cs="Open Sans Semibold"/>
                      <w:color w:val="000000"/>
                      <w:sz w:val="16"/>
                      <w:szCs w:val="16"/>
                      <w:lang w:eastAsia="en-AU"/>
                    </w:rPr>
                    <w:t>-82</w:t>
                  </w:r>
                </w:p>
              </w:tc>
              <w:tc>
                <w:tcPr>
                  <w:tcW w:w="880" w:type="dxa"/>
                  <w:tcBorders>
                    <w:top w:val="nil"/>
                    <w:left w:val="nil"/>
                    <w:bottom w:val="single" w:sz="4" w:space="0" w:color="ADD6EA"/>
                    <w:right w:val="nil"/>
                  </w:tcBorders>
                  <w:shd w:val="clear" w:color="000000" w:fill="D6E7F0"/>
                  <w:noWrap/>
                  <w:vAlign w:val="bottom"/>
                  <w:hideMark/>
                </w:tcPr>
                <w:p w14:paraId="067D0E7B"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0E6C">
                    <w:rPr>
                      <w:rFonts w:ascii="Open Sans Semibold" w:eastAsia="Times New Roman" w:hAnsi="Open Sans Semibold" w:cs="Open Sans Semibold"/>
                      <w:color w:val="000000"/>
                      <w:sz w:val="16"/>
                      <w:szCs w:val="16"/>
                      <w:lang w:eastAsia="en-AU"/>
                    </w:rPr>
                    <w:t>374</w:t>
                  </w:r>
                </w:p>
              </w:tc>
            </w:tr>
            <w:tr w:rsidR="000E6858" w:rsidRPr="00370E6C" w14:paraId="6DCD171A" w14:textId="77777777" w:rsidTr="000E6858">
              <w:trPr>
                <w:trHeight w:val="315"/>
              </w:trPr>
              <w:tc>
                <w:tcPr>
                  <w:tcW w:w="2440" w:type="dxa"/>
                  <w:tcBorders>
                    <w:top w:val="nil"/>
                    <w:left w:val="nil"/>
                    <w:bottom w:val="single" w:sz="4" w:space="0" w:color="ADD6EA"/>
                    <w:right w:val="nil"/>
                  </w:tcBorders>
                  <w:shd w:val="clear" w:color="000000" w:fill="D6E7F0"/>
                  <w:noWrap/>
                  <w:vAlign w:val="bottom"/>
                  <w:hideMark/>
                </w:tcPr>
                <w:p w14:paraId="74A34FA8" w14:textId="77777777" w:rsidR="000E6858" w:rsidRPr="00370E6C" w:rsidRDefault="000E6858" w:rsidP="009F04E1">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370E6C">
                    <w:rPr>
                      <w:rFonts w:ascii="Open Sans Semibold" w:eastAsia="Times New Roman" w:hAnsi="Open Sans Semibold" w:cs="Open Sans Semibold"/>
                      <w:color w:val="000000"/>
                      <w:sz w:val="16"/>
                      <w:szCs w:val="16"/>
                      <w:lang w:eastAsia="en-AU"/>
                    </w:rPr>
                    <w:t>Total ($pc)</w:t>
                  </w:r>
                </w:p>
              </w:tc>
              <w:tc>
                <w:tcPr>
                  <w:tcW w:w="700" w:type="dxa"/>
                  <w:tcBorders>
                    <w:top w:val="nil"/>
                    <w:left w:val="nil"/>
                    <w:bottom w:val="single" w:sz="4" w:space="0" w:color="ADD6EA"/>
                    <w:right w:val="nil"/>
                  </w:tcBorders>
                  <w:shd w:val="clear" w:color="000000" w:fill="D6E7F0"/>
                  <w:noWrap/>
                  <w:vAlign w:val="bottom"/>
                  <w:hideMark/>
                </w:tcPr>
                <w:p w14:paraId="3833C5EF"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0E6C">
                    <w:rPr>
                      <w:rFonts w:ascii="Open Sans Semibold" w:eastAsia="Times New Roman" w:hAnsi="Open Sans Semibold" w:cs="Open Sans Semibold"/>
                      <w:color w:val="000000"/>
                      <w:sz w:val="16"/>
                      <w:szCs w:val="16"/>
                      <w:lang w:eastAsia="en-AU"/>
                    </w:rPr>
                    <w:t>20</w:t>
                  </w:r>
                </w:p>
              </w:tc>
              <w:tc>
                <w:tcPr>
                  <w:tcW w:w="700" w:type="dxa"/>
                  <w:tcBorders>
                    <w:top w:val="nil"/>
                    <w:left w:val="nil"/>
                    <w:bottom w:val="single" w:sz="4" w:space="0" w:color="ADD6EA"/>
                    <w:right w:val="nil"/>
                  </w:tcBorders>
                  <w:shd w:val="clear" w:color="000000" w:fill="D6E7F0"/>
                  <w:noWrap/>
                  <w:vAlign w:val="bottom"/>
                  <w:hideMark/>
                </w:tcPr>
                <w:p w14:paraId="353D3CDD"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0E6C">
                    <w:rPr>
                      <w:rFonts w:ascii="Open Sans Semibold" w:eastAsia="Times New Roman" w:hAnsi="Open Sans Semibold" w:cs="Open Sans Semibold"/>
                      <w:color w:val="000000"/>
                      <w:sz w:val="16"/>
                      <w:szCs w:val="16"/>
                      <w:lang w:eastAsia="en-AU"/>
                    </w:rPr>
                    <w:t>31</w:t>
                  </w:r>
                </w:p>
              </w:tc>
              <w:tc>
                <w:tcPr>
                  <w:tcW w:w="700" w:type="dxa"/>
                  <w:tcBorders>
                    <w:top w:val="nil"/>
                    <w:left w:val="nil"/>
                    <w:bottom w:val="single" w:sz="4" w:space="0" w:color="ADD6EA"/>
                    <w:right w:val="nil"/>
                  </w:tcBorders>
                  <w:shd w:val="clear" w:color="000000" w:fill="D6E7F0"/>
                  <w:noWrap/>
                  <w:vAlign w:val="bottom"/>
                  <w:hideMark/>
                </w:tcPr>
                <w:p w14:paraId="0954B85D"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0E6C">
                    <w:rPr>
                      <w:rFonts w:ascii="Open Sans Semibold" w:eastAsia="Times New Roman" w:hAnsi="Open Sans Semibold" w:cs="Open Sans Semibold"/>
                      <w:color w:val="000000"/>
                      <w:sz w:val="16"/>
                      <w:szCs w:val="16"/>
                      <w:lang w:eastAsia="en-AU"/>
                    </w:rPr>
                    <w:t>-25</w:t>
                  </w:r>
                </w:p>
              </w:tc>
              <w:tc>
                <w:tcPr>
                  <w:tcW w:w="700" w:type="dxa"/>
                  <w:tcBorders>
                    <w:top w:val="nil"/>
                    <w:left w:val="nil"/>
                    <w:bottom w:val="single" w:sz="4" w:space="0" w:color="ADD6EA"/>
                    <w:right w:val="nil"/>
                  </w:tcBorders>
                  <w:shd w:val="clear" w:color="000000" w:fill="D6E7F0"/>
                  <w:noWrap/>
                  <w:vAlign w:val="bottom"/>
                  <w:hideMark/>
                </w:tcPr>
                <w:p w14:paraId="1231859B"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0E6C">
                    <w:rPr>
                      <w:rFonts w:ascii="Open Sans Semibold" w:eastAsia="Times New Roman" w:hAnsi="Open Sans Semibold" w:cs="Open Sans Semibold"/>
                      <w:color w:val="000000"/>
                      <w:sz w:val="16"/>
                      <w:szCs w:val="16"/>
                      <w:lang w:eastAsia="en-AU"/>
                    </w:rPr>
                    <w:t>-43</w:t>
                  </w:r>
                </w:p>
              </w:tc>
              <w:tc>
                <w:tcPr>
                  <w:tcW w:w="700" w:type="dxa"/>
                  <w:tcBorders>
                    <w:top w:val="nil"/>
                    <w:left w:val="nil"/>
                    <w:bottom w:val="single" w:sz="4" w:space="0" w:color="ADD6EA"/>
                    <w:right w:val="nil"/>
                  </w:tcBorders>
                  <w:shd w:val="clear" w:color="000000" w:fill="D6E7F0"/>
                  <w:noWrap/>
                  <w:vAlign w:val="bottom"/>
                  <w:hideMark/>
                </w:tcPr>
                <w:p w14:paraId="10DF392B"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0E6C">
                    <w:rPr>
                      <w:rFonts w:ascii="Open Sans Semibold" w:eastAsia="Times New Roman" w:hAnsi="Open Sans Semibold" w:cs="Open Sans Semibold"/>
                      <w:color w:val="000000"/>
                      <w:sz w:val="16"/>
                      <w:szCs w:val="16"/>
                      <w:lang w:eastAsia="en-AU"/>
                    </w:rPr>
                    <w:t>-12</w:t>
                  </w:r>
                </w:p>
              </w:tc>
              <w:tc>
                <w:tcPr>
                  <w:tcW w:w="700" w:type="dxa"/>
                  <w:tcBorders>
                    <w:top w:val="nil"/>
                    <w:left w:val="nil"/>
                    <w:bottom w:val="single" w:sz="4" w:space="0" w:color="ADD6EA"/>
                    <w:right w:val="nil"/>
                  </w:tcBorders>
                  <w:shd w:val="clear" w:color="000000" w:fill="D6E7F0"/>
                  <w:noWrap/>
                  <w:vAlign w:val="bottom"/>
                  <w:hideMark/>
                </w:tcPr>
                <w:p w14:paraId="5EA0E064"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0E6C">
                    <w:rPr>
                      <w:rFonts w:ascii="Open Sans Semibold" w:eastAsia="Times New Roman" w:hAnsi="Open Sans Semibold" w:cs="Open Sans Semibold"/>
                      <w:color w:val="000000"/>
                      <w:sz w:val="16"/>
                      <w:szCs w:val="16"/>
                      <w:lang w:eastAsia="en-AU"/>
                    </w:rPr>
                    <w:t>-28</w:t>
                  </w:r>
                </w:p>
              </w:tc>
              <w:tc>
                <w:tcPr>
                  <w:tcW w:w="700" w:type="dxa"/>
                  <w:tcBorders>
                    <w:top w:val="nil"/>
                    <w:left w:val="nil"/>
                    <w:bottom w:val="single" w:sz="4" w:space="0" w:color="ADD6EA"/>
                    <w:right w:val="nil"/>
                  </w:tcBorders>
                  <w:shd w:val="clear" w:color="000000" w:fill="D6E7F0"/>
                  <w:noWrap/>
                  <w:vAlign w:val="bottom"/>
                  <w:hideMark/>
                </w:tcPr>
                <w:p w14:paraId="5CCD37E4"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0E6C">
                    <w:rPr>
                      <w:rFonts w:ascii="Open Sans Semibold" w:eastAsia="Times New Roman" w:hAnsi="Open Sans Semibold" w:cs="Open Sans Semibold"/>
                      <w:color w:val="000000"/>
                      <w:sz w:val="16"/>
                      <w:szCs w:val="16"/>
                      <w:lang w:eastAsia="en-AU"/>
                    </w:rPr>
                    <w:t>-30</w:t>
                  </w:r>
                </w:p>
              </w:tc>
              <w:tc>
                <w:tcPr>
                  <w:tcW w:w="700" w:type="dxa"/>
                  <w:tcBorders>
                    <w:top w:val="nil"/>
                    <w:left w:val="nil"/>
                    <w:bottom w:val="single" w:sz="4" w:space="0" w:color="ADD6EA"/>
                    <w:right w:val="nil"/>
                  </w:tcBorders>
                  <w:shd w:val="clear" w:color="000000" w:fill="D6E7F0"/>
                  <w:noWrap/>
                  <w:vAlign w:val="bottom"/>
                  <w:hideMark/>
                </w:tcPr>
                <w:p w14:paraId="47E5FE51"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0E6C">
                    <w:rPr>
                      <w:rFonts w:ascii="Open Sans Semibold" w:eastAsia="Times New Roman" w:hAnsi="Open Sans Semibold" w:cs="Open Sans Semibold"/>
                      <w:color w:val="000000"/>
                      <w:sz w:val="16"/>
                      <w:szCs w:val="16"/>
                      <w:lang w:eastAsia="en-AU"/>
                    </w:rPr>
                    <w:t>-333</w:t>
                  </w:r>
                </w:p>
              </w:tc>
              <w:tc>
                <w:tcPr>
                  <w:tcW w:w="880" w:type="dxa"/>
                  <w:tcBorders>
                    <w:top w:val="nil"/>
                    <w:left w:val="nil"/>
                    <w:bottom w:val="single" w:sz="4" w:space="0" w:color="ADD6EA"/>
                    <w:right w:val="nil"/>
                  </w:tcBorders>
                  <w:shd w:val="clear" w:color="000000" w:fill="D6E7F0"/>
                  <w:noWrap/>
                  <w:vAlign w:val="bottom"/>
                  <w:hideMark/>
                </w:tcPr>
                <w:p w14:paraId="5D5A571F" w14:textId="77777777" w:rsidR="000E6858" w:rsidRPr="00370E6C" w:rsidRDefault="000E6858" w:rsidP="000E6858">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0E6C">
                    <w:rPr>
                      <w:rFonts w:ascii="Open Sans Semibold" w:eastAsia="Times New Roman" w:hAnsi="Open Sans Semibold" w:cs="Open Sans Semibold"/>
                      <w:color w:val="000000"/>
                      <w:sz w:val="16"/>
                      <w:szCs w:val="16"/>
                      <w:lang w:eastAsia="en-AU"/>
                    </w:rPr>
                    <w:t>14</w:t>
                  </w:r>
                </w:p>
              </w:tc>
            </w:tr>
          </w:tbl>
          <w:p w14:paraId="2BD0DC1B" w14:textId="77777777" w:rsidR="00370E6C" w:rsidRDefault="00370E6C" w:rsidP="00370E6C">
            <w:pPr>
              <w:pStyle w:val="CGCTablenote"/>
            </w:pPr>
            <w:r w:rsidRPr="00034E9B">
              <w:t xml:space="preserve">Note: </w:t>
            </w:r>
            <w:r>
              <w:tab/>
            </w:r>
            <w:r w:rsidRPr="00034E9B">
              <w:t>For a comparison of the effects of discounting in the 2015 Review, see pages 18-19 of Volume 2 of the 2015 Review report.</w:t>
            </w:r>
          </w:p>
          <w:p w14:paraId="6B950615" w14:textId="77777777" w:rsidR="00BE3AC3" w:rsidRDefault="00BE3AC3" w:rsidP="00BE3AC3">
            <w:pPr>
              <w:pStyle w:val="CGCTablenote"/>
            </w:pPr>
            <w:r w:rsidRPr="00370E6C">
              <w:t>(a</w:t>
            </w:r>
            <w:r>
              <w:t>)</w:t>
            </w:r>
            <w:r>
              <w:tab/>
              <w:t>SDS refers to service delivery scale. The only assessment affected by the discount to the SDS general gradient is the child protection and family services assessment in the Welfare category.</w:t>
            </w:r>
          </w:p>
          <w:bookmarkEnd w:id="133"/>
          <w:p w14:paraId="54B43911" w14:textId="4D2BA92C" w:rsidR="00CA57AD" w:rsidRPr="00644372" w:rsidRDefault="00CA57AD" w:rsidP="00644372">
            <w:pPr>
              <w:pStyle w:val="CGCTablenote"/>
            </w:pPr>
            <w:r w:rsidRPr="00644372">
              <w:t>Source:</w:t>
            </w:r>
            <w:r w:rsidRPr="00644372">
              <w:tab/>
              <w:t>Commission calculation</w:t>
            </w:r>
            <w:r w:rsidR="00757AC1" w:rsidRPr="00644372">
              <w:t>.</w:t>
            </w:r>
          </w:p>
        </w:tc>
      </w:tr>
    </w:tbl>
    <w:p w14:paraId="510B86DB" w14:textId="45E5C231" w:rsidR="00CA57AD" w:rsidRPr="00034E9B" w:rsidRDefault="00CA57AD" w:rsidP="00DC5A36">
      <w:pPr>
        <w:pStyle w:val="CGCParaNumber"/>
        <w:numPr>
          <w:ilvl w:val="0"/>
          <w:numId w:val="2"/>
        </w:numPr>
        <w:ind w:left="567" w:hanging="567"/>
        <w:rPr>
          <w:lang w:val="en-AU"/>
        </w:rPr>
      </w:pPr>
      <w:r w:rsidRPr="00034E9B">
        <w:rPr>
          <w:lang w:val="en-AU"/>
        </w:rPr>
        <w:t xml:space="preserve">Queensland, South Australia, Tasmania and the ACT agreed with the Commission’s approach to discounting. These States considered the current levels of discounting acceptable. </w:t>
      </w:r>
    </w:p>
    <w:p w14:paraId="424158B9" w14:textId="77777777" w:rsidR="00CA57AD" w:rsidRPr="00034E9B" w:rsidRDefault="00CA57AD" w:rsidP="00DC5A36">
      <w:pPr>
        <w:pStyle w:val="CGCParaNumber"/>
        <w:numPr>
          <w:ilvl w:val="0"/>
          <w:numId w:val="2"/>
        </w:numPr>
        <w:ind w:left="567" w:hanging="567"/>
        <w:rPr>
          <w:lang w:val="en-AU"/>
        </w:rPr>
      </w:pPr>
      <w:r w:rsidRPr="00034E9B">
        <w:rPr>
          <w:lang w:val="en-AU"/>
        </w:rPr>
        <w:t xml:space="preserve">The Northern Territory considered that use of discounting should be more limited and the Commission should work with data providers to improve national datasets. Where a national </w:t>
      </w:r>
      <w:r w:rsidRPr="00034E9B">
        <w:rPr>
          <w:lang w:val="en-AU"/>
        </w:rPr>
        <w:lastRenderedPageBreak/>
        <w:t xml:space="preserve">dataset is designated the best available, the Northern Territory argued it should be used unadjusted. </w:t>
      </w:r>
    </w:p>
    <w:p w14:paraId="5FF590E4" w14:textId="77777777" w:rsidR="00CA57AD" w:rsidRPr="00034E9B" w:rsidRDefault="00CA57AD" w:rsidP="00DC5A36">
      <w:pPr>
        <w:pStyle w:val="CGCParaNumber"/>
        <w:numPr>
          <w:ilvl w:val="0"/>
          <w:numId w:val="2"/>
        </w:numPr>
        <w:ind w:left="567" w:hanging="567"/>
        <w:rPr>
          <w:lang w:val="en-AU"/>
        </w:rPr>
      </w:pPr>
      <w:r w:rsidRPr="00034E9B">
        <w:rPr>
          <w:lang w:val="en-AU"/>
        </w:rPr>
        <w:t xml:space="preserve">Western Australia said the application of discounting is selective and inconsistent, which biases HFE. It argued that discounting the best available information usually entails a risk of moving one or more jurisdictions away from a better HFE outcome. For example, it said the wages assessment significantly understates Western Australia’s wage pressures, so that discounting would move the assessment even further away from HFE. It suggested using a global discount as an alternative to a profusion of individual discounts. </w:t>
      </w:r>
    </w:p>
    <w:p w14:paraId="6AC452F1" w14:textId="77777777" w:rsidR="00CA57AD" w:rsidRPr="00034E9B" w:rsidRDefault="00CA57AD" w:rsidP="00DC5A36">
      <w:pPr>
        <w:pStyle w:val="CGCParaNumber"/>
        <w:numPr>
          <w:ilvl w:val="0"/>
          <w:numId w:val="2"/>
        </w:numPr>
        <w:ind w:left="567" w:hanging="567"/>
        <w:rPr>
          <w:lang w:val="en-AU"/>
        </w:rPr>
      </w:pPr>
      <w:r w:rsidRPr="00034E9B">
        <w:rPr>
          <w:lang w:val="en-AU"/>
        </w:rPr>
        <w:t xml:space="preserve">Although Victoria raised concerns about the removal of some discounts, it also said that if the Commission is only able to deliver proximate equalisation then the widespread use of discounting is not required. </w:t>
      </w:r>
    </w:p>
    <w:p w14:paraId="08AED8C5" w14:textId="77777777" w:rsidR="00CA57AD" w:rsidRPr="00034E9B" w:rsidRDefault="00CA57AD" w:rsidP="00DC5A36">
      <w:pPr>
        <w:pStyle w:val="CGCParaNumber"/>
        <w:numPr>
          <w:ilvl w:val="0"/>
          <w:numId w:val="2"/>
        </w:numPr>
        <w:ind w:left="567" w:hanging="567"/>
        <w:rPr>
          <w:lang w:val="en-AU"/>
        </w:rPr>
      </w:pPr>
      <w:r w:rsidRPr="00034E9B">
        <w:rPr>
          <w:lang w:val="en-AU"/>
        </w:rPr>
        <w:t>New South Wales objected to discounting because it relies on judgment.</w:t>
      </w:r>
    </w:p>
    <w:p w14:paraId="36BEC2BA" w14:textId="6B0314A3" w:rsidR="00CA57AD" w:rsidRPr="00034E9B" w:rsidRDefault="00CA57AD" w:rsidP="00DC5A36">
      <w:pPr>
        <w:pStyle w:val="CGCParaNumber"/>
        <w:numPr>
          <w:ilvl w:val="0"/>
          <w:numId w:val="2"/>
        </w:numPr>
        <w:ind w:left="567" w:hanging="567"/>
        <w:rPr>
          <w:lang w:val="en-AU"/>
        </w:rPr>
      </w:pPr>
      <w:r w:rsidRPr="00034E9B">
        <w:rPr>
          <w:lang w:val="en-AU"/>
        </w:rPr>
        <w:t xml:space="preserve">Overall, States are either comfortable with the level of discounting </w:t>
      </w:r>
      <w:r w:rsidR="00634B1B">
        <w:rPr>
          <w:lang w:val="en-AU"/>
        </w:rPr>
        <w:t xml:space="preserve">in the 2015 Review </w:t>
      </w:r>
      <w:r w:rsidRPr="00034E9B">
        <w:rPr>
          <w:lang w:val="en-AU"/>
        </w:rPr>
        <w:t>or would prefer less discounting. As explained above, the Commission uses discounting as a tool to better achieve HFE while recognising the limitations of the data and methods for measuring disabilities. The Commission consider</w:t>
      </w:r>
      <w:r w:rsidR="000C25C6">
        <w:rPr>
          <w:lang w:val="en-AU"/>
        </w:rPr>
        <w:t>s</w:t>
      </w:r>
      <w:r w:rsidRPr="00034E9B">
        <w:rPr>
          <w:lang w:val="en-AU"/>
        </w:rPr>
        <w:t xml:space="preserve"> that the discounts it applied reflects appropriately the level of concern with the available data used in assessments. </w:t>
      </w:r>
    </w:p>
    <w:p w14:paraId="4F412625" w14:textId="77777777" w:rsidR="00CA57AD" w:rsidRPr="00034E9B" w:rsidRDefault="00CA57AD" w:rsidP="00DC5A36">
      <w:pPr>
        <w:pStyle w:val="CGCParaNumber"/>
        <w:numPr>
          <w:ilvl w:val="0"/>
          <w:numId w:val="2"/>
        </w:numPr>
        <w:ind w:left="567" w:hanging="567"/>
        <w:rPr>
          <w:lang w:val="en-AU"/>
        </w:rPr>
      </w:pPr>
      <w:r w:rsidRPr="00034E9B">
        <w:rPr>
          <w:lang w:val="en-AU"/>
        </w:rPr>
        <w:t>While the Commission considers discounting as a tool to better achieve HFE, there are instances when the Commission does not consider discounting appropriate. For example, the Commission does not discount the best available estimates of national revenue or spending, such as those derived from ABS Government Finance Statistics. In addition, the Commission considers that discounting is also not appropriate for judgment-based estimates, such as the proportion of expenses to which a disability should be applied, because in making that judgment the Commission would already have incorporated all relevant information and weighted it according to its reliability.</w:t>
      </w:r>
    </w:p>
    <w:p w14:paraId="11614BB6" w14:textId="77777777" w:rsidR="00CA57AD" w:rsidRPr="00034E9B" w:rsidRDefault="00CA57AD" w:rsidP="00DC5A36">
      <w:pPr>
        <w:pStyle w:val="CGCParaNumber"/>
        <w:numPr>
          <w:ilvl w:val="0"/>
          <w:numId w:val="2"/>
        </w:numPr>
        <w:ind w:left="567" w:hanging="567"/>
        <w:rPr>
          <w:lang w:val="en-AU"/>
        </w:rPr>
      </w:pPr>
      <w:r w:rsidRPr="00034E9B">
        <w:rPr>
          <w:lang w:val="en-AU"/>
        </w:rPr>
        <w:t>Queensland supported the use of discounting to address policy neutrality issues in the mining assessment. The Commission has not used discounts to address concerns about policy neutrality or general uncertainty. As discussed under policy neutrality in Chapter 2, while conceptually differences in tax rates or State development policies may affect the observed bases, the Commission’s view is that discounting does not necessarily move assessments in a direction appropriate to achieving HFE.</w:t>
      </w:r>
    </w:p>
    <w:p w14:paraId="5CA238AB" w14:textId="77777777" w:rsidR="00CA57AD" w:rsidRPr="00034E9B" w:rsidRDefault="00CA57AD" w:rsidP="00B80D74">
      <w:pPr>
        <w:pStyle w:val="Heading4"/>
      </w:pPr>
      <w:bookmarkStart w:id="134" w:name="_Toc493766182"/>
      <w:bookmarkStart w:id="135" w:name="_Toc493766530"/>
      <w:bookmarkStart w:id="136" w:name="_Toc7003295"/>
      <w:bookmarkStart w:id="137" w:name="_Toc7004004"/>
      <w:bookmarkStart w:id="138" w:name="_Toc26890322"/>
      <w:r w:rsidRPr="00034E9B">
        <w:t>Materiality thresholds</w:t>
      </w:r>
      <w:bookmarkEnd w:id="134"/>
      <w:bookmarkEnd w:id="135"/>
      <w:bookmarkEnd w:id="136"/>
      <w:bookmarkEnd w:id="137"/>
      <w:bookmarkEnd w:id="138"/>
    </w:p>
    <w:p w14:paraId="5664D0C3" w14:textId="77777777" w:rsidR="00CA57AD" w:rsidRPr="00034E9B" w:rsidRDefault="00CA57AD" w:rsidP="00DC5A36">
      <w:pPr>
        <w:pStyle w:val="CGCParaNumber"/>
        <w:numPr>
          <w:ilvl w:val="0"/>
          <w:numId w:val="2"/>
        </w:numPr>
        <w:ind w:left="567" w:hanging="567"/>
        <w:rPr>
          <w:lang w:val="en-AU"/>
        </w:rPr>
      </w:pPr>
      <w:r w:rsidRPr="00034E9B">
        <w:rPr>
          <w:lang w:val="en-AU"/>
        </w:rPr>
        <w:t>In the 2010 Review, the Commission introduced materiality thresholds to help achieve greater simplicity. They were retained with higher thresholds in the 2015 Review. Materiality thresholds were set with reference to the effect an assessment had on the GST distribution in the application year.</w:t>
      </w:r>
    </w:p>
    <w:p w14:paraId="74A99E1B" w14:textId="35B44461" w:rsidR="00CA57AD" w:rsidRPr="00034E9B" w:rsidRDefault="00CA57AD" w:rsidP="00DC5A36">
      <w:pPr>
        <w:pStyle w:val="CGCParaNumber"/>
        <w:numPr>
          <w:ilvl w:val="0"/>
          <w:numId w:val="2"/>
        </w:numPr>
        <w:ind w:left="567" w:hanging="567"/>
        <w:rPr>
          <w:lang w:val="en-AU"/>
        </w:rPr>
      </w:pPr>
      <w:r w:rsidRPr="00034E9B">
        <w:rPr>
          <w:lang w:val="en-AU"/>
        </w:rPr>
        <w:t xml:space="preserve">The Commission considers that </w:t>
      </w:r>
      <w:r w:rsidR="00A80E98">
        <w:rPr>
          <w:lang w:val="en-AU"/>
        </w:rPr>
        <w:t>retaining</w:t>
      </w:r>
      <w:r w:rsidRPr="00034E9B">
        <w:rPr>
          <w:lang w:val="en-AU"/>
        </w:rPr>
        <w:t xml:space="preserve"> materiality thresholds is an effective way of maintaining simplicity in its assessments. It ensures that attention focuses on the major drivers of differences between the States. The large increase in the disability threshold applied in the 2015 Review achieved its goal of limiting the number of disabilities assessed by the Commission to those that have a substantive effect on the States</w:t>
      </w:r>
      <w:r w:rsidR="00FD64AE">
        <w:rPr>
          <w:lang w:val="en-AU"/>
        </w:rPr>
        <w:t>’</w:t>
      </w:r>
      <w:r w:rsidRPr="00034E9B">
        <w:rPr>
          <w:lang w:val="en-AU"/>
        </w:rPr>
        <w:t xml:space="preserve"> revenue and spending.</w:t>
      </w:r>
    </w:p>
    <w:p w14:paraId="2A2366C6" w14:textId="77777777" w:rsidR="00CA57AD" w:rsidRPr="00034E9B" w:rsidRDefault="00CA57AD" w:rsidP="00DC5A36">
      <w:pPr>
        <w:pStyle w:val="CGCParaNumber"/>
        <w:numPr>
          <w:ilvl w:val="0"/>
          <w:numId w:val="2"/>
        </w:numPr>
        <w:ind w:left="567" w:hanging="567"/>
        <w:rPr>
          <w:lang w:val="en-AU"/>
        </w:rPr>
      </w:pPr>
      <w:r w:rsidRPr="00034E9B">
        <w:rPr>
          <w:lang w:val="en-AU"/>
        </w:rPr>
        <w:t xml:space="preserve">In this review, the Commission decided to increase the threshold only to the extent that it retains its value after adjusting for price and wages increases. Consistent with this, the </w:t>
      </w:r>
      <w:r w:rsidRPr="00034E9B">
        <w:rPr>
          <w:lang w:val="en-AU"/>
        </w:rPr>
        <w:lastRenderedPageBreak/>
        <w:t>Commission used a disability threshold of $35 per capita (up from $30 per capita) for any State for this review. The threshold for data adjustments remained at $10 per capita.</w:t>
      </w:r>
    </w:p>
    <w:p w14:paraId="2B2A823D" w14:textId="77777777" w:rsidR="00CA57AD" w:rsidRPr="00034E9B" w:rsidRDefault="00CA57AD" w:rsidP="00DC5A36">
      <w:pPr>
        <w:pStyle w:val="CGCParaNumber"/>
        <w:numPr>
          <w:ilvl w:val="0"/>
          <w:numId w:val="2"/>
        </w:numPr>
        <w:ind w:left="567" w:hanging="567"/>
        <w:rPr>
          <w:lang w:val="en-AU"/>
        </w:rPr>
      </w:pPr>
      <w:r w:rsidRPr="00034E9B">
        <w:rPr>
          <w:lang w:val="en-AU"/>
        </w:rPr>
        <w:t>In summary, the Commission uses materiality thresholds to handle two circumstances.</w:t>
      </w:r>
    </w:p>
    <w:p w14:paraId="18D31C81" w14:textId="77777777" w:rsidR="00CA57AD" w:rsidRPr="00034E9B" w:rsidRDefault="00CA57AD" w:rsidP="00DC5A36">
      <w:pPr>
        <w:pStyle w:val="CGCBullet1"/>
        <w:numPr>
          <w:ilvl w:val="0"/>
          <w:numId w:val="3"/>
        </w:numPr>
        <w:ind w:left="924" w:hanging="357"/>
      </w:pPr>
      <w:r w:rsidRPr="00034E9B">
        <w:rPr>
          <w:rStyle w:val="Heading6Char"/>
        </w:rPr>
        <w:t>Disability assessment.</w:t>
      </w:r>
      <w:r w:rsidRPr="00034E9B">
        <w:t xml:space="preserve"> A disability is considered material if it redistributes more than $35 per capita for any State, across all categories. When the threshold is reached, the disability is included in all assessments where there is a conceptual case for including it and this can be done reliably, regardless of its materiality in individual assessments. </w:t>
      </w:r>
    </w:p>
    <w:p w14:paraId="75F93922" w14:textId="77777777" w:rsidR="00CA57AD" w:rsidRPr="00034E9B" w:rsidRDefault="00CA57AD" w:rsidP="00DC5A36">
      <w:pPr>
        <w:pStyle w:val="CGCBullet1"/>
        <w:numPr>
          <w:ilvl w:val="0"/>
          <w:numId w:val="3"/>
        </w:numPr>
        <w:ind w:left="924" w:hanging="357"/>
      </w:pPr>
      <w:r w:rsidRPr="00034E9B">
        <w:rPr>
          <w:rStyle w:val="Heading6Char"/>
        </w:rPr>
        <w:t>Data adjustments.</w:t>
      </w:r>
      <w:r w:rsidRPr="009B7312">
        <w:rPr>
          <w:rFonts w:eastAsiaTheme="majorEastAsia" w:cstheme="majorBidi"/>
          <w:bCs/>
          <w:color w:val="2C8558"/>
          <w:sz w:val="28"/>
        </w:rPr>
        <w:t xml:space="preserve"> </w:t>
      </w:r>
      <w:r w:rsidRPr="00034E9B">
        <w:t>Data are adjusted where necessary to improve interstate comparability, but only if the adjustment redistributes more than $10 per capita for any State.</w:t>
      </w:r>
    </w:p>
    <w:p w14:paraId="7511B6FF" w14:textId="77777777" w:rsidR="00CA57AD" w:rsidRPr="00034E9B" w:rsidRDefault="00CA57AD" w:rsidP="00DC5A36">
      <w:pPr>
        <w:pStyle w:val="CGCParaNumber"/>
        <w:numPr>
          <w:ilvl w:val="0"/>
          <w:numId w:val="2"/>
        </w:numPr>
        <w:ind w:left="567" w:hanging="567"/>
        <w:rPr>
          <w:lang w:val="en-AU"/>
        </w:rPr>
      </w:pPr>
      <w:r w:rsidRPr="00034E9B">
        <w:rPr>
          <w:lang w:val="en-AU"/>
        </w:rPr>
        <w:t xml:space="preserve">Previously, materiality thresholds have been expressed in terms of the effect of a disability or data adjustment on the GST distribution. In this review and going forward, the materiality test uses the redistribution from an EPC assessment of revenue or expenditure, averaged over the three assessment years. This is to recognise that there is no longer complete congruence between the assessment of fiscal capacities and the final distribution of GST. </w:t>
      </w:r>
    </w:p>
    <w:p w14:paraId="43A65956" w14:textId="0A9F43CA" w:rsidR="00CA57AD" w:rsidRPr="00034E9B" w:rsidRDefault="00CA57AD" w:rsidP="00DC5A36">
      <w:pPr>
        <w:pStyle w:val="CGCParaNumber"/>
        <w:numPr>
          <w:ilvl w:val="0"/>
          <w:numId w:val="2"/>
        </w:numPr>
        <w:ind w:left="567" w:hanging="567"/>
        <w:rPr>
          <w:lang w:val="en-AU"/>
        </w:rPr>
      </w:pPr>
      <w:r w:rsidRPr="00034E9B">
        <w:rPr>
          <w:lang w:val="en-AU"/>
        </w:rPr>
        <w:t>Since this was not a ‘clean-slate’ review, the Commission adopted a pragmatic approach to applying materiality thresholds. Initially, the Commission said it intended to apply a $35 per capita materiality threshold for disaggregating a disability in the socio</w:t>
      </w:r>
      <w:r w:rsidR="00395733">
        <w:rPr>
          <w:lang w:val="en-AU"/>
        </w:rPr>
        <w:noBreakHyphen/>
      </w:r>
      <w:r w:rsidRPr="00034E9B">
        <w:rPr>
          <w:lang w:val="en-AU"/>
        </w:rPr>
        <w:t>demographic composition (SDC) assessments. The Commission found that implementing this threshold was problematic. For example, the decision to disaggregate remote and very remote populations in the health assessment was just below a materiality threshold of $35</w:t>
      </w:r>
      <w:r w:rsidR="008C08C3">
        <w:rPr>
          <w:lang w:val="en-AU"/>
        </w:rPr>
        <w:t> </w:t>
      </w:r>
      <w:r w:rsidRPr="00034E9B">
        <w:rPr>
          <w:lang w:val="en-AU"/>
        </w:rPr>
        <w:t>per capita. However, the Commission disaggregates remote and very remote populations in other assessments, for example schools. It seemed inconsistent with the disability assessment threshold not to split remote and very remote populations in health. In other cases, it was material to split SES groups, but the use patterns that emerged from further splitting did not align with the underlying conceptual case for the disability. In addition, there are interactions between disabilities that further complicate the measurement of materiality. Therefore, the Commission decided to take a more pragmatic approach to decisions on the level of disaggregation to adopt in the SDC assessments, having regard to materiality and the conceptual case for different levels of disaggregation.</w:t>
      </w:r>
    </w:p>
    <w:p w14:paraId="5FBE0617" w14:textId="2DDD28B6" w:rsidR="00CA57AD" w:rsidRPr="00034E9B" w:rsidRDefault="00CA57AD" w:rsidP="00DC5A36">
      <w:pPr>
        <w:pStyle w:val="CGCParaNumber"/>
        <w:numPr>
          <w:ilvl w:val="0"/>
          <w:numId w:val="2"/>
        </w:numPr>
        <w:ind w:left="567" w:hanging="567"/>
        <w:rPr>
          <w:lang w:val="en-AU"/>
        </w:rPr>
      </w:pPr>
      <w:r w:rsidRPr="00034E9B">
        <w:rPr>
          <w:lang w:val="en-AU"/>
        </w:rPr>
        <w:t>New South Wales and Queensland supported higher materiality thresholds ($60 and $50</w:t>
      </w:r>
      <w:r w:rsidR="008C08C3">
        <w:rPr>
          <w:lang w:val="en-AU"/>
        </w:rPr>
        <w:t> </w:t>
      </w:r>
      <w:r w:rsidRPr="00034E9B">
        <w:rPr>
          <w:lang w:val="en-AU"/>
        </w:rPr>
        <w:t xml:space="preserve">per capita respectively) as this would lead to broader assessments and greater simplification while continuing to recognise the fiscal circumstances of recipient States. Western Australia did not suggest a threshold but said the Commission needs to be more consistent and transparent in applying materiality thresholds. It also said the current approach encourages marginal changes to assessments rather </w:t>
      </w:r>
      <w:r w:rsidR="00BA3E10">
        <w:rPr>
          <w:lang w:val="en-AU"/>
        </w:rPr>
        <w:t xml:space="preserve">than </w:t>
      </w:r>
      <w:r w:rsidRPr="00034E9B">
        <w:rPr>
          <w:lang w:val="en-AU"/>
        </w:rPr>
        <w:t>fundamental reviews that would consider broader assessments.</w:t>
      </w:r>
    </w:p>
    <w:p w14:paraId="17FC95FF" w14:textId="77777777" w:rsidR="00CA57AD" w:rsidRPr="00034E9B" w:rsidRDefault="00CA57AD" w:rsidP="00DC5A36">
      <w:pPr>
        <w:pStyle w:val="CGCParaNumber"/>
        <w:numPr>
          <w:ilvl w:val="0"/>
          <w:numId w:val="2"/>
        </w:numPr>
        <w:ind w:left="567" w:hanging="567"/>
        <w:rPr>
          <w:lang w:val="en-AU"/>
        </w:rPr>
      </w:pPr>
      <w:r w:rsidRPr="00034E9B">
        <w:rPr>
          <w:lang w:val="en-AU"/>
        </w:rPr>
        <w:t>Victoria, South Australia and Tasmania supported the current thresholds but did not support further increases beyond adjustments to maintain their real value. Victoria also noted that a case could be mounted for reducing the threshold because the size of the redistribution task is currently declining. The ACT and Northern Territory opposed materiality thresholds because they undermine HFE.</w:t>
      </w:r>
    </w:p>
    <w:p w14:paraId="501311DB" w14:textId="77777777" w:rsidR="00CA57AD" w:rsidRPr="00034E9B" w:rsidRDefault="00CA57AD" w:rsidP="00DC5A36">
      <w:pPr>
        <w:pStyle w:val="CGCParaNumber"/>
        <w:numPr>
          <w:ilvl w:val="0"/>
          <w:numId w:val="2"/>
        </w:numPr>
        <w:ind w:left="567" w:hanging="567"/>
        <w:rPr>
          <w:lang w:val="en-AU"/>
        </w:rPr>
      </w:pPr>
      <w:r w:rsidRPr="00034E9B">
        <w:rPr>
          <w:lang w:val="en-AU"/>
        </w:rPr>
        <w:t xml:space="preserve">On balance, the Commission considers the thresholds strike the right balance between achieving HFE and maintaining simplification gains from the previous two methodology reviews. Since this review started with 2015 Review methods and not a clean slate, the </w:t>
      </w:r>
      <w:r w:rsidRPr="00034E9B">
        <w:rPr>
          <w:lang w:val="en-AU"/>
        </w:rPr>
        <w:lastRenderedPageBreak/>
        <w:t>Commission applies materiality tests in many instances by considering the effects of a change to current methods. However, this has not prevented consideration of new assessment approaches, consistent with HFE, using new data sources or methods, as suggested by Western Australia.</w:t>
      </w:r>
    </w:p>
    <w:p w14:paraId="06A0DD92" w14:textId="40347EF3" w:rsidR="00CA57AD" w:rsidRPr="00034E9B" w:rsidRDefault="00CA57AD" w:rsidP="00DC5A36">
      <w:pPr>
        <w:pStyle w:val="CGCParaNumber"/>
        <w:numPr>
          <w:ilvl w:val="0"/>
          <w:numId w:val="2"/>
        </w:numPr>
        <w:ind w:left="567" w:hanging="567"/>
        <w:rPr>
          <w:lang w:val="en-AU"/>
        </w:rPr>
      </w:pPr>
      <w:r w:rsidRPr="00034E9B">
        <w:rPr>
          <w:lang w:val="en-AU"/>
        </w:rPr>
        <w:t xml:space="preserve">Western Australia said the Commission’s reports frequently quote materiality tests without providing calculations. Where possible, the final report includes the materiality tests. However, for practical reasons it is not always possible to include this information. States </w:t>
      </w:r>
      <w:r w:rsidR="006D6D38">
        <w:rPr>
          <w:lang w:val="en-AU"/>
        </w:rPr>
        <w:t>can</w:t>
      </w:r>
      <w:r w:rsidRPr="00034E9B">
        <w:rPr>
          <w:lang w:val="en-AU"/>
        </w:rPr>
        <w:t xml:space="preserve"> request the materiality calculations that are not in the report.</w:t>
      </w:r>
    </w:p>
    <w:p w14:paraId="6460E9CD" w14:textId="77777777" w:rsidR="00CA57AD" w:rsidRPr="00034E9B" w:rsidRDefault="00CA57AD" w:rsidP="00B80D74">
      <w:pPr>
        <w:pStyle w:val="Heading4"/>
      </w:pPr>
      <w:bookmarkStart w:id="139" w:name="_Toc7003296"/>
      <w:bookmarkStart w:id="140" w:name="_Toc7004005"/>
      <w:bookmarkStart w:id="141" w:name="_Toc26890323"/>
      <w:bookmarkStart w:id="142" w:name="_Toc493766183"/>
      <w:bookmarkStart w:id="143" w:name="_Toc493766531"/>
      <w:r w:rsidRPr="00034E9B">
        <w:t>Confidential data</w:t>
      </w:r>
      <w:bookmarkEnd w:id="139"/>
      <w:bookmarkEnd w:id="140"/>
      <w:bookmarkEnd w:id="141"/>
    </w:p>
    <w:p w14:paraId="74F64D6A" w14:textId="77777777" w:rsidR="00CA57AD" w:rsidRPr="00034E9B" w:rsidRDefault="00CA57AD" w:rsidP="00DC5A36">
      <w:pPr>
        <w:pStyle w:val="CGCParaNumber"/>
        <w:numPr>
          <w:ilvl w:val="0"/>
          <w:numId w:val="2"/>
        </w:numPr>
        <w:ind w:left="567" w:hanging="567"/>
        <w:rPr>
          <w:lang w:val="en-AU"/>
        </w:rPr>
      </w:pPr>
      <w:r w:rsidRPr="00034E9B">
        <w:rPr>
          <w:lang w:val="en-AU"/>
        </w:rPr>
        <w:t>The Commission continues to use confidential data but only in circumstances where a disability assessment is material and there is no alternative. Wherever possible, States are encouraged to share confidential data at the Treasury level to facilitate the review of assessments. States supported this approach, especially if it led to a better HFE outcome. The Commission’s data sharing protocol, introduced in the 2017 Update, maximises the sharing of data among State treasuries.</w:t>
      </w:r>
      <w:r w:rsidRPr="00034E9B">
        <w:rPr>
          <w:vertAlign w:val="superscript"/>
          <w:lang w:val="en-AU"/>
        </w:rPr>
        <w:footnoteReference w:id="53"/>
      </w:r>
    </w:p>
    <w:p w14:paraId="2804C396" w14:textId="77777777" w:rsidR="00CA57AD" w:rsidRPr="00034E9B" w:rsidRDefault="00CA57AD" w:rsidP="00B80D74">
      <w:pPr>
        <w:pStyle w:val="Heading4"/>
      </w:pPr>
      <w:bookmarkStart w:id="144" w:name="_Toc7003297"/>
      <w:bookmarkStart w:id="145" w:name="_Toc7004006"/>
      <w:bookmarkStart w:id="146" w:name="_Toc26890324"/>
      <w:r w:rsidRPr="00034E9B">
        <w:t>Quality assurance</w:t>
      </w:r>
      <w:bookmarkEnd w:id="142"/>
      <w:bookmarkEnd w:id="143"/>
      <w:bookmarkEnd w:id="144"/>
      <w:bookmarkEnd w:id="145"/>
      <w:bookmarkEnd w:id="146"/>
    </w:p>
    <w:p w14:paraId="59D01081" w14:textId="63F60BAE" w:rsidR="00CA57AD" w:rsidRPr="00034E9B" w:rsidRDefault="00CA57AD" w:rsidP="00DC5A36">
      <w:pPr>
        <w:pStyle w:val="CGCParaNumber"/>
        <w:numPr>
          <w:ilvl w:val="0"/>
          <w:numId w:val="2"/>
        </w:numPr>
        <w:ind w:left="567" w:hanging="567"/>
        <w:rPr>
          <w:lang w:val="en-AU"/>
        </w:rPr>
      </w:pPr>
      <w:r w:rsidRPr="00034E9B">
        <w:rPr>
          <w:lang w:val="en-AU"/>
        </w:rPr>
        <w:t>An important way of ensuring the Commission’s assessments are as reliable and as accurate as possible is through a rigorous quality assurance process. As noted earlier, the terms of reference for the 2020 Review ask the Commission to ‘ensure robust quality assurance processes’ (clause 7</w:t>
      </w:r>
      <w:r w:rsidR="00E32BCD">
        <w:rPr>
          <w:lang w:val="en-AU"/>
        </w:rPr>
        <w:t>(</w:t>
      </w:r>
      <w:r w:rsidRPr="00034E9B">
        <w:rPr>
          <w:lang w:val="en-AU"/>
        </w:rPr>
        <w:t>d</w:t>
      </w:r>
      <w:r w:rsidR="00E32BCD">
        <w:rPr>
          <w:lang w:val="en-AU"/>
        </w:rPr>
        <w:t>)</w:t>
      </w:r>
      <w:r w:rsidRPr="00034E9B">
        <w:rPr>
          <w:lang w:val="en-AU"/>
        </w:rPr>
        <w:t xml:space="preserve">) are adopted in preparing assessments. The Commission has responded to similar terms of reference in the past (in the 2010 and 2015 Reviews) by undertaking a risk assessment and preparing quality assurance strategic plans and action plans. </w:t>
      </w:r>
    </w:p>
    <w:p w14:paraId="1E161BDA" w14:textId="77777777" w:rsidR="00CA57AD" w:rsidRPr="00034E9B" w:rsidRDefault="00CA57AD" w:rsidP="00DC5A36">
      <w:pPr>
        <w:pStyle w:val="CGCParaNumber"/>
        <w:numPr>
          <w:ilvl w:val="0"/>
          <w:numId w:val="2"/>
        </w:numPr>
        <w:ind w:left="567" w:hanging="567"/>
        <w:rPr>
          <w:lang w:val="en-AU"/>
        </w:rPr>
      </w:pPr>
      <w:r w:rsidRPr="00034E9B">
        <w:rPr>
          <w:lang w:val="en-AU"/>
        </w:rPr>
        <w:t xml:space="preserve">The Commission released the 2020 Review Quality Assurance (QA) Strategic Plan to States in October 2018 following consultation with the States. It builds on the 2015 Review QA strategic plan. The aim of the QA strategic plan is to ensure there are strategies in place that will result in reliable and accurate assessments of State fiscal capacities and to strengthen confidence in the processes undertaken in their development. </w:t>
      </w:r>
    </w:p>
    <w:p w14:paraId="51373EC1" w14:textId="77777777" w:rsidR="00CA57AD" w:rsidRPr="00034E9B" w:rsidRDefault="00CA57AD" w:rsidP="00DC5A36">
      <w:pPr>
        <w:pStyle w:val="CGCParaNumber"/>
        <w:numPr>
          <w:ilvl w:val="0"/>
          <w:numId w:val="2"/>
        </w:numPr>
        <w:ind w:left="567" w:hanging="567"/>
        <w:rPr>
          <w:lang w:val="en-AU"/>
        </w:rPr>
      </w:pPr>
      <w:r w:rsidRPr="00034E9B">
        <w:rPr>
          <w:lang w:val="en-AU"/>
        </w:rPr>
        <w:t>The 2020 Review QA Strategic Plan documents the processes the Commission put in place to quality assure its work and to demonstrate compliance with these processes. The strategic plan is translated into actions through annual operational work plans of the Commission. The QA process seeks to:</w:t>
      </w:r>
    </w:p>
    <w:p w14:paraId="4F6F53AB" w14:textId="77777777" w:rsidR="00CA57AD" w:rsidRPr="00034E9B" w:rsidRDefault="00CA57AD" w:rsidP="00DC5A36">
      <w:pPr>
        <w:pStyle w:val="CGCBullet1"/>
        <w:numPr>
          <w:ilvl w:val="0"/>
          <w:numId w:val="3"/>
        </w:numPr>
        <w:ind w:left="924" w:hanging="357"/>
      </w:pPr>
      <w:r w:rsidRPr="00034E9B">
        <w:t>assure stakeholders of the conceptual validity, reliability and accuracy of the relativities that will be used to distribute GST revenue to the States</w:t>
      </w:r>
    </w:p>
    <w:p w14:paraId="7CE9B3FD" w14:textId="77777777" w:rsidR="00CA57AD" w:rsidRPr="00034E9B" w:rsidRDefault="00CA57AD" w:rsidP="00DC5A36">
      <w:pPr>
        <w:pStyle w:val="CGCBullet1"/>
        <w:numPr>
          <w:ilvl w:val="0"/>
          <w:numId w:val="3"/>
        </w:numPr>
        <w:ind w:left="924" w:hanging="357"/>
      </w:pPr>
      <w:r w:rsidRPr="00034E9B">
        <w:t>ensure the reporting of methods, decisions and results is transparent and in appropriate detail for their purposes</w:t>
      </w:r>
    </w:p>
    <w:p w14:paraId="2CAAEE31" w14:textId="77777777" w:rsidR="00CA57AD" w:rsidRPr="00034E9B" w:rsidRDefault="00CA57AD" w:rsidP="00DC5A36">
      <w:pPr>
        <w:pStyle w:val="CGCBullet1"/>
        <w:numPr>
          <w:ilvl w:val="0"/>
          <w:numId w:val="3"/>
        </w:numPr>
        <w:ind w:left="924" w:hanging="357"/>
      </w:pPr>
      <w:r w:rsidRPr="00034E9B">
        <w:t>monitor and report on the effectiveness of implemented QA processes.</w:t>
      </w:r>
    </w:p>
    <w:p w14:paraId="34809C40" w14:textId="77777777" w:rsidR="00CA57AD" w:rsidRPr="00034E9B" w:rsidRDefault="00CA57AD" w:rsidP="00A27989">
      <w:pPr>
        <w:pStyle w:val="CGCParaNumber"/>
        <w:keepNext/>
        <w:keepLines/>
        <w:numPr>
          <w:ilvl w:val="0"/>
          <w:numId w:val="2"/>
        </w:numPr>
        <w:ind w:left="567" w:hanging="567"/>
        <w:rPr>
          <w:lang w:val="en-AU"/>
        </w:rPr>
      </w:pPr>
      <w:r w:rsidRPr="00034E9B">
        <w:rPr>
          <w:lang w:val="en-AU"/>
        </w:rPr>
        <w:lastRenderedPageBreak/>
        <w:t>Performance targets for QA processes are:</w:t>
      </w:r>
    </w:p>
    <w:p w14:paraId="44F723E8" w14:textId="77777777" w:rsidR="00CA57AD" w:rsidRPr="00034E9B" w:rsidRDefault="00CA57AD" w:rsidP="00A27989">
      <w:pPr>
        <w:pStyle w:val="CGCBullet1"/>
        <w:keepNext/>
        <w:keepLines/>
        <w:numPr>
          <w:ilvl w:val="0"/>
          <w:numId w:val="3"/>
        </w:numPr>
        <w:ind w:left="924" w:hanging="357"/>
      </w:pPr>
      <w:r w:rsidRPr="00034E9B">
        <w:t>Commission decisions are evidence based and transparent</w:t>
      </w:r>
    </w:p>
    <w:p w14:paraId="58296142" w14:textId="77777777" w:rsidR="00CA57AD" w:rsidRPr="00034E9B" w:rsidRDefault="00CA57AD" w:rsidP="00A27989">
      <w:pPr>
        <w:pStyle w:val="CGCBullet1"/>
        <w:keepNext/>
        <w:keepLines/>
        <w:numPr>
          <w:ilvl w:val="0"/>
          <w:numId w:val="3"/>
        </w:numPr>
        <w:ind w:left="924" w:hanging="357"/>
      </w:pPr>
      <w:r w:rsidRPr="00034E9B">
        <w:t>Commission decisions on assessments are correctly implemented</w:t>
      </w:r>
    </w:p>
    <w:p w14:paraId="468502FC" w14:textId="77777777" w:rsidR="00CA57AD" w:rsidRPr="00034E9B" w:rsidRDefault="00CA57AD" w:rsidP="00A27989">
      <w:pPr>
        <w:pStyle w:val="CGCBullet1"/>
        <w:keepNext/>
        <w:keepLines/>
        <w:numPr>
          <w:ilvl w:val="0"/>
          <w:numId w:val="3"/>
        </w:numPr>
        <w:ind w:left="924" w:hanging="357"/>
      </w:pPr>
      <w:r w:rsidRPr="00034E9B">
        <w:t>data are fit for purpose and of good quality</w:t>
      </w:r>
    </w:p>
    <w:p w14:paraId="77D0477F" w14:textId="77777777" w:rsidR="00CA57AD" w:rsidRPr="00034E9B" w:rsidRDefault="00CA57AD" w:rsidP="00A27989">
      <w:pPr>
        <w:pStyle w:val="CGCBullet1"/>
        <w:keepNext/>
        <w:keepLines/>
        <w:numPr>
          <w:ilvl w:val="0"/>
          <w:numId w:val="3"/>
        </w:numPr>
        <w:ind w:left="924" w:hanging="357"/>
      </w:pPr>
      <w:r w:rsidRPr="00034E9B">
        <w:t>calculations are error-free</w:t>
      </w:r>
    </w:p>
    <w:p w14:paraId="0C53DE0F" w14:textId="77777777" w:rsidR="00CA57AD" w:rsidRPr="00034E9B" w:rsidRDefault="00CA57AD" w:rsidP="00A27989">
      <w:pPr>
        <w:pStyle w:val="CGCBullet1"/>
        <w:keepNext/>
        <w:keepLines/>
        <w:numPr>
          <w:ilvl w:val="0"/>
          <w:numId w:val="3"/>
        </w:numPr>
        <w:ind w:left="924" w:hanging="357"/>
      </w:pPr>
      <w:r w:rsidRPr="00034E9B">
        <w:t>the work of the Commission and resulting relativities are reported in a transparent and verifiable manner.</w:t>
      </w:r>
    </w:p>
    <w:p w14:paraId="253BD5F6" w14:textId="16792186" w:rsidR="00AB0FE7" w:rsidRPr="00034E9B" w:rsidRDefault="00CA57AD" w:rsidP="00DC5A36">
      <w:pPr>
        <w:pStyle w:val="CGCParaNumber"/>
        <w:numPr>
          <w:ilvl w:val="0"/>
          <w:numId w:val="2"/>
        </w:numPr>
        <w:ind w:left="567" w:hanging="567"/>
        <w:rPr>
          <w:rFonts w:asciiTheme="minorHAnsi" w:hAnsiTheme="minorHAnsi"/>
          <w:sz w:val="24"/>
          <w:szCs w:val="24"/>
          <w:lang w:val="en-AU"/>
        </w:rPr>
      </w:pPr>
      <w:r w:rsidRPr="00034E9B">
        <w:rPr>
          <w:lang w:val="en-AU"/>
        </w:rPr>
        <w:t xml:space="preserve">The 2020 Review plan is on the </w:t>
      </w:r>
      <w:hyperlink r:id="rId31">
        <w:r w:rsidRPr="00034E9B">
          <w:rPr>
            <w:rStyle w:val="Hyperlink"/>
            <w:lang w:val="en-AU"/>
          </w:rPr>
          <w:t>Commission website</w:t>
        </w:r>
      </w:hyperlink>
      <w:r w:rsidRPr="00034E9B">
        <w:rPr>
          <w:rFonts w:asciiTheme="minorHAnsi" w:hAnsiTheme="minorHAnsi"/>
          <w:sz w:val="24"/>
          <w:szCs w:val="24"/>
          <w:lang w:val="en-AU"/>
        </w:rPr>
        <w:t xml:space="preserve"> </w:t>
      </w:r>
      <w:r w:rsidRPr="00034E9B">
        <w:rPr>
          <w:lang w:val="en-AU"/>
        </w:rPr>
        <w:t>(</w:t>
      </w:r>
      <w:hyperlink r:id="rId32">
        <w:r w:rsidRPr="00034E9B">
          <w:rPr>
            <w:lang w:val="en-AU"/>
          </w:rPr>
          <w:t>https://cgc.gov.au/</w:t>
        </w:r>
      </w:hyperlink>
      <w:r w:rsidRPr="00240D9E">
        <w:rPr>
          <w:lang w:val="en-AU"/>
        </w:rPr>
        <w:t>).</w:t>
      </w:r>
      <w:r w:rsidR="00AD001C">
        <w:rPr>
          <w:lang w:val="en-AU"/>
        </w:rPr>
        <w:t xml:space="preserve"> </w:t>
      </w:r>
    </w:p>
    <w:p w14:paraId="685A8883" w14:textId="77777777" w:rsidR="009E6E74" w:rsidRPr="00034E9B" w:rsidRDefault="009E6E74" w:rsidP="00161EFB"/>
    <w:p w14:paraId="45044874" w14:textId="5245F55C" w:rsidR="00AB0FE7" w:rsidRPr="00034E9B" w:rsidRDefault="00AB0FE7" w:rsidP="00AB0FE7">
      <w:pPr>
        <w:sectPr w:rsidR="00AB0FE7" w:rsidRPr="00034E9B" w:rsidSect="00AD001C">
          <w:footerReference w:type="default" r:id="rId33"/>
          <w:footerReference w:type="first" r:id="rId34"/>
          <w:footnotePr>
            <w:numRestart w:val="eachSect"/>
          </w:footnotePr>
          <w:pgSz w:w="11899" w:h="16838" w:code="9"/>
          <w:pgMar w:top="1418" w:right="1474" w:bottom="1418" w:left="1474" w:header="709" w:footer="567" w:gutter="0"/>
          <w:cols w:space="708"/>
          <w:titlePg/>
          <w:docGrid w:linePitch="299"/>
        </w:sectPr>
      </w:pPr>
    </w:p>
    <w:p w14:paraId="5C32D2F8" w14:textId="2A5B52A8" w:rsidR="00FC0498" w:rsidRPr="00034E9B" w:rsidRDefault="00FC0498" w:rsidP="00FC0498">
      <w:pPr>
        <w:pStyle w:val="Heading1"/>
      </w:pPr>
      <w:bookmarkStart w:id="147" w:name="_Ref7599781"/>
      <w:bookmarkStart w:id="148" w:name="_Toc33545894"/>
      <w:r w:rsidRPr="00034E9B">
        <w:lastRenderedPageBreak/>
        <w:t>4</w:t>
      </w:r>
      <w:bookmarkStart w:id="149" w:name="_Ref7599792"/>
      <w:bookmarkStart w:id="150" w:name="_Toc7601615"/>
      <w:bookmarkStart w:id="151" w:name="_Toc9319977"/>
      <w:bookmarkStart w:id="152" w:name="_Toc12023850"/>
      <w:bookmarkStart w:id="153" w:name="_Toc26890325"/>
      <w:bookmarkEnd w:id="147"/>
      <w:r w:rsidRPr="00034E9B">
        <w:tab/>
      </w:r>
      <w:r w:rsidRPr="00034E9B">
        <w:rPr>
          <w:szCs w:val="26"/>
        </w:rPr>
        <w:t>Implementing legislated changes to the GST distribution</w:t>
      </w:r>
      <w:bookmarkEnd w:id="148"/>
      <w:bookmarkEnd w:id="149"/>
      <w:bookmarkEnd w:id="150"/>
      <w:bookmarkEnd w:id="151"/>
      <w:bookmarkEnd w:id="152"/>
      <w:bookmarkEnd w:id="153"/>
    </w:p>
    <w:p w14:paraId="24D46935" w14:textId="77777777" w:rsidR="00FC0498" w:rsidRPr="00034E9B" w:rsidRDefault="00FC0498" w:rsidP="00FC0498">
      <w:pPr>
        <w:pStyle w:val="CGCParaNumber"/>
        <w:numPr>
          <w:ilvl w:val="0"/>
          <w:numId w:val="26"/>
        </w:numPr>
        <w:ind w:left="567" w:hanging="567"/>
        <w:rPr>
          <w:lang w:val="en-AU"/>
        </w:rPr>
      </w:pPr>
      <w:bookmarkStart w:id="154" w:name="_Toc7601616"/>
      <w:r w:rsidRPr="00034E9B">
        <w:rPr>
          <w:lang w:val="en-AU"/>
        </w:rPr>
        <w:t xml:space="preserve">The purpose of this chapter is to outline the Commission’s preliminary understanding of the requirements for its future work in relation to the Commonwealth’s new equalisation arrangements enacted in the </w:t>
      </w:r>
      <w:r w:rsidRPr="00034E9B">
        <w:rPr>
          <w:i/>
          <w:lang w:val="en-AU"/>
        </w:rPr>
        <w:t>Treasury Laws Amendment (Making Sure Every State and Territory Gets Their Fair Share of GST) Act 2018</w:t>
      </w:r>
      <w:r w:rsidRPr="00034E9B">
        <w:rPr>
          <w:lang w:val="en-AU"/>
        </w:rPr>
        <w:t>.</w:t>
      </w:r>
    </w:p>
    <w:p w14:paraId="03D4EC6D" w14:textId="3DD61DF9" w:rsidR="00FC0498" w:rsidRPr="00034E9B" w:rsidRDefault="00FC0498" w:rsidP="00FC0498">
      <w:pPr>
        <w:pStyle w:val="Heading3"/>
      </w:pPr>
      <w:bookmarkStart w:id="155" w:name="_Toc9319978"/>
      <w:bookmarkStart w:id="156" w:name="_Toc12023851"/>
      <w:bookmarkStart w:id="157" w:name="_Toc26890326"/>
      <w:bookmarkStart w:id="158" w:name="_Toc33545895"/>
      <w:r w:rsidRPr="00034E9B">
        <w:t>Objective of Horizontal Fiscal Equalisation in Australia</w:t>
      </w:r>
      <w:bookmarkEnd w:id="154"/>
      <w:bookmarkEnd w:id="155"/>
      <w:bookmarkEnd w:id="156"/>
      <w:bookmarkEnd w:id="157"/>
      <w:bookmarkEnd w:id="158"/>
    </w:p>
    <w:p w14:paraId="1A7EC0BB" w14:textId="2309E4EA" w:rsidR="00FC0498" w:rsidRPr="00034E9B" w:rsidRDefault="00FC0498" w:rsidP="00FC0498">
      <w:pPr>
        <w:pStyle w:val="CGCParaNumber"/>
        <w:numPr>
          <w:ilvl w:val="0"/>
          <w:numId w:val="26"/>
        </w:numPr>
        <w:ind w:left="567" w:hanging="567"/>
        <w:rPr>
          <w:lang w:val="en-AU"/>
        </w:rPr>
      </w:pPr>
      <w:r w:rsidRPr="00034E9B">
        <w:rPr>
          <w:lang w:val="en-AU"/>
        </w:rPr>
        <w:t xml:space="preserve">From 2021-22, legislated changes will see a change to the objective of HFE in Australia. The changes will result in a gradual move away from distributing GST revenue using the current arrangements (based on State relative fiscal capacities as measured by the Commission) to new arrangements (equalising to a standard State, being the fiscally stronger of New South Wales </w:t>
      </w:r>
      <w:r w:rsidR="000D1A0D">
        <w:rPr>
          <w:lang w:val="en-AU"/>
        </w:rPr>
        <w:t>or</w:t>
      </w:r>
      <w:r w:rsidRPr="00034E9B">
        <w:rPr>
          <w:lang w:val="en-AU"/>
        </w:rPr>
        <w:t xml:space="preserve"> Victoria). The transition to the new arrangements will be completed in 2026-27.</w:t>
      </w:r>
      <w:r w:rsidRPr="00034E9B">
        <w:rPr>
          <w:vertAlign w:val="superscript"/>
          <w:lang w:val="en-AU"/>
        </w:rPr>
        <w:footnoteReference w:id="54"/>
      </w:r>
      <w:r w:rsidRPr="00034E9B">
        <w:rPr>
          <w:lang w:val="en-AU"/>
        </w:rPr>
        <w:t xml:space="preserve"> The new policy was enacted in the </w:t>
      </w:r>
      <w:r w:rsidRPr="00034E9B">
        <w:rPr>
          <w:i/>
          <w:lang w:val="en-AU"/>
        </w:rPr>
        <w:t>Treasury Laws Amendment (Making Sure Every State and Territory Gets Their Fair Share of GST) Act 2018</w:t>
      </w:r>
      <w:r w:rsidRPr="00034E9B">
        <w:rPr>
          <w:lang w:val="en-AU"/>
        </w:rPr>
        <w:t xml:space="preserve">, which amends the </w:t>
      </w:r>
      <w:r w:rsidRPr="00034E9B">
        <w:rPr>
          <w:i/>
          <w:lang w:val="en-AU"/>
        </w:rPr>
        <w:t>Commonwealth Grants Commission Act 1973</w:t>
      </w:r>
      <w:r w:rsidRPr="00034E9B">
        <w:rPr>
          <w:lang w:val="en-AU"/>
        </w:rPr>
        <w:t xml:space="preserve"> and the </w:t>
      </w:r>
      <w:r w:rsidRPr="00034E9B">
        <w:rPr>
          <w:i/>
          <w:lang w:val="en-AU"/>
        </w:rPr>
        <w:t>Federal Financial Relations Act 2009</w:t>
      </w:r>
      <w:r w:rsidRPr="00034E9B">
        <w:rPr>
          <w:lang w:val="en-AU"/>
        </w:rPr>
        <w:t xml:space="preserve">. </w:t>
      </w:r>
    </w:p>
    <w:p w14:paraId="0BB48314" w14:textId="3DC95B25" w:rsidR="00FC0498" w:rsidRPr="00034E9B" w:rsidRDefault="00FC0498" w:rsidP="00FC0498">
      <w:pPr>
        <w:pStyle w:val="CGCParaNumber"/>
        <w:numPr>
          <w:ilvl w:val="0"/>
          <w:numId w:val="26"/>
        </w:numPr>
        <w:ind w:left="567" w:hanging="567"/>
        <w:rPr>
          <w:lang w:val="en-AU"/>
        </w:rPr>
      </w:pPr>
      <w:r w:rsidRPr="00034E9B">
        <w:rPr>
          <w:lang w:val="en-AU"/>
        </w:rPr>
        <w:t xml:space="preserve">The legislation states that the new arrangements will ensure that the </w:t>
      </w:r>
      <w:r w:rsidR="008053BD" w:rsidRPr="00034E9B">
        <w:rPr>
          <w:lang w:val="en-AU"/>
        </w:rPr>
        <w:t>States</w:t>
      </w:r>
      <w:r w:rsidRPr="00034E9B">
        <w:rPr>
          <w:lang w:val="en-AU"/>
        </w:rPr>
        <w:t>, the Australian Capital Territory and the Northern Territory (the States) each have the fiscal capacity to provide services (including associated infrastructure) at a standard that is at least as high as the standard for whichever of New South Wales and Victoria has the higher standard.</w:t>
      </w:r>
      <w:r w:rsidRPr="00034E9B">
        <w:rPr>
          <w:vertAlign w:val="superscript"/>
          <w:lang w:val="en-AU"/>
        </w:rPr>
        <w:footnoteReference w:id="55"/>
      </w:r>
    </w:p>
    <w:p w14:paraId="27155223" w14:textId="30ED71EC" w:rsidR="00FC0498" w:rsidRPr="00034E9B" w:rsidRDefault="00FC0498" w:rsidP="00FC0498">
      <w:pPr>
        <w:pStyle w:val="Heading3"/>
      </w:pPr>
      <w:bookmarkStart w:id="159" w:name="_Toc7601617"/>
      <w:bookmarkStart w:id="160" w:name="_Toc9319979"/>
      <w:bookmarkStart w:id="161" w:name="_Toc12023852"/>
      <w:bookmarkStart w:id="162" w:name="_Toc26890327"/>
      <w:bookmarkStart w:id="163" w:name="_Toc33545896"/>
      <w:r w:rsidRPr="00034E9B">
        <w:t xml:space="preserve">Implementing the new </w:t>
      </w:r>
      <w:bookmarkEnd w:id="159"/>
      <w:r w:rsidRPr="00034E9B">
        <w:t>legislation</w:t>
      </w:r>
      <w:bookmarkEnd w:id="160"/>
      <w:bookmarkEnd w:id="161"/>
      <w:bookmarkEnd w:id="162"/>
      <w:bookmarkEnd w:id="163"/>
    </w:p>
    <w:p w14:paraId="77FCC135" w14:textId="77777777" w:rsidR="00FC0498" w:rsidRPr="00034E9B" w:rsidRDefault="00FC0498" w:rsidP="00FC0498">
      <w:pPr>
        <w:pStyle w:val="CGCParaNumber"/>
        <w:numPr>
          <w:ilvl w:val="0"/>
          <w:numId w:val="26"/>
        </w:numPr>
        <w:ind w:left="567" w:hanging="567"/>
        <w:rPr>
          <w:lang w:val="en-AU"/>
        </w:rPr>
      </w:pPr>
      <w:r w:rsidRPr="00034E9B">
        <w:rPr>
          <w:lang w:val="en-AU"/>
        </w:rPr>
        <w:t>The new HFE arrangements transition into effect from 2021</w:t>
      </w:r>
      <w:r w:rsidRPr="00034E9B">
        <w:rPr>
          <w:lang w:val="en-AU"/>
        </w:rPr>
        <w:noBreakHyphen/>
        <w:t>22, with the new arrangements fully applying in 2026</w:t>
      </w:r>
      <w:r w:rsidRPr="00034E9B">
        <w:rPr>
          <w:lang w:val="en-AU"/>
        </w:rPr>
        <w:noBreakHyphen/>
        <w:t>27.</w:t>
      </w:r>
      <w:r w:rsidRPr="00034E9B">
        <w:rPr>
          <w:vertAlign w:val="superscript"/>
          <w:lang w:val="en-AU"/>
        </w:rPr>
        <w:footnoteReference w:id="56"/>
      </w:r>
      <w:r w:rsidRPr="00034E9B">
        <w:rPr>
          <w:lang w:val="en-AU"/>
        </w:rPr>
        <w:t xml:space="preserve"> Therefore, the legislation will not affect the Commission’s work until the 2021</w:t>
      </w:r>
      <w:r w:rsidRPr="00034E9B">
        <w:rPr>
          <w:lang w:val="en-AU"/>
        </w:rPr>
        <w:noBreakHyphen/>
        <w:t>22 payment year.</w:t>
      </w:r>
    </w:p>
    <w:p w14:paraId="368D0CCF" w14:textId="77777777" w:rsidR="00FC0498" w:rsidRPr="00034E9B" w:rsidRDefault="00FC0498" w:rsidP="00FC0498">
      <w:pPr>
        <w:pStyle w:val="CGCParaNumber"/>
        <w:numPr>
          <w:ilvl w:val="0"/>
          <w:numId w:val="26"/>
        </w:numPr>
        <w:ind w:left="567" w:hanging="567"/>
        <w:rPr>
          <w:lang w:val="en-AU"/>
        </w:rPr>
      </w:pPr>
      <w:r w:rsidRPr="00034E9B">
        <w:rPr>
          <w:lang w:val="en-AU"/>
        </w:rPr>
        <w:t xml:space="preserve">Terms of reference received from the Australian Treasurer determine the work of the Commission. Until the Commission receives terms of reference, it is only able to provide indicative information about how it intends to give effect to the new legislation. </w:t>
      </w:r>
    </w:p>
    <w:p w14:paraId="5C313318" w14:textId="77777777" w:rsidR="00FC0498" w:rsidRPr="00034E9B" w:rsidRDefault="00FC0498" w:rsidP="00D8586B">
      <w:pPr>
        <w:pStyle w:val="CGCParaNumber"/>
        <w:keepNext/>
        <w:keepLines/>
        <w:numPr>
          <w:ilvl w:val="0"/>
          <w:numId w:val="26"/>
        </w:numPr>
        <w:ind w:left="567" w:hanging="567"/>
        <w:rPr>
          <w:lang w:val="en-AU"/>
        </w:rPr>
      </w:pPr>
      <w:r w:rsidRPr="00034E9B">
        <w:rPr>
          <w:lang w:val="en-AU"/>
        </w:rPr>
        <w:lastRenderedPageBreak/>
        <w:t>The new arrangements involve:</w:t>
      </w:r>
    </w:p>
    <w:p w14:paraId="66820E03" w14:textId="77777777" w:rsidR="00FC0498" w:rsidRPr="00034E9B" w:rsidRDefault="00FC0498" w:rsidP="00D8586B">
      <w:pPr>
        <w:pStyle w:val="CGCBullet1"/>
        <w:keepNext/>
        <w:keepLines/>
        <w:numPr>
          <w:ilvl w:val="0"/>
          <w:numId w:val="3"/>
        </w:numPr>
        <w:ind w:left="924" w:hanging="357"/>
      </w:pPr>
      <w:r w:rsidRPr="00034E9B">
        <w:t>introducing a minimum GST revenue sharing relativity (relativity floor), with an initial floor (of 0.7) introduced for 2022</w:t>
      </w:r>
      <w:r w:rsidRPr="00034E9B">
        <w:noBreakHyphen/>
        <w:t>23 which is then raised (to 0.75) from 2024</w:t>
      </w:r>
      <w:r w:rsidRPr="00034E9B">
        <w:noBreakHyphen/>
        <w:t>25</w:t>
      </w:r>
      <w:r w:rsidRPr="00034E9B">
        <w:rPr>
          <w:vertAlign w:val="superscript"/>
        </w:rPr>
        <w:footnoteReference w:id="57"/>
      </w:r>
      <w:r w:rsidRPr="00034E9B">
        <w:t xml:space="preserve"> </w:t>
      </w:r>
    </w:p>
    <w:p w14:paraId="26607151" w14:textId="77777777" w:rsidR="00FC0498" w:rsidRPr="00034E9B" w:rsidRDefault="00FC0498" w:rsidP="00FC0498">
      <w:pPr>
        <w:pStyle w:val="CGCBullet1"/>
        <w:numPr>
          <w:ilvl w:val="0"/>
          <w:numId w:val="3"/>
        </w:numPr>
        <w:ind w:left="924" w:hanging="357"/>
      </w:pPr>
      <w:r w:rsidRPr="00034E9B">
        <w:t>from 2021-22, permanently boosting the GST revenue pool with additional Commonwealth financial assistance, referred to as ‘pool top-ups’</w:t>
      </w:r>
      <w:r w:rsidRPr="00034E9B">
        <w:rPr>
          <w:vertAlign w:val="superscript"/>
        </w:rPr>
        <w:footnoteReference w:id="58"/>
      </w:r>
      <w:r w:rsidRPr="00034E9B">
        <w:t xml:space="preserve"> </w:t>
      </w:r>
    </w:p>
    <w:p w14:paraId="5CE7FD4D" w14:textId="77777777" w:rsidR="00FC0498" w:rsidRPr="00034E9B" w:rsidRDefault="00FC0498" w:rsidP="00FC0498">
      <w:pPr>
        <w:pStyle w:val="CGCBullet1"/>
        <w:numPr>
          <w:ilvl w:val="0"/>
          <w:numId w:val="3"/>
        </w:numPr>
        <w:ind w:left="924" w:hanging="357"/>
      </w:pPr>
      <w:r w:rsidRPr="00034E9B">
        <w:t>transitioning the HFE system from the previous arrangements to new arrangements, based upon the fiscal capacity of the stronger of New South Wales and Victoria</w:t>
      </w:r>
      <w:r w:rsidRPr="00034E9B">
        <w:rPr>
          <w:vertAlign w:val="superscript"/>
        </w:rPr>
        <w:footnoteReference w:id="59"/>
      </w:r>
    </w:p>
    <w:p w14:paraId="4AED5ABF" w14:textId="77777777" w:rsidR="00FC0498" w:rsidRPr="00034E9B" w:rsidRDefault="00FC0498" w:rsidP="00FC0498">
      <w:pPr>
        <w:pStyle w:val="CGCBullet1"/>
        <w:numPr>
          <w:ilvl w:val="0"/>
          <w:numId w:val="3"/>
        </w:numPr>
        <w:ind w:left="924" w:hanging="357"/>
      </w:pPr>
      <w:r w:rsidRPr="00034E9B">
        <w:t>providing for additional financial assistance to any State to ensure that each receives total grants at least as much as it would have received had the new legislation not been enacted (the ‘no worse off’ provision).</w:t>
      </w:r>
      <w:r w:rsidRPr="00034E9B">
        <w:rPr>
          <w:vertAlign w:val="superscript"/>
        </w:rPr>
        <w:footnoteReference w:id="60"/>
      </w:r>
    </w:p>
    <w:p w14:paraId="0EBF412F" w14:textId="77777777" w:rsidR="00FC0498" w:rsidRPr="00034E9B" w:rsidRDefault="00FC0498" w:rsidP="00FC0498">
      <w:pPr>
        <w:pStyle w:val="CGCParaNumber"/>
        <w:numPr>
          <w:ilvl w:val="0"/>
          <w:numId w:val="26"/>
        </w:numPr>
        <w:ind w:left="567" w:hanging="567"/>
        <w:rPr>
          <w:lang w:val="en-AU"/>
        </w:rPr>
      </w:pPr>
      <w:r w:rsidRPr="00034E9B">
        <w:rPr>
          <w:lang w:val="en-AU"/>
        </w:rPr>
        <w:t>Separately, from 2019-20 to 2021-22, States may receive short-term transitional assistance payments sourced from other Commonwealth revenue. However, these payments do not relate directly to the work of the Commission.</w:t>
      </w:r>
    </w:p>
    <w:p w14:paraId="5A345BD9" w14:textId="77777777" w:rsidR="00FC0498" w:rsidRPr="00034E9B" w:rsidRDefault="00FC0498" w:rsidP="00FC0498">
      <w:pPr>
        <w:pStyle w:val="CGCParaNumber"/>
        <w:numPr>
          <w:ilvl w:val="0"/>
          <w:numId w:val="26"/>
        </w:numPr>
        <w:ind w:left="567" w:hanging="567"/>
        <w:rPr>
          <w:lang w:val="en-AU"/>
        </w:rPr>
      </w:pPr>
      <w:r w:rsidRPr="00034E9B">
        <w:rPr>
          <w:lang w:val="en-AU"/>
        </w:rPr>
        <w:t>The legislation does not affect the Commission’s methodology for measuring State relative fiscal capacities, which is the focus of the 2020 methodology review. The measures of relative fiscal capacity derived by the Commission are the basic building blocks for deriving the GST revenue sharing relativities under the previous arrangements and will continue to be so under the new arrangements.</w:t>
      </w:r>
    </w:p>
    <w:p w14:paraId="25B48161" w14:textId="209DB557" w:rsidR="00FC0498" w:rsidRPr="00034E9B" w:rsidRDefault="00D60496" w:rsidP="00FC0498">
      <w:pPr>
        <w:pStyle w:val="CGCParaNumber"/>
        <w:numPr>
          <w:ilvl w:val="0"/>
          <w:numId w:val="26"/>
        </w:numPr>
        <w:ind w:left="567" w:hanging="567"/>
        <w:rPr>
          <w:lang w:val="en-AU"/>
        </w:rPr>
      </w:pPr>
      <w:r>
        <w:rPr>
          <w:lang w:val="en-AU"/>
        </w:rPr>
        <w:fldChar w:fldCharType="begin"/>
      </w:r>
      <w:r>
        <w:rPr>
          <w:lang w:val="en-AU"/>
        </w:rPr>
        <w:instrText xml:space="preserve"> REF _Ref32408305 \h </w:instrText>
      </w:r>
      <w:r>
        <w:rPr>
          <w:lang w:val="en-AU"/>
        </w:rPr>
      </w:r>
      <w:r>
        <w:rPr>
          <w:lang w:val="en-AU"/>
        </w:rPr>
        <w:fldChar w:fldCharType="separate"/>
      </w:r>
      <w:r w:rsidR="004A0DFA" w:rsidRPr="00034E9B">
        <w:t>Table 4-</w:t>
      </w:r>
      <w:r w:rsidR="004A0DFA">
        <w:rPr>
          <w:noProof/>
        </w:rPr>
        <w:t>1</w:t>
      </w:r>
      <w:r>
        <w:rPr>
          <w:lang w:val="en-AU"/>
        </w:rPr>
        <w:fldChar w:fldCharType="end"/>
      </w:r>
      <w:r>
        <w:rPr>
          <w:lang w:val="en-AU"/>
        </w:rPr>
        <w:t xml:space="preserve"> </w:t>
      </w:r>
      <w:r w:rsidR="00FC0498" w:rsidRPr="00034E9B">
        <w:rPr>
          <w:lang w:val="en-AU"/>
        </w:rPr>
        <w:t>summari</w:t>
      </w:r>
      <w:r w:rsidR="00CE7E6C">
        <w:rPr>
          <w:lang w:val="en-AU"/>
        </w:rPr>
        <w:t>s</w:t>
      </w:r>
      <w:r w:rsidR="00FC0498" w:rsidRPr="00034E9B">
        <w:rPr>
          <w:lang w:val="en-AU"/>
        </w:rPr>
        <w:t>es the transition arrangements and the changes to the general revenue assistance pool from 2020-21 to 2026-27</w:t>
      </w:r>
      <w:r w:rsidR="009D28B1">
        <w:rPr>
          <w:lang w:val="en-AU"/>
        </w:rPr>
        <w:t>, as specified in the legislation</w:t>
      </w:r>
      <w:r w:rsidR="00FC0498" w:rsidRPr="00034E9B">
        <w:rPr>
          <w:lang w:val="en-AU"/>
        </w:rPr>
        <w:t>.</w:t>
      </w:r>
    </w:p>
    <w:p w14:paraId="18D42F25" w14:textId="3F1AA130" w:rsidR="00FC0498" w:rsidRPr="00034E9B" w:rsidRDefault="00FC0498" w:rsidP="004D3475">
      <w:pPr>
        <w:pStyle w:val="Caption"/>
        <w:spacing w:before="200" w:after="80"/>
      </w:pPr>
      <w:bookmarkStart w:id="164" w:name="_Ref22203254"/>
      <w:bookmarkStart w:id="165" w:name="_Ref32408305"/>
      <w:r w:rsidRPr="00034E9B">
        <w:t>Table 4-</w:t>
      </w:r>
      <w:bookmarkEnd w:id="164"/>
      <w:r w:rsidR="00A43B25">
        <w:fldChar w:fldCharType="begin"/>
      </w:r>
      <w:r w:rsidR="00A43B25">
        <w:instrText xml:space="preserve"> SEQ Table \* ARABIC \r 1 </w:instrText>
      </w:r>
      <w:r w:rsidR="00A43B25">
        <w:fldChar w:fldCharType="separate"/>
      </w:r>
      <w:r w:rsidR="004A0DFA">
        <w:rPr>
          <w:noProof/>
        </w:rPr>
        <w:t>1</w:t>
      </w:r>
      <w:r w:rsidR="00A43B25">
        <w:fldChar w:fldCharType="end"/>
      </w:r>
      <w:bookmarkEnd w:id="165"/>
      <w:r w:rsidRPr="00034E9B">
        <w:tab/>
        <w:t>Changes to the distribution of general revenue assistance grants</w:t>
      </w:r>
    </w:p>
    <w:tbl>
      <w:tblPr>
        <w:tblW w:w="8920" w:type="dxa"/>
        <w:tblBorders>
          <w:top w:val="single" w:sz="4" w:space="0" w:color="ADD6EA"/>
          <w:bottom w:val="single" w:sz="4" w:space="0" w:color="ADD6EA"/>
          <w:insideH w:val="single" w:sz="4" w:space="0" w:color="ADD6EA"/>
        </w:tblBorders>
        <w:tblCellMar>
          <w:left w:w="28" w:type="dxa"/>
          <w:right w:w="28" w:type="dxa"/>
        </w:tblCellMar>
        <w:tblLook w:val="04A0" w:firstRow="1" w:lastRow="0" w:firstColumn="1" w:lastColumn="0" w:noHBand="0" w:noVBand="1"/>
      </w:tblPr>
      <w:tblGrid>
        <w:gridCol w:w="2620"/>
        <w:gridCol w:w="900"/>
        <w:gridCol w:w="900"/>
        <w:gridCol w:w="900"/>
        <w:gridCol w:w="900"/>
        <w:gridCol w:w="900"/>
        <w:gridCol w:w="900"/>
        <w:gridCol w:w="900"/>
      </w:tblGrid>
      <w:tr w:rsidR="00FC0498" w:rsidRPr="00034E9B" w14:paraId="763FD25D" w14:textId="77777777" w:rsidTr="009F04E1">
        <w:trPr>
          <w:trHeight w:val="315"/>
        </w:trPr>
        <w:tc>
          <w:tcPr>
            <w:tcW w:w="2620" w:type="dxa"/>
            <w:shd w:val="clear" w:color="auto" w:fill="006991"/>
            <w:noWrap/>
            <w:vAlign w:val="center"/>
            <w:hideMark/>
          </w:tcPr>
          <w:p w14:paraId="1F216E2B" w14:textId="77777777" w:rsidR="00FC0498" w:rsidRPr="00034E9B" w:rsidRDefault="00FC0498" w:rsidP="00985073">
            <w:pPr>
              <w:pStyle w:val="CGCTableheader"/>
              <w:rPr>
                <w:lang w:val="en-AU" w:eastAsia="en-AU"/>
              </w:rPr>
            </w:pPr>
            <w:bookmarkStart w:id="166" w:name="RANGE!A4:H13"/>
            <w:r w:rsidRPr="00034E9B">
              <w:rPr>
                <w:lang w:val="en-AU" w:eastAsia="en-AU"/>
              </w:rPr>
              <w:t>Inquiry</w:t>
            </w:r>
            <w:bookmarkEnd w:id="166"/>
          </w:p>
        </w:tc>
        <w:tc>
          <w:tcPr>
            <w:tcW w:w="900" w:type="dxa"/>
            <w:shd w:val="clear" w:color="auto" w:fill="006991"/>
            <w:noWrap/>
            <w:vAlign w:val="center"/>
            <w:hideMark/>
          </w:tcPr>
          <w:p w14:paraId="608C2549" w14:textId="77777777" w:rsidR="00FC0498" w:rsidRPr="00034E9B" w:rsidRDefault="00FC0498" w:rsidP="009F04E1">
            <w:pPr>
              <w:pStyle w:val="CGCTableheader"/>
              <w:jc w:val="right"/>
              <w:rPr>
                <w:lang w:val="en-AU" w:eastAsia="en-AU"/>
              </w:rPr>
            </w:pPr>
            <w:r w:rsidRPr="00034E9B">
              <w:rPr>
                <w:lang w:val="en-AU" w:eastAsia="en-AU"/>
              </w:rPr>
              <w:t>R2020</w:t>
            </w:r>
          </w:p>
        </w:tc>
        <w:tc>
          <w:tcPr>
            <w:tcW w:w="900" w:type="dxa"/>
            <w:shd w:val="clear" w:color="auto" w:fill="006991"/>
            <w:noWrap/>
            <w:vAlign w:val="center"/>
            <w:hideMark/>
          </w:tcPr>
          <w:p w14:paraId="7B7F4E2A" w14:textId="77777777" w:rsidR="00FC0498" w:rsidRPr="00034E9B" w:rsidRDefault="00FC0498" w:rsidP="009F04E1">
            <w:pPr>
              <w:pStyle w:val="CGCTableheader"/>
              <w:jc w:val="right"/>
              <w:rPr>
                <w:lang w:val="en-AU" w:eastAsia="en-AU"/>
              </w:rPr>
            </w:pPr>
            <w:r w:rsidRPr="00034E9B">
              <w:rPr>
                <w:lang w:val="en-AU" w:eastAsia="en-AU"/>
              </w:rPr>
              <w:t>U2021</w:t>
            </w:r>
          </w:p>
        </w:tc>
        <w:tc>
          <w:tcPr>
            <w:tcW w:w="900" w:type="dxa"/>
            <w:shd w:val="clear" w:color="auto" w:fill="006991"/>
            <w:noWrap/>
            <w:vAlign w:val="center"/>
            <w:hideMark/>
          </w:tcPr>
          <w:p w14:paraId="5DE689A2" w14:textId="77777777" w:rsidR="00FC0498" w:rsidRPr="00034E9B" w:rsidRDefault="00FC0498" w:rsidP="009F04E1">
            <w:pPr>
              <w:pStyle w:val="CGCTableheader"/>
              <w:jc w:val="right"/>
              <w:rPr>
                <w:lang w:val="en-AU" w:eastAsia="en-AU"/>
              </w:rPr>
            </w:pPr>
            <w:r w:rsidRPr="00034E9B">
              <w:rPr>
                <w:lang w:val="en-AU" w:eastAsia="en-AU"/>
              </w:rPr>
              <w:t>U2022</w:t>
            </w:r>
          </w:p>
        </w:tc>
        <w:tc>
          <w:tcPr>
            <w:tcW w:w="900" w:type="dxa"/>
            <w:shd w:val="clear" w:color="auto" w:fill="006991"/>
            <w:noWrap/>
            <w:vAlign w:val="center"/>
            <w:hideMark/>
          </w:tcPr>
          <w:p w14:paraId="703AE6BD" w14:textId="77777777" w:rsidR="00FC0498" w:rsidRPr="00034E9B" w:rsidRDefault="00FC0498" w:rsidP="009F04E1">
            <w:pPr>
              <w:pStyle w:val="CGCTableheader"/>
              <w:jc w:val="right"/>
              <w:rPr>
                <w:lang w:val="en-AU" w:eastAsia="en-AU"/>
              </w:rPr>
            </w:pPr>
            <w:r w:rsidRPr="00034E9B">
              <w:rPr>
                <w:lang w:val="en-AU" w:eastAsia="en-AU"/>
              </w:rPr>
              <w:t>U2023</w:t>
            </w:r>
          </w:p>
        </w:tc>
        <w:tc>
          <w:tcPr>
            <w:tcW w:w="900" w:type="dxa"/>
            <w:shd w:val="clear" w:color="auto" w:fill="006991"/>
            <w:noWrap/>
            <w:vAlign w:val="center"/>
            <w:hideMark/>
          </w:tcPr>
          <w:p w14:paraId="1EB2C72A" w14:textId="77777777" w:rsidR="00FC0498" w:rsidRPr="00034E9B" w:rsidRDefault="00FC0498" w:rsidP="009F04E1">
            <w:pPr>
              <w:pStyle w:val="CGCTableheader"/>
              <w:jc w:val="right"/>
              <w:rPr>
                <w:lang w:val="en-AU" w:eastAsia="en-AU"/>
              </w:rPr>
            </w:pPr>
            <w:r w:rsidRPr="00034E9B">
              <w:rPr>
                <w:lang w:val="en-AU" w:eastAsia="en-AU"/>
              </w:rPr>
              <w:t>U2024</w:t>
            </w:r>
          </w:p>
        </w:tc>
        <w:tc>
          <w:tcPr>
            <w:tcW w:w="900" w:type="dxa"/>
            <w:shd w:val="clear" w:color="auto" w:fill="006991"/>
            <w:noWrap/>
            <w:vAlign w:val="center"/>
            <w:hideMark/>
          </w:tcPr>
          <w:p w14:paraId="4B8F5C51" w14:textId="77777777" w:rsidR="00FC0498" w:rsidRPr="00034E9B" w:rsidRDefault="00FC0498" w:rsidP="009F04E1">
            <w:pPr>
              <w:pStyle w:val="CGCTableheader"/>
              <w:jc w:val="right"/>
              <w:rPr>
                <w:lang w:val="en-AU" w:eastAsia="en-AU"/>
              </w:rPr>
            </w:pPr>
            <w:r w:rsidRPr="00034E9B">
              <w:rPr>
                <w:lang w:val="en-AU" w:eastAsia="en-AU"/>
              </w:rPr>
              <w:t>U2025</w:t>
            </w:r>
          </w:p>
        </w:tc>
        <w:tc>
          <w:tcPr>
            <w:tcW w:w="900" w:type="dxa"/>
            <w:shd w:val="clear" w:color="auto" w:fill="006991"/>
            <w:noWrap/>
            <w:vAlign w:val="center"/>
            <w:hideMark/>
          </w:tcPr>
          <w:p w14:paraId="55D562E5" w14:textId="77777777" w:rsidR="00FC0498" w:rsidRPr="00034E9B" w:rsidRDefault="00FC0498" w:rsidP="009F04E1">
            <w:pPr>
              <w:pStyle w:val="CGCTableheader"/>
              <w:jc w:val="right"/>
              <w:rPr>
                <w:lang w:val="en-AU" w:eastAsia="en-AU"/>
              </w:rPr>
            </w:pPr>
            <w:r w:rsidRPr="00034E9B">
              <w:rPr>
                <w:lang w:val="en-AU" w:eastAsia="en-AU"/>
              </w:rPr>
              <w:t>U2026</w:t>
            </w:r>
          </w:p>
        </w:tc>
      </w:tr>
      <w:tr w:rsidR="00FC0498" w:rsidRPr="00034E9B" w14:paraId="2AB0E019" w14:textId="77777777" w:rsidTr="009D187C">
        <w:trPr>
          <w:trHeight w:val="261"/>
        </w:trPr>
        <w:tc>
          <w:tcPr>
            <w:tcW w:w="2620" w:type="dxa"/>
            <w:shd w:val="clear" w:color="auto" w:fill="B6D5E4"/>
            <w:noWrap/>
            <w:vAlign w:val="center"/>
            <w:hideMark/>
          </w:tcPr>
          <w:p w14:paraId="09763E90" w14:textId="77777777" w:rsidR="00FC0498" w:rsidRPr="00034E9B" w:rsidRDefault="00FC0498" w:rsidP="00FF6CBF">
            <w:pPr>
              <w:pStyle w:val="CGCTablesubhead1"/>
              <w:rPr>
                <w:lang w:val="en-AU" w:eastAsia="en-AU"/>
              </w:rPr>
            </w:pPr>
            <w:r w:rsidRPr="00034E9B">
              <w:rPr>
                <w:lang w:val="en-AU" w:eastAsia="en-AU"/>
              </w:rPr>
              <w:t>Application year</w:t>
            </w:r>
          </w:p>
        </w:tc>
        <w:tc>
          <w:tcPr>
            <w:tcW w:w="900" w:type="dxa"/>
            <w:shd w:val="clear" w:color="auto" w:fill="B6D5E4"/>
            <w:noWrap/>
            <w:vAlign w:val="center"/>
            <w:hideMark/>
          </w:tcPr>
          <w:p w14:paraId="184AC8B2" w14:textId="77777777" w:rsidR="00FC0498" w:rsidRPr="00034E9B" w:rsidRDefault="00FC0498" w:rsidP="009F04E1">
            <w:pPr>
              <w:pStyle w:val="CGCTablesubhead1"/>
              <w:jc w:val="right"/>
              <w:rPr>
                <w:lang w:val="en-AU" w:eastAsia="en-AU"/>
              </w:rPr>
            </w:pPr>
            <w:r w:rsidRPr="00034E9B">
              <w:rPr>
                <w:lang w:val="en-AU" w:eastAsia="en-AU"/>
              </w:rPr>
              <w:t>2020-21</w:t>
            </w:r>
          </w:p>
        </w:tc>
        <w:tc>
          <w:tcPr>
            <w:tcW w:w="900" w:type="dxa"/>
            <w:shd w:val="clear" w:color="auto" w:fill="B6D5E4"/>
            <w:noWrap/>
            <w:vAlign w:val="center"/>
            <w:hideMark/>
          </w:tcPr>
          <w:p w14:paraId="080218DA" w14:textId="77777777" w:rsidR="00FC0498" w:rsidRPr="00034E9B" w:rsidRDefault="00FC0498" w:rsidP="009F04E1">
            <w:pPr>
              <w:pStyle w:val="CGCTablesubhead1"/>
              <w:jc w:val="right"/>
              <w:rPr>
                <w:lang w:val="en-AU" w:eastAsia="en-AU"/>
              </w:rPr>
            </w:pPr>
            <w:r w:rsidRPr="00034E9B">
              <w:rPr>
                <w:lang w:val="en-AU" w:eastAsia="en-AU"/>
              </w:rPr>
              <w:t>2021-22</w:t>
            </w:r>
          </w:p>
        </w:tc>
        <w:tc>
          <w:tcPr>
            <w:tcW w:w="900" w:type="dxa"/>
            <w:shd w:val="clear" w:color="auto" w:fill="B6D5E4"/>
            <w:noWrap/>
            <w:vAlign w:val="center"/>
            <w:hideMark/>
          </w:tcPr>
          <w:p w14:paraId="538021E9" w14:textId="77777777" w:rsidR="00FC0498" w:rsidRPr="00034E9B" w:rsidRDefault="00FC0498" w:rsidP="009F04E1">
            <w:pPr>
              <w:pStyle w:val="CGCTablesubhead1"/>
              <w:jc w:val="right"/>
              <w:rPr>
                <w:lang w:val="en-AU" w:eastAsia="en-AU"/>
              </w:rPr>
            </w:pPr>
            <w:r w:rsidRPr="00034E9B">
              <w:rPr>
                <w:lang w:val="en-AU" w:eastAsia="en-AU"/>
              </w:rPr>
              <w:t>2022-23</w:t>
            </w:r>
          </w:p>
        </w:tc>
        <w:tc>
          <w:tcPr>
            <w:tcW w:w="900" w:type="dxa"/>
            <w:shd w:val="clear" w:color="auto" w:fill="B6D5E4"/>
            <w:noWrap/>
            <w:vAlign w:val="center"/>
            <w:hideMark/>
          </w:tcPr>
          <w:p w14:paraId="75A1C2C1" w14:textId="77777777" w:rsidR="00FC0498" w:rsidRPr="00034E9B" w:rsidRDefault="00FC0498" w:rsidP="009F04E1">
            <w:pPr>
              <w:pStyle w:val="CGCTablesubhead1"/>
              <w:jc w:val="right"/>
              <w:rPr>
                <w:lang w:val="en-AU" w:eastAsia="en-AU"/>
              </w:rPr>
            </w:pPr>
            <w:r w:rsidRPr="00034E9B">
              <w:rPr>
                <w:lang w:val="en-AU" w:eastAsia="en-AU"/>
              </w:rPr>
              <w:t>2023-24</w:t>
            </w:r>
          </w:p>
        </w:tc>
        <w:tc>
          <w:tcPr>
            <w:tcW w:w="900" w:type="dxa"/>
            <w:shd w:val="clear" w:color="auto" w:fill="B6D5E4"/>
            <w:noWrap/>
            <w:vAlign w:val="center"/>
            <w:hideMark/>
          </w:tcPr>
          <w:p w14:paraId="59B96185" w14:textId="77777777" w:rsidR="00FC0498" w:rsidRPr="00034E9B" w:rsidRDefault="00FC0498" w:rsidP="009F04E1">
            <w:pPr>
              <w:pStyle w:val="CGCTablesubhead1"/>
              <w:jc w:val="right"/>
              <w:rPr>
                <w:lang w:val="en-AU" w:eastAsia="en-AU"/>
              </w:rPr>
            </w:pPr>
            <w:r w:rsidRPr="00034E9B">
              <w:rPr>
                <w:lang w:val="en-AU" w:eastAsia="en-AU"/>
              </w:rPr>
              <w:t>2024-25</w:t>
            </w:r>
          </w:p>
        </w:tc>
        <w:tc>
          <w:tcPr>
            <w:tcW w:w="900" w:type="dxa"/>
            <w:shd w:val="clear" w:color="auto" w:fill="B6D5E4"/>
            <w:noWrap/>
            <w:vAlign w:val="center"/>
            <w:hideMark/>
          </w:tcPr>
          <w:p w14:paraId="37DF0B73" w14:textId="77777777" w:rsidR="00FC0498" w:rsidRPr="00034E9B" w:rsidRDefault="00FC0498" w:rsidP="009F04E1">
            <w:pPr>
              <w:pStyle w:val="CGCTablesubhead1"/>
              <w:jc w:val="right"/>
              <w:rPr>
                <w:lang w:val="en-AU" w:eastAsia="en-AU"/>
              </w:rPr>
            </w:pPr>
            <w:r w:rsidRPr="00034E9B">
              <w:rPr>
                <w:lang w:val="en-AU" w:eastAsia="en-AU"/>
              </w:rPr>
              <w:t>2025-26</w:t>
            </w:r>
          </w:p>
        </w:tc>
        <w:tc>
          <w:tcPr>
            <w:tcW w:w="900" w:type="dxa"/>
            <w:shd w:val="clear" w:color="auto" w:fill="B6D5E4"/>
            <w:noWrap/>
            <w:vAlign w:val="center"/>
            <w:hideMark/>
          </w:tcPr>
          <w:p w14:paraId="02C71658" w14:textId="77777777" w:rsidR="00FC0498" w:rsidRPr="00034E9B" w:rsidRDefault="00FC0498" w:rsidP="009F04E1">
            <w:pPr>
              <w:pStyle w:val="CGCTablesubhead1"/>
              <w:jc w:val="right"/>
              <w:rPr>
                <w:lang w:val="en-AU" w:eastAsia="en-AU"/>
              </w:rPr>
            </w:pPr>
            <w:r w:rsidRPr="00034E9B">
              <w:rPr>
                <w:lang w:val="en-AU" w:eastAsia="en-AU"/>
              </w:rPr>
              <w:t>2026-27</w:t>
            </w:r>
          </w:p>
        </w:tc>
      </w:tr>
      <w:tr w:rsidR="00FC0498" w:rsidRPr="00034E9B" w14:paraId="3216182D" w14:textId="77777777" w:rsidTr="00857C30">
        <w:trPr>
          <w:trHeight w:val="284"/>
        </w:trPr>
        <w:tc>
          <w:tcPr>
            <w:tcW w:w="2620" w:type="dxa"/>
            <w:shd w:val="clear" w:color="auto" w:fill="auto"/>
            <w:noWrap/>
            <w:vAlign w:val="bottom"/>
            <w:hideMark/>
          </w:tcPr>
          <w:p w14:paraId="5E91E66A" w14:textId="77777777" w:rsidR="00FC0498" w:rsidRPr="00034E9B" w:rsidRDefault="00FC0498" w:rsidP="00FF6CBF">
            <w:pPr>
              <w:pStyle w:val="CGCTablerow"/>
              <w:ind w:left="113"/>
              <w:rPr>
                <w:rFonts w:ascii="Open Sans Semibold" w:hAnsi="Open Sans Semibold" w:cs="Open Sans Semibold"/>
                <w:lang w:eastAsia="en-AU"/>
              </w:rPr>
            </w:pPr>
            <w:r w:rsidRPr="00034E9B">
              <w:rPr>
                <w:rFonts w:ascii="Open Sans Semibold" w:hAnsi="Open Sans Semibold" w:cs="Open Sans Semibold"/>
                <w:lang w:eastAsia="en-AU"/>
              </w:rPr>
              <w:t>Relativities transition</w:t>
            </w:r>
          </w:p>
        </w:tc>
        <w:tc>
          <w:tcPr>
            <w:tcW w:w="900" w:type="dxa"/>
            <w:shd w:val="clear" w:color="auto" w:fill="auto"/>
            <w:noWrap/>
            <w:vAlign w:val="bottom"/>
            <w:hideMark/>
          </w:tcPr>
          <w:p w14:paraId="1E415E5B" w14:textId="77777777" w:rsidR="00FC0498" w:rsidRPr="00034E9B" w:rsidRDefault="00FC0498" w:rsidP="009F04E1">
            <w:pPr>
              <w:pStyle w:val="CGCTablerow"/>
              <w:jc w:val="right"/>
              <w:rPr>
                <w:rFonts w:ascii="Open Sans Semibold" w:hAnsi="Open Sans Semibold" w:cs="Open Sans Semibold"/>
                <w:lang w:eastAsia="en-AU"/>
              </w:rPr>
            </w:pPr>
          </w:p>
        </w:tc>
        <w:tc>
          <w:tcPr>
            <w:tcW w:w="900" w:type="dxa"/>
            <w:shd w:val="clear" w:color="auto" w:fill="auto"/>
            <w:noWrap/>
            <w:vAlign w:val="bottom"/>
            <w:hideMark/>
          </w:tcPr>
          <w:p w14:paraId="4CCD8779" w14:textId="77777777" w:rsidR="00FC0498" w:rsidRPr="00034E9B" w:rsidRDefault="00FC0498" w:rsidP="009F04E1">
            <w:pPr>
              <w:pStyle w:val="CGCTablerow"/>
              <w:jc w:val="right"/>
              <w:rPr>
                <w:rFonts w:ascii="Open Sans Semibold" w:hAnsi="Open Sans Semibold" w:cs="Open Sans Semibold"/>
                <w:lang w:eastAsia="en-AU"/>
              </w:rPr>
            </w:pPr>
          </w:p>
        </w:tc>
        <w:tc>
          <w:tcPr>
            <w:tcW w:w="900" w:type="dxa"/>
            <w:shd w:val="clear" w:color="auto" w:fill="auto"/>
            <w:noWrap/>
            <w:vAlign w:val="bottom"/>
            <w:hideMark/>
          </w:tcPr>
          <w:p w14:paraId="03D31290" w14:textId="77777777" w:rsidR="00FC0498" w:rsidRPr="00034E9B" w:rsidRDefault="00FC0498" w:rsidP="009F04E1">
            <w:pPr>
              <w:pStyle w:val="CGCTablerow"/>
              <w:jc w:val="right"/>
              <w:rPr>
                <w:rFonts w:ascii="Open Sans Semibold" w:hAnsi="Open Sans Semibold" w:cs="Open Sans Semibold"/>
                <w:lang w:eastAsia="en-AU"/>
              </w:rPr>
            </w:pPr>
          </w:p>
        </w:tc>
        <w:tc>
          <w:tcPr>
            <w:tcW w:w="900" w:type="dxa"/>
            <w:shd w:val="clear" w:color="auto" w:fill="auto"/>
            <w:noWrap/>
            <w:vAlign w:val="bottom"/>
            <w:hideMark/>
          </w:tcPr>
          <w:p w14:paraId="537BDD7A" w14:textId="77777777" w:rsidR="00FC0498" w:rsidRPr="00034E9B" w:rsidRDefault="00FC0498" w:rsidP="009F04E1">
            <w:pPr>
              <w:pStyle w:val="CGCTablerow"/>
              <w:jc w:val="right"/>
              <w:rPr>
                <w:rFonts w:ascii="Open Sans Semibold" w:hAnsi="Open Sans Semibold" w:cs="Open Sans Semibold"/>
                <w:lang w:eastAsia="en-AU"/>
              </w:rPr>
            </w:pPr>
          </w:p>
        </w:tc>
        <w:tc>
          <w:tcPr>
            <w:tcW w:w="900" w:type="dxa"/>
            <w:shd w:val="clear" w:color="auto" w:fill="auto"/>
            <w:noWrap/>
            <w:vAlign w:val="bottom"/>
            <w:hideMark/>
          </w:tcPr>
          <w:p w14:paraId="51EC6FE1" w14:textId="77777777" w:rsidR="00FC0498" w:rsidRPr="00034E9B" w:rsidRDefault="00FC0498" w:rsidP="009F04E1">
            <w:pPr>
              <w:pStyle w:val="CGCTablerow"/>
              <w:jc w:val="right"/>
              <w:rPr>
                <w:rFonts w:ascii="Open Sans Semibold" w:hAnsi="Open Sans Semibold" w:cs="Open Sans Semibold"/>
                <w:lang w:eastAsia="en-AU"/>
              </w:rPr>
            </w:pPr>
          </w:p>
        </w:tc>
        <w:tc>
          <w:tcPr>
            <w:tcW w:w="900" w:type="dxa"/>
            <w:shd w:val="clear" w:color="auto" w:fill="auto"/>
            <w:noWrap/>
            <w:vAlign w:val="bottom"/>
            <w:hideMark/>
          </w:tcPr>
          <w:p w14:paraId="768CED6A" w14:textId="77777777" w:rsidR="00FC0498" w:rsidRPr="00034E9B" w:rsidRDefault="00FC0498" w:rsidP="009F04E1">
            <w:pPr>
              <w:pStyle w:val="CGCTablerow"/>
              <w:jc w:val="right"/>
              <w:rPr>
                <w:rFonts w:ascii="Open Sans Semibold" w:hAnsi="Open Sans Semibold" w:cs="Open Sans Semibold"/>
                <w:lang w:eastAsia="en-AU"/>
              </w:rPr>
            </w:pPr>
          </w:p>
        </w:tc>
        <w:tc>
          <w:tcPr>
            <w:tcW w:w="900" w:type="dxa"/>
            <w:shd w:val="clear" w:color="auto" w:fill="auto"/>
            <w:noWrap/>
            <w:vAlign w:val="bottom"/>
            <w:hideMark/>
          </w:tcPr>
          <w:p w14:paraId="177D042E" w14:textId="77777777" w:rsidR="00FC0498" w:rsidRPr="00034E9B" w:rsidRDefault="00FC0498" w:rsidP="009F04E1">
            <w:pPr>
              <w:pStyle w:val="CGCTablerow"/>
              <w:jc w:val="right"/>
              <w:rPr>
                <w:rFonts w:ascii="Open Sans Semibold" w:hAnsi="Open Sans Semibold" w:cs="Open Sans Semibold"/>
                <w:lang w:eastAsia="en-AU"/>
              </w:rPr>
            </w:pPr>
          </w:p>
        </w:tc>
      </w:tr>
      <w:tr w:rsidR="00FC0498" w:rsidRPr="00034E9B" w14:paraId="7D8E9440" w14:textId="77777777" w:rsidTr="00857C30">
        <w:trPr>
          <w:trHeight w:val="284"/>
        </w:trPr>
        <w:tc>
          <w:tcPr>
            <w:tcW w:w="2620" w:type="dxa"/>
            <w:shd w:val="clear" w:color="auto" w:fill="auto"/>
            <w:noWrap/>
            <w:vAlign w:val="bottom"/>
            <w:hideMark/>
          </w:tcPr>
          <w:p w14:paraId="14AA4A6C" w14:textId="77777777" w:rsidR="00FC0498" w:rsidRPr="00034E9B" w:rsidRDefault="00FC0498" w:rsidP="00FF6CBF">
            <w:pPr>
              <w:pStyle w:val="CGCTablerow"/>
              <w:ind w:left="227"/>
              <w:rPr>
                <w:lang w:eastAsia="en-AU"/>
              </w:rPr>
            </w:pPr>
            <w:r w:rsidRPr="00034E9B">
              <w:rPr>
                <w:lang w:eastAsia="en-AU"/>
              </w:rPr>
              <w:t>Relative fiscal capacities (a)</w:t>
            </w:r>
          </w:p>
        </w:tc>
        <w:tc>
          <w:tcPr>
            <w:tcW w:w="900" w:type="dxa"/>
            <w:shd w:val="clear" w:color="auto" w:fill="auto"/>
            <w:noWrap/>
            <w:vAlign w:val="bottom"/>
            <w:hideMark/>
          </w:tcPr>
          <w:p w14:paraId="63F5BD11" w14:textId="77777777" w:rsidR="00FC0498" w:rsidRPr="00034E9B" w:rsidRDefault="00FC0498" w:rsidP="009F04E1">
            <w:pPr>
              <w:pStyle w:val="CGCTablerow"/>
              <w:jc w:val="right"/>
              <w:rPr>
                <w:lang w:eastAsia="en-AU"/>
              </w:rPr>
            </w:pPr>
            <w:r w:rsidRPr="00034E9B">
              <w:rPr>
                <w:lang w:eastAsia="en-AU"/>
              </w:rPr>
              <w:t>6/6ths</w:t>
            </w:r>
          </w:p>
        </w:tc>
        <w:tc>
          <w:tcPr>
            <w:tcW w:w="900" w:type="dxa"/>
            <w:shd w:val="clear" w:color="auto" w:fill="auto"/>
            <w:noWrap/>
            <w:vAlign w:val="bottom"/>
            <w:hideMark/>
          </w:tcPr>
          <w:p w14:paraId="656318FA" w14:textId="77777777" w:rsidR="00FC0498" w:rsidRPr="00034E9B" w:rsidRDefault="00FC0498" w:rsidP="009F04E1">
            <w:pPr>
              <w:pStyle w:val="CGCTablerow"/>
              <w:jc w:val="right"/>
              <w:rPr>
                <w:lang w:eastAsia="en-AU"/>
              </w:rPr>
            </w:pPr>
            <w:r w:rsidRPr="00034E9B">
              <w:rPr>
                <w:lang w:eastAsia="en-AU"/>
              </w:rPr>
              <w:t>5/6ths</w:t>
            </w:r>
          </w:p>
        </w:tc>
        <w:tc>
          <w:tcPr>
            <w:tcW w:w="900" w:type="dxa"/>
            <w:shd w:val="clear" w:color="auto" w:fill="auto"/>
            <w:noWrap/>
            <w:vAlign w:val="bottom"/>
            <w:hideMark/>
          </w:tcPr>
          <w:p w14:paraId="25C22CED" w14:textId="77777777" w:rsidR="00FC0498" w:rsidRPr="00034E9B" w:rsidRDefault="00FC0498" w:rsidP="009F04E1">
            <w:pPr>
              <w:pStyle w:val="CGCTablerow"/>
              <w:jc w:val="right"/>
              <w:rPr>
                <w:lang w:eastAsia="en-AU"/>
              </w:rPr>
            </w:pPr>
            <w:r w:rsidRPr="00034E9B">
              <w:rPr>
                <w:lang w:eastAsia="en-AU"/>
              </w:rPr>
              <w:t>4/6ths</w:t>
            </w:r>
          </w:p>
        </w:tc>
        <w:tc>
          <w:tcPr>
            <w:tcW w:w="900" w:type="dxa"/>
            <w:shd w:val="clear" w:color="auto" w:fill="auto"/>
            <w:noWrap/>
            <w:vAlign w:val="bottom"/>
            <w:hideMark/>
          </w:tcPr>
          <w:p w14:paraId="25424E79" w14:textId="77777777" w:rsidR="00FC0498" w:rsidRPr="00034E9B" w:rsidRDefault="00FC0498" w:rsidP="009F04E1">
            <w:pPr>
              <w:pStyle w:val="CGCTablerow"/>
              <w:jc w:val="right"/>
              <w:rPr>
                <w:lang w:eastAsia="en-AU"/>
              </w:rPr>
            </w:pPr>
            <w:r w:rsidRPr="00034E9B">
              <w:rPr>
                <w:lang w:eastAsia="en-AU"/>
              </w:rPr>
              <w:t>3/6ths</w:t>
            </w:r>
          </w:p>
        </w:tc>
        <w:tc>
          <w:tcPr>
            <w:tcW w:w="900" w:type="dxa"/>
            <w:shd w:val="clear" w:color="auto" w:fill="auto"/>
            <w:noWrap/>
            <w:vAlign w:val="bottom"/>
            <w:hideMark/>
          </w:tcPr>
          <w:p w14:paraId="7BC951A5" w14:textId="77777777" w:rsidR="00FC0498" w:rsidRPr="00034E9B" w:rsidRDefault="00FC0498" w:rsidP="009F04E1">
            <w:pPr>
              <w:pStyle w:val="CGCTablerow"/>
              <w:jc w:val="right"/>
              <w:rPr>
                <w:lang w:eastAsia="en-AU"/>
              </w:rPr>
            </w:pPr>
            <w:r w:rsidRPr="00034E9B">
              <w:rPr>
                <w:lang w:eastAsia="en-AU"/>
              </w:rPr>
              <w:t>2/6ths</w:t>
            </w:r>
          </w:p>
        </w:tc>
        <w:tc>
          <w:tcPr>
            <w:tcW w:w="900" w:type="dxa"/>
            <w:shd w:val="clear" w:color="auto" w:fill="auto"/>
            <w:noWrap/>
            <w:vAlign w:val="bottom"/>
            <w:hideMark/>
          </w:tcPr>
          <w:p w14:paraId="754E1109" w14:textId="77777777" w:rsidR="00FC0498" w:rsidRPr="00034E9B" w:rsidRDefault="00FC0498" w:rsidP="009F04E1">
            <w:pPr>
              <w:pStyle w:val="CGCTablerow"/>
              <w:jc w:val="right"/>
              <w:rPr>
                <w:lang w:eastAsia="en-AU"/>
              </w:rPr>
            </w:pPr>
            <w:r w:rsidRPr="00034E9B">
              <w:rPr>
                <w:lang w:eastAsia="en-AU"/>
              </w:rPr>
              <w:t>1/6th</w:t>
            </w:r>
          </w:p>
        </w:tc>
        <w:tc>
          <w:tcPr>
            <w:tcW w:w="900" w:type="dxa"/>
            <w:shd w:val="clear" w:color="auto" w:fill="auto"/>
            <w:noWrap/>
            <w:vAlign w:val="bottom"/>
            <w:hideMark/>
          </w:tcPr>
          <w:p w14:paraId="4EF08E44" w14:textId="77777777" w:rsidR="00FC0498" w:rsidRPr="00034E9B" w:rsidRDefault="00FC0498" w:rsidP="009F04E1">
            <w:pPr>
              <w:pStyle w:val="CGCTablerow"/>
              <w:jc w:val="right"/>
              <w:rPr>
                <w:lang w:eastAsia="en-AU"/>
              </w:rPr>
            </w:pPr>
            <w:r w:rsidRPr="00034E9B">
              <w:rPr>
                <w:lang w:eastAsia="en-AU"/>
              </w:rPr>
              <w:t>0/6ths</w:t>
            </w:r>
          </w:p>
        </w:tc>
      </w:tr>
      <w:tr w:rsidR="00FC0498" w:rsidRPr="00034E9B" w14:paraId="7954BD10" w14:textId="77777777" w:rsidTr="00857C30">
        <w:trPr>
          <w:trHeight w:val="284"/>
        </w:trPr>
        <w:tc>
          <w:tcPr>
            <w:tcW w:w="2620" w:type="dxa"/>
            <w:shd w:val="clear" w:color="auto" w:fill="auto"/>
            <w:noWrap/>
            <w:vAlign w:val="bottom"/>
            <w:hideMark/>
          </w:tcPr>
          <w:p w14:paraId="61DA5B60" w14:textId="77777777" w:rsidR="00FC0498" w:rsidRPr="00034E9B" w:rsidRDefault="00FC0498" w:rsidP="00FF6CBF">
            <w:pPr>
              <w:pStyle w:val="CGCTablerow"/>
              <w:ind w:left="227"/>
              <w:rPr>
                <w:lang w:eastAsia="en-AU"/>
              </w:rPr>
            </w:pPr>
            <w:r w:rsidRPr="00034E9B">
              <w:rPr>
                <w:lang w:eastAsia="en-AU"/>
              </w:rPr>
              <w:t>Standard State capacities (b)</w:t>
            </w:r>
          </w:p>
        </w:tc>
        <w:tc>
          <w:tcPr>
            <w:tcW w:w="900" w:type="dxa"/>
            <w:shd w:val="clear" w:color="auto" w:fill="auto"/>
            <w:noWrap/>
            <w:vAlign w:val="bottom"/>
            <w:hideMark/>
          </w:tcPr>
          <w:p w14:paraId="10F06318" w14:textId="77777777" w:rsidR="00FC0498" w:rsidRPr="00034E9B" w:rsidRDefault="00FC0498" w:rsidP="009F04E1">
            <w:pPr>
              <w:pStyle w:val="CGCTablerow"/>
              <w:jc w:val="right"/>
              <w:rPr>
                <w:lang w:eastAsia="en-AU"/>
              </w:rPr>
            </w:pPr>
            <w:r w:rsidRPr="00034E9B">
              <w:rPr>
                <w:lang w:eastAsia="en-AU"/>
              </w:rPr>
              <w:t>0/6ths</w:t>
            </w:r>
          </w:p>
        </w:tc>
        <w:tc>
          <w:tcPr>
            <w:tcW w:w="900" w:type="dxa"/>
            <w:shd w:val="clear" w:color="auto" w:fill="auto"/>
            <w:noWrap/>
            <w:vAlign w:val="bottom"/>
            <w:hideMark/>
          </w:tcPr>
          <w:p w14:paraId="711654CD" w14:textId="77777777" w:rsidR="00FC0498" w:rsidRPr="00034E9B" w:rsidRDefault="00FC0498" w:rsidP="009F04E1">
            <w:pPr>
              <w:pStyle w:val="CGCTablerow"/>
              <w:jc w:val="right"/>
              <w:rPr>
                <w:lang w:eastAsia="en-AU"/>
              </w:rPr>
            </w:pPr>
            <w:r w:rsidRPr="00034E9B">
              <w:rPr>
                <w:lang w:eastAsia="en-AU"/>
              </w:rPr>
              <w:t>1/6th</w:t>
            </w:r>
          </w:p>
        </w:tc>
        <w:tc>
          <w:tcPr>
            <w:tcW w:w="900" w:type="dxa"/>
            <w:shd w:val="clear" w:color="auto" w:fill="auto"/>
            <w:noWrap/>
            <w:vAlign w:val="bottom"/>
            <w:hideMark/>
          </w:tcPr>
          <w:p w14:paraId="00C02873" w14:textId="77777777" w:rsidR="00FC0498" w:rsidRPr="00034E9B" w:rsidRDefault="00FC0498" w:rsidP="009F04E1">
            <w:pPr>
              <w:pStyle w:val="CGCTablerow"/>
              <w:jc w:val="right"/>
              <w:rPr>
                <w:lang w:eastAsia="en-AU"/>
              </w:rPr>
            </w:pPr>
            <w:r w:rsidRPr="00034E9B">
              <w:rPr>
                <w:lang w:eastAsia="en-AU"/>
              </w:rPr>
              <w:t>2/6ths</w:t>
            </w:r>
          </w:p>
        </w:tc>
        <w:tc>
          <w:tcPr>
            <w:tcW w:w="900" w:type="dxa"/>
            <w:shd w:val="clear" w:color="auto" w:fill="auto"/>
            <w:noWrap/>
            <w:vAlign w:val="bottom"/>
            <w:hideMark/>
          </w:tcPr>
          <w:p w14:paraId="66DC6D83" w14:textId="77777777" w:rsidR="00FC0498" w:rsidRPr="00034E9B" w:rsidRDefault="00FC0498" w:rsidP="009F04E1">
            <w:pPr>
              <w:pStyle w:val="CGCTablerow"/>
              <w:jc w:val="right"/>
              <w:rPr>
                <w:lang w:eastAsia="en-AU"/>
              </w:rPr>
            </w:pPr>
            <w:r w:rsidRPr="00034E9B">
              <w:rPr>
                <w:lang w:eastAsia="en-AU"/>
              </w:rPr>
              <w:t>3/6ths</w:t>
            </w:r>
          </w:p>
        </w:tc>
        <w:tc>
          <w:tcPr>
            <w:tcW w:w="900" w:type="dxa"/>
            <w:shd w:val="clear" w:color="auto" w:fill="auto"/>
            <w:noWrap/>
            <w:vAlign w:val="bottom"/>
            <w:hideMark/>
          </w:tcPr>
          <w:p w14:paraId="31621B1A" w14:textId="77777777" w:rsidR="00FC0498" w:rsidRPr="00034E9B" w:rsidRDefault="00FC0498" w:rsidP="009F04E1">
            <w:pPr>
              <w:pStyle w:val="CGCTablerow"/>
              <w:jc w:val="right"/>
              <w:rPr>
                <w:lang w:eastAsia="en-AU"/>
              </w:rPr>
            </w:pPr>
            <w:r w:rsidRPr="00034E9B">
              <w:rPr>
                <w:lang w:eastAsia="en-AU"/>
              </w:rPr>
              <w:t>4/6ths</w:t>
            </w:r>
          </w:p>
        </w:tc>
        <w:tc>
          <w:tcPr>
            <w:tcW w:w="900" w:type="dxa"/>
            <w:shd w:val="clear" w:color="auto" w:fill="auto"/>
            <w:noWrap/>
            <w:vAlign w:val="bottom"/>
            <w:hideMark/>
          </w:tcPr>
          <w:p w14:paraId="1BB67197" w14:textId="77777777" w:rsidR="00FC0498" w:rsidRPr="00034E9B" w:rsidRDefault="00FC0498" w:rsidP="009F04E1">
            <w:pPr>
              <w:pStyle w:val="CGCTablerow"/>
              <w:jc w:val="right"/>
              <w:rPr>
                <w:lang w:eastAsia="en-AU"/>
              </w:rPr>
            </w:pPr>
            <w:r w:rsidRPr="00034E9B">
              <w:rPr>
                <w:lang w:eastAsia="en-AU"/>
              </w:rPr>
              <w:t>5/6ths</w:t>
            </w:r>
          </w:p>
        </w:tc>
        <w:tc>
          <w:tcPr>
            <w:tcW w:w="900" w:type="dxa"/>
            <w:shd w:val="clear" w:color="auto" w:fill="auto"/>
            <w:noWrap/>
            <w:vAlign w:val="bottom"/>
            <w:hideMark/>
          </w:tcPr>
          <w:p w14:paraId="413069B9" w14:textId="77777777" w:rsidR="00FC0498" w:rsidRPr="00034E9B" w:rsidRDefault="00FC0498" w:rsidP="009F04E1">
            <w:pPr>
              <w:pStyle w:val="CGCTablerow"/>
              <w:jc w:val="right"/>
              <w:rPr>
                <w:lang w:eastAsia="en-AU"/>
              </w:rPr>
            </w:pPr>
            <w:r w:rsidRPr="00034E9B">
              <w:rPr>
                <w:lang w:eastAsia="en-AU"/>
              </w:rPr>
              <w:t>6/6ths</w:t>
            </w:r>
          </w:p>
        </w:tc>
      </w:tr>
      <w:tr w:rsidR="00FC0498" w:rsidRPr="00034E9B" w14:paraId="084FFB9D" w14:textId="77777777" w:rsidTr="00857C30">
        <w:trPr>
          <w:trHeight w:val="284"/>
        </w:trPr>
        <w:tc>
          <w:tcPr>
            <w:tcW w:w="2620" w:type="dxa"/>
            <w:shd w:val="clear" w:color="auto" w:fill="auto"/>
            <w:noWrap/>
            <w:vAlign w:val="bottom"/>
            <w:hideMark/>
          </w:tcPr>
          <w:p w14:paraId="42E60D5E" w14:textId="77777777" w:rsidR="00FC0498" w:rsidRPr="00034E9B" w:rsidRDefault="00FC0498" w:rsidP="00FF6CBF">
            <w:pPr>
              <w:pStyle w:val="CGCTablerow"/>
              <w:ind w:left="227"/>
              <w:rPr>
                <w:lang w:eastAsia="en-AU"/>
              </w:rPr>
            </w:pPr>
            <w:r w:rsidRPr="00034E9B">
              <w:rPr>
                <w:lang w:eastAsia="en-AU"/>
              </w:rPr>
              <w:t>Relativity floor (c)</w:t>
            </w:r>
          </w:p>
        </w:tc>
        <w:tc>
          <w:tcPr>
            <w:tcW w:w="900" w:type="dxa"/>
            <w:shd w:val="clear" w:color="auto" w:fill="auto"/>
            <w:noWrap/>
            <w:vAlign w:val="bottom"/>
            <w:hideMark/>
          </w:tcPr>
          <w:p w14:paraId="0E9BA10C" w14:textId="77777777" w:rsidR="00FC0498" w:rsidRPr="00034E9B" w:rsidRDefault="00FC0498" w:rsidP="009F04E1">
            <w:pPr>
              <w:pStyle w:val="CGCTablerow"/>
              <w:jc w:val="right"/>
              <w:rPr>
                <w:lang w:eastAsia="en-AU"/>
              </w:rPr>
            </w:pPr>
            <w:r w:rsidRPr="00034E9B">
              <w:rPr>
                <w:lang w:eastAsia="en-AU"/>
              </w:rPr>
              <w:t>External</w:t>
            </w:r>
          </w:p>
        </w:tc>
        <w:tc>
          <w:tcPr>
            <w:tcW w:w="900" w:type="dxa"/>
            <w:shd w:val="clear" w:color="auto" w:fill="auto"/>
            <w:noWrap/>
            <w:vAlign w:val="bottom"/>
            <w:hideMark/>
          </w:tcPr>
          <w:p w14:paraId="037E114B" w14:textId="77777777" w:rsidR="00FC0498" w:rsidRPr="00034E9B" w:rsidRDefault="00FC0498" w:rsidP="009F04E1">
            <w:pPr>
              <w:pStyle w:val="CGCTablerow"/>
              <w:jc w:val="right"/>
              <w:rPr>
                <w:lang w:eastAsia="en-AU"/>
              </w:rPr>
            </w:pPr>
            <w:r w:rsidRPr="00034E9B">
              <w:rPr>
                <w:lang w:eastAsia="en-AU"/>
              </w:rPr>
              <w:t>External</w:t>
            </w:r>
          </w:p>
        </w:tc>
        <w:tc>
          <w:tcPr>
            <w:tcW w:w="900" w:type="dxa"/>
            <w:shd w:val="clear" w:color="auto" w:fill="auto"/>
            <w:noWrap/>
            <w:vAlign w:val="bottom"/>
            <w:hideMark/>
          </w:tcPr>
          <w:p w14:paraId="166A2C1C" w14:textId="77777777" w:rsidR="00FC0498" w:rsidRPr="00034E9B" w:rsidRDefault="00FC0498" w:rsidP="009F04E1">
            <w:pPr>
              <w:pStyle w:val="CGCTablerow"/>
              <w:jc w:val="right"/>
              <w:rPr>
                <w:lang w:eastAsia="en-AU"/>
              </w:rPr>
            </w:pPr>
            <w:r w:rsidRPr="00034E9B">
              <w:rPr>
                <w:lang w:eastAsia="en-AU"/>
              </w:rPr>
              <w:t>0.70</w:t>
            </w:r>
          </w:p>
        </w:tc>
        <w:tc>
          <w:tcPr>
            <w:tcW w:w="900" w:type="dxa"/>
            <w:shd w:val="clear" w:color="auto" w:fill="auto"/>
            <w:noWrap/>
            <w:vAlign w:val="bottom"/>
            <w:hideMark/>
          </w:tcPr>
          <w:p w14:paraId="022AFB0D" w14:textId="77777777" w:rsidR="00FC0498" w:rsidRPr="00034E9B" w:rsidRDefault="00FC0498" w:rsidP="009F04E1">
            <w:pPr>
              <w:pStyle w:val="CGCTablerow"/>
              <w:jc w:val="right"/>
              <w:rPr>
                <w:lang w:eastAsia="en-AU"/>
              </w:rPr>
            </w:pPr>
            <w:r w:rsidRPr="00034E9B">
              <w:rPr>
                <w:lang w:eastAsia="en-AU"/>
              </w:rPr>
              <w:t>0.70</w:t>
            </w:r>
          </w:p>
        </w:tc>
        <w:tc>
          <w:tcPr>
            <w:tcW w:w="900" w:type="dxa"/>
            <w:shd w:val="clear" w:color="auto" w:fill="auto"/>
            <w:noWrap/>
            <w:vAlign w:val="bottom"/>
            <w:hideMark/>
          </w:tcPr>
          <w:p w14:paraId="45EDE323" w14:textId="77777777" w:rsidR="00FC0498" w:rsidRPr="00034E9B" w:rsidRDefault="00FC0498" w:rsidP="009F04E1">
            <w:pPr>
              <w:pStyle w:val="CGCTablerow"/>
              <w:jc w:val="right"/>
              <w:rPr>
                <w:lang w:eastAsia="en-AU"/>
              </w:rPr>
            </w:pPr>
            <w:r w:rsidRPr="00034E9B">
              <w:rPr>
                <w:lang w:eastAsia="en-AU"/>
              </w:rPr>
              <w:t>0.75</w:t>
            </w:r>
          </w:p>
        </w:tc>
        <w:tc>
          <w:tcPr>
            <w:tcW w:w="900" w:type="dxa"/>
            <w:shd w:val="clear" w:color="auto" w:fill="auto"/>
            <w:noWrap/>
            <w:vAlign w:val="bottom"/>
            <w:hideMark/>
          </w:tcPr>
          <w:p w14:paraId="522F7F25" w14:textId="77777777" w:rsidR="00FC0498" w:rsidRPr="00034E9B" w:rsidRDefault="00FC0498" w:rsidP="009F04E1">
            <w:pPr>
              <w:pStyle w:val="CGCTablerow"/>
              <w:jc w:val="right"/>
              <w:rPr>
                <w:lang w:eastAsia="en-AU"/>
              </w:rPr>
            </w:pPr>
            <w:r w:rsidRPr="00034E9B">
              <w:rPr>
                <w:lang w:eastAsia="en-AU"/>
              </w:rPr>
              <w:t>0.75</w:t>
            </w:r>
          </w:p>
        </w:tc>
        <w:tc>
          <w:tcPr>
            <w:tcW w:w="900" w:type="dxa"/>
            <w:shd w:val="clear" w:color="auto" w:fill="auto"/>
            <w:noWrap/>
            <w:vAlign w:val="bottom"/>
            <w:hideMark/>
          </w:tcPr>
          <w:p w14:paraId="032D9F96" w14:textId="77777777" w:rsidR="00FC0498" w:rsidRPr="00034E9B" w:rsidRDefault="00FC0498" w:rsidP="009F04E1">
            <w:pPr>
              <w:pStyle w:val="CGCTablerow"/>
              <w:jc w:val="right"/>
              <w:rPr>
                <w:lang w:eastAsia="en-AU"/>
              </w:rPr>
            </w:pPr>
            <w:r w:rsidRPr="00034E9B">
              <w:rPr>
                <w:lang w:eastAsia="en-AU"/>
              </w:rPr>
              <w:t>0.75</w:t>
            </w:r>
          </w:p>
        </w:tc>
      </w:tr>
      <w:tr w:rsidR="00FC0498" w:rsidRPr="00034E9B" w14:paraId="7739CB4E" w14:textId="77777777" w:rsidTr="00857C30">
        <w:trPr>
          <w:trHeight w:val="284"/>
        </w:trPr>
        <w:tc>
          <w:tcPr>
            <w:tcW w:w="2620" w:type="dxa"/>
            <w:shd w:val="clear" w:color="auto" w:fill="auto"/>
            <w:noWrap/>
            <w:vAlign w:val="bottom"/>
            <w:hideMark/>
          </w:tcPr>
          <w:p w14:paraId="7F745966" w14:textId="77777777" w:rsidR="00FC0498" w:rsidRPr="00034E9B" w:rsidRDefault="00FC0498" w:rsidP="00FF6CBF">
            <w:pPr>
              <w:pStyle w:val="CGCTablerow"/>
              <w:ind w:left="113"/>
              <w:rPr>
                <w:rFonts w:ascii="Open Sans Semibold" w:hAnsi="Open Sans Semibold" w:cs="Open Sans Semibold"/>
                <w:lang w:eastAsia="en-AU"/>
              </w:rPr>
            </w:pPr>
            <w:r w:rsidRPr="00034E9B">
              <w:rPr>
                <w:rFonts w:ascii="Open Sans Semibold" w:hAnsi="Open Sans Semibold" w:cs="Open Sans Semibold"/>
                <w:lang w:eastAsia="en-AU"/>
              </w:rPr>
              <w:t>Grant pool</w:t>
            </w:r>
          </w:p>
        </w:tc>
        <w:tc>
          <w:tcPr>
            <w:tcW w:w="900" w:type="dxa"/>
            <w:shd w:val="clear" w:color="auto" w:fill="auto"/>
            <w:noWrap/>
            <w:vAlign w:val="bottom"/>
            <w:hideMark/>
          </w:tcPr>
          <w:p w14:paraId="2D96AB10" w14:textId="77777777" w:rsidR="00FC0498" w:rsidRPr="00034E9B" w:rsidRDefault="00FC0498" w:rsidP="009F04E1">
            <w:pPr>
              <w:pStyle w:val="CGCTablerow"/>
              <w:jc w:val="right"/>
              <w:rPr>
                <w:rFonts w:ascii="Open Sans Semibold" w:hAnsi="Open Sans Semibold" w:cs="Open Sans Semibold"/>
                <w:lang w:eastAsia="en-AU"/>
              </w:rPr>
            </w:pPr>
          </w:p>
        </w:tc>
        <w:tc>
          <w:tcPr>
            <w:tcW w:w="900" w:type="dxa"/>
            <w:shd w:val="clear" w:color="auto" w:fill="auto"/>
            <w:noWrap/>
            <w:vAlign w:val="bottom"/>
            <w:hideMark/>
          </w:tcPr>
          <w:p w14:paraId="082D49AD" w14:textId="77777777" w:rsidR="00FC0498" w:rsidRPr="00034E9B" w:rsidRDefault="00FC0498" w:rsidP="009F04E1">
            <w:pPr>
              <w:pStyle w:val="CGCTablerow"/>
              <w:jc w:val="right"/>
              <w:rPr>
                <w:rFonts w:ascii="Open Sans Semibold" w:hAnsi="Open Sans Semibold" w:cs="Open Sans Semibold"/>
                <w:lang w:eastAsia="en-AU"/>
              </w:rPr>
            </w:pPr>
          </w:p>
        </w:tc>
        <w:tc>
          <w:tcPr>
            <w:tcW w:w="900" w:type="dxa"/>
            <w:shd w:val="clear" w:color="auto" w:fill="auto"/>
            <w:noWrap/>
            <w:vAlign w:val="bottom"/>
            <w:hideMark/>
          </w:tcPr>
          <w:p w14:paraId="4C70228D" w14:textId="77777777" w:rsidR="00FC0498" w:rsidRPr="00034E9B" w:rsidRDefault="00FC0498" w:rsidP="009F04E1">
            <w:pPr>
              <w:pStyle w:val="CGCTablerow"/>
              <w:jc w:val="right"/>
              <w:rPr>
                <w:rFonts w:ascii="Open Sans Semibold" w:hAnsi="Open Sans Semibold" w:cs="Open Sans Semibold"/>
                <w:lang w:eastAsia="en-AU"/>
              </w:rPr>
            </w:pPr>
          </w:p>
        </w:tc>
        <w:tc>
          <w:tcPr>
            <w:tcW w:w="900" w:type="dxa"/>
            <w:shd w:val="clear" w:color="auto" w:fill="auto"/>
            <w:noWrap/>
            <w:vAlign w:val="bottom"/>
            <w:hideMark/>
          </w:tcPr>
          <w:p w14:paraId="04EA579D" w14:textId="77777777" w:rsidR="00FC0498" w:rsidRPr="00034E9B" w:rsidRDefault="00FC0498" w:rsidP="009F04E1">
            <w:pPr>
              <w:pStyle w:val="CGCTablerow"/>
              <w:jc w:val="right"/>
              <w:rPr>
                <w:rFonts w:ascii="Open Sans Semibold" w:hAnsi="Open Sans Semibold" w:cs="Open Sans Semibold"/>
                <w:lang w:eastAsia="en-AU"/>
              </w:rPr>
            </w:pPr>
          </w:p>
        </w:tc>
        <w:tc>
          <w:tcPr>
            <w:tcW w:w="900" w:type="dxa"/>
            <w:shd w:val="clear" w:color="auto" w:fill="auto"/>
            <w:noWrap/>
            <w:vAlign w:val="bottom"/>
            <w:hideMark/>
          </w:tcPr>
          <w:p w14:paraId="2D2FD417" w14:textId="77777777" w:rsidR="00FC0498" w:rsidRPr="00034E9B" w:rsidRDefault="00FC0498" w:rsidP="009F04E1">
            <w:pPr>
              <w:pStyle w:val="CGCTablerow"/>
              <w:jc w:val="right"/>
              <w:rPr>
                <w:rFonts w:ascii="Open Sans Semibold" w:hAnsi="Open Sans Semibold" w:cs="Open Sans Semibold"/>
                <w:lang w:eastAsia="en-AU"/>
              </w:rPr>
            </w:pPr>
          </w:p>
        </w:tc>
        <w:tc>
          <w:tcPr>
            <w:tcW w:w="900" w:type="dxa"/>
            <w:shd w:val="clear" w:color="auto" w:fill="auto"/>
            <w:noWrap/>
            <w:vAlign w:val="bottom"/>
            <w:hideMark/>
          </w:tcPr>
          <w:p w14:paraId="1EE836B9" w14:textId="77777777" w:rsidR="00FC0498" w:rsidRPr="00034E9B" w:rsidRDefault="00FC0498" w:rsidP="009F04E1">
            <w:pPr>
              <w:pStyle w:val="CGCTablerow"/>
              <w:jc w:val="right"/>
              <w:rPr>
                <w:rFonts w:ascii="Open Sans Semibold" w:hAnsi="Open Sans Semibold" w:cs="Open Sans Semibold"/>
                <w:lang w:eastAsia="en-AU"/>
              </w:rPr>
            </w:pPr>
          </w:p>
        </w:tc>
        <w:tc>
          <w:tcPr>
            <w:tcW w:w="900" w:type="dxa"/>
            <w:shd w:val="clear" w:color="auto" w:fill="auto"/>
            <w:noWrap/>
            <w:vAlign w:val="bottom"/>
            <w:hideMark/>
          </w:tcPr>
          <w:p w14:paraId="4D880BCE" w14:textId="77777777" w:rsidR="00FC0498" w:rsidRPr="00034E9B" w:rsidRDefault="00FC0498" w:rsidP="009F04E1">
            <w:pPr>
              <w:pStyle w:val="CGCTablerow"/>
              <w:jc w:val="right"/>
              <w:rPr>
                <w:rFonts w:ascii="Open Sans Semibold" w:hAnsi="Open Sans Semibold" w:cs="Open Sans Semibold"/>
                <w:lang w:eastAsia="en-AU"/>
              </w:rPr>
            </w:pPr>
          </w:p>
        </w:tc>
      </w:tr>
      <w:tr w:rsidR="00FC0498" w:rsidRPr="00034E9B" w14:paraId="75285AD2" w14:textId="77777777" w:rsidTr="00857C30">
        <w:trPr>
          <w:trHeight w:val="284"/>
        </w:trPr>
        <w:tc>
          <w:tcPr>
            <w:tcW w:w="2620" w:type="dxa"/>
            <w:shd w:val="clear" w:color="auto" w:fill="auto"/>
            <w:noWrap/>
            <w:vAlign w:val="bottom"/>
            <w:hideMark/>
          </w:tcPr>
          <w:p w14:paraId="7F3957A2" w14:textId="77777777" w:rsidR="00FC0498" w:rsidRPr="00034E9B" w:rsidRDefault="00FC0498" w:rsidP="00FF6CBF">
            <w:pPr>
              <w:pStyle w:val="CGCTablerow"/>
              <w:ind w:left="227"/>
              <w:rPr>
                <w:lang w:eastAsia="en-AU"/>
              </w:rPr>
            </w:pPr>
            <w:r w:rsidRPr="00034E9B">
              <w:rPr>
                <w:lang w:eastAsia="en-AU"/>
              </w:rPr>
              <w:t>GST revenue</w:t>
            </w:r>
          </w:p>
        </w:tc>
        <w:tc>
          <w:tcPr>
            <w:tcW w:w="900" w:type="dxa"/>
            <w:shd w:val="clear" w:color="auto" w:fill="auto"/>
            <w:noWrap/>
            <w:vAlign w:val="bottom"/>
            <w:hideMark/>
          </w:tcPr>
          <w:p w14:paraId="55E3DC0F" w14:textId="77777777" w:rsidR="00FC0498" w:rsidRPr="00034E9B" w:rsidRDefault="00FC0498" w:rsidP="009F04E1">
            <w:pPr>
              <w:pStyle w:val="CGCTablerow"/>
              <w:jc w:val="right"/>
              <w:rPr>
                <w:lang w:eastAsia="en-AU"/>
              </w:rPr>
            </w:pPr>
            <w:r w:rsidRPr="00034E9B">
              <w:rPr>
                <w:lang w:eastAsia="en-AU"/>
              </w:rPr>
              <w:t>Yes</w:t>
            </w:r>
          </w:p>
        </w:tc>
        <w:tc>
          <w:tcPr>
            <w:tcW w:w="900" w:type="dxa"/>
            <w:shd w:val="clear" w:color="auto" w:fill="auto"/>
            <w:noWrap/>
            <w:vAlign w:val="bottom"/>
            <w:hideMark/>
          </w:tcPr>
          <w:p w14:paraId="217E0F2E" w14:textId="77777777" w:rsidR="00FC0498" w:rsidRPr="00034E9B" w:rsidRDefault="00FC0498" w:rsidP="009F04E1">
            <w:pPr>
              <w:pStyle w:val="CGCTablerow"/>
              <w:jc w:val="right"/>
              <w:rPr>
                <w:lang w:eastAsia="en-AU"/>
              </w:rPr>
            </w:pPr>
            <w:r w:rsidRPr="00034E9B">
              <w:rPr>
                <w:lang w:eastAsia="en-AU"/>
              </w:rPr>
              <w:t>Yes</w:t>
            </w:r>
          </w:p>
        </w:tc>
        <w:tc>
          <w:tcPr>
            <w:tcW w:w="900" w:type="dxa"/>
            <w:shd w:val="clear" w:color="auto" w:fill="auto"/>
            <w:noWrap/>
            <w:vAlign w:val="bottom"/>
            <w:hideMark/>
          </w:tcPr>
          <w:p w14:paraId="7C19287B" w14:textId="77777777" w:rsidR="00FC0498" w:rsidRPr="00034E9B" w:rsidRDefault="00FC0498" w:rsidP="009F04E1">
            <w:pPr>
              <w:pStyle w:val="CGCTablerow"/>
              <w:jc w:val="right"/>
              <w:rPr>
                <w:lang w:eastAsia="en-AU"/>
              </w:rPr>
            </w:pPr>
            <w:r w:rsidRPr="00034E9B">
              <w:rPr>
                <w:lang w:eastAsia="en-AU"/>
              </w:rPr>
              <w:t>Yes</w:t>
            </w:r>
          </w:p>
        </w:tc>
        <w:tc>
          <w:tcPr>
            <w:tcW w:w="900" w:type="dxa"/>
            <w:shd w:val="clear" w:color="auto" w:fill="auto"/>
            <w:noWrap/>
            <w:vAlign w:val="bottom"/>
            <w:hideMark/>
          </w:tcPr>
          <w:p w14:paraId="6C32EF8A" w14:textId="77777777" w:rsidR="00FC0498" w:rsidRPr="00034E9B" w:rsidRDefault="00FC0498" w:rsidP="009F04E1">
            <w:pPr>
              <w:pStyle w:val="CGCTablerow"/>
              <w:jc w:val="right"/>
              <w:rPr>
                <w:lang w:eastAsia="en-AU"/>
              </w:rPr>
            </w:pPr>
            <w:r w:rsidRPr="00034E9B">
              <w:rPr>
                <w:lang w:eastAsia="en-AU"/>
              </w:rPr>
              <w:t>Yes</w:t>
            </w:r>
          </w:p>
        </w:tc>
        <w:tc>
          <w:tcPr>
            <w:tcW w:w="900" w:type="dxa"/>
            <w:shd w:val="clear" w:color="auto" w:fill="auto"/>
            <w:noWrap/>
            <w:vAlign w:val="bottom"/>
            <w:hideMark/>
          </w:tcPr>
          <w:p w14:paraId="791C80E2" w14:textId="77777777" w:rsidR="00FC0498" w:rsidRPr="00034E9B" w:rsidRDefault="00FC0498" w:rsidP="009F04E1">
            <w:pPr>
              <w:pStyle w:val="CGCTablerow"/>
              <w:jc w:val="right"/>
              <w:rPr>
                <w:lang w:eastAsia="en-AU"/>
              </w:rPr>
            </w:pPr>
            <w:r w:rsidRPr="00034E9B">
              <w:rPr>
                <w:lang w:eastAsia="en-AU"/>
              </w:rPr>
              <w:t>Yes</w:t>
            </w:r>
          </w:p>
        </w:tc>
        <w:tc>
          <w:tcPr>
            <w:tcW w:w="900" w:type="dxa"/>
            <w:shd w:val="clear" w:color="auto" w:fill="auto"/>
            <w:noWrap/>
            <w:vAlign w:val="bottom"/>
            <w:hideMark/>
          </w:tcPr>
          <w:p w14:paraId="558952C4" w14:textId="77777777" w:rsidR="00FC0498" w:rsidRPr="00034E9B" w:rsidRDefault="00FC0498" w:rsidP="009F04E1">
            <w:pPr>
              <w:pStyle w:val="CGCTablerow"/>
              <w:jc w:val="right"/>
              <w:rPr>
                <w:lang w:eastAsia="en-AU"/>
              </w:rPr>
            </w:pPr>
            <w:r w:rsidRPr="00034E9B">
              <w:rPr>
                <w:lang w:eastAsia="en-AU"/>
              </w:rPr>
              <w:t>Yes</w:t>
            </w:r>
          </w:p>
        </w:tc>
        <w:tc>
          <w:tcPr>
            <w:tcW w:w="900" w:type="dxa"/>
            <w:shd w:val="clear" w:color="auto" w:fill="auto"/>
            <w:noWrap/>
            <w:vAlign w:val="bottom"/>
            <w:hideMark/>
          </w:tcPr>
          <w:p w14:paraId="1038FC01" w14:textId="77777777" w:rsidR="00FC0498" w:rsidRPr="00034E9B" w:rsidRDefault="00FC0498" w:rsidP="009F04E1">
            <w:pPr>
              <w:pStyle w:val="CGCTablerow"/>
              <w:jc w:val="right"/>
              <w:rPr>
                <w:lang w:eastAsia="en-AU"/>
              </w:rPr>
            </w:pPr>
            <w:r w:rsidRPr="00034E9B">
              <w:rPr>
                <w:lang w:eastAsia="en-AU"/>
              </w:rPr>
              <w:t>Yes</w:t>
            </w:r>
          </w:p>
        </w:tc>
      </w:tr>
      <w:tr w:rsidR="00FC0498" w:rsidRPr="00034E9B" w14:paraId="29D4902E" w14:textId="77777777" w:rsidTr="00857C30">
        <w:trPr>
          <w:trHeight w:val="284"/>
        </w:trPr>
        <w:tc>
          <w:tcPr>
            <w:tcW w:w="2620" w:type="dxa"/>
            <w:shd w:val="clear" w:color="auto" w:fill="auto"/>
            <w:noWrap/>
            <w:vAlign w:val="bottom"/>
            <w:hideMark/>
          </w:tcPr>
          <w:p w14:paraId="28312DCA" w14:textId="77777777" w:rsidR="00FC0498" w:rsidRPr="00034E9B" w:rsidRDefault="00FC0498" w:rsidP="00FF6CBF">
            <w:pPr>
              <w:pStyle w:val="CGCTablerow"/>
              <w:ind w:left="227"/>
              <w:rPr>
                <w:lang w:eastAsia="en-AU"/>
              </w:rPr>
            </w:pPr>
            <w:r w:rsidRPr="00034E9B">
              <w:rPr>
                <w:lang w:eastAsia="en-AU"/>
              </w:rPr>
              <w:t>New pool top-up (d)</w:t>
            </w:r>
          </w:p>
        </w:tc>
        <w:tc>
          <w:tcPr>
            <w:tcW w:w="900" w:type="dxa"/>
            <w:shd w:val="clear" w:color="auto" w:fill="auto"/>
            <w:noWrap/>
            <w:vAlign w:val="bottom"/>
            <w:hideMark/>
          </w:tcPr>
          <w:p w14:paraId="01B66FD6" w14:textId="77777777" w:rsidR="00FC0498" w:rsidRPr="00034E9B" w:rsidRDefault="00FC0498" w:rsidP="009F04E1">
            <w:pPr>
              <w:pStyle w:val="CGCTablerow"/>
              <w:jc w:val="right"/>
              <w:rPr>
                <w:lang w:eastAsia="en-AU"/>
              </w:rPr>
            </w:pPr>
            <w:r w:rsidRPr="00034E9B">
              <w:rPr>
                <w:lang w:eastAsia="en-AU"/>
              </w:rPr>
              <w:t>No</w:t>
            </w:r>
          </w:p>
        </w:tc>
        <w:tc>
          <w:tcPr>
            <w:tcW w:w="900" w:type="dxa"/>
            <w:shd w:val="clear" w:color="auto" w:fill="auto"/>
            <w:noWrap/>
            <w:vAlign w:val="bottom"/>
            <w:hideMark/>
          </w:tcPr>
          <w:p w14:paraId="4EED02DD" w14:textId="77777777" w:rsidR="00FC0498" w:rsidRPr="00034E9B" w:rsidRDefault="00FC0498" w:rsidP="009F04E1">
            <w:pPr>
              <w:pStyle w:val="CGCTablerow"/>
              <w:jc w:val="right"/>
              <w:rPr>
                <w:lang w:eastAsia="en-AU"/>
              </w:rPr>
            </w:pPr>
            <w:r w:rsidRPr="00034E9B">
              <w:rPr>
                <w:lang w:eastAsia="en-AU"/>
              </w:rPr>
              <w:t>$600m</w:t>
            </w:r>
          </w:p>
        </w:tc>
        <w:tc>
          <w:tcPr>
            <w:tcW w:w="900" w:type="dxa"/>
            <w:shd w:val="clear" w:color="auto" w:fill="auto"/>
            <w:noWrap/>
            <w:vAlign w:val="bottom"/>
            <w:hideMark/>
          </w:tcPr>
          <w:p w14:paraId="7593B2DF" w14:textId="77777777" w:rsidR="00FC0498" w:rsidRPr="00034E9B" w:rsidRDefault="00FC0498" w:rsidP="009F04E1">
            <w:pPr>
              <w:pStyle w:val="CGCTablerow"/>
              <w:jc w:val="right"/>
              <w:rPr>
                <w:lang w:eastAsia="en-AU"/>
              </w:rPr>
            </w:pPr>
            <w:r w:rsidRPr="00034E9B">
              <w:rPr>
                <w:lang w:eastAsia="en-AU"/>
              </w:rPr>
              <w:t>No</w:t>
            </w:r>
          </w:p>
        </w:tc>
        <w:tc>
          <w:tcPr>
            <w:tcW w:w="900" w:type="dxa"/>
            <w:shd w:val="clear" w:color="auto" w:fill="auto"/>
            <w:noWrap/>
            <w:vAlign w:val="bottom"/>
            <w:hideMark/>
          </w:tcPr>
          <w:p w14:paraId="3E421D02" w14:textId="77777777" w:rsidR="00FC0498" w:rsidRPr="00034E9B" w:rsidRDefault="00FC0498" w:rsidP="009F04E1">
            <w:pPr>
              <w:pStyle w:val="CGCTablerow"/>
              <w:jc w:val="right"/>
              <w:rPr>
                <w:lang w:eastAsia="en-AU"/>
              </w:rPr>
            </w:pPr>
            <w:r w:rsidRPr="00034E9B">
              <w:rPr>
                <w:lang w:eastAsia="en-AU"/>
              </w:rPr>
              <w:t>No</w:t>
            </w:r>
          </w:p>
        </w:tc>
        <w:tc>
          <w:tcPr>
            <w:tcW w:w="900" w:type="dxa"/>
            <w:shd w:val="clear" w:color="auto" w:fill="auto"/>
            <w:noWrap/>
            <w:vAlign w:val="bottom"/>
            <w:hideMark/>
          </w:tcPr>
          <w:p w14:paraId="095FA348" w14:textId="77777777" w:rsidR="00FC0498" w:rsidRPr="00034E9B" w:rsidRDefault="00FC0498" w:rsidP="009F04E1">
            <w:pPr>
              <w:pStyle w:val="CGCTablerow"/>
              <w:jc w:val="right"/>
              <w:rPr>
                <w:lang w:eastAsia="en-AU"/>
              </w:rPr>
            </w:pPr>
            <w:r w:rsidRPr="00034E9B">
              <w:rPr>
                <w:lang w:eastAsia="en-AU"/>
              </w:rPr>
              <w:t>$250m</w:t>
            </w:r>
          </w:p>
        </w:tc>
        <w:tc>
          <w:tcPr>
            <w:tcW w:w="900" w:type="dxa"/>
            <w:shd w:val="clear" w:color="auto" w:fill="auto"/>
            <w:noWrap/>
            <w:vAlign w:val="bottom"/>
            <w:hideMark/>
          </w:tcPr>
          <w:p w14:paraId="3507B48F" w14:textId="77777777" w:rsidR="00FC0498" w:rsidRPr="00034E9B" w:rsidRDefault="00FC0498" w:rsidP="009F04E1">
            <w:pPr>
              <w:pStyle w:val="CGCTablerow"/>
              <w:jc w:val="right"/>
              <w:rPr>
                <w:lang w:eastAsia="en-AU"/>
              </w:rPr>
            </w:pPr>
            <w:r w:rsidRPr="00034E9B">
              <w:rPr>
                <w:lang w:eastAsia="en-AU"/>
              </w:rPr>
              <w:t>No</w:t>
            </w:r>
          </w:p>
        </w:tc>
        <w:tc>
          <w:tcPr>
            <w:tcW w:w="900" w:type="dxa"/>
            <w:shd w:val="clear" w:color="auto" w:fill="auto"/>
            <w:noWrap/>
            <w:vAlign w:val="bottom"/>
            <w:hideMark/>
          </w:tcPr>
          <w:p w14:paraId="03A69CA8" w14:textId="77777777" w:rsidR="00FC0498" w:rsidRPr="00034E9B" w:rsidRDefault="00FC0498" w:rsidP="009F04E1">
            <w:pPr>
              <w:pStyle w:val="CGCTablerow"/>
              <w:jc w:val="right"/>
              <w:rPr>
                <w:lang w:eastAsia="en-AU"/>
              </w:rPr>
            </w:pPr>
            <w:r w:rsidRPr="00034E9B">
              <w:rPr>
                <w:lang w:eastAsia="en-AU"/>
              </w:rPr>
              <w:t>No</w:t>
            </w:r>
          </w:p>
        </w:tc>
      </w:tr>
      <w:tr w:rsidR="00FC0498" w:rsidRPr="00034E9B" w14:paraId="087C4374" w14:textId="77777777" w:rsidTr="00857C30">
        <w:trPr>
          <w:trHeight w:val="284"/>
        </w:trPr>
        <w:tc>
          <w:tcPr>
            <w:tcW w:w="2620" w:type="dxa"/>
            <w:shd w:val="clear" w:color="auto" w:fill="auto"/>
            <w:noWrap/>
            <w:vAlign w:val="bottom"/>
            <w:hideMark/>
          </w:tcPr>
          <w:p w14:paraId="5AAC028F" w14:textId="77777777" w:rsidR="00FC0498" w:rsidRPr="00034E9B" w:rsidRDefault="00FC0498" w:rsidP="00FF6CBF">
            <w:pPr>
              <w:pStyle w:val="CGCTablerow"/>
              <w:ind w:left="227"/>
              <w:rPr>
                <w:lang w:eastAsia="en-AU"/>
              </w:rPr>
            </w:pPr>
            <w:r w:rsidRPr="00034E9B">
              <w:rPr>
                <w:lang w:eastAsia="en-AU"/>
              </w:rPr>
              <w:t>Indexation of top-up (e)</w:t>
            </w:r>
          </w:p>
        </w:tc>
        <w:tc>
          <w:tcPr>
            <w:tcW w:w="900" w:type="dxa"/>
            <w:shd w:val="clear" w:color="auto" w:fill="auto"/>
            <w:noWrap/>
            <w:vAlign w:val="bottom"/>
            <w:hideMark/>
          </w:tcPr>
          <w:p w14:paraId="13EB1D97" w14:textId="77777777" w:rsidR="00FC0498" w:rsidRPr="00034E9B" w:rsidRDefault="00FC0498" w:rsidP="009F04E1">
            <w:pPr>
              <w:pStyle w:val="CGCTablerow"/>
              <w:jc w:val="right"/>
              <w:rPr>
                <w:lang w:eastAsia="en-AU"/>
              </w:rPr>
            </w:pPr>
            <w:r w:rsidRPr="00034E9B">
              <w:rPr>
                <w:lang w:eastAsia="en-AU"/>
              </w:rPr>
              <w:t>No</w:t>
            </w:r>
          </w:p>
        </w:tc>
        <w:tc>
          <w:tcPr>
            <w:tcW w:w="900" w:type="dxa"/>
            <w:shd w:val="clear" w:color="auto" w:fill="auto"/>
            <w:noWrap/>
            <w:vAlign w:val="bottom"/>
            <w:hideMark/>
          </w:tcPr>
          <w:p w14:paraId="3DDAE413" w14:textId="77777777" w:rsidR="00FC0498" w:rsidRPr="00034E9B" w:rsidRDefault="00FC0498" w:rsidP="009F04E1">
            <w:pPr>
              <w:pStyle w:val="CGCTablerow"/>
              <w:jc w:val="right"/>
              <w:rPr>
                <w:lang w:eastAsia="en-AU"/>
              </w:rPr>
            </w:pPr>
            <w:r w:rsidRPr="00034E9B">
              <w:rPr>
                <w:lang w:eastAsia="en-AU"/>
              </w:rPr>
              <w:t>No</w:t>
            </w:r>
          </w:p>
        </w:tc>
        <w:tc>
          <w:tcPr>
            <w:tcW w:w="900" w:type="dxa"/>
            <w:shd w:val="clear" w:color="auto" w:fill="auto"/>
            <w:noWrap/>
            <w:vAlign w:val="bottom"/>
            <w:hideMark/>
          </w:tcPr>
          <w:p w14:paraId="116C8BEA" w14:textId="77777777" w:rsidR="00FC0498" w:rsidRPr="00034E9B" w:rsidRDefault="00FC0498" w:rsidP="009F04E1">
            <w:pPr>
              <w:pStyle w:val="CGCTablerow"/>
              <w:jc w:val="right"/>
              <w:rPr>
                <w:lang w:eastAsia="en-AU"/>
              </w:rPr>
            </w:pPr>
            <w:r w:rsidRPr="00034E9B">
              <w:rPr>
                <w:lang w:eastAsia="en-AU"/>
              </w:rPr>
              <w:t>Yes</w:t>
            </w:r>
          </w:p>
        </w:tc>
        <w:tc>
          <w:tcPr>
            <w:tcW w:w="900" w:type="dxa"/>
            <w:shd w:val="clear" w:color="auto" w:fill="auto"/>
            <w:noWrap/>
            <w:vAlign w:val="bottom"/>
            <w:hideMark/>
          </w:tcPr>
          <w:p w14:paraId="0C404FC6" w14:textId="77777777" w:rsidR="00FC0498" w:rsidRPr="00034E9B" w:rsidRDefault="00FC0498" w:rsidP="009F04E1">
            <w:pPr>
              <w:pStyle w:val="CGCTablerow"/>
              <w:jc w:val="right"/>
              <w:rPr>
                <w:lang w:eastAsia="en-AU"/>
              </w:rPr>
            </w:pPr>
            <w:r w:rsidRPr="00034E9B">
              <w:rPr>
                <w:lang w:eastAsia="en-AU"/>
              </w:rPr>
              <w:t>Yes</w:t>
            </w:r>
          </w:p>
        </w:tc>
        <w:tc>
          <w:tcPr>
            <w:tcW w:w="900" w:type="dxa"/>
            <w:shd w:val="clear" w:color="auto" w:fill="auto"/>
            <w:noWrap/>
            <w:vAlign w:val="bottom"/>
            <w:hideMark/>
          </w:tcPr>
          <w:p w14:paraId="1A412883" w14:textId="77777777" w:rsidR="00FC0498" w:rsidRPr="00034E9B" w:rsidRDefault="00FC0498" w:rsidP="009F04E1">
            <w:pPr>
              <w:pStyle w:val="CGCTablerow"/>
              <w:jc w:val="right"/>
              <w:rPr>
                <w:lang w:eastAsia="en-AU"/>
              </w:rPr>
            </w:pPr>
            <w:r w:rsidRPr="00034E9B">
              <w:rPr>
                <w:lang w:eastAsia="en-AU"/>
              </w:rPr>
              <w:t>Yes</w:t>
            </w:r>
          </w:p>
        </w:tc>
        <w:tc>
          <w:tcPr>
            <w:tcW w:w="900" w:type="dxa"/>
            <w:shd w:val="clear" w:color="auto" w:fill="auto"/>
            <w:noWrap/>
            <w:vAlign w:val="bottom"/>
            <w:hideMark/>
          </w:tcPr>
          <w:p w14:paraId="50BBEB4D" w14:textId="77777777" w:rsidR="00FC0498" w:rsidRPr="00034E9B" w:rsidRDefault="00FC0498" w:rsidP="009F04E1">
            <w:pPr>
              <w:pStyle w:val="CGCTablerow"/>
              <w:jc w:val="right"/>
              <w:rPr>
                <w:lang w:eastAsia="en-AU"/>
              </w:rPr>
            </w:pPr>
            <w:r w:rsidRPr="00034E9B">
              <w:rPr>
                <w:lang w:eastAsia="en-AU"/>
              </w:rPr>
              <w:t>Yes</w:t>
            </w:r>
          </w:p>
        </w:tc>
        <w:tc>
          <w:tcPr>
            <w:tcW w:w="900" w:type="dxa"/>
            <w:shd w:val="clear" w:color="auto" w:fill="auto"/>
            <w:noWrap/>
            <w:vAlign w:val="bottom"/>
            <w:hideMark/>
          </w:tcPr>
          <w:p w14:paraId="543ECE46" w14:textId="77777777" w:rsidR="00FC0498" w:rsidRPr="00034E9B" w:rsidRDefault="00FC0498" w:rsidP="009F04E1">
            <w:pPr>
              <w:pStyle w:val="CGCTablerow"/>
              <w:jc w:val="right"/>
              <w:rPr>
                <w:lang w:eastAsia="en-AU"/>
              </w:rPr>
            </w:pPr>
            <w:r w:rsidRPr="00034E9B">
              <w:rPr>
                <w:lang w:eastAsia="en-AU"/>
              </w:rPr>
              <w:t>Yes</w:t>
            </w:r>
          </w:p>
        </w:tc>
      </w:tr>
    </w:tbl>
    <w:p w14:paraId="4DA578AF" w14:textId="02820997" w:rsidR="00FC0498" w:rsidRPr="00B13375" w:rsidRDefault="00FC0498" w:rsidP="00B13375">
      <w:pPr>
        <w:pStyle w:val="CGCTablenote"/>
      </w:pPr>
      <w:r w:rsidRPr="00B13375">
        <w:t xml:space="preserve">(a) </w:t>
      </w:r>
      <w:r w:rsidR="00FA7E14">
        <w:tab/>
      </w:r>
      <w:r w:rsidRPr="00B13375">
        <w:t>Relative fiscal capacities refers to the previous arrangements, or applying a full equalisation standard.</w:t>
      </w:r>
    </w:p>
    <w:p w14:paraId="6013C1F7" w14:textId="51B688C5" w:rsidR="00FC0498" w:rsidRPr="00B13375" w:rsidRDefault="00FC0498" w:rsidP="00B13375">
      <w:pPr>
        <w:pStyle w:val="CGCTablenote"/>
      </w:pPr>
      <w:r w:rsidRPr="00B13375">
        <w:t xml:space="preserve">(b) </w:t>
      </w:r>
      <w:r w:rsidR="00FA7E14">
        <w:tab/>
      </w:r>
      <w:r w:rsidRPr="00B13375">
        <w:t>Standard State capacities refers to the new arrangements, or equalising to the stronger of New South Wales and Victoria.</w:t>
      </w:r>
    </w:p>
    <w:p w14:paraId="71050C40" w14:textId="62A9E022" w:rsidR="00FC0498" w:rsidRPr="00B13375" w:rsidRDefault="00FC0498" w:rsidP="00B13375">
      <w:pPr>
        <w:pStyle w:val="CGCTablenote"/>
      </w:pPr>
      <w:r w:rsidRPr="00B13375">
        <w:t xml:space="preserve">(c) </w:t>
      </w:r>
      <w:r w:rsidR="00FA7E14">
        <w:tab/>
      </w:r>
      <w:r w:rsidRPr="00B13375">
        <w:t>Commonwealth funding external to the GST pool (if required) will ensure in 2020-21 and 2021-22 Western Australia’s grant share is</w:t>
      </w:r>
      <w:r w:rsidR="00FA1BD2">
        <w:t xml:space="preserve"> </w:t>
      </w:r>
      <w:r w:rsidRPr="00B13375">
        <w:t>equivalent to a relativity of 0.7 and the Northern Territory’s grant share equivalent to a relativity of 4.66. From 2022-23, the floor will be funded from the expanded pool.</w:t>
      </w:r>
    </w:p>
    <w:p w14:paraId="69B3E630" w14:textId="2A085EC8" w:rsidR="00FC0498" w:rsidRPr="00B13375" w:rsidRDefault="00FC0498" w:rsidP="00B13375">
      <w:pPr>
        <w:pStyle w:val="CGCTablenote"/>
      </w:pPr>
      <w:r w:rsidRPr="00B13375">
        <w:t xml:space="preserve">(d) </w:t>
      </w:r>
      <w:r w:rsidR="00FA7E14">
        <w:tab/>
      </w:r>
      <w:r w:rsidRPr="00B13375">
        <w:t>New pool top-ups represent ongoing top-ups to the general revenue assistance grant pool.</w:t>
      </w:r>
    </w:p>
    <w:p w14:paraId="3592B1DB" w14:textId="1E28DDC0" w:rsidR="00FC0498" w:rsidRPr="00B13375" w:rsidRDefault="00FC0498" w:rsidP="00B13375">
      <w:pPr>
        <w:pStyle w:val="CGCTablenote"/>
      </w:pPr>
      <w:r w:rsidRPr="00B13375">
        <w:t xml:space="preserve">(e) </w:t>
      </w:r>
      <w:r w:rsidR="00FA7E14">
        <w:tab/>
      </w:r>
      <w:r w:rsidRPr="00B13375">
        <w:t>Once commenced, pool top-ups are indexed by the growth in GST revenue.</w:t>
      </w:r>
    </w:p>
    <w:p w14:paraId="57BDE00B" w14:textId="77777777" w:rsidR="00FC0498" w:rsidRPr="00034E9B" w:rsidRDefault="00FC0498" w:rsidP="00FC0498">
      <w:pPr>
        <w:pStyle w:val="Heading4"/>
      </w:pPr>
      <w:bookmarkStart w:id="167" w:name="_Toc26890328"/>
      <w:r w:rsidRPr="00034E9B">
        <w:lastRenderedPageBreak/>
        <w:t>Giving effect to the new legislation</w:t>
      </w:r>
      <w:bookmarkEnd w:id="167"/>
    </w:p>
    <w:p w14:paraId="2A48FCC2" w14:textId="77777777" w:rsidR="00FC0498" w:rsidRPr="00034E9B" w:rsidRDefault="00FC0498" w:rsidP="00FC0498">
      <w:pPr>
        <w:pStyle w:val="CGCParaNumber"/>
        <w:numPr>
          <w:ilvl w:val="0"/>
          <w:numId w:val="26"/>
        </w:numPr>
        <w:ind w:left="567" w:hanging="567"/>
        <w:rPr>
          <w:lang w:val="en-AU"/>
        </w:rPr>
      </w:pPr>
      <w:r w:rsidRPr="00034E9B">
        <w:rPr>
          <w:lang w:val="en-AU"/>
        </w:rPr>
        <w:t>Most existing legislative mechanisms will continue from 2021-22. The Commission’s recommendations, in response to terms of reference, will continue to be the basis for the Treasurer determining the GST revenue sharing relativities used to distribute the GST revenue pool.</w:t>
      </w:r>
      <w:r w:rsidRPr="00034E9B">
        <w:rPr>
          <w:vertAlign w:val="superscript"/>
          <w:lang w:val="en-AU"/>
        </w:rPr>
        <w:footnoteReference w:id="61"/>
      </w:r>
      <w:r w:rsidRPr="00034E9B">
        <w:rPr>
          <w:lang w:val="en-AU"/>
        </w:rPr>
        <w:t xml:space="preserve"> From 2021-22, in preparing its recommended GST revenue sharing relativities, and subject to terms of reference from the Treasurer, the Commission proposes to do the following:</w:t>
      </w:r>
    </w:p>
    <w:p w14:paraId="4D15747E" w14:textId="77777777" w:rsidR="00FC0498" w:rsidRPr="00034E9B" w:rsidRDefault="00FC0498" w:rsidP="00FC0498">
      <w:pPr>
        <w:pStyle w:val="CGCBullet1"/>
        <w:numPr>
          <w:ilvl w:val="0"/>
          <w:numId w:val="3"/>
        </w:numPr>
        <w:ind w:left="924" w:hanging="357"/>
      </w:pPr>
      <w:r w:rsidRPr="00034E9B">
        <w:t>measure State relative fiscal capacities (as per the previous arrangements)</w:t>
      </w:r>
    </w:p>
    <w:p w14:paraId="4B22F3B1" w14:textId="77777777" w:rsidR="00FC0498" w:rsidRPr="00034E9B" w:rsidRDefault="00FC0498" w:rsidP="00FC0498">
      <w:pPr>
        <w:pStyle w:val="CGCBullet1"/>
        <w:numPr>
          <w:ilvl w:val="0"/>
          <w:numId w:val="3"/>
        </w:numPr>
        <w:ind w:left="924" w:hanging="357"/>
      </w:pPr>
      <w:r w:rsidRPr="00034E9B">
        <w:t>from these relative fiscal capacity measures, derive the corresponding standard State capacities (new arrangements)</w:t>
      </w:r>
    </w:p>
    <w:p w14:paraId="16EBB90D" w14:textId="77777777" w:rsidR="00FC0498" w:rsidRPr="00034E9B" w:rsidRDefault="00FC0498" w:rsidP="00FC0498">
      <w:pPr>
        <w:pStyle w:val="CGCBullet1"/>
        <w:numPr>
          <w:ilvl w:val="0"/>
          <w:numId w:val="3"/>
        </w:numPr>
        <w:ind w:left="924" w:hanging="357"/>
      </w:pPr>
      <w:r w:rsidRPr="00034E9B">
        <w:t>during the transition period, blend the previous and new fiscal capacity measures as prescribed in the legislation</w:t>
      </w:r>
    </w:p>
    <w:p w14:paraId="6C26E2D7" w14:textId="77777777" w:rsidR="00FC0498" w:rsidRPr="00034E9B" w:rsidRDefault="00FC0498" w:rsidP="00FC0498">
      <w:pPr>
        <w:pStyle w:val="CGCBullet1"/>
        <w:numPr>
          <w:ilvl w:val="0"/>
          <w:numId w:val="3"/>
        </w:numPr>
        <w:ind w:left="924" w:hanging="357"/>
      </w:pPr>
      <w:r w:rsidRPr="00034E9B">
        <w:t>adjust as required if the relativity floor provision is activated.</w:t>
      </w:r>
    </w:p>
    <w:p w14:paraId="2AD93802" w14:textId="77777777" w:rsidR="00FC0498" w:rsidRPr="00034E9B" w:rsidRDefault="00FC0498" w:rsidP="00FC0498">
      <w:pPr>
        <w:pStyle w:val="Heading5"/>
      </w:pPr>
      <w:r w:rsidRPr="00034E9B">
        <w:t xml:space="preserve">Previous arrangements </w:t>
      </w:r>
    </w:p>
    <w:p w14:paraId="6A467FC3" w14:textId="77777777" w:rsidR="00FC0498" w:rsidRPr="00034E9B" w:rsidRDefault="00FC0498" w:rsidP="00FC0498">
      <w:pPr>
        <w:pStyle w:val="CGCParaNumber"/>
        <w:numPr>
          <w:ilvl w:val="0"/>
          <w:numId w:val="26"/>
        </w:numPr>
        <w:ind w:left="567" w:hanging="567"/>
        <w:rPr>
          <w:lang w:val="en-AU"/>
        </w:rPr>
      </w:pPr>
      <w:r w:rsidRPr="00034E9B">
        <w:rPr>
          <w:lang w:val="en-AU"/>
        </w:rPr>
        <w:t>Beyond 2020-21, the Commission will continue to calculate State relative fiscal capacities using the methodology adopted in the 2020 Review. The pool used to measure the relative fiscal capacities of the States will be the GST revenue, plus any top</w:t>
      </w:r>
      <w:r w:rsidRPr="00034E9B">
        <w:rPr>
          <w:lang w:val="en-AU"/>
        </w:rPr>
        <w:noBreakHyphen/>
        <w:t>up payments.</w:t>
      </w:r>
    </w:p>
    <w:p w14:paraId="2DA05048" w14:textId="04CB3482" w:rsidR="00FC0498" w:rsidRPr="00034E9B" w:rsidRDefault="00FC0498" w:rsidP="00FC0498">
      <w:pPr>
        <w:pStyle w:val="CGCParaNumber"/>
        <w:numPr>
          <w:ilvl w:val="0"/>
          <w:numId w:val="26"/>
        </w:numPr>
        <w:ind w:left="567" w:hanging="567"/>
        <w:rPr>
          <w:lang w:val="en-AU"/>
        </w:rPr>
      </w:pPr>
      <w:r w:rsidRPr="00034E9B">
        <w:rPr>
          <w:lang w:val="en-AU"/>
        </w:rPr>
        <w:t>Western Australia said that because the process of using relativities effectively escalates each State’s assessed requirements by the growth in that State’s population share of the grant pool between the assessment and application years, the increase in the pool due to the top</w:t>
      </w:r>
      <w:r w:rsidR="007B41F7">
        <w:rPr>
          <w:lang w:val="en-AU"/>
        </w:rPr>
        <w:noBreakHyphen/>
      </w:r>
      <w:r w:rsidRPr="00034E9B">
        <w:rPr>
          <w:lang w:val="en-AU"/>
        </w:rPr>
        <w:t>up payments should be backcast.</w:t>
      </w:r>
      <w:r w:rsidRPr="00034E9B">
        <w:rPr>
          <w:vertAlign w:val="superscript"/>
          <w:lang w:val="en-AU"/>
        </w:rPr>
        <w:footnoteReference w:id="62"/>
      </w:r>
      <w:r w:rsidRPr="00034E9B">
        <w:rPr>
          <w:lang w:val="en-AU"/>
        </w:rPr>
        <w:t xml:space="preserve"> While acknowledging Western Australia’s point in relation to the use of relativities, the Commission’s view is that a 0.8% increase in the pool size is unlikely to be sufficiently large as to have a distorting effect on the grant distributions. Annual growth in the GST revenue can vary by more than this and the Commission’s decisions on recommended relativities are not currently subject to expected growth rates in the GST pool.</w:t>
      </w:r>
      <w:r w:rsidRPr="00034E9B">
        <w:rPr>
          <w:vertAlign w:val="superscript"/>
          <w:lang w:val="en-AU"/>
        </w:rPr>
        <w:footnoteReference w:id="63"/>
      </w:r>
    </w:p>
    <w:p w14:paraId="7A3497F8" w14:textId="77777777" w:rsidR="00FC0498" w:rsidRPr="00034E9B" w:rsidRDefault="00FC0498" w:rsidP="00FC0498">
      <w:pPr>
        <w:pStyle w:val="Heading5"/>
      </w:pPr>
      <w:r w:rsidRPr="00034E9B">
        <w:t xml:space="preserve">New arrangements </w:t>
      </w:r>
    </w:p>
    <w:p w14:paraId="4EB6FFAD" w14:textId="77777777" w:rsidR="00FC0498" w:rsidRPr="00034E9B" w:rsidRDefault="00FC0498" w:rsidP="00FC0498">
      <w:pPr>
        <w:pStyle w:val="CGCParaNumber"/>
        <w:numPr>
          <w:ilvl w:val="0"/>
          <w:numId w:val="26"/>
        </w:numPr>
        <w:ind w:left="567" w:hanging="567"/>
        <w:rPr>
          <w:lang w:val="en-AU"/>
        </w:rPr>
      </w:pPr>
      <w:r w:rsidRPr="00034E9B">
        <w:rPr>
          <w:lang w:val="en-AU"/>
        </w:rPr>
        <w:t>The Commission will use its relative fiscal capacity measures based on the 2020 Review methods to identify the fiscally stronger State as between New South Wales and Victoria (the standard State). Having identified the standard State in an assessment year, the Commission will then derive the corresponding standard State capacities for that assessment year by:</w:t>
      </w:r>
    </w:p>
    <w:p w14:paraId="5D7B6FFB" w14:textId="77777777" w:rsidR="00FC0498" w:rsidRPr="00034E9B" w:rsidRDefault="00FC0498" w:rsidP="00FC0498">
      <w:pPr>
        <w:pStyle w:val="CGCBullet1"/>
        <w:numPr>
          <w:ilvl w:val="0"/>
          <w:numId w:val="3"/>
        </w:numPr>
        <w:ind w:left="924" w:hanging="357"/>
      </w:pPr>
      <w:r w:rsidRPr="00034E9B">
        <w:t>bringing States fiscally weaker than the standard State to the capacity of the standard State</w:t>
      </w:r>
      <w:r w:rsidRPr="00034E9B">
        <w:rPr>
          <w:vertAlign w:val="superscript"/>
        </w:rPr>
        <w:footnoteReference w:id="64"/>
      </w:r>
      <w:r w:rsidRPr="00034E9B">
        <w:t xml:space="preserve"> </w:t>
      </w:r>
    </w:p>
    <w:p w14:paraId="6383CBBE" w14:textId="77777777" w:rsidR="00FC0498" w:rsidRPr="00034E9B" w:rsidRDefault="00FC0498" w:rsidP="00FC0498">
      <w:pPr>
        <w:pStyle w:val="CGCBullet1"/>
        <w:numPr>
          <w:ilvl w:val="0"/>
          <w:numId w:val="3"/>
        </w:numPr>
        <w:ind w:left="924" w:hanging="357"/>
      </w:pPr>
      <w:r w:rsidRPr="00034E9B">
        <w:lastRenderedPageBreak/>
        <w:t>allocating the remainder of the GST revenue pool on an equal per capita (EPC) basis across all States</w:t>
      </w:r>
    </w:p>
    <w:p w14:paraId="522C36E0" w14:textId="77777777" w:rsidR="00FC0498" w:rsidRPr="00034E9B" w:rsidRDefault="00FC0498" w:rsidP="00FC0498">
      <w:pPr>
        <w:pStyle w:val="CGCBullet1"/>
        <w:numPr>
          <w:ilvl w:val="0"/>
          <w:numId w:val="3"/>
        </w:numPr>
        <w:ind w:left="924" w:hanging="357"/>
      </w:pPr>
      <w:r w:rsidRPr="00034E9B">
        <w:t>dividing the resulting GST distributions by an EPC distribution.</w:t>
      </w:r>
    </w:p>
    <w:p w14:paraId="05421D13" w14:textId="77777777" w:rsidR="00FC0498" w:rsidRPr="00034E9B" w:rsidRDefault="00FC0498" w:rsidP="00FC0498">
      <w:pPr>
        <w:pStyle w:val="CGCParaNumber"/>
        <w:numPr>
          <w:ilvl w:val="0"/>
          <w:numId w:val="26"/>
        </w:numPr>
        <w:ind w:left="567" w:hanging="567"/>
        <w:rPr>
          <w:lang w:val="en-AU"/>
        </w:rPr>
      </w:pPr>
      <w:r w:rsidRPr="00034E9B">
        <w:rPr>
          <w:lang w:val="en-AU"/>
        </w:rPr>
        <w:t>The Commission would derive standard State capacities from the same pool and population estimates used to calculate the associated relative fiscal capacities.</w:t>
      </w:r>
      <w:r w:rsidRPr="00034E9B">
        <w:rPr>
          <w:vertAlign w:val="superscript"/>
          <w:lang w:val="en-AU"/>
        </w:rPr>
        <w:footnoteReference w:id="65"/>
      </w:r>
      <w:r w:rsidRPr="00034E9B">
        <w:rPr>
          <w:lang w:val="en-AU"/>
        </w:rPr>
        <w:t xml:space="preserve"> In the same way that the relative fiscal capacities are the average of three assessment years, the standard State capacities would similarly be calculated over the average of three assessment years.</w:t>
      </w:r>
    </w:p>
    <w:p w14:paraId="54621261" w14:textId="77777777" w:rsidR="00FC0498" w:rsidRPr="00034E9B" w:rsidRDefault="00FC0498" w:rsidP="00FC0498">
      <w:pPr>
        <w:pStyle w:val="Heading5"/>
      </w:pPr>
      <w:r w:rsidRPr="00034E9B">
        <w:t>Transition period</w:t>
      </w:r>
    </w:p>
    <w:p w14:paraId="51680115" w14:textId="4CC93308" w:rsidR="00FC0498" w:rsidRPr="00034E9B" w:rsidRDefault="00FC0498" w:rsidP="00FC0498">
      <w:pPr>
        <w:pStyle w:val="CGCParaNumber"/>
        <w:numPr>
          <w:ilvl w:val="0"/>
          <w:numId w:val="26"/>
        </w:numPr>
        <w:ind w:left="567" w:hanging="567"/>
        <w:rPr>
          <w:lang w:val="en-AU"/>
        </w:rPr>
      </w:pPr>
      <w:r w:rsidRPr="00034E9B">
        <w:rPr>
          <w:lang w:val="en-AU"/>
        </w:rPr>
        <w:t xml:space="preserve">Subsection 16AB(3) of the amended </w:t>
      </w:r>
      <w:r w:rsidRPr="00034E9B">
        <w:rPr>
          <w:i/>
          <w:lang w:val="en-AU"/>
        </w:rPr>
        <w:t>Commonwealth Grants Commission Act 1973</w:t>
      </w:r>
      <w:r w:rsidRPr="00034E9B">
        <w:rPr>
          <w:lang w:val="en-AU"/>
        </w:rPr>
        <w:t xml:space="preserve"> includes a schedule which specifies the proportions of the previous and new arrangements to be blended over the transition years 2021</w:t>
      </w:r>
      <w:r w:rsidRPr="00034E9B">
        <w:rPr>
          <w:lang w:val="en-AU"/>
        </w:rPr>
        <w:noBreakHyphen/>
        <w:t>22 to 2025</w:t>
      </w:r>
      <w:r w:rsidRPr="00034E9B">
        <w:rPr>
          <w:lang w:val="en-AU"/>
        </w:rPr>
        <w:noBreakHyphen/>
        <w:t xml:space="preserve">26 to derive the GST revenue sharing relativities for those years. This schedule is shown in </w:t>
      </w:r>
      <w:r w:rsidRPr="00034E9B">
        <w:rPr>
          <w:lang w:val="en-AU"/>
        </w:rPr>
        <w:fldChar w:fldCharType="begin"/>
      </w:r>
      <w:r w:rsidRPr="00034E9B">
        <w:rPr>
          <w:lang w:val="en-AU"/>
        </w:rPr>
        <w:instrText xml:space="preserve"> REF _Ref503770422 \h  \* MERGEFORMAT </w:instrText>
      </w:r>
      <w:r w:rsidRPr="00034E9B">
        <w:rPr>
          <w:lang w:val="en-AU"/>
        </w:rPr>
      </w:r>
      <w:r w:rsidRPr="00034E9B">
        <w:rPr>
          <w:lang w:val="en-AU"/>
        </w:rPr>
        <w:fldChar w:fldCharType="separate"/>
      </w:r>
      <w:r w:rsidR="004A0DFA" w:rsidRPr="004A0DFA">
        <w:rPr>
          <w:lang w:val="en-AU"/>
        </w:rPr>
        <w:t xml:space="preserve">Table </w:t>
      </w:r>
      <w:r w:rsidR="004A0DFA" w:rsidRPr="004A0DFA">
        <w:rPr>
          <w:noProof/>
          <w:lang w:val="en-AU"/>
        </w:rPr>
        <w:t>4A-1</w:t>
      </w:r>
      <w:r w:rsidRPr="00034E9B">
        <w:rPr>
          <w:lang w:val="en-AU"/>
        </w:rPr>
        <w:fldChar w:fldCharType="end"/>
      </w:r>
      <w:r w:rsidRPr="00034E9B">
        <w:rPr>
          <w:lang w:val="en-AU"/>
        </w:rPr>
        <w:t>.</w:t>
      </w:r>
    </w:p>
    <w:p w14:paraId="1DFE6769" w14:textId="77777777" w:rsidR="00FC0498" w:rsidRPr="00034E9B" w:rsidRDefault="00FC0498" w:rsidP="00FC0498">
      <w:pPr>
        <w:pStyle w:val="Heading5"/>
      </w:pPr>
      <w:r w:rsidRPr="00034E9B">
        <w:t>Relativity floor</w:t>
      </w:r>
    </w:p>
    <w:p w14:paraId="43D1E662" w14:textId="77777777" w:rsidR="00FC0498" w:rsidRPr="00034E9B" w:rsidRDefault="00FC0498" w:rsidP="00FC0498">
      <w:pPr>
        <w:pStyle w:val="CGCParaNumber"/>
        <w:numPr>
          <w:ilvl w:val="0"/>
          <w:numId w:val="26"/>
        </w:numPr>
        <w:ind w:left="567" w:hanging="567"/>
        <w:rPr>
          <w:lang w:val="en-AU"/>
        </w:rPr>
      </w:pPr>
      <w:r w:rsidRPr="00034E9B">
        <w:rPr>
          <w:lang w:val="en-AU"/>
        </w:rPr>
        <w:t>From 2022</w:t>
      </w:r>
      <w:r w:rsidRPr="00034E9B">
        <w:rPr>
          <w:lang w:val="en-AU"/>
        </w:rPr>
        <w:noBreakHyphen/>
        <w:t>23, as a final step in its work of developing its recommendations to the Treasurer on the distribution of the GST pool, the Commission may have to adjust the blended (or from 2026</w:t>
      </w:r>
      <w:r w:rsidRPr="00034E9B">
        <w:rPr>
          <w:lang w:val="en-AU"/>
        </w:rPr>
        <w:noBreakHyphen/>
        <w:t xml:space="preserve">27 the standard State) capacities, should the relativity floor be activated. </w:t>
      </w:r>
    </w:p>
    <w:p w14:paraId="66802321" w14:textId="77777777" w:rsidR="00FC0498" w:rsidRPr="00034E9B" w:rsidRDefault="00FC0498" w:rsidP="00FC0498">
      <w:pPr>
        <w:pStyle w:val="CGCParaNumber"/>
        <w:numPr>
          <w:ilvl w:val="0"/>
          <w:numId w:val="26"/>
        </w:numPr>
        <w:ind w:left="567" w:hanging="567"/>
        <w:rPr>
          <w:lang w:val="en-AU"/>
        </w:rPr>
      </w:pPr>
      <w:r w:rsidRPr="00034E9B">
        <w:rPr>
          <w:lang w:val="en-AU"/>
        </w:rPr>
        <w:t>The simplest way for the Commission to adjust for activation of the floor is to:</w:t>
      </w:r>
    </w:p>
    <w:p w14:paraId="5CD0878C" w14:textId="77777777" w:rsidR="00FC0498" w:rsidRPr="00034E9B" w:rsidRDefault="00FC0498" w:rsidP="00FC0498">
      <w:pPr>
        <w:pStyle w:val="CGCBullet1"/>
        <w:numPr>
          <w:ilvl w:val="0"/>
          <w:numId w:val="3"/>
        </w:numPr>
        <w:ind w:left="924" w:hanging="357"/>
      </w:pPr>
      <w:r w:rsidRPr="00034E9B">
        <w:t xml:space="preserve">determine the additional amount required to meet the provision of the floor relativity (using the application year estimates of State populations and the GST pool available to it at the time the Commission is required to report) </w:t>
      </w:r>
    </w:p>
    <w:p w14:paraId="46ECE88A" w14:textId="77777777" w:rsidR="00FC0498" w:rsidRPr="00034E9B" w:rsidRDefault="00FC0498" w:rsidP="00FC0498">
      <w:pPr>
        <w:pStyle w:val="CGCBullet1"/>
        <w:numPr>
          <w:ilvl w:val="0"/>
          <w:numId w:val="3"/>
        </w:numPr>
        <w:ind w:left="924" w:hanging="357"/>
      </w:pPr>
      <w:r w:rsidRPr="00034E9B">
        <w:t xml:space="preserve">fund this amount by deducting it on a population basis from the other States </w:t>
      </w:r>
    </w:p>
    <w:p w14:paraId="09A1D871" w14:textId="77777777" w:rsidR="00FC0498" w:rsidRPr="00034E9B" w:rsidRDefault="00FC0498" w:rsidP="00FC0498">
      <w:pPr>
        <w:pStyle w:val="CGCBullet1"/>
        <w:numPr>
          <w:ilvl w:val="0"/>
          <w:numId w:val="3"/>
        </w:numPr>
        <w:ind w:left="924" w:hanging="357"/>
      </w:pPr>
      <w:r w:rsidRPr="00034E9B">
        <w:t xml:space="preserve">divide the resulting GST distributions by an EPC distribution to derive the GST revenue sharing relativities. </w:t>
      </w:r>
    </w:p>
    <w:p w14:paraId="20F92684" w14:textId="77777777" w:rsidR="00FC0498" w:rsidRPr="00034E9B" w:rsidRDefault="00FC0498" w:rsidP="00FC0498">
      <w:pPr>
        <w:pStyle w:val="CGCParaNumber"/>
        <w:numPr>
          <w:ilvl w:val="0"/>
          <w:numId w:val="26"/>
        </w:numPr>
        <w:ind w:left="567" w:hanging="567"/>
        <w:rPr>
          <w:lang w:val="en-AU"/>
        </w:rPr>
      </w:pPr>
      <w:r w:rsidRPr="00034E9B">
        <w:rPr>
          <w:lang w:val="en-AU"/>
        </w:rPr>
        <w:t>This approach will maintain the same relative fiscal capacities for all States other than the State receiving the floor relativity. These adjusted relativities will then be the Commission’s recommended GST revenue sharing relativities.</w:t>
      </w:r>
      <w:r w:rsidRPr="00034E9B">
        <w:rPr>
          <w:vertAlign w:val="superscript"/>
          <w:lang w:val="en-AU"/>
        </w:rPr>
        <w:footnoteReference w:id="66"/>
      </w:r>
      <w:r w:rsidRPr="00034E9B">
        <w:rPr>
          <w:lang w:val="en-AU"/>
        </w:rPr>
        <w:t xml:space="preserve"> </w:t>
      </w:r>
    </w:p>
    <w:p w14:paraId="11476A07" w14:textId="77777777" w:rsidR="00FC0498" w:rsidRPr="00034E9B" w:rsidRDefault="00FC0498" w:rsidP="00FC0498">
      <w:pPr>
        <w:pStyle w:val="CGCParaNumber"/>
        <w:numPr>
          <w:ilvl w:val="0"/>
          <w:numId w:val="26"/>
        </w:numPr>
        <w:ind w:left="567" w:hanging="567"/>
        <w:rPr>
          <w:lang w:val="en-AU"/>
        </w:rPr>
      </w:pPr>
      <w:r w:rsidRPr="00034E9B">
        <w:rPr>
          <w:lang w:val="en-AU"/>
        </w:rPr>
        <w:t xml:space="preserve">Western Australia has said that, to avoid using forecasts, any floor adjustment could be made in the assessment years. The application of the floor requirement is a final step following the outcome of blending the averaged assessment year relative fiscal capacities and averaged standard State capacities. While using forecast application year populations and pools is not ideal, the effects (compared to those if final estimates were available) are not likely to be substantial. However, the Western Australian proposal can be considered further should using application year pool and population estimates to implement the floor be considered problematic. </w:t>
      </w:r>
    </w:p>
    <w:p w14:paraId="7BBB3A5F" w14:textId="77777777" w:rsidR="00FC0498" w:rsidRPr="00034E9B" w:rsidRDefault="00FC0498" w:rsidP="00FC0498">
      <w:pPr>
        <w:pStyle w:val="Heading5"/>
      </w:pPr>
      <w:r w:rsidRPr="00034E9B">
        <w:lastRenderedPageBreak/>
        <w:t>Summary</w:t>
      </w:r>
    </w:p>
    <w:p w14:paraId="58BB58AE" w14:textId="77777777" w:rsidR="00FC0498" w:rsidRPr="00034E9B" w:rsidRDefault="00FC0498" w:rsidP="00FC0498">
      <w:pPr>
        <w:pStyle w:val="CGCParaNumber"/>
        <w:numPr>
          <w:ilvl w:val="0"/>
          <w:numId w:val="26"/>
        </w:numPr>
        <w:ind w:left="567" w:hanging="567"/>
        <w:rPr>
          <w:lang w:val="en-AU"/>
        </w:rPr>
      </w:pPr>
      <w:r w:rsidRPr="00034E9B">
        <w:rPr>
          <w:lang w:val="en-AU"/>
        </w:rPr>
        <w:t>Over the period the 2020 Review methods are applied, the process used by the Commission to derive its recommended relativities for use in distributing the GST pool (including any top</w:t>
      </w:r>
      <w:r w:rsidRPr="00034E9B">
        <w:rPr>
          <w:lang w:val="en-AU"/>
        </w:rPr>
        <w:noBreakHyphen/>
        <w:t>ups) will vary depending upon the inquiry year’s place in the transition period.</w:t>
      </w:r>
    </w:p>
    <w:p w14:paraId="2645E2F4" w14:textId="55CA4E42" w:rsidR="00FC0498" w:rsidRDefault="00FC0498" w:rsidP="00FC0498">
      <w:pPr>
        <w:pStyle w:val="CGCParaNumber"/>
        <w:numPr>
          <w:ilvl w:val="0"/>
          <w:numId w:val="26"/>
        </w:numPr>
        <w:ind w:left="567" w:hanging="567"/>
        <w:rPr>
          <w:lang w:val="en-AU"/>
        </w:rPr>
      </w:pPr>
      <w:r w:rsidRPr="00034E9B">
        <w:rPr>
          <w:lang w:val="en-AU"/>
        </w:rPr>
        <w:fldChar w:fldCharType="begin"/>
      </w:r>
      <w:r w:rsidRPr="00034E9B">
        <w:rPr>
          <w:lang w:val="en-AU"/>
        </w:rPr>
        <w:instrText xml:space="preserve"> REF Box5_1 \h  \* MERGEFORMAT </w:instrText>
      </w:r>
      <w:r w:rsidRPr="00034E9B">
        <w:rPr>
          <w:lang w:val="en-AU"/>
        </w:rPr>
      </w:r>
      <w:r w:rsidRPr="00034E9B">
        <w:rPr>
          <w:lang w:val="en-AU"/>
        </w:rPr>
        <w:fldChar w:fldCharType="separate"/>
      </w:r>
      <w:r w:rsidR="004A0DFA" w:rsidRPr="004A0DFA">
        <w:rPr>
          <w:lang w:val="en-AU"/>
        </w:rPr>
        <w:t xml:space="preserve">Box 4-1 </w:t>
      </w:r>
      <w:r w:rsidRPr="00034E9B">
        <w:rPr>
          <w:lang w:val="en-AU"/>
        </w:rPr>
        <w:fldChar w:fldCharType="end"/>
      </w:r>
      <w:r w:rsidRPr="00034E9B">
        <w:rPr>
          <w:lang w:val="en-AU"/>
        </w:rPr>
        <w:t>provides a summary of the derivation of the recommended GST revenue sharing relativities during the transition period.</w:t>
      </w:r>
    </w:p>
    <w:p w14:paraId="015F5FEA" w14:textId="77777777" w:rsidR="003D4BCC" w:rsidRPr="00034E9B" w:rsidRDefault="003D4BCC" w:rsidP="003D4BCC">
      <w:pPr>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3F5"/>
        <w:tblLook w:val="04A0" w:firstRow="1" w:lastRow="0" w:firstColumn="1" w:lastColumn="0" w:noHBand="0" w:noVBand="1"/>
      </w:tblPr>
      <w:tblGrid>
        <w:gridCol w:w="8941"/>
      </w:tblGrid>
      <w:tr w:rsidR="00FC0498" w:rsidRPr="00034E9B" w14:paraId="183CF231" w14:textId="77777777" w:rsidTr="00FF6CBF">
        <w:tc>
          <w:tcPr>
            <w:tcW w:w="8941" w:type="dxa"/>
            <w:shd w:val="clear" w:color="auto" w:fill="EBF3F5"/>
          </w:tcPr>
          <w:p w14:paraId="62207904" w14:textId="77777777" w:rsidR="00FC0498" w:rsidRPr="00034E9B" w:rsidRDefault="00FC0498" w:rsidP="00FF6CBF">
            <w:pPr>
              <w:pStyle w:val="Caption"/>
            </w:pPr>
            <w:bookmarkStart w:id="168" w:name="Box5_1"/>
            <w:r w:rsidRPr="00034E9B">
              <w:t xml:space="preserve">Box 4-1 </w:t>
            </w:r>
            <w:bookmarkEnd w:id="168"/>
            <w:r w:rsidRPr="00034E9B">
              <w:tab/>
              <w:t>Summary of the process for deriving the recommended GST revenue sharing relativities</w:t>
            </w:r>
          </w:p>
          <w:p w14:paraId="12CF6825" w14:textId="77777777" w:rsidR="00FC0498" w:rsidRPr="00034E9B" w:rsidRDefault="00FC0498" w:rsidP="00FC0498">
            <w:pPr>
              <w:pStyle w:val="CGCBullet1"/>
              <w:numPr>
                <w:ilvl w:val="0"/>
                <w:numId w:val="3"/>
              </w:numPr>
              <w:ind w:left="924" w:hanging="357"/>
            </w:pPr>
            <w:r w:rsidRPr="00034E9B">
              <w:t>For 2020</w:t>
            </w:r>
            <w:r w:rsidRPr="00034E9B">
              <w:noBreakHyphen/>
              <w:t>21, the State relative fiscal capacities will be the Commission’s recommended GST revenue sharing relativities.</w:t>
            </w:r>
          </w:p>
          <w:p w14:paraId="39DB172D" w14:textId="77777777" w:rsidR="00FC0498" w:rsidRPr="00034E9B" w:rsidRDefault="00FC0498" w:rsidP="00FC0498">
            <w:pPr>
              <w:pStyle w:val="CGCBullet1"/>
              <w:numPr>
                <w:ilvl w:val="0"/>
                <w:numId w:val="3"/>
              </w:numPr>
              <w:ind w:left="924" w:hanging="357"/>
            </w:pPr>
            <w:r w:rsidRPr="00034E9B">
              <w:t>For 2021</w:t>
            </w:r>
            <w:r w:rsidRPr="00034E9B">
              <w:noBreakHyphen/>
              <w:t>22 to 2025-26, the blended proportions of the previous and new arrangements (as prescribed in the legislation) will form the Commission’s recommended GST revenue sharing relativities.</w:t>
            </w:r>
          </w:p>
          <w:p w14:paraId="2514FAFB" w14:textId="77777777" w:rsidR="00FC0498" w:rsidRPr="00034E9B" w:rsidRDefault="00FC0498" w:rsidP="00FC0498">
            <w:pPr>
              <w:pStyle w:val="CGCBullet1"/>
              <w:numPr>
                <w:ilvl w:val="0"/>
                <w:numId w:val="3"/>
              </w:numPr>
              <w:ind w:left="924" w:hanging="357"/>
            </w:pPr>
            <w:r w:rsidRPr="00034E9B">
              <w:t>From 2022</w:t>
            </w:r>
            <w:r w:rsidRPr="00034E9B">
              <w:noBreakHyphen/>
              <w:t>23, as a final step, the Commission may have to adjust the blended (or from 2026</w:t>
            </w:r>
            <w:r w:rsidRPr="00034E9B">
              <w:noBreakHyphen/>
              <w:t>27 the standard State) relativities, should the relativity floor be activated.</w:t>
            </w:r>
          </w:p>
          <w:p w14:paraId="30ED3CA9" w14:textId="662C4060" w:rsidR="00FC0498" w:rsidRPr="00034E9B" w:rsidRDefault="00FC0498" w:rsidP="00FC0498">
            <w:pPr>
              <w:pStyle w:val="CGCBullet1"/>
              <w:numPr>
                <w:ilvl w:val="0"/>
                <w:numId w:val="3"/>
              </w:numPr>
              <w:spacing w:after="120"/>
              <w:ind w:left="924" w:hanging="357"/>
            </w:pPr>
            <w:r w:rsidRPr="00034E9B">
              <w:t>For 2026-27, the transition will be complete and the relative fiscal capacities based upon the standard State (fiscally stronger of New South Wales and Victoria) will form the Commission’s recommended GST revenue sharing relativities.</w:t>
            </w:r>
            <w:r w:rsidR="000F77EC">
              <w:t xml:space="preserve"> The process beyond 2026 is subject to the </w:t>
            </w:r>
            <w:r w:rsidR="00571F7A">
              <w:t>government</w:t>
            </w:r>
            <w:r w:rsidR="000F77EC">
              <w:t>’s response to the outcome of the Productivity Commission review inquiry.</w:t>
            </w:r>
          </w:p>
        </w:tc>
      </w:tr>
    </w:tbl>
    <w:p w14:paraId="7524109F" w14:textId="3A26870C" w:rsidR="00FC0498" w:rsidRPr="00034E9B" w:rsidRDefault="00FC0498" w:rsidP="00FC0498">
      <w:pPr>
        <w:pStyle w:val="Heading4"/>
      </w:pPr>
      <w:bookmarkStart w:id="169" w:name="_Toc26890329"/>
      <w:r w:rsidRPr="00034E9B">
        <w:t>Determination of ‘no worse off’</w:t>
      </w:r>
      <w:bookmarkEnd w:id="169"/>
      <w:r w:rsidRPr="00034E9B">
        <w:t xml:space="preserve"> </w:t>
      </w:r>
    </w:p>
    <w:p w14:paraId="039EA744" w14:textId="77777777" w:rsidR="00FC0498" w:rsidRPr="00034E9B" w:rsidRDefault="00FC0498" w:rsidP="00FC0498">
      <w:pPr>
        <w:pStyle w:val="CGCParaNumber"/>
        <w:numPr>
          <w:ilvl w:val="0"/>
          <w:numId w:val="26"/>
        </w:numPr>
        <w:ind w:left="567" w:hanging="567"/>
        <w:rPr>
          <w:lang w:val="en-AU"/>
        </w:rPr>
      </w:pPr>
      <w:r w:rsidRPr="00034E9B">
        <w:rPr>
          <w:lang w:val="en-AU"/>
        </w:rPr>
        <w:t xml:space="preserve">Section 5 of the amended </w:t>
      </w:r>
      <w:r w:rsidRPr="00034E9B">
        <w:rPr>
          <w:i/>
          <w:lang w:val="en-AU"/>
        </w:rPr>
        <w:t>Federal Financial Relation Act 2009</w:t>
      </w:r>
      <w:r w:rsidRPr="00034E9B">
        <w:rPr>
          <w:lang w:val="en-AU"/>
        </w:rPr>
        <w:t xml:space="preserve"> specifies the criteria for determining whether the ‘no worse off’ provisions will be triggered. It states that the ‘no worse off’ comparison over the transitional years be made on the basis of a comparison between the grants received by a State under the legislated changes and those it would have received if the </w:t>
      </w:r>
      <w:r w:rsidRPr="00034E9B">
        <w:rPr>
          <w:i/>
          <w:lang w:val="en-AU"/>
        </w:rPr>
        <w:t>Treasury Laws Amendment (Making Sure Every State and Territory Gets Their Fair Share of GST) Act 2018</w:t>
      </w:r>
      <w:r w:rsidRPr="00034E9B">
        <w:rPr>
          <w:lang w:val="en-AU"/>
        </w:rPr>
        <w:t xml:space="preserve"> had not been enacted. </w:t>
      </w:r>
    </w:p>
    <w:p w14:paraId="788386C9" w14:textId="36F8E345" w:rsidR="00FC0498" w:rsidRPr="00034E9B" w:rsidRDefault="00FC0498" w:rsidP="00FC0498">
      <w:pPr>
        <w:pStyle w:val="CGCParaNumber"/>
        <w:numPr>
          <w:ilvl w:val="0"/>
          <w:numId w:val="26"/>
        </w:numPr>
        <w:ind w:left="567" w:hanging="567"/>
        <w:rPr>
          <w:lang w:val="en-AU"/>
        </w:rPr>
      </w:pPr>
      <w:r w:rsidRPr="00034E9B">
        <w:rPr>
          <w:lang w:val="en-AU"/>
        </w:rPr>
        <w:t xml:space="preserve">To facilitate this comparison, the Commission will continue to calculate relative fiscal capacities on a GST revenue only basis (that is, excluding pool top-ups). For the Commission to determine the relative fiscal capacities on a GST revenue only pool in assessment years when the GST pool includes top-up payments, it proposes to assess the top-up payments on an EPC basis, instead of including them in the pool of general revenue assistance. </w:t>
      </w:r>
    </w:p>
    <w:p w14:paraId="68D6B7DD" w14:textId="77777777" w:rsidR="00FC0498" w:rsidRPr="00034E9B" w:rsidRDefault="00FC0498" w:rsidP="00FC0498">
      <w:pPr>
        <w:pStyle w:val="CGCParaNumber"/>
        <w:numPr>
          <w:ilvl w:val="0"/>
          <w:numId w:val="26"/>
        </w:numPr>
        <w:ind w:left="567" w:hanging="567"/>
        <w:rPr>
          <w:lang w:val="en-AU"/>
        </w:rPr>
      </w:pPr>
      <w:r w:rsidRPr="00034E9B">
        <w:rPr>
          <w:lang w:val="en-AU"/>
        </w:rPr>
        <w:t>The Commission also proposes not to make any corresponding adjustment to State expenditures. This is how the Commission usually treats expenditure related to no impact Commonwealth payments when it does not know where States have spent those payments.</w:t>
      </w:r>
    </w:p>
    <w:p w14:paraId="10589A64" w14:textId="77777777" w:rsidR="00FC0498" w:rsidRPr="00034E9B" w:rsidRDefault="00FC0498" w:rsidP="00FC0498">
      <w:pPr>
        <w:pStyle w:val="Heading4"/>
      </w:pPr>
      <w:bookmarkStart w:id="170" w:name="_Toc26890330"/>
      <w:r w:rsidRPr="00034E9B">
        <w:t>Presentation of results</w:t>
      </w:r>
      <w:bookmarkEnd w:id="170"/>
    </w:p>
    <w:p w14:paraId="3227A088" w14:textId="77777777" w:rsidR="00FC0498" w:rsidRPr="00034E9B" w:rsidRDefault="00FC0498" w:rsidP="00FC0498">
      <w:pPr>
        <w:pStyle w:val="CGCParaNumber"/>
        <w:numPr>
          <w:ilvl w:val="0"/>
          <w:numId w:val="26"/>
        </w:numPr>
        <w:ind w:left="567" w:hanging="567"/>
        <w:rPr>
          <w:lang w:val="en-AU"/>
        </w:rPr>
      </w:pPr>
      <w:r w:rsidRPr="00034E9B">
        <w:rPr>
          <w:lang w:val="en-AU"/>
        </w:rPr>
        <w:t xml:space="preserve">The legislation does not affect the Commission’s work in relation to its recommendations for the relativities used for distributing the grant assistance pool in 2020-21. That is, the recommended relativities for 2020-21 are the last which solely reflect current (or which the new legislation refers to as previous) arrangements, prior to the commencement of the </w:t>
      </w:r>
      <w:r w:rsidRPr="00034E9B">
        <w:rPr>
          <w:lang w:val="en-AU"/>
        </w:rPr>
        <w:lastRenderedPageBreak/>
        <w:t>transition to the new arrangements in 2021-22. Accordingly, for 2020-21, the Commission has presented its findings in this report using the same approach adopted in the previous review and subsequent update inquiries. This approach provides the Commission’s recommended relativities for the upcoming year, alongside the relativities used for the previous year. Forecasts of the upcoming year’s population and pool size are used to show an illustrative distribution of the pool (GST revenue) in the upcoming year, with a comparison to the previous year’s distribution, alongside information on the main drivers of the change in distribution. The effects of the disabilities included in the Commission’s work are shown as effects on the GST revenue distribution in the upcoming year.</w:t>
      </w:r>
    </w:p>
    <w:p w14:paraId="35464FB5" w14:textId="77777777" w:rsidR="00FC0498" w:rsidRPr="00034E9B" w:rsidRDefault="00FC0498" w:rsidP="00FC0498">
      <w:pPr>
        <w:pStyle w:val="CGCParaNumber"/>
        <w:numPr>
          <w:ilvl w:val="0"/>
          <w:numId w:val="26"/>
        </w:numPr>
        <w:ind w:left="567" w:hanging="567"/>
        <w:rPr>
          <w:lang w:val="en-AU"/>
        </w:rPr>
      </w:pPr>
      <w:r w:rsidRPr="00034E9B">
        <w:rPr>
          <w:lang w:val="en-AU"/>
        </w:rPr>
        <w:t>Attachment A illustrates the Commission’s proposed approach for presenting its findings from the 2021 inquiry (that is, as the transition to the new arrangements commences), including recommendations for the distribution of the grant assistance pool in 2021-22. The attachment uses the Commonwealth’s estimated future relativities to demonstrate how the Commission would bring together the following elements of the legislation:</w:t>
      </w:r>
    </w:p>
    <w:p w14:paraId="656CA579" w14:textId="77777777" w:rsidR="00FC0498" w:rsidRPr="00034E9B" w:rsidRDefault="00FC0498" w:rsidP="00FC0498">
      <w:pPr>
        <w:pStyle w:val="CGCBullet1"/>
        <w:numPr>
          <w:ilvl w:val="0"/>
          <w:numId w:val="3"/>
        </w:numPr>
        <w:ind w:left="924" w:hanging="357"/>
      </w:pPr>
      <w:r w:rsidRPr="00034E9B">
        <w:t>the relative fiscal capacities</w:t>
      </w:r>
    </w:p>
    <w:p w14:paraId="1415012E" w14:textId="77777777" w:rsidR="00FC0498" w:rsidRPr="00034E9B" w:rsidRDefault="00FC0498" w:rsidP="00FC0498">
      <w:pPr>
        <w:pStyle w:val="CGCBullet1"/>
        <w:numPr>
          <w:ilvl w:val="0"/>
          <w:numId w:val="3"/>
        </w:numPr>
        <w:ind w:left="924" w:hanging="357"/>
      </w:pPr>
      <w:r w:rsidRPr="00034E9B">
        <w:t>the standard State capacities</w:t>
      </w:r>
    </w:p>
    <w:p w14:paraId="04DAFC9C" w14:textId="77777777" w:rsidR="00FC0498" w:rsidRPr="00034E9B" w:rsidRDefault="00FC0498" w:rsidP="00FC0498">
      <w:pPr>
        <w:pStyle w:val="CGCBullet1"/>
        <w:numPr>
          <w:ilvl w:val="0"/>
          <w:numId w:val="3"/>
        </w:numPr>
        <w:ind w:left="924" w:hanging="357"/>
      </w:pPr>
      <w:r w:rsidRPr="00034E9B">
        <w:t>the blended capacities</w:t>
      </w:r>
    </w:p>
    <w:p w14:paraId="6019974E" w14:textId="77777777" w:rsidR="00FC0498" w:rsidRPr="00034E9B" w:rsidRDefault="00FC0498" w:rsidP="00FC0498">
      <w:pPr>
        <w:pStyle w:val="CGCBullet1"/>
        <w:numPr>
          <w:ilvl w:val="0"/>
          <w:numId w:val="3"/>
        </w:numPr>
        <w:ind w:left="924" w:hanging="357"/>
      </w:pPr>
      <w:r w:rsidRPr="00034E9B">
        <w:t xml:space="preserve">any floor adjustments </w:t>
      </w:r>
    </w:p>
    <w:p w14:paraId="50CE72BC" w14:textId="77777777" w:rsidR="00FC0498" w:rsidRPr="00034E9B" w:rsidRDefault="00FC0498" w:rsidP="00FC0498">
      <w:pPr>
        <w:pStyle w:val="CGCBullet1"/>
        <w:numPr>
          <w:ilvl w:val="0"/>
          <w:numId w:val="3"/>
        </w:numPr>
        <w:ind w:left="924" w:hanging="357"/>
      </w:pPr>
      <w:r w:rsidRPr="00034E9B">
        <w:t>the recommended grant pool revenue sharing relativities</w:t>
      </w:r>
    </w:p>
    <w:p w14:paraId="1B14899D" w14:textId="77777777" w:rsidR="00FC0498" w:rsidRPr="00034E9B" w:rsidRDefault="00FC0498" w:rsidP="00FC0498">
      <w:pPr>
        <w:pStyle w:val="CGCBullet1"/>
        <w:numPr>
          <w:ilvl w:val="0"/>
          <w:numId w:val="3"/>
        </w:numPr>
        <w:ind w:left="924" w:hanging="357"/>
      </w:pPr>
      <w:r w:rsidRPr="00034E9B">
        <w:t>the associated ‘no worse off’ provision relativities.</w:t>
      </w:r>
    </w:p>
    <w:p w14:paraId="7DF0146A" w14:textId="77777777" w:rsidR="00FC0498" w:rsidRPr="00034E9B" w:rsidRDefault="00FC0498" w:rsidP="00FC0498">
      <w:pPr>
        <w:pStyle w:val="CGCParaNumber"/>
        <w:numPr>
          <w:ilvl w:val="0"/>
          <w:numId w:val="26"/>
        </w:numPr>
        <w:ind w:left="567" w:hanging="567"/>
        <w:rPr>
          <w:lang w:val="en-AU"/>
        </w:rPr>
      </w:pPr>
      <w:r w:rsidRPr="00034E9B">
        <w:rPr>
          <w:lang w:val="en-AU"/>
        </w:rPr>
        <w:t>The Commonwealth and the States are welcome to provide any feedback on the Commission’s proposed presentation approach.</w:t>
      </w:r>
    </w:p>
    <w:p w14:paraId="7E4C122D" w14:textId="77777777" w:rsidR="00FC0498" w:rsidRPr="00034E9B" w:rsidRDefault="00FC0498" w:rsidP="00FC0498">
      <w:pPr>
        <w:spacing w:before="0" w:after="80" w:line="320" w:lineRule="atLeast"/>
        <w:rPr>
          <w:rFonts w:asciiTheme="minorHAnsi" w:hAnsiTheme="minorHAnsi"/>
          <w:sz w:val="24"/>
        </w:rPr>
        <w:sectPr w:rsidR="00FC0498" w:rsidRPr="00034E9B" w:rsidSect="00AD001C">
          <w:footerReference w:type="default" r:id="rId35"/>
          <w:footerReference w:type="first" r:id="rId36"/>
          <w:footnotePr>
            <w:numRestart w:val="eachSect"/>
          </w:footnotePr>
          <w:pgSz w:w="11899" w:h="16838" w:code="9"/>
          <w:pgMar w:top="1418" w:right="1474" w:bottom="1418" w:left="1474" w:header="709" w:footer="567" w:gutter="0"/>
          <w:cols w:space="708"/>
          <w:titlePg/>
          <w:docGrid w:linePitch="299"/>
        </w:sectPr>
      </w:pPr>
    </w:p>
    <w:p w14:paraId="4762494D" w14:textId="21F7A371" w:rsidR="00FC0498" w:rsidRPr="00034E9B" w:rsidRDefault="00FC0498" w:rsidP="006031E5">
      <w:pPr>
        <w:pStyle w:val="Heading1"/>
        <w:ind w:left="0" w:firstLine="0"/>
      </w:pPr>
      <w:bookmarkStart w:id="171" w:name="_Toc33545897"/>
      <w:bookmarkStart w:id="172" w:name="_Toc474923739"/>
      <w:bookmarkStart w:id="173" w:name="_Toc505872165"/>
      <w:bookmarkStart w:id="174" w:name="_Ref473625496"/>
      <w:bookmarkStart w:id="175" w:name="_Toc474923751"/>
      <w:bookmarkStart w:id="176" w:name="_Ref504568521"/>
      <w:bookmarkStart w:id="177" w:name="_Toc428435402"/>
      <w:bookmarkStart w:id="178" w:name="_Toc428435927"/>
      <w:bookmarkStart w:id="179" w:name="_Toc428803268"/>
      <w:bookmarkStart w:id="180" w:name="_Toc430166133"/>
      <w:bookmarkStart w:id="181" w:name="_Toc433353485"/>
      <w:bookmarkStart w:id="182" w:name="_Toc441656026"/>
      <w:bookmarkStart w:id="183" w:name="_Toc442192169"/>
      <w:bookmarkStart w:id="184" w:name="_Toc442192234"/>
      <w:bookmarkStart w:id="185" w:name="_Toc442773047"/>
      <w:bookmarkStart w:id="186" w:name="_Toc442773563"/>
      <w:bookmarkStart w:id="187" w:name="_Toc442781578"/>
      <w:bookmarkStart w:id="188" w:name="_Toc442785875"/>
      <w:bookmarkStart w:id="189" w:name="_Toc442883284"/>
      <w:bookmarkStart w:id="190" w:name="_Toc442948710"/>
      <w:bookmarkStart w:id="191" w:name="_Toc442949137"/>
      <w:r w:rsidRPr="00034E9B">
        <w:lastRenderedPageBreak/>
        <w:t xml:space="preserve">Attachment </w:t>
      </w:r>
      <w:r w:rsidR="0079496A">
        <w:t>4</w:t>
      </w:r>
      <w:r w:rsidRPr="00034E9B">
        <w:t>A:</w:t>
      </w:r>
      <w:r w:rsidR="0079496A">
        <w:t xml:space="preserve"> </w:t>
      </w:r>
      <w:r w:rsidRPr="00034E9B">
        <w:t xml:space="preserve">Proposed presentation approach </w:t>
      </w:r>
      <w:r w:rsidR="0028068E">
        <w:t>from</w:t>
      </w:r>
      <w:r w:rsidRPr="00034E9B">
        <w:t xml:space="preserve"> 2021</w:t>
      </w:r>
      <w:bookmarkEnd w:id="171"/>
    </w:p>
    <w:bookmarkEnd w:id="172"/>
    <w:bookmarkEnd w:id="173"/>
    <w:p w14:paraId="20A2D9AE" w14:textId="58A57DA3" w:rsidR="00FC0498" w:rsidRPr="00034E9B" w:rsidRDefault="00FC0498" w:rsidP="00FC0498">
      <w:pPr>
        <w:pStyle w:val="CGCParaNumber"/>
        <w:numPr>
          <w:ilvl w:val="0"/>
          <w:numId w:val="27"/>
        </w:numPr>
        <w:ind w:left="567" w:hanging="567"/>
        <w:rPr>
          <w:lang w:val="en-AU"/>
        </w:rPr>
      </w:pPr>
      <w:r w:rsidRPr="00034E9B">
        <w:rPr>
          <w:lang w:val="en-AU"/>
        </w:rPr>
        <w:t>This attachment describes the proposed approach to presenting the Commission’s findings for the 2021 and subsequent inquiries. Illustrative report text is indented and italicised.</w:t>
      </w:r>
    </w:p>
    <w:p w14:paraId="22859F5C" w14:textId="5BA7D6AA" w:rsidR="00FC0498" w:rsidRPr="00034E9B" w:rsidRDefault="00FC0498" w:rsidP="00FC0498">
      <w:pPr>
        <w:pStyle w:val="CGCParaNumber"/>
        <w:numPr>
          <w:ilvl w:val="0"/>
          <w:numId w:val="26"/>
        </w:numPr>
        <w:ind w:left="567" w:hanging="567"/>
        <w:rPr>
          <w:lang w:val="en-AU"/>
        </w:rPr>
      </w:pPr>
      <w:r w:rsidRPr="00034E9B">
        <w:rPr>
          <w:lang w:val="en-AU"/>
        </w:rPr>
        <w:t xml:space="preserve">Relativities and grant pool distributions shown in this attachment are for illustrative purposes only. They are based on relativity projections included in the Productivity Commission’s Report on its inquiry into HFE, GST revenue forecasts in 2019-20 Budget Paper No. 3 and pool ‘boost’ arrangements described in the new legislation.  </w:t>
      </w:r>
    </w:p>
    <w:p w14:paraId="7B3F5A45" w14:textId="61C29F11" w:rsidR="00FC0498" w:rsidRPr="00034E9B" w:rsidRDefault="00FC0498" w:rsidP="00FC0498">
      <w:pPr>
        <w:pStyle w:val="Heading3"/>
      </w:pPr>
      <w:bookmarkStart w:id="192" w:name="_Toc26890331"/>
      <w:bookmarkStart w:id="193" w:name="_Toc33545898"/>
      <w:r w:rsidRPr="00034E9B">
        <w:t xml:space="preserve">Chapter 1 Recommended </w:t>
      </w:r>
      <w:r w:rsidR="002134C3">
        <w:t>g</w:t>
      </w:r>
      <w:r w:rsidR="0046226E">
        <w:t>rant</w:t>
      </w:r>
      <w:r w:rsidRPr="00034E9B">
        <w:t xml:space="preserve"> distribution</w:t>
      </w:r>
      <w:bookmarkEnd w:id="192"/>
      <w:bookmarkEnd w:id="193"/>
    </w:p>
    <w:p w14:paraId="4876FEB4" w14:textId="6560AF72" w:rsidR="00FC0498" w:rsidRPr="00034E9B" w:rsidRDefault="00FC0498" w:rsidP="00FC0498">
      <w:pPr>
        <w:pStyle w:val="Heading4"/>
      </w:pPr>
      <w:bookmarkStart w:id="194" w:name="_Toc26890332"/>
      <w:r w:rsidRPr="00034E9B">
        <w:t xml:space="preserve">Recommended </w:t>
      </w:r>
      <w:r w:rsidR="006D456C">
        <w:t>g</w:t>
      </w:r>
      <w:r w:rsidRPr="00034E9B">
        <w:t>rant distribution</w:t>
      </w:r>
      <w:bookmarkEnd w:id="194"/>
    </w:p>
    <w:p w14:paraId="18162020" w14:textId="2740210A" w:rsidR="00FC0498" w:rsidRPr="00034E9B" w:rsidRDefault="00FC0498" w:rsidP="00FC0498">
      <w:pPr>
        <w:pStyle w:val="CGCParaNumber"/>
        <w:numPr>
          <w:ilvl w:val="0"/>
          <w:numId w:val="26"/>
        </w:numPr>
        <w:ind w:left="567" w:hanging="567"/>
        <w:rPr>
          <w:lang w:val="en-AU"/>
        </w:rPr>
      </w:pPr>
      <w:r w:rsidRPr="00034E9B">
        <w:rPr>
          <w:lang w:val="en-AU"/>
        </w:rPr>
        <w:fldChar w:fldCharType="begin"/>
      </w:r>
      <w:r w:rsidRPr="00034E9B">
        <w:rPr>
          <w:lang w:val="en-AU"/>
        </w:rPr>
        <w:instrText xml:space="preserve"> REF _Ref503770422 \h  \* MERGEFORMAT </w:instrText>
      </w:r>
      <w:r w:rsidRPr="00034E9B">
        <w:rPr>
          <w:lang w:val="en-AU"/>
        </w:rPr>
      </w:r>
      <w:r w:rsidRPr="00034E9B">
        <w:rPr>
          <w:lang w:val="en-AU"/>
        </w:rPr>
        <w:fldChar w:fldCharType="separate"/>
      </w:r>
      <w:r w:rsidR="004A0DFA" w:rsidRPr="004A0DFA">
        <w:rPr>
          <w:lang w:val="en-AU"/>
        </w:rPr>
        <w:t xml:space="preserve">Table </w:t>
      </w:r>
      <w:r w:rsidR="004A0DFA" w:rsidRPr="004A0DFA">
        <w:rPr>
          <w:noProof/>
          <w:lang w:val="en-AU"/>
        </w:rPr>
        <w:t>4A-1</w:t>
      </w:r>
      <w:r w:rsidRPr="00034E9B">
        <w:rPr>
          <w:lang w:val="en-AU"/>
        </w:rPr>
        <w:fldChar w:fldCharType="end"/>
      </w:r>
      <w:r w:rsidRPr="00034E9B">
        <w:rPr>
          <w:lang w:val="en-AU"/>
        </w:rPr>
        <w:t xml:space="preserve"> shows the per capita relativities the Commission recommends for use in distributing the pool of funds comprising GST revenue and any pool top-ups. This is similar to the</w:t>
      </w:r>
      <w:r w:rsidR="00585F04">
        <w:rPr>
          <w:lang w:val="en-AU"/>
        </w:rPr>
        <w:t xml:space="preserve"> Table 1 </w:t>
      </w:r>
      <w:r w:rsidRPr="00034E9B">
        <w:rPr>
          <w:lang w:val="en-AU"/>
        </w:rPr>
        <w:t xml:space="preserve">used in previous inquiries, although it uses the recommended grant sharing relativities (incorporating the transition to standard State capacities along with any floor provision effects), not the relative fiscal capacities.  </w:t>
      </w:r>
    </w:p>
    <w:p w14:paraId="23DB3236" w14:textId="22233689" w:rsidR="00FC0498" w:rsidRPr="00034E9B" w:rsidRDefault="00FC0498" w:rsidP="00FC0498">
      <w:pPr>
        <w:pStyle w:val="Caption"/>
      </w:pPr>
      <w:bookmarkStart w:id="195" w:name="_Ref503770422"/>
      <w:r w:rsidRPr="00034E9B">
        <w:t>Table 4A-</w:t>
      </w:r>
      <w:r w:rsidRPr="00034E9B">
        <w:rPr>
          <w:noProof/>
        </w:rPr>
        <w:fldChar w:fldCharType="begin"/>
      </w:r>
      <w:r w:rsidRPr="00034E9B">
        <w:rPr>
          <w:noProof/>
        </w:rPr>
        <w:instrText xml:space="preserve"> SEQ Table\r1\* ARABIC </w:instrText>
      </w:r>
      <w:r w:rsidRPr="00034E9B">
        <w:rPr>
          <w:noProof/>
        </w:rPr>
        <w:fldChar w:fldCharType="separate"/>
      </w:r>
      <w:r w:rsidR="004A0DFA">
        <w:rPr>
          <w:noProof/>
        </w:rPr>
        <w:t>1</w:t>
      </w:r>
      <w:r w:rsidRPr="00034E9B">
        <w:rPr>
          <w:noProof/>
        </w:rPr>
        <w:fldChar w:fldCharType="end"/>
      </w:r>
      <w:bookmarkEnd w:id="195"/>
      <w:r w:rsidRPr="00034E9B">
        <w:tab/>
        <w:t xml:space="preserve">Relativities, shares and illustrative </w:t>
      </w:r>
      <w:r w:rsidR="009E30A6">
        <w:t>g</w:t>
      </w:r>
      <w:r w:rsidRPr="00034E9B">
        <w:t>rant distribution, 2021</w:t>
      </w:r>
      <w:r w:rsidRPr="00034E9B">
        <w:noBreakHyphen/>
        <w:t>22 and 2022-23</w:t>
      </w:r>
    </w:p>
    <w:tbl>
      <w:tblPr>
        <w:tblW w:w="9040" w:type="dxa"/>
        <w:tblLayout w:type="fixed"/>
        <w:tblCellMar>
          <w:left w:w="28" w:type="dxa"/>
          <w:right w:w="28" w:type="dxa"/>
        </w:tblCellMar>
        <w:tblLook w:val="04A0" w:firstRow="1" w:lastRow="0" w:firstColumn="1" w:lastColumn="0" w:noHBand="0" w:noVBand="1"/>
      </w:tblPr>
      <w:tblGrid>
        <w:gridCol w:w="1600"/>
        <w:gridCol w:w="820"/>
        <w:gridCol w:w="1240"/>
        <w:gridCol w:w="720"/>
        <w:gridCol w:w="760"/>
        <w:gridCol w:w="1200"/>
        <w:gridCol w:w="720"/>
        <w:gridCol w:w="780"/>
        <w:gridCol w:w="1200"/>
      </w:tblGrid>
      <w:tr w:rsidR="00FC0498" w:rsidRPr="00034E9B" w14:paraId="651FFFEE" w14:textId="77777777" w:rsidTr="0079565B">
        <w:trPr>
          <w:trHeight w:val="315"/>
        </w:trPr>
        <w:tc>
          <w:tcPr>
            <w:tcW w:w="1600" w:type="dxa"/>
            <w:tcBorders>
              <w:top w:val="single" w:sz="4" w:space="0" w:color="ADD6EA"/>
              <w:left w:val="nil"/>
              <w:right w:val="nil"/>
            </w:tcBorders>
            <w:shd w:val="clear" w:color="auto" w:fill="006991"/>
            <w:vAlign w:val="center"/>
            <w:hideMark/>
          </w:tcPr>
          <w:p w14:paraId="2B21F924" w14:textId="77777777" w:rsidR="00FC0498" w:rsidRPr="00034E9B" w:rsidRDefault="00FC0498" w:rsidP="00FF6CBF">
            <w:pPr>
              <w:pStyle w:val="CGCTableheader"/>
              <w:rPr>
                <w:lang w:val="en-AU" w:eastAsia="en-AU"/>
              </w:rPr>
            </w:pPr>
            <w:bookmarkStart w:id="196" w:name="RANGE!A4:I15"/>
            <w:r w:rsidRPr="00034E9B">
              <w:rPr>
                <w:lang w:val="en-AU" w:eastAsia="en-AU"/>
              </w:rPr>
              <w:t> </w:t>
            </w:r>
            <w:bookmarkEnd w:id="196"/>
          </w:p>
        </w:tc>
        <w:tc>
          <w:tcPr>
            <w:tcW w:w="2060" w:type="dxa"/>
            <w:gridSpan w:val="2"/>
            <w:tcBorders>
              <w:top w:val="single" w:sz="4" w:space="0" w:color="ADD6EA"/>
              <w:left w:val="nil"/>
              <w:right w:val="nil"/>
            </w:tcBorders>
            <w:shd w:val="clear" w:color="auto" w:fill="006991"/>
            <w:vAlign w:val="center"/>
            <w:hideMark/>
          </w:tcPr>
          <w:p w14:paraId="515FA468" w14:textId="77777777" w:rsidR="00FC0498" w:rsidRPr="00034E9B" w:rsidRDefault="00FC0498" w:rsidP="00FF6CBF">
            <w:pPr>
              <w:pStyle w:val="CGCTableheader"/>
              <w:jc w:val="center"/>
              <w:rPr>
                <w:lang w:val="en-AU" w:eastAsia="en-AU"/>
              </w:rPr>
            </w:pPr>
            <w:r w:rsidRPr="00034E9B">
              <w:rPr>
                <w:lang w:val="en-AU" w:eastAsia="en-AU"/>
              </w:rPr>
              <w:t>Relativities</w:t>
            </w:r>
          </w:p>
        </w:tc>
        <w:tc>
          <w:tcPr>
            <w:tcW w:w="720" w:type="dxa"/>
            <w:tcBorders>
              <w:top w:val="single" w:sz="4" w:space="0" w:color="ADD6EA"/>
              <w:left w:val="nil"/>
              <w:right w:val="nil"/>
            </w:tcBorders>
            <w:shd w:val="clear" w:color="auto" w:fill="006991"/>
            <w:vAlign w:val="center"/>
            <w:hideMark/>
          </w:tcPr>
          <w:p w14:paraId="5D330AD0" w14:textId="77777777" w:rsidR="00FC0498" w:rsidRPr="00034E9B" w:rsidRDefault="00FC0498" w:rsidP="00FF6CBF">
            <w:pPr>
              <w:pStyle w:val="CGCTableheader"/>
              <w:rPr>
                <w:lang w:val="en-AU" w:eastAsia="en-AU"/>
              </w:rPr>
            </w:pPr>
            <w:r w:rsidRPr="00034E9B">
              <w:rPr>
                <w:lang w:val="en-AU" w:eastAsia="en-AU"/>
              </w:rPr>
              <w:t> </w:t>
            </w:r>
          </w:p>
        </w:tc>
        <w:tc>
          <w:tcPr>
            <w:tcW w:w="1960" w:type="dxa"/>
            <w:gridSpan w:val="2"/>
            <w:tcBorders>
              <w:top w:val="single" w:sz="4" w:space="0" w:color="ADD6EA"/>
              <w:left w:val="nil"/>
              <w:right w:val="nil"/>
            </w:tcBorders>
            <w:shd w:val="clear" w:color="auto" w:fill="006991"/>
            <w:vAlign w:val="center"/>
            <w:hideMark/>
          </w:tcPr>
          <w:p w14:paraId="0A32B006" w14:textId="77777777" w:rsidR="00FC0498" w:rsidRPr="00034E9B" w:rsidRDefault="00FC0498" w:rsidP="00FF6CBF">
            <w:pPr>
              <w:pStyle w:val="CGCTableheader"/>
              <w:jc w:val="center"/>
              <w:rPr>
                <w:lang w:val="en-AU" w:eastAsia="en-AU"/>
              </w:rPr>
            </w:pPr>
            <w:r w:rsidRPr="00034E9B">
              <w:rPr>
                <w:lang w:val="en-AU" w:eastAsia="en-AU"/>
              </w:rPr>
              <w:t>Shares</w:t>
            </w:r>
          </w:p>
        </w:tc>
        <w:tc>
          <w:tcPr>
            <w:tcW w:w="720" w:type="dxa"/>
            <w:tcBorders>
              <w:top w:val="single" w:sz="4" w:space="0" w:color="ADD6EA"/>
              <w:left w:val="nil"/>
              <w:right w:val="nil"/>
            </w:tcBorders>
            <w:shd w:val="clear" w:color="auto" w:fill="006991"/>
            <w:vAlign w:val="center"/>
            <w:hideMark/>
          </w:tcPr>
          <w:p w14:paraId="55977D37" w14:textId="77777777" w:rsidR="00FC0498" w:rsidRPr="00034E9B" w:rsidRDefault="00FC0498" w:rsidP="00FF6CBF">
            <w:pPr>
              <w:pStyle w:val="CGCTableheader"/>
              <w:jc w:val="center"/>
              <w:rPr>
                <w:lang w:val="en-AU" w:eastAsia="en-AU"/>
              </w:rPr>
            </w:pPr>
          </w:p>
        </w:tc>
        <w:tc>
          <w:tcPr>
            <w:tcW w:w="1980" w:type="dxa"/>
            <w:gridSpan w:val="2"/>
            <w:tcBorders>
              <w:top w:val="single" w:sz="4" w:space="0" w:color="ADD6EA"/>
              <w:left w:val="nil"/>
              <w:right w:val="nil"/>
            </w:tcBorders>
            <w:shd w:val="clear" w:color="auto" w:fill="006991"/>
            <w:vAlign w:val="center"/>
            <w:hideMark/>
          </w:tcPr>
          <w:p w14:paraId="2FAB992C" w14:textId="77777777" w:rsidR="00FC0498" w:rsidRPr="00034E9B" w:rsidRDefault="00FC0498" w:rsidP="00FF6CBF">
            <w:pPr>
              <w:pStyle w:val="CGCTableheader"/>
              <w:jc w:val="center"/>
              <w:rPr>
                <w:lang w:val="en-AU" w:eastAsia="en-AU"/>
              </w:rPr>
            </w:pPr>
            <w:r w:rsidRPr="00034E9B">
              <w:rPr>
                <w:lang w:val="en-AU" w:eastAsia="en-AU"/>
              </w:rPr>
              <w:t>Distribution</w:t>
            </w:r>
          </w:p>
        </w:tc>
      </w:tr>
      <w:tr w:rsidR="00FC0498" w:rsidRPr="00034E9B" w14:paraId="091463D1" w14:textId="77777777" w:rsidTr="0079565B">
        <w:trPr>
          <w:trHeight w:val="315"/>
        </w:trPr>
        <w:tc>
          <w:tcPr>
            <w:tcW w:w="1600" w:type="dxa"/>
            <w:tcBorders>
              <w:left w:val="nil"/>
              <w:bottom w:val="single" w:sz="4" w:space="0" w:color="ADD6EA"/>
              <w:right w:val="nil"/>
            </w:tcBorders>
            <w:shd w:val="clear" w:color="auto" w:fill="006991"/>
            <w:vAlign w:val="center"/>
            <w:hideMark/>
          </w:tcPr>
          <w:p w14:paraId="17AA2A3A" w14:textId="77777777" w:rsidR="00FC0498" w:rsidRPr="00034E9B" w:rsidRDefault="00FC0498" w:rsidP="00FF6CBF">
            <w:pPr>
              <w:pStyle w:val="CGCTableheader"/>
              <w:rPr>
                <w:lang w:val="en-AU" w:eastAsia="en-AU"/>
              </w:rPr>
            </w:pPr>
            <w:r w:rsidRPr="00034E9B">
              <w:rPr>
                <w:lang w:val="en-AU" w:eastAsia="en-AU"/>
              </w:rPr>
              <w:t> </w:t>
            </w:r>
          </w:p>
        </w:tc>
        <w:tc>
          <w:tcPr>
            <w:tcW w:w="820" w:type="dxa"/>
            <w:tcBorders>
              <w:left w:val="nil"/>
              <w:bottom w:val="single" w:sz="4" w:space="0" w:color="ADD6EA"/>
              <w:right w:val="nil"/>
            </w:tcBorders>
            <w:shd w:val="clear" w:color="auto" w:fill="006991"/>
            <w:vAlign w:val="center"/>
            <w:hideMark/>
          </w:tcPr>
          <w:p w14:paraId="7622A199" w14:textId="77777777" w:rsidR="00FC0498" w:rsidRPr="00034E9B" w:rsidRDefault="00FC0498" w:rsidP="00FF6CBF">
            <w:pPr>
              <w:pStyle w:val="CGCTableheader"/>
              <w:jc w:val="right"/>
              <w:rPr>
                <w:lang w:val="en-AU" w:eastAsia="en-AU"/>
              </w:rPr>
            </w:pPr>
            <w:r w:rsidRPr="00034E9B">
              <w:rPr>
                <w:lang w:val="en-AU" w:eastAsia="en-AU"/>
              </w:rPr>
              <w:t>2021</w:t>
            </w:r>
            <w:r w:rsidRPr="00034E9B">
              <w:rPr>
                <w:lang w:val="en-AU" w:eastAsia="en-AU"/>
              </w:rPr>
              <w:noBreakHyphen/>
              <w:t>22</w:t>
            </w:r>
          </w:p>
        </w:tc>
        <w:tc>
          <w:tcPr>
            <w:tcW w:w="1240" w:type="dxa"/>
            <w:tcBorders>
              <w:left w:val="nil"/>
              <w:bottom w:val="single" w:sz="4" w:space="0" w:color="ADD6EA"/>
              <w:right w:val="nil"/>
            </w:tcBorders>
            <w:shd w:val="clear" w:color="auto" w:fill="006991"/>
            <w:vAlign w:val="center"/>
            <w:hideMark/>
          </w:tcPr>
          <w:p w14:paraId="299E6312" w14:textId="77777777" w:rsidR="00FC0498" w:rsidRPr="00034E9B" w:rsidRDefault="00FC0498" w:rsidP="00FF6CBF">
            <w:pPr>
              <w:pStyle w:val="CGCTableheader"/>
              <w:jc w:val="right"/>
              <w:rPr>
                <w:lang w:val="en-AU" w:eastAsia="en-AU"/>
              </w:rPr>
            </w:pPr>
            <w:r w:rsidRPr="00034E9B">
              <w:rPr>
                <w:lang w:val="en-AU" w:eastAsia="en-AU"/>
              </w:rPr>
              <w:t>2022</w:t>
            </w:r>
            <w:r w:rsidRPr="00034E9B">
              <w:rPr>
                <w:lang w:val="en-AU" w:eastAsia="en-AU"/>
              </w:rPr>
              <w:noBreakHyphen/>
              <w:t>23</w:t>
            </w:r>
          </w:p>
        </w:tc>
        <w:tc>
          <w:tcPr>
            <w:tcW w:w="720" w:type="dxa"/>
            <w:tcBorders>
              <w:left w:val="nil"/>
              <w:bottom w:val="single" w:sz="4" w:space="0" w:color="ADD6EA"/>
              <w:right w:val="nil"/>
            </w:tcBorders>
            <w:shd w:val="clear" w:color="auto" w:fill="006991"/>
            <w:vAlign w:val="center"/>
            <w:hideMark/>
          </w:tcPr>
          <w:p w14:paraId="3C4B6003" w14:textId="77777777" w:rsidR="00FC0498" w:rsidRPr="00034E9B" w:rsidRDefault="00FC0498" w:rsidP="00FF6CBF">
            <w:pPr>
              <w:pStyle w:val="CGCTableheader"/>
              <w:jc w:val="right"/>
              <w:rPr>
                <w:lang w:val="en-AU" w:eastAsia="en-AU"/>
              </w:rPr>
            </w:pPr>
            <w:r w:rsidRPr="00034E9B">
              <w:rPr>
                <w:lang w:val="en-AU" w:eastAsia="en-AU"/>
              </w:rPr>
              <w:t> </w:t>
            </w:r>
          </w:p>
        </w:tc>
        <w:tc>
          <w:tcPr>
            <w:tcW w:w="760" w:type="dxa"/>
            <w:tcBorders>
              <w:left w:val="nil"/>
              <w:bottom w:val="single" w:sz="4" w:space="0" w:color="ADD6EA"/>
              <w:right w:val="nil"/>
            </w:tcBorders>
            <w:shd w:val="clear" w:color="auto" w:fill="006991"/>
            <w:vAlign w:val="center"/>
            <w:hideMark/>
          </w:tcPr>
          <w:p w14:paraId="32AF2EF4" w14:textId="77777777" w:rsidR="00FC0498" w:rsidRPr="00034E9B" w:rsidRDefault="00FC0498" w:rsidP="00FF6CBF">
            <w:pPr>
              <w:pStyle w:val="CGCTableheader"/>
              <w:jc w:val="right"/>
              <w:rPr>
                <w:lang w:val="en-AU" w:eastAsia="en-AU"/>
              </w:rPr>
            </w:pPr>
            <w:r w:rsidRPr="00034E9B">
              <w:rPr>
                <w:lang w:val="en-AU" w:eastAsia="en-AU"/>
              </w:rPr>
              <w:t>2021-22</w:t>
            </w:r>
          </w:p>
        </w:tc>
        <w:tc>
          <w:tcPr>
            <w:tcW w:w="1200" w:type="dxa"/>
            <w:tcBorders>
              <w:left w:val="nil"/>
              <w:bottom w:val="single" w:sz="4" w:space="0" w:color="ADD6EA"/>
              <w:right w:val="nil"/>
            </w:tcBorders>
            <w:shd w:val="clear" w:color="auto" w:fill="006991"/>
            <w:vAlign w:val="center"/>
            <w:hideMark/>
          </w:tcPr>
          <w:p w14:paraId="05A914A5" w14:textId="77777777" w:rsidR="00FC0498" w:rsidRPr="00034E9B" w:rsidRDefault="00FC0498" w:rsidP="00FF6CBF">
            <w:pPr>
              <w:pStyle w:val="CGCTableheader"/>
              <w:jc w:val="right"/>
              <w:rPr>
                <w:lang w:val="en-AU" w:eastAsia="en-AU"/>
              </w:rPr>
            </w:pPr>
            <w:r w:rsidRPr="00034E9B">
              <w:rPr>
                <w:lang w:val="en-AU" w:eastAsia="en-AU"/>
              </w:rPr>
              <w:t>2022-23</w:t>
            </w:r>
          </w:p>
        </w:tc>
        <w:tc>
          <w:tcPr>
            <w:tcW w:w="720" w:type="dxa"/>
            <w:tcBorders>
              <w:left w:val="nil"/>
              <w:bottom w:val="single" w:sz="4" w:space="0" w:color="ADD6EA"/>
              <w:right w:val="nil"/>
            </w:tcBorders>
            <w:shd w:val="clear" w:color="auto" w:fill="006991"/>
            <w:vAlign w:val="center"/>
            <w:hideMark/>
          </w:tcPr>
          <w:p w14:paraId="4289B4CA" w14:textId="77777777" w:rsidR="00FC0498" w:rsidRPr="00034E9B" w:rsidRDefault="00FC0498" w:rsidP="00FF6CBF">
            <w:pPr>
              <w:pStyle w:val="CGCTableheader"/>
              <w:rPr>
                <w:lang w:val="en-AU" w:eastAsia="en-AU"/>
              </w:rPr>
            </w:pPr>
            <w:r w:rsidRPr="00034E9B">
              <w:rPr>
                <w:lang w:val="en-AU" w:eastAsia="en-AU"/>
              </w:rPr>
              <w:t> </w:t>
            </w:r>
          </w:p>
        </w:tc>
        <w:tc>
          <w:tcPr>
            <w:tcW w:w="780" w:type="dxa"/>
            <w:tcBorders>
              <w:left w:val="nil"/>
              <w:bottom w:val="single" w:sz="4" w:space="0" w:color="ADD6EA"/>
              <w:right w:val="nil"/>
            </w:tcBorders>
            <w:shd w:val="clear" w:color="auto" w:fill="006991"/>
            <w:vAlign w:val="center"/>
            <w:hideMark/>
          </w:tcPr>
          <w:p w14:paraId="37E981B9" w14:textId="77777777" w:rsidR="00FC0498" w:rsidRPr="00034E9B" w:rsidRDefault="00FC0498" w:rsidP="00FF6CBF">
            <w:pPr>
              <w:pStyle w:val="CGCTableheader"/>
              <w:jc w:val="right"/>
              <w:rPr>
                <w:lang w:val="en-AU" w:eastAsia="en-AU"/>
              </w:rPr>
            </w:pPr>
            <w:r w:rsidRPr="00034E9B">
              <w:rPr>
                <w:lang w:val="en-AU" w:eastAsia="en-AU"/>
              </w:rPr>
              <w:t>2021</w:t>
            </w:r>
            <w:r w:rsidRPr="00034E9B">
              <w:rPr>
                <w:lang w:val="en-AU" w:eastAsia="en-AU"/>
              </w:rPr>
              <w:noBreakHyphen/>
              <w:t>22</w:t>
            </w:r>
          </w:p>
        </w:tc>
        <w:tc>
          <w:tcPr>
            <w:tcW w:w="1200" w:type="dxa"/>
            <w:tcBorders>
              <w:left w:val="nil"/>
              <w:bottom w:val="single" w:sz="4" w:space="0" w:color="ADD6EA"/>
              <w:right w:val="nil"/>
            </w:tcBorders>
            <w:shd w:val="clear" w:color="auto" w:fill="006991"/>
            <w:vAlign w:val="center"/>
            <w:hideMark/>
          </w:tcPr>
          <w:p w14:paraId="142275F8" w14:textId="77777777" w:rsidR="00FC0498" w:rsidRPr="00034E9B" w:rsidRDefault="00FC0498" w:rsidP="00FF6CBF">
            <w:pPr>
              <w:pStyle w:val="CGCTableheader"/>
              <w:jc w:val="right"/>
              <w:rPr>
                <w:lang w:val="en-AU" w:eastAsia="en-AU"/>
              </w:rPr>
            </w:pPr>
            <w:r w:rsidRPr="00034E9B">
              <w:rPr>
                <w:lang w:val="en-AU" w:eastAsia="en-AU"/>
              </w:rPr>
              <w:t>2022</w:t>
            </w:r>
            <w:r w:rsidRPr="00034E9B">
              <w:rPr>
                <w:lang w:val="en-AU" w:eastAsia="en-AU"/>
              </w:rPr>
              <w:noBreakHyphen/>
              <w:t>23</w:t>
            </w:r>
          </w:p>
        </w:tc>
      </w:tr>
      <w:tr w:rsidR="00FC0498" w:rsidRPr="00034E9B" w14:paraId="738CAE12" w14:textId="77777777" w:rsidTr="000A5CF4">
        <w:trPr>
          <w:trHeight w:val="259"/>
        </w:trPr>
        <w:tc>
          <w:tcPr>
            <w:tcW w:w="1600" w:type="dxa"/>
            <w:tcBorders>
              <w:top w:val="single" w:sz="4" w:space="0" w:color="ADD6EA"/>
              <w:left w:val="nil"/>
              <w:bottom w:val="single" w:sz="4" w:space="0" w:color="ADD6EA"/>
              <w:right w:val="nil"/>
            </w:tcBorders>
            <w:shd w:val="clear" w:color="auto" w:fill="B6D5E4"/>
            <w:vAlign w:val="center"/>
            <w:hideMark/>
          </w:tcPr>
          <w:p w14:paraId="6E460FA8" w14:textId="77777777" w:rsidR="00FC0498" w:rsidRPr="00034E9B" w:rsidRDefault="00FC0498" w:rsidP="00FF6CBF">
            <w:pPr>
              <w:pStyle w:val="CGCTablesubhead1"/>
              <w:rPr>
                <w:lang w:val="en-AU" w:eastAsia="en-AU"/>
              </w:rPr>
            </w:pPr>
          </w:p>
        </w:tc>
        <w:tc>
          <w:tcPr>
            <w:tcW w:w="820" w:type="dxa"/>
            <w:tcBorders>
              <w:top w:val="single" w:sz="4" w:space="0" w:color="ADD6EA"/>
              <w:left w:val="nil"/>
              <w:bottom w:val="single" w:sz="4" w:space="0" w:color="ADD6EA"/>
              <w:right w:val="nil"/>
            </w:tcBorders>
            <w:shd w:val="clear" w:color="auto" w:fill="B6D5E4"/>
            <w:vAlign w:val="center"/>
            <w:hideMark/>
          </w:tcPr>
          <w:p w14:paraId="10D38BDB" w14:textId="77777777" w:rsidR="00FC0498" w:rsidRPr="00034E9B" w:rsidRDefault="00FC0498" w:rsidP="00FF6CBF">
            <w:pPr>
              <w:pStyle w:val="CGCTablesubhead1"/>
              <w:jc w:val="right"/>
              <w:rPr>
                <w:lang w:val="en-AU" w:eastAsia="en-AU"/>
              </w:rPr>
            </w:pPr>
            <w:r w:rsidRPr="00034E9B">
              <w:rPr>
                <w:lang w:val="en-AU" w:eastAsia="en-AU"/>
              </w:rPr>
              <w:t>Rel</w:t>
            </w:r>
          </w:p>
        </w:tc>
        <w:tc>
          <w:tcPr>
            <w:tcW w:w="1240" w:type="dxa"/>
            <w:tcBorders>
              <w:top w:val="single" w:sz="4" w:space="0" w:color="ADD6EA"/>
              <w:left w:val="nil"/>
              <w:bottom w:val="single" w:sz="4" w:space="0" w:color="ADD6EA"/>
              <w:right w:val="nil"/>
            </w:tcBorders>
            <w:shd w:val="clear" w:color="auto" w:fill="B6D5E4"/>
            <w:vAlign w:val="center"/>
            <w:hideMark/>
          </w:tcPr>
          <w:p w14:paraId="1EA912B9" w14:textId="77777777" w:rsidR="00FC0498" w:rsidRPr="00034E9B" w:rsidRDefault="00FC0498" w:rsidP="00FF6CBF">
            <w:pPr>
              <w:pStyle w:val="CGCTablesubhead1"/>
              <w:jc w:val="right"/>
              <w:rPr>
                <w:lang w:val="en-AU" w:eastAsia="en-AU"/>
              </w:rPr>
            </w:pPr>
            <w:r w:rsidRPr="00034E9B">
              <w:rPr>
                <w:lang w:val="en-AU" w:eastAsia="en-AU"/>
              </w:rPr>
              <w:t>Rel</w:t>
            </w:r>
          </w:p>
        </w:tc>
        <w:tc>
          <w:tcPr>
            <w:tcW w:w="720" w:type="dxa"/>
            <w:tcBorders>
              <w:top w:val="single" w:sz="4" w:space="0" w:color="ADD6EA"/>
              <w:left w:val="nil"/>
              <w:bottom w:val="single" w:sz="4" w:space="0" w:color="ADD6EA"/>
              <w:right w:val="nil"/>
            </w:tcBorders>
            <w:shd w:val="clear" w:color="auto" w:fill="B6D5E4"/>
            <w:vAlign w:val="center"/>
            <w:hideMark/>
          </w:tcPr>
          <w:p w14:paraId="57400598" w14:textId="77777777" w:rsidR="00FC0498" w:rsidRPr="00034E9B" w:rsidRDefault="00FC0498" w:rsidP="00FF6CBF">
            <w:pPr>
              <w:pStyle w:val="CGCTablesubhead1"/>
              <w:jc w:val="right"/>
              <w:rPr>
                <w:lang w:val="en-AU" w:eastAsia="en-AU"/>
              </w:rPr>
            </w:pPr>
          </w:p>
        </w:tc>
        <w:tc>
          <w:tcPr>
            <w:tcW w:w="760" w:type="dxa"/>
            <w:tcBorders>
              <w:top w:val="single" w:sz="4" w:space="0" w:color="ADD6EA"/>
              <w:left w:val="nil"/>
              <w:bottom w:val="single" w:sz="4" w:space="0" w:color="ADD6EA"/>
              <w:right w:val="nil"/>
            </w:tcBorders>
            <w:shd w:val="clear" w:color="auto" w:fill="B6D5E4"/>
            <w:vAlign w:val="center"/>
            <w:hideMark/>
          </w:tcPr>
          <w:p w14:paraId="4E236F82" w14:textId="77777777" w:rsidR="00FC0498" w:rsidRPr="00034E9B" w:rsidRDefault="00FC0498" w:rsidP="00FF6CBF">
            <w:pPr>
              <w:pStyle w:val="CGCTablesubhead1"/>
              <w:jc w:val="right"/>
              <w:rPr>
                <w:lang w:val="en-AU" w:eastAsia="en-AU"/>
              </w:rPr>
            </w:pPr>
            <w:r w:rsidRPr="00034E9B">
              <w:rPr>
                <w:lang w:val="en-AU" w:eastAsia="en-AU"/>
              </w:rPr>
              <w:t>%</w:t>
            </w:r>
          </w:p>
        </w:tc>
        <w:tc>
          <w:tcPr>
            <w:tcW w:w="1200" w:type="dxa"/>
            <w:tcBorders>
              <w:top w:val="single" w:sz="4" w:space="0" w:color="ADD6EA"/>
              <w:left w:val="nil"/>
              <w:bottom w:val="single" w:sz="4" w:space="0" w:color="ADD6EA"/>
              <w:right w:val="nil"/>
            </w:tcBorders>
            <w:shd w:val="clear" w:color="auto" w:fill="B6D5E4"/>
            <w:vAlign w:val="center"/>
            <w:hideMark/>
          </w:tcPr>
          <w:p w14:paraId="4079BF85" w14:textId="77777777" w:rsidR="00FC0498" w:rsidRPr="00034E9B" w:rsidRDefault="00FC0498" w:rsidP="00FF6CBF">
            <w:pPr>
              <w:pStyle w:val="CGCTablesubhead1"/>
              <w:jc w:val="right"/>
              <w:rPr>
                <w:lang w:val="en-AU" w:eastAsia="en-AU"/>
              </w:rPr>
            </w:pPr>
            <w:r w:rsidRPr="00034E9B">
              <w:rPr>
                <w:lang w:val="en-AU" w:eastAsia="en-AU"/>
              </w:rPr>
              <w:t>%</w:t>
            </w:r>
          </w:p>
        </w:tc>
        <w:tc>
          <w:tcPr>
            <w:tcW w:w="720" w:type="dxa"/>
            <w:tcBorders>
              <w:top w:val="single" w:sz="4" w:space="0" w:color="ADD6EA"/>
              <w:left w:val="nil"/>
              <w:bottom w:val="single" w:sz="4" w:space="0" w:color="ADD6EA"/>
              <w:right w:val="nil"/>
            </w:tcBorders>
            <w:shd w:val="clear" w:color="auto" w:fill="B6D5E4"/>
            <w:vAlign w:val="center"/>
            <w:hideMark/>
          </w:tcPr>
          <w:p w14:paraId="19B51D5F" w14:textId="77777777" w:rsidR="00FC0498" w:rsidRPr="00034E9B" w:rsidRDefault="00FC0498" w:rsidP="00FF6CBF">
            <w:pPr>
              <w:pStyle w:val="CGCTablesubhead1"/>
              <w:rPr>
                <w:lang w:val="en-AU" w:eastAsia="en-AU"/>
              </w:rPr>
            </w:pPr>
          </w:p>
        </w:tc>
        <w:tc>
          <w:tcPr>
            <w:tcW w:w="780" w:type="dxa"/>
            <w:tcBorders>
              <w:top w:val="single" w:sz="4" w:space="0" w:color="ADD6EA"/>
              <w:left w:val="nil"/>
              <w:bottom w:val="single" w:sz="4" w:space="0" w:color="ADD6EA"/>
              <w:right w:val="nil"/>
            </w:tcBorders>
            <w:shd w:val="clear" w:color="auto" w:fill="B6D5E4"/>
            <w:vAlign w:val="center"/>
            <w:hideMark/>
          </w:tcPr>
          <w:p w14:paraId="54348700" w14:textId="77777777" w:rsidR="00FC0498" w:rsidRPr="00034E9B" w:rsidRDefault="00FC0498" w:rsidP="00FF6CBF">
            <w:pPr>
              <w:pStyle w:val="CGCTablesubhead1"/>
              <w:jc w:val="right"/>
              <w:rPr>
                <w:lang w:val="en-AU" w:eastAsia="en-AU"/>
              </w:rPr>
            </w:pPr>
            <w:r w:rsidRPr="00034E9B">
              <w:rPr>
                <w:lang w:val="en-AU" w:eastAsia="en-AU"/>
              </w:rPr>
              <w:t>$m</w:t>
            </w:r>
          </w:p>
        </w:tc>
        <w:tc>
          <w:tcPr>
            <w:tcW w:w="1200" w:type="dxa"/>
            <w:tcBorders>
              <w:top w:val="single" w:sz="4" w:space="0" w:color="ADD6EA"/>
              <w:left w:val="nil"/>
              <w:bottom w:val="single" w:sz="4" w:space="0" w:color="ADD6EA"/>
              <w:right w:val="nil"/>
            </w:tcBorders>
            <w:shd w:val="clear" w:color="auto" w:fill="B6D5E4"/>
            <w:vAlign w:val="center"/>
            <w:hideMark/>
          </w:tcPr>
          <w:p w14:paraId="7E2BDB65" w14:textId="77777777" w:rsidR="00FC0498" w:rsidRPr="00034E9B" w:rsidRDefault="00FC0498" w:rsidP="00FF6CBF">
            <w:pPr>
              <w:pStyle w:val="CGCTablesubhead1"/>
              <w:jc w:val="right"/>
              <w:rPr>
                <w:lang w:val="en-AU" w:eastAsia="en-AU"/>
              </w:rPr>
            </w:pPr>
            <w:r w:rsidRPr="00034E9B">
              <w:rPr>
                <w:lang w:val="en-AU" w:eastAsia="en-AU"/>
              </w:rPr>
              <w:t>$m</w:t>
            </w:r>
          </w:p>
        </w:tc>
      </w:tr>
      <w:tr w:rsidR="00FC0498" w:rsidRPr="00034E9B" w14:paraId="355E782C" w14:textId="77777777" w:rsidTr="0079565B">
        <w:trPr>
          <w:trHeight w:val="315"/>
        </w:trPr>
        <w:tc>
          <w:tcPr>
            <w:tcW w:w="1600" w:type="dxa"/>
            <w:tcBorders>
              <w:top w:val="single" w:sz="4" w:space="0" w:color="ADD6EA"/>
              <w:left w:val="nil"/>
              <w:bottom w:val="single" w:sz="4" w:space="0" w:color="ADD6EA"/>
              <w:right w:val="nil"/>
            </w:tcBorders>
            <w:shd w:val="clear" w:color="auto" w:fill="auto"/>
            <w:vAlign w:val="bottom"/>
            <w:hideMark/>
          </w:tcPr>
          <w:p w14:paraId="76FED675" w14:textId="77777777" w:rsidR="00FC0498" w:rsidRPr="00034E9B" w:rsidRDefault="00FC0498" w:rsidP="00FF6CBF">
            <w:pPr>
              <w:pStyle w:val="CGCTablerow"/>
              <w:rPr>
                <w:lang w:eastAsia="en-AU"/>
              </w:rPr>
            </w:pPr>
            <w:r w:rsidRPr="00034E9B">
              <w:rPr>
                <w:lang w:eastAsia="en-AU"/>
              </w:rPr>
              <w:t>NSW</w:t>
            </w:r>
          </w:p>
        </w:tc>
        <w:tc>
          <w:tcPr>
            <w:tcW w:w="820" w:type="dxa"/>
            <w:tcBorders>
              <w:top w:val="single" w:sz="4" w:space="0" w:color="ADD6EA"/>
              <w:left w:val="nil"/>
              <w:bottom w:val="single" w:sz="4" w:space="0" w:color="ADD6EA"/>
              <w:right w:val="nil"/>
            </w:tcBorders>
            <w:shd w:val="clear" w:color="auto" w:fill="auto"/>
            <w:vAlign w:val="bottom"/>
            <w:hideMark/>
          </w:tcPr>
          <w:p w14:paraId="29763254" w14:textId="77777777" w:rsidR="00FC0498" w:rsidRPr="00034E9B" w:rsidRDefault="00FC0498" w:rsidP="00FF6CBF">
            <w:pPr>
              <w:pStyle w:val="CGCTablerow"/>
              <w:jc w:val="right"/>
              <w:rPr>
                <w:lang w:eastAsia="en-AU"/>
              </w:rPr>
            </w:pPr>
            <w:r w:rsidRPr="00034E9B">
              <w:rPr>
                <w:lang w:eastAsia="en-AU"/>
              </w:rPr>
              <w:t>0.81821</w:t>
            </w:r>
          </w:p>
        </w:tc>
        <w:tc>
          <w:tcPr>
            <w:tcW w:w="1240" w:type="dxa"/>
            <w:tcBorders>
              <w:top w:val="single" w:sz="4" w:space="0" w:color="ADD6EA"/>
              <w:left w:val="nil"/>
              <w:bottom w:val="single" w:sz="4" w:space="0" w:color="ADD6EA"/>
              <w:right w:val="nil"/>
            </w:tcBorders>
            <w:shd w:val="clear" w:color="auto" w:fill="auto"/>
            <w:vAlign w:val="bottom"/>
            <w:hideMark/>
          </w:tcPr>
          <w:p w14:paraId="367582AE" w14:textId="77777777" w:rsidR="00FC0498" w:rsidRPr="00034E9B" w:rsidRDefault="00FC0498" w:rsidP="00FF6CBF">
            <w:pPr>
              <w:pStyle w:val="CGCTablerow"/>
              <w:jc w:val="right"/>
              <w:rPr>
                <w:lang w:eastAsia="en-AU"/>
              </w:rPr>
            </w:pPr>
            <w:r w:rsidRPr="00034E9B">
              <w:rPr>
                <w:lang w:eastAsia="en-AU"/>
              </w:rPr>
              <w:t>0.80841</w:t>
            </w:r>
          </w:p>
        </w:tc>
        <w:tc>
          <w:tcPr>
            <w:tcW w:w="720" w:type="dxa"/>
            <w:tcBorders>
              <w:top w:val="single" w:sz="4" w:space="0" w:color="ADD6EA"/>
              <w:left w:val="nil"/>
              <w:bottom w:val="single" w:sz="4" w:space="0" w:color="ADD6EA"/>
              <w:right w:val="nil"/>
            </w:tcBorders>
            <w:shd w:val="clear" w:color="auto" w:fill="auto"/>
            <w:vAlign w:val="bottom"/>
            <w:hideMark/>
          </w:tcPr>
          <w:p w14:paraId="55230F99" w14:textId="77777777" w:rsidR="00FC0498" w:rsidRPr="00034E9B" w:rsidRDefault="00FC0498" w:rsidP="00FF6CBF">
            <w:pPr>
              <w:pStyle w:val="CGCTablerow"/>
              <w:jc w:val="right"/>
              <w:rPr>
                <w:lang w:eastAsia="en-AU"/>
              </w:rPr>
            </w:pPr>
          </w:p>
        </w:tc>
        <w:tc>
          <w:tcPr>
            <w:tcW w:w="760" w:type="dxa"/>
            <w:tcBorders>
              <w:top w:val="single" w:sz="4" w:space="0" w:color="ADD6EA"/>
              <w:left w:val="nil"/>
              <w:bottom w:val="single" w:sz="4" w:space="0" w:color="ADD6EA"/>
              <w:right w:val="nil"/>
            </w:tcBorders>
            <w:shd w:val="clear" w:color="auto" w:fill="auto"/>
            <w:vAlign w:val="bottom"/>
            <w:hideMark/>
          </w:tcPr>
          <w:p w14:paraId="3D1A37E0" w14:textId="77777777" w:rsidR="00FC0498" w:rsidRPr="00034E9B" w:rsidRDefault="00FC0498" w:rsidP="00FF6CBF">
            <w:pPr>
              <w:pStyle w:val="CGCTablerow"/>
              <w:jc w:val="right"/>
              <w:rPr>
                <w:lang w:eastAsia="en-AU"/>
              </w:rPr>
            </w:pPr>
            <w:r w:rsidRPr="00034E9B">
              <w:rPr>
                <w:lang w:eastAsia="en-AU"/>
              </w:rPr>
              <w:t>27.2</w:t>
            </w:r>
          </w:p>
        </w:tc>
        <w:tc>
          <w:tcPr>
            <w:tcW w:w="1200" w:type="dxa"/>
            <w:tcBorders>
              <w:top w:val="single" w:sz="4" w:space="0" w:color="ADD6EA"/>
              <w:left w:val="nil"/>
              <w:bottom w:val="single" w:sz="4" w:space="0" w:color="ADD6EA"/>
              <w:right w:val="nil"/>
            </w:tcBorders>
            <w:shd w:val="clear" w:color="auto" w:fill="auto"/>
            <w:vAlign w:val="bottom"/>
            <w:hideMark/>
          </w:tcPr>
          <w:p w14:paraId="31DE574E" w14:textId="77777777" w:rsidR="00FC0498" w:rsidRPr="00034E9B" w:rsidRDefault="00FC0498" w:rsidP="00FF6CBF">
            <w:pPr>
              <w:pStyle w:val="CGCTablerow"/>
              <w:jc w:val="right"/>
              <w:rPr>
                <w:lang w:eastAsia="en-AU"/>
              </w:rPr>
            </w:pPr>
            <w:r w:rsidRPr="00034E9B">
              <w:rPr>
                <w:lang w:eastAsia="en-AU"/>
              </w:rPr>
              <w:t>27.3</w:t>
            </w:r>
          </w:p>
        </w:tc>
        <w:tc>
          <w:tcPr>
            <w:tcW w:w="720" w:type="dxa"/>
            <w:tcBorders>
              <w:top w:val="single" w:sz="4" w:space="0" w:color="ADD6EA"/>
              <w:left w:val="nil"/>
              <w:bottom w:val="single" w:sz="4" w:space="0" w:color="ADD6EA"/>
              <w:right w:val="nil"/>
            </w:tcBorders>
            <w:shd w:val="clear" w:color="auto" w:fill="auto"/>
            <w:vAlign w:val="bottom"/>
            <w:hideMark/>
          </w:tcPr>
          <w:p w14:paraId="39C81764" w14:textId="77777777" w:rsidR="00FC0498" w:rsidRPr="00034E9B" w:rsidRDefault="00FC0498" w:rsidP="00FF6CBF">
            <w:pPr>
              <w:pStyle w:val="CGCTablerow"/>
              <w:jc w:val="right"/>
              <w:rPr>
                <w:lang w:eastAsia="en-AU"/>
              </w:rPr>
            </w:pPr>
          </w:p>
        </w:tc>
        <w:tc>
          <w:tcPr>
            <w:tcW w:w="780" w:type="dxa"/>
            <w:tcBorders>
              <w:top w:val="single" w:sz="4" w:space="0" w:color="ADD6EA"/>
              <w:left w:val="nil"/>
              <w:bottom w:val="single" w:sz="4" w:space="0" w:color="ADD6EA"/>
              <w:right w:val="nil"/>
            </w:tcBorders>
            <w:shd w:val="clear" w:color="auto" w:fill="auto"/>
            <w:vAlign w:val="bottom"/>
            <w:hideMark/>
          </w:tcPr>
          <w:p w14:paraId="4C3618D1" w14:textId="77777777" w:rsidR="00FC0498" w:rsidRPr="00034E9B" w:rsidRDefault="00FC0498" w:rsidP="00FF6CBF">
            <w:pPr>
              <w:pStyle w:val="CGCTablerow"/>
              <w:jc w:val="right"/>
              <w:rPr>
                <w:lang w:eastAsia="en-AU"/>
              </w:rPr>
            </w:pPr>
            <w:r w:rsidRPr="00034E9B">
              <w:rPr>
                <w:lang w:eastAsia="en-AU"/>
              </w:rPr>
              <w:t xml:space="preserve"> 19,594</w:t>
            </w:r>
          </w:p>
        </w:tc>
        <w:tc>
          <w:tcPr>
            <w:tcW w:w="1200" w:type="dxa"/>
            <w:tcBorders>
              <w:top w:val="single" w:sz="4" w:space="0" w:color="ADD6EA"/>
              <w:left w:val="nil"/>
              <w:bottom w:val="single" w:sz="4" w:space="0" w:color="ADD6EA"/>
              <w:right w:val="nil"/>
            </w:tcBorders>
            <w:shd w:val="clear" w:color="auto" w:fill="auto"/>
            <w:vAlign w:val="bottom"/>
            <w:hideMark/>
          </w:tcPr>
          <w:p w14:paraId="5262DA53" w14:textId="77777777" w:rsidR="00FC0498" w:rsidRPr="00034E9B" w:rsidRDefault="00FC0498" w:rsidP="00FF6CBF">
            <w:pPr>
              <w:pStyle w:val="CGCTablerow"/>
              <w:jc w:val="right"/>
              <w:rPr>
                <w:lang w:eastAsia="en-AU"/>
              </w:rPr>
            </w:pPr>
            <w:r w:rsidRPr="00034E9B">
              <w:rPr>
                <w:lang w:eastAsia="en-AU"/>
              </w:rPr>
              <w:t xml:space="preserve"> 20,384</w:t>
            </w:r>
          </w:p>
        </w:tc>
      </w:tr>
      <w:tr w:rsidR="00FC0498" w:rsidRPr="00034E9B" w14:paraId="34D58E21" w14:textId="77777777" w:rsidTr="0079565B">
        <w:trPr>
          <w:trHeight w:val="315"/>
        </w:trPr>
        <w:tc>
          <w:tcPr>
            <w:tcW w:w="1600" w:type="dxa"/>
            <w:tcBorders>
              <w:top w:val="single" w:sz="4" w:space="0" w:color="ADD6EA"/>
              <w:left w:val="nil"/>
              <w:bottom w:val="single" w:sz="4" w:space="0" w:color="ADD6EA"/>
              <w:right w:val="nil"/>
            </w:tcBorders>
            <w:shd w:val="clear" w:color="auto" w:fill="auto"/>
            <w:vAlign w:val="bottom"/>
            <w:hideMark/>
          </w:tcPr>
          <w:p w14:paraId="0434F78B" w14:textId="77777777" w:rsidR="00FC0498" w:rsidRPr="00034E9B" w:rsidRDefault="00FC0498" w:rsidP="00FF6CBF">
            <w:pPr>
              <w:pStyle w:val="CGCTablerow"/>
              <w:rPr>
                <w:lang w:eastAsia="en-AU"/>
              </w:rPr>
            </w:pPr>
            <w:r w:rsidRPr="00034E9B">
              <w:rPr>
                <w:lang w:eastAsia="en-AU"/>
              </w:rPr>
              <w:t>Vic</w:t>
            </w:r>
          </w:p>
        </w:tc>
        <w:tc>
          <w:tcPr>
            <w:tcW w:w="820" w:type="dxa"/>
            <w:tcBorders>
              <w:top w:val="single" w:sz="4" w:space="0" w:color="ADD6EA"/>
              <w:left w:val="nil"/>
              <w:bottom w:val="single" w:sz="4" w:space="0" w:color="ADD6EA"/>
              <w:right w:val="nil"/>
            </w:tcBorders>
            <w:shd w:val="clear" w:color="auto" w:fill="auto"/>
            <w:vAlign w:val="bottom"/>
            <w:hideMark/>
          </w:tcPr>
          <w:p w14:paraId="7F0954E0" w14:textId="77777777" w:rsidR="00FC0498" w:rsidRPr="00034E9B" w:rsidRDefault="00FC0498" w:rsidP="00FF6CBF">
            <w:pPr>
              <w:pStyle w:val="CGCTablerow"/>
              <w:jc w:val="right"/>
              <w:rPr>
                <w:lang w:eastAsia="en-AU"/>
              </w:rPr>
            </w:pPr>
            <w:r w:rsidRPr="00034E9B">
              <w:rPr>
                <w:lang w:eastAsia="en-AU"/>
              </w:rPr>
              <w:t>0.93794</w:t>
            </w:r>
          </w:p>
        </w:tc>
        <w:tc>
          <w:tcPr>
            <w:tcW w:w="1240" w:type="dxa"/>
            <w:tcBorders>
              <w:top w:val="single" w:sz="4" w:space="0" w:color="ADD6EA"/>
              <w:left w:val="nil"/>
              <w:bottom w:val="single" w:sz="4" w:space="0" w:color="ADD6EA"/>
              <w:right w:val="nil"/>
            </w:tcBorders>
            <w:shd w:val="clear" w:color="auto" w:fill="auto"/>
            <w:vAlign w:val="bottom"/>
            <w:hideMark/>
          </w:tcPr>
          <w:p w14:paraId="240A1D39" w14:textId="77777777" w:rsidR="00FC0498" w:rsidRPr="00034E9B" w:rsidRDefault="00FC0498" w:rsidP="00FF6CBF">
            <w:pPr>
              <w:pStyle w:val="CGCTablerow"/>
              <w:jc w:val="right"/>
              <w:rPr>
                <w:lang w:eastAsia="en-AU"/>
              </w:rPr>
            </w:pPr>
            <w:r w:rsidRPr="00034E9B">
              <w:rPr>
                <w:lang w:eastAsia="en-AU"/>
              </w:rPr>
              <w:t>0.92817</w:t>
            </w:r>
          </w:p>
        </w:tc>
        <w:tc>
          <w:tcPr>
            <w:tcW w:w="720" w:type="dxa"/>
            <w:tcBorders>
              <w:top w:val="single" w:sz="4" w:space="0" w:color="ADD6EA"/>
              <w:left w:val="nil"/>
              <w:bottom w:val="single" w:sz="4" w:space="0" w:color="ADD6EA"/>
              <w:right w:val="nil"/>
            </w:tcBorders>
            <w:shd w:val="clear" w:color="auto" w:fill="auto"/>
            <w:vAlign w:val="bottom"/>
            <w:hideMark/>
          </w:tcPr>
          <w:p w14:paraId="330FD353" w14:textId="77777777" w:rsidR="00FC0498" w:rsidRPr="00034E9B" w:rsidRDefault="00FC0498" w:rsidP="00FF6CBF">
            <w:pPr>
              <w:pStyle w:val="CGCTablerow"/>
              <w:jc w:val="right"/>
              <w:rPr>
                <w:lang w:eastAsia="en-AU"/>
              </w:rPr>
            </w:pPr>
          </w:p>
        </w:tc>
        <w:tc>
          <w:tcPr>
            <w:tcW w:w="760" w:type="dxa"/>
            <w:tcBorders>
              <w:top w:val="single" w:sz="4" w:space="0" w:color="ADD6EA"/>
              <w:left w:val="nil"/>
              <w:bottom w:val="single" w:sz="4" w:space="0" w:color="ADD6EA"/>
              <w:right w:val="nil"/>
            </w:tcBorders>
            <w:shd w:val="clear" w:color="auto" w:fill="auto"/>
            <w:vAlign w:val="bottom"/>
            <w:hideMark/>
          </w:tcPr>
          <w:p w14:paraId="012AD2CD" w14:textId="77777777" w:rsidR="00FC0498" w:rsidRPr="00034E9B" w:rsidRDefault="00FC0498" w:rsidP="00FF6CBF">
            <w:pPr>
              <w:pStyle w:val="CGCTablerow"/>
              <w:jc w:val="right"/>
              <w:rPr>
                <w:lang w:eastAsia="en-AU"/>
              </w:rPr>
            </w:pPr>
            <w:r w:rsidRPr="00034E9B">
              <w:rPr>
                <w:lang w:eastAsia="en-AU"/>
              </w:rPr>
              <w:t>25.5</w:t>
            </w:r>
          </w:p>
        </w:tc>
        <w:tc>
          <w:tcPr>
            <w:tcW w:w="1200" w:type="dxa"/>
            <w:tcBorders>
              <w:top w:val="single" w:sz="4" w:space="0" w:color="ADD6EA"/>
              <w:left w:val="nil"/>
              <w:bottom w:val="single" w:sz="4" w:space="0" w:color="ADD6EA"/>
              <w:right w:val="nil"/>
            </w:tcBorders>
            <w:shd w:val="clear" w:color="auto" w:fill="auto"/>
            <w:vAlign w:val="bottom"/>
            <w:hideMark/>
          </w:tcPr>
          <w:p w14:paraId="62E5A610" w14:textId="77777777" w:rsidR="00FC0498" w:rsidRPr="00034E9B" w:rsidRDefault="00FC0498" w:rsidP="00FF6CBF">
            <w:pPr>
              <w:pStyle w:val="CGCTablerow"/>
              <w:jc w:val="right"/>
              <w:rPr>
                <w:lang w:eastAsia="en-AU"/>
              </w:rPr>
            </w:pPr>
            <w:r w:rsidRPr="00034E9B">
              <w:rPr>
                <w:lang w:eastAsia="en-AU"/>
              </w:rPr>
              <w:t>25.2</w:t>
            </w:r>
          </w:p>
        </w:tc>
        <w:tc>
          <w:tcPr>
            <w:tcW w:w="720" w:type="dxa"/>
            <w:tcBorders>
              <w:top w:val="single" w:sz="4" w:space="0" w:color="ADD6EA"/>
              <w:left w:val="nil"/>
              <w:bottom w:val="single" w:sz="4" w:space="0" w:color="ADD6EA"/>
              <w:right w:val="nil"/>
            </w:tcBorders>
            <w:shd w:val="clear" w:color="auto" w:fill="auto"/>
            <w:vAlign w:val="bottom"/>
            <w:hideMark/>
          </w:tcPr>
          <w:p w14:paraId="1F20985F" w14:textId="77777777" w:rsidR="00FC0498" w:rsidRPr="00034E9B" w:rsidRDefault="00FC0498" w:rsidP="00FF6CBF">
            <w:pPr>
              <w:pStyle w:val="CGCTablerow"/>
              <w:jc w:val="right"/>
              <w:rPr>
                <w:lang w:eastAsia="en-AU"/>
              </w:rPr>
            </w:pPr>
          </w:p>
        </w:tc>
        <w:tc>
          <w:tcPr>
            <w:tcW w:w="780" w:type="dxa"/>
            <w:tcBorders>
              <w:top w:val="single" w:sz="4" w:space="0" w:color="ADD6EA"/>
              <w:left w:val="nil"/>
              <w:bottom w:val="single" w:sz="4" w:space="0" w:color="ADD6EA"/>
              <w:right w:val="nil"/>
            </w:tcBorders>
            <w:shd w:val="clear" w:color="auto" w:fill="auto"/>
            <w:vAlign w:val="bottom"/>
            <w:hideMark/>
          </w:tcPr>
          <w:p w14:paraId="40822A4F" w14:textId="77777777" w:rsidR="00FC0498" w:rsidRPr="00034E9B" w:rsidRDefault="00FC0498" w:rsidP="00FF6CBF">
            <w:pPr>
              <w:pStyle w:val="CGCTablerow"/>
              <w:jc w:val="right"/>
              <w:rPr>
                <w:lang w:eastAsia="en-AU"/>
              </w:rPr>
            </w:pPr>
            <w:r w:rsidRPr="00034E9B">
              <w:rPr>
                <w:lang w:eastAsia="en-AU"/>
              </w:rPr>
              <w:t xml:space="preserve"> 18,394</w:t>
            </w:r>
          </w:p>
        </w:tc>
        <w:tc>
          <w:tcPr>
            <w:tcW w:w="1200" w:type="dxa"/>
            <w:tcBorders>
              <w:top w:val="single" w:sz="4" w:space="0" w:color="ADD6EA"/>
              <w:left w:val="nil"/>
              <w:bottom w:val="single" w:sz="4" w:space="0" w:color="ADD6EA"/>
              <w:right w:val="nil"/>
            </w:tcBorders>
            <w:shd w:val="clear" w:color="auto" w:fill="auto"/>
            <w:vAlign w:val="bottom"/>
            <w:hideMark/>
          </w:tcPr>
          <w:p w14:paraId="5C9E0292" w14:textId="77777777" w:rsidR="00FC0498" w:rsidRPr="00034E9B" w:rsidRDefault="00FC0498" w:rsidP="00FF6CBF">
            <w:pPr>
              <w:pStyle w:val="CGCTablerow"/>
              <w:jc w:val="right"/>
              <w:rPr>
                <w:lang w:eastAsia="en-AU"/>
              </w:rPr>
            </w:pPr>
            <w:r w:rsidRPr="00034E9B">
              <w:rPr>
                <w:lang w:eastAsia="en-AU"/>
              </w:rPr>
              <w:t xml:space="preserve"> 19,260</w:t>
            </w:r>
          </w:p>
        </w:tc>
      </w:tr>
      <w:tr w:rsidR="00FC0498" w:rsidRPr="00034E9B" w14:paraId="07F5814A" w14:textId="77777777" w:rsidTr="0079565B">
        <w:trPr>
          <w:trHeight w:val="315"/>
        </w:trPr>
        <w:tc>
          <w:tcPr>
            <w:tcW w:w="1600" w:type="dxa"/>
            <w:tcBorders>
              <w:top w:val="single" w:sz="4" w:space="0" w:color="ADD6EA"/>
              <w:left w:val="nil"/>
              <w:bottom w:val="single" w:sz="4" w:space="0" w:color="ADD6EA"/>
              <w:right w:val="nil"/>
            </w:tcBorders>
            <w:shd w:val="clear" w:color="auto" w:fill="auto"/>
            <w:vAlign w:val="bottom"/>
            <w:hideMark/>
          </w:tcPr>
          <w:p w14:paraId="7FBA61D3" w14:textId="77777777" w:rsidR="00FC0498" w:rsidRPr="00034E9B" w:rsidRDefault="00FC0498" w:rsidP="00FF6CBF">
            <w:pPr>
              <w:pStyle w:val="CGCTablerow"/>
              <w:rPr>
                <w:lang w:eastAsia="en-AU"/>
              </w:rPr>
            </w:pPr>
            <w:r w:rsidRPr="00034E9B">
              <w:rPr>
                <w:lang w:eastAsia="en-AU"/>
              </w:rPr>
              <w:t>Qld</w:t>
            </w:r>
          </w:p>
        </w:tc>
        <w:tc>
          <w:tcPr>
            <w:tcW w:w="820" w:type="dxa"/>
            <w:tcBorders>
              <w:top w:val="single" w:sz="4" w:space="0" w:color="ADD6EA"/>
              <w:left w:val="nil"/>
              <w:bottom w:val="single" w:sz="4" w:space="0" w:color="ADD6EA"/>
              <w:right w:val="nil"/>
            </w:tcBorders>
            <w:shd w:val="clear" w:color="auto" w:fill="auto"/>
            <w:vAlign w:val="bottom"/>
            <w:hideMark/>
          </w:tcPr>
          <w:p w14:paraId="2C47D3B0" w14:textId="77777777" w:rsidR="00FC0498" w:rsidRPr="00034E9B" w:rsidRDefault="00FC0498" w:rsidP="00FF6CBF">
            <w:pPr>
              <w:pStyle w:val="CGCTablerow"/>
              <w:jc w:val="right"/>
              <w:rPr>
                <w:lang w:eastAsia="en-AU"/>
              </w:rPr>
            </w:pPr>
            <w:r w:rsidRPr="00034E9B">
              <w:rPr>
                <w:lang w:eastAsia="en-AU"/>
              </w:rPr>
              <w:t>1.13751</w:t>
            </w:r>
          </w:p>
        </w:tc>
        <w:tc>
          <w:tcPr>
            <w:tcW w:w="1240" w:type="dxa"/>
            <w:tcBorders>
              <w:top w:val="single" w:sz="4" w:space="0" w:color="ADD6EA"/>
              <w:left w:val="nil"/>
              <w:bottom w:val="single" w:sz="4" w:space="0" w:color="ADD6EA"/>
              <w:right w:val="nil"/>
            </w:tcBorders>
            <w:shd w:val="clear" w:color="auto" w:fill="auto"/>
            <w:vAlign w:val="bottom"/>
            <w:hideMark/>
          </w:tcPr>
          <w:p w14:paraId="5A90E07A" w14:textId="77777777" w:rsidR="00FC0498" w:rsidRPr="00034E9B" w:rsidRDefault="00FC0498" w:rsidP="00FF6CBF">
            <w:pPr>
              <w:pStyle w:val="CGCTablerow"/>
              <w:jc w:val="right"/>
              <w:rPr>
                <w:lang w:eastAsia="en-AU"/>
              </w:rPr>
            </w:pPr>
            <w:r w:rsidRPr="00034E9B">
              <w:rPr>
                <w:lang w:eastAsia="en-AU"/>
              </w:rPr>
              <w:t>1.14774</w:t>
            </w:r>
          </w:p>
        </w:tc>
        <w:tc>
          <w:tcPr>
            <w:tcW w:w="720" w:type="dxa"/>
            <w:tcBorders>
              <w:top w:val="single" w:sz="4" w:space="0" w:color="ADD6EA"/>
              <w:left w:val="nil"/>
              <w:bottom w:val="single" w:sz="4" w:space="0" w:color="ADD6EA"/>
              <w:right w:val="nil"/>
            </w:tcBorders>
            <w:shd w:val="clear" w:color="auto" w:fill="auto"/>
            <w:vAlign w:val="bottom"/>
            <w:hideMark/>
          </w:tcPr>
          <w:p w14:paraId="0300847C" w14:textId="77777777" w:rsidR="00FC0498" w:rsidRPr="00034E9B" w:rsidRDefault="00FC0498" w:rsidP="00FF6CBF">
            <w:pPr>
              <w:pStyle w:val="CGCTablerow"/>
              <w:jc w:val="right"/>
              <w:rPr>
                <w:lang w:eastAsia="en-AU"/>
              </w:rPr>
            </w:pPr>
          </w:p>
        </w:tc>
        <w:tc>
          <w:tcPr>
            <w:tcW w:w="760" w:type="dxa"/>
            <w:tcBorders>
              <w:top w:val="single" w:sz="4" w:space="0" w:color="ADD6EA"/>
              <w:left w:val="nil"/>
              <w:bottom w:val="single" w:sz="4" w:space="0" w:color="ADD6EA"/>
              <w:right w:val="nil"/>
            </w:tcBorders>
            <w:shd w:val="clear" w:color="auto" w:fill="auto"/>
            <w:vAlign w:val="bottom"/>
            <w:hideMark/>
          </w:tcPr>
          <w:p w14:paraId="45E74C8F" w14:textId="77777777" w:rsidR="00FC0498" w:rsidRPr="00034E9B" w:rsidRDefault="00FC0498" w:rsidP="00FF6CBF">
            <w:pPr>
              <w:pStyle w:val="CGCTablerow"/>
              <w:jc w:val="right"/>
              <w:rPr>
                <w:lang w:eastAsia="en-AU"/>
              </w:rPr>
            </w:pPr>
            <w:r w:rsidRPr="00034E9B">
              <w:rPr>
                <w:lang w:eastAsia="en-AU"/>
              </w:rPr>
              <w:t>21.8</w:t>
            </w:r>
          </w:p>
        </w:tc>
        <w:tc>
          <w:tcPr>
            <w:tcW w:w="1200" w:type="dxa"/>
            <w:tcBorders>
              <w:top w:val="single" w:sz="4" w:space="0" w:color="ADD6EA"/>
              <w:left w:val="nil"/>
              <w:bottom w:val="single" w:sz="4" w:space="0" w:color="ADD6EA"/>
              <w:right w:val="nil"/>
            </w:tcBorders>
            <w:shd w:val="clear" w:color="auto" w:fill="auto"/>
            <w:vAlign w:val="bottom"/>
            <w:hideMark/>
          </w:tcPr>
          <w:p w14:paraId="5570D6AD" w14:textId="77777777" w:rsidR="00FC0498" w:rsidRPr="00034E9B" w:rsidRDefault="00FC0498" w:rsidP="00FF6CBF">
            <w:pPr>
              <w:pStyle w:val="CGCTablerow"/>
              <w:jc w:val="right"/>
              <w:rPr>
                <w:lang w:eastAsia="en-AU"/>
              </w:rPr>
            </w:pPr>
            <w:r w:rsidRPr="00034E9B">
              <w:rPr>
                <w:lang w:eastAsia="en-AU"/>
              </w:rPr>
              <w:t>20.7</w:t>
            </w:r>
          </w:p>
        </w:tc>
        <w:tc>
          <w:tcPr>
            <w:tcW w:w="720" w:type="dxa"/>
            <w:tcBorders>
              <w:top w:val="single" w:sz="4" w:space="0" w:color="ADD6EA"/>
              <w:left w:val="nil"/>
              <w:bottom w:val="single" w:sz="4" w:space="0" w:color="ADD6EA"/>
              <w:right w:val="nil"/>
            </w:tcBorders>
            <w:shd w:val="clear" w:color="auto" w:fill="auto"/>
            <w:vAlign w:val="bottom"/>
            <w:hideMark/>
          </w:tcPr>
          <w:p w14:paraId="64E89BB0" w14:textId="77777777" w:rsidR="00FC0498" w:rsidRPr="00034E9B" w:rsidRDefault="00FC0498" w:rsidP="00FF6CBF">
            <w:pPr>
              <w:pStyle w:val="CGCTablerow"/>
              <w:jc w:val="right"/>
              <w:rPr>
                <w:lang w:eastAsia="en-AU"/>
              </w:rPr>
            </w:pPr>
          </w:p>
        </w:tc>
        <w:tc>
          <w:tcPr>
            <w:tcW w:w="780" w:type="dxa"/>
            <w:tcBorders>
              <w:top w:val="single" w:sz="4" w:space="0" w:color="ADD6EA"/>
              <w:left w:val="nil"/>
              <w:bottom w:val="single" w:sz="4" w:space="0" w:color="ADD6EA"/>
              <w:right w:val="nil"/>
            </w:tcBorders>
            <w:shd w:val="clear" w:color="auto" w:fill="auto"/>
            <w:vAlign w:val="bottom"/>
            <w:hideMark/>
          </w:tcPr>
          <w:p w14:paraId="4AA99DE8" w14:textId="77777777" w:rsidR="00FC0498" w:rsidRPr="00034E9B" w:rsidRDefault="00FC0498" w:rsidP="00FF6CBF">
            <w:pPr>
              <w:pStyle w:val="CGCTablerow"/>
              <w:jc w:val="right"/>
              <w:rPr>
                <w:lang w:eastAsia="en-AU"/>
              </w:rPr>
            </w:pPr>
            <w:r w:rsidRPr="00034E9B">
              <w:rPr>
                <w:lang w:eastAsia="en-AU"/>
              </w:rPr>
              <w:t xml:space="preserve"> 16,971</w:t>
            </w:r>
          </w:p>
        </w:tc>
        <w:tc>
          <w:tcPr>
            <w:tcW w:w="1200" w:type="dxa"/>
            <w:tcBorders>
              <w:top w:val="single" w:sz="4" w:space="0" w:color="ADD6EA"/>
              <w:left w:val="nil"/>
              <w:bottom w:val="single" w:sz="4" w:space="0" w:color="ADD6EA"/>
              <w:right w:val="nil"/>
            </w:tcBorders>
            <w:shd w:val="clear" w:color="auto" w:fill="auto"/>
            <w:vAlign w:val="bottom"/>
            <w:hideMark/>
          </w:tcPr>
          <w:p w14:paraId="681BA77E" w14:textId="77777777" w:rsidR="00FC0498" w:rsidRPr="00034E9B" w:rsidRDefault="00FC0498" w:rsidP="00FF6CBF">
            <w:pPr>
              <w:pStyle w:val="CGCTablerow"/>
              <w:jc w:val="right"/>
              <w:rPr>
                <w:lang w:eastAsia="en-AU"/>
              </w:rPr>
            </w:pPr>
            <w:r w:rsidRPr="00034E9B">
              <w:rPr>
                <w:lang w:eastAsia="en-AU"/>
              </w:rPr>
              <w:t xml:space="preserve"> 18,003</w:t>
            </w:r>
          </w:p>
        </w:tc>
      </w:tr>
      <w:tr w:rsidR="00FC0498" w:rsidRPr="00034E9B" w14:paraId="6A8E867D" w14:textId="77777777" w:rsidTr="0079565B">
        <w:trPr>
          <w:trHeight w:val="315"/>
        </w:trPr>
        <w:tc>
          <w:tcPr>
            <w:tcW w:w="1600" w:type="dxa"/>
            <w:tcBorders>
              <w:top w:val="single" w:sz="4" w:space="0" w:color="ADD6EA"/>
              <w:left w:val="nil"/>
              <w:bottom w:val="single" w:sz="4" w:space="0" w:color="ADD6EA"/>
              <w:right w:val="nil"/>
            </w:tcBorders>
            <w:shd w:val="clear" w:color="auto" w:fill="auto"/>
            <w:vAlign w:val="bottom"/>
            <w:hideMark/>
          </w:tcPr>
          <w:p w14:paraId="706DB8AA" w14:textId="77777777" w:rsidR="00FC0498" w:rsidRPr="00034E9B" w:rsidRDefault="00FC0498" w:rsidP="00FF6CBF">
            <w:pPr>
              <w:pStyle w:val="CGCTablerow"/>
              <w:rPr>
                <w:lang w:eastAsia="en-AU"/>
              </w:rPr>
            </w:pPr>
            <w:r w:rsidRPr="00034E9B">
              <w:rPr>
                <w:lang w:eastAsia="en-AU"/>
              </w:rPr>
              <w:t>WA</w:t>
            </w:r>
          </w:p>
        </w:tc>
        <w:tc>
          <w:tcPr>
            <w:tcW w:w="820" w:type="dxa"/>
            <w:tcBorders>
              <w:top w:val="single" w:sz="4" w:space="0" w:color="ADD6EA"/>
              <w:left w:val="nil"/>
              <w:bottom w:val="single" w:sz="4" w:space="0" w:color="ADD6EA"/>
              <w:right w:val="nil"/>
            </w:tcBorders>
            <w:shd w:val="clear" w:color="auto" w:fill="auto"/>
            <w:vAlign w:val="bottom"/>
            <w:hideMark/>
          </w:tcPr>
          <w:p w14:paraId="3C524838" w14:textId="77777777" w:rsidR="00FC0498" w:rsidRPr="00034E9B" w:rsidRDefault="00FC0498" w:rsidP="00FF6CBF">
            <w:pPr>
              <w:pStyle w:val="CGCTablerow"/>
              <w:jc w:val="right"/>
              <w:rPr>
                <w:lang w:eastAsia="en-AU"/>
              </w:rPr>
            </w:pPr>
            <w:r w:rsidRPr="00034E9B">
              <w:rPr>
                <w:lang w:eastAsia="en-AU"/>
              </w:rPr>
              <w:t>0.66022</w:t>
            </w:r>
          </w:p>
        </w:tc>
        <w:tc>
          <w:tcPr>
            <w:tcW w:w="1240" w:type="dxa"/>
            <w:tcBorders>
              <w:top w:val="single" w:sz="4" w:space="0" w:color="ADD6EA"/>
              <w:left w:val="nil"/>
              <w:bottom w:val="single" w:sz="4" w:space="0" w:color="ADD6EA"/>
              <w:right w:val="nil"/>
            </w:tcBorders>
            <w:shd w:val="clear" w:color="auto" w:fill="auto"/>
            <w:vAlign w:val="bottom"/>
            <w:hideMark/>
          </w:tcPr>
          <w:p w14:paraId="3BA96CED" w14:textId="77777777" w:rsidR="00FC0498" w:rsidRPr="00034E9B" w:rsidRDefault="00FC0498" w:rsidP="00FF6CBF">
            <w:pPr>
              <w:pStyle w:val="CGCTablerow"/>
              <w:jc w:val="right"/>
              <w:rPr>
                <w:lang w:eastAsia="en-AU"/>
              </w:rPr>
            </w:pPr>
            <w:r w:rsidRPr="00034E9B">
              <w:rPr>
                <w:lang w:eastAsia="en-AU"/>
              </w:rPr>
              <w:t>0.70861</w:t>
            </w:r>
          </w:p>
        </w:tc>
        <w:tc>
          <w:tcPr>
            <w:tcW w:w="720" w:type="dxa"/>
            <w:tcBorders>
              <w:top w:val="single" w:sz="4" w:space="0" w:color="ADD6EA"/>
              <w:left w:val="nil"/>
              <w:bottom w:val="single" w:sz="4" w:space="0" w:color="ADD6EA"/>
              <w:right w:val="nil"/>
            </w:tcBorders>
            <w:shd w:val="clear" w:color="auto" w:fill="auto"/>
            <w:vAlign w:val="bottom"/>
            <w:hideMark/>
          </w:tcPr>
          <w:p w14:paraId="6DC49F1B" w14:textId="77777777" w:rsidR="00FC0498" w:rsidRPr="00034E9B" w:rsidRDefault="00FC0498" w:rsidP="00FF6CBF">
            <w:pPr>
              <w:pStyle w:val="CGCTablerow"/>
              <w:jc w:val="right"/>
              <w:rPr>
                <w:lang w:eastAsia="en-AU"/>
              </w:rPr>
            </w:pPr>
          </w:p>
        </w:tc>
        <w:tc>
          <w:tcPr>
            <w:tcW w:w="760" w:type="dxa"/>
            <w:tcBorders>
              <w:top w:val="single" w:sz="4" w:space="0" w:color="ADD6EA"/>
              <w:left w:val="nil"/>
              <w:bottom w:val="single" w:sz="4" w:space="0" w:color="ADD6EA"/>
              <w:right w:val="nil"/>
            </w:tcBorders>
            <w:shd w:val="clear" w:color="auto" w:fill="auto"/>
            <w:vAlign w:val="bottom"/>
            <w:hideMark/>
          </w:tcPr>
          <w:p w14:paraId="2B18B4F0" w14:textId="77777777" w:rsidR="00FC0498" w:rsidRPr="00034E9B" w:rsidRDefault="00FC0498" w:rsidP="00FF6CBF">
            <w:pPr>
              <w:pStyle w:val="CGCTablerow"/>
              <w:jc w:val="right"/>
              <w:rPr>
                <w:lang w:eastAsia="en-AU"/>
              </w:rPr>
            </w:pPr>
            <w:r w:rsidRPr="00034E9B">
              <w:rPr>
                <w:lang w:eastAsia="en-AU"/>
              </w:rPr>
              <w:t>5.5</w:t>
            </w:r>
          </w:p>
        </w:tc>
        <w:tc>
          <w:tcPr>
            <w:tcW w:w="1200" w:type="dxa"/>
            <w:tcBorders>
              <w:top w:val="single" w:sz="4" w:space="0" w:color="ADD6EA"/>
              <w:left w:val="nil"/>
              <w:bottom w:val="single" w:sz="4" w:space="0" w:color="ADD6EA"/>
              <w:right w:val="nil"/>
            </w:tcBorders>
            <w:shd w:val="clear" w:color="auto" w:fill="auto"/>
            <w:vAlign w:val="bottom"/>
            <w:hideMark/>
          </w:tcPr>
          <w:p w14:paraId="6DE224D7" w14:textId="77777777" w:rsidR="00FC0498" w:rsidRPr="00034E9B" w:rsidRDefault="00FC0498" w:rsidP="00FF6CBF">
            <w:pPr>
              <w:pStyle w:val="CGCTablerow"/>
              <w:jc w:val="right"/>
              <w:rPr>
                <w:lang w:eastAsia="en-AU"/>
              </w:rPr>
            </w:pPr>
            <w:r w:rsidRPr="00034E9B">
              <w:rPr>
                <w:lang w:eastAsia="en-AU"/>
              </w:rPr>
              <w:t>7.2</w:t>
            </w:r>
          </w:p>
        </w:tc>
        <w:tc>
          <w:tcPr>
            <w:tcW w:w="720" w:type="dxa"/>
            <w:tcBorders>
              <w:top w:val="single" w:sz="4" w:space="0" w:color="ADD6EA"/>
              <w:left w:val="nil"/>
              <w:bottom w:val="single" w:sz="4" w:space="0" w:color="ADD6EA"/>
              <w:right w:val="nil"/>
            </w:tcBorders>
            <w:shd w:val="clear" w:color="auto" w:fill="auto"/>
            <w:vAlign w:val="bottom"/>
            <w:hideMark/>
          </w:tcPr>
          <w:p w14:paraId="17AC3B27" w14:textId="77777777" w:rsidR="00FC0498" w:rsidRPr="00034E9B" w:rsidRDefault="00FC0498" w:rsidP="00FF6CBF">
            <w:pPr>
              <w:pStyle w:val="CGCTablerow"/>
              <w:jc w:val="right"/>
              <w:rPr>
                <w:lang w:eastAsia="en-AU"/>
              </w:rPr>
            </w:pPr>
          </w:p>
        </w:tc>
        <w:tc>
          <w:tcPr>
            <w:tcW w:w="780" w:type="dxa"/>
            <w:tcBorders>
              <w:top w:val="single" w:sz="4" w:space="0" w:color="ADD6EA"/>
              <w:left w:val="nil"/>
              <w:bottom w:val="single" w:sz="4" w:space="0" w:color="ADD6EA"/>
              <w:right w:val="nil"/>
            </w:tcBorders>
            <w:shd w:val="clear" w:color="auto" w:fill="auto"/>
            <w:vAlign w:val="bottom"/>
            <w:hideMark/>
          </w:tcPr>
          <w:p w14:paraId="45660223" w14:textId="77777777" w:rsidR="00FC0498" w:rsidRPr="00034E9B" w:rsidRDefault="00FC0498" w:rsidP="00FF6CBF">
            <w:pPr>
              <w:pStyle w:val="CGCTablerow"/>
              <w:jc w:val="right"/>
              <w:rPr>
                <w:lang w:eastAsia="en-AU"/>
              </w:rPr>
            </w:pPr>
            <w:r w:rsidRPr="00034E9B">
              <w:rPr>
                <w:lang w:eastAsia="en-AU"/>
              </w:rPr>
              <w:t xml:space="preserve"> 5,062</w:t>
            </w:r>
          </w:p>
        </w:tc>
        <w:tc>
          <w:tcPr>
            <w:tcW w:w="1200" w:type="dxa"/>
            <w:tcBorders>
              <w:top w:val="single" w:sz="4" w:space="0" w:color="ADD6EA"/>
              <w:left w:val="nil"/>
              <w:bottom w:val="single" w:sz="4" w:space="0" w:color="ADD6EA"/>
              <w:right w:val="nil"/>
            </w:tcBorders>
            <w:shd w:val="clear" w:color="auto" w:fill="auto"/>
            <w:vAlign w:val="bottom"/>
            <w:hideMark/>
          </w:tcPr>
          <w:p w14:paraId="756CD0AD" w14:textId="77777777" w:rsidR="00FC0498" w:rsidRPr="00034E9B" w:rsidRDefault="00FC0498" w:rsidP="00FF6CBF">
            <w:pPr>
              <w:pStyle w:val="CGCTablerow"/>
              <w:jc w:val="right"/>
              <w:rPr>
                <w:lang w:eastAsia="en-AU"/>
              </w:rPr>
            </w:pPr>
            <w:r w:rsidRPr="00034E9B">
              <w:rPr>
                <w:lang w:eastAsia="en-AU"/>
              </w:rPr>
              <w:t xml:space="preserve"> 5,693</w:t>
            </w:r>
          </w:p>
        </w:tc>
      </w:tr>
      <w:tr w:rsidR="00FC0498" w:rsidRPr="00034E9B" w14:paraId="5C6E0D3B" w14:textId="77777777" w:rsidTr="0079565B">
        <w:trPr>
          <w:trHeight w:val="315"/>
        </w:trPr>
        <w:tc>
          <w:tcPr>
            <w:tcW w:w="1600" w:type="dxa"/>
            <w:tcBorders>
              <w:top w:val="single" w:sz="4" w:space="0" w:color="ADD6EA"/>
              <w:left w:val="nil"/>
              <w:bottom w:val="single" w:sz="4" w:space="0" w:color="ADD6EA"/>
              <w:right w:val="nil"/>
            </w:tcBorders>
            <w:shd w:val="clear" w:color="auto" w:fill="auto"/>
            <w:vAlign w:val="bottom"/>
            <w:hideMark/>
          </w:tcPr>
          <w:p w14:paraId="78CA5D2C" w14:textId="77777777" w:rsidR="00FC0498" w:rsidRPr="00034E9B" w:rsidRDefault="00FC0498" w:rsidP="00FF6CBF">
            <w:pPr>
              <w:pStyle w:val="CGCTablerow"/>
              <w:rPr>
                <w:lang w:eastAsia="en-AU"/>
              </w:rPr>
            </w:pPr>
            <w:r w:rsidRPr="00034E9B">
              <w:rPr>
                <w:lang w:eastAsia="en-AU"/>
              </w:rPr>
              <w:t>SA</w:t>
            </w:r>
          </w:p>
        </w:tc>
        <w:tc>
          <w:tcPr>
            <w:tcW w:w="820" w:type="dxa"/>
            <w:tcBorders>
              <w:top w:val="single" w:sz="4" w:space="0" w:color="ADD6EA"/>
              <w:left w:val="nil"/>
              <w:bottom w:val="single" w:sz="4" w:space="0" w:color="ADD6EA"/>
              <w:right w:val="nil"/>
            </w:tcBorders>
            <w:shd w:val="clear" w:color="auto" w:fill="auto"/>
            <w:vAlign w:val="bottom"/>
            <w:hideMark/>
          </w:tcPr>
          <w:p w14:paraId="0665532E" w14:textId="77777777" w:rsidR="00FC0498" w:rsidRPr="00034E9B" w:rsidRDefault="00FC0498" w:rsidP="00FF6CBF">
            <w:pPr>
              <w:pStyle w:val="CGCTablerow"/>
              <w:jc w:val="right"/>
              <w:rPr>
                <w:lang w:eastAsia="en-AU"/>
              </w:rPr>
            </w:pPr>
            <w:r w:rsidRPr="00034E9B">
              <w:rPr>
                <w:lang w:eastAsia="en-AU"/>
              </w:rPr>
              <w:t>1.41689</w:t>
            </w:r>
          </w:p>
        </w:tc>
        <w:tc>
          <w:tcPr>
            <w:tcW w:w="1240" w:type="dxa"/>
            <w:tcBorders>
              <w:top w:val="single" w:sz="4" w:space="0" w:color="ADD6EA"/>
              <w:left w:val="nil"/>
              <w:bottom w:val="single" w:sz="4" w:space="0" w:color="ADD6EA"/>
              <w:right w:val="nil"/>
            </w:tcBorders>
            <w:shd w:val="clear" w:color="auto" w:fill="auto"/>
            <w:vAlign w:val="bottom"/>
            <w:hideMark/>
          </w:tcPr>
          <w:p w14:paraId="7834B84A" w14:textId="77777777" w:rsidR="00FC0498" w:rsidRPr="00034E9B" w:rsidRDefault="00FC0498" w:rsidP="00FF6CBF">
            <w:pPr>
              <w:pStyle w:val="CGCTablerow"/>
              <w:jc w:val="right"/>
              <w:rPr>
                <w:lang w:eastAsia="en-AU"/>
              </w:rPr>
            </w:pPr>
            <w:r w:rsidRPr="00034E9B">
              <w:rPr>
                <w:lang w:eastAsia="en-AU"/>
              </w:rPr>
              <w:t>1.39725</w:t>
            </w:r>
          </w:p>
        </w:tc>
        <w:tc>
          <w:tcPr>
            <w:tcW w:w="720" w:type="dxa"/>
            <w:tcBorders>
              <w:top w:val="single" w:sz="4" w:space="0" w:color="ADD6EA"/>
              <w:left w:val="nil"/>
              <w:bottom w:val="single" w:sz="4" w:space="0" w:color="ADD6EA"/>
              <w:right w:val="nil"/>
            </w:tcBorders>
            <w:shd w:val="clear" w:color="auto" w:fill="auto"/>
            <w:vAlign w:val="bottom"/>
            <w:hideMark/>
          </w:tcPr>
          <w:p w14:paraId="198EF203" w14:textId="77777777" w:rsidR="00FC0498" w:rsidRPr="00034E9B" w:rsidRDefault="00FC0498" w:rsidP="00FF6CBF">
            <w:pPr>
              <w:pStyle w:val="CGCTablerow"/>
              <w:jc w:val="right"/>
              <w:rPr>
                <w:lang w:eastAsia="en-AU"/>
              </w:rPr>
            </w:pPr>
          </w:p>
        </w:tc>
        <w:tc>
          <w:tcPr>
            <w:tcW w:w="760" w:type="dxa"/>
            <w:tcBorders>
              <w:top w:val="single" w:sz="4" w:space="0" w:color="ADD6EA"/>
              <w:left w:val="nil"/>
              <w:bottom w:val="single" w:sz="4" w:space="0" w:color="ADD6EA"/>
              <w:right w:val="nil"/>
            </w:tcBorders>
            <w:shd w:val="clear" w:color="auto" w:fill="auto"/>
            <w:vAlign w:val="bottom"/>
            <w:hideMark/>
          </w:tcPr>
          <w:p w14:paraId="1BE70BC6" w14:textId="77777777" w:rsidR="00FC0498" w:rsidRPr="00034E9B" w:rsidRDefault="00FC0498" w:rsidP="00FF6CBF">
            <w:pPr>
              <w:pStyle w:val="CGCTablerow"/>
              <w:jc w:val="right"/>
              <w:rPr>
                <w:lang w:eastAsia="en-AU"/>
              </w:rPr>
            </w:pPr>
            <w:r w:rsidRPr="00034E9B">
              <w:rPr>
                <w:lang w:eastAsia="en-AU"/>
              </w:rPr>
              <w:t>10.2</w:t>
            </w:r>
          </w:p>
        </w:tc>
        <w:tc>
          <w:tcPr>
            <w:tcW w:w="1200" w:type="dxa"/>
            <w:tcBorders>
              <w:top w:val="single" w:sz="4" w:space="0" w:color="ADD6EA"/>
              <w:left w:val="nil"/>
              <w:bottom w:val="single" w:sz="4" w:space="0" w:color="ADD6EA"/>
              <w:right w:val="nil"/>
            </w:tcBorders>
            <w:shd w:val="clear" w:color="auto" w:fill="auto"/>
            <w:vAlign w:val="bottom"/>
            <w:hideMark/>
          </w:tcPr>
          <w:p w14:paraId="09BB64A1" w14:textId="77777777" w:rsidR="00FC0498" w:rsidRPr="00034E9B" w:rsidRDefault="00FC0498" w:rsidP="00FF6CBF">
            <w:pPr>
              <w:pStyle w:val="CGCTablerow"/>
              <w:jc w:val="right"/>
              <w:rPr>
                <w:lang w:eastAsia="en-AU"/>
              </w:rPr>
            </w:pPr>
            <w:r w:rsidRPr="00034E9B">
              <w:rPr>
                <w:lang w:eastAsia="en-AU"/>
              </w:rPr>
              <w:t>9.9</w:t>
            </w:r>
          </w:p>
        </w:tc>
        <w:tc>
          <w:tcPr>
            <w:tcW w:w="720" w:type="dxa"/>
            <w:tcBorders>
              <w:top w:val="single" w:sz="4" w:space="0" w:color="ADD6EA"/>
              <w:left w:val="nil"/>
              <w:bottom w:val="single" w:sz="4" w:space="0" w:color="ADD6EA"/>
              <w:right w:val="nil"/>
            </w:tcBorders>
            <w:shd w:val="clear" w:color="auto" w:fill="auto"/>
            <w:vAlign w:val="bottom"/>
            <w:hideMark/>
          </w:tcPr>
          <w:p w14:paraId="751022B7" w14:textId="77777777" w:rsidR="00FC0498" w:rsidRPr="00034E9B" w:rsidRDefault="00FC0498" w:rsidP="00FF6CBF">
            <w:pPr>
              <w:pStyle w:val="CGCTablerow"/>
              <w:jc w:val="right"/>
              <w:rPr>
                <w:lang w:eastAsia="en-AU"/>
              </w:rPr>
            </w:pPr>
          </w:p>
        </w:tc>
        <w:tc>
          <w:tcPr>
            <w:tcW w:w="780" w:type="dxa"/>
            <w:tcBorders>
              <w:top w:val="single" w:sz="4" w:space="0" w:color="ADD6EA"/>
              <w:left w:val="nil"/>
              <w:bottom w:val="single" w:sz="4" w:space="0" w:color="ADD6EA"/>
              <w:right w:val="nil"/>
            </w:tcBorders>
            <w:shd w:val="clear" w:color="auto" w:fill="auto"/>
            <w:vAlign w:val="bottom"/>
            <w:hideMark/>
          </w:tcPr>
          <w:p w14:paraId="0710C975" w14:textId="77777777" w:rsidR="00FC0498" w:rsidRPr="00034E9B" w:rsidRDefault="00FC0498" w:rsidP="00FF6CBF">
            <w:pPr>
              <w:pStyle w:val="CGCTablerow"/>
              <w:jc w:val="right"/>
              <w:rPr>
                <w:lang w:eastAsia="en-AU"/>
              </w:rPr>
            </w:pPr>
            <w:r w:rsidRPr="00034E9B">
              <w:rPr>
                <w:lang w:eastAsia="en-AU"/>
              </w:rPr>
              <w:t xml:space="preserve"> 7,203</w:t>
            </w:r>
          </w:p>
        </w:tc>
        <w:tc>
          <w:tcPr>
            <w:tcW w:w="1200" w:type="dxa"/>
            <w:tcBorders>
              <w:top w:val="single" w:sz="4" w:space="0" w:color="ADD6EA"/>
              <w:left w:val="nil"/>
              <w:bottom w:val="single" w:sz="4" w:space="0" w:color="ADD6EA"/>
              <w:right w:val="nil"/>
            </w:tcBorders>
            <w:shd w:val="clear" w:color="auto" w:fill="auto"/>
            <w:vAlign w:val="bottom"/>
            <w:hideMark/>
          </w:tcPr>
          <w:p w14:paraId="2A0D5476" w14:textId="77777777" w:rsidR="00FC0498" w:rsidRPr="00034E9B" w:rsidRDefault="00FC0498" w:rsidP="00FF6CBF">
            <w:pPr>
              <w:pStyle w:val="CGCTablerow"/>
              <w:jc w:val="right"/>
              <w:rPr>
                <w:lang w:eastAsia="en-AU"/>
              </w:rPr>
            </w:pPr>
            <w:r w:rsidRPr="00034E9B">
              <w:rPr>
                <w:lang w:eastAsia="en-AU"/>
              </w:rPr>
              <w:t xml:space="preserve"> 7,418</w:t>
            </w:r>
          </w:p>
        </w:tc>
      </w:tr>
      <w:tr w:rsidR="00FC0498" w:rsidRPr="00034E9B" w14:paraId="4356967D" w14:textId="77777777" w:rsidTr="0079565B">
        <w:trPr>
          <w:trHeight w:val="315"/>
        </w:trPr>
        <w:tc>
          <w:tcPr>
            <w:tcW w:w="1600" w:type="dxa"/>
            <w:tcBorders>
              <w:top w:val="single" w:sz="4" w:space="0" w:color="ADD6EA"/>
              <w:left w:val="nil"/>
              <w:bottom w:val="single" w:sz="4" w:space="0" w:color="ADD6EA"/>
              <w:right w:val="nil"/>
            </w:tcBorders>
            <w:shd w:val="clear" w:color="auto" w:fill="auto"/>
            <w:vAlign w:val="bottom"/>
            <w:hideMark/>
          </w:tcPr>
          <w:p w14:paraId="04FE6C86" w14:textId="77777777" w:rsidR="00FC0498" w:rsidRPr="00034E9B" w:rsidRDefault="00FC0498" w:rsidP="00FF6CBF">
            <w:pPr>
              <w:pStyle w:val="CGCTablerow"/>
              <w:rPr>
                <w:lang w:eastAsia="en-AU"/>
              </w:rPr>
            </w:pPr>
            <w:r w:rsidRPr="00034E9B">
              <w:rPr>
                <w:lang w:eastAsia="en-AU"/>
              </w:rPr>
              <w:t>Tas</w:t>
            </w:r>
          </w:p>
        </w:tc>
        <w:tc>
          <w:tcPr>
            <w:tcW w:w="820" w:type="dxa"/>
            <w:tcBorders>
              <w:top w:val="single" w:sz="4" w:space="0" w:color="ADD6EA"/>
              <w:left w:val="nil"/>
              <w:bottom w:val="single" w:sz="4" w:space="0" w:color="ADD6EA"/>
              <w:right w:val="nil"/>
            </w:tcBorders>
            <w:shd w:val="clear" w:color="auto" w:fill="auto"/>
            <w:vAlign w:val="bottom"/>
            <w:hideMark/>
          </w:tcPr>
          <w:p w14:paraId="2F960D39" w14:textId="77777777" w:rsidR="00FC0498" w:rsidRPr="00034E9B" w:rsidRDefault="00FC0498" w:rsidP="00FF6CBF">
            <w:pPr>
              <w:pStyle w:val="CGCTablerow"/>
              <w:jc w:val="right"/>
              <w:rPr>
                <w:lang w:eastAsia="en-AU"/>
              </w:rPr>
            </w:pPr>
            <w:r w:rsidRPr="00034E9B">
              <w:rPr>
                <w:lang w:eastAsia="en-AU"/>
              </w:rPr>
              <w:t>1.77611</w:t>
            </w:r>
          </w:p>
        </w:tc>
        <w:tc>
          <w:tcPr>
            <w:tcW w:w="1240" w:type="dxa"/>
            <w:tcBorders>
              <w:top w:val="single" w:sz="4" w:space="0" w:color="ADD6EA"/>
              <w:left w:val="nil"/>
              <w:bottom w:val="single" w:sz="4" w:space="0" w:color="ADD6EA"/>
              <w:right w:val="nil"/>
            </w:tcBorders>
            <w:shd w:val="clear" w:color="auto" w:fill="auto"/>
            <w:vAlign w:val="bottom"/>
            <w:hideMark/>
          </w:tcPr>
          <w:p w14:paraId="2A86148E" w14:textId="77777777" w:rsidR="00FC0498" w:rsidRPr="00034E9B" w:rsidRDefault="00FC0498" w:rsidP="00FF6CBF">
            <w:pPr>
              <w:pStyle w:val="CGCTablerow"/>
              <w:jc w:val="right"/>
              <w:rPr>
                <w:lang w:eastAsia="en-AU"/>
              </w:rPr>
            </w:pPr>
            <w:r w:rsidRPr="00034E9B">
              <w:rPr>
                <w:lang w:eastAsia="en-AU"/>
              </w:rPr>
              <w:t>1.74656</w:t>
            </w:r>
          </w:p>
        </w:tc>
        <w:tc>
          <w:tcPr>
            <w:tcW w:w="720" w:type="dxa"/>
            <w:tcBorders>
              <w:top w:val="single" w:sz="4" w:space="0" w:color="ADD6EA"/>
              <w:left w:val="nil"/>
              <w:bottom w:val="single" w:sz="4" w:space="0" w:color="ADD6EA"/>
              <w:right w:val="nil"/>
            </w:tcBorders>
            <w:shd w:val="clear" w:color="auto" w:fill="auto"/>
            <w:vAlign w:val="bottom"/>
            <w:hideMark/>
          </w:tcPr>
          <w:p w14:paraId="74CF650C" w14:textId="77777777" w:rsidR="00FC0498" w:rsidRPr="00034E9B" w:rsidRDefault="00FC0498" w:rsidP="00FF6CBF">
            <w:pPr>
              <w:pStyle w:val="CGCTablerow"/>
              <w:jc w:val="right"/>
              <w:rPr>
                <w:lang w:eastAsia="en-AU"/>
              </w:rPr>
            </w:pPr>
          </w:p>
        </w:tc>
        <w:tc>
          <w:tcPr>
            <w:tcW w:w="760" w:type="dxa"/>
            <w:tcBorders>
              <w:top w:val="single" w:sz="4" w:space="0" w:color="ADD6EA"/>
              <w:left w:val="nil"/>
              <w:bottom w:val="single" w:sz="4" w:space="0" w:color="ADD6EA"/>
              <w:right w:val="nil"/>
            </w:tcBorders>
            <w:shd w:val="clear" w:color="auto" w:fill="auto"/>
            <w:vAlign w:val="bottom"/>
            <w:hideMark/>
          </w:tcPr>
          <w:p w14:paraId="536478EA" w14:textId="77777777" w:rsidR="00FC0498" w:rsidRPr="00034E9B" w:rsidRDefault="00FC0498" w:rsidP="00FF6CBF">
            <w:pPr>
              <w:pStyle w:val="CGCTablerow"/>
              <w:jc w:val="right"/>
              <w:rPr>
                <w:lang w:eastAsia="en-AU"/>
              </w:rPr>
            </w:pPr>
            <w:r w:rsidRPr="00034E9B">
              <w:rPr>
                <w:lang w:eastAsia="en-AU"/>
              </w:rPr>
              <w:t>3.7</w:t>
            </w:r>
          </w:p>
        </w:tc>
        <w:tc>
          <w:tcPr>
            <w:tcW w:w="1200" w:type="dxa"/>
            <w:tcBorders>
              <w:top w:val="single" w:sz="4" w:space="0" w:color="ADD6EA"/>
              <w:left w:val="nil"/>
              <w:bottom w:val="single" w:sz="4" w:space="0" w:color="ADD6EA"/>
              <w:right w:val="nil"/>
            </w:tcBorders>
            <w:shd w:val="clear" w:color="auto" w:fill="auto"/>
            <w:vAlign w:val="bottom"/>
            <w:hideMark/>
          </w:tcPr>
          <w:p w14:paraId="507F9714" w14:textId="77777777" w:rsidR="00FC0498" w:rsidRPr="00034E9B" w:rsidRDefault="00FC0498" w:rsidP="00FF6CBF">
            <w:pPr>
              <w:pStyle w:val="CGCTablerow"/>
              <w:jc w:val="right"/>
              <w:rPr>
                <w:lang w:eastAsia="en-AU"/>
              </w:rPr>
            </w:pPr>
            <w:r w:rsidRPr="00034E9B">
              <w:rPr>
                <w:lang w:eastAsia="en-AU"/>
              </w:rPr>
              <w:t>3.6</w:t>
            </w:r>
          </w:p>
        </w:tc>
        <w:tc>
          <w:tcPr>
            <w:tcW w:w="720" w:type="dxa"/>
            <w:tcBorders>
              <w:top w:val="single" w:sz="4" w:space="0" w:color="ADD6EA"/>
              <w:left w:val="nil"/>
              <w:bottom w:val="single" w:sz="4" w:space="0" w:color="ADD6EA"/>
              <w:right w:val="nil"/>
            </w:tcBorders>
            <w:shd w:val="clear" w:color="auto" w:fill="auto"/>
            <w:vAlign w:val="bottom"/>
            <w:hideMark/>
          </w:tcPr>
          <w:p w14:paraId="49D3AD96" w14:textId="77777777" w:rsidR="00FC0498" w:rsidRPr="00034E9B" w:rsidRDefault="00FC0498" w:rsidP="00FF6CBF">
            <w:pPr>
              <w:pStyle w:val="CGCTablerow"/>
              <w:jc w:val="right"/>
              <w:rPr>
                <w:lang w:eastAsia="en-AU"/>
              </w:rPr>
            </w:pPr>
          </w:p>
        </w:tc>
        <w:tc>
          <w:tcPr>
            <w:tcW w:w="780" w:type="dxa"/>
            <w:tcBorders>
              <w:top w:val="single" w:sz="4" w:space="0" w:color="ADD6EA"/>
              <w:left w:val="nil"/>
              <w:bottom w:val="single" w:sz="4" w:space="0" w:color="ADD6EA"/>
              <w:right w:val="nil"/>
            </w:tcBorders>
            <w:shd w:val="clear" w:color="auto" w:fill="auto"/>
            <w:vAlign w:val="bottom"/>
            <w:hideMark/>
          </w:tcPr>
          <w:p w14:paraId="58B72CBB" w14:textId="77777777" w:rsidR="00FC0498" w:rsidRPr="00034E9B" w:rsidRDefault="00FC0498" w:rsidP="00FF6CBF">
            <w:pPr>
              <w:pStyle w:val="CGCTablerow"/>
              <w:jc w:val="right"/>
              <w:rPr>
                <w:lang w:eastAsia="en-AU"/>
              </w:rPr>
            </w:pPr>
            <w:r w:rsidRPr="00034E9B">
              <w:rPr>
                <w:lang w:eastAsia="en-AU"/>
              </w:rPr>
              <w:t xml:space="preserve"> 2,722</w:t>
            </w:r>
          </w:p>
        </w:tc>
        <w:tc>
          <w:tcPr>
            <w:tcW w:w="1200" w:type="dxa"/>
            <w:tcBorders>
              <w:top w:val="single" w:sz="4" w:space="0" w:color="ADD6EA"/>
              <w:left w:val="nil"/>
              <w:bottom w:val="single" w:sz="4" w:space="0" w:color="ADD6EA"/>
              <w:right w:val="nil"/>
            </w:tcBorders>
            <w:shd w:val="clear" w:color="auto" w:fill="auto"/>
            <w:vAlign w:val="bottom"/>
            <w:hideMark/>
          </w:tcPr>
          <w:p w14:paraId="063BE897" w14:textId="77777777" w:rsidR="00FC0498" w:rsidRPr="00034E9B" w:rsidRDefault="00FC0498" w:rsidP="00FF6CBF">
            <w:pPr>
              <w:pStyle w:val="CGCTablerow"/>
              <w:jc w:val="right"/>
              <w:rPr>
                <w:lang w:eastAsia="en-AU"/>
              </w:rPr>
            </w:pPr>
            <w:r w:rsidRPr="00034E9B">
              <w:rPr>
                <w:lang w:eastAsia="en-AU"/>
              </w:rPr>
              <w:t xml:space="preserve"> 2,790</w:t>
            </w:r>
          </w:p>
        </w:tc>
      </w:tr>
      <w:tr w:rsidR="00FC0498" w:rsidRPr="00034E9B" w14:paraId="2070A725" w14:textId="77777777" w:rsidTr="0079565B">
        <w:trPr>
          <w:trHeight w:val="315"/>
        </w:trPr>
        <w:tc>
          <w:tcPr>
            <w:tcW w:w="1600" w:type="dxa"/>
            <w:tcBorders>
              <w:top w:val="single" w:sz="4" w:space="0" w:color="ADD6EA"/>
              <w:left w:val="nil"/>
              <w:bottom w:val="single" w:sz="4" w:space="0" w:color="ADD6EA"/>
              <w:right w:val="nil"/>
            </w:tcBorders>
            <w:shd w:val="clear" w:color="auto" w:fill="auto"/>
            <w:vAlign w:val="bottom"/>
            <w:hideMark/>
          </w:tcPr>
          <w:p w14:paraId="6BD804A3" w14:textId="77777777" w:rsidR="00FC0498" w:rsidRPr="00034E9B" w:rsidRDefault="00FC0498" w:rsidP="00FF6CBF">
            <w:pPr>
              <w:pStyle w:val="CGCTablerow"/>
              <w:rPr>
                <w:lang w:eastAsia="en-AU"/>
              </w:rPr>
            </w:pPr>
            <w:r w:rsidRPr="00034E9B">
              <w:rPr>
                <w:lang w:eastAsia="en-AU"/>
              </w:rPr>
              <w:t>ACT</w:t>
            </w:r>
          </w:p>
        </w:tc>
        <w:tc>
          <w:tcPr>
            <w:tcW w:w="820" w:type="dxa"/>
            <w:tcBorders>
              <w:top w:val="single" w:sz="4" w:space="0" w:color="ADD6EA"/>
              <w:left w:val="nil"/>
              <w:bottom w:val="single" w:sz="4" w:space="0" w:color="ADD6EA"/>
              <w:right w:val="nil"/>
            </w:tcBorders>
            <w:shd w:val="clear" w:color="auto" w:fill="auto"/>
            <w:vAlign w:val="bottom"/>
            <w:hideMark/>
          </w:tcPr>
          <w:p w14:paraId="5936C924" w14:textId="77777777" w:rsidR="00FC0498" w:rsidRPr="00034E9B" w:rsidRDefault="00FC0498" w:rsidP="00FF6CBF">
            <w:pPr>
              <w:pStyle w:val="CGCTablerow"/>
              <w:jc w:val="right"/>
              <w:rPr>
                <w:lang w:eastAsia="en-AU"/>
              </w:rPr>
            </w:pPr>
            <w:r w:rsidRPr="00034E9B">
              <w:rPr>
                <w:lang w:eastAsia="en-AU"/>
              </w:rPr>
              <w:t>1.15746</w:t>
            </w:r>
          </w:p>
        </w:tc>
        <w:tc>
          <w:tcPr>
            <w:tcW w:w="1240" w:type="dxa"/>
            <w:tcBorders>
              <w:top w:val="single" w:sz="4" w:space="0" w:color="ADD6EA"/>
              <w:left w:val="nil"/>
              <w:bottom w:val="single" w:sz="4" w:space="0" w:color="ADD6EA"/>
              <w:right w:val="nil"/>
            </w:tcBorders>
            <w:shd w:val="clear" w:color="auto" w:fill="auto"/>
            <w:vAlign w:val="bottom"/>
            <w:hideMark/>
          </w:tcPr>
          <w:p w14:paraId="25CF4185" w14:textId="77777777" w:rsidR="00FC0498" w:rsidRPr="00034E9B" w:rsidRDefault="00FC0498" w:rsidP="00FF6CBF">
            <w:pPr>
              <w:pStyle w:val="CGCTablerow"/>
              <w:jc w:val="right"/>
              <w:rPr>
                <w:lang w:eastAsia="en-AU"/>
              </w:rPr>
            </w:pPr>
            <w:r w:rsidRPr="00034E9B">
              <w:rPr>
                <w:lang w:eastAsia="en-AU"/>
              </w:rPr>
              <w:t>1.14774</w:t>
            </w:r>
          </w:p>
        </w:tc>
        <w:tc>
          <w:tcPr>
            <w:tcW w:w="720" w:type="dxa"/>
            <w:tcBorders>
              <w:top w:val="single" w:sz="4" w:space="0" w:color="ADD6EA"/>
              <w:left w:val="nil"/>
              <w:bottom w:val="single" w:sz="4" w:space="0" w:color="ADD6EA"/>
              <w:right w:val="nil"/>
            </w:tcBorders>
            <w:shd w:val="clear" w:color="auto" w:fill="auto"/>
            <w:vAlign w:val="bottom"/>
            <w:hideMark/>
          </w:tcPr>
          <w:p w14:paraId="1B11642F" w14:textId="77777777" w:rsidR="00FC0498" w:rsidRPr="00034E9B" w:rsidRDefault="00FC0498" w:rsidP="00FF6CBF">
            <w:pPr>
              <w:pStyle w:val="CGCTablerow"/>
              <w:jc w:val="right"/>
              <w:rPr>
                <w:lang w:eastAsia="en-AU"/>
              </w:rPr>
            </w:pPr>
          </w:p>
        </w:tc>
        <w:tc>
          <w:tcPr>
            <w:tcW w:w="760" w:type="dxa"/>
            <w:tcBorders>
              <w:top w:val="single" w:sz="4" w:space="0" w:color="ADD6EA"/>
              <w:left w:val="nil"/>
              <w:bottom w:val="single" w:sz="4" w:space="0" w:color="ADD6EA"/>
              <w:right w:val="nil"/>
            </w:tcBorders>
            <w:shd w:val="clear" w:color="auto" w:fill="auto"/>
            <w:vAlign w:val="bottom"/>
            <w:hideMark/>
          </w:tcPr>
          <w:p w14:paraId="053D22E3" w14:textId="77777777" w:rsidR="00FC0498" w:rsidRPr="00034E9B" w:rsidRDefault="00FC0498" w:rsidP="00FF6CBF">
            <w:pPr>
              <w:pStyle w:val="CGCTablerow"/>
              <w:jc w:val="right"/>
              <w:rPr>
                <w:lang w:eastAsia="en-AU"/>
              </w:rPr>
            </w:pPr>
            <w:r w:rsidRPr="00034E9B">
              <w:rPr>
                <w:lang w:eastAsia="en-AU"/>
              </w:rPr>
              <w:t>2.0</w:t>
            </w:r>
          </w:p>
        </w:tc>
        <w:tc>
          <w:tcPr>
            <w:tcW w:w="1200" w:type="dxa"/>
            <w:tcBorders>
              <w:top w:val="single" w:sz="4" w:space="0" w:color="ADD6EA"/>
              <w:left w:val="nil"/>
              <w:bottom w:val="single" w:sz="4" w:space="0" w:color="ADD6EA"/>
              <w:right w:val="nil"/>
            </w:tcBorders>
            <w:shd w:val="clear" w:color="auto" w:fill="auto"/>
            <w:vAlign w:val="bottom"/>
            <w:hideMark/>
          </w:tcPr>
          <w:p w14:paraId="157020B4" w14:textId="77777777" w:rsidR="00FC0498" w:rsidRPr="00034E9B" w:rsidRDefault="00FC0498" w:rsidP="00FF6CBF">
            <w:pPr>
              <w:pStyle w:val="CGCTablerow"/>
              <w:jc w:val="right"/>
              <w:rPr>
                <w:lang w:eastAsia="en-AU"/>
              </w:rPr>
            </w:pPr>
            <w:r w:rsidRPr="00034E9B">
              <w:rPr>
                <w:lang w:eastAsia="en-AU"/>
              </w:rPr>
              <w:t>2.0</w:t>
            </w:r>
          </w:p>
        </w:tc>
        <w:tc>
          <w:tcPr>
            <w:tcW w:w="720" w:type="dxa"/>
            <w:tcBorders>
              <w:top w:val="single" w:sz="4" w:space="0" w:color="ADD6EA"/>
              <w:left w:val="nil"/>
              <w:bottom w:val="single" w:sz="4" w:space="0" w:color="ADD6EA"/>
              <w:right w:val="nil"/>
            </w:tcBorders>
            <w:shd w:val="clear" w:color="auto" w:fill="auto"/>
            <w:vAlign w:val="bottom"/>
            <w:hideMark/>
          </w:tcPr>
          <w:p w14:paraId="09A362C0" w14:textId="77777777" w:rsidR="00FC0498" w:rsidRPr="00034E9B" w:rsidRDefault="00FC0498" w:rsidP="00FF6CBF">
            <w:pPr>
              <w:pStyle w:val="CGCTablerow"/>
              <w:jc w:val="right"/>
              <w:rPr>
                <w:lang w:eastAsia="en-AU"/>
              </w:rPr>
            </w:pPr>
          </w:p>
        </w:tc>
        <w:tc>
          <w:tcPr>
            <w:tcW w:w="780" w:type="dxa"/>
            <w:tcBorders>
              <w:top w:val="single" w:sz="4" w:space="0" w:color="ADD6EA"/>
              <w:left w:val="nil"/>
              <w:bottom w:val="single" w:sz="4" w:space="0" w:color="ADD6EA"/>
              <w:right w:val="nil"/>
            </w:tcBorders>
            <w:shd w:val="clear" w:color="auto" w:fill="auto"/>
            <w:vAlign w:val="bottom"/>
            <w:hideMark/>
          </w:tcPr>
          <w:p w14:paraId="5C100C8E" w14:textId="77777777" w:rsidR="00FC0498" w:rsidRPr="00034E9B" w:rsidRDefault="00FC0498" w:rsidP="00FF6CBF">
            <w:pPr>
              <w:pStyle w:val="CGCTablerow"/>
              <w:jc w:val="right"/>
              <w:rPr>
                <w:lang w:eastAsia="en-AU"/>
              </w:rPr>
            </w:pPr>
            <w:r w:rsidRPr="00034E9B">
              <w:rPr>
                <w:lang w:eastAsia="en-AU"/>
              </w:rPr>
              <w:t xml:space="preserve"> 1,451</w:t>
            </w:r>
          </w:p>
        </w:tc>
        <w:tc>
          <w:tcPr>
            <w:tcW w:w="1200" w:type="dxa"/>
            <w:tcBorders>
              <w:top w:val="single" w:sz="4" w:space="0" w:color="ADD6EA"/>
              <w:left w:val="nil"/>
              <w:bottom w:val="single" w:sz="4" w:space="0" w:color="ADD6EA"/>
              <w:right w:val="nil"/>
            </w:tcBorders>
            <w:shd w:val="clear" w:color="auto" w:fill="auto"/>
            <w:vAlign w:val="bottom"/>
            <w:hideMark/>
          </w:tcPr>
          <w:p w14:paraId="6EBE9540" w14:textId="77777777" w:rsidR="00FC0498" w:rsidRPr="00034E9B" w:rsidRDefault="00FC0498" w:rsidP="00FF6CBF">
            <w:pPr>
              <w:pStyle w:val="CGCTablerow"/>
              <w:jc w:val="right"/>
              <w:rPr>
                <w:lang w:eastAsia="en-AU"/>
              </w:rPr>
            </w:pPr>
            <w:r w:rsidRPr="00034E9B">
              <w:rPr>
                <w:lang w:eastAsia="en-AU"/>
              </w:rPr>
              <w:t xml:space="preserve"> 1,514</w:t>
            </w:r>
          </w:p>
        </w:tc>
      </w:tr>
      <w:tr w:rsidR="00FC0498" w:rsidRPr="00034E9B" w14:paraId="3B7FBDFF" w14:textId="77777777" w:rsidTr="0079565B">
        <w:trPr>
          <w:trHeight w:val="315"/>
        </w:trPr>
        <w:tc>
          <w:tcPr>
            <w:tcW w:w="1600" w:type="dxa"/>
            <w:tcBorders>
              <w:top w:val="single" w:sz="4" w:space="0" w:color="ADD6EA"/>
              <w:left w:val="nil"/>
              <w:bottom w:val="single" w:sz="4" w:space="0" w:color="ADD6EA"/>
              <w:right w:val="nil"/>
            </w:tcBorders>
            <w:shd w:val="clear" w:color="auto" w:fill="auto"/>
            <w:vAlign w:val="bottom"/>
            <w:hideMark/>
          </w:tcPr>
          <w:p w14:paraId="1CC909B0" w14:textId="77777777" w:rsidR="00FC0498" w:rsidRPr="00034E9B" w:rsidRDefault="00FC0498" w:rsidP="00FF6CBF">
            <w:pPr>
              <w:pStyle w:val="CGCTablerow"/>
              <w:rPr>
                <w:lang w:eastAsia="en-AU"/>
              </w:rPr>
            </w:pPr>
            <w:r w:rsidRPr="00034E9B">
              <w:rPr>
                <w:lang w:eastAsia="en-AU"/>
              </w:rPr>
              <w:t>NT</w:t>
            </w:r>
          </w:p>
        </w:tc>
        <w:tc>
          <w:tcPr>
            <w:tcW w:w="820" w:type="dxa"/>
            <w:tcBorders>
              <w:top w:val="single" w:sz="4" w:space="0" w:color="ADD6EA"/>
              <w:left w:val="nil"/>
              <w:bottom w:val="single" w:sz="4" w:space="0" w:color="ADD6EA"/>
              <w:right w:val="nil"/>
            </w:tcBorders>
            <w:shd w:val="clear" w:color="auto" w:fill="auto"/>
            <w:vAlign w:val="bottom"/>
            <w:hideMark/>
          </w:tcPr>
          <w:p w14:paraId="67857735" w14:textId="77777777" w:rsidR="00FC0498" w:rsidRPr="00034E9B" w:rsidRDefault="00FC0498" w:rsidP="00FF6CBF">
            <w:pPr>
              <w:pStyle w:val="CGCTablerow"/>
              <w:jc w:val="right"/>
              <w:rPr>
                <w:lang w:eastAsia="en-AU"/>
              </w:rPr>
            </w:pPr>
            <w:r w:rsidRPr="00034E9B">
              <w:rPr>
                <w:lang w:eastAsia="en-AU"/>
              </w:rPr>
              <w:t>4.65978</w:t>
            </w:r>
          </w:p>
        </w:tc>
        <w:tc>
          <w:tcPr>
            <w:tcW w:w="1240" w:type="dxa"/>
            <w:tcBorders>
              <w:top w:val="single" w:sz="4" w:space="0" w:color="ADD6EA"/>
              <w:left w:val="nil"/>
              <w:bottom w:val="single" w:sz="4" w:space="0" w:color="ADD6EA"/>
              <w:right w:val="nil"/>
            </w:tcBorders>
            <w:shd w:val="clear" w:color="auto" w:fill="auto"/>
            <w:vAlign w:val="bottom"/>
            <w:hideMark/>
          </w:tcPr>
          <w:p w14:paraId="063B1708" w14:textId="77777777" w:rsidR="00FC0498" w:rsidRPr="00034E9B" w:rsidRDefault="00FC0498" w:rsidP="00FF6CBF">
            <w:pPr>
              <w:pStyle w:val="CGCTablerow"/>
              <w:jc w:val="right"/>
              <w:rPr>
                <w:lang w:eastAsia="en-AU"/>
              </w:rPr>
            </w:pPr>
            <w:r w:rsidRPr="00034E9B">
              <w:rPr>
                <w:lang w:eastAsia="en-AU"/>
              </w:rPr>
              <w:t>4.83049</w:t>
            </w:r>
          </w:p>
        </w:tc>
        <w:tc>
          <w:tcPr>
            <w:tcW w:w="720" w:type="dxa"/>
            <w:tcBorders>
              <w:top w:val="single" w:sz="4" w:space="0" w:color="ADD6EA"/>
              <w:left w:val="nil"/>
              <w:bottom w:val="single" w:sz="4" w:space="0" w:color="ADD6EA"/>
              <w:right w:val="nil"/>
            </w:tcBorders>
            <w:shd w:val="clear" w:color="auto" w:fill="auto"/>
            <w:vAlign w:val="bottom"/>
            <w:hideMark/>
          </w:tcPr>
          <w:p w14:paraId="23EF3B2A" w14:textId="77777777" w:rsidR="00FC0498" w:rsidRPr="00034E9B" w:rsidRDefault="00FC0498" w:rsidP="00FF6CBF">
            <w:pPr>
              <w:pStyle w:val="CGCTablerow"/>
              <w:jc w:val="right"/>
              <w:rPr>
                <w:lang w:eastAsia="en-AU"/>
              </w:rPr>
            </w:pPr>
          </w:p>
        </w:tc>
        <w:tc>
          <w:tcPr>
            <w:tcW w:w="760" w:type="dxa"/>
            <w:tcBorders>
              <w:top w:val="single" w:sz="4" w:space="0" w:color="ADD6EA"/>
              <w:left w:val="nil"/>
              <w:bottom w:val="single" w:sz="4" w:space="0" w:color="ADD6EA"/>
              <w:right w:val="nil"/>
            </w:tcBorders>
            <w:shd w:val="clear" w:color="auto" w:fill="auto"/>
            <w:vAlign w:val="bottom"/>
            <w:hideMark/>
          </w:tcPr>
          <w:p w14:paraId="2BBD8902" w14:textId="77777777" w:rsidR="00FC0498" w:rsidRPr="00034E9B" w:rsidRDefault="00FC0498" w:rsidP="00FF6CBF">
            <w:pPr>
              <w:pStyle w:val="CGCTablerow"/>
              <w:jc w:val="right"/>
              <w:rPr>
                <w:lang w:eastAsia="en-AU"/>
              </w:rPr>
            </w:pPr>
            <w:r w:rsidRPr="00034E9B">
              <w:rPr>
                <w:lang w:eastAsia="en-AU"/>
              </w:rPr>
              <w:t>4.2</w:t>
            </w:r>
          </w:p>
        </w:tc>
        <w:tc>
          <w:tcPr>
            <w:tcW w:w="1200" w:type="dxa"/>
            <w:tcBorders>
              <w:top w:val="single" w:sz="4" w:space="0" w:color="ADD6EA"/>
              <w:left w:val="nil"/>
              <w:bottom w:val="single" w:sz="4" w:space="0" w:color="ADD6EA"/>
              <w:right w:val="nil"/>
            </w:tcBorders>
            <w:shd w:val="clear" w:color="auto" w:fill="auto"/>
            <w:vAlign w:val="bottom"/>
            <w:hideMark/>
          </w:tcPr>
          <w:p w14:paraId="213DE7E5" w14:textId="77777777" w:rsidR="00FC0498" w:rsidRPr="00034E9B" w:rsidRDefault="00FC0498" w:rsidP="00FF6CBF">
            <w:pPr>
              <w:pStyle w:val="CGCTablerow"/>
              <w:jc w:val="right"/>
              <w:rPr>
                <w:lang w:eastAsia="en-AU"/>
              </w:rPr>
            </w:pPr>
            <w:r w:rsidRPr="00034E9B">
              <w:rPr>
                <w:lang w:eastAsia="en-AU"/>
              </w:rPr>
              <w:t>4.1</w:t>
            </w:r>
          </w:p>
        </w:tc>
        <w:tc>
          <w:tcPr>
            <w:tcW w:w="720" w:type="dxa"/>
            <w:tcBorders>
              <w:top w:val="single" w:sz="4" w:space="0" w:color="ADD6EA"/>
              <w:left w:val="nil"/>
              <w:bottom w:val="single" w:sz="4" w:space="0" w:color="ADD6EA"/>
              <w:right w:val="nil"/>
            </w:tcBorders>
            <w:shd w:val="clear" w:color="auto" w:fill="auto"/>
            <w:vAlign w:val="bottom"/>
            <w:hideMark/>
          </w:tcPr>
          <w:p w14:paraId="5EF611AF" w14:textId="77777777" w:rsidR="00FC0498" w:rsidRPr="00034E9B" w:rsidRDefault="00FC0498" w:rsidP="00FF6CBF">
            <w:pPr>
              <w:pStyle w:val="CGCTablerow"/>
              <w:jc w:val="right"/>
              <w:rPr>
                <w:lang w:eastAsia="en-AU"/>
              </w:rPr>
            </w:pPr>
          </w:p>
        </w:tc>
        <w:tc>
          <w:tcPr>
            <w:tcW w:w="780" w:type="dxa"/>
            <w:tcBorders>
              <w:top w:val="single" w:sz="4" w:space="0" w:color="ADD6EA"/>
              <w:left w:val="nil"/>
              <w:bottom w:val="single" w:sz="4" w:space="0" w:color="ADD6EA"/>
              <w:right w:val="nil"/>
            </w:tcBorders>
            <w:shd w:val="clear" w:color="auto" w:fill="auto"/>
            <w:vAlign w:val="bottom"/>
            <w:hideMark/>
          </w:tcPr>
          <w:p w14:paraId="21114A15" w14:textId="77777777" w:rsidR="00FC0498" w:rsidRPr="00034E9B" w:rsidRDefault="00FC0498" w:rsidP="00FF6CBF">
            <w:pPr>
              <w:pStyle w:val="CGCTablerow"/>
              <w:jc w:val="right"/>
              <w:rPr>
                <w:lang w:eastAsia="en-AU"/>
              </w:rPr>
            </w:pPr>
            <w:r w:rsidRPr="00034E9B">
              <w:rPr>
                <w:lang w:eastAsia="en-AU"/>
              </w:rPr>
              <w:t xml:space="preserve"> 3,334</w:t>
            </w:r>
          </w:p>
        </w:tc>
        <w:tc>
          <w:tcPr>
            <w:tcW w:w="1200" w:type="dxa"/>
            <w:tcBorders>
              <w:top w:val="single" w:sz="4" w:space="0" w:color="ADD6EA"/>
              <w:left w:val="nil"/>
              <w:bottom w:val="single" w:sz="4" w:space="0" w:color="ADD6EA"/>
              <w:right w:val="nil"/>
            </w:tcBorders>
            <w:shd w:val="clear" w:color="auto" w:fill="auto"/>
            <w:vAlign w:val="bottom"/>
            <w:hideMark/>
          </w:tcPr>
          <w:p w14:paraId="2F53C37F" w14:textId="77777777" w:rsidR="00FC0498" w:rsidRPr="00034E9B" w:rsidRDefault="00FC0498" w:rsidP="00FF6CBF">
            <w:pPr>
              <w:pStyle w:val="CGCTablerow"/>
              <w:jc w:val="right"/>
              <w:rPr>
                <w:lang w:eastAsia="en-AU"/>
              </w:rPr>
            </w:pPr>
            <w:r w:rsidRPr="00034E9B">
              <w:rPr>
                <w:lang w:eastAsia="en-AU"/>
              </w:rPr>
              <w:t xml:space="preserve"> 3,592</w:t>
            </w:r>
          </w:p>
        </w:tc>
      </w:tr>
      <w:tr w:rsidR="00FC0498" w:rsidRPr="00034E9B" w14:paraId="4D7BC2C9" w14:textId="77777777" w:rsidTr="0079565B">
        <w:trPr>
          <w:trHeight w:val="315"/>
        </w:trPr>
        <w:tc>
          <w:tcPr>
            <w:tcW w:w="1600" w:type="dxa"/>
            <w:tcBorders>
              <w:top w:val="single" w:sz="4" w:space="0" w:color="ADD6EA"/>
              <w:left w:val="nil"/>
              <w:bottom w:val="single" w:sz="4" w:space="0" w:color="ADD6EA"/>
              <w:right w:val="nil"/>
            </w:tcBorders>
            <w:shd w:val="clear" w:color="auto" w:fill="D6E7F0"/>
            <w:vAlign w:val="bottom"/>
            <w:hideMark/>
          </w:tcPr>
          <w:p w14:paraId="2EA8B7D4" w14:textId="77777777" w:rsidR="00FC0498" w:rsidRPr="00034E9B" w:rsidRDefault="00FC0498" w:rsidP="00FF6CBF">
            <w:pPr>
              <w:pStyle w:val="CGCTablesubhead2"/>
              <w:rPr>
                <w:lang w:val="en-AU" w:eastAsia="en-AU"/>
              </w:rPr>
            </w:pPr>
            <w:r w:rsidRPr="00034E9B">
              <w:rPr>
                <w:lang w:val="en-AU" w:eastAsia="en-AU"/>
              </w:rPr>
              <w:t>Total</w:t>
            </w:r>
          </w:p>
        </w:tc>
        <w:tc>
          <w:tcPr>
            <w:tcW w:w="820" w:type="dxa"/>
            <w:tcBorders>
              <w:top w:val="single" w:sz="4" w:space="0" w:color="ADD6EA"/>
              <w:left w:val="nil"/>
              <w:bottom w:val="single" w:sz="4" w:space="0" w:color="ADD6EA"/>
              <w:right w:val="nil"/>
            </w:tcBorders>
            <w:shd w:val="clear" w:color="auto" w:fill="D6E7F0"/>
            <w:vAlign w:val="bottom"/>
            <w:hideMark/>
          </w:tcPr>
          <w:p w14:paraId="19A111D7" w14:textId="77777777" w:rsidR="00FC0498" w:rsidRPr="00034E9B" w:rsidRDefault="00FC0498" w:rsidP="00FF6CBF">
            <w:pPr>
              <w:pStyle w:val="CGCTablesubhead2"/>
              <w:jc w:val="right"/>
              <w:rPr>
                <w:lang w:val="en-AU" w:eastAsia="en-AU"/>
              </w:rPr>
            </w:pPr>
            <w:r w:rsidRPr="00034E9B">
              <w:rPr>
                <w:lang w:val="en-AU" w:eastAsia="en-AU"/>
              </w:rPr>
              <w:t>1.00000</w:t>
            </w:r>
          </w:p>
        </w:tc>
        <w:tc>
          <w:tcPr>
            <w:tcW w:w="1240" w:type="dxa"/>
            <w:tcBorders>
              <w:top w:val="single" w:sz="4" w:space="0" w:color="ADD6EA"/>
              <w:left w:val="nil"/>
              <w:bottom w:val="single" w:sz="4" w:space="0" w:color="ADD6EA"/>
              <w:right w:val="nil"/>
            </w:tcBorders>
            <w:shd w:val="clear" w:color="auto" w:fill="D6E7F0"/>
            <w:vAlign w:val="bottom"/>
            <w:hideMark/>
          </w:tcPr>
          <w:p w14:paraId="53362611" w14:textId="77777777" w:rsidR="00FC0498" w:rsidRPr="00034E9B" w:rsidRDefault="00FC0498" w:rsidP="00FF6CBF">
            <w:pPr>
              <w:pStyle w:val="CGCTablesubhead2"/>
              <w:jc w:val="right"/>
              <w:rPr>
                <w:lang w:val="en-AU" w:eastAsia="en-AU"/>
              </w:rPr>
            </w:pPr>
            <w:r w:rsidRPr="00034E9B">
              <w:rPr>
                <w:lang w:val="en-AU" w:eastAsia="en-AU"/>
              </w:rPr>
              <w:t>1.00000</w:t>
            </w:r>
          </w:p>
        </w:tc>
        <w:tc>
          <w:tcPr>
            <w:tcW w:w="720" w:type="dxa"/>
            <w:tcBorders>
              <w:top w:val="single" w:sz="4" w:space="0" w:color="ADD6EA"/>
              <w:left w:val="nil"/>
              <w:bottom w:val="single" w:sz="4" w:space="0" w:color="ADD6EA"/>
              <w:right w:val="nil"/>
            </w:tcBorders>
            <w:shd w:val="clear" w:color="auto" w:fill="D6E7F0"/>
            <w:vAlign w:val="bottom"/>
            <w:hideMark/>
          </w:tcPr>
          <w:p w14:paraId="5F5F4685" w14:textId="77777777" w:rsidR="00FC0498" w:rsidRPr="00034E9B" w:rsidRDefault="00FC0498" w:rsidP="00FF6CBF">
            <w:pPr>
              <w:pStyle w:val="CGCTablesubhead2"/>
              <w:jc w:val="right"/>
              <w:rPr>
                <w:lang w:val="en-AU" w:eastAsia="en-AU"/>
              </w:rPr>
            </w:pPr>
            <w:r w:rsidRPr="00034E9B">
              <w:rPr>
                <w:lang w:val="en-AU" w:eastAsia="en-AU"/>
              </w:rPr>
              <w:t> </w:t>
            </w:r>
          </w:p>
        </w:tc>
        <w:tc>
          <w:tcPr>
            <w:tcW w:w="760" w:type="dxa"/>
            <w:tcBorders>
              <w:top w:val="single" w:sz="4" w:space="0" w:color="ADD6EA"/>
              <w:left w:val="nil"/>
              <w:bottom w:val="single" w:sz="4" w:space="0" w:color="ADD6EA"/>
              <w:right w:val="nil"/>
            </w:tcBorders>
            <w:shd w:val="clear" w:color="auto" w:fill="D6E7F0"/>
            <w:vAlign w:val="bottom"/>
            <w:hideMark/>
          </w:tcPr>
          <w:p w14:paraId="65214F2E" w14:textId="77777777" w:rsidR="00FC0498" w:rsidRPr="00034E9B" w:rsidRDefault="00FC0498" w:rsidP="00FF6CBF">
            <w:pPr>
              <w:pStyle w:val="CGCTablesubhead2"/>
              <w:jc w:val="right"/>
              <w:rPr>
                <w:lang w:val="en-AU" w:eastAsia="en-AU"/>
              </w:rPr>
            </w:pPr>
            <w:r w:rsidRPr="00034E9B">
              <w:rPr>
                <w:lang w:val="en-AU" w:eastAsia="en-AU"/>
              </w:rPr>
              <w:t>100.0</w:t>
            </w:r>
          </w:p>
        </w:tc>
        <w:tc>
          <w:tcPr>
            <w:tcW w:w="1200" w:type="dxa"/>
            <w:tcBorders>
              <w:top w:val="single" w:sz="4" w:space="0" w:color="ADD6EA"/>
              <w:left w:val="nil"/>
              <w:bottom w:val="single" w:sz="4" w:space="0" w:color="ADD6EA"/>
              <w:right w:val="nil"/>
            </w:tcBorders>
            <w:shd w:val="clear" w:color="auto" w:fill="D6E7F0"/>
            <w:vAlign w:val="bottom"/>
            <w:hideMark/>
          </w:tcPr>
          <w:p w14:paraId="49E78302" w14:textId="77777777" w:rsidR="00FC0498" w:rsidRPr="00034E9B" w:rsidRDefault="00FC0498" w:rsidP="00FF6CBF">
            <w:pPr>
              <w:pStyle w:val="CGCTablesubhead2"/>
              <w:jc w:val="right"/>
              <w:rPr>
                <w:lang w:val="en-AU" w:eastAsia="en-AU"/>
              </w:rPr>
            </w:pPr>
            <w:r w:rsidRPr="00034E9B">
              <w:rPr>
                <w:lang w:val="en-AU" w:eastAsia="en-AU"/>
              </w:rPr>
              <w:t>100.0</w:t>
            </w:r>
          </w:p>
        </w:tc>
        <w:tc>
          <w:tcPr>
            <w:tcW w:w="720" w:type="dxa"/>
            <w:tcBorders>
              <w:top w:val="single" w:sz="4" w:space="0" w:color="ADD6EA"/>
              <w:left w:val="nil"/>
              <w:bottom w:val="single" w:sz="4" w:space="0" w:color="ADD6EA"/>
              <w:right w:val="nil"/>
            </w:tcBorders>
            <w:shd w:val="clear" w:color="auto" w:fill="D6E7F0"/>
            <w:vAlign w:val="bottom"/>
            <w:hideMark/>
          </w:tcPr>
          <w:p w14:paraId="5199C1C3" w14:textId="77777777" w:rsidR="00FC0498" w:rsidRPr="00034E9B" w:rsidRDefault="00FC0498" w:rsidP="00FF6CBF">
            <w:pPr>
              <w:pStyle w:val="CGCTablesubhead2"/>
              <w:jc w:val="right"/>
              <w:rPr>
                <w:lang w:val="en-AU" w:eastAsia="en-AU"/>
              </w:rPr>
            </w:pPr>
            <w:r w:rsidRPr="00034E9B">
              <w:rPr>
                <w:lang w:val="en-AU" w:eastAsia="en-AU"/>
              </w:rPr>
              <w:t> </w:t>
            </w:r>
          </w:p>
        </w:tc>
        <w:tc>
          <w:tcPr>
            <w:tcW w:w="780" w:type="dxa"/>
            <w:tcBorders>
              <w:top w:val="single" w:sz="4" w:space="0" w:color="ADD6EA"/>
              <w:left w:val="nil"/>
              <w:bottom w:val="single" w:sz="4" w:space="0" w:color="ADD6EA"/>
              <w:right w:val="nil"/>
            </w:tcBorders>
            <w:shd w:val="clear" w:color="auto" w:fill="D6E7F0"/>
            <w:vAlign w:val="bottom"/>
            <w:hideMark/>
          </w:tcPr>
          <w:p w14:paraId="12AB2E1C" w14:textId="77777777" w:rsidR="00FC0498" w:rsidRPr="00034E9B" w:rsidRDefault="00FC0498" w:rsidP="00FF6CBF">
            <w:pPr>
              <w:pStyle w:val="CGCTablesubhead2"/>
              <w:jc w:val="right"/>
              <w:rPr>
                <w:lang w:val="en-AU" w:eastAsia="en-AU"/>
              </w:rPr>
            </w:pPr>
            <w:r w:rsidRPr="00034E9B">
              <w:rPr>
                <w:lang w:val="en-AU" w:eastAsia="en-AU"/>
              </w:rPr>
              <w:t xml:space="preserve"> 74,730</w:t>
            </w:r>
          </w:p>
        </w:tc>
        <w:tc>
          <w:tcPr>
            <w:tcW w:w="1200" w:type="dxa"/>
            <w:tcBorders>
              <w:top w:val="single" w:sz="4" w:space="0" w:color="ADD6EA"/>
              <w:left w:val="nil"/>
              <w:bottom w:val="single" w:sz="4" w:space="0" w:color="ADD6EA"/>
              <w:right w:val="nil"/>
            </w:tcBorders>
            <w:shd w:val="clear" w:color="auto" w:fill="D6E7F0"/>
            <w:vAlign w:val="bottom"/>
            <w:hideMark/>
          </w:tcPr>
          <w:p w14:paraId="4C149A99" w14:textId="77777777" w:rsidR="00FC0498" w:rsidRPr="00034E9B" w:rsidRDefault="00FC0498" w:rsidP="00FF6CBF">
            <w:pPr>
              <w:pStyle w:val="CGCTablesubhead2"/>
              <w:jc w:val="right"/>
              <w:rPr>
                <w:lang w:val="en-AU" w:eastAsia="en-AU"/>
              </w:rPr>
            </w:pPr>
            <w:r w:rsidRPr="00034E9B">
              <w:rPr>
                <w:lang w:val="en-AU" w:eastAsia="en-AU"/>
              </w:rPr>
              <w:t xml:space="preserve"> 78,652</w:t>
            </w:r>
          </w:p>
        </w:tc>
      </w:tr>
    </w:tbl>
    <w:p w14:paraId="1FEC85BE" w14:textId="378583CB" w:rsidR="00FC0498" w:rsidRPr="00034E9B" w:rsidRDefault="00FC0498" w:rsidP="00FC0498">
      <w:pPr>
        <w:pStyle w:val="CGCParaNumber"/>
        <w:keepNext/>
        <w:keepLines/>
        <w:numPr>
          <w:ilvl w:val="0"/>
          <w:numId w:val="26"/>
        </w:numPr>
        <w:ind w:left="567" w:hanging="567"/>
        <w:rPr>
          <w:lang w:val="en-AU"/>
        </w:rPr>
      </w:pPr>
      <w:r w:rsidRPr="00034E9B">
        <w:rPr>
          <w:lang w:val="en-AU"/>
        </w:rPr>
        <w:lastRenderedPageBreak/>
        <w:fldChar w:fldCharType="begin"/>
      </w:r>
      <w:r w:rsidRPr="00034E9B">
        <w:rPr>
          <w:lang w:val="en-AU"/>
        </w:rPr>
        <w:instrText xml:space="preserve"> REF _Ref18058941 \h  \* MERGEFORMAT </w:instrText>
      </w:r>
      <w:r w:rsidRPr="00034E9B">
        <w:rPr>
          <w:lang w:val="en-AU"/>
        </w:rPr>
      </w:r>
      <w:r w:rsidRPr="00034E9B">
        <w:rPr>
          <w:lang w:val="en-AU"/>
        </w:rPr>
        <w:fldChar w:fldCharType="separate"/>
      </w:r>
      <w:r w:rsidR="004A0DFA" w:rsidRPr="004A0DFA">
        <w:rPr>
          <w:lang w:val="en-AU"/>
        </w:rPr>
        <w:t>Table 4A-2</w:t>
      </w:r>
      <w:r w:rsidRPr="00034E9B">
        <w:rPr>
          <w:lang w:val="en-AU"/>
        </w:rPr>
        <w:fldChar w:fldCharType="end"/>
      </w:r>
      <w:r w:rsidRPr="00034E9B">
        <w:rPr>
          <w:lang w:val="en-AU"/>
        </w:rPr>
        <w:t xml:space="preserve"> is a simplified version of the process used to calculate the recommended grant sharing relativities. Text along the lines of the following may provide suitable guidance for understanding this table.</w:t>
      </w:r>
    </w:p>
    <w:p w14:paraId="4FD39301" w14:textId="6A55FD5E" w:rsidR="00FC0498" w:rsidRPr="009E30A6" w:rsidRDefault="00FC0498" w:rsidP="00FC0498">
      <w:pPr>
        <w:keepNext/>
        <w:keepLines/>
        <w:spacing w:before="0" w:after="80" w:line="320" w:lineRule="atLeast"/>
        <w:ind w:left="993"/>
        <w:rPr>
          <w:rFonts w:cs="Open Sans Light"/>
          <w:i/>
          <w:szCs w:val="20"/>
        </w:rPr>
      </w:pPr>
      <w:r w:rsidRPr="00034E9B">
        <w:rPr>
          <w:i/>
        </w:rPr>
        <w:fldChar w:fldCharType="begin"/>
      </w:r>
      <w:r w:rsidRPr="00034E9B">
        <w:rPr>
          <w:i/>
        </w:rPr>
        <w:instrText xml:space="preserve"> REF _Ref18058941 \h  \* MERGEFORMAT </w:instrText>
      </w:r>
      <w:r w:rsidRPr="00034E9B">
        <w:rPr>
          <w:i/>
        </w:rPr>
      </w:r>
      <w:r w:rsidRPr="00034E9B">
        <w:rPr>
          <w:i/>
        </w:rPr>
        <w:fldChar w:fldCharType="separate"/>
      </w:r>
      <w:r w:rsidR="004A0DFA" w:rsidRPr="004A0DFA">
        <w:rPr>
          <w:i/>
        </w:rPr>
        <w:t>Table 4A-2</w:t>
      </w:r>
      <w:r w:rsidRPr="00034E9B">
        <w:rPr>
          <w:i/>
        </w:rPr>
        <w:fldChar w:fldCharType="end"/>
      </w:r>
      <w:r w:rsidRPr="00034E9B">
        <w:rPr>
          <w:i/>
        </w:rPr>
        <w:t xml:space="preserve"> shows how the grant sharing relativities are derived from the assessed relative fiscal capacities. The Commission calculates each State’s relative fiscal capacity, and then adjusts it to ensure that no State has a fiscal capacity below that of the stronger of New South Wales or Victoria, to form the standard State fiscal capacities</w:t>
      </w:r>
      <w:r w:rsidR="00F23419">
        <w:rPr>
          <w:i/>
        </w:rPr>
        <w:t>.</w:t>
      </w:r>
      <w:r w:rsidRPr="00034E9B">
        <w:rPr>
          <w:i/>
          <w:vertAlign w:val="superscript"/>
        </w:rPr>
        <w:footnoteReference w:id="67"/>
      </w:r>
      <w:r w:rsidRPr="00034E9B">
        <w:rPr>
          <w:i/>
        </w:rPr>
        <w:t xml:space="preserve"> This has the effect of increasing the measure of fiscal capacity of States below the standard State, while decreasing the fiscal capacity of all other States, including the standard State. The Commission then blends these two approaches as prescribed in the legislation, for 2022-23 being 4/6ths relative fiscal capacities and 2/6ths standard State fiscal capacities</w:t>
      </w:r>
      <w:r w:rsidR="00F23419">
        <w:rPr>
          <w:i/>
        </w:rPr>
        <w:t>.</w:t>
      </w:r>
      <w:r w:rsidRPr="00034E9B">
        <w:rPr>
          <w:i/>
          <w:vertAlign w:val="superscript"/>
        </w:rPr>
        <w:footnoteReference w:id="68"/>
      </w:r>
      <w:r w:rsidRPr="00034E9B">
        <w:rPr>
          <w:i/>
        </w:rPr>
        <w:t xml:space="preserve"> The final stage is to ensure that no State is below the prescribed relativity floor, being 0.7 in 2022</w:t>
      </w:r>
      <w:r w:rsidRPr="00034E9B">
        <w:rPr>
          <w:i/>
        </w:rPr>
        <w:noBreakHyphen/>
        <w:t>23</w:t>
      </w:r>
      <w:r w:rsidR="00F23419">
        <w:rPr>
          <w:i/>
        </w:rPr>
        <w:t>.</w:t>
      </w:r>
      <w:r w:rsidRPr="00034E9B">
        <w:rPr>
          <w:i/>
          <w:vertAlign w:val="superscript"/>
        </w:rPr>
        <w:footnoteReference w:id="69"/>
      </w:r>
      <w:r w:rsidRPr="00034E9B">
        <w:rPr>
          <w:i/>
        </w:rPr>
        <w:t xml:space="preserve"> In the event moving Western Australia’s relativity to this floor is required, it would result in other State relativities falling slightly to compensate</w:t>
      </w:r>
      <w:r w:rsidRPr="009E30A6">
        <w:rPr>
          <w:rFonts w:cs="Open Sans Light"/>
          <w:i/>
          <w:szCs w:val="20"/>
        </w:rPr>
        <w:t xml:space="preserve">. </w:t>
      </w:r>
    </w:p>
    <w:p w14:paraId="02BB640F" w14:textId="3518A13C" w:rsidR="00FC0498" w:rsidRPr="00034E9B" w:rsidRDefault="00FC0498" w:rsidP="00FC0498">
      <w:pPr>
        <w:pStyle w:val="Caption"/>
      </w:pPr>
      <w:bookmarkStart w:id="197" w:name="_Ref18058941"/>
      <w:r w:rsidRPr="00034E9B">
        <w:t>Table 4A-</w:t>
      </w:r>
      <w:r w:rsidRPr="00034E9B">
        <w:rPr>
          <w:noProof/>
        </w:rPr>
        <w:fldChar w:fldCharType="begin"/>
      </w:r>
      <w:r w:rsidRPr="00034E9B">
        <w:rPr>
          <w:noProof/>
        </w:rPr>
        <w:instrText xml:space="preserve"> SEQ Table \* ARABIC </w:instrText>
      </w:r>
      <w:r w:rsidRPr="00034E9B">
        <w:rPr>
          <w:noProof/>
        </w:rPr>
        <w:fldChar w:fldCharType="separate"/>
      </w:r>
      <w:r w:rsidR="004A0DFA">
        <w:rPr>
          <w:noProof/>
        </w:rPr>
        <w:t>2</w:t>
      </w:r>
      <w:r w:rsidRPr="00034E9B">
        <w:rPr>
          <w:noProof/>
        </w:rPr>
        <w:fldChar w:fldCharType="end"/>
      </w:r>
      <w:bookmarkEnd w:id="197"/>
      <w:r w:rsidRPr="00034E9B">
        <w:tab/>
        <w:t xml:space="preserve">Fiscal </w:t>
      </w:r>
      <w:r w:rsidR="009E30A6">
        <w:t>c</w:t>
      </w:r>
      <w:r w:rsidRPr="00034E9B">
        <w:t xml:space="preserve">apacities and </w:t>
      </w:r>
      <w:r w:rsidR="009E30A6">
        <w:t>g</w:t>
      </w:r>
      <w:r w:rsidRPr="00034E9B">
        <w:t>rant sharing relativities, 2022-23</w:t>
      </w:r>
    </w:p>
    <w:tbl>
      <w:tblPr>
        <w:tblW w:w="8960" w:type="dxa"/>
        <w:tblBorders>
          <w:top w:val="single" w:sz="4" w:space="0" w:color="ADD6EA"/>
          <w:bottom w:val="single" w:sz="4" w:space="0" w:color="ADD6EA"/>
          <w:insideH w:val="single" w:sz="4" w:space="0" w:color="ADD6EA"/>
        </w:tblBorders>
        <w:tblLayout w:type="fixed"/>
        <w:tblCellMar>
          <w:left w:w="0" w:type="dxa"/>
          <w:right w:w="0" w:type="dxa"/>
        </w:tblCellMar>
        <w:tblLook w:val="04A0" w:firstRow="1" w:lastRow="0" w:firstColumn="1" w:lastColumn="0" w:noHBand="0" w:noVBand="1"/>
      </w:tblPr>
      <w:tblGrid>
        <w:gridCol w:w="1000"/>
        <w:gridCol w:w="1060"/>
        <w:gridCol w:w="480"/>
        <w:gridCol w:w="1120"/>
        <w:gridCol w:w="480"/>
        <w:gridCol w:w="1320"/>
        <w:gridCol w:w="480"/>
        <w:gridCol w:w="1120"/>
        <w:gridCol w:w="480"/>
        <w:gridCol w:w="1420"/>
      </w:tblGrid>
      <w:tr w:rsidR="00FC0498" w:rsidRPr="00034E9B" w14:paraId="0BFC16A1" w14:textId="77777777" w:rsidTr="00FF6CBF">
        <w:trPr>
          <w:trHeight w:val="555"/>
        </w:trPr>
        <w:tc>
          <w:tcPr>
            <w:tcW w:w="1000" w:type="dxa"/>
            <w:shd w:val="clear" w:color="auto" w:fill="006991"/>
            <w:noWrap/>
            <w:vAlign w:val="center"/>
            <w:hideMark/>
          </w:tcPr>
          <w:p w14:paraId="69FA4CFE" w14:textId="77777777" w:rsidR="00FC0498" w:rsidRPr="00034E9B" w:rsidRDefault="00FC0498" w:rsidP="00FF6CBF">
            <w:pPr>
              <w:pStyle w:val="CGCTableheader"/>
              <w:jc w:val="right"/>
              <w:rPr>
                <w:lang w:val="en-AU" w:eastAsia="en-AU"/>
              </w:rPr>
            </w:pPr>
            <w:bookmarkStart w:id="198" w:name="RANGE!A4:J13"/>
            <w:bookmarkStart w:id="199" w:name="_Ref507000885"/>
            <w:r w:rsidRPr="00034E9B">
              <w:rPr>
                <w:lang w:val="en-AU" w:eastAsia="en-AU"/>
              </w:rPr>
              <w:t> </w:t>
            </w:r>
            <w:bookmarkEnd w:id="198"/>
          </w:p>
        </w:tc>
        <w:tc>
          <w:tcPr>
            <w:tcW w:w="1060" w:type="dxa"/>
            <w:shd w:val="clear" w:color="auto" w:fill="006991"/>
            <w:vAlign w:val="center"/>
            <w:hideMark/>
          </w:tcPr>
          <w:p w14:paraId="4268994C" w14:textId="77777777" w:rsidR="00FC0498" w:rsidRPr="00034E9B" w:rsidRDefault="00FC0498" w:rsidP="00FF6CBF">
            <w:pPr>
              <w:pStyle w:val="CGCTableheader"/>
              <w:jc w:val="right"/>
              <w:rPr>
                <w:lang w:val="en-AU" w:eastAsia="en-AU"/>
              </w:rPr>
            </w:pPr>
            <w:r w:rsidRPr="00034E9B">
              <w:rPr>
                <w:lang w:val="en-AU" w:eastAsia="en-AU"/>
              </w:rPr>
              <w:t xml:space="preserve"> Fiscal capacity (a)</w:t>
            </w:r>
          </w:p>
        </w:tc>
        <w:tc>
          <w:tcPr>
            <w:tcW w:w="480" w:type="dxa"/>
            <w:shd w:val="clear" w:color="auto" w:fill="006991"/>
            <w:vAlign w:val="center"/>
            <w:hideMark/>
          </w:tcPr>
          <w:p w14:paraId="41CDCE1A" w14:textId="77777777" w:rsidR="00FC0498" w:rsidRPr="00034E9B" w:rsidRDefault="00FC0498" w:rsidP="00FF6CBF">
            <w:pPr>
              <w:pStyle w:val="CGCTableheader"/>
              <w:jc w:val="right"/>
              <w:rPr>
                <w:lang w:val="en-AU" w:eastAsia="en-AU"/>
              </w:rPr>
            </w:pPr>
            <w:r w:rsidRPr="00034E9B">
              <w:rPr>
                <w:lang w:val="en-AU" w:eastAsia="en-AU"/>
              </w:rPr>
              <w:t> </w:t>
            </w:r>
          </w:p>
        </w:tc>
        <w:tc>
          <w:tcPr>
            <w:tcW w:w="1120" w:type="dxa"/>
            <w:shd w:val="clear" w:color="auto" w:fill="006991"/>
            <w:vAlign w:val="center"/>
            <w:hideMark/>
          </w:tcPr>
          <w:p w14:paraId="0F689EF4" w14:textId="77777777" w:rsidR="00FC0498" w:rsidRPr="00034E9B" w:rsidRDefault="00FC0498" w:rsidP="00FF6CBF">
            <w:pPr>
              <w:pStyle w:val="CGCTableheader"/>
              <w:jc w:val="right"/>
              <w:rPr>
                <w:lang w:val="en-AU" w:eastAsia="en-AU"/>
              </w:rPr>
            </w:pPr>
            <w:r w:rsidRPr="00034E9B">
              <w:rPr>
                <w:lang w:val="en-AU" w:eastAsia="en-AU"/>
              </w:rPr>
              <w:t xml:space="preserve"> Standard  state </w:t>
            </w:r>
          </w:p>
        </w:tc>
        <w:tc>
          <w:tcPr>
            <w:tcW w:w="480" w:type="dxa"/>
            <w:shd w:val="clear" w:color="auto" w:fill="006991"/>
            <w:vAlign w:val="center"/>
            <w:hideMark/>
          </w:tcPr>
          <w:p w14:paraId="3BA6B282" w14:textId="77777777" w:rsidR="00FC0498" w:rsidRPr="00034E9B" w:rsidRDefault="00FC0498" w:rsidP="00FF6CBF">
            <w:pPr>
              <w:pStyle w:val="CGCTableheader"/>
              <w:jc w:val="right"/>
              <w:rPr>
                <w:lang w:val="en-AU" w:eastAsia="en-AU"/>
              </w:rPr>
            </w:pPr>
            <w:r w:rsidRPr="00034E9B">
              <w:rPr>
                <w:lang w:val="en-AU" w:eastAsia="en-AU"/>
              </w:rPr>
              <w:t> </w:t>
            </w:r>
          </w:p>
        </w:tc>
        <w:tc>
          <w:tcPr>
            <w:tcW w:w="1320" w:type="dxa"/>
            <w:shd w:val="clear" w:color="auto" w:fill="006991"/>
            <w:vAlign w:val="center"/>
            <w:hideMark/>
          </w:tcPr>
          <w:p w14:paraId="051B0417" w14:textId="77777777" w:rsidR="00FC0498" w:rsidRPr="00034E9B" w:rsidRDefault="00FC0498" w:rsidP="00FF6CBF">
            <w:pPr>
              <w:pStyle w:val="CGCTableheader"/>
              <w:jc w:val="right"/>
              <w:rPr>
                <w:lang w:val="en-AU" w:eastAsia="en-AU"/>
              </w:rPr>
            </w:pPr>
            <w:r w:rsidRPr="00034E9B">
              <w:rPr>
                <w:lang w:val="en-AU" w:eastAsia="en-AU"/>
              </w:rPr>
              <w:t xml:space="preserve"> 2/6ths transition</w:t>
            </w:r>
          </w:p>
        </w:tc>
        <w:tc>
          <w:tcPr>
            <w:tcW w:w="480" w:type="dxa"/>
            <w:shd w:val="clear" w:color="auto" w:fill="006991"/>
            <w:vAlign w:val="center"/>
            <w:hideMark/>
          </w:tcPr>
          <w:p w14:paraId="7878982E" w14:textId="77777777" w:rsidR="00FC0498" w:rsidRPr="00034E9B" w:rsidRDefault="00FC0498" w:rsidP="00FF6CBF">
            <w:pPr>
              <w:pStyle w:val="CGCTableheader"/>
              <w:jc w:val="right"/>
              <w:rPr>
                <w:lang w:val="en-AU" w:eastAsia="en-AU"/>
              </w:rPr>
            </w:pPr>
            <w:r w:rsidRPr="00034E9B">
              <w:rPr>
                <w:lang w:val="en-AU" w:eastAsia="en-AU"/>
              </w:rPr>
              <w:t> </w:t>
            </w:r>
          </w:p>
        </w:tc>
        <w:tc>
          <w:tcPr>
            <w:tcW w:w="1120" w:type="dxa"/>
            <w:shd w:val="clear" w:color="auto" w:fill="006991"/>
            <w:vAlign w:val="center"/>
            <w:hideMark/>
          </w:tcPr>
          <w:p w14:paraId="457314E5" w14:textId="77777777" w:rsidR="00FC0498" w:rsidRPr="00034E9B" w:rsidRDefault="00FC0498" w:rsidP="00FF6CBF">
            <w:pPr>
              <w:pStyle w:val="CGCTableheader"/>
              <w:jc w:val="right"/>
              <w:rPr>
                <w:lang w:val="en-AU" w:eastAsia="en-AU"/>
              </w:rPr>
            </w:pPr>
            <w:r w:rsidRPr="00034E9B">
              <w:rPr>
                <w:lang w:val="en-AU" w:eastAsia="en-AU"/>
              </w:rPr>
              <w:t xml:space="preserve"> Implement floor  </w:t>
            </w:r>
          </w:p>
        </w:tc>
        <w:tc>
          <w:tcPr>
            <w:tcW w:w="480" w:type="dxa"/>
            <w:shd w:val="clear" w:color="auto" w:fill="006991"/>
            <w:vAlign w:val="center"/>
            <w:hideMark/>
          </w:tcPr>
          <w:p w14:paraId="6AF57C84" w14:textId="77777777" w:rsidR="00FC0498" w:rsidRPr="00034E9B" w:rsidRDefault="00FC0498" w:rsidP="00FF6CBF">
            <w:pPr>
              <w:pStyle w:val="CGCTableheader"/>
              <w:jc w:val="right"/>
              <w:rPr>
                <w:lang w:val="en-AU" w:eastAsia="en-AU"/>
              </w:rPr>
            </w:pPr>
            <w:r w:rsidRPr="00034E9B">
              <w:rPr>
                <w:lang w:val="en-AU" w:eastAsia="en-AU"/>
              </w:rPr>
              <w:t> </w:t>
            </w:r>
          </w:p>
        </w:tc>
        <w:tc>
          <w:tcPr>
            <w:tcW w:w="1420" w:type="dxa"/>
            <w:shd w:val="clear" w:color="auto" w:fill="006991"/>
            <w:vAlign w:val="center"/>
            <w:hideMark/>
          </w:tcPr>
          <w:p w14:paraId="66B6C04C" w14:textId="13233A7F" w:rsidR="00FC0498" w:rsidRPr="00034E9B" w:rsidRDefault="00FC0498" w:rsidP="00081353">
            <w:pPr>
              <w:pStyle w:val="CGCTableheader"/>
              <w:ind w:right="57"/>
              <w:jc w:val="right"/>
              <w:rPr>
                <w:lang w:val="en-AU" w:eastAsia="en-AU"/>
              </w:rPr>
            </w:pPr>
            <w:r w:rsidRPr="00034E9B">
              <w:rPr>
                <w:lang w:val="en-AU" w:eastAsia="en-AU"/>
              </w:rPr>
              <w:t xml:space="preserve"> GST </w:t>
            </w:r>
            <w:r w:rsidR="00081353" w:rsidRPr="00034E9B">
              <w:rPr>
                <w:lang w:val="en-AU" w:eastAsia="en-AU"/>
              </w:rPr>
              <w:br/>
            </w:r>
            <w:r w:rsidRPr="00034E9B">
              <w:rPr>
                <w:lang w:val="en-AU" w:eastAsia="en-AU"/>
              </w:rPr>
              <w:t xml:space="preserve">Relativities  </w:t>
            </w:r>
          </w:p>
        </w:tc>
      </w:tr>
      <w:tr w:rsidR="00FC0498" w:rsidRPr="00034E9B" w14:paraId="198BC7CD" w14:textId="77777777" w:rsidTr="00FF6CBF">
        <w:trPr>
          <w:trHeight w:val="315"/>
        </w:trPr>
        <w:tc>
          <w:tcPr>
            <w:tcW w:w="1000" w:type="dxa"/>
            <w:shd w:val="clear" w:color="auto" w:fill="auto"/>
            <w:vAlign w:val="bottom"/>
            <w:hideMark/>
          </w:tcPr>
          <w:p w14:paraId="60FCCAFE" w14:textId="77777777" w:rsidR="00FC0498" w:rsidRPr="00034E9B" w:rsidRDefault="00FC0498" w:rsidP="00FF6CBF">
            <w:pPr>
              <w:pStyle w:val="CGCTablerow"/>
              <w:rPr>
                <w:color w:val="000000"/>
                <w:lang w:eastAsia="en-AU"/>
              </w:rPr>
            </w:pPr>
            <w:r w:rsidRPr="00034E9B">
              <w:rPr>
                <w:color w:val="000000"/>
                <w:lang w:eastAsia="en-AU"/>
              </w:rPr>
              <w:t>NSW</w:t>
            </w:r>
          </w:p>
        </w:tc>
        <w:tc>
          <w:tcPr>
            <w:tcW w:w="1060" w:type="dxa"/>
            <w:shd w:val="clear" w:color="auto" w:fill="auto"/>
            <w:vAlign w:val="bottom"/>
            <w:hideMark/>
          </w:tcPr>
          <w:p w14:paraId="5D046E6E" w14:textId="77777777" w:rsidR="00FC0498" w:rsidRPr="00034E9B" w:rsidRDefault="00FC0498" w:rsidP="00FF6CBF">
            <w:pPr>
              <w:pStyle w:val="CGCTablerow"/>
              <w:jc w:val="right"/>
              <w:rPr>
                <w:color w:val="000000"/>
                <w:lang w:eastAsia="en-AU"/>
              </w:rPr>
            </w:pPr>
            <w:r w:rsidRPr="00034E9B">
              <w:rPr>
                <w:color w:val="000000"/>
                <w:lang w:eastAsia="en-AU"/>
              </w:rPr>
              <w:t>0.813</w:t>
            </w:r>
          </w:p>
        </w:tc>
        <w:tc>
          <w:tcPr>
            <w:tcW w:w="480" w:type="dxa"/>
            <w:shd w:val="clear" w:color="auto" w:fill="auto"/>
            <w:vAlign w:val="bottom"/>
            <w:hideMark/>
          </w:tcPr>
          <w:p w14:paraId="0E0D4AFB" w14:textId="77777777" w:rsidR="00FC0498" w:rsidRPr="00034E9B" w:rsidRDefault="00FC0498" w:rsidP="00FF6CBF">
            <w:pPr>
              <w:pStyle w:val="CGCTablerow"/>
              <w:jc w:val="right"/>
              <w:rPr>
                <w:color w:val="000000"/>
                <w:lang w:eastAsia="en-AU"/>
              </w:rPr>
            </w:pPr>
          </w:p>
        </w:tc>
        <w:tc>
          <w:tcPr>
            <w:tcW w:w="1120" w:type="dxa"/>
            <w:shd w:val="clear" w:color="auto" w:fill="auto"/>
            <w:vAlign w:val="bottom"/>
            <w:hideMark/>
          </w:tcPr>
          <w:p w14:paraId="2F022A92" w14:textId="77777777" w:rsidR="00FC0498" w:rsidRPr="00034E9B" w:rsidRDefault="00FC0498" w:rsidP="00FF6CBF">
            <w:pPr>
              <w:pStyle w:val="CGCTablerow"/>
              <w:jc w:val="right"/>
              <w:rPr>
                <w:color w:val="000000"/>
                <w:lang w:eastAsia="en-AU"/>
              </w:rPr>
            </w:pPr>
            <w:r w:rsidRPr="00034E9B">
              <w:rPr>
                <w:color w:val="000000"/>
                <w:lang w:eastAsia="en-AU"/>
              </w:rPr>
              <w:t>0.800</w:t>
            </w:r>
          </w:p>
        </w:tc>
        <w:tc>
          <w:tcPr>
            <w:tcW w:w="480" w:type="dxa"/>
            <w:shd w:val="clear" w:color="auto" w:fill="auto"/>
            <w:vAlign w:val="bottom"/>
            <w:hideMark/>
          </w:tcPr>
          <w:p w14:paraId="0127DD0A" w14:textId="77777777" w:rsidR="00FC0498" w:rsidRPr="00034E9B" w:rsidRDefault="00FC0498" w:rsidP="00FF6CBF">
            <w:pPr>
              <w:pStyle w:val="CGCTablerow"/>
              <w:jc w:val="right"/>
              <w:rPr>
                <w:color w:val="000000"/>
                <w:lang w:eastAsia="en-AU"/>
              </w:rPr>
            </w:pPr>
          </w:p>
        </w:tc>
        <w:tc>
          <w:tcPr>
            <w:tcW w:w="1320" w:type="dxa"/>
            <w:shd w:val="clear" w:color="auto" w:fill="auto"/>
            <w:vAlign w:val="bottom"/>
            <w:hideMark/>
          </w:tcPr>
          <w:p w14:paraId="71576C5F" w14:textId="77777777" w:rsidR="00FC0498" w:rsidRPr="00034E9B" w:rsidRDefault="00FC0498" w:rsidP="00FF6CBF">
            <w:pPr>
              <w:pStyle w:val="CGCTablerow"/>
              <w:jc w:val="right"/>
              <w:rPr>
                <w:color w:val="000000"/>
                <w:lang w:eastAsia="en-AU"/>
              </w:rPr>
            </w:pPr>
            <w:r w:rsidRPr="00034E9B">
              <w:rPr>
                <w:color w:val="000000"/>
                <w:lang w:eastAsia="en-AU"/>
              </w:rPr>
              <w:t>0.808</w:t>
            </w:r>
          </w:p>
        </w:tc>
        <w:tc>
          <w:tcPr>
            <w:tcW w:w="480" w:type="dxa"/>
            <w:shd w:val="clear" w:color="auto" w:fill="auto"/>
            <w:vAlign w:val="bottom"/>
            <w:hideMark/>
          </w:tcPr>
          <w:p w14:paraId="41E56B01" w14:textId="77777777" w:rsidR="00FC0498" w:rsidRPr="00034E9B" w:rsidRDefault="00FC0498" w:rsidP="00FF6CBF">
            <w:pPr>
              <w:pStyle w:val="CGCTablerow"/>
              <w:jc w:val="right"/>
              <w:rPr>
                <w:color w:val="000000"/>
                <w:lang w:eastAsia="en-AU"/>
              </w:rPr>
            </w:pPr>
          </w:p>
        </w:tc>
        <w:tc>
          <w:tcPr>
            <w:tcW w:w="1120" w:type="dxa"/>
            <w:shd w:val="clear" w:color="auto" w:fill="auto"/>
            <w:vAlign w:val="bottom"/>
            <w:hideMark/>
          </w:tcPr>
          <w:p w14:paraId="1946D95C" w14:textId="77777777" w:rsidR="00FC0498" w:rsidRPr="00034E9B" w:rsidRDefault="00FC0498" w:rsidP="00FF6CBF">
            <w:pPr>
              <w:pStyle w:val="CGCTablerow"/>
              <w:jc w:val="right"/>
              <w:rPr>
                <w:color w:val="000000"/>
                <w:lang w:eastAsia="en-AU"/>
              </w:rPr>
            </w:pPr>
            <w:r w:rsidRPr="00034E9B">
              <w:rPr>
                <w:color w:val="000000"/>
                <w:lang w:eastAsia="en-AU"/>
              </w:rPr>
              <w:t>0.700</w:t>
            </w:r>
          </w:p>
        </w:tc>
        <w:tc>
          <w:tcPr>
            <w:tcW w:w="480" w:type="dxa"/>
            <w:shd w:val="clear" w:color="auto" w:fill="auto"/>
            <w:vAlign w:val="bottom"/>
            <w:hideMark/>
          </w:tcPr>
          <w:p w14:paraId="4E0D69A6" w14:textId="77777777" w:rsidR="00FC0498" w:rsidRPr="00034E9B" w:rsidRDefault="00FC0498" w:rsidP="00FF6CBF">
            <w:pPr>
              <w:pStyle w:val="CGCTablerow"/>
              <w:jc w:val="right"/>
              <w:rPr>
                <w:color w:val="000000"/>
                <w:lang w:eastAsia="en-AU"/>
              </w:rPr>
            </w:pPr>
          </w:p>
        </w:tc>
        <w:tc>
          <w:tcPr>
            <w:tcW w:w="1420" w:type="dxa"/>
            <w:shd w:val="clear" w:color="auto" w:fill="auto"/>
            <w:vAlign w:val="bottom"/>
            <w:hideMark/>
          </w:tcPr>
          <w:p w14:paraId="739AED3A" w14:textId="77777777" w:rsidR="00FC0498" w:rsidRPr="00034E9B" w:rsidRDefault="00FC0498" w:rsidP="00081353">
            <w:pPr>
              <w:pStyle w:val="CGCTablerow"/>
              <w:ind w:right="57"/>
              <w:jc w:val="right"/>
              <w:rPr>
                <w:color w:val="000000"/>
                <w:lang w:eastAsia="en-AU"/>
              </w:rPr>
            </w:pPr>
            <w:r w:rsidRPr="00034E9B">
              <w:rPr>
                <w:color w:val="000000"/>
                <w:lang w:eastAsia="en-AU"/>
              </w:rPr>
              <w:t>0.808</w:t>
            </w:r>
          </w:p>
        </w:tc>
      </w:tr>
      <w:tr w:rsidR="00FC0498" w:rsidRPr="00034E9B" w14:paraId="3290D803" w14:textId="77777777" w:rsidTr="00FF6CBF">
        <w:trPr>
          <w:trHeight w:val="315"/>
        </w:trPr>
        <w:tc>
          <w:tcPr>
            <w:tcW w:w="1000" w:type="dxa"/>
            <w:shd w:val="clear" w:color="auto" w:fill="auto"/>
            <w:vAlign w:val="bottom"/>
            <w:hideMark/>
          </w:tcPr>
          <w:p w14:paraId="227CD585" w14:textId="77777777" w:rsidR="00FC0498" w:rsidRPr="00034E9B" w:rsidRDefault="00FC0498" w:rsidP="00FF6CBF">
            <w:pPr>
              <w:pStyle w:val="CGCTablerow"/>
              <w:rPr>
                <w:color w:val="000000"/>
                <w:lang w:eastAsia="en-AU"/>
              </w:rPr>
            </w:pPr>
            <w:r w:rsidRPr="00034E9B">
              <w:rPr>
                <w:color w:val="000000"/>
                <w:lang w:eastAsia="en-AU"/>
              </w:rPr>
              <w:t>Vic</w:t>
            </w:r>
          </w:p>
        </w:tc>
        <w:tc>
          <w:tcPr>
            <w:tcW w:w="1060" w:type="dxa"/>
            <w:shd w:val="clear" w:color="auto" w:fill="auto"/>
            <w:vAlign w:val="bottom"/>
            <w:hideMark/>
          </w:tcPr>
          <w:p w14:paraId="2A182530" w14:textId="77777777" w:rsidR="00FC0498" w:rsidRPr="00034E9B" w:rsidRDefault="00FC0498" w:rsidP="00FF6CBF">
            <w:pPr>
              <w:pStyle w:val="CGCTablerow"/>
              <w:jc w:val="right"/>
              <w:rPr>
                <w:color w:val="000000"/>
                <w:lang w:eastAsia="en-AU"/>
              </w:rPr>
            </w:pPr>
            <w:r w:rsidRPr="00034E9B">
              <w:rPr>
                <w:color w:val="000000"/>
                <w:lang w:eastAsia="en-AU"/>
              </w:rPr>
              <w:t>0.933</w:t>
            </w:r>
          </w:p>
        </w:tc>
        <w:tc>
          <w:tcPr>
            <w:tcW w:w="480" w:type="dxa"/>
            <w:shd w:val="clear" w:color="auto" w:fill="auto"/>
            <w:vAlign w:val="bottom"/>
            <w:hideMark/>
          </w:tcPr>
          <w:p w14:paraId="7B575C0E" w14:textId="77777777" w:rsidR="00FC0498" w:rsidRPr="00034E9B" w:rsidRDefault="00FC0498" w:rsidP="00FF6CBF">
            <w:pPr>
              <w:pStyle w:val="CGCTablerow"/>
              <w:jc w:val="right"/>
              <w:rPr>
                <w:color w:val="000000"/>
                <w:lang w:eastAsia="en-AU"/>
              </w:rPr>
            </w:pPr>
          </w:p>
        </w:tc>
        <w:tc>
          <w:tcPr>
            <w:tcW w:w="1120" w:type="dxa"/>
            <w:shd w:val="clear" w:color="auto" w:fill="auto"/>
            <w:vAlign w:val="bottom"/>
            <w:hideMark/>
          </w:tcPr>
          <w:p w14:paraId="61737913" w14:textId="77777777" w:rsidR="00FC0498" w:rsidRPr="00034E9B" w:rsidRDefault="00FC0498" w:rsidP="00FF6CBF">
            <w:pPr>
              <w:pStyle w:val="CGCTablerow"/>
              <w:jc w:val="right"/>
              <w:rPr>
                <w:color w:val="000000"/>
                <w:lang w:eastAsia="en-AU"/>
              </w:rPr>
            </w:pPr>
            <w:r w:rsidRPr="00034E9B">
              <w:rPr>
                <w:color w:val="000000"/>
                <w:lang w:eastAsia="en-AU"/>
              </w:rPr>
              <w:t>0.919</w:t>
            </w:r>
          </w:p>
        </w:tc>
        <w:tc>
          <w:tcPr>
            <w:tcW w:w="480" w:type="dxa"/>
            <w:shd w:val="clear" w:color="auto" w:fill="auto"/>
            <w:vAlign w:val="bottom"/>
            <w:hideMark/>
          </w:tcPr>
          <w:p w14:paraId="25F8AEA3" w14:textId="77777777" w:rsidR="00FC0498" w:rsidRPr="00034E9B" w:rsidRDefault="00FC0498" w:rsidP="00FF6CBF">
            <w:pPr>
              <w:pStyle w:val="CGCTablerow"/>
              <w:jc w:val="right"/>
              <w:rPr>
                <w:color w:val="000000"/>
                <w:lang w:eastAsia="en-AU"/>
              </w:rPr>
            </w:pPr>
          </w:p>
        </w:tc>
        <w:tc>
          <w:tcPr>
            <w:tcW w:w="1320" w:type="dxa"/>
            <w:shd w:val="clear" w:color="auto" w:fill="auto"/>
            <w:vAlign w:val="bottom"/>
            <w:hideMark/>
          </w:tcPr>
          <w:p w14:paraId="505069CC" w14:textId="77777777" w:rsidR="00FC0498" w:rsidRPr="00034E9B" w:rsidRDefault="00FC0498" w:rsidP="00FF6CBF">
            <w:pPr>
              <w:pStyle w:val="CGCTablerow"/>
              <w:jc w:val="right"/>
              <w:rPr>
                <w:color w:val="000000"/>
                <w:lang w:eastAsia="en-AU"/>
              </w:rPr>
            </w:pPr>
            <w:r w:rsidRPr="00034E9B">
              <w:rPr>
                <w:color w:val="000000"/>
                <w:lang w:eastAsia="en-AU"/>
              </w:rPr>
              <w:t>0.928</w:t>
            </w:r>
          </w:p>
        </w:tc>
        <w:tc>
          <w:tcPr>
            <w:tcW w:w="480" w:type="dxa"/>
            <w:shd w:val="clear" w:color="auto" w:fill="auto"/>
            <w:vAlign w:val="bottom"/>
            <w:hideMark/>
          </w:tcPr>
          <w:p w14:paraId="37F794FF" w14:textId="77777777" w:rsidR="00FC0498" w:rsidRPr="00034E9B" w:rsidRDefault="00FC0498" w:rsidP="00FF6CBF">
            <w:pPr>
              <w:pStyle w:val="CGCTablerow"/>
              <w:jc w:val="right"/>
              <w:rPr>
                <w:color w:val="000000"/>
                <w:lang w:eastAsia="en-AU"/>
              </w:rPr>
            </w:pPr>
          </w:p>
        </w:tc>
        <w:tc>
          <w:tcPr>
            <w:tcW w:w="1120" w:type="dxa"/>
            <w:shd w:val="clear" w:color="auto" w:fill="auto"/>
            <w:vAlign w:val="bottom"/>
            <w:hideMark/>
          </w:tcPr>
          <w:p w14:paraId="301BC4F8" w14:textId="77777777" w:rsidR="00FC0498" w:rsidRPr="00034E9B" w:rsidRDefault="00FC0498" w:rsidP="00FF6CBF">
            <w:pPr>
              <w:pStyle w:val="CGCTablerow"/>
              <w:jc w:val="right"/>
              <w:rPr>
                <w:color w:val="000000"/>
                <w:lang w:eastAsia="en-AU"/>
              </w:rPr>
            </w:pPr>
            <w:r w:rsidRPr="00034E9B">
              <w:rPr>
                <w:color w:val="000000"/>
                <w:lang w:eastAsia="en-AU"/>
              </w:rPr>
              <w:t>0.700</w:t>
            </w:r>
          </w:p>
        </w:tc>
        <w:tc>
          <w:tcPr>
            <w:tcW w:w="480" w:type="dxa"/>
            <w:shd w:val="clear" w:color="auto" w:fill="auto"/>
            <w:vAlign w:val="bottom"/>
            <w:hideMark/>
          </w:tcPr>
          <w:p w14:paraId="346018C3" w14:textId="77777777" w:rsidR="00FC0498" w:rsidRPr="00034E9B" w:rsidRDefault="00FC0498" w:rsidP="00FF6CBF">
            <w:pPr>
              <w:pStyle w:val="CGCTablerow"/>
              <w:jc w:val="right"/>
              <w:rPr>
                <w:color w:val="000000"/>
                <w:lang w:eastAsia="en-AU"/>
              </w:rPr>
            </w:pPr>
          </w:p>
        </w:tc>
        <w:tc>
          <w:tcPr>
            <w:tcW w:w="1420" w:type="dxa"/>
            <w:shd w:val="clear" w:color="auto" w:fill="auto"/>
            <w:vAlign w:val="bottom"/>
            <w:hideMark/>
          </w:tcPr>
          <w:p w14:paraId="65A2D34B" w14:textId="77777777" w:rsidR="00FC0498" w:rsidRPr="00034E9B" w:rsidRDefault="00FC0498" w:rsidP="00081353">
            <w:pPr>
              <w:pStyle w:val="CGCTablerow"/>
              <w:ind w:right="57"/>
              <w:jc w:val="right"/>
              <w:rPr>
                <w:color w:val="000000"/>
                <w:lang w:eastAsia="en-AU"/>
              </w:rPr>
            </w:pPr>
            <w:r w:rsidRPr="00034E9B">
              <w:rPr>
                <w:color w:val="000000"/>
                <w:lang w:eastAsia="en-AU"/>
              </w:rPr>
              <w:t>0.928</w:t>
            </w:r>
          </w:p>
        </w:tc>
      </w:tr>
      <w:tr w:rsidR="00FC0498" w:rsidRPr="00034E9B" w14:paraId="54261F02" w14:textId="77777777" w:rsidTr="00FF6CBF">
        <w:trPr>
          <w:trHeight w:val="315"/>
        </w:trPr>
        <w:tc>
          <w:tcPr>
            <w:tcW w:w="1000" w:type="dxa"/>
            <w:shd w:val="clear" w:color="auto" w:fill="auto"/>
            <w:vAlign w:val="bottom"/>
            <w:hideMark/>
          </w:tcPr>
          <w:p w14:paraId="79BBB6EA" w14:textId="77777777" w:rsidR="00FC0498" w:rsidRPr="00034E9B" w:rsidRDefault="00FC0498" w:rsidP="00FF6CBF">
            <w:pPr>
              <w:pStyle w:val="CGCTablerow"/>
              <w:rPr>
                <w:color w:val="000000"/>
                <w:lang w:eastAsia="en-AU"/>
              </w:rPr>
            </w:pPr>
            <w:r w:rsidRPr="00034E9B">
              <w:rPr>
                <w:color w:val="000000"/>
                <w:lang w:eastAsia="en-AU"/>
              </w:rPr>
              <w:t>Qld</w:t>
            </w:r>
          </w:p>
        </w:tc>
        <w:tc>
          <w:tcPr>
            <w:tcW w:w="1060" w:type="dxa"/>
            <w:shd w:val="clear" w:color="auto" w:fill="auto"/>
            <w:vAlign w:val="bottom"/>
            <w:hideMark/>
          </w:tcPr>
          <w:p w14:paraId="31652851" w14:textId="77777777" w:rsidR="00FC0498" w:rsidRPr="00034E9B" w:rsidRDefault="00FC0498" w:rsidP="00FF6CBF">
            <w:pPr>
              <w:pStyle w:val="CGCTablerow"/>
              <w:jc w:val="right"/>
              <w:rPr>
                <w:color w:val="000000"/>
                <w:lang w:eastAsia="en-AU"/>
              </w:rPr>
            </w:pPr>
            <w:r w:rsidRPr="00034E9B">
              <w:rPr>
                <w:color w:val="000000"/>
                <w:lang w:eastAsia="en-AU"/>
              </w:rPr>
              <w:t>1.154</w:t>
            </w:r>
          </w:p>
        </w:tc>
        <w:tc>
          <w:tcPr>
            <w:tcW w:w="480" w:type="dxa"/>
            <w:shd w:val="clear" w:color="auto" w:fill="auto"/>
            <w:vAlign w:val="bottom"/>
            <w:hideMark/>
          </w:tcPr>
          <w:p w14:paraId="10C88844" w14:textId="77777777" w:rsidR="00FC0498" w:rsidRPr="00034E9B" w:rsidRDefault="00FC0498" w:rsidP="00FF6CBF">
            <w:pPr>
              <w:pStyle w:val="CGCTablerow"/>
              <w:jc w:val="right"/>
              <w:rPr>
                <w:color w:val="000000"/>
                <w:lang w:eastAsia="en-AU"/>
              </w:rPr>
            </w:pPr>
          </w:p>
        </w:tc>
        <w:tc>
          <w:tcPr>
            <w:tcW w:w="1120" w:type="dxa"/>
            <w:shd w:val="clear" w:color="auto" w:fill="auto"/>
            <w:vAlign w:val="bottom"/>
            <w:hideMark/>
          </w:tcPr>
          <w:p w14:paraId="78204E33" w14:textId="77777777" w:rsidR="00FC0498" w:rsidRPr="00034E9B" w:rsidRDefault="00FC0498" w:rsidP="00FF6CBF">
            <w:pPr>
              <w:pStyle w:val="CGCTablerow"/>
              <w:jc w:val="right"/>
              <w:rPr>
                <w:color w:val="000000"/>
                <w:lang w:eastAsia="en-AU"/>
              </w:rPr>
            </w:pPr>
            <w:r w:rsidRPr="00034E9B">
              <w:rPr>
                <w:color w:val="000000"/>
                <w:lang w:eastAsia="en-AU"/>
              </w:rPr>
              <w:t>1.136</w:t>
            </w:r>
          </w:p>
        </w:tc>
        <w:tc>
          <w:tcPr>
            <w:tcW w:w="480" w:type="dxa"/>
            <w:shd w:val="clear" w:color="auto" w:fill="auto"/>
            <w:vAlign w:val="bottom"/>
            <w:hideMark/>
          </w:tcPr>
          <w:p w14:paraId="0A64EEE5" w14:textId="77777777" w:rsidR="00FC0498" w:rsidRPr="00034E9B" w:rsidRDefault="00FC0498" w:rsidP="00FF6CBF">
            <w:pPr>
              <w:pStyle w:val="CGCTablerow"/>
              <w:jc w:val="right"/>
              <w:rPr>
                <w:color w:val="000000"/>
                <w:lang w:eastAsia="en-AU"/>
              </w:rPr>
            </w:pPr>
          </w:p>
        </w:tc>
        <w:tc>
          <w:tcPr>
            <w:tcW w:w="1320" w:type="dxa"/>
            <w:shd w:val="clear" w:color="auto" w:fill="auto"/>
            <w:vAlign w:val="bottom"/>
            <w:hideMark/>
          </w:tcPr>
          <w:p w14:paraId="5D2D7E1D" w14:textId="77777777" w:rsidR="00FC0498" w:rsidRPr="00034E9B" w:rsidRDefault="00FC0498" w:rsidP="00FF6CBF">
            <w:pPr>
              <w:pStyle w:val="CGCTablerow"/>
              <w:jc w:val="right"/>
              <w:rPr>
                <w:color w:val="000000"/>
                <w:lang w:eastAsia="en-AU"/>
              </w:rPr>
            </w:pPr>
            <w:r w:rsidRPr="00034E9B">
              <w:rPr>
                <w:color w:val="000000"/>
                <w:lang w:eastAsia="en-AU"/>
              </w:rPr>
              <w:t>1.148</w:t>
            </w:r>
          </w:p>
        </w:tc>
        <w:tc>
          <w:tcPr>
            <w:tcW w:w="480" w:type="dxa"/>
            <w:shd w:val="clear" w:color="auto" w:fill="auto"/>
            <w:vAlign w:val="bottom"/>
            <w:hideMark/>
          </w:tcPr>
          <w:p w14:paraId="354BFDD8" w14:textId="77777777" w:rsidR="00FC0498" w:rsidRPr="00034E9B" w:rsidRDefault="00FC0498" w:rsidP="00FF6CBF">
            <w:pPr>
              <w:pStyle w:val="CGCTablerow"/>
              <w:jc w:val="right"/>
              <w:rPr>
                <w:color w:val="000000"/>
                <w:lang w:eastAsia="en-AU"/>
              </w:rPr>
            </w:pPr>
          </w:p>
        </w:tc>
        <w:tc>
          <w:tcPr>
            <w:tcW w:w="1120" w:type="dxa"/>
            <w:shd w:val="clear" w:color="auto" w:fill="auto"/>
            <w:vAlign w:val="bottom"/>
            <w:hideMark/>
          </w:tcPr>
          <w:p w14:paraId="3F56231B" w14:textId="77777777" w:rsidR="00FC0498" w:rsidRPr="00034E9B" w:rsidRDefault="00FC0498" w:rsidP="00FF6CBF">
            <w:pPr>
              <w:pStyle w:val="CGCTablerow"/>
              <w:jc w:val="right"/>
              <w:rPr>
                <w:color w:val="000000"/>
                <w:lang w:eastAsia="en-AU"/>
              </w:rPr>
            </w:pPr>
            <w:r w:rsidRPr="00034E9B">
              <w:rPr>
                <w:color w:val="000000"/>
                <w:lang w:eastAsia="en-AU"/>
              </w:rPr>
              <w:t>0.700</w:t>
            </w:r>
          </w:p>
        </w:tc>
        <w:tc>
          <w:tcPr>
            <w:tcW w:w="480" w:type="dxa"/>
            <w:shd w:val="clear" w:color="auto" w:fill="auto"/>
            <w:vAlign w:val="bottom"/>
            <w:hideMark/>
          </w:tcPr>
          <w:p w14:paraId="668DA244" w14:textId="77777777" w:rsidR="00FC0498" w:rsidRPr="00034E9B" w:rsidRDefault="00FC0498" w:rsidP="00FF6CBF">
            <w:pPr>
              <w:pStyle w:val="CGCTablerow"/>
              <w:jc w:val="right"/>
              <w:rPr>
                <w:color w:val="000000"/>
                <w:lang w:eastAsia="en-AU"/>
              </w:rPr>
            </w:pPr>
          </w:p>
        </w:tc>
        <w:tc>
          <w:tcPr>
            <w:tcW w:w="1420" w:type="dxa"/>
            <w:shd w:val="clear" w:color="auto" w:fill="auto"/>
            <w:vAlign w:val="bottom"/>
            <w:hideMark/>
          </w:tcPr>
          <w:p w14:paraId="6296F446" w14:textId="77777777" w:rsidR="00FC0498" w:rsidRPr="00034E9B" w:rsidRDefault="00FC0498" w:rsidP="00081353">
            <w:pPr>
              <w:pStyle w:val="CGCTablerow"/>
              <w:ind w:right="57"/>
              <w:jc w:val="right"/>
              <w:rPr>
                <w:color w:val="000000"/>
                <w:lang w:eastAsia="en-AU"/>
              </w:rPr>
            </w:pPr>
            <w:r w:rsidRPr="00034E9B">
              <w:rPr>
                <w:color w:val="000000"/>
                <w:lang w:eastAsia="en-AU"/>
              </w:rPr>
              <w:t>1.148</w:t>
            </w:r>
          </w:p>
        </w:tc>
      </w:tr>
      <w:tr w:rsidR="00FC0498" w:rsidRPr="00034E9B" w14:paraId="2021FA92" w14:textId="77777777" w:rsidTr="00FF6CBF">
        <w:trPr>
          <w:trHeight w:val="315"/>
        </w:trPr>
        <w:tc>
          <w:tcPr>
            <w:tcW w:w="1000" w:type="dxa"/>
            <w:shd w:val="clear" w:color="auto" w:fill="auto"/>
            <w:vAlign w:val="bottom"/>
            <w:hideMark/>
          </w:tcPr>
          <w:p w14:paraId="55807A0C" w14:textId="77777777" w:rsidR="00FC0498" w:rsidRPr="00034E9B" w:rsidRDefault="00FC0498" w:rsidP="00FF6CBF">
            <w:pPr>
              <w:pStyle w:val="CGCTablerow"/>
              <w:rPr>
                <w:color w:val="000000"/>
                <w:lang w:eastAsia="en-AU"/>
              </w:rPr>
            </w:pPr>
            <w:r w:rsidRPr="00034E9B">
              <w:rPr>
                <w:color w:val="000000"/>
                <w:lang w:eastAsia="en-AU"/>
              </w:rPr>
              <w:t>WA</w:t>
            </w:r>
          </w:p>
        </w:tc>
        <w:tc>
          <w:tcPr>
            <w:tcW w:w="1060" w:type="dxa"/>
            <w:shd w:val="clear" w:color="auto" w:fill="auto"/>
            <w:vAlign w:val="bottom"/>
            <w:hideMark/>
          </w:tcPr>
          <w:p w14:paraId="3CD714E5" w14:textId="77777777" w:rsidR="00FC0498" w:rsidRPr="00034E9B" w:rsidRDefault="00FC0498" w:rsidP="00FF6CBF">
            <w:pPr>
              <w:pStyle w:val="CGCTablerow"/>
              <w:jc w:val="right"/>
              <w:rPr>
                <w:color w:val="000000"/>
                <w:lang w:eastAsia="en-AU"/>
              </w:rPr>
            </w:pPr>
            <w:r w:rsidRPr="00034E9B">
              <w:rPr>
                <w:color w:val="000000"/>
                <w:lang w:eastAsia="en-AU"/>
              </w:rPr>
              <w:t>0.662</w:t>
            </w:r>
          </w:p>
        </w:tc>
        <w:tc>
          <w:tcPr>
            <w:tcW w:w="480" w:type="dxa"/>
            <w:shd w:val="clear" w:color="auto" w:fill="auto"/>
            <w:vAlign w:val="bottom"/>
            <w:hideMark/>
          </w:tcPr>
          <w:p w14:paraId="22497CAB" w14:textId="77777777" w:rsidR="00FC0498" w:rsidRPr="00034E9B" w:rsidRDefault="00FC0498" w:rsidP="00FF6CBF">
            <w:pPr>
              <w:pStyle w:val="CGCTablerow"/>
              <w:jc w:val="right"/>
              <w:rPr>
                <w:color w:val="000000"/>
                <w:lang w:eastAsia="en-AU"/>
              </w:rPr>
            </w:pPr>
          </w:p>
        </w:tc>
        <w:tc>
          <w:tcPr>
            <w:tcW w:w="1120" w:type="dxa"/>
            <w:shd w:val="clear" w:color="auto" w:fill="auto"/>
            <w:vAlign w:val="bottom"/>
            <w:hideMark/>
          </w:tcPr>
          <w:p w14:paraId="7840800A" w14:textId="77777777" w:rsidR="00FC0498" w:rsidRPr="00034E9B" w:rsidRDefault="00FC0498" w:rsidP="00FF6CBF">
            <w:pPr>
              <w:pStyle w:val="CGCTablerow"/>
              <w:jc w:val="right"/>
              <w:rPr>
                <w:color w:val="000000"/>
                <w:lang w:eastAsia="en-AU"/>
              </w:rPr>
            </w:pPr>
            <w:r w:rsidRPr="00034E9B">
              <w:rPr>
                <w:color w:val="000000"/>
                <w:lang w:eastAsia="en-AU"/>
              </w:rPr>
              <w:t>0.800</w:t>
            </w:r>
          </w:p>
        </w:tc>
        <w:tc>
          <w:tcPr>
            <w:tcW w:w="480" w:type="dxa"/>
            <w:shd w:val="clear" w:color="auto" w:fill="auto"/>
            <w:vAlign w:val="bottom"/>
            <w:hideMark/>
          </w:tcPr>
          <w:p w14:paraId="5D7CEA41" w14:textId="77777777" w:rsidR="00FC0498" w:rsidRPr="00034E9B" w:rsidRDefault="00FC0498" w:rsidP="00FF6CBF">
            <w:pPr>
              <w:pStyle w:val="CGCTablerow"/>
              <w:jc w:val="right"/>
              <w:rPr>
                <w:color w:val="000000"/>
                <w:lang w:eastAsia="en-AU"/>
              </w:rPr>
            </w:pPr>
          </w:p>
        </w:tc>
        <w:tc>
          <w:tcPr>
            <w:tcW w:w="1320" w:type="dxa"/>
            <w:shd w:val="clear" w:color="auto" w:fill="auto"/>
            <w:vAlign w:val="bottom"/>
            <w:hideMark/>
          </w:tcPr>
          <w:p w14:paraId="1C33ABBD" w14:textId="77777777" w:rsidR="00FC0498" w:rsidRPr="00034E9B" w:rsidRDefault="00FC0498" w:rsidP="00FF6CBF">
            <w:pPr>
              <w:pStyle w:val="CGCTablerow"/>
              <w:jc w:val="right"/>
              <w:rPr>
                <w:color w:val="000000"/>
                <w:lang w:eastAsia="en-AU"/>
              </w:rPr>
            </w:pPr>
            <w:r w:rsidRPr="00034E9B">
              <w:rPr>
                <w:color w:val="000000"/>
                <w:lang w:eastAsia="en-AU"/>
              </w:rPr>
              <w:t>0.709</w:t>
            </w:r>
          </w:p>
        </w:tc>
        <w:tc>
          <w:tcPr>
            <w:tcW w:w="480" w:type="dxa"/>
            <w:shd w:val="clear" w:color="auto" w:fill="auto"/>
            <w:vAlign w:val="bottom"/>
            <w:hideMark/>
          </w:tcPr>
          <w:p w14:paraId="05502943" w14:textId="77777777" w:rsidR="00FC0498" w:rsidRPr="00034E9B" w:rsidRDefault="00FC0498" w:rsidP="00FF6CBF">
            <w:pPr>
              <w:pStyle w:val="CGCTablerow"/>
              <w:jc w:val="right"/>
              <w:rPr>
                <w:color w:val="000000"/>
                <w:lang w:eastAsia="en-AU"/>
              </w:rPr>
            </w:pPr>
          </w:p>
        </w:tc>
        <w:tc>
          <w:tcPr>
            <w:tcW w:w="1120" w:type="dxa"/>
            <w:shd w:val="clear" w:color="auto" w:fill="auto"/>
            <w:vAlign w:val="bottom"/>
            <w:hideMark/>
          </w:tcPr>
          <w:p w14:paraId="6F4B9A45" w14:textId="77777777" w:rsidR="00FC0498" w:rsidRPr="00034E9B" w:rsidRDefault="00FC0498" w:rsidP="00FF6CBF">
            <w:pPr>
              <w:pStyle w:val="CGCTablerow"/>
              <w:jc w:val="right"/>
              <w:rPr>
                <w:color w:val="000000"/>
                <w:lang w:eastAsia="en-AU"/>
              </w:rPr>
            </w:pPr>
            <w:r w:rsidRPr="00034E9B">
              <w:rPr>
                <w:color w:val="000000"/>
                <w:lang w:eastAsia="en-AU"/>
              </w:rPr>
              <w:t>0.700</w:t>
            </w:r>
          </w:p>
        </w:tc>
        <w:tc>
          <w:tcPr>
            <w:tcW w:w="480" w:type="dxa"/>
            <w:shd w:val="clear" w:color="auto" w:fill="auto"/>
            <w:vAlign w:val="bottom"/>
            <w:hideMark/>
          </w:tcPr>
          <w:p w14:paraId="426A4C57" w14:textId="77777777" w:rsidR="00FC0498" w:rsidRPr="00034E9B" w:rsidRDefault="00FC0498" w:rsidP="00FF6CBF">
            <w:pPr>
              <w:pStyle w:val="CGCTablerow"/>
              <w:jc w:val="right"/>
              <w:rPr>
                <w:color w:val="000000"/>
                <w:lang w:eastAsia="en-AU"/>
              </w:rPr>
            </w:pPr>
          </w:p>
        </w:tc>
        <w:tc>
          <w:tcPr>
            <w:tcW w:w="1420" w:type="dxa"/>
            <w:shd w:val="clear" w:color="auto" w:fill="auto"/>
            <w:vAlign w:val="bottom"/>
            <w:hideMark/>
          </w:tcPr>
          <w:p w14:paraId="02FF8871" w14:textId="77777777" w:rsidR="00FC0498" w:rsidRPr="00034E9B" w:rsidRDefault="00FC0498" w:rsidP="00081353">
            <w:pPr>
              <w:pStyle w:val="CGCTablerow"/>
              <w:ind w:right="57"/>
              <w:jc w:val="right"/>
              <w:rPr>
                <w:color w:val="000000"/>
                <w:lang w:eastAsia="en-AU"/>
              </w:rPr>
            </w:pPr>
            <w:r w:rsidRPr="00034E9B">
              <w:rPr>
                <w:color w:val="000000"/>
                <w:lang w:eastAsia="en-AU"/>
              </w:rPr>
              <w:t>0.709</w:t>
            </w:r>
          </w:p>
        </w:tc>
      </w:tr>
      <w:tr w:rsidR="00FC0498" w:rsidRPr="00034E9B" w14:paraId="78BF9514" w14:textId="77777777" w:rsidTr="00FF6CBF">
        <w:trPr>
          <w:trHeight w:val="315"/>
        </w:trPr>
        <w:tc>
          <w:tcPr>
            <w:tcW w:w="1000" w:type="dxa"/>
            <w:shd w:val="clear" w:color="auto" w:fill="auto"/>
            <w:vAlign w:val="bottom"/>
            <w:hideMark/>
          </w:tcPr>
          <w:p w14:paraId="52966A43" w14:textId="77777777" w:rsidR="00FC0498" w:rsidRPr="00034E9B" w:rsidRDefault="00FC0498" w:rsidP="00FF6CBF">
            <w:pPr>
              <w:pStyle w:val="CGCTablerow"/>
              <w:rPr>
                <w:color w:val="000000"/>
                <w:lang w:eastAsia="en-AU"/>
              </w:rPr>
            </w:pPr>
            <w:r w:rsidRPr="00034E9B">
              <w:rPr>
                <w:color w:val="000000"/>
                <w:lang w:eastAsia="en-AU"/>
              </w:rPr>
              <w:t>SA</w:t>
            </w:r>
          </w:p>
        </w:tc>
        <w:tc>
          <w:tcPr>
            <w:tcW w:w="1060" w:type="dxa"/>
            <w:shd w:val="clear" w:color="auto" w:fill="auto"/>
            <w:vAlign w:val="bottom"/>
            <w:hideMark/>
          </w:tcPr>
          <w:p w14:paraId="6F777829" w14:textId="77777777" w:rsidR="00FC0498" w:rsidRPr="00034E9B" w:rsidRDefault="00FC0498" w:rsidP="00FF6CBF">
            <w:pPr>
              <w:pStyle w:val="CGCTablerow"/>
              <w:jc w:val="right"/>
              <w:rPr>
                <w:color w:val="000000"/>
                <w:lang w:eastAsia="en-AU"/>
              </w:rPr>
            </w:pPr>
            <w:r w:rsidRPr="00034E9B">
              <w:rPr>
                <w:color w:val="000000"/>
                <w:lang w:eastAsia="en-AU"/>
              </w:rPr>
              <w:t>1.404</w:t>
            </w:r>
          </w:p>
        </w:tc>
        <w:tc>
          <w:tcPr>
            <w:tcW w:w="480" w:type="dxa"/>
            <w:shd w:val="clear" w:color="auto" w:fill="auto"/>
            <w:vAlign w:val="bottom"/>
            <w:hideMark/>
          </w:tcPr>
          <w:p w14:paraId="5549A558" w14:textId="77777777" w:rsidR="00FC0498" w:rsidRPr="00034E9B" w:rsidRDefault="00FC0498" w:rsidP="00FF6CBF">
            <w:pPr>
              <w:pStyle w:val="CGCTablerow"/>
              <w:jc w:val="right"/>
              <w:rPr>
                <w:color w:val="000000"/>
                <w:lang w:eastAsia="en-AU"/>
              </w:rPr>
            </w:pPr>
          </w:p>
        </w:tc>
        <w:tc>
          <w:tcPr>
            <w:tcW w:w="1120" w:type="dxa"/>
            <w:shd w:val="clear" w:color="auto" w:fill="auto"/>
            <w:vAlign w:val="bottom"/>
            <w:hideMark/>
          </w:tcPr>
          <w:p w14:paraId="055902E7" w14:textId="77777777" w:rsidR="00FC0498" w:rsidRPr="00034E9B" w:rsidRDefault="00FC0498" w:rsidP="00FF6CBF">
            <w:pPr>
              <w:pStyle w:val="CGCTablerow"/>
              <w:jc w:val="right"/>
              <w:rPr>
                <w:color w:val="000000"/>
                <w:lang w:eastAsia="en-AU"/>
              </w:rPr>
            </w:pPr>
            <w:r w:rsidRPr="00034E9B">
              <w:rPr>
                <w:color w:val="000000"/>
                <w:lang w:eastAsia="en-AU"/>
              </w:rPr>
              <w:t>1.383</w:t>
            </w:r>
          </w:p>
        </w:tc>
        <w:tc>
          <w:tcPr>
            <w:tcW w:w="480" w:type="dxa"/>
            <w:shd w:val="clear" w:color="auto" w:fill="auto"/>
            <w:vAlign w:val="bottom"/>
            <w:hideMark/>
          </w:tcPr>
          <w:p w14:paraId="42D11AE7" w14:textId="77777777" w:rsidR="00FC0498" w:rsidRPr="00034E9B" w:rsidRDefault="00FC0498" w:rsidP="00FF6CBF">
            <w:pPr>
              <w:pStyle w:val="CGCTablerow"/>
              <w:jc w:val="right"/>
              <w:rPr>
                <w:color w:val="000000"/>
                <w:lang w:eastAsia="en-AU"/>
              </w:rPr>
            </w:pPr>
          </w:p>
        </w:tc>
        <w:tc>
          <w:tcPr>
            <w:tcW w:w="1320" w:type="dxa"/>
            <w:shd w:val="clear" w:color="auto" w:fill="auto"/>
            <w:vAlign w:val="bottom"/>
            <w:hideMark/>
          </w:tcPr>
          <w:p w14:paraId="6B01F897" w14:textId="77777777" w:rsidR="00FC0498" w:rsidRPr="00034E9B" w:rsidRDefault="00FC0498" w:rsidP="00FF6CBF">
            <w:pPr>
              <w:pStyle w:val="CGCTablerow"/>
              <w:jc w:val="right"/>
              <w:rPr>
                <w:color w:val="000000"/>
                <w:lang w:eastAsia="en-AU"/>
              </w:rPr>
            </w:pPr>
            <w:r w:rsidRPr="00034E9B">
              <w:rPr>
                <w:color w:val="000000"/>
                <w:lang w:eastAsia="en-AU"/>
              </w:rPr>
              <w:t>1.397</w:t>
            </w:r>
          </w:p>
        </w:tc>
        <w:tc>
          <w:tcPr>
            <w:tcW w:w="480" w:type="dxa"/>
            <w:shd w:val="clear" w:color="auto" w:fill="auto"/>
            <w:vAlign w:val="bottom"/>
            <w:hideMark/>
          </w:tcPr>
          <w:p w14:paraId="45AAAF8B" w14:textId="77777777" w:rsidR="00FC0498" w:rsidRPr="00034E9B" w:rsidRDefault="00FC0498" w:rsidP="00FF6CBF">
            <w:pPr>
              <w:pStyle w:val="CGCTablerow"/>
              <w:jc w:val="right"/>
              <w:rPr>
                <w:color w:val="000000"/>
                <w:lang w:eastAsia="en-AU"/>
              </w:rPr>
            </w:pPr>
          </w:p>
        </w:tc>
        <w:tc>
          <w:tcPr>
            <w:tcW w:w="1120" w:type="dxa"/>
            <w:shd w:val="clear" w:color="auto" w:fill="auto"/>
            <w:vAlign w:val="bottom"/>
            <w:hideMark/>
          </w:tcPr>
          <w:p w14:paraId="401D368C" w14:textId="77777777" w:rsidR="00FC0498" w:rsidRPr="00034E9B" w:rsidRDefault="00FC0498" w:rsidP="00FF6CBF">
            <w:pPr>
              <w:pStyle w:val="CGCTablerow"/>
              <w:jc w:val="right"/>
              <w:rPr>
                <w:color w:val="000000"/>
                <w:lang w:eastAsia="en-AU"/>
              </w:rPr>
            </w:pPr>
            <w:r w:rsidRPr="00034E9B">
              <w:rPr>
                <w:color w:val="000000"/>
                <w:lang w:eastAsia="en-AU"/>
              </w:rPr>
              <w:t>0.700</w:t>
            </w:r>
          </w:p>
        </w:tc>
        <w:tc>
          <w:tcPr>
            <w:tcW w:w="480" w:type="dxa"/>
            <w:shd w:val="clear" w:color="auto" w:fill="auto"/>
            <w:vAlign w:val="bottom"/>
            <w:hideMark/>
          </w:tcPr>
          <w:p w14:paraId="3BC2648A" w14:textId="77777777" w:rsidR="00FC0498" w:rsidRPr="00034E9B" w:rsidRDefault="00FC0498" w:rsidP="00FF6CBF">
            <w:pPr>
              <w:pStyle w:val="CGCTablerow"/>
              <w:jc w:val="right"/>
              <w:rPr>
                <w:color w:val="000000"/>
                <w:lang w:eastAsia="en-AU"/>
              </w:rPr>
            </w:pPr>
          </w:p>
        </w:tc>
        <w:tc>
          <w:tcPr>
            <w:tcW w:w="1420" w:type="dxa"/>
            <w:shd w:val="clear" w:color="auto" w:fill="auto"/>
            <w:vAlign w:val="bottom"/>
            <w:hideMark/>
          </w:tcPr>
          <w:p w14:paraId="2B97C725" w14:textId="77777777" w:rsidR="00FC0498" w:rsidRPr="00034E9B" w:rsidRDefault="00FC0498" w:rsidP="00081353">
            <w:pPr>
              <w:pStyle w:val="CGCTablerow"/>
              <w:ind w:right="57"/>
              <w:jc w:val="right"/>
              <w:rPr>
                <w:color w:val="000000"/>
                <w:lang w:eastAsia="en-AU"/>
              </w:rPr>
            </w:pPr>
            <w:r w:rsidRPr="00034E9B">
              <w:rPr>
                <w:color w:val="000000"/>
                <w:lang w:eastAsia="en-AU"/>
              </w:rPr>
              <w:t>1.397</w:t>
            </w:r>
          </w:p>
        </w:tc>
      </w:tr>
      <w:tr w:rsidR="00FC0498" w:rsidRPr="00034E9B" w14:paraId="6513A437" w14:textId="77777777" w:rsidTr="00FF6CBF">
        <w:trPr>
          <w:trHeight w:val="315"/>
        </w:trPr>
        <w:tc>
          <w:tcPr>
            <w:tcW w:w="1000" w:type="dxa"/>
            <w:shd w:val="clear" w:color="auto" w:fill="auto"/>
            <w:vAlign w:val="bottom"/>
            <w:hideMark/>
          </w:tcPr>
          <w:p w14:paraId="68C71AC5" w14:textId="77777777" w:rsidR="00FC0498" w:rsidRPr="00034E9B" w:rsidRDefault="00FC0498" w:rsidP="00FF6CBF">
            <w:pPr>
              <w:pStyle w:val="CGCTablerow"/>
              <w:rPr>
                <w:color w:val="000000"/>
                <w:lang w:eastAsia="en-AU"/>
              </w:rPr>
            </w:pPr>
            <w:r w:rsidRPr="00034E9B">
              <w:rPr>
                <w:color w:val="000000"/>
                <w:lang w:eastAsia="en-AU"/>
              </w:rPr>
              <w:t>Tas</w:t>
            </w:r>
          </w:p>
        </w:tc>
        <w:tc>
          <w:tcPr>
            <w:tcW w:w="1060" w:type="dxa"/>
            <w:shd w:val="clear" w:color="auto" w:fill="auto"/>
            <w:vAlign w:val="bottom"/>
            <w:hideMark/>
          </w:tcPr>
          <w:p w14:paraId="395AF72C" w14:textId="77777777" w:rsidR="00FC0498" w:rsidRPr="00034E9B" w:rsidRDefault="00FC0498" w:rsidP="00FF6CBF">
            <w:pPr>
              <w:pStyle w:val="CGCTablerow"/>
              <w:jc w:val="right"/>
              <w:rPr>
                <w:color w:val="000000"/>
                <w:lang w:eastAsia="en-AU"/>
              </w:rPr>
            </w:pPr>
            <w:r w:rsidRPr="00034E9B">
              <w:rPr>
                <w:color w:val="000000"/>
                <w:lang w:eastAsia="en-AU"/>
              </w:rPr>
              <w:t>1.756</w:t>
            </w:r>
          </w:p>
        </w:tc>
        <w:tc>
          <w:tcPr>
            <w:tcW w:w="480" w:type="dxa"/>
            <w:shd w:val="clear" w:color="auto" w:fill="auto"/>
            <w:vAlign w:val="bottom"/>
            <w:hideMark/>
          </w:tcPr>
          <w:p w14:paraId="71C91345" w14:textId="77777777" w:rsidR="00FC0498" w:rsidRPr="00034E9B" w:rsidRDefault="00FC0498" w:rsidP="00FF6CBF">
            <w:pPr>
              <w:pStyle w:val="CGCTablerow"/>
              <w:jc w:val="right"/>
              <w:rPr>
                <w:color w:val="000000"/>
                <w:lang w:eastAsia="en-AU"/>
              </w:rPr>
            </w:pPr>
          </w:p>
        </w:tc>
        <w:tc>
          <w:tcPr>
            <w:tcW w:w="1120" w:type="dxa"/>
            <w:shd w:val="clear" w:color="auto" w:fill="auto"/>
            <w:vAlign w:val="bottom"/>
            <w:hideMark/>
          </w:tcPr>
          <w:p w14:paraId="49F5386D" w14:textId="77777777" w:rsidR="00FC0498" w:rsidRPr="00034E9B" w:rsidRDefault="00FC0498" w:rsidP="00FF6CBF">
            <w:pPr>
              <w:pStyle w:val="CGCTablerow"/>
              <w:jc w:val="right"/>
              <w:rPr>
                <w:color w:val="000000"/>
                <w:lang w:eastAsia="en-AU"/>
              </w:rPr>
            </w:pPr>
            <w:r w:rsidRPr="00034E9B">
              <w:rPr>
                <w:color w:val="000000"/>
                <w:lang w:eastAsia="en-AU"/>
              </w:rPr>
              <w:t>1.729</w:t>
            </w:r>
          </w:p>
        </w:tc>
        <w:tc>
          <w:tcPr>
            <w:tcW w:w="480" w:type="dxa"/>
            <w:shd w:val="clear" w:color="auto" w:fill="auto"/>
            <w:vAlign w:val="bottom"/>
            <w:hideMark/>
          </w:tcPr>
          <w:p w14:paraId="5F8278E6" w14:textId="77777777" w:rsidR="00FC0498" w:rsidRPr="00034E9B" w:rsidRDefault="00FC0498" w:rsidP="00FF6CBF">
            <w:pPr>
              <w:pStyle w:val="CGCTablerow"/>
              <w:jc w:val="right"/>
              <w:rPr>
                <w:color w:val="000000"/>
                <w:lang w:eastAsia="en-AU"/>
              </w:rPr>
            </w:pPr>
          </w:p>
        </w:tc>
        <w:tc>
          <w:tcPr>
            <w:tcW w:w="1320" w:type="dxa"/>
            <w:shd w:val="clear" w:color="auto" w:fill="auto"/>
            <w:vAlign w:val="bottom"/>
            <w:hideMark/>
          </w:tcPr>
          <w:p w14:paraId="2B64FE73" w14:textId="77777777" w:rsidR="00FC0498" w:rsidRPr="00034E9B" w:rsidRDefault="00FC0498" w:rsidP="00FF6CBF">
            <w:pPr>
              <w:pStyle w:val="CGCTablerow"/>
              <w:jc w:val="right"/>
              <w:rPr>
                <w:color w:val="000000"/>
                <w:lang w:eastAsia="en-AU"/>
              </w:rPr>
            </w:pPr>
            <w:r w:rsidRPr="00034E9B">
              <w:rPr>
                <w:color w:val="000000"/>
                <w:lang w:eastAsia="en-AU"/>
              </w:rPr>
              <w:t>1.747</w:t>
            </w:r>
          </w:p>
        </w:tc>
        <w:tc>
          <w:tcPr>
            <w:tcW w:w="480" w:type="dxa"/>
            <w:shd w:val="clear" w:color="auto" w:fill="auto"/>
            <w:vAlign w:val="bottom"/>
            <w:hideMark/>
          </w:tcPr>
          <w:p w14:paraId="5C825505" w14:textId="77777777" w:rsidR="00FC0498" w:rsidRPr="00034E9B" w:rsidRDefault="00FC0498" w:rsidP="00FF6CBF">
            <w:pPr>
              <w:pStyle w:val="CGCTablerow"/>
              <w:jc w:val="right"/>
              <w:rPr>
                <w:color w:val="000000"/>
                <w:lang w:eastAsia="en-AU"/>
              </w:rPr>
            </w:pPr>
          </w:p>
        </w:tc>
        <w:tc>
          <w:tcPr>
            <w:tcW w:w="1120" w:type="dxa"/>
            <w:shd w:val="clear" w:color="auto" w:fill="auto"/>
            <w:vAlign w:val="bottom"/>
            <w:hideMark/>
          </w:tcPr>
          <w:p w14:paraId="0F049974" w14:textId="77777777" w:rsidR="00FC0498" w:rsidRPr="00034E9B" w:rsidRDefault="00FC0498" w:rsidP="00FF6CBF">
            <w:pPr>
              <w:pStyle w:val="CGCTablerow"/>
              <w:jc w:val="right"/>
              <w:rPr>
                <w:color w:val="000000"/>
                <w:lang w:eastAsia="en-AU"/>
              </w:rPr>
            </w:pPr>
            <w:r w:rsidRPr="00034E9B">
              <w:rPr>
                <w:color w:val="000000"/>
                <w:lang w:eastAsia="en-AU"/>
              </w:rPr>
              <w:t>0.700</w:t>
            </w:r>
          </w:p>
        </w:tc>
        <w:tc>
          <w:tcPr>
            <w:tcW w:w="480" w:type="dxa"/>
            <w:shd w:val="clear" w:color="auto" w:fill="auto"/>
            <w:vAlign w:val="bottom"/>
            <w:hideMark/>
          </w:tcPr>
          <w:p w14:paraId="3E7FBB8D" w14:textId="77777777" w:rsidR="00FC0498" w:rsidRPr="00034E9B" w:rsidRDefault="00FC0498" w:rsidP="00FF6CBF">
            <w:pPr>
              <w:pStyle w:val="CGCTablerow"/>
              <w:jc w:val="right"/>
              <w:rPr>
                <w:color w:val="000000"/>
                <w:lang w:eastAsia="en-AU"/>
              </w:rPr>
            </w:pPr>
          </w:p>
        </w:tc>
        <w:tc>
          <w:tcPr>
            <w:tcW w:w="1420" w:type="dxa"/>
            <w:shd w:val="clear" w:color="auto" w:fill="auto"/>
            <w:vAlign w:val="bottom"/>
            <w:hideMark/>
          </w:tcPr>
          <w:p w14:paraId="454AE3D8" w14:textId="77777777" w:rsidR="00FC0498" w:rsidRPr="00034E9B" w:rsidRDefault="00FC0498" w:rsidP="00081353">
            <w:pPr>
              <w:pStyle w:val="CGCTablerow"/>
              <w:ind w:right="57"/>
              <w:jc w:val="right"/>
              <w:rPr>
                <w:color w:val="000000"/>
                <w:lang w:eastAsia="en-AU"/>
              </w:rPr>
            </w:pPr>
            <w:r w:rsidRPr="00034E9B">
              <w:rPr>
                <w:color w:val="000000"/>
                <w:lang w:eastAsia="en-AU"/>
              </w:rPr>
              <w:t>1.747</w:t>
            </w:r>
          </w:p>
        </w:tc>
      </w:tr>
      <w:tr w:rsidR="00FC0498" w:rsidRPr="00034E9B" w14:paraId="004BD3F9" w14:textId="77777777" w:rsidTr="00FF6CBF">
        <w:trPr>
          <w:trHeight w:val="315"/>
        </w:trPr>
        <w:tc>
          <w:tcPr>
            <w:tcW w:w="1000" w:type="dxa"/>
            <w:shd w:val="clear" w:color="auto" w:fill="auto"/>
            <w:vAlign w:val="bottom"/>
            <w:hideMark/>
          </w:tcPr>
          <w:p w14:paraId="3D8FCE83" w14:textId="77777777" w:rsidR="00FC0498" w:rsidRPr="00034E9B" w:rsidRDefault="00FC0498" w:rsidP="00FF6CBF">
            <w:pPr>
              <w:pStyle w:val="CGCTablerow"/>
              <w:rPr>
                <w:color w:val="000000"/>
                <w:lang w:eastAsia="en-AU"/>
              </w:rPr>
            </w:pPr>
            <w:r w:rsidRPr="00034E9B">
              <w:rPr>
                <w:color w:val="000000"/>
                <w:lang w:eastAsia="en-AU"/>
              </w:rPr>
              <w:t>ACT</w:t>
            </w:r>
          </w:p>
        </w:tc>
        <w:tc>
          <w:tcPr>
            <w:tcW w:w="1060" w:type="dxa"/>
            <w:shd w:val="clear" w:color="auto" w:fill="auto"/>
            <w:vAlign w:val="bottom"/>
            <w:hideMark/>
          </w:tcPr>
          <w:p w14:paraId="50F24D15" w14:textId="77777777" w:rsidR="00FC0498" w:rsidRPr="00034E9B" w:rsidRDefault="00FC0498" w:rsidP="00FF6CBF">
            <w:pPr>
              <w:pStyle w:val="CGCTablerow"/>
              <w:jc w:val="right"/>
              <w:rPr>
                <w:color w:val="000000"/>
                <w:lang w:eastAsia="en-AU"/>
              </w:rPr>
            </w:pPr>
            <w:r w:rsidRPr="00034E9B">
              <w:rPr>
                <w:color w:val="000000"/>
                <w:lang w:eastAsia="en-AU"/>
              </w:rPr>
              <w:t>1.154</w:t>
            </w:r>
          </w:p>
        </w:tc>
        <w:tc>
          <w:tcPr>
            <w:tcW w:w="480" w:type="dxa"/>
            <w:shd w:val="clear" w:color="auto" w:fill="auto"/>
            <w:vAlign w:val="bottom"/>
            <w:hideMark/>
          </w:tcPr>
          <w:p w14:paraId="7A840221" w14:textId="77777777" w:rsidR="00FC0498" w:rsidRPr="00034E9B" w:rsidRDefault="00FC0498" w:rsidP="00FF6CBF">
            <w:pPr>
              <w:pStyle w:val="CGCTablerow"/>
              <w:jc w:val="right"/>
              <w:rPr>
                <w:color w:val="000000"/>
                <w:lang w:eastAsia="en-AU"/>
              </w:rPr>
            </w:pPr>
          </w:p>
        </w:tc>
        <w:tc>
          <w:tcPr>
            <w:tcW w:w="1120" w:type="dxa"/>
            <w:shd w:val="clear" w:color="auto" w:fill="auto"/>
            <w:vAlign w:val="bottom"/>
            <w:hideMark/>
          </w:tcPr>
          <w:p w14:paraId="3552B495" w14:textId="77777777" w:rsidR="00FC0498" w:rsidRPr="00034E9B" w:rsidRDefault="00FC0498" w:rsidP="00FF6CBF">
            <w:pPr>
              <w:pStyle w:val="CGCTablerow"/>
              <w:jc w:val="right"/>
              <w:rPr>
                <w:color w:val="000000"/>
                <w:lang w:eastAsia="en-AU"/>
              </w:rPr>
            </w:pPr>
            <w:r w:rsidRPr="00034E9B">
              <w:rPr>
                <w:color w:val="000000"/>
                <w:lang w:eastAsia="en-AU"/>
              </w:rPr>
              <w:t>1.136</w:t>
            </w:r>
          </w:p>
        </w:tc>
        <w:tc>
          <w:tcPr>
            <w:tcW w:w="480" w:type="dxa"/>
            <w:shd w:val="clear" w:color="auto" w:fill="auto"/>
            <w:vAlign w:val="bottom"/>
            <w:hideMark/>
          </w:tcPr>
          <w:p w14:paraId="40E69710" w14:textId="77777777" w:rsidR="00FC0498" w:rsidRPr="00034E9B" w:rsidRDefault="00FC0498" w:rsidP="00FF6CBF">
            <w:pPr>
              <w:pStyle w:val="CGCTablerow"/>
              <w:jc w:val="right"/>
              <w:rPr>
                <w:color w:val="000000"/>
                <w:lang w:eastAsia="en-AU"/>
              </w:rPr>
            </w:pPr>
          </w:p>
        </w:tc>
        <w:tc>
          <w:tcPr>
            <w:tcW w:w="1320" w:type="dxa"/>
            <w:shd w:val="clear" w:color="auto" w:fill="auto"/>
            <w:vAlign w:val="bottom"/>
            <w:hideMark/>
          </w:tcPr>
          <w:p w14:paraId="693E1FF8" w14:textId="77777777" w:rsidR="00FC0498" w:rsidRPr="00034E9B" w:rsidRDefault="00FC0498" w:rsidP="00FF6CBF">
            <w:pPr>
              <w:pStyle w:val="CGCTablerow"/>
              <w:jc w:val="right"/>
              <w:rPr>
                <w:color w:val="000000"/>
                <w:lang w:eastAsia="en-AU"/>
              </w:rPr>
            </w:pPr>
            <w:r w:rsidRPr="00034E9B">
              <w:rPr>
                <w:color w:val="000000"/>
                <w:lang w:eastAsia="en-AU"/>
              </w:rPr>
              <w:t>1.148</w:t>
            </w:r>
          </w:p>
        </w:tc>
        <w:tc>
          <w:tcPr>
            <w:tcW w:w="480" w:type="dxa"/>
            <w:shd w:val="clear" w:color="auto" w:fill="auto"/>
            <w:vAlign w:val="bottom"/>
            <w:hideMark/>
          </w:tcPr>
          <w:p w14:paraId="0F5D6129" w14:textId="77777777" w:rsidR="00FC0498" w:rsidRPr="00034E9B" w:rsidRDefault="00FC0498" w:rsidP="00FF6CBF">
            <w:pPr>
              <w:pStyle w:val="CGCTablerow"/>
              <w:jc w:val="right"/>
              <w:rPr>
                <w:color w:val="000000"/>
                <w:lang w:eastAsia="en-AU"/>
              </w:rPr>
            </w:pPr>
          </w:p>
        </w:tc>
        <w:tc>
          <w:tcPr>
            <w:tcW w:w="1120" w:type="dxa"/>
            <w:shd w:val="clear" w:color="auto" w:fill="auto"/>
            <w:vAlign w:val="bottom"/>
            <w:hideMark/>
          </w:tcPr>
          <w:p w14:paraId="0C65233C" w14:textId="77777777" w:rsidR="00FC0498" w:rsidRPr="00034E9B" w:rsidRDefault="00FC0498" w:rsidP="00FF6CBF">
            <w:pPr>
              <w:pStyle w:val="CGCTablerow"/>
              <w:jc w:val="right"/>
              <w:rPr>
                <w:color w:val="000000"/>
                <w:lang w:eastAsia="en-AU"/>
              </w:rPr>
            </w:pPr>
            <w:r w:rsidRPr="00034E9B">
              <w:rPr>
                <w:color w:val="000000"/>
                <w:lang w:eastAsia="en-AU"/>
              </w:rPr>
              <w:t>0.700</w:t>
            </w:r>
          </w:p>
        </w:tc>
        <w:tc>
          <w:tcPr>
            <w:tcW w:w="480" w:type="dxa"/>
            <w:shd w:val="clear" w:color="auto" w:fill="auto"/>
            <w:vAlign w:val="bottom"/>
            <w:hideMark/>
          </w:tcPr>
          <w:p w14:paraId="1F057743" w14:textId="77777777" w:rsidR="00FC0498" w:rsidRPr="00034E9B" w:rsidRDefault="00FC0498" w:rsidP="00FF6CBF">
            <w:pPr>
              <w:pStyle w:val="CGCTablerow"/>
              <w:jc w:val="right"/>
              <w:rPr>
                <w:color w:val="000000"/>
                <w:lang w:eastAsia="en-AU"/>
              </w:rPr>
            </w:pPr>
          </w:p>
        </w:tc>
        <w:tc>
          <w:tcPr>
            <w:tcW w:w="1420" w:type="dxa"/>
            <w:shd w:val="clear" w:color="auto" w:fill="auto"/>
            <w:vAlign w:val="bottom"/>
            <w:hideMark/>
          </w:tcPr>
          <w:p w14:paraId="2FBCFD3D" w14:textId="77777777" w:rsidR="00FC0498" w:rsidRPr="00034E9B" w:rsidRDefault="00FC0498" w:rsidP="00081353">
            <w:pPr>
              <w:pStyle w:val="CGCTablerow"/>
              <w:ind w:right="57"/>
              <w:jc w:val="right"/>
              <w:rPr>
                <w:color w:val="000000"/>
                <w:lang w:eastAsia="en-AU"/>
              </w:rPr>
            </w:pPr>
            <w:r w:rsidRPr="00034E9B">
              <w:rPr>
                <w:color w:val="000000"/>
                <w:lang w:eastAsia="en-AU"/>
              </w:rPr>
              <w:t>1.148</w:t>
            </w:r>
          </w:p>
        </w:tc>
      </w:tr>
      <w:tr w:rsidR="00FC0498" w:rsidRPr="00034E9B" w14:paraId="465B46BF" w14:textId="77777777" w:rsidTr="00FF6CBF">
        <w:trPr>
          <w:trHeight w:val="315"/>
        </w:trPr>
        <w:tc>
          <w:tcPr>
            <w:tcW w:w="1000" w:type="dxa"/>
            <w:shd w:val="clear" w:color="auto" w:fill="auto"/>
            <w:vAlign w:val="bottom"/>
            <w:hideMark/>
          </w:tcPr>
          <w:p w14:paraId="780F9D84" w14:textId="77777777" w:rsidR="00FC0498" w:rsidRPr="00034E9B" w:rsidRDefault="00FC0498" w:rsidP="00FF6CBF">
            <w:pPr>
              <w:pStyle w:val="CGCTablerow"/>
              <w:rPr>
                <w:color w:val="000000"/>
                <w:lang w:eastAsia="en-AU"/>
              </w:rPr>
            </w:pPr>
            <w:r w:rsidRPr="00034E9B">
              <w:rPr>
                <w:color w:val="000000"/>
                <w:lang w:eastAsia="en-AU"/>
              </w:rPr>
              <w:t>NT</w:t>
            </w:r>
          </w:p>
        </w:tc>
        <w:tc>
          <w:tcPr>
            <w:tcW w:w="1060" w:type="dxa"/>
            <w:shd w:val="clear" w:color="auto" w:fill="auto"/>
            <w:vAlign w:val="bottom"/>
            <w:hideMark/>
          </w:tcPr>
          <w:p w14:paraId="0A1ADBA7" w14:textId="77777777" w:rsidR="00FC0498" w:rsidRPr="00034E9B" w:rsidRDefault="00FC0498" w:rsidP="00FF6CBF">
            <w:pPr>
              <w:pStyle w:val="CGCTablerow"/>
              <w:jc w:val="right"/>
              <w:rPr>
                <w:color w:val="000000"/>
                <w:lang w:eastAsia="en-AU"/>
              </w:rPr>
            </w:pPr>
            <w:r w:rsidRPr="00034E9B">
              <w:rPr>
                <w:color w:val="000000"/>
                <w:lang w:eastAsia="en-AU"/>
              </w:rPr>
              <w:t>4.855</w:t>
            </w:r>
          </w:p>
        </w:tc>
        <w:tc>
          <w:tcPr>
            <w:tcW w:w="480" w:type="dxa"/>
            <w:shd w:val="clear" w:color="auto" w:fill="auto"/>
            <w:vAlign w:val="bottom"/>
            <w:hideMark/>
          </w:tcPr>
          <w:p w14:paraId="4369398F" w14:textId="77777777" w:rsidR="00FC0498" w:rsidRPr="00034E9B" w:rsidRDefault="00FC0498" w:rsidP="00FF6CBF">
            <w:pPr>
              <w:pStyle w:val="CGCTablerow"/>
              <w:jc w:val="right"/>
              <w:rPr>
                <w:color w:val="000000"/>
                <w:lang w:eastAsia="en-AU"/>
              </w:rPr>
            </w:pPr>
          </w:p>
        </w:tc>
        <w:tc>
          <w:tcPr>
            <w:tcW w:w="1120" w:type="dxa"/>
            <w:shd w:val="clear" w:color="auto" w:fill="auto"/>
            <w:vAlign w:val="bottom"/>
            <w:hideMark/>
          </w:tcPr>
          <w:p w14:paraId="36D1FD04" w14:textId="77777777" w:rsidR="00FC0498" w:rsidRPr="00034E9B" w:rsidRDefault="00FC0498" w:rsidP="00FF6CBF">
            <w:pPr>
              <w:pStyle w:val="CGCTablerow"/>
              <w:jc w:val="right"/>
              <w:rPr>
                <w:color w:val="000000"/>
                <w:lang w:eastAsia="en-AU"/>
              </w:rPr>
            </w:pPr>
            <w:r w:rsidRPr="00034E9B">
              <w:rPr>
                <w:color w:val="000000"/>
                <w:lang w:eastAsia="en-AU"/>
              </w:rPr>
              <w:t>4.782</w:t>
            </w:r>
          </w:p>
        </w:tc>
        <w:tc>
          <w:tcPr>
            <w:tcW w:w="480" w:type="dxa"/>
            <w:shd w:val="clear" w:color="auto" w:fill="auto"/>
            <w:vAlign w:val="bottom"/>
            <w:hideMark/>
          </w:tcPr>
          <w:p w14:paraId="30E442AB" w14:textId="77777777" w:rsidR="00FC0498" w:rsidRPr="00034E9B" w:rsidRDefault="00FC0498" w:rsidP="00FF6CBF">
            <w:pPr>
              <w:pStyle w:val="CGCTablerow"/>
              <w:jc w:val="right"/>
              <w:rPr>
                <w:color w:val="000000"/>
                <w:lang w:eastAsia="en-AU"/>
              </w:rPr>
            </w:pPr>
          </w:p>
        </w:tc>
        <w:tc>
          <w:tcPr>
            <w:tcW w:w="1320" w:type="dxa"/>
            <w:shd w:val="clear" w:color="auto" w:fill="auto"/>
            <w:vAlign w:val="bottom"/>
            <w:hideMark/>
          </w:tcPr>
          <w:p w14:paraId="3FDE6726" w14:textId="77777777" w:rsidR="00FC0498" w:rsidRPr="00034E9B" w:rsidRDefault="00FC0498" w:rsidP="00FF6CBF">
            <w:pPr>
              <w:pStyle w:val="CGCTablerow"/>
              <w:jc w:val="right"/>
              <w:rPr>
                <w:color w:val="000000"/>
                <w:lang w:eastAsia="en-AU"/>
              </w:rPr>
            </w:pPr>
            <w:r w:rsidRPr="00034E9B">
              <w:rPr>
                <w:color w:val="000000"/>
                <w:lang w:eastAsia="en-AU"/>
              </w:rPr>
              <w:t>4.830</w:t>
            </w:r>
          </w:p>
        </w:tc>
        <w:tc>
          <w:tcPr>
            <w:tcW w:w="480" w:type="dxa"/>
            <w:shd w:val="clear" w:color="auto" w:fill="auto"/>
            <w:vAlign w:val="bottom"/>
            <w:hideMark/>
          </w:tcPr>
          <w:p w14:paraId="5227EC27" w14:textId="77777777" w:rsidR="00FC0498" w:rsidRPr="00034E9B" w:rsidRDefault="00FC0498" w:rsidP="00FF6CBF">
            <w:pPr>
              <w:pStyle w:val="CGCTablerow"/>
              <w:jc w:val="right"/>
              <w:rPr>
                <w:color w:val="000000"/>
                <w:lang w:eastAsia="en-AU"/>
              </w:rPr>
            </w:pPr>
          </w:p>
        </w:tc>
        <w:tc>
          <w:tcPr>
            <w:tcW w:w="1120" w:type="dxa"/>
            <w:shd w:val="clear" w:color="auto" w:fill="auto"/>
            <w:vAlign w:val="bottom"/>
            <w:hideMark/>
          </w:tcPr>
          <w:p w14:paraId="609B7BB8" w14:textId="77777777" w:rsidR="00FC0498" w:rsidRPr="00034E9B" w:rsidRDefault="00FC0498" w:rsidP="00FF6CBF">
            <w:pPr>
              <w:pStyle w:val="CGCTablerow"/>
              <w:jc w:val="right"/>
              <w:rPr>
                <w:color w:val="000000"/>
                <w:lang w:eastAsia="en-AU"/>
              </w:rPr>
            </w:pPr>
            <w:r w:rsidRPr="00034E9B">
              <w:rPr>
                <w:color w:val="000000"/>
                <w:lang w:eastAsia="en-AU"/>
              </w:rPr>
              <w:t>0.700</w:t>
            </w:r>
          </w:p>
        </w:tc>
        <w:tc>
          <w:tcPr>
            <w:tcW w:w="480" w:type="dxa"/>
            <w:shd w:val="clear" w:color="auto" w:fill="auto"/>
            <w:vAlign w:val="bottom"/>
            <w:hideMark/>
          </w:tcPr>
          <w:p w14:paraId="47E61CBB" w14:textId="77777777" w:rsidR="00FC0498" w:rsidRPr="00034E9B" w:rsidRDefault="00FC0498" w:rsidP="00FF6CBF">
            <w:pPr>
              <w:pStyle w:val="CGCTablerow"/>
              <w:jc w:val="right"/>
              <w:rPr>
                <w:color w:val="000000"/>
                <w:lang w:eastAsia="en-AU"/>
              </w:rPr>
            </w:pPr>
          </w:p>
        </w:tc>
        <w:tc>
          <w:tcPr>
            <w:tcW w:w="1420" w:type="dxa"/>
            <w:shd w:val="clear" w:color="auto" w:fill="auto"/>
            <w:vAlign w:val="bottom"/>
            <w:hideMark/>
          </w:tcPr>
          <w:p w14:paraId="61E9186F" w14:textId="77777777" w:rsidR="00FC0498" w:rsidRPr="00034E9B" w:rsidRDefault="00FC0498" w:rsidP="00081353">
            <w:pPr>
              <w:pStyle w:val="CGCTablerow"/>
              <w:ind w:right="57"/>
              <w:jc w:val="right"/>
              <w:rPr>
                <w:color w:val="000000"/>
                <w:lang w:eastAsia="en-AU"/>
              </w:rPr>
            </w:pPr>
            <w:r w:rsidRPr="00034E9B">
              <w:rPr>
                <w:color w:val="000000"/>
                <w:lang w:eastAsia="en-AU"/>
              </w:rPr>
              <w:t>4.830</w:t>
            </w:r>
          </w:p>
        </w:tc>
      </w:tr>
      <w:tr w:rsidR="00FC0498" w:rsidRPr="00034E9B" w14:paraId="342461D9" w14:textId="77777777" w:rsidTr="00FF6CBF">
        <w:trPr>
          <w:trHeight w:val="315"/>
        </w:trPr>
        <w:tc>
          <w:tcPr>
            <w:tcW w:w="1000" w:type="dxa"/>
            <w:shd w:val="clear" w:color="auto" w:fill="D6E7F0"/>
            <w:vAlign w:val="bottom"/>
            <w:hideMark/>
          </w:tcPr>
          <w:p w14:paraId="36B5E0DC" w14:textId="77777777" w:rsidR="00FC0498" w:rsidRPr="00034E9B" w:rsidRDefault="00FC0498" w:rsidP="00817FAE">
            <w:pPr>
              <w:pStyle w:val="CGCTablesubhead2"/>
              <w:rPr>
                <w:color w:val="000000"/>
                <w:lang w:val="en-AU" w:eastAsia="en-AU"/>
              </w:rPr>
            </w:pPr>
            <w:r w:rsidRPr="00034E9B">
              <w:rPr>
                <w:color w:val="000000"/>
                <w:lang w:val="en-AU" w:eastAsia="en-AU"/>
              </w:rPr>
              <w:t>Total</w:t>
            </w:r>
          </w:p>
        </w:tc>
        <w:tc>
          <w:tcPr>
            <w:tcW w:w="1060" w:type="dxa"/>
            <w:shd w:val="clear" w:color="auto" w:fill="D6E7F0"/>
            <w:vAlign w:val="bottom"/>
            <w:hideMark/>
          </w:tcPr>
          <w:p w14:paraId="7A8018BB" w14:textId="77777777" w:rsidR="00FC0498" w:rsidRPr="00034E9B" w:rsidRDefault="00FC0498" w:rsidP="00FF6CBF">
            <w:pPr>
              <w:pStyle w:val="CGCTablesubhead2"/>
              <w:jc w:val="right"/>
              <w:rPr>
                <w:color w:val="000000"/>
                <w:lang w:val="en-AU" w:eastAsia="en-AU"/>
              </w:rPr>
            </w:pPr>
            <w:r w:rsidRPr="00034E9B">
              <w:rPr>
                <w:color w:val="000000"/>
                <w:lang w:val="en-AU" w:eastAsia="en-AU"/>
              </w:rPr>
              <w:t>1.000</w:t>
            </w:r>
          </w:p>
        </w:tc>
        <w:tc>
          <w:tcPr>
            <w:tcW w:w="480" w:type="dxa"/>
            <w:shd w:val="clear" w:color="auto" w:fill="D6E7F0"/>
            <w:vAlign w:val="bottom"/>
            <w:hideMark/>
          </w:tcPr>
          <w:p w14:paraId="1F41C2B5" w14:textId="77777777" w:rsidR="00FC0498" w:rsidRPr="00034E9B" w:rsidRDefault="00FC0498" w:rsidP="00FF6CBF">
            <w:pPr>
              <w:pStyle w:val="CGCTablesubhead2"/>
              <w:jc w:val="right"/>
              <w:rPr>
                <w:color w:val="000000"/>
                <w:lang w:val="en-AU" w:eastAsia="en-AU"/>
              </w:rPr>
            </w:pPr>
            <w:r w:rsidRPr="00034E9B">
              <w:rPr>
                <w:color w:val="000000"/>
                <w:lang w:val="en-AU" w:eastAsia="en-AU"/>
              </w:rPr>
              <w:t> </w:t>
            </w:r>
          </w:p>
        </w:tc>
        <w:tc>
          <w:tcPr>
            <w:tcW w:w="1120" w:type="dxa"/>
            <w:shd w:val="clear" w:color="auto" w:fill="D6E7F0"/>
            <w:vAlign w:val="bottom"/>
            <w:hideMark/>
          </w:tcPr>
          <w:p w14:paraId="38D76E80" w14:textId="77777777" w:rsidR="00FC0498" w:rsidRPr="00034E9B" w:rsidRDefault="00FC0498" w:rsidP="00FF6CBF">
            <w:pPr>
              <w:pStyle w:val="CGCTablesubhead2"/>
              <w:jc w:val="right"/>
              <w:rPr>
                <w:color w:val="000000"/>
                <w:lang w:val="en-AU" w:eastAsia="en-AU"/>
              </w:rPr>
            </w:pPr>
            <w:r w:rsidRPr="00034E9B">
              <w:rPr>
                <w:color w:val="000000"/>
                <w:lang w:val="en-AU" w:eastAsia="en-AU"/>
              </w:rPr>
              <w:t>1.000</w:t>
            </w:r>
          </w:p>
        </w:tc>
        <w:tc>
          <w:tcPr>
            <w:tcW w:w="480" w:type="dxa"/>
            <w:shd w:val="clear" w:color="auto" w:fill="D6E7F0"/>
            <w:vAlign w:val="bottom"/>
            <w:hideMark/>
          </w:tcPr>
          <w:p w14:paraId="3BB6E8AF" w14:textId="77777777" w:rsidR="00FC0498" w:rsidRPr="00034E9B" w:rsidRDefault="00FC0498" w:rsidP="00FF6CBF">
            <w:pPr>
              <w:pStyle w:val="CGCTablesubhead2"/>
              <w:jc w:val="right"/>
              <w:rPr>
                <w:color w:val="000000"/>
                <w:lang w:val="en-AU" w:eastAsia="en-AU"/>
              </w:rPr>
            </w:pPr>
            <w:r w:rsidRPr="00034E9B">
              <w:rPr>
                <w:color w:val="000000"/>
                <w:lang w:val="en-AU" w:eastAsia="en-AU"/>
              </w:rPr>
              <w:t> </w:t>
            </w:r>
          </w:p>
        </w:tc>
        <w:tc>
          <w:tcPr>
            <w:tcW w:w="1320" w:type="dxa"/>
            <w:shd w:val="clear" w:color="auto" w:fill="D6E7F0"/>
            <w:vAlign w:val="bottom"/>
            <w:hideMark/>
          </w:tcPr>
          <w:p w14:paraId="730966A6" w14:textId="77777777" w:rsidR="00FC0498" w:rsidRPr="00034E9B" w:rsidRDefault="00FC0498" w:rsidP="00FF6CBF">
            <w:pPr>
              <w:pStyle w:val="CGCTablesubhead2"/>
              <w:jc w:val="right"/>
              <w:rPr>
                <w:color w:val="000000"/>
                <w:lang w:val="en-AU" w:eastAsia="en-AU"/>
              </w:rPr>
            </w:pPr>
            <w:r w:rsidRPr="00034E9B">
              <w:rPr>
                <w:color w:val="000000"/>
                <w:lang w:val="en-AU" w:eastAsia="en-AU"/>
              </w:rPr>
              <w:t>1.000</w:t>
            </w:r>
          </w:p>
        </w:tc>
        <w:tc>
          <w:tcPr>
            <w:tcW w:w="480" w:type="dxa"/>
            <w:shd w:val="clear" w:color="auto" w:fill="D6E7F0"/>
            <w:vAlign w:val="bottom"/>
            <w:hideMark/>
          </w:tcPr>
          <w:p w14:paraId="4AB3EFC8" w14:textId="77777777" w:rsidR="00FC0498" w:rsidRPr="00034E9B" w:rsidRDefault="00FC0498" w:rsidP="00FF6CBF">
            <w:pPr>
              <w:pStyle w:val="CGCTablesubhead2"/>
              <w:jc w:val="right"/>
              <w:rPr>
                <w:color w:val="000000"/>
                <w:lang w:val="en-AU" w:eastAsia="en-AU"/>
              </w:rPr>
            </w:pPr>
            <w:r w:rsidRPr="00034E9B">
              <w:rPr>
                <w:color w:val="000000"/>
                <w:lang w:val="en-AU" w:eastAsia="en-AU"/>
              </w:rPr>
              <w:t> </w:t>
            </w:r>
          </w:p>
        </w:tc>
        <w:tc>
          <w:tcPr>
            <w:tcW w:w="1120" w:type="dxa"/>
            <w:shd w:val="clear" w:color="auto" w:fill="D6E7F0"/>
            <w:noWrap/>
            <w:vAlign w:val="bottom"/>
            <w:hideMark/>
          </w:tcPr>
          <w:p w14:paraId="7402A0B2" w14:textId="77777777" w:rsidR="00FC0498" w:rsidRPr="00034E9B" w:rsidRDefault="00FC0498" w:rsidP="00FF6CBF">
            <w:pPr>
              <w:pStyle w:val="CGCTablesubhead2"/>
              <w:jc w:val="right"/>
              <w:rPr>
                <w:lang w:val="en-AU" w:eastAsia="en-AU"/>
              </w:rPr>
            </w:pPr>
            <w:r w:rsidRPr="00034E9B">
              <w:rPr>
                <w:lang w:val="en-AU" w:eastAsia="en-AU"/>
              </w:rPr>
              <w:t> </w:t>
            </w:r>
          </w:p>
        </w:tc>
        <w:tc>
          <w:tcPr>
            <w:tcW w:w="480" w:type="dxa"/>
            <w:shd w:val="clear" w:color="auto" w:fill="D6E7F0"/>
            <w:noWrap/>
            <w:vAlign w:val="bottom"/>
            <w:hideMark/>
          </w:tcPr>
          <w:p w14:paraId="23DBD316" w14:textId="77777777" w:rsidR="00FC0498" w:rsidRPr="00034E9B" w:rsidRDefault="00FC0498" w:rsidP="00FF6CBF">
            <w:pPr>
              <w:pStyle w:val="CGCTablesubhead2"/>
              <w:jc w:val="right"/>
              <w:rPr>
                <w:lang w:val="en-AU" w:eastAsia="en-AU"/>
              </w:rPr>
            </w:pPr>
            <w:r w:rsidRPr="00034E9B">
              <w:rPr>
                <w:lang w:val="en-AU" w:eastAsia="en-AU"/>
              </w:rPr>
              <w:t> </w:t>
            </w:r>
          </w:p>
        </w:tc>
        <w:tc>
          <w:tcPr>
            <w:tcW w:w="1420" w:type="dxa"/>
            <w:shd w:val="clear" w:color="auto" w:fill="D6E7F0"/>
            <w:vAlign w:val="bottom"/>
            <w:hideMark/>
          </w:tcPr>
          <w:p w14:paraId="433DC7BC" w14:textId="77777777" w:rsidR="00FC0498" w:rsidRPr="00034E9B" w:rsidRDefault="00FC0498" w:rsidP="00081353">
            <w:pPr>
              <w:pStyle w:val="CGCTablesubhead2"/>
              <w:ind w:right="57"/>
              <w:jc w:val="right"/>
              <w:rPr>
                <w:color w:val="000000"/>
                <w:lang w:val="en-AU" w:eastAsia="en-AU"/>
              </w:rPr>
            </w:pPr>
            <w:r w:rsidRPr="00034E9B">
              <w:rPr>
                <w:color w:val="000000"/>
                <w:lang w:val="en-AU" w:eastAsia="en-AU"/>
              </w:rPr>
              <w:t>1.000</w:t>
            </w:r>
          </w:p>
        </w:tc>
      </w:tr>
    </w:tbl>
    <w:p w14:paraId="236ED6FB" w14:textId="714D3F57" w:rsidR="00C6254D" w:rsidRPr="00C6254D" w:rsidRDefault="00C6254D" w:rsidP="00C6254D">
      <w:pPr>
        <w:pStyle w:val="CGCTablenote"/>
      </w:pPr>
      <w:r w:rsidRPr="00C6254D">
        <w:t>Note:</w:t>
      </w:r>
      <w:r w:rsidRPr="00C6254D">
        <w:tab/>
        <w:t>Numbers have been rounded for presentation purposes. Fiscal capacities and relativities are generated to five decimal places.</w:t>
      </w:r>
    </w:p>
    <w:p w14:paraId="72CA808B" w14:textId="5C458006" w:rsidR="00FC0498" w:rsidRPr="00034E9B" w:rsidRDefault="00DF309D" w:rsidP="00DF309D">
      <w:pPr>
        <w:pStyle w:val="CGCTablenote"/>
      </w:pPr>
      <w:r w:rsidRPr="00DF309D">
        <w:t xml:space="preserve"> (</w:t>
      </w:r>
      <w:r>
        <w:t>a)</w:t>
      </w:r>
      <w:r>
        <w:tab/>
      </w:r>
      <w:r w:rsidR="00FC0498" w:rsidRPr="00034E9B">
        <w:t>Fiscal capacities are illustrative only, using relativity projections published in</w:t>
      </w:r>
      <w:r w:rsidR="007328B5" w:rsidRPr="007328B5">
        <w:rPr>
          <w:sz w:val="20"/>
        </w:rPr>
        <w:t xml:space="preserve"> </w:t>
      </w:r>
      <w:r w:rsidR="007328B5" w:rsidRPr="007328B5">
        <w:t xml:space="preserve">Productivity Commission 2018, </w:t>
      </w:r>
      <w:r w:rsidR="007328B5" w:rsidRPr="007328B5">
        <w:rPr>
          <w:i/>
        </w:rPr>
        <w:t>Horizontal Fiscal Equalisation</w:t>
      </w:r>
      <w:r w:rsidR="007328B5" w:rsidRPr="007328B5">
        <w:t>, Report no. 88</w:t>
      </w:r>
      <w:r w:rsidR="002114B5">
        <w:t>.</w:t>
      </w:r>
    </w:p>
    <w:p w14:paraId="1D990681" w14:textId="583903D1" w:rsidR="00FC0498" w:rsidRPr="00034E9B" w:rsidRDefault="00FC0498" w:rsidP="00FC0498">
      <w:pPr>
        <w:pStyle w:val="CGCParaNumber"/>
        <w:numPr>
          <w:ilvl w:val="0"/>
          <w:numId w:val="26"/>
        </w:numPr>
        <w:ind w:left="567" w:hanging="567"/>
        <w:rPr>
          <w:lang w:val="en-AU"/>
        </w:rPr>
      </w:pPr>
      <w:r w:rsidRPr="00034E9B">
        <w:rPr>
          <w:lang w:val="en-AU"/>
        </w:rPr>
        <w:t xml:space="preserve">Recent inquiry reports have included in the Overview a chart showing the GST acting as a balancing item to ensure that total assessed State revenue per capita matches total assessed State expenditure per capita. </w:t>
      </w:r>
      <w:r w:rsidR="00250088">
        <w:rPr>
          <w:lang w:val="en-AU"/>
        </w:rPr>
        <w:fldChar w:fldCharType="begin"/>
      </w:r>
      <w:r w:rsidR="00250088">
        <w:rPr>
          <w:lang w:val="en-AU"/>
        </w:rPr>
        <w:instrText xml:space="preserve"> REF _Ref32933333 \h </w:instrText>
      </w:r>
      <w:r w:rsidR="00250088">
        <w:rPr>
          <w:lang w:val="en-AU"/>
        </w:rPr>
      </w:r>
      <w:r w:rsidR="00250088">
        <w:rPr>
          <w:lang w:val="en-AU"/>
        </w:rPr>
        <w:fldChar w:fldCharType="separate"/>
      </w:r>
      <w:r w:rsidR="004A0DFA">
        <w:t>Figure 4A</w:t>
      </w:r>
      <w:r w:rsidR="004A0DFA">
        <w:noBreakHyphen/>
      </w:r>
      <w:r w:rsidR="004A0DFA">
        <w:rPr>
          <w:noProof/>
        </w:rPr>
        <w:t>1</w:t>
      </w:r>
      <w:r w:rsidR="00250088">
        <w:rPr>
          <w:lang w:val="en-AU"/>
        </w:rPr>
        <w:fldChar w:fldCharType="end"/>
      </w:r>
      <w:r w:rsidRPr="00034E9B">
        <w:rPr>
          <w:lang w:val="en-AU"/>
        </w:rPr>
        <w:t xml:space="preserve"> shows that increasing Western Australia’s GST relativity above </w:t>
      </w:r>
      <w:r w:rsidR="009C0B88">
        <w:rPr>
          <w:lang w:val="en-AU"/>
        </w:rPr>
        <w:t xml:space="preserve">the Commission’s measure of </w:t>
      </w:r>
      <w:r w:rsidRPr="00034E9B">
        <w:rPr>
          <w:lang w:val="en-AU"/>
        </w:rPr>
        <w:t xml:space="preserve">its relative fiscal capacity means that, with average revenue raising effort, it would have slightly more total revenue per capita than it requires to provide expenses and investment at the average level. All other States have less revenue than they ‘require’. The chart highlights that the transition to ‘reasonable equalisation’ is not significantly different from ‘full equalisation’. </w:t>
      </w:r>
    </w:p>
    <w:p w14:paraId="129B3C90" w14:textId="50C8CA3D" w:rsidR="00FC0498" w:rsidRPr="00034E9B" w:rsidRDefault="00250088" w:rsidP="00250088">
      <w:pPr>
        <w:pStyle w:val="Caption"/>
      </w:pPr>
      <w:bookmarkStart w:id="200" w:name="_Ref32933333"/>
      <w:r>
        <w:lastRenderedPageBreak/>
        <w:t>Figure 4A</w:t>
      </w:r>
      <w:r>
        <w:noBreakHyphen/>
      </w:r>
      <w:r w:rsidR="009063F1">
        <w:fldChar w:fldCharType="begin"/>
      </w:r>
      <w:r w:rsidR="009063F1">
        <w:instrText xml:space="preserve"> SEQ Figure \* ARABIC \r 1 </w:instrText>
      </w:r>
      <w:r w:rsidR="009063F1">
        <w:fldChar w:fldCharType="separate"/>
      </w:r>
      <w:r w:rsidR="004A0DFA">
        <w:rPr>
          <w:noProof/>
        </w:rPr>
        <w:t>1</w:t>
      </w:r>
      <w:r w:rsidR="009063F1">
        <w:rPr>
          <w:noProof/>
        </w:rPr>
        <w:fldChar w:fldCharType="end"/>
      </w:r>
      <w:bookmarkEnd w:id="199"/>
      <w:bookmarkEnd w:id="200"/>
      <w:r w:rsidR="00743848">
        <w:tab/>
      </w:r>
      <w:r w:rsidR="00FC0498" w:rsidRPr="00034E9B">
        <w:tab/>
        <w:t>Illustrative assessed budgets per capita, 2022</w:t>
      </w:r>
      <w:r w:rsidR="00FC0498" w:rsidRPr="00034E9B">
        <w:noBreakHyphen/>
        <w:t>23</w:t>
      </w:r>
    </w:p>
    <w:p w14:paraId="686F0E8B" w14:textId="571C8581" w:rsidR="00FC0498" w:rsidRPr="00034E9B" w:rsidRDefault="008440D8" w:rsidP="00FC0498">
      <w:pPr>
        <w:rPr>
          <w:color w:val="D9D9D9" w:themeColor="background1" w:themeShade="D9"/>
        </w:rPr>
      </w:pPr>
      <w:r w:rsidRPr="00034E9B">
        <w:rPr>
          <w:noProof/>
          <w:color w:val="D9D9D9" w:themeColor="background1" w:themeShade="D9"/>
        </w:rPr>
        <w:drawing>
          <wp:inline distT="0" distB="0" distL="0" distR="0" wp14:anchorId="7C3A8CD0" wp14:editId="6F4A94F9">
            <wp:extent cx="5663565" cy="3578860"/>
            <wp:effectExtent l="19050" t="19050" r="13335" b="21590"/>
            <wp:docPr id="2" name="Picture 2" descr="Chart shows expenditure, own source revenue, net borrowing, Commonwealth payments and G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63565" cy="3578860"/>
                    </a:xfrm>
                    <a:prstGeom prst="rect">
                      <a:avLst/>
                    </a:prstGeom>
                    <a:noFill/>
                    <a:ln>
                      <a:solidFill>
                        <a:srgbClr val="ADD6EA"/>
                      </a:solidFill>
                    </a:ln>
                  </pic:spPr>
                </pic:pic>
              </a:graphicData>
            </a:graphic>
          </wp:inline>
        </w:drawing>
      </w:r>
    </w:p>
    <w:p w14:paraId="078DC71C" w14:textId="3B83F2A7" w:rsidR="00FC0498" w:rsidRPr="00034E9B" w:rsidRDefault="00FC0498" w:rsidP="00FC0498">
      <w:pPr>
        <w:pStyle w:val="CGCTablenote"/>
      </w:pPr>
      <w:r w:rsidRPr="00034E9B">
        <w:t>Note:</w:t>
      </w:r>
      <w:r w:rsidRPr="00034E9B">
        <w:tab/>
        <w:t>For illustrative purposes only.</w:t>
      </w:r>
    </w:p>
    <w:p w14:paraId="651C4421" w14:textId="77777777" w:rsidR="00FC0498" w:rsidRPr="00034E9B" w:rsidRDefault="00FC0498" w:rsidP="00FC0498">
      <w:pPr>
        <w:pStyle w:val="CGCTablenote"/>
      </w:pPr>
      <w:r w:rsidRPr="00034E9B">
        <w:t>(a)</w:t>
      </w:r>
      <w:r w:rsidRPr="00034E9B">
        <w:tab/>
        <w:t>Includes expenses and investment.</w:t>
      </w:r>
    </w:p>
    <w:p w14:paraId="086E805B" w14:textId="77777777" w:rsidR="00FC0498" w:rsidRPr="00034E9B" w:rsidRDefault="00FC0498" w:rsidP="00FC0498">
      <w:pPr>
        <w:pStyle w:val="CGCTablenote"/>
      </w:pPr>
      <w:r w:rsidRPr="00034E9B">
        <w:t>Source:</w:t>
      </w:r>
      <w:r w:rsidRPr="00034E9B">
        <w:tab/>
        <w:t>Commission calculation.</w:t>
      </w:r>
    </w:p>
    <w:p w14:paraId="123ED8C9" w14:textId="77777777" w:rsidR="00FC0498" w:rsidRPr="00034E9B" w:rsidRDefault="00FC0498" w:rsidP="00FC0498">
      <w:pPr>
        <w:pStyle w:val="Heading4"/>
      </w:pPr>
      <w:bookmarkStart w:id="201" w:name="_Toc442883272"/>
      <w:bookmarkStart w:id="202" w:name="_Toc474923740"/>
      <w:bookmarkStart w:id="203" w:name="_Toc505872166"/>
      <w:bookmarkStart w:id="204" w:name="_Toc536519617"/>
      <w:bookmarkStart w:id="205" w:name="_Toc536631327"/>
      <w:bookmarkStart w:id="206" w:name="_Toc536803160"/>
      <w:bookmarkStart w:id="207" w:name="_Toc536803248"/>
      <w:bookmarkStart w:id="208" w:name="_Toc1115128"/>
      <w:bookmarkStart w:id="209" w:name="_Toc26890333"/>
      <w:r w:rsidRPr="00034E9B">
        <w:t>Movements in the grant distribution</w:t>
      </w:r>
      <w:bookmarkEnd w:id="201"/>
      <w:bookmarkEnd w:id="202"/>
      <w:bookmarkEnd w:id="203"/>
      <w:bookmarkEnd w:id="204"/>
      <w:bookmarkEnd w:id="205"/>
      <w:bookmarkEnd w:id="206"/>
      <w:bookmarkEnd w:id="207"/>
      <w:bookmarkEnd w:id="208"/>
      <w:bookmarkEnd w:id="209"/>
    </w:p>
    <w:p w14:paraId="100F5391" w14:textId="5E7B5C61" w:rsidR="00FC0498" w:rsidRPr="00034E9B" w:rsidRDefault="00FC0498" w:rsidP="00FC0498">
      <w:pPr>
        <w:pStyle w:val="CGCParaNumber"/>
        <w:numPr>
          <w:ilvl w:val="0"/>
          <w:numId w:val="26"/>
        </w:numPr>
        <w:ind w:left="567" w:hanging="567"/>
        <w:rPr>
          <w:lang w:val="en-AU"/>
        </w:rPr>
      </w:pPr>
      <w:r w:rsidRPr="00034E9B">
        <w:rPr>
          <w:lang w:val="en-AU"/>
        </w:rPr>
        <w:fldChar w:fldCharType="begin"/>
      </w:r>
      <w:r w:rsidRPr="00034E9B">
        <w:rPr>
          <w:lang w:val="en-AU"/>
        </w:rPr>
        <w:instrText xml:space="preserve"> REF _Ref503770922 \h  \* MERGEFORMAT </w:instrText>
      </w:r>
      <w:r w:rsidRPr="00034E9B">
        <w:rPr>
          <w:lang w:val="en-AU"/>
        </w:rPr>
      </w:r>
      <w:r w:rsidRPr="00034E9B">
        <w:rPr>
          <w:lang w:val="en-AU"/>
        </w:rPr>
        <w:fldChar w:fldCharType="separate"/>
      </w:r>
      <w:r w:rsidR="004A0DFA" w:rsidRPr="004A0DFA">
        <w:rPr>
          <w:lang w:val="en-AU"/>
        </w:rPr>
        <w:t>Table 4A-3</w:t>
      </w:r>
      <w:r w:rsidRPr="00034E9B">
        <w:rPr>
          <w:lang w:val="en-AU"/>
        </w:rPr>
        <w:fldChar w:fldCharType="end"/>
      </w:r>
      <w:r w:rsidRPr="00034E9B">
        <w:rPr>
          <w:lang w:val="en-AU"/>
        </w:rPr>
        <w:t xml:space="preserve"> is similar to a table that has been produced by the Commission for several inquiries, identifying changes in grant distributions due to changes in State populations, changes in the size of the grant pool and changes in State fiscal capacities. Note that ‘change in fiscal capacities’ would become ‘change in relativities’.</w:t>
      </w:r>
    </w:p>
    <w:p w14:paraId="37058C29" w14:textId="7B9389D0" w:rsidR="00FC0498" w:rsidRPr="00034E9B" w:rsidRDefault="00FC0498" w:rsidP="00FC0498">
      <w:pPr>
        <w:pStyle w:val="Caption"/>
      </w:pPr>
      <w:bookmarkStart w:id="210" w:name="_Ref503770922"/>
      <w:r w:rsidRPr="00034E9B">
        <w:t>Table 4A-</w:t>
      </w:r>
      <w:r w:rsidRPr="00034E9B">
        <w:rPr>
          <w:noProof/>
        </w:rPr>
        <w:fldChar w:fldCharType="begin"/>
      </w:r>
      <w:r w:rsidRPr="00034E9B">
        <w:rPr>
          <w:noProof/>
        </w:rPr>
        <w:instrText xml:space="preserve"> SEQ Table \* ARABIC </w:instrText>
      </w:r>
      <w:r w:rsidRPr="00034E9B">
        <w:rPr>
          <w:noProof/>
        </w:rPr>
        <w:fldChar w:fldCharType="separate"/>
      </w:r>
      <w:r w:rsidR="004A0DFA">
        <w:rPr>
          <w:noProof/>
        </w:rPr>
        <w:t>3</w:t>
      </w:r>
      <w:r w:rsidRPr="00034E9B">
        <w:rPr>
          <w:noProof/>
        </w:rPr>
        <w:fldChar w:fldCharType="end"/>
      </w:r>
      <w:bookmarkEnd w:id="210"/>
      <w:r w:rsidRPr="00034E9B">
        <w:tab/>
        <w:t>Distribution of the 2021</w:t>
      </w:r>
      <w:r w:rsidRPr="00034E9B">
        <w:noBreakHyphen/>
        <w:t>22 grants and illustrative 2022</w:t>
      </w:r>
      <w:r w:rsidRPr="00034E9B">
        <w:noBreakHyphen/>
        <w:t>23 grant distribution</w:t>
      </w:r>
    </w:p>
    <w:tbl>
      <w:tblPr>
        <w:tblW w:w="8940" w:type="dxa"/>
        <w:tblBorders>
          <w:top w:val="single" w:sz="4" w:space="0" w:color="ADD6EA"/>
          <w:bottom w:val="single" w:sz="4" w:space="0" w:color="ADD6EA"/>
          <w:insideH w:val="single" w:sz="4" w:space="0" w:color="ADD6EA"/>
        </w:tblBorders>
        <w:tblCellMar>
          <w:left w:w="28" w:type="dxa"/>
        </w:tblCellMar>
        <w:tblLook w:val="04A0" w:firstRow="1" w:lastRow="0" w:firstColumn="1" w:lastColumn="0" w:noHBand="0" w:noVBand="1"/>
      </w:tblPr>
      <w:tblGrid>
        <w:gridCol w:w="2160"/>
        <w:gridCol w:w="820"/>
        <w:gridCol w:w="820"/>
        <w:gridCol w:w="820"/>
        <w:gridCol w:w="700"/>
        <w:gridCol w:w="700"/>
        <w:gridCol w:w="700"/>
        <w:gridCol w:w="700"/>
        <w:gridCol w:w="700"/>
        <w:gridCol w:w="820"/>
      </w:tblGrid>
      <w:tr w:rsidR="00FC0498" w:rsidRPr="00034E9B" w14:paraId="5A318861" w14:textId="77777777" w:rsidTr="00C01414">
        <w:trPr>
          <w:trHeight w:val="379"/>
        </w:trPr>
        <w:tc>
          <w:tcPr>
            <w:tcW w:w="2160" w:type="dxa"/>
            <w:shd w:val="clear" w:color="auto" w:fill="006991"/>
            <w:noWrap/>
            <w:vAlign w:val="center"/>
            <w:hideMark/>
          </w:tcPr>
          <w:p w14:paraId="6ADEDA5B" w14:textId="77777777" w:rsidR="00FC0498" w:rsidRPr="00034E9B" w:rsidRDefault="00FC0498" w:rsidP="00FF6CBF">
            <w:pPr>
              <w:pStyle w:val="CGCTableheader"/>
              <w:jc w:val="center"/>
              <w:rPr>
                <w:lang w:val="en-AU" w:eastAsia="en-AU"/>
              </w:rPr>
            </w:pPr>
            <w:bookmarkStart w:id="211" w:name="RANGE!A22:J30"/>
            <w:bookmarkStart w:id="212" w:name="_Ref18319027"/>
            <w:r w:rsidRPr="00034E9B">
              <w:rPr>
                <w:lang w:val="en-AU" w:eastAsia="en-AU"/>
              </w:rPr>
              <w:t> </w:t>
            </w:r>
            <w:bookmarkEnd w:id="211"/>
          </w:p>
        </w:tc>
        <w:tc>
          <w:tcPr>
            <w:tcW w:w="820" w:type="dxa"/>
            <w:shd w:val="clear" w:color="auto" w:fill="006991"/>
            <w:noWrap/>
            <w:vAlign w:val="center"/>
            <w:hideMark/>
          </w:tcPr>
          <w:p w14:paraId="026BD09F" w14:textId="77777777" w:rsidR="00FC0498" w:rsidRPr="00034E9B" w:rsidRDefault="00FC0498" w:rsidP="00977C92">
            <w:pPr>
              <w:pStyle w:val="CGCTableheader"/>
              <w:jc w:val="right"/>
              <w:rPr>
                <w:lang w:val="en-AU" w:eastAsia="en-AU"/>
              </w:rPr>
            </w:pPr>
            <w:r w:rsidRPr="00034E9B">
              <w:rPr>
                <w:lang w:val="en-AU" w:eastAsia="en-AU"/>
              </w:rPr>
              <w:t>NSW</w:t>
            </w:r>
          </w:p>
        </w:tc>
        <w:tc>
          <w:tcPr>
            <w:tcW w:w="820" w:type="dxa"/>
            <w:shd w:val="clear" w:color="auto" w:fill="006991"/>
            <w:noWrap/>
            <w:vAlign w:val="center"/>
            <w:hideMark/>
          </w:tcPr>
          <w:p w14:paraId="7D2F051A" w14:textId="77777777" w:rsidR="00FC0498" w:rsidRPr="00034E9B" w:rsidRDefault="00FC0498" w:rsidP="00977C92">
            <w:pPr>
              <w:pStyle w:val="CGCTableheader"/>
              <w:jc w:val="right"/>
              <w:rPr>
                <w:lang w:val="en-AU" w:eastAsia="en-AU"/>
              </w:rPr>
            </w:pPr>
            <w:r w:rsidRPr="00034E9B">
              <w:rPr>
                <w:lang w:val="en-AU" w:eastAsia="en-AU"/>
              </w:rPr>
              <w:t>Vic</w:t>
            </w:r>
          </w:p>
        </w:tc>
        <w:tc>
          <w:tcPr>
            <w:tcW w:w="820" w:type="dxa"/>
            <w:shd w:val="clear" w:color="auto" w:fill="006991"/>
            <w:noWrap/>
            <w:vAlign w:val="center"/>
            <w:hideMark/>
          </w:tcPr>
          <w:p w14:paraId="0FE3B022" w14:textId="77777777" w:rsidR="00FC0498" w:rsidRPr="00034E9B" w:rsidRDefault="00FC0498" w:rsidP="00977C92">
            <w:pPr>
              <w:pStyle w:val="CGCTableheader"/>
              <w:jc w:val="right"/>
              <w:rPr>
                <w:lang w:val="en-AU" w:eastAsia="en-AU"/>
              </w:rPr>
            </w:pPr>
            <w:r w:rsidRPr="00034E9B">
              <w:rPr>
                <w:lang w:val="en-AU" w:eastAsia="en-AU"/>
              </w:rPr>
              <w:t>Qld</w:t>
            </w:r>
          </w:p>
        </w:tc>
        <w:tc>
          <w:tcPr>
            <w:tcW w:w="700" w:type="dxa"/>
            <w:shd w:val="clear" w:color="auto" w:fill="006991"/>
            <w:noWrap/>
            <w:vAlign w:val="center"/>
            <w:hideMark/>
          </w:tcPr>
          <w:p w14:paraId="2CE8D24F" w14:textId="77777777" w:rsidR="00FC0498" w:rsidRPr="00034E9B" w:rsidRDefault="00FC0498" w:rsidP="00977C92">
            <w:pPr>
              <w:pStyle w:val="CGCTableheader"/>
              <w:jc w:val="right"/>
              <w:rPr>
                <w:lang w:val="en-AU" w:eastAsia="en-AU"/>
              </w:rPr>
            </w:pPr>
            <w:r w:rsidRPr="00034E9B">
              <w:rPr>
                <w:lang w:val="en-AU" w:eastAsia="en-AU"/>
              </w:rPr>
              <w:t>WA</w:t>
            </w:r>
          </w:p>
        </w:tc>
        <w:tc>
          <w:tcPr>
            <w:tcW w:w="700" w:type="dxa"/>
            <w:shd w:val="clear" w:color="auto" w:fill="006991"/>
            <w:noWrap/>
            <w:vAlign w:val="center"/>
            <w:hideMark/>
          </w:tcPr>
          <w:p w14:paraId="7AD8DEE3" w14:textId="77777777" w:rsidR="00FC0498" w:rsidRPr="00034E9B" w:rsidRDefault="00FC0498" w:rsidP="00977C92">
            <w:pPr>
              <w:pStyle w:val="CGCTableheader"/>
              <w:jc w:val="right"/>
              <w:rPr>
                <w:lang w:val="en-AU" w:eastAsia="en-AU"/>
              </w:rPr>
            </w:pPr>
            <w:r w:rsidRPr="00034E9B">
              <w:rPr>
                <w:lang w:val="en-AU" w:eastAsia="en-AU"/>
              </w:rPr>
              <w:t>SA</w:t>
            </w:r>
          </w:p>
        </w:tc>
        <w:tc>
          <w:tcPr>
            <w:tcW w:w="700" w:type="dxa"/>
            <w:shd w:val="clear" w:color="auto" w:fill="006991"/>
            <w:noWrap/>
            <w:vAlign w:val="center"/>
            <w:hideMark/>
          </w:tcPr>
          <w:p w14:paraId="6CEBA186" w14:textId="77777777" w:rsidR="00FC0498" w:rsidRPr="00034E9B" w:rsidRDefault="00FC0498" w:rsidP="00977C92">
            <w:pPr>
              <w:pStyle w:val="CGCTableheader"/>
              <w:jc w:val="right"/>
              <w:rPr>
                <w:lang w:val="en-AU" w:eastAsia="en-AU"/>
              </w:rPr>
            </w:pPr>
            <w:r w:rsidRPr="00034E9B">
              <w:rPr>
                <w:lang w:val="en-AU" w:eastAsia="en-AU"/>
              </w:rPr>
              <w:t>Tas</w:t>
            </w:r>
          </w:p>
        </w:tc>
        <w:tc>
          <w:tcPr>
            <w:tcW w:w="700" w:type="dxa"/>
            <w:shd w:val="clear" w:color="auto" w:fill="006991"/>
            <w:noWrap/>
            <w:vAlign w:val="center"/>
            <w:hideMark/>
          </w:tcPr>
          <w:p w14:paraId="26A083A6" w14:textId="77777777" w:rsidR="00FC0498" w:rsidRPr="00034E9B" w:rsidRDefault="00FC0498" w:rsidP="00977C92">
            <w:pPr>
              <w:pStyle w:val="CGCTableheader"/>
              <w:jc w:val="right"/>
              <w:rPr>
                <w:lang w:val="en-AU" w:eastAsia="en-AU"/>
              </w:rPr>
            </w:pPr>
            <w:r w:rsidRPr="00034E9B">
              <w:rPr>
                <w:lang w:val="en-AU" w:eastAsia="en-AU"/>
              </w:rPr>
              <w:t>ACT</w:t>
            </w:r>
          </w:p>
        </w:tc>
        <w:tc>
          <w:tcPr>
            <w:tcW w:w="700" w:type="dxa"/>
            <w:shd w:val="clear" w:color="auto" w:fill="006991"/>
            <w:noWrap/>
            <w:vAlign w:val="center"/>
            <w:hideMark/>
          </w:tcPr>
          <w:p w14:paraId="76E7356B" w14:textId="77777777" w:rsidR="00FC0498" w:rsidRPr="00034E9B" w:rsidRDefault="00FC0498" w:rsidP="00977C92">
            <w:pPr>
              <w:pStyle w:val="CGCTableheader"/>
              <w:jc w:val="right"/>
              <w:rPr>
                <w:lang w:val="en-AU" w:eastAsia="en-AU"/>
              </w:rPr>
            </w:pPr>
            <w:r w:rsidRPr="00034E9B">
              <w:rPr>
                <w:lang w:val="en-AU" w:eastAsia="en-AU"/>
              </w:rPr>
              <w:t>NT</w:t>
            </w:r>
          </w:p>
        </w:tc>
        <w:tc>
          <w:tcPr>
            <w:tcW w:w="820" w:type="dxa"/>
            <w:shd w:val="clear" w:color="auto" w:fill="006991"/>
            <w:noWrap/>
            <w:vAlign w:val="center"/>
            <w:hideMark/>
          </w:tcPr>
          <w:p w14:paraId="1EF939F7" w14:textId="77777777" w:rsidR="00FC0498" w:rsidRPr="00034E9B" w:rsidRDefault="00FC0498" w:rsidP="00977C92">
            <w:pPr>
              <w:pStyle w:val="CGCTableheader"/>
              <w:jc w:val="right"/>
              <w:rPr>
                <w:lang w:val="en-AU" w:eastAsia="en-AU"/>
              </w:rPr>
            </w:pPr>
            <w:r w:rsidRPr="00034E9B">
              <w:rPr>
                <w:lang w:val="en-AU" w:eastAsia="en-AU"/>
              </w:rPr>
              <w:t>Total</w:t>
            </w:r>
          </w:p>
        </w:tc>
      </w:tr>
      <w:tr w:rsidR="00FC0498" w:rsidRPr="00034E9B" w14:paraId="7498E27C" w14:textId="77777777" w:rsidTr="000A5CF4">
        <w:trPr>
          <w:trHeight w:val="259"/>
        </w:trPr>
        <w:tc>
          <w:tcPr>
            <w:tcW w:w="2160" w:type="dxa"/>
            <w:shd w:val="clear" w:color="auto" w:fill="B6D5E4"/>
            <w:noWrap/>
            <w:vAlign w:val="center"/>
            <w:hideMark/>
          </w:tcPr>
          <w:p w14:paraId="3949CE4D" w14:textId="77777777" w:rsidR="00FC0498" w:rsidRPr="00034E9B" w:rsidRDefault="00FC0498" w:rsidP="00FF6CBF">
            <w:pPr>
              <w:pStyle w:val="CGCTablesubhead1"/>
              <w:jc w:val="right"/>
              <w:rPr>
                <w:lang w:val="en-AU" w:eastAsia="en-AU"/>
              </w:rPr>
            </w:pPr>
          </w:p>
        </w:tc>
        <w:tc>
          <w:tcPr>
            <w:tcW w:w="820" w:type="dxa"/>
            <w:shd w:val="clear" w:color="auto" w:fill="B6D5E4"/>
            <w:noWrap/>
            <w:vAlign w:val="center"/>
            <w:hideMark/>
          </w:tcPr>
          <w:p w14:paraId="5F7C2A60" w14:textId="77777777" w:rsidR="00FC0498" w:rsidRPr="00034E9B" w:rsidRDefault="00FC0498" w:rsidP="00FF6CBF">
            <w:pPr>
              <w:pStyle w:val="CGCTablesubhead1"/>
              <w:jc w:val="right"/>
              <w:rPr>
                <w:lang w:val="en-AU" w:eastAsia="en-AU"/>
              </w:rPr>
            </w:pPr>
            <w:r w:rsidRPr="00034E9B">
              <w:rPr>
                <w:lang w:val="en-AU" w:eastAsia="en-AU"/>
              </w:rPr>
              <w:t>$m</w:t>
            </w:r>
          </w:p>
        </w:tc>
        <w:tc>
          <w:tcPr>
            <w:tcW w:w="820" w:type="dxa"/>
            <w:shd w:val="clear" w:color="auto" w:fill="B6D5E4"/>
            <w:noWrap/>
            <w:vAlign w:val="center"/>
            <w:hideMark/>
          </w:tcPr>
          <w:p w14:paraId="39728CE0" w14:textId="77777777" w:rsidR="00FC0498" w:rsidRPr="00034E9B" w:rsidRDefault="00FC0498" w:rsidP="00FF6CBF">
            <w:pPr>
              <w:pStyle w:val="CGCTablesubhead1"/>
              <w:jc w:val="right"/>
              <w:rPr>
                <w:lang w:val="en-AU" w:eastAsia="en-AU"/>
              </w:rPr>
            </w:pPr>
            <w:r w:rsidRPr="00034E9B">
              <w:rPr>
                <w:lang w:val="en-AU" w:eastAsia="en-AU"/>
              </w:rPr>
              <w:t>$m</w:t>
            </w:r>
          </w:p>
        </w:tc>
        <w:tc>
          <w:tcPr>
            <w:tcW w:w="820" w:type="dxa"/>
            <w:shd w:val="clear" w:color="auto" w:fill="B6D5E4"/>
            <w:noWrap/>
            <w:vAlign w:val="center"/>
            <w:hideMark/>
          </w:tcPr>
          <w:p w14:paraId="7A934BB5" w14:textId="77777777" w:rsidR="00FC0498" w:rsidRPr="00034E9B" w:rsidRDefault="00FC0498" w:rsidP="00FF6CBF">
            <w:pPr>
              <w:pStyle w:val="CGCTablesubhead1"/>
              <w:jc w:val="right"/>
              <w:rPr>
                <w:lang w:val="en-AU" w:eastAsia="en-AU"/>
              </w:rPr>
            </w:pPr>
            <w:r w:rsidRPr="00034E9B">
              <w:rPr>
                <w:lang w:val="en-AU" w:eastAsia="en-AU"/>
              </w:rPr>
              <w:t>$m</w:t>
            </w:r>
          </w:p>
        </w:tc>
        <w:tc>
          <w:tcPr>
            <w:tcW w:w="700" w:type="dxa"/>
            <w:shd w:val="clear" w:color="auto" w:fill="B6D5E4"/>
            <w:noWrap/>
            <w:vAlign w:val="center"/>
            <w:hideMark/>
          </w:tcPr>
          <w:p w14:paraId="7FCC52E4" w14:textId="77777777" w:rsidR="00FC0498" w:rsidRPr="00034E9B" w:rsidRDefault="00FC0498" w:rsidP="00FF6CBF">
            <w:pPr>
              <w:pStyle w:val="CGCTablesubhead1"/>
              <w:jc w:val="right"/>
              <w:rPr>
                <w:lang w:val="en-AU" w:eastAsia="en-AU"/>
              </w:rPr>
            </w:pPr>
            <w:r w:rsidRPr="00034E9B">
              <w:rPr>
                <w:lang w:val="en-AU" w:eastAsia="en-AU"/>
              </w:rPr>
              <w:t>$m</w:t>
            </w:r>
          </w:p>
        </w:tc>
        <w:tc>
          <w:tcPr>
            <w:tcW w:w="700" w:type="dxa"/>
            <w:shd w:val="clear" w:color="auto" w:fill="B6D5E4"/>
            <w:noWrap/>
            <w:vAlign w:val="center"/>
            <w:hideMark/>
          </w:tcPr>
          <w:p w14:paraId="5C94E3A5" w14:textId="77777777" w:rsidR="00FC0498" w:rsidRPr="00034E9B" w:rsidRDefault="00FC0498" w:rsidP="00FF6CBF">
            <w:pPr>
              <w:pStyle w:val="CGCTablesubhead1"/>
              <w:jc w:val="right"/>
              <w:rPr>
                <w:lang w:val="en-AU" w:eastAsia="en-AU"/>
              </w:rPr>
            </w:pPr>
            <w:r w:rsidRPr="00034E9B">
              <w:rPr>
                <w:lang w:val="en-AU" w:eastAsia="en-AU"/>
              </w:rPr>
              <w:t>$m</w:t>
            </w:r>
          </w:p>
        </w:tc>
        <w:tc>
          <w:tcPr>
            <w:tcW w:w="700" w:type="dxa"/>
            <w:shd w:val="clear" w:color="auto" w:fill="B6D5E4"/>
            <w:noWrap/>
            <w:vAlign w:val="center"/>
            <w:hideMark/>
          </w:tcPr>
          <w:p w14:paraId="56EE23A8" w14:textId="77777777" w:rsidR="00FC0498" w:rsidRPr="00034E9B" w:rsidRDefault="00FC0498" w:rsidP="00FF6CBF">
            <w:pPr>
              <w:pStyle w:val="CGCTablesubhead1"/>
              <w:jc w:val="right"/>
              <w:rPr>
                <w:lang w:val="en-AU" w:eastAsia="en-AU"/>
              </w:rPr>
            </w:pPr>
            <w:r w:rsidRPr="00034E9B">
              <w:rPr>
                <w:lang w:val="en-AU" w:eastAsia="en-AU"/>
              </w:rPr>
              <w:t>$m</w:t>
            </w:r>
          </w:p>
        </w:tc>
        <w:tc>
          <w:tcPr>
            <w:tcW w:w="700" w:type="dxa"/>
            <w:shd w:val="clear" w:color="auto" w:fill="B6D5E4"/>
            <w:noWrap/>
            <w:vAlign w:val="center"/>
            <w:hideMark/>
          </w:tcPr>
          <w:p w14:paraId="08DAC165" w14:textId="77777777" w:rsidR="00FC0498" w:rsidRPr="00034E9B" w:rsidRDefault="00FC0498" w:rsidP="00FF6CBF">
            <w:pPr>
              <w:pStyle w:val="CGCTablesubhead1"/>
              <w:jc w:val="right"/>
              <w:rPr>
                <w:lang w:val="en-AU" w:eastAsia="en-AU"/>
              </w:rPr>
            </w:pPr>
            <w:r w:rsidRPr="00034E9B">
              <w:rPr>
                <w:lang w:val="en-AU" w:eastAsia="en-AU"/>
              </w:rPr>
              <w:t>$m</w:t>
            </w:r>
          </w:p>
        </w:tc>
        <w:tc>
          <w:tcPr>
            <w:tcW w:w="700" w:type="dxa"/>
            <w:shd w:val="clear" w:color="auto" w:fill="B6D5E4"/>
            <w:noWrap/>
            <w:vAlign w:val="center"/>
            <w:hideMark/>
          </w:tcPr>
          <w:p w14:paraId="4B39FF9B" w14:textId="77777777" w:rsidR="00FC0498" w:rsidRPr="00034E9B" w:rsidRDefault="00FC0498" w:rsidP="00FF6CBF">
            <w:pPr>
              <w:pStyle w:val="CGCTablesubhead1"/>
              <w:jc w:val="right"/>
              <w:rPr>
                <w:lang w:val="en-AU" w:eastAsia="en-AU"/>
              </w:rPr>
            </w:pPr>
            <w:r w:rsidRPr="00034E9B">
              <w:rPr>
                <w:lang w:val="en-AU" w:eastAsia="en-AU"/>
              </w:rPr>
              <w:t>$m</w:t>
            </w:r>
          </w:p>
        </w:tc>
        <w:tc>
          <w:tcPr>
            <w:tcW w:w="820" w:type="dxa"/>
            <w:shd w:val="clear" w:color="auto" w:fill="B6D5E4"/>
            <w:noWrap/>
            <w:vAlign w:val="center"/>
            <w:hideMark/>
          </w:tcPr>
          <w:p w14:paraId="0B0FB4D4" w14:textId="77777777" w:rsidR="00FC0498" w:rsidRPr="00034E9B" w:rsidRDefault="00FC0498" w:rsidP="00FF6CBF">
            <w:pPr>
              <w:pStyle w:val="CGCTablesubhead1"/>
              <w:jc w:val="right"/>
              <w:rPr>
                <w:lang w:val="en-AU" w:eastAsia="en-AU"/>
              </w:rPr>
            </w:pPr>
            <w:r w:rsidRPr="00034E9B">
              <w:rPr>
                <w:lang w:val="en-AU" w:eastAsia="en-AU"/>
              </w:rPr>
              <w:t>$m</w:t>
            </w:r>
          </w:p>
        </w:tc>
      </w:tr>
      <w:tr w:rsidR="00FC0498" w:rsidRPr="00034E9B" w14:paraId="74B92DE4" w14:textId="77777777" w:rsidTr="00C01414">
        <w:trPr>
          <w:trHeight w:val="315"/>
        </w:trPr>
        <w:tc>
          <w:tcPr>
            <w:tcW w:w="2160" w:type="dxa"/>
            <w:shd w:val="clear" w:color="auto" w:fill="auto"/>
            <w:noWrap/>
            <w:vAlign w:val="bottom"/>
            <w:hideMark/>
          </w:tcPr>
          <w:p w14:paraId="2835951A" w14:textId="77777777" w:rsidR="00FC0498" w:rsidRPr="00034E9B" w:rsidRDefault="00FC0498" w:rsidP="00FF6CBF">
            <w:pPr>
              <w:pStyle w:val="CGCTablerow"/>
              <w:rPr>
                <w:lang w:eastAsia="en-AU"/>
              </w:rPr>
            </w:pPr>
            <w:r w:rsidRPr="00034E9B">
              <w:rPr>
                <w:lang w:eastAsia="en-AU"/>
              </w:rPr>
              <w:t>Estimated 2021-22</w:t>
            </w:r>
          </w:p>
        </w:tc>
        <w:tc>
          <w:tcPr>
            <w:tcW w:w="820" w:type="dxa"/>
            <w:shd w:val="clear" w:color="auto" w:fill="auto"/>
            <w:noWrap/>
            <w:vAlign w:val="bottom"/>
            <w:hideMark/>
          </w:tcPr>
          <w:p w14:paraId="2AA5C935" w14:textId="77777777" w:rsidR="00FC0498" w:rsidRPr="00034E9B" w:rsidRDefault="00FC0498" w:rsidP="00FF6CBF">
            <w:pPr>
              <w:pStyle w:val="CGCTablerow"/>
              <w:jc w:val="right"/>
              <w:rPr>
                <w:lang w:eastAsia="en-AU"/>
              </w:rPr>
            </w:pPr>
            <w:r w:rsidRPr="00034E9B">
              <w:rPr>
                <w:lang w:eastAsia="en-AU"/>
              </w:rPr>
              <w:t>19,594</w:t>
            </w:r>
          </w:p>
        </w:tc>
        <w:tc>
          <w:tcPr>
            <w:tcW w:w="820" w:type="dxa"/>
            <w:shd w:val="clear" w:color="auto" w:fill="auto"/>
            <w:noWrap/>
            <w:vAlign w:val="bottom"/>
            <w:hideMark/>
          </w:tcPr>
          <w:p w14:paraId="3524CA06" w14:textId="77777777" w:rsidR="00FC0498" w:rsidRPr="00034E9B" w:rsidRDefault="00FC0498" w:rsidP="00FF6CBF">
            <w:pPr>
              <w:pStyle w:val="CGCTablerow"/>
              <w:jc w:val="right"/>
              <w:rPr>
                <w:lang w:eastAsia="en-AU"/>
              </w:rPr>
            </w:pPr>
            <w:r w:rsidRPr="00034E9B">
              <w:rPr>
                <w:lang w:eastAsia="en-AU"/>
              </w:rPr>
              <w:t>18,394</w:t>
            </w:r>
          </w:p>
        </w:tc>
        <w:tc>
          <w:tcPr>
            <w:tcW w:w="820" w:type="dxa"/>
            <w:shd w:val="clear" w:color="auto" w:fill="auto"/>
            <w:noWrap/>
            <w:vAlign w:val="bottom"/>
            <w:hideMark/>
          </w:tcPr>
          <w:p w14:paraId="5F6724DD" w14:textId="77777777" w:rsidR="00FC0498" w:rsidRPr="00034E9B" w:rsidRDefault="00FC0498" w:rsidP="00FF6CBF">
            <w:pPr>
              <w:pStyle w:val="CGCTablerow"/>
              <w:jc w:val="right"/>
              <w:rPr>
                <w:lang w:eastAsia="en-AU"/>
              </w:rPr>
            </w:pPr>
            <w:r w:rsidRPr="00034E9B">
              <w:rPr>
                <w:lang w:eastAsia="en-AU"/>
              </w:rPr>
              <w:t>16,971</w:t>
            </w:r>
          </w:p>
        </w:tc>
        <w:tc>
          <w:tcPr>
            <w:tcW w:w="700" w:type="dxa"/>
            <w:shd w:val="clear" w:color="auto" w:fill="auto"/>
            <w:noWrap/>
            <w:vAlign w:val="bottom"/>
            <w:hideMark/>
          </w:tcPr>
          <w:p w14:paraId="12FE2694" w14:textId="77777777" w:rsidR="00FC0498" w:rsidRPr="00034E9B" w:rsidRDefault="00FC0498" w:rsidP="00FF6CBF">
            <w:pPr>
              <w:pStyle w:val="CGCTablerow"/>
              <w:jc w:val="right"/>
              <w:rPr>
                <w:lang w:eastAsia="en-AU"/>
              </w:rPr>
            </w:pPr>
            <w:r w:rsidRPr="00034E9B">
              <w:rPr>
                <w:lang w:eastAsia="en-AU"/>
              </w:rPr>
              <w:t>5,062</w:t>
            </w:r>
          </w:p>
        </w:tc>
        <w:tc>
          <w:tcPr>
            <w:tcW w:w="700" w:type="dxa"/>
            <w:shd w:val="clear" w:color="auto" w:fill="auto"/>
            <w:noWrap/>
            <w:vAlign w:val="bottom"/>
            <w:hideMark/>
          </w:tcPr>
          <w:p w14:paraId="3B1AABA5" w14:textId="77777777" w:rsidR="00FC0498" w:rsidRPr="00034E9B" w:rsidRDefault="00FC0498" w:rsidP="00FF6CBF">
            <w:pPr>
              <w:pStyle w:val="CGCTablerow"/>
              <w:jc w:val="right"/>
              <w:rPr>
                <w:lang w:eastAsia="en-AU"/>
              </w:rPr>
            </w:pPr>
            <w:r w:rsidRPr="00034E9B">
              <w:rPr>
                <w:lang w:eastAsia="en-AU"/>
              </w:rPr>
              <w:t>7,203</w:t>
            </w:r>
          </w:p>
        </w:tc>
        <w:tc>
          <w:tcPr>
            <w:tcW w:w="700" w:type="dxa"/>
            <w:shd w:val="clear" w:color="auto" w:fill="auto"/>
            <w:noWrap/>
            <w:vAlign w:val="bottom"/>
            <w:hideMark/>
          </w:tcPr>
          <w:p w14:paraId="0937B568" w14:textId="77777777" w:rsidR="00FC0498" w:rsidRPr="00034E9B" w:rsidRDefault="00FC0498" w:rsidP="00FF6CBF">
            <w:pPr>
              <w:pStyle w:val="CGCTablerow"/>
              <w:jc w:val="right"/>
              <w:rPr>
                <w:lang w:eastAsia="en-AU"/>
              </w:rPr>
            </w:pPr>
            <w:r w:rsidRPr="00034E9B">
              <w:rPr>
                <w:lang w:eastAsia="en-AU"/>
              </w:rPr>
              <w:t>2,722</w:t>
            </w:r>
          </w:p>
        </w:tc>
        <w:tc>
          <w:tcPr>
            <w:tcW w:w="700" w:type="dxa"/>
            <w:shd w:val="clear" w:color="auto" w:fill="auto"/>
            <w:noWrap/>
            <w:vAlign w:val="bottom"/>
            <w:hideMark/>
          </w:tcPr>
          <w:p w14:paraId="39370FCD" w14:textId="77777777" w:rsidR="00FC0498" w:rsidRPr="00034E9B" w:rsidRDefault="00FC0498" w:rsidP="00FF6CBF">
            <w:pPr>
              <w:pStyle w:val="CGCTablerow"/>
              <w:jc w:val="right"/>
              <w:rPr>
                <w:lang w:eastAsia="en-AU"/>
              </w:rPr>
            </w:pPr>
            <w:r w:rsidRPr="00034E9B">
              <w:rPr>
                <w:lang w:eastAsia="en-AU"/>
              </w:rPr>
              <w:t>1,451</w:t>
            </w:r>
          </w:p>
        </w:tc>
        <w:tc>
          <w:tcPr>
            <w:tcW w:w="700" w:type="dxa"/>
            <w:shd w:val="clear" w:color="auto" w:fill="auto"/>
            <w:noWrap/>
            <w:vAlign w:val="bottom"/>
            <w:hideMark/>
          </w:tcPr>
          <w:p w14:paraId="10660E15" w14:textId="77777777" w:rsidR="00FC0498" w:rsidRPr="00034E9B" w:rsidRDefault="00FC0498" w:rsidP="00FF6CBF">
            <w:pPr>
              <w:pStyle w:val="CGCTablerow"/>
              <w:jc w:val="right"/>
              <w:rPr>
                <w:lang w:eastAsia="en-AU"/>
              </w:rPr>
            </w:pPr>
            <w:r w:rsidRPr="00034E9B">
              <w:rPr>
                <w:lang w:eastAsia="en-AU"/>
              </w:rPr>
              <w:t>3,334</w:t>
            </w:r>
          </w:p>
        </w:tc>
        <w:tc>
          <w:tcPr>
            <w:tcW w:w="820" w:type="dxa"/>
            <w:shd w:val="clear" w:color="auto" w:fill="auto"/>
            <w:noWrap/>
            <w:vAlign w:val="bottom"/>
            <w:hideMark/>
          </w:tcPr>
          <w:p w14:paraId="3636F09B" w14:textId="77777777" w:rsidR="00FC0498" w:rsidRPr="00034E9B" w:rsidRDefault="00FC0498" w:rsidP="00FF6CBF">
            <w:pPr>
              <w:pStyle w:val="CGCTablerow"/>
              <w:jc w:val="right"/>
              <w:rPr>
                <w:lang w:eastAsia="en-AU"/>
              </w:rPr>
            </w:pPr>
            <w:r w:rsidRPr="00034E9B">
              <w:rPr>
                <w:lang w:eastAsia="en-AU"/>
              </w:rPr>
              <w:t>74,730</w:t>
            </w:r>
          </w:p>
        </w:tc>
      </w:tr>
      <w:tr w:rsidR="00FC0498" w:rsidRPr="00034E9B" w14:paraId="0FA819C3" w14:textId="77777777" w:rsidTr="00C01414">
        <w:trPr>
          <w:trHeight w:val="315"/>
        </w:trPr>
        <w:tc>
          <w:tcPr>
            <w:tcW w:w="2160" w:type="dxa"/>
            <w:shd w:val="clear" w:color="auto" w:fill="auto"/>
            <w:vAlign w:val="bottom"/>
            <w:hideMark/>
          </w:tcPr>
          <w:p w14:paraId="7F227DE2" w14:textId="77777777" w:rsidR="00FC0498" w:rsidRPr="00034E9B" w:rsidRDefault="00FC0498" w:rsidP="00FF6CBF">
            <w:pPr>
              <w:pStyle w:val="CGCTablerow"/>
              <w:rPr>
                <w:lang w:eastAsia="en-AU"/>
              </w:rPr>
            </w:pPr>
            <w:r w:rsidRPr="00034E9B">
              <w:rPr>
                <w:lang w:eastAsia="en-AU"/>
              </w:rPr>
              <w:t xml:space="preserve">Illustrative 2022-23 </w:t>
            </w:r>
          </w:p>
        </w:tc>
        <w:tc>
          <w:tcPr>
            <w:tcW w:w="820" w:type="dxa"/>
            <w:shd w:val="clear" w:color="auto" w:fill="auto"/>
            <w:vAlign w:val="bottom"/>
            <w:hideMark/>
          </w:tcPr>
          <w:p w14:paraId="69444341" w14:textId="77777777" w:rsidR="00FC0498" w:rsidRPr="00034E9B" w:rsidRDefault="00FC0498" w:rsidP="00FF6CBF">
            <w:pPr>
              <w:pStyle w:val="CGCTablerow"/>
              <w:jc w:val="right"/>
              <w:rPr>
                <w:lang w:eastAsia="en-AU"/>
              </w:rPr>
            </w:pPr>
            <w:r w:rsidRPr="00034E9B">
              <w:rPr>
                <w:lang w:eastAsia="en-AU"/>
              </w:rPr>
              <w:t>20,384</w:t>
            </w:r>
          </w:p>
        </w:tc>
        <w:tc>
          <w:tcPr>
            <w:tcW w:w="820" w:type="dxa"/>
            <w:shd w:val="clear" w:color="auto" w:fill="auto"/>
            <w:vAlign w:val="bottom"/>
            <w:hideMark/>
          </w:tcPr>
          <w:p w14:paraId="7AD51410" w14:textId="77777777" w:rsidR="00FC0498" w:rsidRPr="00034E9B" w:rsidRDefault="00FC0498" w:rsidP="00FF6CBF">
            <w:pPr>
              <w:pStyle w:val="CGCTablerow"/>
              <w:jc w:val="right"/>
              <w:rPr>
                <w:lang w:eastAsia="en-AU"/>
              </w:rPr>
            </w:pPr>
            <w:r w:rsidRPr="00034E9B">
              <w:rPr>
                <w:lang w:eastAsia="en-AU"/>
              </w:rPr>
              <w:t>19,260</w:t>
            </w:r>
          </w:p>
        </w:tc>
        <w:tc>
          <w:tcPr>
            <w:tcW w:w="820" w:type="dxa"/>
            <w:shd w:val="clear" w:color="auto" w:fill="auto"/>
            <w:vAlign w:val="bottom"/>
            <w:hideMark/>
          </w:tcPr>
          <w:p w14:paraId="5B6FA8E4" w14:textId="77777777" w:rsidR="00FC0498" w:rsidRPr="00034E9B" w:rsidRDefault="00FC0498" w:rsidP="00FF6CBF">
            <w:pPr>
              <w:pStyle w:val="CGCTablerow"/>
              <w:jc w:val="right"/>
              <w:rPr>
                <w:lang w:eastAsia="en-AU"/>
              </w:rPr>
            </w:pPr>
            <w:r w:rsidRPr="00034E9B">
              <w:rPr>
                <w:lang w:eastAsia="en-AU"/>
              </w:rPr>
              <w:t>18,003</w:t>
            </w:r>
          </w:p>
        </w:tc>
        <w:tc>
          <w:tcPr>
            <w:tcW w:w="700" w:type="dxa"/>
            <w:shd w:val="clear" w:color="auto" w:fill="auto"/>
            <w:vAlign w:val="bottom"/>
            <w:hideMark/>
          </w:tcPr>
          <w:p w14:paraId="65AF0F10" w14:textId="77777777" w:rsidR="00FC0498" w:rsidRPr="00034E9B" w:rsidRDefault="00FC0498" w:rsidP="00FF6CBF">
            <w:pPr>
              <w:pStyle w:val="CGCTablerow"/>
              <w:jc w:val="right"/>
              <w:rPr>
                <w:lang w:eastAsia="en-AU"/>
              </w:rPr>
            </w:pPr>
            <w:r w:rsidRPr="00034E9B">
              <w:rPr>
                <w:lang w:eastAsia="en-AU"/>
              </w:rPr>
              <w:t>5,693</w:t>
            </w:r>
          </w:p>
        </w:tc>
        <w:tc>
          <w:tcPr>
            <w:tcW w:w="700" w:type="dxa"/>
            <w:shd w:val="clear" w:color="auto" w:fill="auto"/>
            <w:vAlign w:val="bottom"/>
            <w:hideMark/>
          </w:tcPr>
          <w:p w14:paraId="07E1C9A9" w14:textId="77777777" w:rsidR="00FC0498" w:rsidRPr="00034E9B" w:rsidRDefault="00FC0498" w:rsidP="00FF6CBF">
            <w:pPr>
              <w:pStyle w:val="CGCTablerow"/>
              <w:jc w:val="right"/>
              <w:rPr>
                <w:lang w:eastAsia="en-AU"/>
              </w:rPr>
            </w:pPr>
            <w:r w:rsidRPr="00034E9B">
              <w:rPr>
                <w:lang w:eastAsia="en-AU"/>
              </w:rPr>
              <w:t>7,418</w:t>
            </w:r>
          </w:p>
        </w:tc>
        <w:tc>
          <w:tcPr>
            <w:tcW w:w="700" w:type="dxa"/>
            <w:shd w:val="clear" w:color="auto" w:fill="auto"/>
            <w:vAlign w:val="bottom"/>
            <w:hideMark/>
          </w:tcPr>
          <w:p w14:paraId="7C01FAA2" w14:textId="77777777" w:rsidR="00FC0498" w:rsidRPr="00034E9B" w:rsidRDefault="00FC0498" w:rsidP="00FF6CBF">
            <w:pPr>
              <w:pStyle w:val="CGCTablerow"/>
              <w:jc w:val="right"/>
              <w:rPr>
                <w:lang w:eastAsia="en-AU"/>
              </w:rPr>
            </w:pPr>
            <w:r w:rsidRPr="00034E9B">
              <w:rPr>
                <w:lang w:eastAsia="en-AU"/>
              </w:rPr>
              <w:t>2,790</w:t>
            </w:r>
          </w:p>
        </w:tc>
        <w:tc>
          <w:tcPr>
            <w:tcW w:w="700" w:type="dxa"/>
            <w:shd w:val="clear" w:color="auto" w:fill="auto"/>
            <w:vAlign w:val="bottom"/>
            <w:hideMark/>
          </w:tcPr>
          <w:p w14:paraId="72F9196D" w14:textId="77777777" w:rsidR="00FC0498" w:rsidRPr="00034E9B" w:rsidRDefault="00FC0498" w:rsidP="00FF6CBF">
            <w:pPr>
              <w:pStyle w:val="CGCTablerow"/>
              <w:jc w:val="right"/>
              <w:rPr>
                <w:lang w:eastAsia="en-AU"/>
              </w:rPr>
            </w:pPr>
            <w:r w:rsidRPr="00034E9B">
              <w:rPr>
                <w:lang w:eastAsia="en-AU"/>
              </w:rPr>
              <w:t>1,514</w:t>
            </w:r>
          </w:p>
        </w:tc>
        <w:tc>
          <w:tcPr>
            <w:tcW w:w="700" w:type="dxa"/>
            <w:shd w:val="clear" w:color="auto" w:fill="auto"/>
            <w:vAlign w:val="bottom"/>
            <w:hideMark/>
          </w:tcPr>
          <w:p w14:paraId="59515F1C" w14:textId="77777777" w:rsidR="00FC0498" w:rsidRPr="00034E9B" w:rsidRDefault="00FC0498" w:rsidP="00FF6CBF">
            <w:pPr>
              <w:pStyle w:val="CGCTablerow"/>
              <w:jc w:val="right"/>
              <w:rPr>
                <w:lang w:eastAsia="en-AU"/>
              </w:rPr>
            </w:pPr>
            <w:r w:rsidRPr="00034E9B">
              <w:rPr>
                <w:lang w:eastAsia="en-AU"/>
              </w:rPr>
              <w:t>3,592</w:t>
            </w:r>
          </w:p>
        </w:tc>
        <w:tc>
          <w:tcPr>
            <w:tcW w:w="820" w:type="dxa"/>
            <w:shd w:val="clear" w:color="auto" w:fill="auto"/>
            <w:vAlign w:val="bottom"/>
            <w:hideMark/>
          </w:tcPr>
          <w:p w14:paraId="21BAA065" w14:textId="77777777" w:rsidR="00FC0498" w:rsidRPr="00034E9B" w:rsidRDefault="00FC0498" w:rsidP="00FF6CBF">
            <w:pPr>
              <w:pStyle w:val="CGCTablerow"/>
              <w:jc w:val="right"/>
              <w:rPr>
                <w:lang w:eastAsia="en-AU"/>
              </w:rPr>
            </w:pPr>
            <w:r w:rsidRPr="00034E9B">
              <w:rPr>
                <w:lang w:eastAsia="en-AU"/>
              </w:rPr>
              <w:t>78,652</w:t>
            </w:r>
          </w:p>
        </w:tc>
      </w:tr>
      <w:tr w:rsidR="00FC0498" w:rsidRPr="00034E9B" w14:paraId="55A96A23" w14:textId="77777777" w:rsidTr="00C01414">
        <w:trPr>
          <w:trHeight w:val="315"/>
        </w:trPr>
        <w:tc>
          <w:tcPr>
            <w:tcW w:w="2160" w:type="dxa"/>
            <w:shd w:val="clear" w:color="auto" w:fill="auto"/>
            <w:noWrap/>
            <w:vAlign w:val="bottom"/>
            <w:hideMark/>
          </w:tcPr>
          <w:p w14:paraId="3EF103DD" w14:textId="77777777" w:rsidR="00FC0498" w:rsidRPr="00034E9B" w:rsidRDefault="00FC0498" w:rsidP="00FF6CBF">
            <w:pPr>
              <w:pStyle w:val="CGCTablerow"/>
              <w:rPr>
                <w:lang w:eastAsia="en-AU"/>
              </w:rPr>
            </w:pPr>
            <w:r w:rsidRPr="00034E9B">
              <w:rPr>
                <w:lang w:eastAsia="en-AU"/>
              </w:rPr>
              <w:t>Change caused by new:</w:t>
            </w:r>
          </w:p>
        </w:tc>
        <w:tc>
          <w:tcPr>
            <w:tcW w:w="820" w:type="dxa"/>
            <w:shd w:val="clear" w:color="auto" w:fill="auto"/>
            <w:noWrap/>
            <w:vAlign w:val="bottom"/>
            <w:hideMark/>
          </w:tcPr>
          <w:p w14:paraId="3F2E0DB3" w14:textId="77777777" w:rsidR="00FC0498" w:rsidRPr="00034E9B" w:rsidRDefault="00FC0498" w:rsidP="00FF6CBF">
            <w:pPr>
              <w:pStyle w:val="CGCTablerow"/>
              <w:jc w:val="right"/>
              <w:rPr>
                <w:lang w:eastAsia="en-AU"/>
              </w:rPr>
            </w:pPr>
          </w:p>
        </w:tc>
        <w:tc>
          <w:tcPr>
            <w:tcW w:w="820" w:type="dxa"/>
            <w:shd w:val="clear" w:color="auto" w:fill="auto"/>
            <w:noWrap/>
            <w:vAlign w:val="bottom"/>
            <w:hideMark/>
          </w:tcPr>
          <w:p w14:paraId="64D072C1" w14:textId="77777777" w:rsidR="00FC0498" w:rsidRPr="00034E9B" w:rsidRDefault="00FC0498" w:rsidP="00FF6CBF">
            <w:pPr>
              <w:pStyle w:val="CGCTablerow"/>
              <w:jc w:val="right"/>
              <w:rPr>
                <w:rFonts w:ascii="Times New Roman" w:hAnsi="Times New Roman" w:cs="Times New Roman"/>
                <w:lang w:eastAsia="en-AU"/>
              </w:rPr>
            </w:pPr>
          </w:p>
        </w:tc>
        <w:tc>
          <w:tcPr>
            <w:tcW w:w="820" w:type="dxa"/>
            <w:shd w:val="clear" w:color="auto" w:fill="auto"/>
            <w:noWrap/>
            <w:vAlign w:val="bottom"/>
            <w:hideMark/>
          </w:tcPr>
          <w:p w14:paraId="2BCF3114" w14:textId="77777777" w:rsidR="00FC0498" w:rsidRPr="00034E9B" w:rsidRDefault="00FC0498" w:rsidP="00FF6CBF">
            <w:pPr>
              <w:pStyle w:val="CGCTablerow"/>
              <w:jc w:val="right"/>
              <w:rPr>
                <w:rFonts w:ascii="Times New Roman" w:hAnsi="Times New Roman" w:cs="Times New Roman"/>
                <w:lang w:eastAsia="en-AU"/>
              </w:rPr>
            </w:pPr>
          </w:p>
        </w:tc>
        <w:tc>
          <w:tcPr>
            <w:tcW w:w="700" w:type="dxa"/>
            <w:shd w:val="clear" w:color="auto" w:fill="auto"/>
            <w:noWrap/>
            <w:vAlign w:val="bottom"/>
            <w:hideMark/>
          </w:tcPr>
          <w:p w14:paraId="469A935F" w14:textId="77777777" w:rsidR="00FC0498" w:rsidRPr="00034E9B" w:rsidRDefault="00FC0498" w:rsidP="00FF6CBF">
            <w:pPr>
              <w:pStyle w:val="CGCTablerow"/>
              <w:jc w:val="right"/>
              <w:rPr>
                <w:rFonts w:ascii="Times New Roman" w:hAnsi="Times New Roman" w:cs="Times New Roman"/>
                <w:lang w:eastAsia="en-AU"/>
              </w:rPr>
            </w:pPr>
          </w:p>
        </w:tc>
        <w:tc>
          <w:tcPr>
            <w:tcW w:w="700" w:type="dxa"/>
            <w:shd w:val="clear" w:color="auto" w:fill="auto"/>
            <w:noWrap/>
            <w:vAlign w:val="bottom"/>
            <w:hideMark/>
          </w:tcPr>
          <w:p w14:paraId="33148BD0" w14:textId="77777777" w:rsidR="00FC0498" w:rsidRPr="00034E9B" w:rsidRDefault="00FC0498" w:rsidP="00FF6CBF">
            <w:pPr>
              <w:pStyle w:val="CGCTablerow"/>
              <w:jc w:val="right"/>
              <w:rPr>
                <w:rFonts w:ascii="Times New Roman" w:hAnsi="Times New Roman" w:cs="Times New Roman"/>
                <w:lang w:eastAsia="en-AU"/>
              </w:rPr>
            </w:pPr>
          </w:p>
        </w:tc>
        <w:tc>
          <w:tcPr>
            <w:tcW w:w="700" w:type="dxa"/>
            <w:shd w:val="clear" w:color="auto" w:fill="auto"/>
            <w:noWrap/>
            <w:vAlign w:val="bottom"/>
            <w:hideMark/>
          </w:tcPr>
          <w:p w14:paraId="36447E68" w14:textId="77777777" w:rsidR="00FC0498" w:rsidRPr="00034E9B" w:rsidRDefault="00FC0498" w:rsidP="00FF6CBF">
            <w:pPr>
              <w:pStyle w:val="CGCTablerow"/>
              <w:jc w:val="right"/>
              <w:rPr>
                <w:rFonts w:ascii="Times New Roman" w:hAnsi="Times New Roman" w:cs="Times New Roman"/>
                <w:lang w:eastAsia="en-AU"/>
              </w:rPr>
            </w:pPr>
          </w:p>
        </w:tc>
        <w:tc>
          <w:tcPr>
            <w:tcW w:w="700" w:type="dxa"/>
            <w:shd w:val="clear" w:color="auto" w:fill="auto"/>
            <w:noWrap/>
            <w:vAlign w:val="bottom"/>
            <w:hideMark/>
          </w:tcPr>
          <w:p w14:paraId="7CB23F6F" w14:textId="77777777" w:rsidR="00FC0498" w:rsidRPr="00034E9B" w:rsidRDefault="00FC0498" w:rsidP="00FF6CBF">
            <w:pPr>
              <w:pStyle w:val="CGCTablerow"/>
              <w:jc w:val="right"/>
              <w:rPr>
                <w:rFonts w:ascii="Times New Roman" w:hAnsi="Times New Roman" w:cs="Times New Roman"/>
                <w:lang w:eastAsia="en-AU"/>
              </w:rPr>
            </w:pPr>
          </w:p>
        </w:tc>
        <w:tc>
          <w:tcPr>
            <w:tcW w:w="700" w:type="dxa"/>
            <w:shd w:val="clear" w:color="auto" w:fill="auto"/>
            <w:noWrap/>
            <w:vAlign w:val="bottom"/>
            <w:hideMark/>
          </w:tcPr>
          <w:p w14:paraId="5D38757E" w14:textId="77777777" w:rsidR="00FC0498" w:rsidRPr="00034E9B" w:rsidRDefault="00FC0498" w:rsidP="00FF6CBF">
            <w:pPr>
              <w:pStyle w:val="CGCTablerow"/>
              <w:jc w:val="right"/>
              <w:rPr>
                <w:rFonts w:ascii="Times New Roman" w:hAnsi="Times New Roman" w:cs="Times New Roman"/>
                <w:lang w:eastAsia="en-AU"/>
              </w:rPr>
            </w:pPr>
          </w:p>
        </w:tc>
        <w:tc>
          <w:tcPr>
            <w:tcW w:w="820" w:type="dxa"/>
            <w:shd w:val="clear" w:color="auto" w:fill="auto"/>
            <w:noWrap/>
            <w:vAlign w:val="bottom"/>
            <w:hideMark/>
          </w:tcPr>
          <w:p w14:paraId="5A003977" w14:textId="77777777" w:rsidR="00FC0498" w:rsidRPr="00034E9B" w:rsidRDefault="00FC0498" w:rsidP="00FF6CBF">
            <w:pPr>
              <w:pStyle w:val="CGCTablerow"/>
              <w:jc w:val="right"/>
              <w:rPr>
                <w:rFonts w:ascii="Times New Roman" w:hAnsi="Times New Roman" w:cs="Times New Roman"/>
                <w:lang w:eastAsia="en-AU"/>
              </w:rPr>
            </w:pPr>
          </w:p>
        </w:tc>
      </w:tr>
      <w:tr w:rsidR="00FC0498" w:rsidRPr="00034E9B" w14:paraId="030DCADC" w14:textId="77777777" w:rsidTr="00C01414">
        <w:trPr>
          <w:trHeight w:val="315"/>
        </w:trPr>
        <w:tc>
          <w:tcPr>
            <w:tcW w:w="2160" w:type="dxa"/>
            <w:shd w:val="clear" w:color="auto" w:fill="auto"/>
            <w:noWrap/>
            <w:vAlign w:val="bottom"/>
            <w:hideMark/>
          </w:tcPr>
          <w:p w14:paraId="5F59ADBC" w14:textId="77777777" w:rsidR="00FC0498" w:rsidRPr="00034E9B" w:rsidRDefault="00FC0498" w:rsidP="00FF6CBF">
            <w:pPr>
              <w:pStyle w:val="CGCTablerow"/>
              <w:rPr>
                <w:lang w:eastAsia="en-AU"/>
              </w:rPr>
            </w:pPr>
            <w:r w:rsidRPr="00034E9B">
              <w:rPr>
                <w:lang w:eastAsia="en-AU"/>
              </w:rPr>
              <w:t xml:space="preserve">    Population</w:t>
            </w:r>
          </w:p>
        </w:tc>
        <w:tc>
          <w:tcPr>
            <w:tcW w:w="820" w:type="dxa"/>
            <w:shd w:val="clear" w:color="auto" w:fill="auto"/>
            <w:noWrap/>
            <w:vAlign w:val="bottom"/>
            <w:hideMark/>
          </w:tcPr>
          <w:p w14:paraId="0E6AEA27" w14:textId="77777777" w:rsidR="00FC0498" w:rsidRPr="00034E9B" w:rsidRDefault="00FC0498" w:rsidP="00FF6CBF">
            <w:pPr>
              <w:pStyle w:val="CGCTablerow"/>
              <w:jc w:val="right"/>
              <w:rPr>
                <w:lang w:eastAsia="en-AU"/>
              </w:rPr>
            </w:pPr>
            <w:r w:rsidRPr="00034E9B">
              <w:rPr>
                <w:lang w:eastAsia="en-AU"/>
              </w:rPr>
              <w:t>23</w:t>
            </w:r>
          </w:p>
        </w:tc>
        <w:tc>
          <w:tcPr>
            <w:tcW w:w="820" w:type="dxa"/>
            <w:shd w:val="clear" w:color="auto" w:fill="auto"/>
            <w:noWrap/>
            <w:vAlign w:val="bottom"/>
            <w:hideMark/>
          </w:tcPr>
          <w:p w14:paraId="36A5A060" w14:textId="77777777" w:rsidR="00FC0498" w:rsidRPr="00034E9B" w:rsidRDefault="00FC0498" w:rsidP="00FF6CBF">
            <w:pPr>
              <w:pStyle w:val="CGCTablerow"/>
              <w:jc w:val="right"/>
              <w:rPr>
                <w:lang w:eastAsia="en-AU"/>
              </w:rPr>
            </w:pPr>
            <w:r w:rsidRPr="00034E9B">
              <w:rPr>
                <w:lang w:eastAsia="en-AU"/>
              </w:rPr>
              <w:t>113</w:t>
            </w:r>
          </w:p>
        </w:tc>
        <w:tc>
          <w:tcPr>
            <w:tcW w:w="820" w:type="dxa"/>
            <w:shd w:val="clear" w:color="auto" w:fill="auto"/>
            <w:noWrap/>
            <w:vAlign w:val="bottom"/>
            <w:hideMark/>
          </w:tcPr>
          <w:p w14:paraId="0B066449" w14:textId="77777777" w:rsidR="00FC0498" w:rsidRPr="00034E9B" w:rsidRDefault="00FC0498" w:rsidP="00FF6CBF">
            <w:pPr>
              <w:pStyle w:val="CGCTablerow"/>
              <w:jc w:val="right"/>
              <w:rPr>
                <w:lang w:eastAsia="en-AU"/>
              </w:rPr>
            </w:pPr>
            <w:r w:rsidRPr="00034E9B">
              <w:rPr>
                <w:lang w:eastAsia="en-AU"/>
              </w:rPr>
              <w:t>-5</w:t>
            </w:r>
          </w:p>
        </w:tc>
        <w:tc>
          <w:tcPr>
            <w:tcW w:w="700" w:type="dxa"/>
            <w:shd w:val="clear" w:color="auto" w:fill="auto"/>
            <w:noWrap/>
            <w:vAlign w:val="bottom"/>
            <w:hideMark/>
          </w:tcPr>
          <w:p w14:paraId="0F41FD18" w14:textId="77777777" w:rsidR="00FC0498" w:rsidRPr="00034E9B" w:rsidRDefault="00FC0498" w:rsidP="00FF6CBF">
            <w:pPr>
              <w:pStyle w:val="CGCTablerow"/>
              <w:jc w:val="right"/>
              <w:rPr>
                <w:lang w:eastAsia="en-AU"/>
              </w:rPr>
            </w:pPr>
            <w:r w:rsidRPr="00034E9B">
              <w:rPr>
                <w:lang w:eastAsia="en-AU"/>
              </w:rPr>
              <w:t>-19</w:t>
            </w:r>
          </w:p>
        </w:tc>
        <w:tc>
          <w:tcPr>
            <w:tcW w:w="700" w:type="dxa"/>
            <w:shd w:val="clear" w:color="auto" w:fill="auto"/>
            <w:noWrap/>
            <w:vAlign w:val="bottom"/>
            <w:hideMark/>
          </w:tcPr>
          <w:p w14:paraId="71973A83" w14:textId="77777777" w:rsidR="00FC0498" w:rsidRPr="00034E9B" w:rsidRDefault="00FC0498" w:rsidP="00FF6CBF">
            <w:pPr>
              <w:pStyle w:val="CGCTablerow"/>
              <w:jc w:val="right"/>
              <w:rPr>
                <w:lang w:eastAsia="en-AU"/>
              </w:rPr>
            </w:pPr>
            <w:r w:rsidRPr="00034E9B">
              <w:rPr>
                <w:lang w:eastAsia="en-AU"/>
              </w:rPr>
              <w:t>-50</w:t>
            </w:r>
          </w:p>
        </w:tc>
        <w:tc>
          <w:tcPr>
            <w:tcW w:w="700" w:type="dxa"/>
            <w:shd w:val="clear" w:color="auto" w:fill="auto"/>
            <w:noWrap/>
            <w:vAlign w:val="bottom"/>
            <w:hideMark/>
          </w:tcPr>
          <w:p w14:paraId="51ACA7A7" w14:textId="77777777" w:rsidR="00FC0498" w:rsidRPr="00034E9B" w:rsidRDefault="00FC0498" w:rsidP="00FF6CBF">
            <w:pPr>
              <w:pStyle w:val="CGCTablerow"/>
              <w:jc w:val="right"/>
              <w:rPr>
                <w:lang w:eastAsia="en-AU"/>
              </w:rPr>
            </w:pPr>
            <w:r w:rsidRPr="00034E9B">
              <w:rPr>
                <w:lang w:eastAsia="en-AU"/>
              </w:rPr>
              <w:t>-24</w:t>
            </w:r>
          </w:p>
        </w:tc>
        <w:tc>
          <w:tcPr>
            <w:tcW w:w="700" w:type="dxa"/>
            <w:shd w:val="clear" w:color="auto" w:fill="auto"/>
            <w:noWrap/>
            <w:vAlign w:val="bottom"/>
            <w:hideMark/>
          </w:tcPr>
          <w:p w14:paraId="67A89971" w14:textId="77777777" w:rsidR="00FC0498" w:rsidRPr="00034E9B" w:rsidRDefault="00FC0498" w:rsidP="00FF6CBF">
            <w:pPr>
              <w:pStyle w:val="CGCTablerow"/>
              <w:jc w:val="right"/>
              <w:rPr>
                <w:lang w:eastAsia="en-AU"/>
              </w:rPr>
            </w:pPr>
            <w:r w:rsidRPr="00034E9B">
              <w:rPr>
                <w:lang w:eastAsia="en-AU"/>
              </w:rPr>
              <w:t>1</w:t>
            </w:r>
          </w:p>
        </w:tc>
        <w:tc>
          <w:tcPr>
            <w:tcW w:w="700" w:type="dxa"/>
            <w:shd w:val="clear" w:color="auto" w:fill="auto"/>
            <w:noWrap/>
            <w:vAlign w:val="bottom"/>
            <w:hideMark/>
          </w:tcPr>
          <w:p w14:paraId="4A1373D8" w14:textId="77777777" w:rsidR="00FC0498" w:rsidRPr="00034E9B" w:rsidRDefault="00FC0498" w:rsidP="00FF6CBF">
            <w:pPr>
              <w:pStyle w:val="CGCTablerow"/>
              <w:jc w:val="right"/>
              <w:rPr>
                <w:lang w:eastAsia="en-AU"/>
              </w:rPr>
            </w:pPr>
            <w:r w:rsidRPr="00034E9B">
              <w:rPr>
                <w:lang w:eastAsia="en-AU"/>
              </w:rPr>
              <w:t>-39</w:t>
            </w:r>
          </w:p>
        </w:tc>
        <w:tc>
          <w:tcPr>
            <w:tcW w:w="820" w:type="dxa"/>
            <w:shd w:val="clear" w:color="auto" w:fill="auto"/>
            <w:noWrap/>
            <w:vAlign w:val="bottom"/>
            <w:hideMark/>
          </w:tcPr>
          <w:p w14:paraId="674FFF9B" w14:textId="77777777" w:rsidR="00FC0498" w:rsidRPr="00034E9B" w:rsidRDefault="00FC0498" w:rsidP="00FF6CBF">
            <w:pPr>
              <w:pStyle w:val="CGCTablerow"/>
              <w:jc w:val="right"/>
              <w:rPr>
                <w:lang w:eastAsia="en-AU"/>
              </w:rPr>
            </w:pPr>
            <w:r w:rsidRPr="00034E9B">
              <w:rPr>
                <w:lang w:eastAsia="en-AU"/>
              </w:rPr>
              <w:t>0</w:t>
            </w:r>
          </w:p>
        </w:tc>
      </w:tr>
      <w:tr w:rsidR="00FC0498" w:rsidRPr="00034E9B" w14:paraId="3BA83CB3" w14:textId="77777777" w:rsidTr="00C01414">
        <w:trPr>
          <w:trHeight w:val="315"/>
        </w:trPr>
        <w:tc>
          <w:tcPr>
            <w:tcW w:w="2160" w:type="dxa"/>
            <w:shd w:val="clear" w:color="auto" w:fill="auto"/>
            <w:noWrap/>
            <w:vAlign w:val="bottom"/>
            <w:hideMark/>
          </w:tcPr>
          <w:p w14:paraId="432BFC77" w14:textId="77777777" w:rsidR="00FC0498" w:rsidRPr="00034E9B" w:rsidRDefault="00FC0498" w:rsidP="00FF6CBF">
            <w:pPr>
              <w:pStyle w:val="CGCTablerow"/>
              <w:rPr>
                <w:lang w:eastAsia="en-AU"/>
              </w:rPr>
            </w:pPr>
            <w:r w:rsidRPr="00034E9B">
              <w:rPr>
                <w:lang w:eastAsia="en-AU"/>
              </w:rPr>
              <w:t xml:space="preserve">    Pool</w:t>
            </w:r>
          </w:p>
        </w:tc>
        <w:tc>
          <w:tcPr>
            <w:tcW w:w="820" w:type="dxa"/>
            <w:shd w:val="clear" w:color="auto" w:fill="auto"/>
            <w:noWrap/>
            <w:vAlign w:val="bottom"/>
            <w:hideMark/>
          </w:tcPr>
          <w:p w14:paraId="098130F6" w14:textId="77777777" w:rsidR="00FC0498" w:rsidRPr="00034E9B" w:rsidRDefault="00FC0498" w:rsidP="00FF6CBF">
            <w:pPr>
              <w:pStyle w:val="CGCTablerow"/>
              <w:jc w:val="right"/>
              <w:rPr>
                <w:lang w:eastAsia="en-AU"/>
              </w:rPr>
            </w:pPr>
            <w:r w:rsidRPr="00034E9B">
              <w:rPr>
                <w:lang w:eastAsia="en-AU"/>
              </w:rPr>
              <w:t>1,030</w:t>
            </w:r>
          </w:p>
        </w:tc>
        <w:tc>
          <w:tcPr>
            <w:tcW w:w="820" w:type="dxa"/>
            <w:shd w:val="clear" w:color="auto" w:fill="auto"/>
            <w:noWrap/>
            <w:vAlign w:val="bottom"/>
            <w:hideMark/>
          </w:tcPr>
          <w:p w14:paraId="3C3FFBAC" w14:textId="77777777" w:rsidR="00FC0498" w:rsidRPr="00034E9B" w:rsidRDefault="00FC0498" w:rsidP="00FF6CBF">
            <w:pPr>
              <w:pStyle w:val="CGCTablerow"/>
              <w:jc w:val="right"/>
              <w:rPr>
                <w:lang w:eastAsia="en-AU"/>
              </w:rPr>
            </w:pPr>
            <w:r w:rsidRPr="00034E9B">
              <w:rPr>
                <w:lang w:eastAsia="en-AU"/>
              </w:rPr>
              <w:t>971</w:t>
            </w:r>
          </w:p>
        </w:tc>
        <w:tc>
          <w:tcPr>
            <w:tcW w:w="820" w:type="dxa"/>
            <w:shd w:val="clear" w:color="auto" w:fill="auto"/>
            <w:noWrap/>
            <w:vAlign w:val="bottom"/>
            <w:hideMark/>
          </w:tcPr>
          <w:p w14:paraId="7DA6D910" w14:textId="77777777" w:rsidR="00FC0498" w:rsidRPr="00034E9B" w:rsidRDefault="00FC0498" w:rsidP="00FF6CBF">
            <w:pPr>
              <w:pStyle w:val="CGCTablerow"/>
              <w:jc w:val="right"/>
              <w:rPr>
                <w:lang w:eastAsia="en-AU"/>
              </w:rPr>
            </w:pPr>
            <w:r w:rsidRPr="00034E9B">
              <w:rPr>
                <w:lang w:eastAsia="en-AU"/>
              </w:rPr>
              <w:t>891</w:t>
            </w:r>
          </w:p>
        </w:tc>
        <w:tc>
          <w:tcPr>
            <w:tcW w:w="700" w:type="dxa"/>
            <w:shd w:val="clear" w:color="auto" w:fill="auto"/>
            <w:noWrap/>
            <w:vAlign w:val="bottom"/>
            <w:hideMark/>
          </w:tcPr>
          <w:p w14:paraId="04E22404" w14:textId="77777777" w:rsidR="00FC0498" w:rsidRPr="00034E9B" w:rsidRDefault="00FC0498" w:rsidP="00FF6CBF">
            <w:pPr>
              <w:pStyle w:val="CGCTablerow"/>
              <w:jc w:val="right"/>
              <w:rPr>
                <w:lang w:eastAsia="en-AU"/>
              </w:rPr>
            </w:pPr>
            <w:r w:rsidRPr="00034E9B">
              <w:rPr>
                <w:lang w:eastAsia="en-AU"/>
              </w:rPr>
              <w:t>265</w:t>
            </w:r>
          </w:p>
        </w:tc>
        <w:tc>
          <w:tcPr>
            <w:tcW w:w="700" w:type="dxa"/>
            <w:shd w:val="clear" w:color="auto" w:fill="auto"/>
            <w:noWrap/>
            <w:vAlign w:val="bottom"/>
            <w:hideMark/>
          </w:tcPr>
          <w:p w14:paraId="728C61D3" w14:textId="77777777" w:rsidR="00FC0498" w:rsidRPr="00034E9B" w:rsidRDefault="00FC0498" w:rsidP="00FF6CBF">
            <w:pPr>
              <w:pStyle w:val="CGCTablerow"/>
              <w:jc w:val="right"/>
              <w:rPr>
                <w:lang w:eastAsia="en-AU"/>
              </w:rPr>
            </w:pPr>
            <w:r w:rsidRPr="00034E9B">
              <w:rPr>
                <w:lang w:eastAsia="en-AU"/>
              </w:rPr>
              <w:t>375</w:t>
            </w:r>
          </w:p>
        </w:tc>
        <w:tc>
          <w:tcPr>
            <w:tcW w:w="700" w:type="dxa"/>
            <w:shd w:val="clear" w:color="auto" w:fill="auto"/>
            <w:noWrap/>
            <w:vAlign w:val="bottom"/>
            <w:hideMark/>
          </w:tcPr>
          <w:p w14:paraId="0E91DA96" w14:textId="77777777" w:rsidR="00FC0498" w:rsidRPr="00034E9B" w:rsidRDefault="00FC0498" w:rsidP="00FF6CBF">
            <w:pPr>
              <w:pStyle w:val="CGCTablerow"/>
              <w:jc w:val="right"/>
              <w:rPr>
                <w:lang w:eastAsia="en-AU"/>
              </w:rPr>
            </w:pPr>
            <w:r w:rsidRPr="00034E9B">
              <w:rPr>
                <w:lang w:eastAsia="en-AU"/>
              </w:rPr>
              <w:t>142</w:t>
            </w:r>
          </w:p>
        </w:tc>
        <w:tc>
          <w:tcPr>
            <w:tcW w:w="700" w:type="dxa"/>
            <w:shd w:val="clear" w:color="auto" w:fill="auto"/>
            <w:noWrap/>
            <w:vAlign w:val="bottom"/>
            <w:hideMark/>
          </w:tcPr>
          <w:p w14:paraId="0C7B5495" w14:textId="77777777" w:rsidR="00FC0498" w:rsidRPr="00034E9B" w:rsidRDefault="00FC0498" w:rsidP="00FF6CBF">
            <w:pPr>
              <w:pStyle w:val="CGCTablerow"/>
              <w:jc w:val="right"/>
              <w:rPr>
                <w:lang w:eastAsia="en-AU"/>
              </w:rPr>
            </w:pPr>
            <w:r w:rsidRPr="00034E9B">
              <w:rPr>
                <w:lang w:eastAsia="en-AU"/>
              </w:rPr>
              <w:t>76</w:t>
            </w:r>
          </w:p>
        </w:tc>
        <w:tc>
          <w:tcPr>
            <w:tcW w:w="700" w:type="dxa"/>
            <w:shd w:val="clear" w:color="auto" w:fill="auto"/>
            <w:noWrap/>
            <w:vAlign w:val="bottom"/>
            <w:hideMark/>
          </w:tcPr>
          <w:p w14:paraId="7268926C" w14:textId="77777777" w:rsidR="00FC0498" w:rsidRPr="00034E9B" w:rsidRDefault="00FC0498" w:rsidP="00FF6CBF">
            <w:pPr>
              <w:pStyle w:val="CGCTablerow"/>
              <w:jc w:val="right"/>
              <w:rPr>
                <w:lang w:eastAsia="en-AU"/>
              </w:rPr>
            </w:pPr>
            <w:r w:rsidRPr="00034E9B">
              <w:rPr>
                <w:lang w:eastAsia="en-AU"/>
              </w:rPr>
              <w:t>173</w:t>
            </w:r>
          </w:p>
        </w:tc>
        <w:tc>
          <w:tcPr>
            <w:tcW w:w="820" w:type="dxa"/>
            <w:shd w:val="clear" w:color="auto" w:fill="auto"/>
            <w:noWrap/>
            <w:vAlign w:val="bottom"/>
            <w:hideMark/>
          </w:tcPr>
          <w:p w14:paraId="30C61F37" w14:textId="77777777" w:rsidR="00FC0498" w:rsidRPr="00034E9B" w:rsidRDefault="00FC0498" w:rsidP="00FF6CBF">
            <w:pPr>
              <w:pStyle w:val="CGCTablerow"/>
              <w:jc w:val="right"/>
              <w:rPr>
                <w:lang w:eastAsia="en-AU"/>
              </w:rPr>
            </w:pPr>
            <w:r w:rsidRPr="00034E9B">
              <w:rPr>
                <w:lang w:eastAsia="en-AU"/>
              </w:rPr>
              <w:t>3,922</w:t>
            </w:r>
          </w:p>
        </w:tc>
      </w:tr>
      <w:tr w:rsidR="00FC0498" w:rsidRPr="00034E9B" w14:paraId="15F6382A" w14:textId="77777777" w:rsidTr="00C01414">
        <w:trPr>
          <w:trHeight w:val="315"/>
        </w:trPr>
        <w:tc>
          <w:tcPr>
            <w:tcW w:w="2160" w:type="dxa"/>
            <w:shd w:val="clear" w:color="auto" w:fill="auto"/>
            <w:vAlign w:val="bottom"/>
            <w:hideMark/>
          </w:tcPr>
          <w:p w14:paraId="402D6FF3" w14:textId="77777777" w:rsidR="00FC0498" w:rsidRPr="00034E9B" w:rsidRDefault="00FC0498" w:rsidP="00FF6CBF">
            <w:pPr>
              <w:pStyle w:val="CGCTablerow"/>
              <w:rPr>
                <w:lang w:eastAsia="en-AU"/>
              </w:rPr>
            </w:pPr>
            <w:r w:rsidRPr="00034E9B">
              <w:rPr>
                <w:lang w:eastAsia="en-AU"/>
              </w:rPr>
              <w:t xml:space="preserve">    Change in relativities</w:t>
            </w:r>
          </w:p>
        </w:tc>
        <w:tc>
          <w:tcPr>
            <w:tcW w:w="820" w:type="dxa"/>
            <w:shd w:val="clear" w:color="auto" w:fill="auto"/>
            <w:vAlign w:val="bottom"/>
            <w:hideMark/>
          </w:tcPr>
          <w:p w14:paraId="2A2C9DB6" w14:textId="77777777" w:rsidR="00FC0498" w:rsidRPr="00034E9B" w:rsidRDefault="00FC0498" w:rsidP="00FF6CBF">
            <w:pPr>
              <w:pStyle w:val="CGCTablerow"/>
              <w:jc w:val="right"/>
              <w:rPr>
                <w:lang w:eastAsia="en-AU"/>
              </w:rPr>
            </w:pPr>
            <w:r w:rsidRPr="00034E9B">
              <w:rPr>
                <w:lang w:eastAsia="en-AU"/>
              </w:rPr>
              <w:t>-263</w:t>
            </w:r>
          </w:p>
        </w:tc>
        <w:tc>
          <w:tcPr>
            <w:tcW w:w="820" w:type="dxa"/>
            <w:shd w:val="clear" w:color="auto" w:fill="auto"/>
            <w:vAlign w:val="bottom"/>
            <w:hideMark/>
          </w:tcPr>
          <w:p w14:paraId="0CAB2031" w14:textId="77777777" w:rsidR="00FC0498" w:rsidRPr="00034E9B" w:rsidRDefault="00FC0498" w:rsidP="00FF6CBF">
            <w:pPr>
              <w:pStyle w:val="CGCTablerow"/>
              <w:jc w:val="right"/>
              <w:rPr>
                <w:lang w:eastAsia="en-AU"/>
              </w:rPr>
            </w:pPr>
            <w:r w:rsidRPr="00034E9B">
              <w:rPr>
                <w:lang w:eastAsia="en-AU"/>
              </w:rPr>
              <w:t>-218</w:t>
            </w:r>
          </w:p>
        </w:tc>
        <w:tc>
          <w:tcPr>
            <w:tcW w:w="820" w:type="dxa"/>
            <w:shd w:val="clear" w:color="auto" w:fill="auto"/>
            <w:vAlign w:val="bottom"/>
            <w:hideMark/>
          </w:tcPr>
          <w:p w14:paraId="1BFEBFCF" w14:textId="77777777" w:rsidR="00FC0498" w:rsidRPr="00034E9B" w:rsidRDefault="00FC0498" w:rsidP="00FF6CBF">
            <w:pPr>
              <w:pStyle w:val="CGCTablerow"/>
              <w:jc w:val="right"/>
              <w:rPr>
                <w:lang w:eastAsia="en-AU"/>
              </w:rPr>
            </w:pPr>
            <w:r w:rsidRPr="00034E9B">
              <w:rPr>
                <w:lang w:eastAsia="en-AU"/>
              </w:rPr>
              <w:t>146</w:t>
            </w:r>
          </w:p>
        </w:tc>
        <w:tc>
          <w:tcPr>
            <w:tcW w:w="700" w:type="dxa"/>
            <w:shd w:val="clear" w:color="auto" w:fill="auto"/>
            <w:vAlign w:val="bottom"/>
            <w:hideMark/>
          </w:tcPr>
          <w:p w14:paraId="17113108" w14:textId="77777777" w:rsidR="00FC0498" w:rsidRPr="00034E9B" w:rsidRDefault="00FC0498" w:rsidP="00FF6CBF">
            <w:pPr>
              <w:pStyle w:val="CGCTablerow"/>
              <w:jc w:val="right"/>
              <w:rPr>
                <w:lang w:eastAsia="en-AU"/>
              </w:rPr>
            </w:pPr>
            <w:r w:rsidRPr="00034E9B">
              <w:rPr>
                <w:lang w:eastAsia="en-AU"/>
              </w:rPr>
              <w:t>385</w:t>
            </w:r>
          </w:p>
        </w:tc>
        <w:tc>
          <w:tcPr>
            <w:tcW w:w="700" w:type="dxa"/>
            <w:shd w:val="clear" w:color="auto" w:fill="auto"/>
            <w:vAlign w:val="bottom"/>
            <w:hideMark/>
          </w:tcPr>
          <w:p w14:paraId="0992C8AA" w14:textId="77777777" w:rsidR="00FC0498" w:rsidRPr="00034E9B" w:rsidRDefault="00FC0498" w:rsidP="00FF6CBF">
            <w:pPr>
              <w:pStyle w:val="CGCTablerow"/>
              <w:jc w:val="right"/>
              <w:rPr>
                <w:lang w:eastAsia="en-AU"/>
              </w:rPr>
            </w:pPr>
            <w:r w:rsidRPr="00034E9B">
              <w:rPr>
                <w:lang w:eastAsia="en-AU"/>
              </w:rPr>
              <w:t>-110</w:t>
            </w:r>
          </w:p>
        </w:tc>
        <w:tc>
          <w:tcPr>
            <w:tcW w:w="700" w:type="dxa"/>
            <w:shd w:val="clear" w:color="auto" w:fill="auto"/>
            <w:vAlign w:val="bottom"/>
            <w:hideMark/>
          </w:tcPr>
          <w:p w14:paraId="5F28E38B" w14:textId="77777777" w:rsidR="00FC0498" w:rsidRPr="00034E9B" w:rsidRDefault="00FC0498" w:rsidP="00FF6CBF">
            <w:pPr>
              <w:pStyle w:val="CGCTablerow"/>
              <w:jc w:val="right"/>
              <w:rPr>
                <w:lang w:eastAsia="en-AU"/>
              </w:rPr>
            </w:pPr>
            <w:r w:rsidRPr="00034E9B">
              <w:rPr>
                <w:lang w:eastAsia="en-AU"/>
              </w:rPr>
              <w:t>-49</w:t>
            </w:r>
          </w:p>
        </w:tc>
        <w:tc>
          <w:tcPr>
            <w:tcW w:w="700" w:type="dxa"/>
            <w:shd w:val="clear" w:color="auto" w:fill="auto"/>
            <w:vAlign w:val="bottom"/>
            <w:hideMark/>
          </w:tcPr>
          <w:p w14:paraId="3EAE37C5" w14:textId="77777777" w:rsidR="00FC0498" w:rsidRPr="00034E9B" w:rsidRDefault="00FC0498" w:rsidP="00FF6CBF">
            <w:pPr>
              <w:pStyle w:val="CGCTablerow"/>
              <w:jc w:val="right"/>
              <w:rPr>
                <w:lang w:eastAsia="en-AU"/>
              </w:rPr>
            </w:pPr>
            <w:r w:rsidRPr="00034E9B">
              <w:rPr>
                <w:lang w:eastAsia="en-AU"/>
              </w:rPr>
              <w:t>-14</w:t>
            </w:r>
          </w:p>
        </w:tc>
        <w:tc>
          <w:tcPr>
            <w:tcW w:w="700" w:type="dxa"/>
            <w:shd w:val="clear" w:color="auto" w:fill="auto"/>
            <w:vAlign w:val="bottom"/>
            <w:hideMark/>
          </w:tcPr>
          <w:p w14:paraId="3C9E461A" w14:textId="77777777" w:rsidR="00FC0498" w:rsidRPr="00034E9B" w:rsidRDefault="00FC0498" w:rsidP="00FF6CBF">
            <w:pPr>
              <w:pStyle w:val="CGCTablerow"/>
              <w:jc w:val="right"/>
              <w:rPr>
                <w:lang w:eastAsia="en-AU"/>
              </w:rPr>
            </w:pPr>
            <w:r w:rsidRPr="00034E9B">
              <w:rPr>
                <w:lang w:eastAsia="en-AU"/>
              </w:rPr>
              <w:t>124</w:t>
            </w:r>
          </w:p>
        </w:tc>
        <w:tc>
          <w:tcPr>
            <w:tcW w:w="820" w:type="dxa"/>
            <w:shd w:val="clear" w:color="auto" w:fill="auto"/>
            <w:vAlign w:val="bottom"/>
            <w:hideMark/>
          </w:tcPr>
          <w:p w14:paraId="1EF41C81" w14:textId="77777777" w:rsidR="00FC0498" w:rsidRPr="00034E9B" w:rsidRDefault="00FC0498" w:rsidP="00FF6CBF">
            <w:pPr>
              <w:pStyle w:val="CGCTablerow"/>
              <w:jc w:val="right"/>
              <w:rPr>
                <w:lang w:eastAsia="en-AU"/>
              </w:rPr>
            </w:pPr>
            <w:r w:rsidRPr="00034E9B">
              <w:rPr>
                <w:lang w:eastAsia="en-AU"/>
              </w:rPr>
              <w:t>0</w:t>
            </w:r>
          </w:p>
        </w:tc>
      </w:tr>
      <w:tr w:rsidR="00FC0498" w:rsidRPr="00034E9B" w14:paraId="1378DC6B" w14:textId="77777777" w:rsidTr="00C01414">
        <w:trPr>
          <w:trHeight w:val="315"/>
        </w:trPr>
        <w:tc>
          <w:tcPr>
            <w:tcW w:w="2160" w:type="dxa"/>
            <w:shd w:val="clear" w:color="auto" w:fill="auto"/>
            <w:noWrap/>
            <w:vAlign w:val="bottom"/>
            <w:hideMark/>
          </w:tcPr>
          <w:p w14:paraId="21D558AF" w14:textId="58E3E203" w:rsidR="00FC0498" w:rsidRPr="00034E9B" w:rsidRDefault="00FC0498" w:rsidP="00FF6CBF">
            <w:pPr>
              <w:pStyle w:val="CGCTablerow"/>
              <w:rPr>
                <w:lang w:eastAsia="en-AU"/>
              </w:rPr>
            </w:pPr>
            <w:r w:rsidRPr="00034E9B">
              <w:rPr>
                <w:lang w:eastAsia="en-AU"/>
              </w:rPr>
              <w:t xml:space="preserve">    </w:t>
            </w:r>
            <w:r w:rsidR="00D054B2">
              <w:rPr>
                <w:lang w:eastAsia="en-AU"/>
              </w:rPr>
              <w:t>Total</w:t>
            </w:r>
          </w:p>
        </w:tc>
        <w:tc>
          <w:tcPr>
            <w:tcW w:w="820" w:type="dxa"/>
            <w:shd w:val="clear" w:color="auto" w:fill="auto"/>
            <w:noWrap/>
            <w:vAlign w:val="bottom"/>
            <w:hideMark/>
          </w:tcPr>
          <w:p w14:paraId="10B7F89C" w14:textId="77777777" w:rsidR="00FC0498" w:rsidRPr="00034E9B" w:rsidRDefault="00FC0498" w:rsidP="00FF6CBF">
            <w:pPr>
              <w:pStyle w:val="CGCTablerow"/>
              <w:jc w:val="right"/>
              <w:rPr>
                <w:lang w:eastAsia="en-AU"/>
              </w:rPr>
            </w:pPr>
            <w:r w:rsidRPr="00034E9B">
              <w:rPr>
                <w:lang w:eastAsia="en-AU"/>
              </w:rPr>
              <w:t>790</w:t>
            </w:r>
          </w:p>
        </w:tc>
        <w:tc>
          <w:tcPr>
            <w:tcW w:w="820" w:type="dxa"/>
            <w:shd w:val="clear" w:color="auto" w:fill="auto"/>
            <w:noWrap/>
            <w:vAlign w:val="bottom"/>
            <w:hideMark/>
          </w:tcPr>
          <w:p w14:paraId="7CC933A3" w14:textId="77777777" w:rsidR="00FC0498" w:rsidRPr="00034E9B" w:rsidRDefault="00FC0498" w:rsidP="00FF6CBF">
            <w:pPr>
              <w:pStyle w:val="CGCTablerow"/>
              <w:jc w:val="right"/>
              <w:rPr>
                <w:lang w:eastAsia="en-AU"/>
              </w:rPr>
            </w:pPr>
            <w:r w:rsidRPr="00034E9B">
              <w:rPr>
                <w:lang w:eastAsia="en-AU"/>
              </w:rPr>
              <w:t>866</w:t>
            </w:r>
          </w:p>
        </w:tc>
        <w:tc>
          <w:tcPr>
            <w:tcW w:w="820" w:type="dxa"/>
            <w:shd w:val="clear" w:color="auto" w:fill="auto"/>
            <w:noWrap/>
            <w:vAlign w:val="bottom"/>
            <w:hideMark/>
          </w:tcPr>
          <w:p w14:paraId="4DCEF28B" w14:textId="77777777" w:rsidR="00FC0498" w:rsidRPr="00034E9B" w:rsidRDefault="00FC0498" w:rsidP="00FF6CBF">
            <w:pPr>
              <w:pStyle w:val="CGCTablerow"/>
              <w:jc w:val="right"/>
              <w:rPr>
                <w:lang w:eastAsia="en-AU"/>
              </w:rPr>
            </w:pPr>
            <w:r w:rsidRPr="00034E9B">
              <w:rPr>
                <w:lang w:eastAsia="en-AU"/>
              </w:rPr>
              <w:t>1,032</w:t>
            </w:r>
          </w:p>
        </w:tc>
        <w:tc>
          <w:tcPr>
            <w:tcW w:w="700" w:type="dxa"/>
            <w:shd w:val="clear" w:color="auto" w:fill="auto"/>
            <w:noWrap/>
            <w:vAlign w:val="bottom"/>
            <w:hideMark/>
          </w:tcPr>
          <w:p w14:paraId="173BA1EE" w14:textId="77777777" w:rsidR="00FC0498" w:rsidRPr="00034E9B" w:rsidRDefault="00FC0498" w:rsidP="00FF6CBF">
            <w:pPr>
              <w:pStyle w:val="CGCTablerow"/>
              <w:jc w:val="right"/>
              <w:rPr>
                <w:lang w:eastAsia="en-AU"/>
              </w:rPr>
            </w:pPr>
            <w:r w:rsidRPr="00034E9B">
              <w:rPr>
                <w:lang w:eastAsia="en-AU"/>
              </w:rPr>
              <w:t>630</w:t>
            </w:r>
          </w:p>
        </w:tc>
        <w:tc>
          <w:tcPr>
            <w:tcW w:w="700" w:type="dxa"/>
            <w:shd w:val="clear" w:color="auto" w:fill="auto"/>
            <w:noWrap/>
            <w:vAlign w:val="bottom"/>
            <w:hideMark/>
          </w:tcPr>
          <w:p w14:paraId="65BFDC5C" w14:textId="77777777" w:rsidR="00FC0498" w:rsidRPr="00034E9B" w:rsidRDefault="00FC0498" w:rsidP="00FF6CBF">
            <w:pPr>
              <w:pStyle w:val="CGCTablerow"/>
              <w:jc w:val="right"/>
              <w:rPr>
                <w:lang w:eastAsia="en-AU"/>
              </w:rPr>
            </w:pPr>
            <w:r w:rsidRPr="00034E9B">
              <w:rPr>
                <w:lang w:eastAsia="en-AU"/>
              </w:rPr>
              <w:t>215</w:t>
            </w:r>
          </w:p>
        </w:tc>
        <w:tc>
          <w:tcPr>
            <w:tcW w:w="700" w:type="dxa"/>
            <w:shd w:val="clear" w:color="auto" w:fill="auto"/>
            <w:noWrap/>
            <w:vAlign w:val="bottom"/>
            <w:hideMark/>
          </w:tcPr>
          <w:p w14:paraId="0C759868" w14:textId="77777777" w:rsidR="00FC0498" w:rsidRPr="00034E9B" w:rsidRDefault="00FC0498" w:rsidP="00FF6CBF">
            <w:pPr>
              <w:pStyle w:val="CGCTablerow"/>
              <w:jc w:val="right"/>
              <w:rPr>
                <w:lang w:eastAsia="en-AU"/>
              </w:rPr>
            </w:pPr>
            <w:r w:rsidRPr="00034E9B">
              <w:rPr>
                <w:lang w:eastAsia="en-AU"/>
              </w:rPr>
              <w:t>68</w:t>
            </w:r>
          </w:p>
        </w:tc>
        <w:tc>
          <w:tcPr>
            <w:tcW w:w="700" w:type="dxa"/>
            <w:shd w:val="clear" w:color="auto" w:fill="auto"/>
            <w:noWrap/>
            <w:vAlign w:val="bottom"/>
            <w:hideMark/>
          </w:tcPr>
          <w:p w14:paraId="16647F3D" w14:textId="77777777" w:rsidR="00FC0498" w:rsidRPr="00034E9B" w:rsidRDefault="00FC0498" w:rsidP="00FF6CBF">
            <w:pPr>
              <w:pStyle w:val="CGCTablerow"/>
              <w:jc w:val="right"/>
              <w:rPr>
                <w:lang w:eastAsia="en-AU"/>
              </w:rPr>
            </w:pPr>
            <w:r w:rsidRPr="00034E9B">
              <w:rPr>
                <w:lang w:eastAsia="en-AU"/>
              </w:rPr>
              <w:t>63</w:t>
            </w:r>
          </w:p>
        </w:tc>
        <w:tc>
          <w:tcPr>
            <w:tcW w:w="700" w:type="dxa"/>
            <w:shd w:val="clear" w:color="auto" w:fill="auto"/>
            <w:noWrap/>
            <w:vAlign w:val="bottom"/>
            <w:hideMark/>
          </w:tcPr>
          <w:p w14:paraId="2871F624" w14:textId="77777777" w:rsidR="00FC0498" w:rsidRPr="00034E9B" w:rsidRDefault="00FC0498" w:rsidP="00FF6CBF">
            <w:pPr>
              <w:pStyle w:val="CGCTablerow"/>
              <w:jc w:val="right"/>
              <w:rPr>
                <w:lang w:eastAsia="en-AU"/>
              </w:rPr>
            </w:pPr>
            <w:r w:rsidRPr="00034E9B">
              <w:rPr>
                <w:lang w:eastAsia="en-AU"/>
              </w:rPr>
              <w:t>258</w:t>
            </w:r>
          </w:p>
        </w:tc>
        <w:tc>
          <w:tcPr>
            <w:tcW w:w="820" w:type="dxa"/>
            <w:shd w:val="clear" w:color="auto" w:fill="auto"/>
            <w:noWrap/>
            <w:vAlign w:val="bottom"/>
            <w:hideMark/>
          </w:tcPr>
          <w:p w14:paraId="36FC98A6" w14:textId="77777777" w:rsidR="00FC0498" w:rsidRPr="00034E9B" w:rsidRDefault="00FC0498" w:rsidP="00FF6CBF">
            <w:pPr>
              <w:pStyle w:val="CGCTablerow"/>
              <w:jc w:val="right"/>
              <w:rPr>
                <w:lang w:eastAsia="en-AU"/>
              </w:rPr>
            </w:pPr>
            <w:r w:rsidRPr="00034E9B">
              <w:rPr>
                <w:lang w:eastAsia="en-AU"/>
              </w:rPr>
              <w:t>3,922</w:t>
            </w:r>
          </w:p>
        </w:tc>
      </w:tr>
    </w:tbl>
    <w:p w14:paraId="1EACAC9F" w14:textId="77777777" w:rsidR="00FC0498" w:rsidRPr="00034E9B" w:rsidRDefault="00FC0498" w:rsidP="00FC0498">
      <w:pPr>
        <w:pStyle w:val="CGCTablenote"/>
      </w:pPr>
      <w:r w:rsidRPr="00034E9B">
        <w:t>Note:</w:t>
      </w:r>
      <w:r w:rsidRPr="00034E9B">
        <w:tab/>
        <w:t>For illustrative purposes only.</w:t>
      </w:r>
    </w:p>
    <w:p w14:paraId="616708A1" w14:textId="715E060F" w:rsidR="00FC0498" w:rsidRPr="00034E9B" w:rsidRDefault="00FC0498" w:rsidP="00FC0498">
      <w:pPr>
        <w:pStyle w:val="CGCParaNumber"/>
        <w:numPr>
          <w:ilvl w:val="0"/>
          <w:numId w:val="26"/>
        </w:numPr>
        <w:ind w:left="567" w:hanging="567"/>
        <w:rPr>
          <w:lang w:val="en-AU"/>
        </w:rPr>
      </w:pPr>
      <w:r w:rsidRPr="00034E9B">
        <w:rPr>
          <w:lang w:val="en-AU"/>
        </w:rPr>
        <w:fldChar w:fldCharType="begin"/>
      </w:r>
      <w:r w:rsidRPr="00034E9B">
        <w:rPr>
          <w:lang w:val="en-AU"/>
        </w:rPr>
        <w:instrText xml:space="preserve"> REF _Ref18316745 \h  \* MERGEFORMAT </w:instrText>
      </w:r>
      <w:r w:rsidRPr="00034E9B">
        <w:rPr>
          <w:lang w:val="en-AU"/>
        </w:rPr>
      </w:r>
      <w:r w:rsidRPr="00034E9B">
        <w:rPr>
          <w:lang w:val="en-AU"/>
        </w:rPr>
        <w:fldChar w:fldCharType="separate"/>
      </w:r>
      <w:r w:rsidR="004A0DFA" w:rsidRPr="004A0DFA">
        <w:rPr>
          <w:lang w:val="en-AU"/>
        </w:rPr>
        <w:t>Table 4A-4</w:t>
      </w:r>
      <w:r w:rsidRPr="00034E9B">
        <w:rPr>
          <w:lang w:val="en-AU"/>
        </w:rPr>
        <w:fldChar w:fldCharType="end"/>
      </w:r>
      <w:r w:rsidRPr="00034E9B">
        <w:rPr>
          <w:lang w:val="en-AU"/>
        </w:rPr>
        <w:t xml:space="preserve"> divides the change in relativities between the change in relative fiscal capacities and changes due to the new arrangements.</w:t>
      </w:r>
      <w:bookmarkEnd w:id="212"/>
      <w:r w:rsidRPr="00034E9B">
        <w:rPr>
          <w:lang w:val="en-AU"/>
        </w:rPr>
        <w:t xml:space="preserve"> The text will emphasise that this table reflects a change from the previous inquiry, and therefore negative values for most States from legislative changes cannot be confused with whether those States are ‘worse off’ because of the changes. </w:t>
      </w:r>
      <w:r w:rsidRPr="00034E9B">
        <w:rPr>
          <w:lang w:val="en-AU"/>
        </w:rPr>
        <w:fldChar w:fldCharType="begin"/>
      </w:r>
      <w:r w:rsidRPr="00034E9B">
        <w:rPr>
          <w:lang w:val="en-AU"/>
        </w:rPr>
        <w:instrText xml:space="preserve"> REF _Ref18316745 \h  \* MERGEFORMAT </w:instrText>
      </w:r>
      <w:r w:rsidRPr="00034E9B">
        <w:rPr>
          <w:lang w:val="en-AU"/>
        </w:rPr>
      </w:r>
      <w:r w:rsidRPr="00034E9B">
        <w:rPr>
          <w:lang w:val="en-AU"/>
        </w:rPr>
        <w:fldChar w:fldCharType="separate"/>
      </w:r>
      <w:r w:rsidR="004A0DFA" w:rsidRPr="004A0DFA">
        <w:rPr>
          <w:lang w:val="en-AU"/>
        </w:rPr>
        <w:t xml:space="preserve">Table </w:t>
      </w:r>
      <w:r w:rsidR="004A0DFA" w:rsidRPr="004A0DFA">
        <w:rPr>
          <w:noProof/>
          <w:lang w:val="en-AU"/>
        </w:rPr>
        <w:t>4A-4</w:t>
      </w:r>
      <w:r w:rsidRPr="00034E9B">
        <w:rPr>
          <w:lang w:val="en-AU"/>
        </w:rPr>
        <w:fldChar w:fldCharType="end"/>
      </w:r>
      <w:r w:rsidRPr="00034E9B">
        <w:rPr>
          <w:lang w:val="en-AU"/>
        </w:rPr>
        <w:t xml:space="preserve"> relates to whether a State receives more or less grant revenue than </w:t>
      </w:r>
      <w:r w:rsidRPr="00034E9B">
        <w:rPr>
          <w:lang w:val="en-AU"/>
        </w:rPr>
        <w:lastRenderedPageBreak/>
        <w:t xml:space="preserve">it did in the previous inquiry. This has little relationship to whether it receives more grant revenue than it would GST revenue under the old arrangements. </w:t>
      </w:r>
    </w:p>
    <w:p w14:paraId="48C30385" w14:textId="22691E38" w:rsidR="00FC0498" w:rsidRPr="00034E9B" w:rsidRDefault="00FC0498" w:rsidP="00FC0498">
      <w:pPr>
        <w:pStyle w:val="Caption"/>
      </w:pPr>
      <w:bookmarkStart w:id="213" w:name="_Ref18316745"/>
      <w:r w:rsidRPr="00034E9B">
        <w:t>Table 4A-</w:t>
      </w:r>
      <w:r w:rsidRPr="00034E9B">
        <w:rPr>
          <w:noProof/>
        </w:rPr>
        <w:fldChar w:fldCharType="begin"/>
      </w:r>
      <w:r w:rsidRPr="00034E9B">
        <w:rPr>
          <w:noProof/>
        </w:rPr>
        <w:instrText xml:space="preserve"> SEQ Table \* ARABIC </w:instrText>
      </w:r>
      <w:r w:rsidRPr="00034E9B">
        <w:rPr>
          <w:noProof/>
        </w:rPr>
        <w:fldChar w:fldCharType="separate"/>
      </w:r>
      <w:r w:rsidR="004A0DFA">
        <w:rPr>
          <w:noProof/>
        </w:rPr>
        <w:t>4</w:t>
      </w:r>
      <w:r w:rsidRPr="00034E9B">
        <w:rPr>
          <w:noProof/>
        </w:rPr>
        <w:fldChar w:fldCharType="end"/>
      </w:r>
      <w:bookmarkEnd w:id="213"/>
      <w:r w:rsidRPr="00034E9B">
        <w:tab/>
        <w:t>Contribution to change in relativities from the previous inquiry, 2021-22 to 2022-23</w:t>
      </w:r>
    </w:p>
    <w:tbl>
      <w:tblPr>
        <w:tblW w:w="8940" w:type="dxa"/>
        <w:tblBorders>
          <w:top w:val="single" w:sz="4" w:space="0" w:color="ADD6EA"/>
          <w:bottom w:val="single" w:sz="4" w:space="0" w:color="ADD6EA"/>
          <w:insideH w:val="single" w:sz="4" w:space="0" w:color="ADD6EA"/>
        </w:tblBorders>
        <w:tblLayout w:type="fixed"/>
        <w:tblCellMar>
          <w:left w:w="0" w:type="dxa"/>
          <w:right w:w="28" w:type="dxa"/>
        </w:tblCellMar>
        <w:tblLook w:val="04A0" w:firstRow="1" w:lastRow="0" w:firstColumn="1" w:lastColumn="0" w:noHBand="0" w:noVBand="1"/>
      </w:tblPr>
      <w:tblGrid>
        <w:gridCol w:w="2160"/>
        <w:gridCol w:w="820"/>
        <w:gridCol w:w="820"/>
        <w:gridCol w:w="820"/>
        <w:gridCol w:w="700"/>
        <w:gridCol w:w="700"/>
        <w:gridCol w:w="700"/>
        <w:gridCol w:w="700"/>
        <w:gridCol w:w="700"/>
        <w:gridCol w:w="820"/>
      </w:tblGrid>
      <w:tr w:rsidR="00FC0498" w:rsidRPr="00034E9B" w14:paraId="32ABD0D3" w14:textId="77777777" w:rsidTr="00CB7BE6">
        <w:trPr>
          <w:trHeight w:val="315"/>
        </w:trPr>
        <w:tc>
          <w:tcPr>
            <w:tcW w:w="2160" w:type="dxa"/>
            <w:shd w:val="clear" w:color="auto" w:fill="006991"/>
            <w:vAlign w:val="center"/>
            <w:hideMark/>
          </w:tcPr>
          <w:p w14:paraId="7C6AE8E5" w14:textId="77777777" w:rsidR="00FC0498" w:rsidRPr="00034E9B" w:rsidRDefault="00FC0498" w:rsidP="00FF6CBF">
            <w:pPr>
              <w:pStyle w:val="CGCTableheader"/>
              <w:jc w:val="right"/>
              <w:rPr>
                <w:lang w:val="en-AU" w:eastAsia="en-AU"/>
              </w:rPr>
            </w:pPr>
            <w:r w:rsidRPr="00034E9B">
              <w:rPr>
                <w:lang w:val="en-AU" w:eastAsia="en-AU"/>
              </w:rPr>
              <w:t> </w:t>
            </w:r>
          </w:p>
        </w:tc>
        <w:tc>
          <w:tcPr>
            <w:tcW w:w="820" w:type="dxa"/>
            <w:shd w:val="clear" w:color="auto" w:fill="006991"/>
            <w:vAlign w:val="center"/>
            <w:hideMark/>
          </w:tcPr>
          <w:p w14:paraId="2C758264" w14:textId="77777777" w:rsidR="00FC0498" w:rsidRPr="00034E9B" w:rsidRDefault="00FC0498" w:rsidP="00FF6CBF">
            <w:pPr>
              <w:pStyle w:val="CGCTableheader"/>
              <w:jc w:val="right"/>
              <w:rPr>
                <w:lang w:val="en-AU" w:eastAsia="en-AU"/>
              </w:rPr>
            </w:pPr>
            <w:r w:rsidRPr="00034E9B">
              <w:rPr>
                <w:lang w:val="en-AU" w:eastAsia="en-AU"/>
              </w:rPr>
              <w:t>NSW</w:t>
            </w:r>
          </w:p>
        </w:tc>
        <w:tc>
          <w:tcPr>
            <w:tcW w:w="820" w:type="dxa"/>
            <w:shd w:val="clear" w:color="auto" w:fill="006991"/>
            <w:vAlign w:val="center"/>
            <w:hideMark/>
          </w:tcPr>
          <w:p w14:paraId="33181111" w14:textId="77777777" w:rsidR="00FC0498" w:rsidRPr="00034E9B" w:rsidRDefault="00FC0498" w:rsidP="00FF6CBF">
            <w:pPr>
              <w:pStyle w:val="CGCTableheader"/>
              <w:jc w:val="right"/>
              <w:rPr>
                <w:lang w:val="en-AU" w:eastAsia="en-AU"/>
              </w:rPr>
            </w:pPr>
            <w:r w:rsidRPr="00034E9B">
              <w:rPr>
                <w:lang w:val="en-AU" w:eastAsia="en-AU"/>
              </w:rPr>
              <w:t>Vic</w:t>
            </w:r>
          </w:p>
        </w:tc>
        <w:tc>
          <w:tcPr>
            <w:tcW w:w="820" w:type="dxa"/>
            <w:shd w:val="clear" w:color="auto" w:fill="006991"/>
            <w:vAlign w:val="center"/>
            <w:hideMark/>
          </w:tcPr>
          <w:p w14:paraId="3D5391BE" w14:textId="77777777" w:rsidR="00FC0498" w:rsidRPr="00034E9B" w:rsidRDefault="00FC0498" w:rsidP="00FF6CBF">
            <w:pPr>
              <w:pStyle w:val="CGCTableheader"/>
              <w:jc w:val="right"/>
              <w:rPr>
                <w:lang w:val="en-AU" w:eastAsia="en-AU"/>
              </w:rPr>
            </w:pPr>
            <w:r w:rsidRPr="00034E9B">
              <w:rPr>
                <w:lang w:val="en-AU" w:eastAsia="en-AU"/>
              </w:rPr>
              <w:t>Qld</w:t>
            </w:r>
          </w:p>
        </w:tc>
        <w:tc>
          <w:tcPr>
            <w:tcW w:w="700" w:type="dxa"/>
            <w:shd w:val="clear" w:color="auto" w:fill="006991"/>
            <w:vAlign w:val="center"/>
            <w:hideMark/>
          </w:tcPr>
          <w:p w14:paraId="4A0AF453" w14:textId="77777777" w:rsidR="00FC0498" w:rsidRPr="00034E9B" w:rsidRDefault="00FC0498" w:rsidP="00FF6CBF">
            <w:pPr>
              <w:pStyle w:val="CGCTableheader"/>
              <w:jc w:val="right"/>
              <w:rPr>
                <w:lang w:val="en-AU" w:eastAsia="en-AU"/>
              </w:rPr>
            </w:pPr>
            <w:r w:rsidRPr="00034E9B">
              <w:rPr>
                <w:lang w:val="en-AU" w:eastAsia="en-AU"/>
              </w:rPr>
              <w:t>WA</w:t>
            </w:r>
          </w:p>
        </w:tc>
        <w:tc>
          <w:tcPr>
            <w:tcW w:w="700" w:type="dxa"/>
            <w:shd w:val="clear" w:color="auto" w:fill="006991"/>
            <w:vAlign w:val="center"/>
            <w:hideMark/>
          </w:tcPr>
          <w:p w14:paraId="214BE6E0" w14:textId="77777777" w:rsidR="00FC0498" w:rsidRPr="00034E9B" w:rsidRDefault="00FC0498" w:rsidP="00FF6CBF">
            <w:pPr>
              <w:pStyle w:val="CGCTableheader"/>
              <w:jc w:val="right"/>
              <w:rPr>
                <w:lang w:val="en-AU" w:eastAsia="en-AU"/>
              </w:rPr>
            </w:pPr>
            <w:r w:rsidRPr="00034E9B">
              <w:rPr>
                <w:lang w:val="en-AU" w:eastAsia="en-AU"/>
              </w:rPr>
              <w:t>SA</w:t>
            </w:r>
          </w:p>
        </w:tc>
        <w:tc>
          <w:tcPr>
            <w:tcW w:w="700" w:type="dxa"/>
            <w:shd w:val="clear" w:color="auto" w:fill="006991"/>
            <w:vAlign w:val="center"/>
            <w:hideMark/>
          </w:tcPr>
          <w:p w14:paraId="77E4E73A" w14:textId="77777777" w:rsidR="00FC0498" w:rsidRPr="00034E9B" w:rsidRDefault="00FC0498" w:rsidP="00FF6CBF">
            <w:pPr>
              <w:pStyle w:val="CGCTableheader"/>
              <w:jc w:val="right"/>
              <w:rPr>
                <w:lang w:val="en-AU" w:eastAsia="en-AU"/>
              </w:rPr>
            </w:pPr>
            <w:r w:rsidRPr="00034E9B">
              <w:rPr>
                <w:lang w:val="en-AU" w:eastAsia="en-AU"/>
              </w:rPr>
              <w:t>Tas</w:t>
            </w:r>
          </w:p>
        </w:tc>
        <w:tc>
          <w:tcPr>
            <w:tcW w:w="700" w:type="dxa"/>
            <w:shd w:val="clear" w:color="auto" w:fill="006991"/>
            <w:vAlign w:val="center"/>
            <w:hideMark/>
          </w:tcPr>
          <w:p w14:paraId="2387A3B1" w14:textId="77777777" w:rsidR="00FC0498" w:rsidRPr="00034E9B" w:rsidRDefault="00FC0498" w:rsidP="00FF6CBF">
            <w:pPr>
              <w:pStyle w:val="CGCTableheader"/>
              <w:jc w:val="right"/>
              <w:rPr>
                <w:lang w:val="en-AU" w:eastAsia="en-AU"/>
              </w:rPr>
            </w:pPr>
            <w:r w:rsidRPr="00034E9B">
              <w:rPr>
                <w:lang w:val="en-AU" w:eastAsia="en-AU"/>
              </w:rPr>
              <w:t>ACT</w:t>
            </w:r>
          </w:p>
        </w:tc>
        <w:tc>
          <w:tcPr>
            <w:tcW w:w="700" w:type="dxa"/>
            <w:shd w:val="clear" w:color="auto" w:fill="006991"/>
            <w:vAlign w:val="center"/>
            <w:hideMark/>
          </w:tcPr>
          <w:p w14:paraId="259F8E73" w14:textId="77777777" w:rsidR="00FC0498" w:rsidRPr="00034E9B" w:rsidRDefault="00FC0498" w:rsidP="00FF6CBF">
            <w:pPr>
              <w:pStyle w:val="CGCTableheader"/>
              <w:jc w:val="right"/>
              <w:rPr>
                <w:lang w:val="en-AU" w:eastAsia="en-AU"/>
              </w:rPr>
            </w:pPr>
            <w:r w:rsidRPr="00034E9B">
              <w:rPr>
                <w:lang w:val="en-AU" w:eastAsia="en-AU"/>
              </w:rPr>
              <w:t>NT</w:t>
            </w:r>
          </w:p>
        </w:tc>
        <w:tc>
          <w:tcPr>
            <w:tcW w:w="820" w:type="dxa"/>
            <w:shd w:val="clear" w:color="auto" w:fill="006991"/>
            <w:vAlign w:val="center"/>
            <w:hideMark/>
          </w:tcPr>
          <w:p w14:paraId="7528A0C0" w14:textId="77777777" w:rsidR="00FC0498" w:rsidRPr="00034E9B" w:rsidRDefault="00FC0498" w:rsidP="00CB7BE6">
            <w:pPr>
              <w:pStyle w:val="CGCTableheader"/>
              <w:jc w:val="right"/>
              <w:rPr>
                <w:lang w:val="en-AU" w:eastAsia="en-AU"/>
              </w:rPr>
            </w:pPr>
            <w:r w:rsidRPr="00034E9B">
              <w:rPr>
                <w:lang w:val="en-AU" w:eastAsia="en-AU"/>
              </w:rPr>
              <w:t>Redist</w:t>
            </w:r>
          </w:p>
        </w:tc>
      </w:tr>
      <w:tr w:rsidR="00FC0498" w:rsidRPr="00034E9B" w14:paraId="15347410" w14:textId="77777777" w:rsidTr="000A5CF4">
        <w:trPr>
          <w:trHeight w:val="259"/>
        </w:trPr>
        <w:tc>
          <w:tcPr>
            <w:tcW w:w="2160" w:type="dxa"/>
            <w:shd w:val="clear" w:color="auto" w:fill="B6D5E4"/>
            <w:vAlign w:val="center"/>
            <w:hideMark/>
          </w:tcPr>
          <w:p w14:paraId="0476F7DC" w14:textId="77777777" w:rsidR="00FC0498" w:rsidRPr="00034E9B" w:rsidRDefault="00FC0498" w:rsidP="00FF6CBF">
            <w:pPr>
              <w:pStyle w:val="CGCTablesubhead1"/>
              <w:jc w:val="right"/>
              <w:rPr>
                <w:lang w:val="en-AU" w:eastAsia="en-AU"/>
              </w:rPr>
            </w:pPr>
            <w:r w:rsidRPr="00034E9B">
              <w:rPr>
                <w:lang w:val="en-AU" w:eastAsia="en-AU"/>
              </w:rPr>
              <w:t> </w:t>
            </w:r>
          </w:p>
        </w:tc>
        <w:tc>
          <w:tcPr>
            <w:tcW w:w="820" w:type="dxa"/>
            <w:shd w:val="clear" w:color="auto" w:fill="B6D5E4"/>
            <w:vAlign w:val="center"/>
            <w:hideMark/>
          </w:tcPr>
          <w:p w14:paraId="630F7827" w14:textId="77777777" w:rsidR="00FC0498" w:rsidRPr="00034E9B" w:rsidRDefault="00FC0498" w:rsidP="00FF6CBF">
            <w:pPr>
              <w:pStyle w:val="CGCTablesubhead1"/>
              <w:jc w:val="right"/>
              <w:rPr>
                <w:lang w:val="en-AU" w:eastAsia="en-AU"/>
              </w:rPr>
            </w:pPr>
            <w:r w:rsidRPr="00034E9B">
              <w:rPr>
                <w:lang w:val="en-AU" w:eastAsia="en-AU"/>
              </w:rPr>
              <w:t>$m</w:t>
            </w:r>
          </w:p>
        </w:tc>
        <w:tc>
          <w:tcPr>
            <w:tcW w:w="820" w:type="dxa"/>
            <w:shd w:val="clear" w:color="auto" w:fill="B6D5E4"/>
            <w:vAlign w:val="center"/>
            <w:hideMark/>
          </w:tcPr>
          <w:p w14:paraId="63816A13" w14:textId="77777777" w:rsidR="00FC0498" w:rsidRPr="00034E9B" w:rsidRDefault="00FC0498" w:rsidP="00FF6CBF">
            <w:pPr>
              <w:pStyle w:val="CGCTablesubhead1"/>
              <w:jc w:val="right"/>
              <w:rPr>
                <w:lang w:val="en-AU" w:eastAsia="en-AU"/>
              </w:rPr>
            </w:pPr>
            <w:r w:rsidRPr="00034E9B">
              <w:rPr>
                <w:lang w:val="en-AU" w:eastAsia="en-AU"/>
              </w:rPr>
              <w:t>$m</w:t>
            </w:r>
          </w:p>
        </w:tc>
        <w:tc>
          <w:tcPr>
            <w:tcW w:w="820" w:type="dxa"/>
            <w:shd w:val="clear" w:color="auto" w:fill="B6D5E4"/>
            <w:vAlign w:val="center"/>
            <w:hideMark/>
          </w:tcPr>
          <w:p w14:paraId="76CF490B" w14:textId="77777777" w:rsidR="00FC0498" w:rsidRPr="00034E9B" w:rsidRDefault="00FC0498" w:rsidP="00FF6CBF">
            <w:pPr>
              <w:pStyle w:val="CGCTablesubhead1"/>
              <w:jc w:val="right"/>
              <w:rPr>
                <w:lang w:val="en-AU" w:eastAsia="en-AU"/>
              </w:rPr>
            </w:pPr>
            <w:r w:rsidRPr="00034E9B">
              <w:rPr>
                <w:lang w:val="en-AU" w:eastAsia="en-AU"/>
              </w:rPr>
              <w:t>$m</w:t>
            </w:r>
          </w:p>
        </w:tc>
        <w:tc>
          <w:tcPr>
            <w:tcW w:w="700" w:type="dxa"/>
            <w:shd w:val="clear" w:color="auto" w:fill="B6D5E4"/>
            <w:vAlign w:val="center"/>
            <w:hideMark/>
          </w:tcPr>
          <w:p w14:paraId="09322BA7" w14:textId="77777777" w:rsidR="00FC0498" w:rsidRPr="00034E9B" w:rsidRDefault="00FC0498" w:rsidP="00FF6CBF">
            <w:pPr>
              <w:pStyle w:val="CGCTablesubhead1"/>
              <w:jc w:val="right"/>
              <w:rPr>
                <w:lang w:val="en-AU" w:eastAsia="en-AU"/>
              </w:rPr>
            </w:pPr>
            <w:r w:rsidRPr="00034E9B">
              <w:rPr>
                <w:lang w:val="en-AU" w:eastAsia="en-AU"/>
              </w:rPr>
              <w:t>$m</w:t>
            </w:r>
          </w:p>
        </w:tc>
        <w:tc>
          <w:tcPr>
            <w:tcW w:w="700" w:type="dxa"/>
            <w:shd w:val="clear" w:color="auto" w:fill="B6D5E4"/>
            <w:vAlign w:val="center"/>
            <w:hideMark/>
          </w:tcPr>
          <w:p w14:paraId="64C1547F" w14:textId="77777777" w:rsidR="00FC0498" w:rsidRPr="00034E9B" w:rsidRDefault="00FC0498" w:rsidP="00FF6CBF">
            <w:pPr>
              <w:pStyle w:val="CGCTablesubhead1"/>
              <w:jc w:val="right"/>
              <w:rPr>
                <w:lang w:val="en-AU" w:eastAsia="en-AU"/>
              </w:rPr>
            </w:pPr>
            <w:r w:rsidRPr="00034E9B">
              <w:rPr>
                <w:lang w:val="en-AU" w:eastAsia="en-AU"/>
              </w:rPr>
              <w:t>$m</w:t>
            </w:r>
          </w:p>
        </w:tc>
        <w:tc>
          <w:tcPr>
            <w:tcW w:w="700" w:type="dxa"/>
            <w:shd w:val="clear" w:color="auto" w:fill="B6D5E4"/>
            <w:vAlign w:val="center"/>
            <w:hideMark/>
          </w:tcPr>
          <w:p w14:paraId="67D37A21" w14:textId="77777777" w:rsidR="00FC0498" w:rsidRPr="00034E9B" w:rsidRDefault="00FC0498" w:rsidP="00FF6CBF">
            <w:pPr>
              <w:pStyle w:val="CGCTablesubhead1"/>
              <w:jc w:val="right"/>
              <w:rPr>
                <w:lang w:val="en-AU" w:eastAsia="en-AU"/>
              </w:rPr>
            </w:pPr>
            <w:r w:rsidRPr="00034E9B">
              <w:rPr>
                <w:lang w:val="en-AU" w:eastAsia="en-AU"/>
              </w:rPr>
              <w:t>$m</w:t>
            </w:r>
          </w:p>
        </w:tc>
        <w:tc>
          <w:tcPr>
            <w:tcW w:w="700" w:type="dxa"/>
            <w:shd w:val="clear" w:color="auto" w:fill="B6D5E4"/>
            <w:vAlign w:val="center"/>
            <w:hideMark/>
          </w:tcPr>
          <w:p w14:paraId="370136B4" w14:textId="77777777" w:rsidR="00FC0498" w:rsidRPr="00034E9B" w:rsidRDefault="00FC0498" w:rsidP="00FF6CBF">
            <w:pPr>
              <w:pStyle w:val="CGCTablesubhead1"/>
              <w:jc w:val="right"/>
              <w:rPr>
                <w:lang w:val="en-AU" w:eastAsia="en-AU"/>
              </w:rPr>
            </w:pPr>
            <w:r w:rsidRPr="00034E9B">
              <w:rPr>
                <w:lang w:val="en-AU" w:eastAsia="en-AU"/>
              </w:rPr>
              <w:t>$m</w:t>
            </w:r>
          </w:p>
        </w:tc>
        <w:tc>
          <w:tcPr>
            <w:tcW w:w="700" w:type="dxa"/>
            <w:shd w:val="clear" w:color="auto" w:fill="B6D5E4"/>
            <w:vAlign w:val="center"/>
            <w:hideMark/>
          </w:tcPr>
          <w:p w14:paraId="449C74C0" w14:textId="77777777" w:rsidR="00FC0498" w:rsidRPr="00034E9B" w:rsidRDefault="00FC0498" w:rsidP="00FF6CBF">
            <w:pPr>
              <w:pStyle w:val="CGCTablesubhead1"/>
              <w:jc w:val="right"/>
              <w:rPr>
                <w:lang w:val="en-AU" w:eastAsia="en-AU"/>
              </w:rPr>
            </w:pPr>
            <w:r w:rsidRPr="00034E9B">
              <w:rPr>
                <w:lang w:val="en-AU" w:eastAsia="en-AU"/>
              </w:rPr>
              <w:t>$m</w:t>
            </w:r>
          </w:p>
        </w:tc>
        <w:tc>
          <w:tcPr>
            <w:tcW w:w="820" w:type="dxa"/>
            <w:shd w:val="clear" w:color="auto" w:fill="B6D5E4"/>
            <w:vAlign w:val="center"/>
            <w:hideMark/>
          </w:tcPr>
          <w:p w14:paraId="4137D007" w14:textId="77777777" w:rsidR="00FC0498" w:rsidRPr="00034E9B" w:rsidRDefault="00FC0498" w:rsidP="00CB7BE6">
            <w:pPr>
              <w:pStyle w:val="CGCTablesubhead1"/>
              <w:jc w:val="right"/>
              <w:rPr>
                <w:lang w:val="en-AU" w:eastAsia="en-AU"/>
              </w:rPr>
            </w:pPr>
            <w:r w:rsidRPr="00034E9B">
              <w:rPr>
                <w:lang w:val="en-AU" w:eastAsia="en-AU"/>
              </w:rPr>
              <w:t>$m</w:t>
            </w:r>
          </w:p>
        </w:tc>
      </w:tr>
      <w:tr w:rsidR="00FC0498" w:rsidRPr="00034E9B" w14:paraId="20ACFF2E" w14:textId="77777777" w:rsidTr="00CB7BE6">
        <w:trPr>
          <w:trHeight w:val="315"/>
        </w:trPr>
        <w:tc>
          <w:tcPr>
            <w:tcW w:w="2160" w:type="dxa"/>
            <w:shd w:val="clear" w:color="auto" w:fill="auto"/>
            <w:vAlign w:val="bottom"/>
            <w:hideMark/>
          </w:tcPr>
          <w:p w14:paraId="18554349" w14:textId="77777777" w:rsidR="00FC0498" w:rsidRPr="00034E9B" w:rsidRDefault="00FC0498" w:rsidP="00FF6CBF">
            <w:pPr>
              <w:pStyle w:val="CGCTablerow"/>
              <w:rPr>
                <w:lang w:eastAsia="en-AU"/>
              </w:rPr>
            </w:pPr>
            <w:r w:rsidRPr="00034E9B">
              <w:rPr>
                <w:lang w:eastAsia="en-AU"/>
              </w:rPr>
              <w:t>Fiscal capacity</w:t>
            </w:r>
          </w:p>
        </w:tc>
        <w:tc>
          <w:tcPr>
            <w:tcW w:w="820" w:type="dxa"/>
            <w:shd w:val="clear" w:color="auto" w:fill="auto"/>
            <w:vAlign w:val="bottom"/>
            <w:hideMark/>
          </w:tcPr>
          <w:p w14:paraId="1A030736" w14:textId="77777777" w:rsidR="00FC0498" w:rsidRPr="00034E9B" w:rsidRDefault="00FC0498" w:rsidP="00FF6CBF">
            <w:pPr>
              <w:pStyle w:val="CGCTablerow"/>
              <w:jc w:val="right"/>
              <w:rPr>
                <w:lang w:eastAsia="en-AU"/>
              </w:rPr>
            </w:pPr>
            <w:bookmarkStart w:id="214" w:name="RANGE!B69:J72"/>
            <w:r w:rsidRPr="00034E9B">
              <w:rPr>
                <w:lang w:eastAsia="en-AU"/>
              </w:rPr>
              <w:t>-226</w:t>
            </w:r>
            <w:bookmarkEnd w:id="214"/>
          </w:p>
        </w:tc>
        <w:tc>
          <w:tcPr>
            <w:tcW w:w="820" w:type="dxa"/>
            <w:shd w:val="clear" w:color="auto" w:fill="auto"/>
            <w:vAlign w:val="bottom"/>
            <w:hideMark/>
          </w:tcPr>
          <w:p w14:paraId="0138653C" w14:textId="77777777" w:rsidR="00FC0498" w:rsidRPr="00034E9B" w:rsidRDefault="00FC0498" w:rsidP="00FF6CBF">
            <w:pPr>
              <w:pStyle w:val="CGCTablerow"/>
              <w:jc w:val="right"/>
              <w:rPr>
                <w:lang w:eastAsia="en-AU"/>
              </w:rPr>
            </w:pPr>
            <w:r w:rsidRPr="00034E9B">
              <w:rPr>
                <w:lang w:eastAsia="en-AU"/>
              </w:rPr>
              <w:t>-183</w:t>
            </w:r>
          </w:p>
        </w:tc>
        <w:tc>
          <w:tcPr>
            <w:tcW w:w="820" w:type="dxa"/>
            <w:shd w:val="clear" w:color="auto" w:fill="auto"/>
            <w:vAlign w:val="bottom"/>
            <w:hideMark/>
          </w:tcPr>
          <w:p w14:paraId="6B904E44" w14:textId="77777777" w:rsidR="00FC0498" w:rsidRPr="00034E9B" w:rsidRDefault="00FC0498" w:rsidP="00FF6CBF">
            <w:pPr>
              <w:pStyle w:val="CGCTablerow"/>
              <w:jc w:val="right"/>
              <w:rPr>
                <w:lang w:eastAsia="en-AU"/>
              </w:rPr>
            </w:pPr>
            <w:r w:rsidRPr="00034E9B">
              <w:rPr>
                <w:lang w:eastAsia="en-AU"/>
              </w:rPr>
              <w:t>181</w:t>
            </w:r>
          </w:p>
        </w:tc>
        <w:tc>
          <w:tcPr>
            <w:tcW w:w="700" w:type="dxa"/>
            <w:shd w:val="clear" w:color="auto" w:fill="auto"/>
            <w:vAlign w:val="bottom"/>
            <w:hideMark/>
          </w:tcPr>
          <w:p w14:paraId="1A176BA3" w14:textId="77777777" w:rsidR="00FC0498" w:rsidRPr="00034E9B" w:rsidRDefault="00FC0498" w:rsidP="00FF6CBF">
            <w:pPr>
              <w:pStyle w:val="CGCTablerow"/>
              <w:jc w:val="right"/>
              <w:rPr>
                <w:lang w:eastAsia="en-AU"/>
              </w:rPr>
            </w:pPr>
            <w:r w:rsidRPr="00034E9B">
              <w:rPr>
                <w:lang w:eastAsia="en-AU"/>
              </w:rPr>
              <w:t>248</w:t>
            </w:r>
          </w:p>
        </w:tc>
        <w:tc>
          <w:tcPr>
            <w:tcW w:w="700" w:type="dxa"/>
            <w:shd w:val="clear" w:color="auto" w:fill="auto"/>
            <w:vAlign w:val="bottom"/>
            <w:hideMark/>
          </w:tcPr>
          <w:p w14:paraId="0F88FEA5" w14:textId="77777777" w:rsidR="00FC0498" w:rsidRPr="00034E9B" w:rsidRDefault="00FC0498" w:rsidP="00FF6CBF">
            <w:pPr>
              <w:pStyle w:val="CGCTablerow"/>
              <w:jc w:val="right"/>
              <w:rPr>
                <w:lang w:eastAsia="en-AU"/>
              </w:rPr>
            </w:pPr>
            <w:r w:rsidRPr="00034E9B">
              <w:rPr>
                <w:lang w:eastAsia="en-AU"/>
              </w:rPr>
              <w:t>-97</w:t>
            </w:r>
          </w:p>
        </w:tc>
        <w:tc>
          <w:tcPr>
            <w:tcW w:w="700" w:type="dxa"/>
            <w:shd w:val="clear" w:color="auto" w:fill="auto"/>
            <w:vAlign w:val="bottom"/>
            <w:hideMark/>
          </w:tcPr>
          <w:p w14:paraId="159DBCC9" w14:textId="77777777" w:rsidR="00FC0498" w:rsidRPr="00034E9B" w:rsidRDefault="00FC0498" w:rsidP="00FF6CBF">
            <w:pPr>
              <w:pStyle w:val="CGCTablerow"/>
              <w:jc w:val="right"/>
              <w:rPr>
                <w:lang w:eastAsia="en-AU"/>
              </w:rPr>
            </w:pPr>
            <w:r w:rsidRPr="00034E9B">
              <w:rPr>
                <w:lang w:eastAsia="en-AU"/>
              </w:rPr>
              <w:t>-44</w:t>
            </w:r>
          </w:p>
        </w:tc>
        <w:tc>
          <w:tcPr>
            <w:tcW w:w="700" w:type="dxa"/>
            <w:shd w:val="clear" w:color="auto" w:fill="auto"/>
            <w:vAlign w:val="bottom"/>
            <w:hideMark/>
          </w:tcPr>
          <w:p w14:paraId="5F603160" w14:textId="77777777" w:rsidR="00FC0498" w:rsidRPr="00034E9B" w:rsidRDefault="00FC0498" w:rsidP="00FF6CBF">
            <w:pPr>
              <w:pStyle w:val="CGCTablerow"/>
              <w:jc w:val="right"/>
              <w:rPr>
                <w:lang w:eastAsia="en-AU"/>
              </w:rPr>
            </w:pPr>
            <w:r w:rsidRPr="00034E9B">
              <w:rPr>
                <w:lang w:eastAsia="en-AU"/>
              </w:rPr>
              <w:t>-11</w:t>
            </w:r>
          </w:p>
        </w:tc>
        <w:tc>
          <w:tcPr>
            <w:tcW w:w="700" w:type="dxa"/>
            <w:shd w:val="clear" w:color="auto" w:fill="auto"/>
            <w:vAlign w:val="bottom"/>
            <w:hideMark/>
          </w:tcPr>
          <w:p w14:paraId="08531F39" w14:textId="77777777" w:rsidR="00FC0498" w:rsidRPr="00034E9B" w:rsidRDefault="00FC0498" w:rsidP="00FF6CBF">
            <w:pPr>
              <w:pStyle w:val="CGCTablerow"/>
              <w:jc w:val="right"/>
              <w:rPr>
                <w:lang w:eastAsia="en-AU"/>
              </w:rPr>
            </w:pPr>
            <w:r w:rsidRPr="00034E9B">
              <w:rPr>
                <w:lang w:eastAsia="en-AU"/>
              </w:rPr>
              <w:t>131</w:t>
            </w:r>
          </w:p>
        </w:tc>
        <w:tc>
          <w:tcPr>
            <w:tcW w:w="820" w:type="dxa"/>
            <w:shd w:val="clear" w:color="auto" w:fill="auto"/>
            <w:vAlign w:val="bottom"/>
            <w:hideMark/>
          </w:tcPr>
          <w:p w14:paraId="77E17E08" w14:textId="77777777" w:rsidR="00FC0498" w:rsidRPr="00034E9B" w:rsidRDefault="00FC0498" w:rsidP="00CB7BE6">
            <w:pPr>
              <w:pStyle w:val="CGCTablerow"/>
              <w:jc w:val="right"/>
              <w:rPr>
                <w:lang w:eastAsia="en-AU"/>
              </w:rPr>
            </w:pPr>
            <w:r w:rsidRPr="00034E9B">
              <w:rPr>
                <w:lang w:eastAsia="en-AU"/>
              </w:rPr>
              <w:t>561</w:t>
            </w:r>
          </w:p>
        </w:tc>
      </w:tr>
      <w:tr w:rsidR="00FC0498" w:rsidRPr="00034E9B" w14:paraId="0F1AA3D3" w14:textId="77777777" w:rsidTr="00CB7BE6">
        <w:trPr>
          <w:trHeight w:val="315"/>
        </w:trPr>
        <w:tc>
          <w:tcPr>
            <w:tcW w:w="2160" w:type="dxa"/>
            <w:shd w:val="clear" w:color="auto" w:fill="auto"/>
            <w:vAlign w:val="bottom"/>
            <w:hideMark/>
          </w:tcPr>
          <w:p w14:paraId="27C64E5F" w14:textId="77777777" w:rsidR="00FC0498" w:rsidRPr="00034E9B" w:rsidRDefault="00FC0498" w:rsidP="00FF6CBF">
            <w:pPr>
              <w:pStyle w:val="CGCTablerow"/>
              <w:rPr>
                <w:lang w:eastAsia="en-AU"/>
              </w:rPr>
            </w:pPr>
            <w:r w:rsidRPr="00034E9B">
              <w:rPr>
                <w:lang w:eastAsia="en-AU"/>
              </w:rPr>
              <w:t>Transition</w:t>
            </w:r>
          </w:p>
        </w:tc>
        <w:tc>
          <w:tcPr>
            <w:tcW w:w="820" w:type="dxa"/>
            <w:shd w:val="clear" w:color="auto" w:fill="auto"/>
            <w:vAlign w:val="bottom"/>
            <w:hideMark/>
          </w:tcPr>
          <w:p w14:paraId="7DB95100" w14:textId="77777777" w:rsidR="00FC0498" w:rsidRPr="00034E9B" w:rsidRDefault="00FC0498" w:rsidP="00FF6CBF">
            <w:pPr>
              <w:pStyle w:val="CGCTablerow"/>
              <w:jc w:val="right"/>
              <w:rPr>
                <w:lang w:eastAsia="en-AU"/>
              </w:rPr>
            </w:pPr>
            <w:r w:rsidRPr="00034E9B">
              <w:rPr>
                <w:lang w:eastAsia="en-AU"/>
              </w:rPr>
              <w:t>-38</w:t>
            </w:r>
          </w:p>
        </w:tc>
        <w:tc>
          <w:tcPr>
            <w:tcW w:w="820" w:type="dxa"/>
            <w:shd w:val="clear" w:color="auto" w:fill="auto"/>
            <w:vAlign w:val="bottom"/>
            <w:hideMark/>
          </w:tcPr>
          <w:p w14:paraId="49655992" w14:textId="77777777" w:rsidR="00FC0498" w:rsidRPr="00034E9B" w:rsidRDefault="00FC0498" w:rsidP="00FF6CBF">
            <w:pPr>
              <w:pStyle w:val="CGCTablerow"/>
              <w:jc w:val="right"/>
              <w:rPr>
                <w:lang w:eastAsia="en-AU"/>
              </w:rPr>
            </w:pPr>
            <w:r w:rsidRPr="00034E9B">
              <w:rPr>
                <w:lang w:eastAsia="en-AU"/>
              </w:rPr>
              <w:t>-36</w:t>
            </w:r>
          </w:p>
        </w:tc>
        <w:tc>
          <w:tcPr>
            <w:tcW w:w="820" w:type="dxa"/>
            <w:shd w:val="clear" w:color="auto" w:fill="auto"/>
            <w:vAlign w:val="bottom"/>
            <w:hideMark/>
          </w:tcPr>
          <w:p w14:paraId="502A1785" w14:textId="77777777" w:rsidR="00FC0498" w:rsidRPr="00034E9B" w:rsidRDefault="00FC0498" w:rsidP="00FF6CBF">
            <w:pPr>
              <w:pStyle w:val="CGCTablerow"/>
              <w:jc w:val="right"/>
              <w:rPr>
                <w:lang w:eastAsia="en-AU"/>
              </w:rPr>
            </w:pPr>
            <w:r w:rsidRPr="00034E9B">
              <w:rPr>
                <w:lang w:eastAsia="en-AU"/>
              </w:rPr>
              <w:t>-34</w:t>
            </w:r>
          </w:p>
        </w:tc>
        <w:tc>
          <w:tcPr>
            <w:tcW w:w="700" w:type="dxa"/>
            <w:shd w:val="clear" w:color="auto" w:fill="auto"/>
            <w:vAlign w:val="bottom"/>
            <w:hideMark/>
          </w:tcPr>
          <w:p w14:paraId="79D52F37" w14:textId="77777777" w:rsidR="00FC0498" w:rsidRPr="00034E9B" w:rsidRDefault="00FC0498" w:rsidP="00FF6CBF">
            <w:pPr>
              <w:pStyle w:val="CGCTablerow"/>
              <w:jc w:val="right"/>
              <w:rPr>
                <w:lang w:eastAsia="en-AU"/>
              </w:rPr>
            </w:pPr>
            <w:r w:rsidRPr="00034E9B">
              <w:rPr>
                <w:lang w:eastAsia="en-AU"/>
              </w:rPr>
              <w:t>136</w:t>
            </w:r>
          </w:p>
        </w:tc>
        <w:tc>
          <w:tcPr>
            <w:tcW w:w="700" w:type="dxa"/>
            <w:shd w:val="clear" w:color="auto" w:fill="auto"/>
            <w:vAlign w:val="bottom"/>
            <w:hideMark/>
          </w:tcPr>
          <w:p w14:paraId="02815263" w14:textId="77777777" w:rsidR="00FC0498" w:rsidRPr="00034E9B" w:rsidRDefault="00FC0498" w:rsidP="00FF6CBF">
            <w:pPr>
              <w:pStyle w:val="CGCTablerow"/>
              <w:jc w:val="right"/>
              <w:rPr>
                <w:lang w:eastAsia="en-AU"/>
              </w:rPr>
            </w:pPr>
            <w:r w:rsidRPr="00034E9B">
              <w:rPr>
                <w:lang w:eastAsia="en-AU"/>
              </w:rPr>
              <w:t>-14</w:t>
            </w:r>
          </w:p>
        </w:tc>
        <w:tc>
          <w:tcPr>
            <w:tcW w:w="700" w:type="dxa"/>
            <w:shd w:val="clear" w:color="auto" w:fill="auto"/>
            <w:vAlign w:val="bottom"/>
            <w:hideMark/>
          </w:tcPr>
          <w:p w14:paraId="364247C1" w14:textId="77777777" w:rsidR="00FC0498" w:rsidRPr="00034E9B" w:rsidRDefault="00FC0498" w:rsidP="00FF6CBF">
            <w:pPr>
              <w:pStyle w:val="CGCTablerow"/>
              <w:jc w:val="right"/>
              <w:rPr>
                <w:lang w:eastAsia="en-AU"/>
              </w:rPr>
            </w:pPr>
            <w:r w:rsidRPr="00034E9B">
              <w:rPr>
                <w:lang w:eastAsia="en-AU"/>
              </w:rPr>
              <w:t>-5</w:t>
            </w:r>
          </w:p>
        </w:tc>
        <w:tc>
          <w:tcPr>
            <w:tcW w:w="700" w:type="dxa"/>
            <w:shd w:val="clear" w:color="auto" w:fill="auto"/>
            <w:vAlign w:val="bottom"/>
            <w:hideMark/>
          </w:tcPr>
          <w:p w14:paraId="27C77BE7" w14:textId="77777777" w:rsidR="00FC0498" w:rsidRPr="00034E9B" w:rsidRDefault="00FC0498" w:rsidP="00FF6CBF">
            <w:pPr>
              <w:pStyle w:val="CGCTablerow"/>
              <w:jc w:val="right"/>
              <w:rPr>
                <w:lang w:eastAsia="en-AU"/>
              </w:rPr>
            </w:pPr>
            <w:r w:rsidRPr="00034E9B">
              <w:rPr>
                <w:lang w:eastAsia="en-AU"/>
              </w:rPr>
              <w:t>-3</w:t>
            </w:r>
          </w:p>
        </w:tc>
        <w:tc>
          <w:tcPr>
            <w:tcW w:w="700" w:type="dxa"/>
            <w:shd w:val="clear" w:color="auto" w:fill="auto"/>
            <w:vAlign w:val="bottom"/>
            <w:hideMark/>
          </w:tcPr>
          <w:p w14:paraId="2AE90DA8" w14:textId="77777777" w:rsidR="00FC0498" w:rsidRPr="00034E9B" w:rsidRDefault="00FC0498" w:rsidP="00FF6CBF">
            <w:pPr>
              <w:pStyle w:val="CGCTablerow"/>
              <w:jc w:val="right"/>
              <w:rPr>
                <w:lang w:eastAsia="en-AU"/>
              </w:rPr>
            </w:pPr>
            <w:r w:rsidRPr="00034E9B">
              <w:rPr>
                <w:lang w:eastAsia="en-AU"/>
              </w:rPr>
              <w:t>-7</w:t>
            </w:r>
          </w:p>
        </w:tc>
        <w:tc>
          <w:tcPr>
            <w:tcW w:w="820" w:type="dxa"/>
            <w:shd w:val="clear" w:color="auto" w:fill="auto"/>
            <w:vAlign w:val="bottom"/>
            <w:hideMark/>
          </w:tcPr>
          <w:p w14:paraId="49BDBD79" w14:textId="77777777" w:rsidR="00FC0498" w:rsidRPr="00034E9B" w:rsidRDefault="00FC0498" w:rsidP="00CB7BE6">
            <w:pPr>
              <w:pStyle w:val="CGCTablerow"/>
              <w:jc w:val="right"/>
              <w:rPr>
                <w:lang w:eastAsia="en-AU"/>
              </w:rPr>
            </w:pPr>
            <w:r w:rsidRPr="00034E9B">
              <w:rPr>
                <w:lang w:eastAsia="en-AU"/>
              </w:rPr>
              <w:t>0</w:t>
            </w:r>
          </w:p>
        </w:tc>
      </w:tr>
      <w:tr w:rsidR="00FC0498" w:rsidRPr="00034E9B" w14:paraId="6D40EA9D" w14:textId="77777777" w:rsidTr="00CB7BE6">
        <w:trPr>
          <w:trHeight w:val="315"/>
        </w:trPr>
        <w:tc>
          <w:tcPr>
            <w:tcW w:w="2160" w:type="dxa"/>
            <w:shd w:val="clear" w:color="auto" w:fill="auto"/>
            <w:vAlign w:val="bottom"/>
            <w:hideMark/>
          </w:tcPr>
          <w:p w14:paraId="0C0B9977" w14:textId="77777777" w:rsidR="00FC0498" w:rsidRPr="00034E9B" w:rsidRDefault="00FC0498" w:rsidP="00FF6CBF">
            <w:pPr>
              <w:pStyle w:val="CGCTablerow"/>
              <w:rPr>
                <w:lang w:eastAsia="en-AU"/>
              </w:rPr>
            </w:pPr>
            <w:r w:rsidRPr="00034E9B">
              <w:rPr>
                <w:lang w:eastAsia="en-AU"/>
              </w:rPr>
              <w:t>Implement floor (if req.)</w:t>
            </w:r>
          </w:p>
        </w:tc>
        <w:tc>
          <w:tcPr>
            <w:tcW w:w="820" w:type="dxa"/>
            <w:shd w:val="clear" w:color="auto" w:fill="auto"/>
            <w:vAlign w:val="bottom"/>
            <w:hideMark/>
          </w:tcPr>
          <w:p w14:paraId="340B2C78" w14:textId="77777777" w:rsidR="00FC0498" w:rsidRPr="00034E9B" w:rsidRDefault="00FC0498" w:rsidP="00FF6CBF">
            <w:pPr>
              <w:pStyle w:val="CGCTablerow"/>
              <w:jc w:val="right"/>
              <w:rPr>
                <w:lang w:eastAsia="en-AU"/>
              </w:rPr>
            </w:pPr>
            <w:r w:rsidRPr="00034E9B">
              <w:rPr>
                <w:lang w:eastAsia="en-AU"/>
              </w:rPr>
              <w:t>0</w:t>
            </w:r>
          </w:p>
        </w:tc>
        <w:tc>
          <w:tcPr>
            <w:tcW w:w="820" w:type="dxa"/>
            <w:shd w:val="clear" w:color="auto" w:fill="auto"/>
            <w:vAlign w:val="bottom"/>
            <w:hideMark/>
          </w:tcPr>
          <w:p w14:paraId="2BB5C0F3" w14:textId="77777777" w:rsidR="00FC0498" w:rsidRPr="00034E9B" w:rsidRDefault="00FC0498" w:rsidP="00FF6CBF">
            <w:pPr>
              <w:pStyle w:val="CGCTablerow"/>
              <w:jc w:val="right"/>
              <w:rPr>
                <w:lang w:eastAsia="en-AU"/>
              </w:rPr>
            </w:pPr>
            <w:r w:rsidRPr="00034E9B">
              <w:rPr>
                <w:lang w:eastAsia="en-AU"/>
              </w:rPr>
              <w:t>0</w:t>
            </w:r>
          </w:p>
        </w:tc>
        <w:tc>
          <w:tcPr>
            <w:tcW w:w="820" w:type="dxa"/>
            <w:shd w:val="clear" w:color="auto" w:fill="auto"/>
            <w:vAlign w:val="bottom"/>
            <w:hideMark/>
          </w:tcPr>
          <w:p w14:paraId="76B7FD72" w14:textId="77777777" w:rsidR="00FC0498" w:rsidRPr="00034E9B" w:rsidRDefault="00FC0498" w:rsidP="00FF6CBF">
            <w:pPr>
              <w:pStyle w:val="CGCTablerow"/>
              <w:jc w:val="right"/>
              <w:rPr>
                <w:lang w:eastAsia="en-AU"/>
              </w:rPr>
            </w:pPr>
            <w:r w:rsidRPr="00034E9B">
              <w:rPr>
                <w:lang w:eastAsia="en-AU"/>
              </w:rPr>
              <w:t>0</w:t>
            </w:r>
          </w:p>
        </w:tc>
        <w:tc>
          <w:tcPr>
            <w:tcW w:w="700" w:type="dxa"/>
            <w:shd w:val="clear" w:color="auto" w:fill="auto"/>
            <w:vAlign w:val="bottom"/>
            <w:hideMark/>
          </w:tcPr>
          <w:p w14:paraId="0B82F015" w14:textId="77777777" w:rsidR="00FC0498" w:rsidRPr="00034E9B" w:rsidRDefault="00FC0498" w:rsidP="00FF6CBF">
            <w:pPr>
              <w:pStyle w:val="CGCTablerow"/>
              <w:jc w:val="right"/>
              <w:rPr>
                <w:lang w:eastAsia="en-AU"/>
              </w:rPr>
            </w:pPr>
            <w:r w:rsidRPr="00034E9B">
              <w:rPr>
                <w:lang w:eastAsia="en-AU"/>
              </w:rPr>
              <w:t>0</w:t>
            </w:r>
          </w:p>
        </w:tc>
        <w:tc>
          <w:tcPr>
            <w:tcW w:w="700" w:type="dxa"/>
            <w:shd w:val="clear" w:color="auto" w:fill="auto"/>
            <w:vAlign w:val="bottom"/>
            <w:hideMark/>
          </w:tcPr>
          <w:p w14:paraId="39411E3C" w14:textId="77777777" w:rsidR="00FC0498" w:rsidRPr="00034E9B" w:rsidRDefault="00FC0498" w:rsidP="00FF6CBF">
            <w:pPr>
              <w:pStyle w:val="CGCTablerow"/>
              <w:jc w:val="right"/>
              <w:rPr>
                <w:lang w:eastAsia="en-AU"/>
              </w:rPr>
            </w:pPr>
            <w:r w:rsidRPr="00034E9B">
              <w:rPr>
                <w:lang w:eastAsia="en-AU"/>
              </w:rPr>
              <w:t>0</w:t>
            </w:r>
          </w:p>
        </w:tc>
        <w:tc>
          <w:tcPr>
            <w:tcW w:w="700" w:type="dxa"/>
            <w:shd w:val="clear" w:color="auto" w:fill="auto"/>
            <w:vAlign w:val="bottom"/>
            <w:hideMark/>
          </w:tcPr>
          <w:p w14:paraId="1231BE03" w14:textId="77777777" w:rsidR="00FC0498" w:rsidRPr="00034E9B" w:rsidRDefault="00FC0498" w:rsidP="00FF6CBF">
            <w:pPr>
              <w:pStyle w:val="CGCTablerow"/>
              <w:jc w:val="right"/>
              <w:rPr>
                <w:lang w:eastAsia="en-AU"/>
              </w:rPr>
            </w:pPr>
            <w:r w:rsidRPr="00034E9B">
              <w:rPr>
                <w:lang w:eastAsia="en-AU"/>
              </w:rPr>
              <w:t>0</w:t>
            </w:r>
          </w:p>
        </w:tc>
        <w:tc>
          <w:tcPr>
            <w:tcW w:w="700" w:type="dxa"/>
            <w:shd w:val="clear" w:color="auto" w:fill="auto"/>
            <w:vAlign w:val="bottom"/>
            <w:hideMark/>
          </w:tcPr>
          <w:p w14:paraId="1953473E" w14:textId="77777777" w:rsidR="00FC0498" w:rsidRPr="00034E9B" w:rsidRDefault="00FC0498" w:rsidP="00FF6CBF">
            <w:pPr>
              <w:pStyle w:val="CGCTablerow"/>
              <w:jc w:val="right"/>
              <w:rPr>
                <w:lang w:eastAsia="en-AU"/>
              </w:rPr>
            </w:pPr>
            <w:r w:rsidRPr="00034E9B">
              <w:rPr>
                <w:lang w:eastAsia="en-AU"/>
              </w:rPr>
              <w:t>0</w:t>
            </w:r>
          </w:p>
        </w:tc>
        <w:tc>
          <w:tcPr>
            <w:tcW w:w="700" w:type="dxa"/>
            <w:shd w:val="clear" w:color="auto" w:fill="auto"/>
            <w:vAlign w:val="bottom"/>
            <w:hideMark/>
          </w:tcPr>
          <w:p w14:paraId="2AE0DA4F" w14:textId="77777777" w:rsidR="00FC0498" w:rsidRPr="00034E9B" w:rsidRDefault="00FC0498" w:rsidP="00FF6CBF">
            <w:pPr>
              <w:pStyle w:val="CGCTablerow"/>
              <w:jc w:val="right"/>
              <w:rPr>
                <w:lang w:eastAsia="en-AU"/>
              </w:rPr>
            </w:pPr>
            <w:r w:rsidRPr="00034E9B">
              <w:rPr>
                <w:lang w:eastAsia="en-AU"/>
              </w:rPr>
              <w:t>0</w:t>
            </w:r>
          </w:p>
        </w:tc>
        <w:tc>
          <w:tcPr>
            <w:tcW w:w="820" w:type="dxa"/>
            <w:shd w:val="clear" w:color="auto" w:fill="auto"/>
            <w:vAlign w:val="bottom"/>
            <w:hideMark/>
          </w:tcPr>
          <w:p w14:paraId="0F23D8CD" w14:textId="77777777" w:rsidR="00FC0498" w:rsidRPr="00034E9B" w:rsidRDefault="00FC0498" w:rsidP="00CB7BE6">
            <w:pPr>
              <w:pStyle w:val="CGCTablerow"/>
              <w:jc w:val="right"/>
              <w:rPr>
                <w:lang w:eastAsia="en-AU"/>
              </w:rPr>
            </w:pPr>
            <w:r w:rsidRPr="00034E9B">
              <w:rPr>
                <w:lang w:eastAsia="en-AU"/>
              </w:rPr>
              <w:t>0</w:t>
            </w:r>
          </w:p>
        </w:tc>
      </w:tr>
      <w:tr w:rsidR="00FC0498" w:rsidRPr="00034E9B" w14:paraId="660A262F" w14:textId="77777777" w:rsidTr="00CB7BE6">
        <w:trPr>
          <w:trHeight w:val="315"/>
        </w:trPr>
        <w:tc>
          <w:tcPr>
            <w:tcW w:w="2160" w:type="dxa"/>
            <w:shd w:val="clear" w:color="auto" w:fill="auto"/>
            <w:vAlign w:val="bottom"/>
            <w:hideMark/>
          </w:tcPr>
          <w:p w14:paraId="6E758770" w14:textId="77777777" w:rsidR="00FC0498" w:rsidRPr="00034E9B" w:rsidRDefault="00FC0498" w:rsidP="00FF6CBF">
            <w:pPr>
              <w:pStyle w:val="CGCTablerow"/>
              <w:rPr>
                <w:lang w:eastAsia="en-AU"/>
              </w:rPr>
            </w:pPr>
            <w:r w:rsidRPr="00034E9B">
              <w:rPr>
                <w:lang w:eastAsia="en-AU"/>
              </w:rPr>
              <w:t>Total change</w:t>
            </w:r>
          </w:p>
        </w:tc>
        <w:tc>
          <w:tcPr>
            <w:tcW w:w="820" w:type="dxa"/>
            <w:shd w:val="clear" w:color="auto" w:fill="auto"/>
            <w:vAlign w:val="bottom"/>
            <w:hideMark/>
          </w:tcPr>
          <w:p w14:paraId="2DD9BE03" w14:textId="77777777" w:rsidR="00FC0498" w:rsidRPr="00034E9B" w:rsidRDefault="00FC0498" w:rsidP="00FF6CBF">
            <w:pPr>
              <w:pStyle w:val="CGCTablerow"/>
              <w:jc w:val="right"/>
              <w:rPr>
                <w:lang w:eastAsia="en-AU"/>
              </w:rPr>
            </w:pPr>
            <w:r w:rsidRPr="00034E9B">
              <w:rPr>
                <w:lang w:eastAsia="en-AU"/>
              </w:rPr>
              <w:t>-263</w:t>
            </w:r>
          </w:p>
        </w:tc>
        <w:tc>
          <w:tcPr>
            <w:tcW w:w="820" w:type="dxa"/>
            <w:shd w:val="clear" w:color="auto" w:fill="auto"/>
            <w:vAlign w:val="bottom"/>
            <w:hideMark/>
          </w:tcPr>
          <w:p w14:paraId="155B4957" w14:textId="77777777" w:rsidR="00FC0498" w:rsidRPr="00034E9B" w:rsidRDefault="00FC0498" w:rsidP="00FF6CBF">
            <w:pPr>
              <w:pStyle w:val="CGCTablerow"/>
              <w:jc w:val="right"/>
              <w:rPr>
                <w:lang w:eastAsia="en-AU"/>
              </w:rPr>
            </w:pPr>
            <w:r w:rsidRPr="00034E9B">
              <w:rPr>
                <w:lang w:eastAsia="en-AU"/>
              </w:rPr>
              <w:t>-218</w:t>
            </w:r>
          </w:p>
        </w:tc>
        <w:tc>
          <w:tcPr>
            <w:tcW w:w="820" w:type="dxa"/>
            <w:shd w:val="clear" w:color="auto" w:fill="auto"/>
            <w:vAlign w:val="bottom"/>
            <w:hideMark/>
          </w:tcPr>
          <w:p w14:paraId="6A1956AF" w14:textId="77777777" w:rsidR="00FC0498" w:rsidRPr="00034E9B" w:rsidRDefault="00FC0498" w:rsidP="00FF6CBF">
            <w:pPr>
              <w:pStyle w:val="CGCTablerow"/>
              <w:jc w:val="right"/>
              <w:rPr>
                <w:lang w:eastAsia="en-AU"/>
              </w:rPr>
            </w:pPr>
            <w:r w:rsidRPr="00034E9B">
              <w:rPr>
                <w:lang w:eastAsia="en-AU"/>
              </w:rPr>
              <w:t>146</w:t>
            </w:r>
          </w:p>
        </w:tc>
        <w:tc>
          <w:tcPr>
            <w:tcW w:w="700" w:type="dxa"/>
            <w:shd w:val="clear" w:color="auto" w:fill="auto"/>
            <w:vAlign w:val="bottom"/>
            <w:hideMark/>
          </w:tcPr>
          <w:p w14:paraId="691F6DBC" w14:textId="77777777" w:rsidR="00FC0498" w:rsidRPr="00034E9B" w:rsidRDefault="00FC0498" w:rsidP="00FF6CBF">
            <w:pPr>
              <w:pStyle w:val="CGCTablerow"/>
              <w:jc w:val="right"/>
              <w:rPr>
                <w:lang w:eastAsia="en-AU"/>
              </w:rPr>
            </w:pPr>
            <w:r w:rsidRPr="00034E9B">
              <w:rPr>
                <w:lang w:eastAsia="en-AU"/>
              </w:rPr>
              <w:t>385</w:t>
            </w:r>
          </w:p>
        </w:tc>
        <w:tc>
          <w:tcPr>
            <w:tcW w:w="700" w:type="dxa"/>
            <w:shd w:val="clear" w:color="auto" w:fill="auto"/>
            <w:vAlign w:val="bottom"/>
            <w:hideMark/>
          </w:tcPr>
          <w:p w14:paraId="75C1B04B" w14:textId="77777777" w:rsidR="00FC0498" w:rsidRPr="00034E9B" w:rsidRDefault="00FC0498" w:rsidP="00FF6CBF">
            <w:pPr>
              <w:pStyle w:val="CGCTablerow"/>
              <w:jc w:val="right"/>
              <w:rPr>
                <w:lang w:eastAsia="en-AU"/>
              </w:rPr>
            </w:pPr>
            <w:r w:rsidRPr="00034E9B">
              <w:rPr>
                <w:lang w:eastAsia="en-AU"/>
              </w:rPr>
              <w:t>-110</w:t>
            </w:r>
          </w:p>
        </w:tc>
        <w:tc>
          <w:tcPr>
            <w:tcW w:w="700" w:type="dxa"/>
            <w:shd w:val="clear" w:color="auto" w:fill="auto"/>
            <w:vAlign w:val="bottom"/>
            <w:hideMark/>
          </w:tcPr>
          <w:p w14:paraId="229515C6" w14:textId="77777777" w:rsidR="00FC0498" w:rsidRPr="00034E9B" w:rsidRDefault="00FC0498" w:rsidP="00FF6CBF">
            <w:pPr>
              <w:pStyle w:val="CGCTablerow"/>
              <w:jc w:val="right"/>
              <w:rPr>
                <w:lang w:eastAsia="en-AU"/>
              </w:rPr>
            </w:pPr>
            <w:r w:rsidRPr="00034E9B">
              <w:rPr>
                <w:lang w:eastAsia="en-AU"/>
              </w:rPr>
              <w:t>-49</w:t>
            </w:r>
          </w:p>
        </w:tc>
        <w:tc>
          <w:tcPr>
            <w:tcW w:w="700" w:type="dxa"/>
            <w:shd w:val="clear" w:color="auto" w:fill="auto"/>
            <w:vAlign w:val="bottom"/>
            <w:hideMark/>
          </w:tcPr>
          <w:p w14:paraId="4C710F64" w14:textId="77777777" w:rsidR="00FC0498" w:rsidRPr="00034E9B" w:rsidRDefault="00FC0498" w:rsidP="00FF6CBF">
            <w:pPr>
              <w:pStyle w:val="CGCTablerow"/>
              <w:jc w:val="right"/>
              <w:rPr>
                <w:lang w:eastAsia="en-AU"/>
              </w:rPr>
            </w:pPr>
            <w:r w:rsidRPr="00034E9B">
              <w:rPr>
                <w:lang w:eastAsia="en-AU"/>
              </w:rPr>
              <w:t>-14</w:t>
            </w:r>
          </w:p>
        </w:tc>
        <w:tc>
          <w:tcPr>
            <w:tcW w:w="700" w:type="dxa"/>
            <w:shd w:val="clear" w:color="auto" w:fill="auto"/>
            <w:vAlign w:val="bottom"/>
            <w:hideMark/>
          </w:tcPr>
          <w:p w14:paraId="28684D97" w14:textId="77777777" w:rsidR="00FC0498" w:rsidRPr="00034E9B" w:rsidRDefault="00FC0498" w:rsidP="00FF6CBF">
            <w:pPr>
              <w:pStyle w:val="CGCTablerow"/>
              <w:jc w:val="right"/>
              <w:rPr>
                <w:lang w:eastAsia="en-AU"/>
              </w:rPr>
            </w:pPr>
            <w:r w:rsidRPr="00034E9B">
              <w:rPr>
                <w:lang w:eastAsia="en-AU"/>
              </w:rPr>
              <w:t>124</w:t>
            </w:r>
          </w:p>
        </w:tc>
        <w:tc>
          <w:tcPr>
            <w:tcW w:w="820" w:type="dxa"/>
            <w:shd w:val="clear" w:color="auto" w:fill="auto"/>
            <w:vAlign w:val="bottom"/>
            <w:hideMark/>
          </w:tcPr>
          <w:p w14:paraId="447560AA" w14:textId="77777777" w:rsidR="00FC0498" w:rsidRPr="00034E9B" w:rsidRDefault="00FC0498" w:rsidP="00CB7BE6">
            <w:pPr>
              <w:pStyle w:val="CGCTablerow"/>
              <w:jc w:val="right"/>
              <w:rPr>
                <w:lang w:eastAsia="en-AU"/>
              </w:rPr>
            </w:pPr>
            <w:r w:rsidRPr="00034E9B">
              <w:rPr>
                <w:lang w:eastAsia="en-AU"/>
              </w:rPr>
              <w:t>655</w:t>
            </w:r>
          </w:p>
        </w:tc>
      </w:tr>
    </w:tbl>
    <w:p w14:paraId="2E67BD68" w14:textId="77777777" w:rsidR="00FC0498" w:rsidRPr="00034E9B" w:rsidRDefault="00FC0498" w:rsidP="00FC0498">
      <w:pPr>
        <w:pStyle w:val="CGCTablenote"/>
      </w:pPr>
      <w:r w:rsidRPr="00034E9B">
        <w:t>Note:</w:t>
      </w:r>
      <w:r w:rsidRPr="00034E9B">
        <w:tab/>
        <w:t>For illustrative purposes only.</w:t>
      </w:r>
    </w:p>
    <w:p w14:paraId="5CD9FA93" w14:textId="1C0E18E0" w:rsidR="00FC0498" w:rsidRPr="00034E9B" w:rsidRDefault="00FC0498" w:rsidP="00FC0498">
      <w:pPr>
        <w:pStyle w:val="Heading3"/>
      </w:pPr>
      <w:bookmarkStart w:id="215" w:name="_Ref473625499"/>
      <w:bookmarkStart w:id="216" w:name="_Toc474923752"/>
      <w:bookmarkStart w:id="217" w:name="_Toc505872177"/>
      <w:bookmarkStart w:id="218" w:name="_Toc536519628"/>
      <w:bookmarkStart w:id="219" w:name="_Toc536631338"/>
      <w:bookmarkStart w:id="220" w:name="_Toc536803172"/>
      <w:bookmarkStart w:id="221" w:name="_Toc536803260"/>
      <w:bookmarkStart w:id="222" w:name="_Toc536803597"/>
      <w:bookmarkStart w:id="223" w:name="_Toc174382"/>
      <w:bookmarkStart w:id="224" w:name="_Toc1115140"/>
      <w:bookmarkStart w:id="225" w:name="_Toc26890334"/>
      <w:bookmarkStart w:id="226" w:name="_Toc33545899"/>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034E9B">
        <w:t>Chapter 2: Changes since the 2019 Update</w:t>
      </w:r>
      <w:bookmarkEnd w:id="215"/>
      <w:bookmarkEnd w:id="216"/>
      <w:bookmarkEnd w:id="217"/>
      <w:bookmarkEnd w:id="218"/>
      <w:bookmarkEnd w:id="219"/>
      <w:bookmarkEnd w:id="220"/>
      <w:bookmarkEnd w:id="221"/>
      <w:bookmarkEnd w:id="222"/>
      <w:bookmarkEnd w:id="223"/>
      <w:bookmarkEnd w:id="224"/>
      <w:bookmarkEnd w:id="225"/>
      <w:bookmarkEnd w:id="226"/>
    </w:p>
    <w:p w14:paraId="316EB14B" w14:textId="77777777" w:rsidR="00FC0498" w:rsidRPr="00034E9B" w:rsidRDefault="00FC0498" w:rsidP="00FC0498">
      <w:pPr>
        <w:pStyle w:val="CGCParaNumber"/>
        <w:numPr>
          <w:ilvl w:val="0"/>
          <w:numId w:val="26"/>
        </w:numPr>
        <w:ind w:left="567" w:hanging="567"/>
        <w:rPr>
          <w:lang w:val="en-AU"/>
        </w:rPr>
      </w:pPr>
      <w:r w:rsidRPr="00034E9B">
        <w:rPr>
          <w:lang w:val="en-AU"/>
        </w:rPr>
        <w:t xml:space="preserve">Tables in this chapter describing the changes in fiscal capacities would not change. </w:t>
      </w:r>
    </w:p>
    <w:p w14:paraId="7E94668E" w14:textId="347BF047" w:rsidR="00FC0498" w:rsidRPr="00034E9B" w:rsidRDefault="00FC0498" w:rsidP="00FC0498">
      <w:pPr>
        <w:pStyle w:val="Heading3"/>
      </w:pPr>
      <w:bookmarkStart w:id="227" w:name="_Toc33545900"/>
      <w:r w:rsidRPr="00034E9B">
        <w:t>Chapter 3: State by State changes</w:t>
      </w:r>
      <w:bookmarkEnd w:id="227"/>
    </w:p>
    <w:p w14:paraId="1E2F4D66" w14:textId="77777777" w:rsidR="00FC0498" w:rsidRPr="00034E9B" w:rsidRDefault="00FC0498" w:rsidP="00FC0498">
      <w:pPr>
        <w:pStyle w:val="CGCParaNumber"/>
        <w:numPr>
          <w:ilvl w:val="0"/>
          <w:numId w:val="26"/>
        </w:numPr>
        <w:ind w:left="567" w:hanging="567"/>
        <w:rPr>
          <w:lang w:val="en-AU"/>
        </w:rPr>
      </w:pPr>
      <w:r w:rsidRPr="00034E9B">
        <w:rPr>
          <w:lang w:val="en-AU"/>
        </w:rPr>
        <w:t xml:space="preserve">The State specific main changes tables would remain unchanged. They would continue to show the disabilities having the largest effects on State fiscal capacities, in application year dollars. </w:t>
      </w:r>
    </w:p>
    <w:p w14:paraId="17B9069E" w14:textId="5DE799B4" w:rsidR="00FC0498" w:rsidRPr="00034E9B" w:rsidRDefault="00FC0498" w:rsidP="00FC0498">
      <w:pPr>
        <w:pStyle w:val="Heading3"/>
      </w:pPr>
      <w:bookmarkStart w:id="228" w:name="_Toc26890335"/>
      <w:bookmarkStart w:id="229" w:name="_Toc33545901"/>
      <w:r w:rsidRPr="00034E9B">
        <w:t>Chapter 4: Why State relative fiscal capacities differ</w:t>
      </w:r>
      <w:bookmarkEnd w:id="228"/>
      <w:bookmarkEnd w:id="229"/>
    </w:p>
    <w:p w14:paraId="303F9698" w14:textId="0796176D" w:rsidR="00FC0498" w:rsidRPr="00034E9B" w:rsidRDefault="00FC0498" w:rsidP="00FC0498">
      <w:pPr>
        <w:pStyle w:val="CGCParaNumber"/>
        <w:numPr>
          <w:ilvl w:val="0"/>
          <w:numId w:val="26"/>
        </w:numPr>
        <w:ind w:left="567" w:hanging="567"/>
        <w:rPr>
          <w:lang w:val="en-AU"/>
        </w:rPr>
      </w:pPr>
      <w:r w:rsidRPr="00034E9B">
        <w:rPr>
          <w:lang w:val="en-AU"/>
        </w:rPr>
        <w:t>Tables describing why State relative fiscal capacities differ would not change. The analysis on drivers of difference from an EPC grant distribution, in addition to the fiscal capacity effects, will have additional lines, not included in previous update reports</w:t>
      </w:r>
      <w:r w:rsidR="00272F6C">
        <w:rPr>
          <w:lang w:val="en-AU"/>
        </w:rPr>
        <w:t>, to quantify the effects flow</w:t>
      </w:r>
      <w:r w:rsidR="00867A4F">
        <w:rPr>
          <w:lang w:val="en-AU"/>
        </w:rPr>
        <w:t>ing from the legislation</w:t>
      </w:r>
      <w:r w:rsidRPr="00034E9B">
        <w:rPr>
          <w:lang w:val="en-AU"/>
        </w:rPr>
        <w:t xml:space="preserve">. </w:t>
      </w:r>
      <w:r w:rsidRPr="00034E9B">
        <w:rPr>
          <w:lang w:val="en-AU"/>
        </w:rPr>
        <w:fldChar w:fldCharType="begin"/>
      </w:r>
      <w:r w:rsidRPr="00034E9B">
        <w:rPr>
          <w:lang w:val="en-AU"/>
        </w:rPr>
        <w:instrText xml:space="preserve"> REF _Ref18319321 \h  \* MERGEFORMAT </w:instrText>
      </w:r>
      <w:r w:rsidRPr="00034E9B">
        <w:rPr>
          <w:lang w:val="en-AU"/>
        </w:rPr>
      </w:r>
      <w:r w:rsidRPr="00034E9B">
        <w:rPr>
          <w:lang w:val="en-AU"/>
        </w:rPr>
        <w:fldChar w:fldCharType="separate"/>
      </w:r>
      <w:r w:rsidR="004A0DFA" w:rsidRPr="004A0DFA">
        <w:rPr>
          <w:lang w:val="en-AU"/>
        </w:rPr>
        <w:t xml:space="preserve">Table </w:t>
      </w:r>
      <w:r w:rsidR="004A0DFA" w:rsidRPr="004A0DFA">
        <w:rPr>
          <w:noProof/>
          <w:lang w:val="en-AU"/>
        </w:rPr>
        <w:t>4A-5</w:t>
      </w:r>
      <w:r w:rsidRPr="00034E9B">
        <w:rPr>
          <w:lang w:val="en-AU"/>
        </w:rPr>
        <w:fldChar w:fldCharType="end"/>
      </w:r>
      <w:r w:rsidRPr="00034E9B">
        <w:rPr>
          <w:lang w:val="en-AU"/>
        </w:rPr>
        <w:t xml:space="preserve"> shows the proposed approach. </w:t>
      </w:r>
    </w:p>
    <w:p w14:paraId="12810BBB" w14:textId="3EA46FC3" w:rsidR="00FC0498" w:rsidRPr="00034E9B" w:rsidRDefault="00FC0498" w:rsidP="00FC0498">
      <w:pPr>
        <w:pStyle w:val="Caption"/>
      </w:pPr>
      <w:bookmarkStart w:id="230" w:name="_Ref18319321"/>
      <w:r w:rsidRPr="00034E9B">
        <w:lastRenderedPageBreak/>
        <w:t>Table 4A-</w:t>
      </w:r>
      <w:r w:rsidR="009063F1">
        <w:fldChar w:fldCharType="begin"/>
      </w:r>
      <w:r w:rsidR="009063F1">
        <w:instrText xml:space="preserve"> SEQ Table \* ARABIC </w:instrText>
      </w:r>
      <w:r w:rsidR="009063F1">
        <w:fldChar w:fldCharType="separate"/>
      </w:r>
      <w:r w:rsidR="004A0DFA">
        <w:rPr>
          <w:noProof/>
        </w:rPr>
        <w:t>5</w:t>
      </w:r>
      <w:r w:rsidR="009063F1">
        <w:rPr>
          <w:noProof/>
        </w:rPr>
        <w:fldChar w:fldCharType="end"/>
      </w:r>
      <w:bookmarkEnd w:id="230"/>
      <w:r w:rsidRPr="00034E9B">
        <w:tab/>
        <w:t>Drivers of difference from an equal per capital distribution of grants, 2022</w:t>
      </w:r>
      <w:r w:rsidRPr="00034E9B">
        <w:noBreakHyphen/>
        <w:t>23</w:t>
      </w:r>
    </w:p>
    <w:tbl>
      <w:tblPr>
        <w:tblW w:w="8980" w:type="dxa"/>
        <w:tblBorders>
          <w:top w:val="single" w:sz="4" w:space="0" w:color="ADD6EA"/>
          <w:bottom w:val="single" w:sz="4" w:space="0" w:color="ADD6EA"/>
          <w:insideH w:val="single" w:sz="4" w:space="0" w:color="ADD6EA"/>
        </w:tblBorders>
        <w:tblLayout w:type="fixed"/>
        <w:tblCellMar>
          <w:left w:w="0" w:type="dxa"/>
          <w:right w:w="28" w:type="dxa"/>
        </w:tblCellMar>
        <w:tblLook w:val="04A0" w:firstRow="1" w:lastRow="0" w:firstColumn="1" w:lastColumn="0" w:noHBand="0" w:noVBand="1"/>
      </w:tblPr>
      <w:tblGrid>
        <w:gridCol w:w="2900"/>
        <w:gridCol w:w="700"/>
        <w:gridCol w:w="700"/>
        <w:gridCol w:w="700"/>
        <w:gridCol w:w="700"/>
        <w:gridCol w:w="640"/>
        <w:gridCol w:w="640"/>
        <w:gridCol w:w="600"/>
        <w:gridCol w:w="700"/>
        <w:gridCol w:w="700"/>
      </w:tblGrid>
      <w:tr w:rsidR="00FC0498" w:rsidRPr="00034E9B" w14:paraId="464C3FAA" w14:textId="77777777" w:rsidTr="00CB7BE6">
        <w:trPr>
          <w:trHeight w:val="379"/>
        </w:trPr>
        <w:tc>
          <w:tcPr>
            <w:tcW w:w="2900" w:type="dxa"/>
            <w:shd w:val="clear" w:color="auto" w:fill="006991"/>
            <w:noWrap/>
            <w:vAlign w:val="center"/>
            <w:hideMark/>
          </w:tcPr>
          <w:p w14:paraId="7BABB57C" w14:textId="77777777" w:rsidR="00FC0498" w:rsidRPr="00034E9B" w:rsidRDefault="00FC0498" w:rsidP="00FF6CBF">
            <w:pPr>
              <w:pStyle w:val="CGCTableheader"/>
              <w:keepNext/>
              <w:keepLines/>
              <w:jc w:val="right"/>
              <w:rPr>
                <w:lang w:val="en-AU" w:eastAsia="en-AU"/>
              </w:rPr>
            </w:pPr>
            <w:bookmarkStart w:id="231" w:name="RANGE!A43:J71"/>
            <w:bookmarkStart w:id="232" w:name="_Toc430166134"/>
            <w:bookmarkStart w:id="233" w:name="_Toc433353486"/>
            <w:bookmarkStart w:id="234" w:name="_Toc441241590"/>
            <w:bookmarkStart w:id="235" w:name="_Toc441499260"/>
            <w:bookmarkStart w:id="236" w:name="_Toc441656027"/>
            <w:bookmarkStart w:id="237" w:name="_Toc442191916"/>
            <w:bookmarkStart w:id="238" w:name="_Toc442192170"/>
            <w:bookmarkStart w:id="239" w:name="_Toc442192235"/>
            <w:bookmarkStart w:id="240" w:name="_Toc442772819"/>
            <w:bookmarkStart w:id="241" w:name="_Toc442773048"/>
            <w:bookmarkStart w:id="242" w:name="_Toc442773218"/>
            <w:bookmarkStart w:id="243" w:name="_Toc442773564"/>
            <w:bookmarkStart w:id="244" w:name="_Toc442883285"/>
            <w:bookmarkStart w:id="245" w:name="_Toc474923753"/>
            <w:bookmarkStart w:id="246" w:name="_Toc505872178"/>
            <w:bookmarkStart w:id="247" w:name="_Toc536519629"/>
            <w:bookmarkStart w:id="248" w:name="_Toc536631339"/>
            <w:bookmarkStart w:id="249" w:name="_Toc536803173"/>
            <w:bookmarkStart w:id="250" w:name="_Toc536803261"/>
            <w:bookmarkStart w:id="251" w:name="_Toc1115141"/>
            <w:r w:rsidRPr="00034E9B">
              <w:rPr>
                <w:lang w:val="en-AU" w:eastAsia="en-AU"/>
              </w:rPr>
              <w:t> </w:t>
            </w:r>
            <w:bookmarkEnd w:id="231"/>
          </w:p>
        </w:tc>
        <w:tc>
          <w:tcPr>
            <w:tcW w:w="700" w:type="dxa"/>
            <w:shd w:val="clear" w:color="auto" w:fill="006991"/>
            <w:noWrap/>
            <w:vAlign w:val="center"/>
            <w:hideMark/>
          </w:tcPr>
          <w:p w14:paraId="055E4ADD" w14:textId="77777777" w:rsidR="00FC0498" w:rsidRPr="00034E9B" w:rsidRDefault="00FC0498" w:rsidP="00FF6CBF">
            <w:pPr>
              <w:pStyle w:val="CGCTableheader"/>
              <w:keepNext/>
              <w:keepLines/>
              <w:jc w:val="right"/>
              <w:rPr>
                <w:lang w:val="en-AU" w:eastAsia="en-AU"/>
              </w:rPr>
            </w:pPr>
            <w:r w:rsidRPr="00034E9B">
              <w:rPr>
                <w:lang w:val="en-AU" w:eastAsia="en-AU"/>
              </w:rPr>
              <w:t>NSW</w:t>
            </w:r>
          </w:p>
        </w:tc>
        <w:tc>
          <w:tcPr>
            <w:tcW w:w="700" w:type="dxa"/>
            <w:shd w:val="clear" w:color="auto" w:fill="006991"/>
            <w:noWrap/>
            <w:vAlign w:val="center"/>
            <w:hideMark/>
          </w:tcPr>
          <w:p w14:paraId="0D6ABAA8" w14:textId="77777777" w:rsidR="00FC0498" w:rsidRPr="00034E9B" w:rsidRDefault="00FC0498" w:rsidP="00FF6CBF">
            <w:pPr>
              <w:pStyle w:val="CGCTableheader"/>
              <w:keepNext/>
              <w:keepLines/>
              <w:jc w:val="right"/>
              <w:rPr>
                <w:lang w:val="en-AU" w:eastAsia="en-AU"/>
              </w:rPr>
            </w:pPr>
            <w:r w:rsidRPr="00034E9B">
              <w:rPr>
                <w:lang w:val="en-AU" w:eastAsia="en-AU"/>
              </w:rPr>
              <w:t>Vic</w:t>
            </w:r>
          </w:p>
        </w:tc>
        <w:tc>
          <w:tcPr>
            <w:tcW w:w="700" w:type="dxa"/>
            <w:shd w:val="clear" w:color="auto" w:fill="006991"/>
            <w:noWrap/>
            <w:vAlign w:val="center"/>
            <w:hideMark/>
          </w:tcPr>
          <w:p w14:paraId="5287859D" w14:textId="77777777" w:rsidR="00FC0498" w:rsidRPr="00034E9B" w:rsidRDefault="00FC0498" w:rsidP="00FF6CBF">
            <w:pPr>
              <w:pStyle w:val="CGCTableheader"/>
              <w:keepNext/>
              <w:keepLines/>
              <w:jc w:val="right"/>
              <w:rPr>
                <w:lang w:val="en-AU" w:eastAsia="en-AU"/>
              </w:rPr>
            </w:pPr>
            <w:r w:rsidRPr="00034E9B">
              <w:rPr>
                <w:lang w:val="en-AU" w:eastAsia="en-AU"/>
              </w:rPr>
              <w:t>Qld</w:t>
            </w:r>
          </w:p>
        </w:tc>
        <w:tc>
          <w:tcPr>
            <w:tcW w:w="700" w:type="dxa"/>
            <w:shd w:val="clear" w:color="auto" w:fill="006991"/>
            <w:noWrap/>
            <w:vAlign w:val="center"/>
            <w:hideMark/>
          </w:tcPr>
          <w:p w14:paraId="341DB5EC" w14:textId="77777777" w:rsidR="00FC0498" w:rsidRPr="00034E9B" w:rsidRDefault="00FC0498" w:rsidP="00FF6CBF">
            <w:pPr>
              <w:pStyle w:val="CGCTableheader"/>
              <w:keepNext/>
              <w:keepLines/>
              <w:jc w:val="right"/>
              <w:rPr>
                <w:lang w:val="en-AU" w:eastAsia="en-AU"/>
              </w:rPr>
            </w:pPr>
            <w:r w:rsidRPr="00034E9B">
              <w:rPr>
                <w:lang w:val="en-AU" w:eastAsia="en-AU"/>
              </w:rPr>
              <w:t>WA</w:t>
            </w:r>
          </w:p>
        </w:tc>
        <w:tc>
          <w:tcPr>
            <w:tcW w:w="640" w:type="dxa"/>
            <w:shd w:val="clear" w:color="auto" w:fill="006991"/>
            <w:noWrap/>
            <w:vAlign w:val="center"/>
            <w:hideMark/>
          </w:tcPr>
          <w:p w14:paraId="72D8E90F" w14:textId="77777777" w:rsidR="00FC0498" w:rsidRPr="00034E9B" w:rsidRDefault="00FC0498" w:rsidP="00FF6CBF">
            <w:pPr>
              <w:pStyle w:val="CGCTableheader"/>
              <w:keepNext/>
              <w:keepLines/>
              <w:jc w:val="right"/>
              <w:rPr>
                <w:lang w:val="en-AU" w:eastAsia="en-AU"/>
              </w:rPr>
            </w:pPr>
            <w:r w:rsidRPr="00034E9B">
              <w:rPr>
                <w:lang w:val="en-AU" w:eastAsia="en-AU"/>
              </w:rPr>
              <w:t>SA</w:t>
            </w:r>
          </w:p>
        </w:tc>
        <w:tc>
          <w:tcPr>
            <w:tcW w:w="640" w:type="dxa"/>
            <w:shd w:val="clear" w:color="auto" w:fill="006991"/>
            <w:noWrap/>
            <w:vAlign w:val="center"/>
            <w:hideMark/>
          </w:tcPr>
          <w:p w14:paraId="0671EBD9" w14:textId="77777777" w:rsidR="00FC0498" w:rsidRPr="00034E9B" w:rsidRDefault="00FC0498" w:rsidP="00FF6CBF">
            <w:pPr>
              <w:pStyle w:val="CGCTableheader"/>
              <w:keepNext/>
              <w:keepLines/>
              <w:jc w:val="right"/>
              <w:rPr>
                <w:lang w:val="en-AU" w:eastAsia="en-AU"/>
              </w:rPr>
            </w:pPr>
            <w:r w:rsidRPr="00034E9B">
              <w:rPr>
                <w:lang w:val="en-AU" w:eastAsia="en-AU"/>
              </w:rPr>
              <w:t>Tas</w:t>
            </w:r>
          </w:p>
        </w:tc>
        <w:tc>
          <w:tcPr>
            <w:tcW w:w="600" w:type="dxa"/>
            <w:shd w:val="clear" w:color="auto" w:fill="006991"/>
            <w:noWrap/>
            <w:vAlign w:val="center"/>
            <w:hideMark/>
          </w:tcPr>
          <w:p w14:paraId="5B71A000" w14:textId="77777777" w:rsidR="00FC0498" w:rsidRPr="00034E9B" w:rsidRDefault="00FC0498" w:rsidP="00FF6CBF">
            <w:pPr>
              <w:pStyle w:val="CGCTableheader"/>
              <w:keepNext/>
              <w:keepLines/>
              <w:jc w:val="right"/>
              <w:rPr>
                <w:lang w:val="en-AU" w:eastAsia="en-AU"/>
              </w:rPr>
            </w:pPr>
            <w:r w:rsidRPr="00034E9B">
              <w:rPr>
                <w:lang w:val="en-AU" w:eastAsia="en-AU"/>
              </w:rPr>
              <w:t>ACT</w:t>
            </w:r>
          </w:p>
        </w:tc>
        <w:tc>
          <w:tcPr>
            <w:tcW w:w="700" w:type="dxa"/>
            <w:shd w:val="clear" w:color="auto" w:fill="006991"/>
            <w:noWrap/>
            <w:vAlign w:val="center"/>
            <w:hideMark/>
          </w:tcPr>
          <w:p w14:paraId="3113F45F" w14:textId="77777777" w:rsidR="00FC0498" w:rsidRPr="00034E9B" w:rsidRDefault="00FC0498" w:rsidP="00FF6CBF">
            <w:pPr>
              <w:pStyle w:val="CGCTableheader"/>
              <w:keepNext/>
              <w:keepLines/>
              <w:jc w:val="right"/>
              <w:rPr>
                <w:lang w:val="en-AU" w:eastAsia="en-AU"/>
              </w:rPr>
            </w:pPr>
            <w:r w:rsidRPr="00034E9B">
              <w:rPr>
                <w:lang w:val="en-AU" w:eastAsia="en-AU"/>
              </w:rPr>
              <w:t>NT</w:t>
            </w:r>
          </w:p>
        </w:tc>
        <w:tc>
          <w:tcPr>
            <w:tcW w:w="700" w:type="dxa"/>
            <w:shd w:val="clear" w:color="auto" w:fill="006991"/>
            <w:noWrap/>
            <w:vAlign w:val="center"/>
            <w:hideMark/>
          </w:tcPr>
          <w:p w14:paraId="6592A837" w14:textId="77777777" w:rsidR="00FC0498" w:rsidRPr="00034E9B" w:rsidRDefault="00FC0498" w:rsidP="00FF6CBF">
            <w:pPr>
              <w:pStyle w:val="CGCTableheader"/>
              <w:keepNext/>
              <w:keepLines/>
              <w:jc w:val="right"/>
              <w:rPr>
                <w:lang w:val="en-AU" w:eastAsia="en-AU"/>
              </w:rPr>
            </w:pPr>
            <w:r w:rsidRPr="00034E9B">
              <w:rPr>
                <w:lang w:val="en-AU" w:eastAsia="en-AU"/>
              </w:rPr>
              <w:t>Redist</w:t>
            </w:r>
          </w:p>
        </w:tc>
      </w:tr>
      <w:tr w:rsidR="00FC0498" w:rsidRPr="00034E9B" w14:paraId="356EEE23" w14:textId="77777777" w:rsidTr="000A5CF4">
        <w:trPr>
          <w:trHeight w:val="259"/>
        </w:trPr>
        <w:tc>
          <w:tcPr>
            <w:tcW w:w="2900" w:type="dxa"/>
            <w:shd w:val="clear" w:color="auto" w:fill="B6D5E4"/>
            <w:noWrap/>
            <w:vAlign w:val="center"/>
            <w:hideMark/>
          </w:tcPr>
          <w:p w14:paraId="763335FF" w14:textId="77777777" w:rsidR="00FC0498" w:rsidRPr="00034E9B" w:rsidRDefault="00FC0498" w:rsidP="00FF6CBF">
            <w:pPr>
              <w:pStyle w:val="CGCTablesubhead1"/>
              <w:keepNext/>
              <w:keepLines/>
              <w:jc w:val="right"/>
              <w:rPr>
                <w:lang w:val="en-AU" w:eastAsia="en-AU"/>
              </w:rPr>
            </w:pPr>
          </w:p>
        </w:tc>
        <w:tc>
          <w:tcPr>
            <w:tcW w:w="700" w:type="dxa"/>
            <w:shd w:val="clear" w:color="auto" w:fill="B6D5E4"/>
            <w:noWrap/>
            <w:vAlign w:val="center"/>
            <w:hideMark/>
          </w:tcPr>
          <w:p w14:paraId="25AB5E4A" w14:textId="77777777" w:rsidR="00FC0498" w:rsidRPr="00034E9B" w:rsidRDefault="00FC0498" w:rsidP="00FF6CBF">
            <w:pPr>
              <w:pStyle w:val="CGCTablesubhead1"/>
              <w:keepNext/>
              <w:keepLines/>
              <w:jc w:val="right"/>
              <w:rPr>
                <w:lang w:val="en-AU" w:eastAsia="en-AU"/>
              </w:rPr>
            </w:pPr>
            <w:r w:rsidRPr="00034E9B">
              <w:rPr>
                <w:lang w:val="en-AU" w:eastAsia="en-AU"/>
              </w:rPr>
              <w:t>$m</w:t>
            </w:r>
          </w:p>
        </w:tc>
        <w:tc>
          <w:tcPr>
            <w:tcW w:w="700" w:type="dxa"/>
            <w:shd w:val="clear" w:color="auto" w:fill="B6D5E4"/>
            <w:noWrap/>
            <w:vAlign w:val="center"/>
            <w:hideMark/>
          </w:tcPr>
          <w:p w14:paraId="3A4D1107" w14:textId="77777777" w:rsidR="00FC0498" w:rsidRPr="00034E9B" w:rsidRDefault="00FC0498" w:rsidP="00FF6CBF">
            <w:pPr>
              <w:pStyle w:val="CGCTablesubhead1"/>
              <w:keepNext/>
              <w:keepLines/>
              <w:jc w:val="right"/>
              <w:rPr>
                <w:lang w:val="en-AU" w:eastAsia="en-AU"/>
              </w:rPr>
            </w:pPr>
            <w:r w:rsidRPr="00034E9B">
              <w:rPr>
                <w:lang w:val="en-AU" w:eastAsia="en-AU"/>
              </w:rPr>
              <w:t>$m</w:t>
            </w:r>
          </w:p>
        </w:tc>
        <w:tc>
          <w:tcPr>
            <w:tcW w:w="700" w:type="dxa"/>
            <w:shd w:val="clear" w:color="auto" w:fill="B6D5E4"/>
            <w:noWrap/>
            <w:vAlign w:val="center"/>
            <w:hideMark/>
          </w:tcPr>
          <w:p w14:paraId="399312B5" w14:textId="77777777" w:rsidR="00FC0498" w:rsidRPr="00034E9B" w:rsidRDefault="00FC0498" w:rsidP="00FF6CBF">
            <w:pPr>
              <w:pStyle w:val="CGCTablesubhead1"/>
              <w:keepNext/>
              <w:keepLines/>
              <w:jc w:val="right"/>
              <w:rPr>
                <w:lang w:val="en-AU" w:eastAsia="en-AU"/>
              </w:rPr>
            </w:pPr>
            <w:r w:rsidRPr="00034E9B">
              <w:rPr>
                <w:lang w:val="en-AU" w:eastAsia="en-AU"/>
              </w:rPr>
              <w:t>$m</w:t>
            </w:r>
          </w:p>
        </w:tc>
        <w:tc>
          <w:tcPr>
            <w:tcW w:w="700" w:type="dxa"/>
            <w:shd w:val="clear" w:color="auto" w:fill="B6D5E4"/>
            <w:noWrap/>
            <w:vAlign w:val="center"/>
            <w:hideMark/>
          </w:tcPr>
          <w:p w14:paraId="5A418970" w14:textId="77777777" w:rsidR="00FC0498" w:rsidRPr="00034E9B" w:rsidRDefault="00FC0498" w:rsidP="00FF6CBF">
            <w:pPr>
              <w:pStyle w:val="CGCTablesubhead1"/>
              <w:keepNext/>
              <w:keepLines/>
              <w:jc w:val="right"/>
              <w:rPr>
                <w:lang w:val="en-AU" w:eastAsia="en-AU"/>
              </w:rPr>
            </w:pPr>
            <w:r w:rsidRPr="00034E9B">
              <w:rPr>
                <w:lang w:val="en-AU" w:eastAsia="en-AU"/>
              </w:rPr>
              <w:t>$m</w:t>
            </w:r>
          </w:p>
        </w:tc>
        <w:tc>
          <w:tcPr>
            <w:tcW w:w="640" w:type="dxa"/>
            <w:shd w:val="clear" w:color="auto" w:fill="B6D5E4"/>
            <w:noWrap/>
            <w:vAlign w:val="center"/>
            <w:hideMark/>
          </w:tcPr>
          <w:p w14:paraId="1F4265CE" w14:textId="77777777" w:rsidR="00FC0498" w:rsidRPr="00034E9B" w:rsidRDefault="00FC0498" w:rsidP="00FF6CBF">
            <w:pPr>
              <w:pStyle w:val="CGCTablesubhead1"/>
              <w:keepNext/>
              <w:keepLines/>
              <w:jc w:val="right"/>
              <w:rPr>
                <w:lang w:val="en-AU" w:eastAsia="en-AU"/>
              </w:rPr>
            </w:pPr>
            <w:r w:rsidRPr="00034E9B">
              <w:rPr>
                <w:lang w:val="en-AU" w:eastAsia="en-AU"/>
              </w:rPr>
              <w:t>$m</w:t>
            </w:r>
          </w:p>
        </w:tc>
        <w:tc>
          <w:tcPr>
            <w:tcW w:w="640" w:type="dxa"/>
            <w:shd w:val="clear" w:color="auto" w:fill="B6D5E4"/>
            <w:noWrap/>
            <w:vAlign w:val="center"/>
            <w:hideMark/>
          </w:tcPr>
          <w:p w14:paraId="51485AB0" w14:textId="77777777" w:rsidR="00FC0498" w:rsidRPr="00034E9B" w:rsidRDefault="00FC0498" w:rsidP="00FF6CBF">
            <w:pPr>
              <w:pStyle w:val="CGCTablesubhead1"/>
              <w:keepNext/>
              <w:keepLines/>
              <w:jc w:val="right"/>
              <w:rPr>
                <w:lang w:val="en-AU" w:eastAsia="en-AU"/>
              </w:rPr>
            </w:pPr>
            <w:r w:rsidRPr="00034E9B">
              <w:rPr>
                <w:lang w:val="en-AU" w:eastAsia="en-AU"/>
              </w:rPr>
              <w:t>$m</w:t>
            </w:r>
          </w:p>
        </w:tc>
        <w:tc>
          <w:tcPr>
            <w:tcW w:w="600" w:type="dxa"/>
            <w:shd w:val="clear" w:color="auto" w:fill="B6D5E4"/>
            <w:noWrap/>
            <w:vAlign w:val="center"/>
            <w:hideMark/>
          </w:tcPr>
          <w:p w14:paraId="5FCBFD62" w14:textId="77777777" w:rsidR="00FC0498" w:rsidRPr="00034E9B" w:rsidRDefault="00FC0498" w:rsidP="00FF6CBF">
            <w:pPr>
              <w:pStyle w:val="CGCTablesubhead1"/>
              <w:keepNext/>
              <w:keepLines/>
              <w:jc w:val="right"/>
              <w:rPr>
                <w:lang w:val="en-AU" w:eastAsia="en-AU"/>
              </w:rPr>
            </w:pPr>
            <w:r w:rsidRPr="00034E9B">
              <w:rPr>
                <w:lang w:val="en-AU" w:eastAsia="en-AU"/>
              </w:rPr>
              <w:t>$m</w:t>
            </w:r>
          </w:p>
        </w:tc>
        <w:tc>
          <w:tcPr>
            <w:tcW w:w="700" w:type="dxa"/>
            <w:shd w:val="clear" w:color="auto" w:fill="B6D5E4"/>
            <w:noWrap/>
            <w:vAlign w:val="center"/>
            <w:hideMark/>
          </w:tcPr>
          <w:p w14:paraId="2FC48493" w14:textId="77777777" w:rsidR="00FC0498" w:rsidRPr="00034E9B" w:rsidRDefault="00FC0498" w:rsidP="00FF6CBF">
            <w:pPr>
              <w:pStyle w:val="CGCTablesubhead1"/>
              <w:keepNext/>
              <w:keepLines/>
              <w:jc w:val="right"/>
              <w:rPr>
                <w:lang w:val="en-AU" w:eastAsia="en-AU"/>
              </w:rPr>
            </w:pPr>
            <w:r w:rsidRPr="00034E9B">
              <w:rPr>
                <w:lang w:val="en-AU" w:eastAsia="en-AU"/>
              </w:rPr>
              <w:t>$m</w:t>
            </w:r>
          </w:p>
        </w:tc>
        <w:tc>
          <w:tcPr>
            <w:tcW w:w="700" w:type="dxa"/>
            <w:shd w:val="clear" w:color="auto" w:fill="B6D5E4"/>
            <w:noWrap/>
            <w:vAlign w:val="center"/>
            <w:hideMark/>
          </w:tcPr>
          <w:p w14:paraId="211ECB6E" w14:textId="77777777" w:rsidR="00FC0498" w:rsidRPr="00034E9B" w:rsidRDefault="00FC0498" w:rsidP="00FF6CBF">
            <w:pPr>
              <w:pStyle w:val="CGCTablesubhead1"/>
              <w:keepNext/>
              <w:keepLines/>
              <w:jc w:val="right"/>
              <w:rPr>
                <w:lang w:val="en-AU" w:eastAsia="en-AU"/>
              </w:rPr>
            </w:pPr>
            <w:r w:rsidRPr="00034E9B">
              <w:rPr>
                <w:lang w:val="en-AU" w:eastAsia="en-AU"/>
              </w:rPr>
              <w:t>$m</w:t>
            </w:r>
          </w:p>
        </w:tc>
      </w:tr>
      <w:tr w:rsidR="00FC0498" w:rsidRPr="00034E9B" w14:paraId="141819F1" w14:textId="77777777" w:rsidTr="00CB7BE6">
        <w:trPr>
          <w:trHeight w:val="315"/>
        </w:trPr>
        <w:tc>
          <w:tcPr>
            <w:tcW w:w="2900" w:type="dxa"/>
            <w:shd w:val="clear" w:color="auto" w:fill="auto"/>
            <w:vAlign w:val="bottom"/>
            <w:hideMark/>
          </w:tcPr>
          <w:p w14:paraId="7BB290E0" w14:textId="77777777" w:rsidR="00FC0498" w:rsidRPr="00034E9B" w:rsidRDefault="00FC0498" w:rsidP="00FF6CBF">
            <w:pPr>
              <w:pStyle w:val="CGCTablerow"/>
              <w:keepNext/>
              <w:keepLines/>
              <w:rPr>
                <w:rFonts w:ascii="Open Sans Semibold" w:hAnsi="Open Sans Semibold" w:cs="Open Sans Semibold"/>
                <w:lang w:eastAsia="en-AU"/>
              </w:rPr>
            </w:pPr>
            <w:r w:rsidRPr="00034E9B">
              <w:rPr>
                <w:rFonts w:ascii="Open Sans Semibold" w:hAnsi="Open Sans Semibold" w:cs="Open Sans Semibold"/>
                <w:lang w:eastAsia="en-AU"/>
              </w:rPr>
              <w:t>Revenue raising capacity</w:t>
            </w:r>
          </w:p>
        </w:tc>
        <w:tc>
          <w:tcPr>
            <w:tcW w:w="700" w:type="dxa"/>
            <w:shd w:val="clear" w:color="auto" w:fill="auto"/>
            <w:vAlign w:val="bottom"/>
            <w:hideMark/>
          </w:tcPr>
          <w:p w14:paraId="0C6CCB41" w14:textId="77777777" w:rsidR="00FC0498" w:rsidRPr="00034E9B" w:rsidRDefault="00FC0498" w:rsidP="00FF6CBF">
            <w:pPr>
              <w:pStyle w:val="CGCTablerow"/>
              <w:keepNext/>
              <w:keepLines/>
              <w:jc w:val="right"/>
              <w:rPr>
                <w:rFonts w:ascii="Open Sans Semibold" w:hAnsi="Open Sans Semibold" w:cs="Open Sans Semibold"/>
                <w:lang w:eastAsia="en-AU"/>
              </w:rPr>
            </w:pPr>
          </w:p>
        </w:tc>
        <w:tc>
          <w:tcPr>
            <w:tcW w:w="700" w:type="dxa"/>
            <w:shd w:val="clear" w:color="auto" w:fill="auto"/>
            <w:vAlign w:val="bottom"/>
            <w:hideMark/>
          </w:tcPr>
          <w:p w14:paraId="44BE230D" w14:textId="77777777" w:rsidR="00FC0498" w:rsidRPr="00034E9B" w:rsidRDefault="00FC0498" w:rsidP="00FF6CBF">
            <w:pPr>
              <w:pStyle w:val="CGCTablerow"/>
              <w:keepNext/>
              <w:keepLines/>
              <w:jc w:val="right"/>
              <w:rPr>
                <w:rFonts w:ascii="Open Sans Semibold" w:hAnsi="Open Sans Semibold" w:cs="Open Sans Semibold"/>
                <w:lang w:eastAsia="en-AU"/>
              </w:rPr>
            </w:pPr>
          </w:p>
        </w:tc>
        <w:tc>
          <w:tcPr>
            <w:tcW w:w="700" w:type="dxa"/>
            <w:shd w:val="clear" w:color="auto" w:fill="auto"/>
            <w:vAlign w:val="bottom"/>
            <w:hideMark/>
          </w:tcPr>
          <w:p w14:paraId="4D538A88" w14:textId="77777777" w:rsidR="00FC0498" w:rsidRPr="00034E9B" w:rsidRDefault="00FC0498" w:rsidP="00FF6CBF">
            <w:pPr>
              <w:pStyle w:val="CGCTablerow"/>
              <w:keepNext/>
              <w:keepLines/>
              <w:jc w:val="right"/>
              <w:rPr>
                <w:rFonts w:ascii="Open Sans Semibold" w:hAnsi="Open Sans Semibold" w:cs="Open Sans Semibold"/>
                <w:lang w:eastAsia="en-AU"/>
              </w:rPr>
            </w:pPr>
          </w:p>
        </w:tc>
        <w:tc>
          <w:tcPr>
            <w:tcW w:w="700" w:type="dxa"/>
            <w:shd w:val="clear" w:color="auto" w:fill="auto"/>
            <w:vAlign w:val="bottom"/>
            <w:hideMark/>
          </w:tcPr>
          <w:p w14:paraId="18F650F6" w14:textId="77777777" w:rsidR="00FC0498" w:rsidRPr="00034E9B" w:rsidRDefault="00FC0498" w:rsidP="00FF6CBF">
            <w:pPr>
              <w:pStyle w:val="CGCTablerow"/>
              <w:keepNext/>
              <w:keepLines/>
              <w:jc w:val="right"/>
              <w:rPr>
                <w:rFonts w:ascii="Open Sans Semibold" w:hAnsi="Open Sans Semibold" w:cs="Open Sans Semibold"/>
                <w:lang w:eastAsia="en-AU"/>
              </w:rPr>
            </w:pPr>
          </w:p>
        </w:tc>
        <w:tc>
          <w:tcPr>
            <w:tcW w:w="640" w:type="dxa"/>
            <w:shd w:val="clear" w:color="auto" w:fill="auto"/>
            <w:vAlign w:val="bottom"/>
            <w:hideMark/>
          </w:tcPr>
          <w:p w14:paraId="3C8CA0C5" w14:textId="77777777" w:rsidR="00FC0498" w:rsidRPr="00034E9B" w:rsidRDefault="00FC0498" w:rsidP="00FF6CBF">
            <w:pPr>
              <w:pStyle w:val="CGCTablerow"/>
              <w:keepNext/>
              <w:keepLines/>
              <w:jc w:val="right"/>
              <w:rPr>
                <w:rFonts w:ascii="Open Sans Semibold" w:hAnsi="Open Sans Semibold" w:cs="Open Sans Semibold"/>
                <w:lang w:eastAsia="en-AU"/>
              </w:rPr>
            </w:pPr>
          </w:p>
        </w:tc>
        <w:tc>
          <w:tcPr>
            <w:tcW w:w="640" w:type="dxa"/>
            <w:shd w:val="clear" w:color="auto" w:fill="auto"/>
            <w:vAlign w:val="bottom"/>
            <w:hideMark/>
          </w:tcPr>
          <w:p w14:paraId="7A007044" w14:textId="77777777" w:rsidR="00FC0498" w:rsidRPr="00034E9B" w:rsidRDefault="00FC0498" w:rsidP="00FF6CBF">
            <w:pPr>
              <w:pStyle w:val="CGCTablerow"/>
              <w:keepNext/>
              <w:keepLines/>
              <w:jc w:val="right"/>
              <w:rPr>
                <w:rFonts w:ascii="Open Sans Semibold" w:hAnsi="Open Sans Semibold" w:cs="Open Sans Semibold"/>
                <w:lang w:eastAsia="en-AU"/>
              </w:rPr>
            </w:pPr>
          </w:p>
        </w:tc>
        <w:tc>
          <w:tcPr>
            <w:tcW w:w="600" w:type="dxa"/>
            <w:shd w:val="clear" w:color="auto" w:fill="auto"/>
            <w:vAlign w:val="bottom"/>
            <w:hideMark/>
          </w:tcPr>
          <w:p w14:paraId="7DDFE493" w14:textId="77777777" w:rsidR="00FC0498" w:rsidRPr="00034E9B" w:rsidRDefault="00FC0498" w:rsidP="00FF6CBF">
            <w:pPr>
              <w:pStyle w:val="CGCTablerow"/>
              <w:keepNext/>
              <w:keepLines/>
              <w:jc w:val="right"/>
              <w:rPr>
                <w:rFonts w:ascii="Open Sans Semibold" w:hAnsi="Open Sans Semibold" w:cs="Open Sans Semibold"/>
                <w:lang w:eastAsia="en-AU"/>
              </w:rPr>
            </w:pPr>
          </w:p>
        </w:tc>
        <w:tc>
          <w:tcPr>
            <w:tcW w:w="700" w:type="dxa"/>
            <w:shd w:val="clear" w:color="auto" w:fill="auto"/>
            <w:vAlign w:val="bottom"/>
            <w:hideMark/>
          </w:tcPr>
          <w:p w14:paraId="1150CF9F" w14:textId="77777777" w:rsidR="00FC0498" w:rsidRPr="00034E9B" w:rsidRDefault="00FC0498" w:rsidP="00FF6CBF">
            <w:pPr>
              <w:pStyle w:val="CGCTablerow"/>
              <w:keepNext/>
              <w:keepLines/>
              <w:jc w:val="right"/>
              <w:rPr>
                <w:rFonts w:ascii="Open Sans Semibold" w:hAnsi="Open Sans Semibold" w:cs="Open Sans Semibold"/>
                <w:lang w:eastAsia="en-AU"/>
              </w:rPr>
            </w:pPr>
          </w:p>
        </w:tc>
        <w:tc>
          <w:tcPr>
            <w:tcW w:w="700" w:type="dxa"/>
            <w:shd w:val="clear" w:color="auto" w:fill="auto"/>
            <w:vAlign w:val="bottom"/>
            <w:hideMark/>
          </w:tcPr>
          <w:p w14:paraId="6439AFBF" w14:textId="77777777" w:rsidR="00FC0498" w:rsidRPr="00034E9B" w:rsidRDefault="00FC0498" w:rsidP="00FF6CBF">
            <w:pPr>
              <w:pStyle w:val="CGCTablerow"/>
              <w:keepNext/>
              <w:keepLines/>
              <w:jc w:val="right"/>
              <w:rPr>
                <w:rFonts w:ascii="Open Sans Semibold" w:hAnsi="Open Sans Semibold" w:cs="Open Sans Semibold"/>
                <w:lang w:eastAsia="en-AU"/>
              </w:rPr>
            </w:pPr>
          </w:p>
        </w:tc>
      </w:tr>
      <w:tr w:rsidR="00FC0498" w:rsidRPr="00034E9B" w14:paraId="7F80AB15" w14:textId="77777777" w:rsidTr="00CB7BE6">
        <w:trPr>
          <w:trHeight w:val="315"/>
        </w:trPr>
        <w:tc>
          <w:tcPr>
            <w:tcW w:w="2900" w:type="dxa"/>
            <w:shd w:val="clear" w:color="auto" w:fill="auto"/>
            <w:noWrap/>
            <w:vAlign w:val="bottom"/>
            <w:hideMark/>
          </w:tcPr>
          <w:p w14:paraId="7BA7E712" w14:textId="77777777" w:rsidR="00FC0498" w:rsidRPr="00034E9B" w:rsidRDefault="00FC0498" w:rsidP="00FF6CBF">
            <w:pPr>
              <w:pStyle w:val="CGCTablerow"/>
              <w:keepNext/>
              <w:keepLines/>
              <w:rPr>
                <w:lang w:eastAsia="en-AU"/>
              </w:rPr>
            </w:pPr>
            <w:r w:rsidRPr="00034E9B">
              <w:rPr>
                <w:lang w:eastAsia="en-AU"/>
              </w:rPr>
              <w:t>Mining production</w:t>
            </w:r>
          </w:p>
        </w:tc>
        <w:tc>
          <w:tcPr>
            <w:tcW w:w="700" w:type="dxa"/>
            <w:shd w:val="clear" w:color="auto" w:fill="auto"/>
            <w:noWrap/>
            <w:vAlign w:val="bottom"/>
            <w:hideMark/>
          </w:tcPr>
          <w:p w14:paraId="7358AA67" w14:textId="77777777" w:rsidR="00FC0498" w:rsidRPr="00034E9B" w:rsidRDefault="00FC0498" w:rsidP="00FF6CBF">
            <w:pPr>
              <w:pStyle w:val="CGCTablerow"/>
              <w:keepNext/>
              <w:keepLines/>
              <w:jc w:val="right"/>
              <w:rPr>
                <w:lang w:eastAsia="en-AU"/>
              </w:rPr>
            </w:pPr>
            <w:r w:rsidRPr="00034E9B">
              <w:rPr>
                <w:lang w:eastAsia="en-AU"/>
              </w:rPr>
              <w:t>3,470</w:t>
            </w:r>
          </w:p>
        </w:tc>
        <w:tc>
          <w:tcPr>
            <w:tcW w:w="700" w:type="dxa"/>
            <w:shd w:val="clear" w:color="auto" w:fill="auto"/>
            <w:noWrap/>
            <w:vAlign w:val="bottom"/>
            <w:hideMark/>
          </w:tcPr>
          <w:p w14:paraId="2B8E1DD7" w14:textId="77777777" w:rsidR="00FC0498" w:rsidRPr="00034E9B" w:rsidRDefault="00FC0498" w:rsidP="00FF6CBF">
            <w:pPr>
              <w:pStyle w:val="CGCTablerow"/>
              <w:keepNext/>
              <w:keepLines/>
              <w:jc w:val="right"/>
              <w:rPr>
                <w:lang w:eastAsia="en-AU"/>
              </w:rPr>
            </w:pPr>
            <w:r w:rsidRPr="00034E9B">
              <w:rPr>
                <w:lang w:eastAsia="en-AU"/>
              </w:rPr>
              <w:t>12,792</w:t>
            </w:r>
          </w:p>
        </w:tc>
        <w:tc>
          <w:tcPr>
            <w:tcW w:w="700" w:type="dxa"/>
            <w:shd w:val="clear" w:color="auto" w:fill="auto"/>
            <w:noWrap/>
            <w:vAlign w:val="bottom"/>
            <w:hideMark/>
          </w:tcPr>
          <w:p w14:paraId="061B94A8" w14:textId="77777777" w:rsidR="00FC0498" w:rsidRPr="00034E9B" w:rsidRDefault="00FC0498" w:rsidP="00FF6CBF">
            <w:pPr>
              <w:pStyle w:val="CGCTablerow"/>
              <w:keepNext/>
              <w:keepLines/>
              <w:jc w:val="right"/>
              <w:rPr>
                <w:lang w:eastAsia="en-AU"/>
              </w:rPr>
            </w:pPr>
            <w:r w:rsidRPr="00034E9B">
              <w:rPr>
                <w:lang w:eastAsia="en-AU"/>
              </w:rPr>
              <w:t>-3,544</w:t>
            </w:r>
          </w:p>
        </w:tc>
        <w:tc>
          <w:tcPr>
            <w:tcW w:w="700" w:type="dxa"/>
            <w:shd w:val="clear" w:color="auto" w:fill="auto"/>
            <w:noWrap/>
            <w:vAlign w:val="bottom"/>
            <w:hideMark/>
          </w:tcPr>
          <w:p w14:paraId="6B229272" w14:textId="77777777" w:rsidR="00FC0498" w:rsidRPr="00034E9B" w:rsidRDefault="00FC0498" w:rsidP="00FF6CBF">
            <w:pPr>
              <w:pStyle w:val="CGCTablerow"/>
              <w:keepNext/>
              <w:keepLines/>
              <w:jc w:val="right"/>
              <w:rPr>
                <w:lang w:eastAsia="en-AU"/>
              </w:rPr>
            </w:pPr>
            <w:r w:rsidRPr="00034E9B">
              <w:rPr>
                <w:lang w:eastAsia="en-AU"/>
              </w:rPr>
              <w:t>-3,990</w:t>
            </w:r>
          </w:p>
        </w:tc>
        <w:tc>
          <w:tcPr>
            <w:tcW w:w="640" w:type="dxa"/>
            <w:shd w:val="clear" w:color="auto" w:fill="auto"/>
            <w:noWrap/>
            <w:vAlign w:val="bottom"/>
            <w:hideMark/>
          </w:tcPr>
          <w:p w14:paraId="28592011" w14:textId="77777777" w:rsidR="00FC0498" w:rsidRPr="00034E9B" w:rsidRDefault="00FC0498" w:rsidP="00FF6CBF">
            <w:pPr>
              <w:pStyle w:val="CGCTablerow"/>
              <w:keepNext/>
              <w:keepLines/>
              <w:jc w:val="right"/>
              <w:rPr>
                <w:lang w:eastAsia="en-AU"/>
              </w:rPr>
            </w:pPr>
            <w:r w:rsidRPr="00034E9B">
              <w:rPr>
                <w:lang w:eastAsia="en-AU"/>
              </w:rPr>
              <w:t>533</w:t>
            </w:r>
          </w:p>
        </w:tc>
        <w:tc>
          <w:tcPr>
            <w:tcW w:w="640" w:type="dxa"/>
            <w:shd w:val="clear" w:color="auto" w:fill="auto"/>
            <w:noWrap/>
            <w:vAlign w:val="bottom"/>
            <w:hideMark/>
          </w:tcPr>
          <w:p w14:paraId="7E30015E" w14:textId="77777777" w:rsidR="00FC0498" w:rsidRPr="00034E9B" w:rsidRDefault="00FC0498" w:rsidP="00FF6CBF">
            <w:pPr>
              <w:pStyle w:val="CGCTablerow"/>
              <w:keepNext/>
              <w:keepLines/>
              <w:jc w:val="right"/>
              <w:rPr>
                <w:lang w:eastAsia="en-AU"/>
              </w:rPr>
            </w:pPr>
            <w:r w:rsidRPr="00034E9B">
              <w:rPr>
                <w:lang w:eastAsia="en-AU"/>
              </w:rPr>
              <w:t>207</w:t>
            </w:r>
          </w:p>
        </w:tc>
        <w:tc>
          <w:tcPr>
            <w:tcW w:w="600" w:type="dxa"/>
            <w:shd w:val="clear" w:color="auto" w:fill="auto"/>
            <w:noWrap/>
            <w:vAlign w:val="bottom"/>
            <w:hideMark/>
          </w:tcPr>
          <w:p w14:paraId="12B16125" w14:textId="77777777" w:rsidR="00FC0498" w:rsidRPr="00034E9B" w:rsidRDefault="00FC0498" w:rsidP="00FF6CBF">
            <w:pPr>
              <w:pStyle w:val="CGCTablerow"/>
              <w:keepNext/>
              <w:keepLines/>
              <w:jc w:val="right"/>
              <w:rPr>
                <w:lang w:eastAsia="en-AU"/>
              </w:rPr>
            </w:pPr>
            <w:r w:rsidRPr="00034E9B">
              <w:rPr>
                <w:lang w:eastAsia="en-AU"/>
              </w:rPr>
              <w:t>152</w:t>
            </w:r>
          </w:p>
        </w:tc>
        <w:tc>
          <w:tcPr>
            <w:tcW w:w="700" w:type="dxa"/>
            <w:shd w:val="clear" w:color="auto" w:fill="auto"/>
            <w:noWrap/>
            <w:vAlign w:val="bottom"/>
            <w:hideMark/>
          </w:tcPr>
          <w:p w14:paraId="39E894CB" w14:textId="77777777" w:rsidR="00FC0498" w:rsidRPr="00034E9B" w:rsidRDefault="00FC0498" w:rsidP="00FF6CBF">
            <w:pPr>
              <w:pStyle w:val="CGCTablerow"/>
              <w:keepNext/>
              <w:keepLines/>
              <w:jc w:val="right"/>
              <w:rPr>
                <w:lang w:eastAsia="en-AU"/>
              </w:rPr>
            </w:pPr>
            <w:r w:rsidRPr="00034E9B">
              <w:rPr>
                <w:lang w:eastAsia="en-AU"/>
              </w:rPr>
              <w:t>-92</w:t>
            </w:r>
          </w:p>
        </w:tc>
        <w:tc>
          <w:tcPr>
            <w:tcW w:w="700" w:type="dxa"/>
            <w:shd w:val="clear" w:color="auto" w:fill="auto"/>
            <w:noWrap/>
            <w:vAlign w:val="bottom"/>
            <w:hideMark/>
          </w:tcPr>
          <w:p w14:paraId="2AA10D1C" w14:textId="77777777" w:rsidR="00FC0498" w:rsidRPr="00034E9B" w:rsidRDefault="00FC0498" w:rsidP="00FF6CBF">
            <w:pPr>
              <w:pStyle w:val="CGCTablerow"/>
              <w:keepNext/>
              <w:keepLines/>
              <w:jc w:val="right"/>
              <w:rPr>
                <w:lang w:eastAsia="en-AU"/>
              </w:rPr>
            </w:pPr>
            <w:r w:rsidRPr="00034E9B">
              <w:rPr>
                <w:lang w:eastAsia="en-AU"/>
              </w:rPr>
              <w:t>12,390</w:t>
            </w:r>
          </w:p>
        </w:tc>
      </w:tr>
      <w:tr w:rsidR="00FC0498" w:rsidRPr="00034E9B" w14:paraId="5D80F112" w14:textId="77777777" w:rsidTr="00CB7BE6">
        <w:trPr>
          <w:trHeight w:val="315"/>
        </w:trPr>
        <w:tc>
          <w:tcPr>
            <w:tcW w:w="2900" w:type="dxa"/>
            <w:shd w:val="clear" w:color="auto" w:fill="auto"/>
            <w:noWrap/>
            <w:vAlign w:val="bottom"/>
            <w:hideMark/>
          </w:tcPr>
          <w:p w14:paraId="06304283" w14:textId="77777777" w:rsidR="00FC0498" w:rsidRPr="00034E9B" w:rsidRDefault="00FC0498" w:rsidP="00FF6CBF">
            <w:pPr>
              <w:pStyle w:val="CGCTablerow"/>
              <w:keepNext/>
              <w:keepLines/>
              <w:rPr>
                <w:lang w:eastAsia="en-AU"/>
              </w:rPr>
            </w:pPr>
            <w:r w:rsidRPr="00034E9B">
              <w:rPr>
                <w:lang w:eastAsia="en-AU"/>
              </w:rPr>
              <w:t>Property sales</w:t>
            </w:r>
          </w:p>
        </w:tc>
        <w:tc>
          <w:tcPr>
            <w:tcW w:w="700" w:type="dxa"/>
            <w:shd w:val="clear" w:color="auto" w:fill="auto"/>
            <w:noWrap/>
            <w:vAlign w:val="bottom"/>
            <w:hideMark/>
          </w:tcPr>
          <w:p w14:paraId="04745510" w14:textId="77777777" w:rsidR="00FC0498" w:rsidRPr="00034E9B" w:rsidRDefault="00FC0498" w:rsidP="00FF6CBF">
            <w:pPr>
              <w:pStyle w:val="CGCTablerow"/>
              <w:keepNext/>
              <w:keepLines/>
              <w:jc w:val="right"/>
              <w:rPr>
                <w:lang w:eastAsia="en-AU"/>
              </w:rPr>
            </w:pPr>
            <w:r w:rsidRPr="00034E9B">
              <w:rPr>
                <w:lang w:eastAsia="en-AU"/>
              </w:rPr>
              <w:t>-3,392</w:t>
            </w:r>
          </w:p>
        </w:tc>
        <w:tc>
          <w:tcPr>
            <w:tcW w:w="700" w:type="dxa"/>
            <w:shd w:val="clear" w:color="auto" w:fill="auto"/>
            <w:noWrap/>
            <w:vAlign w:val="bottom"/>
            <w:hideMark/>
          </w:tcPr>
          <w:p w14:paraId="7DF00680" w14:textId="77777777" w:rsidR="00FC0498" w:rsidRPr="00034E9B" w:rsidRDefault="00FC0498" w:rsidP="00FF6CBF">
            <w:pPr>
              <w:pStyle w:val="CGCTablerow"/>
              <w:keepNext/>
              <w:keepLines/>
              <w:jc w:val="right"/>
              <w:rPr>
                <w:lang w:eastAsia="en-AU"/>
              </w:rPr>
            </w:pPr>
            <w:r w:rsidRPr="00034E9B">
              <w:rPr>
                <w:lang w:eastAsia="en-AU"/>
              </w:rPr>
              <w:t>-3,689</w:t>
            </w:r>
          </w:p>
        </w:tc>
        <w:tc>
          <w:tcPr>
            <w:tcW w:w="700" w:type="dxa"/>
            <w:shd w:val="clear" w:color="auto" w:fill="auto"/>
            <w:noWrap/>
            <w:vAlign w:val="bottom"/>
            <w:hideMark/>
          </w:tcPr>
          <w:p w14:paraId="7C364579" w14:textId="77777777" w:rsidR="00FC0498" w:rsidRPr="00034E9B" w:rsidRDefault="00FC0498" w:rsidP="00FF6CBF">
            <w:pPr>
              <w:pStyle w:val="CGCTablerow"/>
              <w:keepNext/>
              <w:keepLines/>
              <w:jc w:val="right"/>
              <w:rPr>
                <w:lang w:eastAsia="en-AU"/>
              </w:rPr>
            </w:pPr>
            <w:r w:rsidRPr="00034E9B">
              <w:rPr>
                <w:lang w:eastAsia="en-AU"/>
              </w:rPr>
              <w:t>2,073</w:t>
            </w:r>
          </w:p>
        </w:tc>
        <w:tc>
          <w:tcPr>
            <w:tcW w:w="700" w:type="dxa"/>
            <w:shd w:val="clear" w:color="auto" w:fill="auto"/>
            <w:noWrap/>
            <w:vAlign w:val="bottom"/>
            <w:hideMark/>
          </w:tcPr>
          <w:p w14:paraId="49141F3A" w14:textId="77777777" w:rsidR="00FC0498" w:rsidRPr="00034E9B" w:rsidRDefault="00FC0498" w:rsidP="00FF6CBF">
            <w:pPr>
              <w:pStyle w:val="CGCTablerow"/>
              <w:keepNext/>
              <w:keepLines/>
              <w:jc w:val="right"/>
              <w:rPr>
                <w:lang w:eastAsia="en-AU"/>
              </w:rPr>
            </w:pPr>
            <w:r w:rsidRPr="00034E9B">
              <w:rPr>
                <w:lang w:eastAsia="en-AU"/>
              </w:rPr>
              <w:t>862</w:t>
            </w:r>
          </w:p>
        </w:tc>
        <w:tc>
          <w:tcPr>
            <w:tcW w:w="640" w:type="dxa"/>
            <w:shd w:val="clear" w:color="auto" w:fill="auto"/>
            <w:noWrap/>
            <w:vAlign w:val="bottom"/>
            <w:hideMark/>
          </w:tcPr>
          <w:p w14:paraId="23FEE00B" w14:textId="77777777" w:rsidR="00FC0498" w:rsidRPr="00034E9B" w:rsidRDefault="00FC0498" w:rsidP="00FF6CBF">
            <w:pPr>
              <w:pStyle w:val="CGCTablerow"/>
              <w:keepNext/>
              <w:keepLines/>
              <w:jc w:val="right"/>
              <w:rPr>
                <w:lang w:eastAsia="en-AU"/>
              </w:rPr>
            </w:pPr>
            <w:r w:rsidRPr="00034E9B">
              <w:rPr>
                <w:lang w:eastAsia="en-AU"/>
              </w:rPr>
              <w:t>748</w:t>
            </w:r>
          </w:p>
        </w:tc>
        <w:tc>
          <w:tcPr>
            <w:tcW w:w="640" w:type="dxa"/>
            <w:shd w:val="clear" w:color="auto" w:fill="auto"/>
            <w:noWrap/>
            <w:vAlign w:val="bottom"/>
            <w:hideMark/>
          </w:tcPr>
          <w:p w14:paraId="03E5D606" w14:textId="77777777" w:rsidR="00FC0498" w:rsidRPr="00034E9B" w:rsidRDefault="00FC0498" w:rsidP="00FF6CBF">
            <w:pPr>
              <w:pStyle w:val="CGCTablerow"/>
              <w:keepNext/>
              <w:keepLines/>
              <w:jc w:val="right"/>
              <w:rPr>
                <w:lang w:eastAsia="en-AU"/>
              </w:rPr>
            </w:pPr>
            <w:r w:rsidRPr="00034E9B">
              <w:rPr>
                <w:lang w:eastAsia="en-AU"/>
              </w:rPr>
              <w:t>255</w:t>
            </w:r>
          </w:p>
        </w:tc>
        <w:tc>
          <w:tcPr>
            <w:tcW w:w="600" w:type="dxa"/>
            <w:shd w:val="clear" w:color="auto" w:fill="auto"/>
            <w:noWrap/>
            <w:vAlign w:val="bottom"/>
            <w:hideMark/>
          </w:tcPr>
          <w:p w14:paraId="2350575C" w14:textId="77777777" w:rsidR="00FC0498" w:rsidRPr="00034E9B" w:rsidRDefault="00FC0498" w:rsidP="00FF6CBF">
            <w:pPr>
              <w:pStyle w:val="CGCTablerow"/>
              <w:keepNext/>
              <w:keepLines/>
              <w:jc w:val="right"/>
              <w:rPr>
                <w:lang w:eastAsia="en-AU"/>
              </w:rPr>
            </w:pPr>
            <w:r w:rsidRPr="00034E9B">
              <w:rPr>
                <w:lang w:eastAsia="en-AU"/>
              </w:rPr>
              <w:t>15</w:t>
            </w:r>
          </w:p>
        </w:tc>
        <w:tc>
          <w:tcPr>
            <w:tcW w:w="700" w:type="dxa"/>
            <w:shd w:val="clear" w:color="auto" w:fill="auto"/>
            <w:noWrap/>
            <w:vAlign w:val="bottom"/>
            <w:hideMark/>
          </w:tcPr>
          <w:p w14:paraId="5C341A38" w14:textId="77777777" w:rsidR="00FC0498" w:rsidRPr="00034E9B" w:rsidRDefault="00FC0498" w:rsidP="00FF6CBF">
            <w:pPr>
              <w:pStyle w:val="CGCTablerow"/>
              <w:keepNext/>
              <w:keepLines/>
              <w:jc w:val="right"/>
              <w:rPr>
                <w:lang w:eastAsia="en-AU"/>
              </w:rPr>
            </w:pPr>
            <w:r w:rsidRPr="00034E9B">
              <w:rPr>
                <w:lang w:eastAsia="en-AU"/>
              </w:rPr>
              <w:t>179</w:t>
            </w:r>
          </w:p>
        </w:tc>
        <w:tc>
          <w:tcPr>
            <w:tcW w:w="700" w:type="dxa"/>
            <w:shd w:val="clear" w:color="auto" w:fill="auto"/>
            <w:noWrap/>
            <w:vAlign w:val="bottom"/>
            <w:hideMark/>
          </w:tcPr>
          <w:p w14:paraId="55DEC037" w14:textId="77777777" w:rsidR="00FC0498" w:rsidRPr="00034E9B" w:rsidRDefault="00FC0498" w:rsidP="00FF6CBF">
            <w:pPr>
              <w:pStyle w:val="CGCTablerow"/>
              <w:keepNext/>
              <w:keepLines/>
              <w:jc w:val="right"/>
              <w:rPr>
                <w:lang w:eastAsia="en-AU"/>
              </w:rPr>
            </w:pPr>
            <w:r w:rsidRPr="00034E9B">
              <w:rPr>
                <w:lang w:eastAsia="en-AU"/>
              </w:rPr>
              <w:t>5,606</w:t>
            </w:r>
          </w:p>
        </w:tc>
      </w:tr>
      <w:tr w:rsidR="00FC0498" w:rsidRPr="00034E9B" w14:paraId="049E16E7" w14:textId="77777777" w:rsidTr="00CB7BE6">
        <w:trPr>
          <w:trHeight w:val="315"/>
        </w:trPr>
        <w:tc>
          <w:tcPr>
            <w:tcW w:w="2900" w:type="dxa"/>
            <w:shd w:val="clear" w:color="auto" w:fill="auto"/>
            <w:noWrap/>
            <w:vAlign w:val="bottom"/>
            <w:hideMark/>
          </w:tcPr>
          <w:p w14:paraId="36AD1961" w14:textId="77777777" w:rsidR="00FC0498" w:rsidRPr="00034E9B" w:rsidRDefault="00FC0498" w:rsidP="00FF6CBF">
            <w:pPr>
              <w:pStyle w:val="CGCTablerow"/>
              <w:keepNext/>
              <w:keepLines/>
              <w:rPr>
                <w:lang w:eastAsia="en-AU"/>
              </w:rPr>
            </w:pPr>
            <w:r w:rsidRPr="00034E9B">
              <w:rPr>
                <w:lang w:eastAsia="en-AU"/>
              </w:rPr>
              <w:t>Taxable payrolls</w:t>
            </w:r>
          </w:p>
        </w:tc>
        <w:tc>
          <w:tcPr>
            <w:tcW w:w="700" w:type="dxa"/>
            <w:shd w:val="clear" w:color="auto" w:fill="auto"/>
            <w:noWrap/>
            <w:vAlign w:val="bottom"/>
            <w:hideMark/>
          </w:tcPr>
          <w:p w14:paraId="29B36FE9" w14:textId="77777777" w:rsidR="00FC0498" w:rsidRPr="00034E9B" w:rsidRDefault="00FC0498" w:rsidP="00FF6CBF">
            <w:pPr>
              <w:pStyle w:val="CGCTablerow"/>
              <w:keepNext/>
              <w:keepLines/>
              <w:jc w:val="right"/>
              <w:rPr>
                <w:lang w:eastAsia="en-AU"/>
              </w:rPr>
            </w:pPr>
            <w:r w:rsidRPr="00034E9B">
              <w:rPr>
                <w:lang w:eastAsia="en-AU"/>
              </w:rPr>
              <w:t>-1,110</w:t>
            </w:r>
          </w:p>
        </w:tc>
        <w:tc>
          <w:tcPr>
            <w:tcW w:w="700" w:type="dxa"/>
            <w:shd w:val="clear" w:color="auto" w:fill="auto"/>
            <w:noWrap/>
            <w:vAlign w:val="bottom"/>
            <w:hideMark/>
          </w:tcPr>
          <w:p w14:paraId="63D91708" w14:textId="77777777" w:rsidR="00FC0498" w:rsidRPr="00034E9B" w:rsidRDefault="00FC0498" w:rsidP="00FF6CBF">
            <w:pPr>
              <w:pStyle w:val="CGCTablerow"/>
              <w:keepNext/>
              <w:keepLines/>
              <w:jc w:val="right"/>
              <w:rPr>
                <w:lang w:eastAsia="en-AU"/>
              </w:rPr>
            </w:pPr>
            <w:r w:rsidRPr="00034E9B">
              <w:rPr>
                <w:lang w:eastAsia="en-AU"/>
              </w:rPr>
              <w:t>1,588</w:t>
            </w:r>
          </w:p>
        </w:tc>
        <w:tc>
          <w:tcPr>
            <w:tcW w:w="700" w:type="dxa"/>
            <w:shd w:val="clear" w:color="auto" w:fill="auto"/>
            <w:noWrap/>
            <w:vAlign w:val="bottom"/>
            <w:hideMark/>
          </w:tcPr>
          <w:p w14:paraId="1A55827F" w14:textId="77777777" w:rsidR="00FC0498" w:rsidRPr="00034E9B" w:rsidRDefault="00FC0498" w:rsidP="00FF6CBF">
            <w:pPr>
              <w:pStyle w:val="CGCTablerow"/>
              <w:keepNext/>
              <w:keepLines/>
              <w:jc w:val="right"/>
              <w:rPr>
                <w:lang w:eastAsia="en-AU"/>
              </w:rPr>
            </w:pPr>
            <w:r w:rsidRPr="00034E9B">
              <w:rPr>
                <w:lang w:eastAsia="en-AU"/>
              </w:rPr>
              <w:t>1,673</w:t>
            </w:r>
          </w:p>
        </w:tc>
        <w:tc>
          <w:tcPr>
            <w:tcW w:w="700" w:type="dxa"/>
            <w:shd w:val="clear" w:color="auto" w:fill="auto"/>
            <w:noWrap/>
            <w:vAlign w:val="bottom"/>
            <w:hideMark/>
          </w:tcPr>
          <w:p w14:paraId="5D7C0DE3" w14:textId="77777777" w:rsidR="00FC0498" w:rsidRPr="00034E9B" w:rsidRDefault="00FC0498" w:rsidP="00FF6CBF">
            <w:pPr>
              <w:pStyle w:val="CGCTablerow"/>
              <w:keepNext/>
              <w:keepLines/>
              <w:jc w:val="right"/>
              <w:rPr>
                <w:lang w:eastAsia="en-AU"/>
              </w:rPr>
            </w:pPr>
            <w:r w:rsidRPr="00034E9B">
              <w:rPr>
                <w:lang w:eastAsia="en-AU"/>
              </w:rPr>
              <w:t>-713</w:t>
            </w:r>
          </w:p>
        </w:tc>
        <w:tc>
          <w:tcPr>
            <w:tcW w:w="640" w:type="dxa"/>
            <w:shd w:val="clear" w:color="auto" w:fill="auto"/>
            <w:noWrap/>
            <w:vAlign w:val="bottom"/>
            <w:hideMark/>
          </w:tcPr>
          <w:p w14:paraId="7B2DAFCD" w14:textId="77777777" w:rsidR="00FC0498" w:rsidRPr="00034E9B" w:rsidRDefault="00FC0498" w:rsidP="00FF6CBF">
            <w:pPr>
              <w:pStyle w:val="CGCTablerow"/>
              <w:keepNext/>
              <w:keepLines/>
              <w:jc w:val="right"/>
              <w:rPr>
                <w:lang w:eastAsia="en-AU"/>
              </w:rPr>
            </w:pPr>
            <w:r w:rsidRPr="00034E9B">
              <w:rPr>
                <w:lang w:eastAsia="en-AU"/>
              </w:rPr>
              <w:t>450</w:t>
            </w:r>
          </w:p>
        </w:tc>
        <w:tc>
          <w:tcPr>
            <w:tcW w:w="640" w:type="dxa"/>
            <w:shd w:val="clear" w:color="auto" w:fill="auto"/>
            <w:noWrap/>
            <w:vAlign w:val="bottom"/>
            <w:hideMark/>
          </w:tcPr>
          <w:p w14:paraId="22BE52B8" w14:textId="77777777" w:rsidR="00FC0498" w:rsidRPr="00034E9B" w:rsidRDefault="00FC0498" w:rsidP="00FF6CBF">
            <w:pPr>
              <w:pStyle w:val="CGCTablerow"/>
              <w:keepNext/>
              <w:keepLines/>
              <w:jc w:val="right"/>
              <w:rPr>
                <w:lang w:eastAsia="en-AU"/>
              </w:rPr>
            </w:pPr>
            <w:r w:rsidRPr="00034E9B">
              <w:rPr>
                <w:lang w:eastAsia="en-AU"/>
              </w:rPr>
              <w:t>216</w:t>
            </w:r>
          </w:p>
        </w:tc>
        <w:tc>
          <w:tcPr>
            <w:tcW w:w="600" w:type="dxa"/>
            <w:shd w:val="clear" w:color="auto" w:fill="auto"/>
            <w:noWrap/>
            <w:vAlign w:val="bottom"/>
            <w:hideMark/>
          </w:tcPr>
          <w:p w14:paraId="7A78316F" w14:textId="77777777" w:rsidR="00FC0498" w:rsidRPr="00034E9B" w:rsidRDefault="00FC0498" w:rsidP="00FF6CBF">
            <w:pPr>
              <w:pStyle w:val="CGCTablerow"/>
              <w:keepNext/>
              <w:keepLines/>
              <w:jc w:val="right"/>
              <w:rPr>
                <w:lang w:eastAsia="en-AU"/>
              </w:rPr>
            </w:pPr>
            <w:r w:rsidRPr="00034E9B">
              <w:rPr>
                <w:lang w:eastAsia="en-AU"/>
              </w:rPr>
              <w:t>-4</w:t>
            </w:r>
          </w:p>
        </w:tc>
        <w:tc>
          <w:tcPr>
            <w:tcW w:w="700" w:type="dxa"/>
            <w:shd w:val="clear" w:color="auto" w:fill="auto"/>
            <w:noWrap/>
            <w:vAlign w:val="bottom"/>
            <w:hideMark/>
          </w:tcPr>
          <w:p w14:paraId="700D724C" w14:textId="77777777" w:rsidR="00FC0498" w:rsidRPr="00034E9B" w:rsidRDefault="00FC0498" w:rsidP="00FF6CBF">
            <w:pPr>
              <w:pStyle w:val="CGCTablerow"/>
              <w:keepNext/>
              <w:keepLines/>
              <w:jc w:val="right"/>
              <w:rPr>
                <w:lang w:eastAsia="en-AU"/>
              </w:rPr>
            </w:pPr>
            <w:r w:rsidRPr="00034E9B">
              <w:rPr>
                <w:lang w:eastAsia="en-AU"/>
              </w:rPr>
              <w:t>-66</w:t>
            </w:r>
          </w:p>
        </w:tc>
        <w:tc>
          <w:tcPr>
            <w:tcW w:w="700" w:type="dxa"/>
            <w:shd w:val="clear" w:color="auto" w:fill="auto"/>
            <w:noWrap/>
            <w:vAlign w:val="bottom"/>
            <w:hideMark/>
          </w:tcPr>
          <w:p w14:paraId="4EE6BAEE" w14:textId="77777777" w:rsidR="00FC0498" w:rsidRPr="00034E9B" w:rsidRDefault="00FC0498" w:rsidP="00FF6CBF">
            <w:pPr>
              <w:pStyle w:val="CGCTablerow"/>
              <w:keepNext/>
              <w:keepLines/>
              <w:jc w:val="right"/>
              <w:rPr>
                <w:lang w:eastAsia="en-AU"/>
              </w:rPr>
            </w:pPr>
            <w:r w:rsidRPr="00034E9B">
              <w:rPr>
                <w:lang w:eastAsia="en-AU"/>
              </w:rPr>
              <w:t>2,910</w:t>
            </w:r>
          </w:p>
        </w:tc>
      </w:tr>
      <w:tr w:rsidR="00FC0498" w:rsidRPr="00034E9B" w14:paraId="1B0D7E05" w14:textId="77777777" w:rsidTr="00CB7BE6">
        <w:trPr>
          <w:trHeight w:val="315"/>
        </w:trPr>
        <w:tc>
          <w:tcPr>
            <w:tcW w:w="2900" w:type="dxa"/>
            <w:shd w:val="clear" w:color="auto" w:fill="auto"/>
            <w:noWrap/>
            <w:vAlign w:val="bottom"/>
            <w:hideMark/>
          </w:tcPr>
          <w:p w14:paraId="3FE1589C" w14:textId="77777777" w:rsidR="00FC0498" w:rsidRPr="00034E9B" w:rsidRDefault="00FC0498" w:rsidP="00FF6CBF">
            <w:pPr>
              <w:pStyle w:val="CGCTablerow"/>
              <w:keepNext/>
              <w:keepLines/>
              <w:rPr>
                <w:lang w:eastAsia="en-AU"/>
              </w:rPr>
            </w:pPr>
            <w:r w:rsidRPr="00034E9B">
              <w:rPr>
                <w:lang w:eastAsia="en-AU"/>
              </w:rPr>
              <w:t>Taxable land values</w:t>
            </w:r>
          </w:p>
        </w:tc>
        <w:tc>
          <w:tcPr>
            <w:tcW w:w="700" w:type="dxa"/>
            <w:shd w:val="clear" w:color="auto" w:fill="auto"/>
            <w:noWrap/>
            <w:vAlign w:val="bottom"/>
            <w:hideMark/>
          </w:tcPr>
          <w:p w14:paraId="43113775" w14:textId="77777777" w:rsidR="00FC0498" w:rsidRPr="00034E9B" w:rsidRDefault="00FC0498" w:rsidP="00FF6CBF">
            <w:pPr>
              <w:pStyle w:val="CGCTablerow"/>
              <w:keepNext/>
              <w:keepLines/>
              <w:jc w:val="right"/>
              <w:rPr>
                <w:lang w:eastAsia="en-AU"/>
              </w:rPr>
            </w:pPr>
            <w:r w:rsidRPr="00034E9B">
              <w:rPr>
                <w:lang w:eastAsia="en-AU"/>
              </w:rPr>
              <w:t>-1,231</w:t>
            </w:r>
          </w:p>
        </w:tc>
        <w:tc>
          <w:tcPr>
            <w:tcW w:w="700" w:type="dxa"/>
            <w:shd w:val="clear" w:color="auto" w:fill="auto"/>
            <w:noWrap/>
            <w:vAlign w:val="bottom"/>
            <w:hideMark/>
          </w:tcPr>
          <w:p w14:paraId="068954BB" w14:textId="77777777" w:rsidR="00FC0498" w:rsidRPr="00034E9B" w:rsidRDefault="00FC0498" w:rsidP="00FF6CBF">
            <w:pPr>
              <w:pStyle w:val="CGCTablerow"/>
              <w:keepNext/>
              <w:keepLines/>
              <w:jc w:val="right"/>
              <w:rPr>
                <w:lang w:eastAsia="en-AU"/>
              </w:rPr>
            </w:pPr>
            <w:r w:rsidRPr="00034E9B">
              <w:rPr>
                <w:lang w:eastAsia="en-AU"/>
              </w:rPr>
              <w:t>-979</w:t>
            </w:r>
          </w:p>
        </w:tc>
        <w:tc>
          <w:tcPr>
            <w:tcW w:w="700" w:type="dxa"/>
            <w:shd w:val="clear" w:color="auto" w:fill="auto"/>
            <w:noWrap/>
            <w:vAlign w:val="bottom"/>
            <w:hideMark/>
          </w:tcPr>
          <w:p w14:paraId="5D843983" w14:textId="77777777" w:rsidR="00FC0498" w:rsidRPr="00034E9B" w:rsidRDefault="00FC0498" w:rsidP="00FF6CBF">
            <w:pPr>
              <w:pStyle w:val="CGCTablerow"/>
              <w:keepNext/>
              <w:keepLines/>
              <w:jc w:val="right"/>
              <w:rPr>
                <w:lang w:eastAsia="en-AU"/>
              </w:rPr>
            </w:pPr>
            <w:r w:rsidRPr="00034E9B">
              <w:rPr>
                <w:lang w:eastAsia="en-AU"/>
              </w:rPr>
              <w:t>1,589</w:t>
            </w:r>
          </w:p>
        </w:tc>
        <w:tc>
          <w:tcPr>
            <w:tcW w:w="700" w:type="dxa"/>
            <w:shd w:val="clear" w:color="auto" w:fill="auto"/>
            <w:noWrap/>
            <w:vAlign w:val="bottom"/>
            <w:hideMark/>
          </w:tcPr>
          <w:p w14:paraId="349F3D8B" w14:textId="77777777" w:rsidR="00FC0498" w:rsidRPr="00034E9B" w:rsidRDefault="00FC0498" w:rsidP="00FF6CBF">
            <w:pPr>
              <w:pStyle w:val="CGCTablerow"/>
              <w:keepNext/>
              <w:keepLines/>
              <w:jc w:val="right"/>
              <w:rPr>
                <w:lang w:eastAsia="en-AU"/>
              </w:rPr>
            </w:pPr>
            <w:r w:rsidRPr="00034E9B">
              <w:rPr>
                <w:lang w:eastAsia="en-AU"/>
              </w:rPr>
              <w:t>-42</w:t>
            </w:r>
          </w:p>
        </w:tc>
        <w:tc>
          <w:tcPr>
            <w:tcW w:w="640" w:type="dxa"/>
            <w:shd w:val="clear" w:color="auto" w:fill="auto"/>
            <w:noWrap/>
            <w:vAlign w:val="bottom"/>
            <w:hideMark/>
          </w:tcPr>
          <w:p w14:paraId="5C08C700" w14:textId="77777777" w:rsidR="00FC0498" w:rsidRPr="00034E9B" w:rsidRDefault="00FC0498" w:rsidP="00FF6CBF">
            <w:pPr>
              <w:pStyle w:val="CGCTablerow"/>
              <w:keepNext/>
              <w:keepLines/>
              <w:jc w:val="right"/>
              <w:rPr>
                <w:lang w:eastAsia="en-AU"/>
              </w:rPr>
            </w:pPr>
            <w:r w:rsidRPr="00034E9B">
              <w:rPr>
                <w:lang w:eastAsia="en-AU"/>
              </w:rPr>
              <w:t>287</w:t>
            </w:r>
          </w:p>
        </w:tc>
        <w:tc>
          <w:tcPr>
            <w:tcW w:w="640" w:type="dxa"/>
            <w:shd w:val="clear" w:color="auto" w:fill="auto"/>
            <w:noWrap/>
            <w:vAlign w:val="bottom"/>
            <w:hideMark/>
          </w:tcPr>
          <w:p w14:paraId="57C72C1B" w14:textId="77777777" w:rsidR="00FC0498" w:rsidRPr="00034E9B" w:rsidRDefault="00FC0498" w:rsidP="00FF6CBF">
            <w:pPr>
              <w:pStyle w:val="CGCTablerow"/>
              <w:keepNext/>
              <w:keepLines/>
              <w:jc w:val="right"/>
              <w:rPr>
                <w:lang w:eastAsia="en-AU"/>
              </w:rPr>
            </w:pPr>
            <w:r w:rsidRPr="00034E9B">
              <w:rPr>
                <w:lang w:eastAsia="en-AU"/>
              </w:rPr>
              <w:t>115</w:t>
            </w:r>
          </w:p>
        </w:tc>
        <w:tc>
          <w:tcPr>
            <w:tcW w:w="600" w:type="dxa"/>
            <w:shd w:val="clear" w:color="auto" w:fill="auto"/>
            <w:noWrap/>
            <w:vAlign w:val="bottom"/>
            <w:hideMark/>
          </w:tcPr>
          <w:p w14:paraId="0EF3F13C" w14:textId="77777777" w:rsidR="00FC0498" w:rsidRPr="00034E9B" w:rsidRDefault="00FC0498" w:rsidP="00FF6CBF">
            <w:pPr>
              <w:pStyle w:val="CGCTablerow"/>
              <w:keepNext/>
              <w:keepLines/>
              <w:jc w:val="right"/>
              <w:rPr>
                <w:lang w:eastAsia="en-AU"/>
              </w:rPr>
            </w:pPr>
            <w:r w:rsidRPr="00034E9B">
              <w:rPr>
                <w:lang w:eastAsia="en-AU"/>
              </w:rPr>
              <w:t>54</w:t>
            </w:r>
          </w:p>
        </w:tc>
        <w:tc>
          <w:tcPr>
            <w:tcW w:w="700" w:type="dxa"/>
            <w:shd w:val="clear" w:color="auto" w:fill="auto"/>
            <w:noWrap/>
            <w:vAlign w:val="bottom"/>
            <w:hideMark/>
          </w:tcPr>
          <w:p w14:paraId="3F7A5414" w14:textId="77777777" w:rsidR="00FC0498" w:rsidRPr="00034E9B" w:rsidRDefault="00FC0498" w:rsidP="00FF6CBF">
            <w:pPr>
              <w:pStyle w:val="CGCTablerow"/>
              <w:keepNext/>
              <w:keepLines/>
              <w:jc w:val="right"/>
              <w:rPr>
                <w:lang w:eastAsia="en-AU"/>
              </w:rPr>
            </w:pPr>
            <w:r w:rsidRPr="00034E9B">
              <w:rPr>
                <w:lang w:eastAsia="en-AU"/>
              </w:rPr>
              <w:t>35</w:t>
            </w:r>
          </w:p>
        </w:tc>
        <w:tc>
          <w:tcPr>
            <w:tcW w:w="700" w:type="dxa"/>
            <w:shd w:val="clear" w:color="auto" w:fill="auto"/>
            <w:noWrap/>
            <w:vAlign w:val="bottom"/>
            <w:hideMark/>
          </w:tcPr>
          <w:p w14:paraId="52F84F78" w14:textId="77777777" w:rsidR="00FC0498" w:rsidRPr="00034E9B" w:rsidRDefault="00FC0498" w:rsidP="00FF6CBF">
            <w:pPr>
              <w:pStyle w:val="CGCTablerow"/>
              <w:keepNext/>
              <w:keepLines/>
              <w:jc w:val="right"/>
              <w:rPr>
                <w:lang w:eastAsia="en-AU"/>
              </w:rPr>
            </w:pPr>
            <w:r w:rsidRPr="00034E9B">
              <w:rPr>
                <w:lang w:eastAsia="en-AU"/>
              </w:rPr>
              <w:t>2,166</w:t>
            </w:r>
          </w:p>
        </w:tc>
      </w:tr>
      <w:tr w:rsidR="00FC0498" w:rsidRPr="00034E9B" w14:paraId="6CA2BCE3" w14:textId="77777777" w:rsidTr="00CB7BE6">
        <w:trPr>
          <w:trHeight w:val="315"/>
        </w:trPr>
        <w:tc>
          <w:tcPr>
            <w:tcW w:w="2900" w:type="dxa"/>
            <w:tcBorders>
              <w:bottom w:val="single" w:sz="4" w:space="0" w:color="ADD6EA"/>
            </w:tcBorders>
            <w:shd w:val="clear" w:color="auto" w:fill="auto"/>
            <w:noWrap/>
            <w:vAlign w:val="bottom"/>
            <w:hideMark/>
          </w:tcPr>
          <w:p w14:paraId="6FA84DF8" w14:textId="77777777" w:rsidR="00FC0498" w:rsidRPr="00034E9B" w:rsidRDefault="00FC0498" w:rsidP="00FF6CBF">
            <w:pPr>
              <w:pStyle w:val="CGCTablerow"/>
              <w:keepNext/>
              <w:keepLines/>
              <w:rPr>
                <w:lang w:eastAsia="en-AU"/>
              </w:rPr>
            </w:pPr>
            <w:r w:rsidRPr="00034E9B">
              <w:rPr>
                <w:lang w:eastAsia="en-AU"/>
              </w:rPr>
              <w:t>Other revenue</w:t>
            </w:r>
          </w:p>
        </w:tc>
        <w:tc>
          <w:tcPr>
            <w:tcW w:w="700" w:type="dxa"/>
            <w:tcBorders>
              <w:bottom w:val="single" w:sz="4" w:space="0" w:color="ADD6EA"/>
            </w:tcBorders>
            <w:shd w:val="clear" w:color="auto" w:fill="auto"/>
            <w:noWrap/>
            <w:vAlign w:val="bottom"/>
            <w:hideMark/>
          </w:tcPr>
          <w:p w14:paraId="26C4203A" w14:textId="77777777" w:rsidR="00FC0498" w:rsidRPr="00034E9B" w:rsidRDefault="00FC0498" w:rsidP="00FF6CBF">
            <w:pPr>
              <w:pStyle w:val="CGCTablerow"/>
              <w:keepNext/>
              <w:keepLines/>
              <w:jc w:val="right"/>
              <w:rPr>
                <w:lang w:eastAsia="en-AU"/>
              </w:rPr>
            </w:pPr>
            <w:r w:rsidRPr="00034E9B">
              <w:rPr>
                <w:lang w:eastAsia="en-AU"/>
              </w:rPr>
              <w:t>261</w:t>
            </w:r>
          </w:p>
        </w:tc>
        <w:tc>
          <w:tcPr>
            <w:tcW w:w="700" w:type="dxa"/>
            <w:tcBorders>
              <w:bottom w:val="single" w:sz="4" w:space="0" w:color="ADD6EA"/>
            </w:tcBorders>
            <w:shd w:val="clear" w:color="auto" w:fill="auto"/>
            <w:noWrap/>
            <w:vAlign w:val="bottom"/>
            <w:hideMark/>
          </w:tcPr>
          <w:p w14:paraId="4D1511BC" w14:textId="77777777" w:rsidR="00FC0498" w:rsidRPr="00034E9B" w:rsidRDefault="00FC0498" w:rsidP="00FF6CBF">
            <w:pPr>
              <w:pStyle w:val="CGCTablerow"/>
              <w:keepNext/>
              <w:keepLines/>
              <w:jc w:val="right"/>
              <w:rPr>
                <w:lang w:eastAsia="en-AU"/>
              </w:rPr>
            </w:pPr>
            <w:r w:rsidRPr="00034E9B">
              <w:rPr>
                <w:lang w:eastAsia="en-AU"/>
              </w:rPr>
              <w:t>508</w:t>
            </w:r>
          </w:p>
        </w:tc>
        <w:tc>
          <w:tcPr>
            <w:tcW w:w="700" w:type="dxa"/>
            <w:tcBorders>
              <w:bottom w:val="single" w:sz="4" w:space="0" w:color="ADD6EA"/>
            </w:tcBorders>
            <w:shd w:val="clear" w:color="auto" w:fill="auto"/>
            <w:noWrap/>
            <w:vAlign w:val="bottom"/>
            <w:hideMark/>
          </w:tcPr>
          <w:p w14:paraId="3C5629C5" w14:textId="77777777" w:rsidR="00FC0498" w:rsidRPr="00034E9B" w:rsidRDefault="00FC0498" w:rsidP="00FF6CBF">
            <w:pPr>
              <w:pStyle w:val="CGCTablerow"/>
              <w:keepNext/>
              <w:keepLines/>
              <w:jc w:val="right"/>
              <w:rPr>
                <w:lang w:eastAsia="en-AU"/>
              </w:rPr>
            </w:pPr>
            <w:r w:rsidRPr="00034E9B">
              <w:rPr>
                <w:lang w:eastAsia="en-AU"/>
              </w:rPr>
              <w:t>-214</w:t>
            </w:r>
          </w:p>
        </w:tc>
        <w:tc>
          <w:tcPr>
            <w:tcW w:w="700" w:type="dxa"/>
            <w:tcBorders>
              <w:bottom w:val="single" w:sz="4" w:space="0" w:color="ADD6EA"/>
            </w:tcBorders>
            <w:shd w:val="clear" w:color="auto" w:fill="auto"/>
            <w:noWrap/>
            <w:vAlign w:val="bottom"/>
            <w:hideMark/>
          </w:tcPr>
          <w:p w14:paraId="508D478D" w14:textId="77777777" w:rsidR="00FC0498" w:rsidRPr="00034E9B" w:rsidRDefault="00FC0498" w:rsidP="00FF6CBF">
            <w:pPr>
              <w:pStyle w:val="CGCTablerow"/>
              <w:keepNext/>
              <w:keepLines/>
              <w:jc w:val="right"/>
              <w:rPr>
                <w:lang w:eastAsia="en-AU"/>
              </w:rPr>
            </w:pPr>
            <w:r w:rsidRPr="00034E9B">
              <w:rPr>
                <w:lang w:eastAsia="en-AU"/>
              </w:rPr>
              <w:t>-170</w:t>
            </w:r>
          </w:p>
        </w:tc>
        <w:tc>
          <w:tcPr>
            <w:tcW w:w="640" w:type="dxa"/>
            <w:tcBorders>
              <w:bottom w:val="single" w:sz="4" w:space="0" w:color="ADD6EA"/>
            </w:tcBorders>
            <w:shd w:val="clear" w:color="auto" w:fill="auto"/>
            <w:noWrap/>
            <w:vAlign w:val="bottom"/>
            <w:hideMark/>
          </w:tcPr>
          <w:p w14:paraId="56FED605" w14:textId="77777777" w:rsidR="00FC0498" w:rsidRPr="00034E9B" w:rsidRDefault="00FC0498" w:rsidP="00FF6CBF">
            <w:pPr>
              <w:pStyle w:val="CGCTablerow"/>
              <w:keepNext/>
              <w:keepLines/>
              <w:jc w:val="right"/>
              <w:rPr>
                <w:lang w:eastAsia="en-AU"/>
              </w:rPr>
            </w:pPr>
            <w:r w:rsidRPr="00034E9B">
              <w:rPr>
                <w:lang w:eastAsia="en-AU"/>
              </w:rPr>
              <w:t>-40</w:t>
            </w:r>
          </w:p>
        </w:tc>
        <w:tc>
          <w:tcPr>
            <w:tcW w:w="640" w:type="dxa"/>
            <w:tcBorders>
              <w:bottom w:val="single" w:sz="4" w:space="0" w:color="ADD6EA"/>
            </w:tcBorders>
            <w:shd w:val="clear" w:color="auto" w:fill="auto"/>
            <w:noWrap/>
            <w:vAlign w:val="bottom"/>
            <w:hideMark/>
          </w:tcPr>
          <w:p w14:paraId="096569F1" w14:textId="77777777" w:rsidR="00FC0498" w:rsidRPr="00034E9B" w:rsidRDefault="00FC0498" w:rsidP="00FF6CBF">
            <w:pPr>
              <w:pStyle w:val="CGCTablerow"/>
              <w:keepNext/>
              <w:keepLines/>
              <w:jc w:val="right"/>
              <w:rPr>
                <w:lang w:eastAsia="en-AU"/>
              </w:rPr>
            </w:pPr>
            <w:r w:rsidRPr="00034E9B">
              <w:rPr>
                <w:lang w:eastAsia="en-AU"/>
              </w:rPr>
              <w:t>0</w:t>
            </w:r>
          </w:p>
        </w:tc>
        <w:tc>
          <w:tcPr>
            <w:tcW w:w="600" w:type="dxa"/>
            <w:tcBorders>
              <w:bottom w:val="single" w:sz="4" w:space="0" w:color="ADD6EA"/>
            </w:tcBorders>
            <w:shd w:val="clear" w:color="auto" w:fill="auto"/>
            <w:noWrap/>
            <w:vAlign w:val="bottom"/>
            <w:hideMark/>
          </w:tcPr>
          <w:p w14:paraId="129DFA27" w14:textId="77777777" w:rsidR="00FC0498" w:rsidRPr="00034E9B" w:rsidRDefault="00FC0498" w:rsidP="00FF6CBF">
            <w:pPr>
              <w:pStyle w:val="CGCTablerow"/>
              <w:keepNext/>
              <w:keepLines/>
              <w:jc w:val="right"/>
              <w:rPr>
                <w:lang w:eastAsia="en-AU"/>
              </w:rPr>
            </w:pPr>
            <w:r w:rsidRPr="00034E9B">
              <w:rPr>
                <w:lang w:eastAsia="en-AU"/>
              </w:rPr>
              <w:t>27</w:t>
            </w:r>
          </w:p>
        </w:tc>
        <w:tc>
          <w:tcPr>
            <w:tcW w:w="700" w:type="dxa"/>
            <w:tcBorders>
              <w:bottom w:val="single" w:sz="4" w:space="0" w:color="ADD6EA"/>
            </w:tcBorders>
            <w:shd w:val="clear" w:color="auto" w:fill="auto"/>
            <w:noWrap/>
            <w:vAlign w:val="bottom"/>
            <w:hideMark/>
          </w:tcPr>
          <w:p w14:paraId="5192551A" w14:textId="77777777" w:rsidR="00FC0498" w:rsidRPr="00034E9B" w:rsidRDefault="00FC0498" w:rsidP="00FF6CBF">
            <w:pPr>
              <w:pStyle w:val="CGCTablerow"/>
              <w:keepNext/>
              <w:keepLines/>
              <w:jc w:val="right"/>
              <w:rPr>
                <w:lang w:eastAsia="en-AU"/>
              </w:rPr>
            </w:pPr>
            <w:r w:rsidRPr="00034E9B">
              <w:rPr>
                <w:lang w:eastAsia="en-AU"/>
              </w:rPr>
              <w:t>6</w:t>
            </w:r>
          </w:p>
        </w:tc>
        <w:tc>
          <w:tcPr>
            <w:tcW w:w="700" w:type="dxa"/>
            <w:tcBorders>
              <w:bottom w:val="single" w:sz="4" w:space="0" w:color="ADD6EA"/>
            </w:tcBorders>
            <w:shd w:val="clear" w:color="auto" w:fill="auto"/>
            <w:noWrap/>
            <w:vAlign w:val="bottom"/>
            <w:hideMark/>
          </w:tcPr>
          <w:p w14:paraId="75D7A35A" w14:textId="77777777" w:rsidR="00FC0498" w:rsidRPr="00034E9B" w:rsidRDefault="00FC0498" w:rsidP="00FF6CBF">
            <w:pPr>
              <w:pStyle w:val="CGCTablerow"/>
              <w:keepNext/>
              <w:keepLines/>
              <w:jc w:val="right"/>
              <w:rPr>
                <w:lang w:eastAsia="en-AU"/>
              </w:rPr>
            </w:pPr>
            <w:r w:rsidRPr="00034E9B">
              <w:rPr>
                <w:lang w:eastAsia="en-AU"/>
              </w:rPr>
              <w:t>613</w:t>
            </w:r>
          </w:p>
        </w:tc>
      </w:tr>
      <w:tr w:rsidR="00FC0498" w:rsidRPr="00034E9B" w14:paraId="27F1C926" w14:textId="77777777" w:rsidTr="00CB7BE6">
        <w:trPr>
          <w:trHeight w:val="315"/>
        </w:trPr>
        <w:tc>
          <w:tcPr>
            <w:tcW w:w="2900" w:type="dxa"/>
            <w:shd w:val="clear" w:color="auto" w:fill="B6D5E4"/>
            <w:noWrap/>
            <w:vAlign w:val="bottom"/>
            <w:hideMark/>
          </w:tcPr>
          <w:p w14:paraId="3A3540C8" w14:textId="77777777" w:rsidR="00FC0498" w:rsidRPr="00034E9B" w:rsidRDefault="00FC0498" w:rsidP="00FF6CBF">
            <w:pPr>
              <w:pStyle w:val="CGCTablesubhead1"/>
              <w:keepNext/>
              <w:keepLines/>
              <w:rPr>
                <w:lang w:val="en-AU" w:eastAsia="en-AU"/>
              </w:rPr>
            </w:pPr>
            <w:r w:rsidRPr="00034E9B">
              <w:rPr>
                <w:lang w:val="en-AU" w:eastAsia="en-AU"/>
              </w:rPr>
              <w:t>Total revenue</w:t>
            </w:r>
          </w:p>
        </w:tc>
        <w:tc>
          <w:tcPr>
            <w:tcW w:w="700" w:type="dxa"/>
            <w:shd w:val="clear" w:color="auto" w:fill="B6D5E4"/>
            <w:noWrap/>
            <w:vAlign w:val="bottom"/>
            <w:hideMark/>
          </w:tcPr>
          <w:p w14:paraId="28031D49" w14:textId="77777777" w:rsidR="00FC0498" w:rsidRPr="00034E9B" w:rsidRDefault="00FC0498" w:rsidP="00FF6CBF">
            <w:pPr>
              <w:pStyle w:val="CGCTablesubhead1"/>
              <w:keepNext/>
              <w:keepLines/>
              <w:jc w:val="right"/>
              <w:rPr>
                <w:lang w:val="en-AU" w:eastAsia="en-AU"/>
              </w:rPr>
            </w:pPr>
            <w:r w:rsidRPr="00034E9B">
              <w:rPr>
                <w:lang w:val="en-AU" w:eastAsia="en-AU"/>
              </w:rPr>
              <w:t>-2,001</w:t>
            </w:r>
          </w:p>
        </w:tc>
        <w:tc>
          <w:tcPr>
            <w:tcW w:w="700" w:type="dxa"/>
            <w:shd w:val="clear" w:color="auto" w:fill="B6D5E4"/>
            <w:noWrap/>
            <w:vAlign w:val="bottom"/>
            <w:hideMark/>
          </w:tcPr>
          <w:p w14:paraId="1A875130" w14:textId="77777777" w:rsidR="00FC0498" w:rsidRPr="00034E9B" w:rsidRDefault="00FC0498" w:rsidP="00FF6CBF">
            <w:pPr>
              <w:pStyle w:val="CGCTablesubhead1"/>
              <w:keepNext/>
              <w:keepLines/>
              <w:jc w:val="right"/>
              <w:rPr>
                <w:lang w:val="en-AU" w:eastAsia="en-AU"/>
              </w:rPr>
            </w:pPr>
            <w:r w:rsidRPr="00034E9B">
              <w:rPr>
                <w:lang w:val="en-AU" w:eastAsia="en-AU"/>
              </w:rPr>
              <w:t>10,217</w:t>
            </w:r>
          </w:p>
        </w:tc>
        <w:tc>
          <w:tcPr>
            <w:tcW w:w="700" w:type="dxa"/>
            <w:shd w:val="clear" w:color="auto" w:fill="B6D5E4"/>
            <w:noWrap/>
            <w:vAlign w:val="bottom"/>
            <w:hideMark/>
          </w:tcPr>
          <w:p w14:paraId="544265D8" w14:textId="77777777" w:rsidR="00FC0498" w:rsidRPr="00034E9B" w:rsidRDefault="00FC0498" w:rsidP="00FF6CBF">
            <w:pPr>
              <w:pStyle w:val="CGCTablesubhead1"/>
              <w:keepNext/>
              <w:keepLines/>
              <w:jc w:val="right"/>
              <w:rPr>
                <w:lang w:val="en-AU" w:eastAsia="en-AU"/>
              </w:rPr>
            </w:pPr>
            <w:r w:rsidRPr="00034E9B">
              <w:rPr>
                <w:lang w:val="en-AU" w:eastAsia="en-AU"/>
              </w:rPr>
              <w:t>1,580</w:t>
            </w:r>
          </w:p>
        </w:tc>
        <w:tc>
          <w:tcPr>
            <w:tcW w:w="700" w:type="dxa"/>
            <w:shd w:val="clear" w:color="auto" w:fill="B6D5E4"/>
            <w:noWrap/>
            <w:vAlign w:val="bottom"/>
            <w:hideMark/>
          </w:tcPr>
          <w:p w14:paraId="1249ED48" w14:textId="77777777" w:rsidR="00FC0498" w:rsidRPr="00034E9B" w:rsidRDefault="00FC0498" w:rsidP="00FF6CBF">
            <w:pPr>
              <w:pStyle w:val="CGCTablesubhead1"/>
              <w:keepNext/>
              <w:keepLines/>
              <w:jc w:val="right"/>
              <w:rPr>
                <w:lang w:val="en-AU" w:eastAsia="en-AU"/>
              </w:rPr>
            </w:pPr>
            <w:r w:rsidRPr="00034E9B">
              <w:rPr>
                <w:lang w:val="en-AU" w:eastAsia="en-AU"/>
              </w:rPr>
              <w:t>-4,054</w:t>
            </w:r>
          </w:p>
        </w:tc>
        <w:tc>
          <w:tcPr>
            <w:tcW w:w="640" w:type="dxa"/>
            <w:shd w:val="clear" w:color="auto" w:fill="B6D5E4"/>
            <w:noWrap/>
            <w:vAlign w:val="bottom"/>
            <w:hideMark/>
          </w:tcPr>
          <w:p w14:paraId="3920A684" w14:textId="77777777" w:rsidR="00FC0498" w:rsidRPr="00034E9B" w:rsidRDefault="00FC0498" w:rsidP="00FF6CBF">
            <w:pPr>
              <w:pStyle w:val="CGCTablesubhead1"/>
              <w:keepNext/>
              <w:keepLines/>
              <w:jc w:val="right"/>
              <w:rPr>
                <w:lang w:val="en-AU" w:eastAsia="en-AU"/>
              </w:rPr>
            </w:pPr>
            <w:r w:rsidRPr="00034E9B">
              <w:rPr>
                <w:lang w:val="en-AU" w:eastAsia="en-AU"/>
              </w:rPr>
              <w:t>1,977</w:t>
            </w:r>
          </w:p>
        </w:tc>
        <w:tc>
          <w:tcPr>
            <w:tcW w:w="640" w:type="dxa"/>
            <w:shd w:val="clear" w:color="auto" w:fill="B6D5E4"/>
            <w:noWrap/>
            <w:vAlign w:val="bottom"/>
            <w:hideMark/>
          </w:tcPr>
          <w:p w14:paraId="34A0FB1B" w14:textId="77777777" w:rsidR="00FC0498" w:rsidRPr="00034E9B" w:rsidRDefault="00FC0498" w:rsidP="00FF6CBF">
            <w:pPr>
              <w:pStyle w:val="CGCTablesubhead1"/>
              <w:keepNext/>
              <w:keepLines/>
              <w:jc w:val="right"/>
              <w:rPr>
                <w:lang w:val="en-AU" w:eastAsia="en-AU"/>
              </w:rPr>
            </w:pPr>
            <w:r w:rsidRPr="00034E9B">
              <w:rPr>
                <w:lang w:val="en-AU" w:eastAsia="en-AU"/>
              </w:rPr>
              <w:t>793</w:t>
            </w:r>
          </w:p>
        </w:tc>
        <w:tc>
          <w:tcPr>
            <w:tcW w:w="600" w:type="dxa"/>
            <w:shd w:val="clear" w:color="auto" w:fill="B6D5E4"/>
            <w:noWrap/>
            <w:vAlign w:val="bottom"/>
            <w:hideMark/>
          </w:tcPr>
          <w:p w14:paraId="1ECE1CE4" w14:textId="77777777" w:rsidR="00FC0498" w:rsidRPr="00034E9B" w:rsidRDefault="00FC0498" w:rsidP="00FF6CBF">
            <w:pPr>
              <w:pStyle w:val="CGCTablesubhead1"/>
              <w:keepNext/>
              <w:keepLines/>
              <w:jc w:val="right"/>
              <w:rPr>
                <w:lang w:val="en-AU" w:eastAsia="en-AU"/>
              </w:rPr>
            </w:pPr>
            <w:r w:rsidRPr="00034E9B">
              <w:rPr>
                <w:lang w:val="en-AU" w:eastAsia="en-AU"/>
              </w:rPr>
              <w:t>244</w:t>
            </w:r>
          </w:p>
        </w:tc>
        <w:tc>
          <w:tcPr>
            <w:tcW w:w="700" w:type="dxa"/>
            <w:shd w:val="clear" w:color="auto" w:fill="B6D5E4"/>
            <w:noWrap/>
            <w:vAlign w:val="bottom"/>
            <w:hideMark/>
          </w:tcPr>
          <w:p w14:paraId="643727C0" w14:textId="77777777" w:rsidR="00FC0498" w:rsidRPr="00034E9B" w:rsidRDefault="00FC0498" w:rsidP="00FF6CBF">
            <w:pPr>
              <w:pStyle w:val="CGCTablesubhead1"/>
              <w:keepNext/>
              <w:keepLines/>
              <w:jc w:val="right"/>
              <w:rPr>
                <w:lang w:val="en-AU" w:eastAsia="en-AU"/>
              </w:rPr>
            </w:pPr>
            <w:r w:rsidRPr="00034E9B">
              <w:rPr>
                <w:lang w:val="en-AU" w:eastAsia="en-AU"/>
              </w:rPr>
              <w:t>62</w:t>
            </w:r>
          </w:p>
        </w:tc>
        <w:tc>
          <w:tcPr>
            <w:tcW w:w="700" w:type="dxa"/>
            <w:shd w:val="clear" w:color="auto" w:fill="B6D5E4"/>
            <w:noWrap/>
            <w:vAlign w:val="bottom"/>
            <w:hideMark/>
          </w:tcPr>
          <w:p w14:paraId="32FCD12F" w14:textId="77777777" w:rsidR="00FC0498" w:rsidRPr="00034E9B" w:rsidRDefault="00FC0498" w:rsidP="00FF6CBF">
            <w:pPr>
              <w:pStyle w:val="CGCTablesubhead1"/>
              <w:keepNext/>
              <w:keepLines/>
              <w:jc w:val="right"/>
              <w:rPr>
                <w:lang w:val="en-AU" w:eastAsia="en-AU"/>
              </w:rPr>
            </w:pPr>
            <w:r w:rsidRPr="00034E9B">
              <w:rPr>
                <w:lang w:val="en-AU" w:eastAsia="en-AU"/>
              </w:rPr>
              <w:t>10,464</w:t>
            </w:r>
          </w:p>
        </w:tc>
      </w:tr>
      <w:tr w:rsidR="00FC0498" w:rsidRPr="00034E9B" w14:paraId="1B0D5EEF" w14:textId="77777777" w:rsidTr="00CB7BE6">
        <w:trPr>
          <w:trHeight w:val="315"/>
        </w:trPr>
        <w:tc>
          <w:tcPr>
            <w:tcW w:w="2900" w:type="dxa"/>
            <w:shd w:val="clear" w:color="auto" w:fill="auto"/>
            <w:vAlign w:val="bottom"/>
            <w:hideMark/>
          </w:tcPr>
          <w:p w14:paraId="01BE7ED1" w14:textId="77777777" w:rsidR="00FC0498" w:rsidRPr="00034E9B" w:rsidRDefault="00FC0498" w:rsidP="00FF6CBF">
            <w:pPr>
              <w:pStyle w:val="CGCTablerow"/>
              <w:keepNext/>
              <w:keepLines/>
              <w:rPr>
                <w:rFonts w:ascii="Open Sans Semibold" w:hAnsi="Open Sans Semibold" w:cs="Open Sans Semibold"/>
                <w:lang w:eastAsia="en-AU"/>
              </w:rPr>
            </w:pPr>
            <w:r w:rsidRPr="00034E9B">
              <w:rPr>
                <w:rFonts w:ascii="Open Sans Semibold" w:hAnsi="Open Sans Semibold" w:cs="Open Sans Semibold"/>
                <w:lang w:eastAsia="en-AU"/>
              </w:rPr>
              <w:t>Expenditure requirements</w:t>
            </w:r>
          </w:p>
        </w:tc>
        <w:tc>
          <w:tcPr>
            <w:tcW w:w="700" w:type="dxa"/>
            <w:shd w:val="clear" w:color="auto" w:fill="auto"/>
            <w:vAlign w:val="bottom"/>
            <w:hideMark/>
          </w:tcPr>
          <w:p w14:paraId="0413BA66" w14:textId="77777777" w:rsidR="00FC0498" w:rsidRPr="00034E9B" w:rsidRDefault="00FC0498" w:rsidP="00FF6CBF">
            <w:pPr>
              <w:pStyle w:val="CGCTablerow"/>
              <w:keepNext/>
              <w:keepLines/>
              <w:jc w:val="right"/>
              <w:rPr>
                <w:rFonts w:ascii="Open Sans Semibold" w:hAnsi="Open Sans Semibold" w:cs="Open Sans Semibold"/>
                <w:lang w:eastAsia="en-AU"/>
              </w:rPr>
            </w:pPr>
          </w:p>
        </w:tc>
        <w:tc>
          <w:tcPr>
            <w:tcW w:w="700" w:type="dxa"/>
            <w:shd w:val="clear" w:color="auto" w:fill="auto"/>
            <w:vAlign w:val="bottom"/>
            <w:hideMark/>
          </w:tcPr>
          <w:p w14:paraId="03E27D74" w14:textId="77777777" w:rsidR="00FC0498" w:rsidRPr="00034E9B" w:rsidRDefault="00FC0498" w:rsidP="00FF6CBF">
            <w:pPr>
              <w:pStyle w:val="CGCTablerow"/>
              <w:keepNext/>
              <w:keepLines/>
              <w:jc w:val="right"/>
              <w:rPr>
                <w:rFonts w:ascii="Open Sans Semibold" w:hAnsi="Open Sans Semibold" w:cs="Open Sans Semibold"/>
                <w:lang w:eastAsia="en-AU"/>
              </w:rPr>
            </w:pPr>
          </w:p>
        </w:tc>
        <w:tc>
          <w:tcPr>
            <w:tcW w:w="700" w:type="dxa"/>
            <w:shd w:val="clear" w:color="auto" w:fill="auto"/>
            <w:vAlign w:val="bottom"/>
            <w:hideMark/>
          </w:tcPr>
          <w:p w14:paraId="22F37D8F" w14:textId="77777777" w:rsidR="00FC0498" w:rsidRPr="00034E9B" w:rsidRDefault="00FC0498" w:rsidP="00FF6CBF">
            <w:pPr>
              <w:pStyle w:val="CGCTablerow"/>
              <w:keepNext/>
              <w:keepLines/>
              <w:jc w:val="right"/>
              <w:rPr>
                <w:rFonts w:ascii="Open Sans Semibold" w:hAnsi="Open Sans Semibold" w:cs="Open Sans Semibold"/>
                <w:lang w:eastAsia="en-AU"/>
              </w:rPr>
            </w:pPr>
          </w:p>
        </w:tc>
        <w:tc>
          <w:tcPr>
            <w:tcW w:w="700" w:type="dxa"/>
            <w:shd w:val="clear" w:color="auto" w:fill="auto"/>
            <w:vAlign w:val="bottom"/>
            <w:hideMark/>
          </w:tcPr>
          <w:p w14:paraId="7224AAE5" w14:textId="77777777" w:rsidR="00FC0498" w:rsidRPr="00034E9B" w:rsidRDefault="00FC0498" w:rsidP="00FF6CBF">
            <w:pPr>
              <w:pStyle w:val="CGCTablerow"/>
              <w:keepNext/>
              <w:keepLines/>
              <w:jc w:val="right"/>
              <w:rPr>
                <w:rFonts w:ascii="Open Sans Semibold" w:hAnsi="Open Sans Semibold" w:cs="Open Sans Semibold"/>
                <w:lang w:eastAsia="en-AU"/>
              </w:rPr>
            </w:pPr>
          </w:p>
        </w:tc>
        <w:tc>
          <w:tcPr>
            <w:tcW w:w="640" w:type="dxa"/>
            <w:shd w:val="clear" w:color="auto" w:fill="auto"/>
            <w:vAlign w:val="bottom"/>
            <w:hideMark/>
          </w:tcPr>
          <w:p w14:paraId="03BD053C" w14:textId="77777777" w:rsidR="00FC0498" w:rsidRPr="00034E9B" w:rsidRDefault="00FC0498" w:rsidP="00FF6CBF">
            <w:pPr>
              <w:pStyle w:val="CGCTablerow"/>
              <w:keepNext/>
              <w:keepLines/>
              <w:jc w:val="right"/>
              <w:rPr>
                <w:rFonts w:ascii="Open Sans Semibold" w:hAnsi="Open Sans Semibold" w:cs="Open Sans Semibold"/>
                <w:lang w:eastAsia="en-AU"/>
              </w:rPr>
            </w:pPr>
          </w:p>
        </w:tc>
        <w:tc>
          <w:tcPr>
            <w:tcW w:w="640" w:type="dxa"/>
            <w:shd w:val="clear" w:color="auto" w:fill="auto"/>
            <w:vAlign w:val="bottom"/>
            <w:hideMark/>
          </w:tcPr>
          <w:p w14:paraId="057E93F6" w14:textId="77777777" w:rsidR="00FC0498" w:rsidRPr="00034E9B" w:rsidRDefault="00FC0498" w:rsidP="00FF6CBF">
            <w:pPr>
              <w:pStyle w:val="CGCTablerow"/>
              <w:keepNext/>
              <w:keepLines/>
              <w:jc w:val="right"/>
              <w:rPr>
                <w:rFonts w:ascii="Open Sans Semibold" w:hAnsi="Open Sans Semibold" w:cs="Open Sans Semibold"/>
                <w:lang w:eastAsia="en-AU"/>
              </w:rPr>
            </w:pPr>
          </w:p>
        </w:tc>
        <w:tc>
          <w:tcPr>
            <w:tcW w:w="600" w:type="dxa"/>
            <w:shd w:val="clear" w:color="auto" w:fill="auto"/>
            <w:vAlign w:val="bottom"/>
            <w:hideMark/>
          </w:tcPr>
          <w:p w14:paraId="63FEEA94" w14:textId="77777777" w:rsidR="00FC0498" w:rsidRPr="00034E9B" w:rsidRDefault="00FC0498" w:rsidP="00FF6CBF">
            <w:pPr>
              <w:pStyle w:val="CGCTablerow"/>
              <w:keepNext/>
              <w:keepLines/>
              <w:jc w:val="right"/>
              <w:rPr>
                <w:rFonts w:ascii="Open Sans Semibold" w:hAnsi="Open Sans Semibold" w:cs="Open Sans Semibold"/>
                <w:lang w:eastAsia="en-AU"/>
              </w:rPr>
            </w:pPr>
          </w:p>
        </w:tc>
        <w:tc>
          <w:tcPr>
            <w:tcW w:w="700" w:type="dxa"/>
            <w:shd w:val="clear" w:color="auto" w:fill="auto"/>
            <w:vAlign w:val="bottom"/>
            <w:hideMark/>
          </w:tcPr>
          <w:p w14:paraId="457A2208" w14:textId="77777777" w:rsidR="00FC0498" w:rsidRPr="00034E9B" w:rsidRDefault="00FC0498" w:rsidP="00FF6CBF">
            <w:pPr>
              <w:pStyle w:val="CGCTablerow"/>
              <w:keepNext/>
              <w:keepLines/>
              <w:jc w:val="right"/>
              <w:rPr>
                <w:rFonts w:ascii="Open Sans Semibold" w:hAnsi="Open Sans Semibold" w:cs="Open Sans Semibold"/>
                <w:lang w:eastAsia="en-AU"/>
              </w:rPr>
            </w:pPr>
          </w:p>
        </w:tc>
        <w:tc>
          <w:tcPr>
            <w:tcW w:w="700" w:type="dxa"/>
            <w:shd w:val="clear" w:color="auto" w:fill="auto"/>
            <w:vAlign w:val="bottom"/>
            <w:hideMark/>
          </w:tcPr>
          <w:p w14:paraId="797866D1" w14:textId="77777777" w:rsidR="00FC0498" w:rsidRPr="00034E9B" w:rsidRDefault="00FC0498" w:rsidP="00FF6CBF">
            <w:pPr>
              <w:pStyle w:val="CGCTablerow"/>
              <w:keepNext/>
              <w:keepLines/>
              <w:jc w:val="right"/>
              <w:rPr>
                <w:rFonts w:ascii="Open Sans Semibold" w:hAnsi="Open Sans Semibold" w:cs="Open Sans Semibold"/>
                <w:lang w:eastAsia="en-AU"/>
              </w:rPr>
            </w:pPr>
          </w:p>
        </w:tc>
      </w:tr>
      <w:tr w:rsidR="00FC0498" w:rsidRPr="00034E9B" w14:paraId="629FEE90" w14:textId="77777777" w:rsidTr="00CB7BE6">
        <w:trPr>
          <w:trHeight w:val="340"/>
        </w:trPr>
        <w:tc>
          <w:tcPr>
            <w:tcW w:w="2900" w:type="dxa"/>
            <w:shd w:val="clear" w:color="auto" w:fill="auto"/>
            <w:vAlign w:val="bottom"/>
            <w:hideMark/>
          </w:tcPr>
          <w:p w14:paraId="6AFFA5CD" w14:textId="77777777" w:rsidR="00FC0498" w:rsidRPr="00034E9B" w:rsidRDefault="00FC0498" w:rsidP="00FF6CBF">
            <w:pPr>
              <w:pStyle w:val="CGCTablerow"/>
              <w:keepNext/>
              <w:keepLines/>
              <w:rPr>
                <w:lang w:eastAsia="en-AU"/>
              </w:rPr>
            </w:pPr>
            <w:r w:rsidRPr="00034E9B">
              <w:rPr>
                <w:lang w:eastAsia="en-AU"/>
              </w:rPr>
              <w:t>Socio-demographic characteristics</w:t>
            </w:r>
          </w:p>
        </w:tc>
        <w:tc>
          <w:tcPr>
            <w:tcW w:w="700" w:type="dxa"/>
            <w:shd w:val="clear" w:color="auto" w:fill="auto"/>
            <w:vAlign w:val="bottom"/>
            <w:hideMark/>
          </w:tcPr>
          <w:p w14:paraId="6C88A567" w14:textId="77777777" w:rsidR="00FC0498" w:rsidRPr="00034E9B" w:rsidRDefault="00FC0498" w:rsidP="00FF6CBF">
            <w:pPr>
              <w:pStyle w:val="CGCTablerow"/>
              <w:keepNext/>
              <w:keepLines/>
              <w:jc w:val="right"/>
              <w:rPr>
                <w:lang w:eastAsia="en-AU"/>
              </w:rPr>
            </w:pPr>
          </w:p>
        </w:tc>
        <w:tc>
          <w:tcPr>
            <w:tcW w:w="700" w:type="dxa"/>
            <w:shd w:val="clear" w:color="auto" w:fill="auto"/>
            <w:vAlign w:val="bottom"/>
            <w:hideMark/>
          </w:tcPr>
          <w:p w14:paraId="513E4B0A" w14:textId="77777777" w:rsidR="00FC0498" w:rsidRPr="00034E9B" w:rsidRDefault="00FC0498" w:rsidP="00FF6CBF">
            <w:pPr>
              <w:pStyle w:val="CGCTablerow"/>
              <w:keepNext/>
              <w:keepLines/>
              <w:jc w:val="right"/>
              <w:rPr>
                <w:rFonts w:ascii="Times New Roman" w:hAnsi="Times New Roman" w:cs="Times New Roman"/>
                <w:lang w:eastAsia="en-AU"/>
              </w:rPr>
            </w:pPr>
          </w:p>
        </w:tc>
        <w:tc>
          <w:tcPr>
            <w:tcW w:w="700" w:type="dxa"/>
            <w:shd w:val="clear" w:color="auto" w:fill="auto"/>
            <w:vAlign w:val="bottom"/>
            <w:hideMark/>
          </w:tcPr>
          <w:p w14:paraId="5DD1AAC1" w14:textId="77777777" w:rsidR="00FC0498" w:rsidRPr="00034E9B" w:rsidRDefault="00FC0498" w:rsidP="00FF6CBF">
            <w:pPr>
              <w:pStyle w:val="CGCTablerow"/>
              <w:keepNext/>
              <w:keepLines/>
              <w:jc w:val="right"/>
              <w:rPr>
                <w:rFonts w:ascii="Times New Roman" w:hAnsi="Times New Roman" w:cs="Times New Roman"/>
                <w:lang w:eastAsia="en-AU"/>
              </w:rPr>
            </w:pPr>
          </w:p>
        </w:tc>
        <w:tc>
          <w:tcPr>
            <w:tcW w:w="700" w:type="dxa"/>
            <w:shd w:val="clear" w:color="auto" w:fill="auto"/>
            <w:vAlign w:val="bottom"/>
            <w:hideMark/>
          </w:tcPr>
          <w:p w14:paraId="4F908C13" w14:textId="77777777" w:rsidR="00FC0498" w:rsidRPr="00034E9B" w:rsidRDefault="00FC0498" w:rsidP="00FF6CBF">
            <w:pPr>
              <w:pStyle w:val="CGCTablerow"/>
              <w:keepNext/>
              <w:keepLines/>
              <w:jc w:val="right"/>
              <w:rPr>
                <w:rFonts w:ascii="Times New Roman" w:hAnsi="Times New Roman" w:cs="Times New Roman"/>
                <w:lang w:eastAsia="en-AU"/>
              </w:rPr>
            </w:pPr>
          </w:p>
        </w:tc>
        <w:tc>
          <w:tcPr>
            <w:tcW w:w="640" w:type="dxa"/>
            <w:shd w:val="clear" w:color="auto" w:fill="auto"/>
            <w:vAlign w:val="bottom"/>
            <w:hideMark/>
          </w:tcPr>
          <w:p w14:paraId="775A8632" w14:textId="77777777" w:rsidR="00FC0498" w:rsidRPr="00034E9B" w:rsidRDefault="00FC0498" w:rsidP="00FF6CBF">
            <w:pPr>
              <w:pStyle w:val="CGCTablerow"/>
              <w:keepNext/>
              <w:keepLines/>
              <w:jc w:val="right"/>
              <w:rPr>
                <w:rFonts w:ascii="Times New Roman" w:hAnsi="Times New Roman" w:cs="Times New Roman"/>
                <w:lang w:eastAsia="en-AU"/>
              </w:rPr>
            </w:pPr>
          </w:p>
        </w:tc>
        <w:tc>
          <w:tcPr>
            <w:tcW w:w="640" w:type="dxa"/>
            <w:shd w:val="clear" w:color="auto" w:fill="auto"/>
            <w:vAlign w:val="bottom"/>
            <w:hideMark/>
          </w:tcPr>
          <w:p w14:paraId="66DB2F70" w14:textId="77777777" w:rsidR="00FC0498" w:rsidRPr="00034E9B" w:rsidRDefault="00FC0498" w:rsidP="00FF6CBF">
            <w:pPr>
              <w:pStyle w:val="CGCTablerow"/>
              <w:keepNext/>
              <w:keepLines/>
              <w:jc w:val="right"/>
              <w:rPr>
                <w:rFonts w:ascii="Times New Roman" w:hAnsi="Times New Roman" w:cs="Times New Roman"/>
                <w:lang w:eastAsia="en-AU"/>
              </w:rPr>
            </w:pPr>
          </w:p>
        </w:tc>
        <w:tc>
          <w:tcPr>
            <w:tcW w:w="600" w:type="dxa"/>
            <w:shd w:val="clear" w:color="auto" w:fill="auto"/>
            <w:vAlign w:val="bottom"/>
            <w:hideMark/>
          </w:tcPr>
          <w:p w14:paraId="01B7BE86" w14:textId="77777777" w:rsidR="00FC0498" w:rsidRPr="00034E9B" w:rsidRDefault="00FC0498" w:rsidP="00FF6CBF">
            <w:pPr>
              <w:pStyle w:val="CGCTablerow"/>
              <w:keepNext/>
              <w:keepLines/>
              <w:jc w:val="right"/>
              <w:rPr>
                <w:rFonts w:ascii="Times New Roman" w:hAnsi="Times New Roman" w:cs="Times New Roman"/>
                <w:lang w:eastAsia="en-AU"/>
              </w:rPr>
            </w:pPr>
          </w:p>
        </w:tc>
        <w:tc>
          <w:tcPr>
            <w:tcW w:w="700" w:type="dxa"/>
            <w:shd w:val="clear" w:color="auto" w:fill="auto"/>
            <w:vAlign w:val="bottom"/>
            <w:hideMark/>
          </w:tcPr>
          <w:p w14:paraId="0114BE33" w14:textId="77777777" w:rsidR="00FC0498" w:rsidRPr="00034E9B" w:rsidRDefault="00FC0498" w:rsidP="00FF6CBF">
            <w:pPr>
              <w:pStyle w:val="CGCTablerow"/>
              <w:keepNext/>
              <w:keepLines/>
              <w:jc w:val="right"/>
              <w:rPr>
                <w:rFonts w:ascii="Times New Roman" w:hAnsi="Times New Roman" w:cs="Times New Roman"/>
                <w:lang w:eastAsia="en-AU"/>
              </w:rPr>
            </w:pPr>
          </w:p>
        </w:tc>
        <w:tc>
          <w:tcPr>
            <w:tcW w:w="700" w:type="dxa"/>
            <w:shd w:val="clear" w:color="auto" w:fill="auto"/>
            <w:vAlign w:val="bottom"/>
            <w:hideMark/>
          </w:tcPr>
          <w:p w14:paraId="13D161C1" w14:textId="77777777" w:rsidR="00FC0498" w:rsidRPr="00034E9B" w:rsidRDefault="00FC0498" w:rsidP="00FF6CBF">
            <w:pPr>
              <w:pStyle w:val="CGCTablerow"/>
              <w:keepNext/>
              <w:keepLines/>
              <w:jc w:val="right"/>
              <w:rPr>
                <w:rFonts w:ascii="Times New Roman" w:hAnsi="Times New Roman" w:cs="Times New Roman"/>
                <w:lang w:eastAsia="en-AU"/>
              </w:rPr>
            </w:pPr>
          </w:p>
        </w:tc>
      </w:tr>
      <w:tr w:rsidR="00FC0498" w:rsidRPr="00034E9B" w14:paraId="67342779" w14:textId="77777777" w:rsidTr="00CB7BE6">
        <w:trPr>
          <w:trHeight w:val="315"/>
        </w:trPr>
        <w:tc>
          <w:tcPr>
            <w:tcW w:w="2900" w:type="dxa"/>
            <w:shd w:val="clear" w:color="auto" w:fill="auto"/>
            <w:vAlign w:val="bottom"/>
            <w:hideMark/>
          </w:tcPr>
          <w:p w14:paraId="2C900600" w14:textId="77777777" w:rsidR="00FC0498" w:rsidRPr="00034E9B" w:rsidRDefault="00FC0498" w:rsidP="00FF6CBF">
            <w:pPr>
              <w:pStyle w:val="CGCTablerow"/>
              <w:keepNext/>
              <w:keepLines/>
              <w:ind w:left="113"/>
              <w:rPr>
                <w:lang w:eastAsia="en-AU"/>
              </w:rPr>
            </w:pPr>
            <w:r w:rsidRPr="00034E9B">
              <w:rPr>
                <w:lang w:eastAsia="en-AU"/>
              </w:rPr>
              <w:t xml:space="preserve">Remoteness </w:t>
            </w:r>
          </w:p>
        </w:tc>
        <w:tc>
          <w:tcPr>
            <w:tcW w:w="700" w:type="dxa"/>
            <w:shd w:val="clear" w:color="auto" w:fill="auto"/>
            <w:vAlign w:val="bottom"/>
            <w:hideMark/>
          </w:tcPr>
          <w:p w14:paraId="2C430B70" w14:textId="77777777" w:rsidR="00FC0498" w:rsidRPr="00034E9B" w:rsidRDefault="00FC0498" w:rsidP="00FF6CBF">
            <w:pPr>
              <w:pStyle w:val="CGCTablerow"/>
              <w:keepNext/>
              <w:keepLines/>
              <w:jc w:val="right"/>
              <w:rPr>
                <w:lang w:eastAsia="en-AU"/>
              </w:rPr>
            </w:pPr>
            <w:r w:rsidRPr="00034E9B">
              <w:rPr>
                <w:lang w:eastAsia="en-AU"/>
              </w:rPr>
              <w:t>-2,003</w:t>
            </w:r>
          </w:p>
        </w:tc>
        <w:tc>
          <w:tcPr>
            <w:tcW w:w="700" w:type="dxa"/>
            <w:shd w:val="clear" w:color="auto" w:fill="auto"/>
            <w:vAlign w:val="bottom"/>
            <w:hideMark/>
          </w:tcPr>
          <w:p w14:paraId="231A8E92" w14:textId="77777777" w:rsidR="00FC0498" w:rsidRPr="00034E9B" w:rsidRDefault="00FC0498" w:rsidP="00FF6CBF">
            <w:pPr>
              <w:pStyle w:val="CGCTablerow"/>
              <w:keepNext/>
              <w:keepLines/>
              <w:jc w:val="right"/>
              <w:rPr>
                <w:lang w:eastAsia="en-AU"/>
              </w:rPr>
            </w:pPr>
            <w:r w:rsidRPr="00034E9B">
              <w:rPr>
                <w:lang w:eastAsia="en-AU"/>
              </w:rPr>
              <w:t>-4,239</w:t>
            </w:r>
          </w:p>
        </w:tc>
        <w:tc>
          <w:tcPr>
            <w:tcW w:w="700" w:type="dxa"/>
            <w:shd w:val="clear" w:color="auto" w:fill="auto"/>
            <w:vAlign w:val="bottom"/>
            <w:hideMark/>
          </w:tcPr>
          <w:p w14:paraId="4CDC4A6F" w14:textId="77777777" w:rsidR="00FC0498" w:rsidRPr="00034E9B" w:rsidRDefault="00FC0498" w:rsidP="00FF6CBF">
            <w:pPr>
              <w:pStyle w:val="CGCTablerow"/>
              <w:keepNext/>
              <w:keepLines/>
              <w:jc w:val="right"/>
              <w:rPr>
                <w:lang w:eastAsia="en-AU"/>
              </w:rPr>
            </w:pPr>
            <w:r w:rsidRPr="00034E9B">
              <w:rPr>
                <w:lang w:eastAsia="en-AU"/>
              </w:rPr>
              <w:t>2,268</w:t>
            </w:r>
          </w:p>
        </w:tc>
        <w:tc>
          <w:tcPr>
            <w:tcW w:w="700" w:type="dxa"/>
            <w:shd w:val="clear" w:color="auto" w:fill="auto"/>
            <w:vAlign w:val="bottom"/>
            <w:hideMark/>
          </w:tcPr>
          <w:p w14:paraId="3A206488" w14:textId="77777777" w:rsidR="00FC0498" w:rsidRPr="00034E9B" w:rsidRDefault="00FC0498" w:rsidP="00FF6CBF">
            <w:pPr>
              <w:pStyle w:val="CGCTablerow"/>
              <w:keepNext/>
              <w:keepLines/>
              <w:jc w:val="right"/>
              <w:rPr>
                <w:lang w:eastAsia="en-AU"/>
              </w:rPr>
            </w:pPr>
            <w:r w:rsidRPr="00034E9B">
              <w:rPr>
                <w:lang w:eastAsia="en-AU"/>
              </w:rPr>
              <w:t>337</w:t>
            </w:r>
          </w:p>
        </w:tc>
        <w:tc>
          <w:tcPr>
            <w:tcW w:w="640" w:type="dxa"/>
            <w:shd w:val="clear" w:color="auto" w:fill="auto"/>
            <w:vAlign w:val="bottom"/>
            <w:hideMark/>
          </w:tcPr>
          <w:p w14:paraId="07BD97F1" w14:textId="77777777" w:rsidR="00FC0498" w:rsidRPr="00034E9B" w:rsidRDefault="00FC0498" w:rsidP="00FF6CBF">
            <w:pPr>
              <w:pStyle w:val="CGCTablerow"/>
              <w:keepNext/>
              <w:keepLines/>
              <w:jc w:val="right"/>
              <w:rPr>
                <w:lang w:eastAsia="en-AU"/>
              </w:rPr>
            </w:pPr>
            <w:r w:rsidRPr="00034E9B">
              <w:rPr>
                <w:lang w:eastAsia="en-AU"/>
              </w:rPr>
              <w:t>80</w:t>
            </w:r>
          </w:p>
        </w:tc>
        <w:tc>
          <w:tcPr>
            <w:tcW w:w="640" w:type="dxa"/>
            <w:shd w:val="clear" w:color="auto" w:fill="auto"/>
            <w:vAlign w:val="bottom"/>
            <w:hideMark/>
          </w:tcPr>
          <w:p w14:paraId="0F7AA68F" w14:textId="77777777" w:rsidR="00FC0498" w:rsidRPr="00034E9B" w:rsidRDefault="00FC0498" w:rsidP="00FF6CBF">
            <w:pPr>
              <w:pStyle w:val="CGCTablerow"/>
              <w:keepNext/>
              <w:keepLines/>
              <w:jc w:val="right"/>
              <w:rPr>
                <w:lang w:eastAsia="en-AU"/>
              </w:rPr>
            </w:pPr>
            <w:r w:rsidRPr="00034E9B">
              <w:rPr>
                <w:lang w:eastAsia="en-AU"/>
              </w:rPr>
              <w:t>428</w:t>
            </w:r>
          </w:p>
        </w:tc>
        <w:tc>
          <w:tcPr>
            <w:tcW w:w="600" w:type="dxa"/>
            <w:shd w:val="clear" w:color="auto" w:fill="auto"/>
            <w:vAlign w:val="bottom"/>
            <w:hideMark/>
          </w:tcPr>
          <w:p w14:paraId="6F5483A7" w14:textId="77777777" w:rsidR="00FC0498" w:rsidRPr="00034E9B" w:rsidRDefault="00FC0498" w:rsidP="00FF6CBF">
            <w:pPr>
              <w:pStyle w:val="CGCTablerow"/>
              <w:keepNext/>
              <w:keepLines/>
              <w:jc w:val="right"/>
              <w:rPr>
                <w:lang w:eastAsia="en-AU"/>
              </w:rPr>
            </w:pPr>
            <w:r w:rsidRPr="00034E9B">
              <w:rPr>
                <w:lang w:eastAsia="en-AU"/>
              </w:rPr>
              <w:t>-106</w:t>
            </w:r>
          </w:p>
        </w:tc>
        <w:tc>
          <w:tcPr>
            <w:tcW w:w="700" w:type="dxa"/>
            <w:shd w:val="clear" w:color="auto" w:fill="auto"/>
            <w:vAlign w:val="bottom"/>
            <w:hideMark/>
          </w:tcPr>
          <w:p w14:paraId="184B975B" w14:textId="77777777" w:rsidR="00FC0498" w:rsidRPr="00034E9B" w:rsidRDefault="00FC0498" w:rsidP="00FF6CBF">
            <w:pPr>
              <w:pStyle w:val="CGCTablerow"/>
              <w:keepNext/>
              <w:keepLines/>
              <w:jc w:val="right"/>
              <w:rPr>
                <w:lang w:eastAsia="en-AU"/>
              </w:rPr>
            </w:pPr>
            <w:r w:rsidRPr="00034E9B">
              <w:rPr>
                <w:lang w:eastAsia="en-AU"/>
              </w:rPr>
              <w:t>957</w:t>
            </w:r>
          </w:p>
        </w:tc>
        <w:tc>
          <w:tcPr>
            <w:tcW w:w="700" w:type="dxa"/>
            <w:shd w:val="clear" w:color="auto" w:fill="auto"/>
            <w:vAlign w:val="bottom"/>
            <w:hideMark/>
          </w:tcPr>
          <w:p w14:paraId="26FA30F0" w14:textId="77777777" w:rsidR="00FC0498" w:rsidRPr="00034E9B" w:rsidRDefault="00FC0498" w:rsidP="00FF6CBF">
            <w:pPr>
              <w:pStyle w:val="CGCTablerow"/>
              <w:keepNext/>
              <w:keepLines/>
              <w:jc w:val="right"/>
              <w:rPr>
                <w:lang w:eastAsia="en-AU"/>
              </w:rPr>
            </w:pPr>
            <w:r w:rsidRPr="00034E9B">
              <w:rPr>
                <w:lang w:eastAsia="en-AU"/>
              </w:rPr>
              <w:t>5,209</w:t>
            </w:r>
          </w:p>
        </w:tc>
      </w:tr>
      <w:tr w:rsidR="00FC0498" w:rsidRPr="00034E9B" w14:paraId="54899D1E" w14:textId="77777777" w:rsidTr="00CB7BE6">
        <w:trPr>
          <w:trHeight w:val="315"/>
        </w:trPr>
        <w:tc>
          <w:tcPr>
            <w:tcW w:w="2900" w:type="dxa"/>
            <w:shd w:val="clear" w:color="auto" w:fill="auto"/>
            <w:noWrap/>
            <w:vAlign w:val="bottom"/>
            <w:hideMark/>
          </w:tcPr>
          <w:p w14:paraId="56DB4750" w14:textId="77777777" w:rsidR="00FC0498" w:rsidRPr="00034E9B" w:rsidRDefault="00FC0498" w:rsidP="00FF6CBF">
            <w:pPr>
              <w:pStyle w:val="CGCTablerow"/>
              <w:keepNext/>
              <w:keepLines/>
              <w:ind w:left="113"/>
              <w:rPr>
                <w:lang w:eastAsia="en-AU"/>
              </w:rPr>
            </w:pPr>
            <w:r w:rsidRPr="00034E9B">
              <w:rPr>
                <w:lang w:eastAsia="en-AU"/>
              </w:rPr>
              <w:t>Indigenous status</w:t>
            </w:r>
          </w:p>
        </w:tc>
        <w:tc>
          <w:tcPr>
            <w:tcW w:w="700" w:type="dxa"/>
            <w:shd w:val="clear" w:color="auto" w:fill="auto"/>
            <w:noWrap/>
            <w:vAlign w:val="bottom"/>
            <w:hideMark/>
          </w:tcPr>
          <w:p w14:paraId="354BB9A8" w14:textId="77777777" w:rsidR="00FC0498" w:rsidRPr="00034E9B" w:rsidRDefault="00FC0498" w:rsidP="00FF6CBF">
            <w:pPr>
              <w:pStyle w:val="CGCTablerow"/>
              <w:keepNext/>
              <w:keepLines/>
              <w:jc w:val="right"/>
              <w:rPr>
                <w:lang w:eastAsia="en-AU"/>
              </w:rPr>
            </w:pPr>
            <w:r w:rsidRPr="00034E9B">
              <w:rPr>
                <w:lang w:eastAsia="en-AU"/>
              </w:rPr>
              <w:t>53</w:t>
            </w:r>
          </w:p>
        </w:tc>
        <w:tc>
          <w:tcPr>
            <w:tcW w:w="700" w:type="dxa"/>
            <w:shd w:val="clear" w:color="auto" w:fill="auto"/>
            <w:noWrap/>
            <w:vAlign w:val="bottom"/>
            <w:hideMark/>
          </w:tcPr>
          <w:p w14:paraId="351E2398" w14:textId="77777777" w:rsidR="00FC0498" w:rsidRPr="00034E9B" w:rsidRDefault="00FC0498" w:rsidP="00FF6CBF">
            <w:pPr>
              <w:pStyle w:val="CGCTablerow"/>
              <w:keepNext/>
              <w:keepLines/>
              <w:jc w:val="right"/>
              <w:rPr>
                <w:lang w:eastAsia="en-AU"/>
              </w:rPr>
            </w:pPr>
            <w:r w:rsidRPr="00034E9B">
              <w:rPr>
                <w:lang w:eastAsia="en-AU"/>
              </w:rPr>
              <w:t>-7,230</w:t>
            </w:r>
          </w:p>
        </w:tc>
        <w:tc>
          <w:tcPr>
            <w:tcW w:w="700" w:type="dxa"/>
            <w:shd w:val="clear" w:color="auto" w:fill="auto"/>
            <w:noWrap/>
            <w:vAlign w:val="bottom"/>
            <w:hideMark/>
          </w:tcPr>
          <w:p w14:paraId="60485595" w14:textId="77777777" w:rsidR="00FC0498" w:rsidRPr="00034E9B" w:rsidRDefault="00FC0498" w:rsidP="00FF6CBF">
            <w:pPr>
              <w:pStyle w:val="CGCTablerow"/>
              <w:keepNext/>
              <w:keepLines/>
              <w:jc w:val="right"/>
              <w:rPr>
                <w:lang w:eastAsia="en-AU"/>
              </w:rPr>
            </w:pPr>
            <w:r w:rsidRPr="00034E9B">
              <w:rPr>
                <w:lang w:eastAsia="en-AU"/>
              </w:rPr>
              <w:t>2,361</w:t>
            </w:r>
          </w:p>
        </w:tc>
        <w:tc>
          <w:tcPr>
            <w:tcW w:w="700" w:type="dxa"/>
            <w:shd w:val="clear" w:color="auto" w:fill="auto"/>
            <w:noWrap/>
            <w:vAlign w:val="bottom"/>
            <w:hideMark/>
          </w:tcPr>
          <w:p w14:paraId="52082D63" w14:textId="77777777" w:rsidR="00FC0498" w:rsidRPr="00034E9B" w:rsidRDefault="00FC0498" w:rsidP="00FF6CBF">
            <w:pPr>
              <w:pStyle w:val="CGCTablerow"/>
              <w:keepNext/>
              <w:keepLines/>
              <w:jc w:val="right"/>
              <w:rPr>
                <w:lang w:eastAsia="en-AU"/>
              </w:rPr>
            </w:pPr>
            <w:r w:rsidRPr="00034E9B">
              <w:rPr>
                <w:lang w:eastAsia="en-AU"/>
              </w:rPr>
              <w:t>175</w:t>
            </w:r>
          </w:p>
        </w:tc>
        <w:tc>
          <w:tcPr>
            <w:tcW w:w="640" w:type="dxa"/>
            <w:shd w:val="clear" w:color="auto" w:fill="auto"/>
            <w:noWrap/>
            <w:vAlign w:val="bottom"/>
            <w:hideMark/>
          </w:tcPr>
          <w:p w14:paraId="1EC21D43" w14:textId="77777777" w:rsidR="00FC0498" w:rsidRPr="00034E9B" w:rsidRDefault="00FC0498" w:rsidP="00FF6CBF">
            <w:pPr>
              <w:pStyle w:val="CGCTablerow"/>
              <w:keepNext/>
              <w:keepLines/>
              <w:jc w:val="right"/>
              <w:rPr>
                <w:lang w:eastAsia="en-AU"/>
              </w:rPr>
            </w:pPr>
            <w:r w:rsidRPr="00034E9B">
              <w:rPr>
                <w:lang w:eastAsia="en-AU"/>
              </w:rPr>
              <w:t>-119</w:t>
            </w:r>
          </w:p>
        </w:tc>
        <w:tc>
          <w:tcPr>
            <w:tcW w:w="640" w:type="dxa"/>
            <w:shd w:val="clear" w:color="auto" w:fill="auto"/>
            <w:noWrap/>
            <w:vAlign w:val="bottom"/>
            <w:hideMark/>
          </w:tcPr>
          <w:p w14:paraId="17E95534" w14:textId="77777777" w:rsidR="00FC0498" w:rsidRPr="00034E9B" w:rsidRDefault="00FC0498" w:rsidP="00FF6CBF">
            <w:pPr>
              <w:pStyle w:val="CGCTablerow"/>
              <w:keepNext/>
              <w:keepLines/>
              <w:jc w:val="right"/>
              <w:rPr>
                <w:lang w:eastAsia="en-AU"/>
              </w:rPr>
            </w:pPr>
            <w:r w:rsidRPr="00034E9B">
              <w:rPr>
                <w:lang w:eastAsia="en-AU"/>
              </w:rPr>
              <w:t>130</w:t>
            </w:r>
          </w:p>
        </w:tc>
        <w:tc>
          <w:tcPr>
            <w:tcW w:w="600" w:type="dxa"/>
            <w:shd w:val="clear" w:color="auto" w:fill="auto"/>
            <w:noWrap/>
            <w:vAlign w:val="bottom"/>
            <w:hideMark/>
          </w:tcPr>
          <w:p w14:paraId="6D7678C4" w14:textId="77777777" w:rsidR="00FC0498" w:rsidRPr="00034E9B" w:rsidRDefault="00FC0498" w:rsidP="00FF6CBF">
            <w:pPr>
              <w:pStyle w:val="CGCTablerow"/>
              <w:keepNext/>
              <w:keepLines/>
              <w:jc w:val="right"/>
              <w:rPr>
                <w:lang w:eastAsia="en-AU"/>
              </w:rPr>
            </w:pPr>
            <w:r w:rsidRPr="00034E9B">
              <w:rPr>
                <w:lang w:eastAsia="en-AU"/>
              </w:rPr>
              <w:t>-51</w:t>
            </w:r>
          </w:p>
        </w:tc>
        <w:tc>
          <w:tcPr>
            <w:tcW w:w="700" w:type="dxa"/>
            <w:shd w:val="clear" w:color="auto" w:fill="auto"/>
            <w:noWrap/>
            <w:vAlign w:val="bottom"/>
            <w:hideMark/>
          </w:tcPr>
          <w:p w14:paraId="7503DEFA" w14:textId="77777777" w:rsidR="00FC0498" w:rsidRPr="00034E9B" w:rsidRDefault="00FC0498" w:rsidP="00FF6CBF">
            <w:pPr>
              <w:pStyle w:val="CGCTablerow"/>
              <w:keepNext/>
              <w:keepLines/>
              <w:jc w:val="right"/>
              <w:rPr>
                <w:lang w:eastAsia="en-AU"/>
              </w:rPr>
            </w:pPr>
            <w:r w:rsidRPr="00034E9B">
              <w:rPr>
                <w:lang w:eastAsia="en-AU"/>
              </w:rPr>
              <w:t>1,027</w:t>
            </w:r>
          </w:p>
        </w:tc>
        <w:tc>
          <w:tcPr>
            <w:tcW w:w="700" w:type="dxa"/>
            <w:shd w:val="clear" w:color="auto" w:fill="auto"/>
            <w:noWrap/>
            <w:vAlign w:val="bottom"/>
            <w:hideMark/>
          </w:tcPr>
          <w:p w14:paraId="308E0CB1" w14:textId="77777777" w:rsidR="00FC0498" w:rsidRPr="00034E9B" w:rsidRDefault="00FC0498" w:rsidP="00FF6CBF">
            <w:pPr>
              <w:pStyle w:val="CGCTablerow"/>
              <w:keepNext/>
              <w:keepLines/>
              <w:jc w:val="right"/>
              <w:rPr>
                <w:lang w:eastAsia="en-AU"/>
              </w:rPr>
            </w:pPr>
            <w:r w:rsidRPr="00034E9B">
              <w:rPr>
                <w:lang w:eastAsia="en-AU"/>
              </w:rPr>
              <w:t>5,573</w:t>
            </w:r>
          </w:p>
        </w:tc>
      </w:tr>
      <w:tr w:rsidR="00FC0498" w:rsidRPr="00034E9B" w14:paraId="4F4E6F47" w14:textId="77777777" w:rsidTr="00CB7BE6">
        <w:trPr>
          <w:trHeight w:val="315"/>
        </w:trPr>
        <w:tc>
          <w:tcPr>
            <w:tcW w:w="2900" w:type="dxa"/>
            <w:shd w:val="clear" w:color="auto" w:fill="auto"/>
            <w:noWrap/>
            <w:vAlign w:val="bottom"/>
            <w:hideMark/>
          </w:tcPr>
          <w:p w14:paraId="3E5D784B" w14:textId="77777777" w:rsidR="00FC0498" w:rsidRPr="00034E9B" w:rsidRDefault="00FC0498" w:rsidP="00FF6CBF">
            <w:pPr>
              <w:pStyle w:val="CGCTablerow"/>
              <w:keepNext/>
              <w:keepLines/>
              <w:ind w:left="113"/>
              <w:rPr>
                <w:lang w:eastAsia="en-AU"/>
              </w:rPr>
            </w:pPr>
            <w:r w:rsidRPr="00034E9B">
              <w:rPr>
                <w:lang w:eastAsia="en-AU"/>
              </w:rPr>
              <w:t>Socio-economic status</w:t>
            </w:r>
          </w:p>
        </w:tc>
        <w:tc>
          <w:tcPr>
            <w:tcW w:w="700" w:type="dxa"/>
            <w:shd w:val="clear" w:color="auto" w:fill="auto"/>
            <w:noWrap/>
            <w:vAlign w:val="bottom"/>
            <w:hideMark/>
          </w:tcPr>
          <w:p w14:paraId="22DC9A68" w14:textId="77777777" w:rsidR="00FC0498" w:rsidRPr="00034E9B" w:rsidRDefault="00FC0498" w:rsidP="00FF6CBF">
            <w:pPr>
              <w:pStyle w:val="CGCTablerow"/>
              <w:keepNext/>
              <w:keepLines/>
              <w:jc w:val="right"/>
              <w:rPr>
                <w:lang w:eastAsia="en-AU"/>
              </w:rPr>
            </w:pPr>
            <w:r w:rsidRPr="00034E9B">
              <w:rPr>
                <w:lang w:eastAsia="en-AU"/>
              </w:rPr>
              <w:t>139</w:t>
            </w:r>
          </w:p>
        </w:tc>
        <w:tc>
          <w:tcPr>
            <w:tcW w:w="700" w:type="dxa"/>
            <w:shd w:val="clear" w:color="auto" w:fill="auto"/>
            <w:noWrap/>
            <w:vAlign w:val="bottom"/>
            <w:hideMark/>
          </w:tcPr>
          <w:p w14:paraId="041C545D" w14:textId="77777777" w:rsidR="00FC0498" w:rsidRPr="00034E9B" w:rsidRDefault="00FC0498" w:rsidP="00FF6CBF">
            <w:pPr>
              <w:pStyle w:val="CGCTablerow"/>
              <w:keepNext/>
              <w:keepLines/>
              <w:jc w:val="right"/>
              <w:rPr>
                <w:lang w:eastAsia="en-AU"/>
              </w:rPr>
            </w:pPr>
            <w:r w:rsidRPr="00034E9B">
              <w:rPr>
                <w:lang w:eastAsia="en-AU"/>
              </w:rPr>
              <w:t>-542</w:t>
            </w:r>
          </w:p>
        </w:tc>
        <w:tc>
          <w:tcPr>
            <w:tcW w:w="700" w:type="dxa"/>
            <w:shd w:val="clear" w:color="auto" w:fill="auto"/>
            <w:noWrap/>
            <w:vAlign w:val="bottom"/>
            <w:hideMark/>
          </w:tcPr>
          <w:p w14:paraId="4DDD1953" w14:textId="77777777" w:rsidR="00FC0498" w:rsidRPr="00034E9B" w:rsidRDefault="00FC0498" w:rsidP="00FF6CBF">
            <w:pPr>
              <w:pStyle w:val="CGCTablerow"/>
              <w:keepNext/>
              <w:keepLines/>
              <w:jc w:val="right"/>
              <w:rPr>
                <w:lang w:eastAsia="en-AU"/>
              </w:rPr>
            </w:pPr>
            <w:r w:rsidRPr="00034E9B">
              <w:rPr>
                <w:lang w:eastAsia="en-AU"/>
              </w:rPr>
              <w:t>362</w:t>
            </w:r>
          </w:p>
        </w:tc>
        <w:tc>
          <w:tcPr>
            <w:tcW w:w="700" w:type="dxa"/>
            <w:shd w:val="clear" w:color="auto" w:fill="auto"/>
            <w:noWrap/>
            <w:vAlign w:val="bottom"/>
            <w:hideMark/>
          </w:tcPr>
          <w:p w14:paraId="36215F11" w14:textId="77777777" w:rsidR="00FC0498" w:rsidRPr="00034E9B" w:rsidRDefault="00FC0498" w:rsidP="00FF6CBF">
            <w:pPr>
              <w:pStyle w:val="CGCTablerow"/>
              <w:keepNext/>
              <w:keepLines/>
              <w:jc w:val="right"/>
              <w:rPr>
                <w:lang w:eastAsia="en-AU"/>
              </w:rPr>
            </w:pPr>
            <w:r w:rsidRPr="00034E9B">
              <w:rPr>
                <w:lang w:eastAsia="en-AU"/>
              </w:rPr>
              <w:t>-152</w:t>
            </w:r>
          </w:p>
        </w:tc>
        <w:tc>
          <w:tcPr>
            <w:tcW w:w="640" w:type="dxa"/>
            <w:shd w:val="clear" w:color="auto" w:fill="auto"/>
            <w:noWrap/>
            <w:vAlign w:val="bottom"/>
            <w:hideMark/>
          </w:tcPr>
          <w:p w14:paraId="3948E7D1" w14:textId="77777777" w:rsidR="00FC0498" w:rsidRPr="00034E9B" w:rsidRDefault="00FC0498" w:rsidP="00FF6CBF">
            <w:pPr>
              <w:pStyle w:val="CGCTablerow"/>
              <w:keepNext/>
              <w:keepLines/>
              <w:jc w:val="right"/>
              <w:rPr>
                <w:lang w:eastAsia="en-AU"/>
              </w:rPr>
            </w:pPr>
            <w:r w:rsidRPr="00034E9B">
              <w:rPr>
                <w:lang w:eastAsia="en-AU"/>
              </w:rPr>
              <w:t>411</w:t>
            </w:r>
          </w:p>
        </w:tc>
        <w:tc>
          <w:tcPr>
            <w:tcW w:w="640" w:type="dxa"/>
            <w:shd w:val="clear" w:color="auto" w:fill="auto"/>
            <w:noWrap/>
            <w:vAlign w:val="bottom"/>
            <w:hideMark/>
          </w:tcPr>
          <w:p w14:paraId="3CF21232" w14:textId="77777777" w:rsidR="00FC0498" w:rsidRPr="00034E9B" w:rsidRDefault="00FC0498" w:rsidP="00FF6CBF">
            <w:pPr>
              <w:pStyle w:val="CGCTablerow"/>
              <w:keepNext/>
              <w:keepLines/>
              <w:jc w:val="right"/>
              <w:rPr>
                <w:lang w:eastAsia="en-AU"/>
              </w:rPr>
            </w:pPr>
            <w:r w:rsidRPr="00034E9B">
              <w:rPr>
                <w:lang w:eastAsia="en-AU"/>
              </w:rPr>
              <w:t>64</w:t>
            </w:r>
          </w:p>
        </w:tc>
        <w:tc>
          <w:tcPr>
            <w:tcW w:w="600" w:type="dxa"/>
            <w:shd w:val="clear" w:color="auto" w:fill="auto"/>
            <w:noWrap/>
            <w:vAlign w:val="bottom"/>
            <w:hideMark/>
          </w:tcPr>
          <w:p w14:paraId="2DB0D6C4" w14:textId="77777777" w:rsidR="00FC0498" w:rsidRPr="00034E9B" w:rsidRDefault="00FC0498" w:rsidP="00FF6CBF">
            <w:pPr>
              <w:pStyle w:val="CGCTablerow"/>
              <w:keepNext/>
              <w:keepLines/>
              <w:jc w:val="right"/>
              <w:rPr>
                <w:lang w:eastAsia="en-AU"/>
              </w:rPr>
            </w:pPr>
            <w:r w:rsidRPr="00034E9B">
              <w:rPr>
                <w:lang w:eastAsia="en-AU"/>
              </w:rPr>
              <w:t>-181</w:t>
            </w:r>
          </w:p>
        </w:tc>
        <w:tc>
          <w:tcPr>
            <w:tcW w:w="700" w:type="dxa"/>
            <w:shd w:val="clear" w:color="auto" w:fill="auto"/>
            <w:noWrap/>
            <w:vAlign w:val="bottom"/>
            <w:hideMark/>
          </w:tcPr>
          <w:p w14:paraId="742BE56E" w14:textId="77777777" w:rsidR="00FC0498" w:rsidRPr="00034E9B" w:rsidRDefault="00FC0498" w:rsidP="00FF6CBF">
            <w:pPr>
              <w:pStyle w:val="CGCTablerow"/>
              <w:keepNext/>
              <w:keepLines/>
              <w:jc w:val="right"/>
              <w:rPr>
                <w:lang w:eastAsia="en-AU"/>
              </w:rPr>
            </w:pPr>
            <w:r w:rsidRPr="00034E9B">
              <w:rPr>
                <w:lang w:eastAsia="en-AU"/>
              </w:rPr>
              <w:t>-175</w:t>
            </w:r>
          </w:p>
        </w:tc>
        <w:tc>
          <w:tcPr>
            <w:tcW w:w="700" w:type="dxa"/>
            <w:shd w:val="clear" w:color="auto" w:fill="auto"/>
            <w:noWrap/>
            <w:vAlign w:val="bottom"/>
            <w:hideMark/>
          </w:tcPr>
          <w:p w14:paraId="530DB10F" w14:textId="77777777" w:rsidR="00FC0498" w:rsidRPr="00034E9B" w:rsidRDefault="00FC0498" w:rsidP="00FF6CBF">
            <w:pPr>
              <w:pStyle w:val="CGCTablerow"/>
              <w:keepNext/>
              <w:keepLines/>
              <w:jc w:val="right"/>
              <w:rPr>
                <w:lang w:eastAsia="en-AU"/>
              </w:rPr>
            </w:pPr>
            <w:r w:rsidRPr="00034E9B">
              <w:rPr>
                <w:lang w:eastAsia="en-AU"/>
              </w:rPr>
              <w:t>1,014</w:t>
            </w:r>
          </w:p>
        </w:tc>
      </w:tr>
      <w:tr w:rsidR="00FC0498" w:rsidRPr="00034E9B" w14:paraId="02B3A87B" w14:textId="77777777" w:rsidTr="00CB7BE6">
        <w:trPr>
          <w:trHeight w:val="315"/>
        </w:trPr>
        <w:tc>
          <w:tcPr>
            <w:tcW w:w="2900" w:type="dxa"/>
            <w:tcBorders>
              <w:bottom w:val="single" w:sz="4" w:space="0" w:color="ADD6EA"/>
            </w:tcBorders>
            <w:shd w:val="clear" w:color="auto" w:fill="auto"/>
            <w:noWrap/>
            <w:vAlign w:val="bottom"/>
            <w:hideMark/>
          </w:tcPr>
          <w:p w14:paraId="0F0FE70A" w14:textId="77777777" w:rsidR="00FC0498" w:rsidRPr="00034E9B" w:rsidRDefault="00FC0498" w:rsidP="00FF6CBF">
            <w:pPr>
              <w:pStyle w:val="CGCTablerow"/>
              <w:keepNext/>
              <w:keepLines/>
              <w:ind w:left="113"/>
              <w:rPr>
                <w:lang w:eastAsia="en-AU"/>
              </w:rPr>
            </w:pPr>
            <w:r w:rsidRPr="00034E9B">
              <w:rPr>
                <w:lang w:eastAsia="en-AU"/>
              </w:rPr>
              <w:t xml:space="preserve">Other SDC </w:t>
            </w:r>
          </w:p>
        </w:tc>
        <w:tc>
          <w:tcPr>
            <w:tcW w:w="700" w:type="dxa"/>
            <w:tcBorders>
              <w:bottom w:val="single" w:sz="4" w:space="0" w:color="ADD6EA"/>
            </w:tcBorders>
            <w:shd w:val="clear" w:color="auto" w:fill="auto"/>
            <w:noWrap/>
            <w:vAlign w:val="bottom"/>
            <w:hideMark/>
          </w:tcPr>
          <w:p w14:paraId="701F21DA" w14:textId="77777777" w:rsidR="00FC0498" w:rsidRPr="00034E9B" w:rsidRDefault="00FC0498" w:rsidP="00FF6CBF">
            <w:pPr>
              <w:pStyle w:val="CGCTablerow"/>
              <w:keepNext/>
              <w:keepLines/>
              <w:jc w:val="right"/>
              <w:rPr>
                <w:lang w:eastAsia="en-AU"/>
              </w:rPr>
            </w:pPr>
            <w:r w:rsidRPr="00034E9B">
              <w:rPr>
                <w:lang w:eastAsia="en-AU"/>
              </w:rPr>
              <w:t>-113</w:t>
            </w:r>
          </w:p>
        </w:tc>
        <w:tc>
          <w:tcPr>
            <w:tcW w:w="700" w:type="dxa"/>
            <w:tcBorders>
              <w:bottom w:val="single" w:sz="4" w:space="0" w:color="ADD6EA"/>
            </w:tcBorders>
            <w:shd w:val="clear" w:color="auto" w:fill="auto"/>
            <w:noWrap/>
            <w:vAlign w:val="bottom"/>
            <w:hideMark/>
          </w:tcPr>
          <w:p w14:paraId="7562A360" w14:textId="77777777" w:rsidR="00FC0498" w:rsidRPr="00034E9B" w:rsidRDefault="00FC0498" w:rsidP="00FF6CBF">
            <w:pPr>
              <w:pStyle w:val="CGCTablerow"/>
              <w:keepNext/>
              <w:keepLines/>
              <w:jc w:val="right"/>
              <w:rPr>
                <w:lang w:eastAsia="en-AU"/>
              </w:rPr>
            </w:pPr>
            <w:r w:rsidRPr="00034E9B">
              <w:rPr>
                <w:lang w:eastAsia="en-AU"/>
              </w:rPr>
              <w:t>-3,079</w:t>
            </w:r>
          </w:p>
        </w:tc>
        <w:tc>
          <w:tcPr>
            <w:tcW w:w="700" w:type="dxa"/>
            <w:tcBorders>
              <w:bottom w:val="single" w:sz="4" w:space="0" w:color="ADD6EA"/>
            </w:tcBorders>
            <w:shd w:val="clear" w:color="auto" w:fill="auto"/>
            <w:noWrap/>
            <w:vAlign w:val="bottom"/>
            <w:hideMark/>
          </w:tcPr>
          <w:p w14:paraId="64228B64" w14:textId="77777777" w:rsidR="00FC0498" w:rsidRPr="00034E9B" w:rsidRDefault="00FC0498" w:rsidP="00FF6CBF">
            <w:pPr>
              <w:pStyle w:val="CGCTablerow"/>
              <w:keepNext/>
              <w:keepLines/>
              <w:jc w:val="right"/>
              <w:rPr>
                <w:lang w:eastAsia="en-AU"/>
              </w:rPr>
            </w:pPr>
            <w:r w:rsidRPr="00034E9B">
              <w:rPr>
                <w:lang w:eastAsia="en-AU"/>
              </w:rPr>
              <w:t>1,118</w:t>
            </w:r>
          </w:p>
        </w:tc>
        <w:tc>
          <w:tcPr>
            <w:tcW w:w="700" w:type="dxa"/>
            <w:tcBorders>
              <w:bottom w:val="single" w:sz="4" w:space="0" w:color="ADD6EA"/>
            </w:tcBorders>
            <w:shd w:val="clear" w:color="auto" w:fill="auto"/>
            <w:noWrap/>
            <w:vAlign w:val="bottom"/>
            <w:hideMark/>
          </w:tcPr>
          <w:p w14:paraId="1C4A5C5D" w14:textId="77777777" w:rsidR="00FC0498" w:rsidRPr="00034E9B" w:rsidRDefault="00FC0498" w:rsidP="00FF6CBF">
            <w:pPr>
              <w:pStyle w:val="CGCTablerow"/>
              <w:keepNext/>
              <w:keepLines/>
              <w:jc w:val="right"/>
              <w:rPr>
                <w:lang w:eastAsia="en-AU"/>
              </w:rPr>
            </w:pPr>
            <w:r w:rsidRPr="00034E9B">
              <w:rPr>
                <w:lang w:eastAsia="en-AU"/>
              </w:rPr>
              <w:t>117</w:t>
            </w:r>
          </w:p>
        </w:tc>
        <w:tc>
          <w:tcPr>
            <w:tcW w:w="640" w:type="dxa"/>
            <w:tcBorders>
              <w:bottom w:val="single" w:sz="4" w:space="0" w:color="ADD6EA"/>
            </w:tcBorders>
            <w:shd w:val="clear" w:color="auto" w:fill="auto"/>
            <w:noWrap/>
            <w:vAlign w:val="bottom"/>
            <w:hideMark/>
          </w:tcPr>
          <w:p w14:paraId="6BC617E0" w14:textId="77777777" w:rsidR="00FC0498" w:rsidRPr="00034E9B" w:rsidRDefault="00FC0498" w:rsidP="00FF6CBF">
            <w:pPr>
              <w:pStyle w:val="CGCTablerow"/>
              <w:keepNext/>
              <w:keepLines/>
              <w:jc w:val="right"/>
              <w:rPr>
                <w:lang w:eastAsia="en-AU"/>
              </w:rPr>
            </w:pPr>
            <w:r w:rsidRPr="00034E9B">
              <w:rPr>
                <w:lang w:eastAsia="en-AU"/>
              </w:rPr>
              <w:t>145</w:t>
            </w:r>
          </w:p>
        </w:tc>
        <w:tc>
          <w:tcPr>
            <w:tcW w:w="640" w:type="dxa"/>
            <w:tcBorders>
              <w:bottom w:val="single" w:sz="4" w:space="0" w:color="ADD6EA"/>
            </w:tcBorders>
            <w:shd w:val="clear" w:color="auto" w:fill="auto"/>
            <w:noWrap/>
            <w:vAlign w:val="bottom"/>
            <w:hideMark/>
          </w:tcPr>
          <w:p w14:paraId="298EE024" w14:textId="77777777" w:rsidR="00FC0498" w:rsidRPr="00034E9B" w:rsidRDefault="00FC0498" w:rsidP="00FF6CBF">
            <w:pPr>
              <w:pStyle w:val="CGCTablerow"/>
              <w:keepNext/>
              <w:keepLines/>
              <w:jc w:val="right"/>
              <w:rPr>
                <w:lang w:eastAsia="en-AU"/>
              </w:rPr>
            </w:pPr>
            <w:r w:rsidRPr="00034E9B">
              <w:rPr>
                <w:lang w:eastAsia="en-AU"/>
              </w:rPr>
              <w:t>26</w:t>
            </w:r>
          </w:p>
        </w:tc>
        <w:tc>
          <w:tcPr>
            <w:tcW w:w="600" w:type="dxa"/>
            <w:tcBorders>
              <w:bottom w:val="single" w:sz="4" w:space="0" w:color="ADD6EA"/>
            </w:tcBorders>
            <w:shd w:val="clear" w:color="auto" w:fill="auto"/>
            <w:noWrap/>
            <w:vAlign w:val="bottom"/>
            <w:hideMark/>
          </w:tcPr>
          <w:p w14:paraId="693990FA" w14:textId="77777777" w:rsidR="00FC0498" w:rsidRPr="00034E9B" w:rsidRDefault="00FC0498" w:rsidP="00FF6CBF">
            <w:pPr>
              <w:pStyle w:val="CGCTablerow"/>
              <w:keepNext/>
              <w:keepLines/>
              <w:jc w:val="right"/>
              <w:rPr>
                <w:lang w:eastAsia="en-AU"/>
              </w:rPr>
            </w:pPr>
            <w:r w:rsidRPr="00034E9B">
              <w:rPr>
                <w:lang w:eastAsia="en-AU"/>
              </w:rPr>
              <w:t>10</w:t>
            </w:r>
          </w:p>
        </w:tc>
        <w:tc>
          <w:tcPr>
            <w:tcW w:w="700" w:type="dxa"/>
            <w:tcBorders>
              <w:bottom w:val="single" w:sz="4" w:space="0" w:color="ADD6EA"/>
            </w:tcBorders>
            <w:shd w:val="clear" w:color="auto" w:fill="auto"/>
            <w:noWrap/>
            <w:vAlign w:val="bottom"/>
            <w:hideMark/>
          </w:tcPr>
          <w:p w14:paraId="607BC719" w14:textId="77777777" w:rsidR="00FC0498" w:rsidRPr="00034E9B" w:rsidRDefault="00FC0498" w:rsidP="00FF6CBF">
            <w:pPr>
              <w:pStyle w:val="CGCTablerow"/>
              <w:keepNext/>
              <w:keepLines/>
              <w:jc w:val="right"/>
              <w:rPr>
                <w:lang w:eastAsia="en-AU"/>
              </w:rPr>
            </w:pPr>
            <w:r w:rsidRPr="00034E9B">
              <w:rPr>
                <w:lang w:eastAsia="en-AU"/>
              </w:rPr>
              <w:t>133</w:t>
            </w:r>
          </w:p>
        </w:tc>
        <w:tc>
          <w:tcPr>
            <w:tcW w:w="700" w:type="dxa"/>
            <w:tcBorders>
              <w:bottom w:val="single" w:sz="4" w:space="0" w:color="ADD6EA"/>
            </w:tcBorders>
            <w:shd w:val="clear" w:color="auto" w:fill="auto"/>
            <w:noWrap/>
            <w:vAlign w:val="bottom"/>
            <w:hideMark/>
          </w:tcPr>
          <w:p w14:paraId="0791E2BA" w14:textId="77777777" w:rsidR="00FC0498" w:rsidRPr="00034E9B" w:rsidRDefault="00FC0498" w:rsidP="00FF6CBF">
            <w:pPr>
              <w:pStyle w:val="CGCTablerow"/>
              <w:keepNext/>
              <w:keepLines/>
              <w:jc w:val="right"/>
              <w:rPr>
                <w:lang w:eastAsia="en-AU"/>
              </w:rPr>
            </w:pPr>
            <w:r w:rsidRPr="00034E9B">
              <w:rPr>
                <w:lang w:eastAsia="en-AU"/>
              </w:rPr>
              <w:t>2,371</w:t>
            </w:r>
          </w:p>
        </w:tc>
      </w:tr>
      <w:tr w:rsidR="00FC0498" w:rsidRPr="00034E9B" w14:paraId="360EC509" w14:textId="77777777" w:rsidTr="00CB7BE6">
        <w:trPr>
          <w:trHeight w:val="315"/>
        </w:trPr>
        <w:tc>
          <w:tcPr>
            <w:tcW w:w="2900" w:type="dxa"/>
            <w:shd w:val="clear" w:color="auto" w:fill="B6D5E4"/>
            <w:noWrap/>
            <w:vAlign w:val="bottom"/>
            <w:hideMark/>
          </w:tcPr>
          <w:p w14:paraId="41531EEC" w14:textId="77777777" w:rsidR="00FC0498" w:rsidRPr="00034E9B" w:rsidRDefault="00FC0498" w:rsidP="00FF6CBF">
            <w:pPr>
              <w:pStyle w:val="CGCTablerow"/>
              <w:keepNext/>
              <w:keepLines/>
              <w:rPr>
                <w:rFonts w:ascii="Open Sans Semibold" w:hAnsi="Open Sans Semibold" w:cs="Open Sans Semibold"/>
                <w:lang w:eastAsia="en-AU"/>
              </w:rPr>
            </w:pPr>
            <w:r w:rsidRPr="00034E9B">
              <w:rPr>
                <w:rFonts w:ascii="Open Sans Semibold" w:hAnsi="Open Sans Semibold" w:cs="Open Sans Semibold"/>
                <w:lang w:eastAsia="en-AU"/>
              </w:rPr>
              <w:t>Total</w:t>
            </w:r>
          </w:p>
        </w:tc>
        <w:tc>
          <w:tcPr>
            <w:tcW w:w="700" w:type="dxa"/>
            <w:shd w:val="clear" w:color="auto" w:fill="B6D5E4"/>
            <w:noWrap/>
            <w:vAlign w:val="bottom"/>
            <w:hideMark/>
          </w:tcPr>
          <w:p w14:paraId="2CD60BF8" w14:textId="77777777" w:rsidR="00FC0498" w:rsidRPr="00034E9B" w:rsidRDefault="00FC0498" w:rsidP="00FF6CBF">
            <w:pPr>
              <w:pStyle w:val="CGCTablerow"/>
              <w:keepNext/>
              <w:keepLines/>
              <w:jc w:val="right"/>
              <w:rPr>
                <w:rFonts w:ascii="Open Sans Semibold" w:hAnsi="Open Sans Semibold" w:cs="Open Sans Semibold"/>
                <w:lang w:eastAsia="en-AU"/>
              </w:rPr>
            </w:pPr>
            <w:r w:rsidRPr="00034E9B">
              <w:rPr>
                <w:rFonts w:ascii="Open Sans Semibold" w:hAnsi="Open Sans Semibold" w:cs="Open Sans Semibold"/>
                <w:lang w:eastAsia="en-AU"/>
              </w:rPr>
              <w:t>-1,923</w:t>
            </w:r>
          </w:p>
        </w:tc>
        <w:tc>
          <w:tcPr>
            <w:tcW w:w="700" w:type="dxa"/>
            <w:shd w:val="clear" w:color="auto" w:fill="B6D5E4"/>
            <w:noWrap/>
            <w:vAlign w:val="bottom"/>
            <w:hideMark/>
          </w:tcPr>
          <w:p w14:paraId="2A95F778" w14:textId="77777777" w:rsidR="00FC0498" w:rsidRPr="00034E9B" w:rsidRDefault="00FC0498" w:rsidP="00FF6CBF">
            <w:pPr>
              <w:pStyle w:val="CGCTablerow"/>
              <w:keepNext/>
              <w:keepLines/>
              <w:jc w:val="right"/>
              <w:rPr>
                <w:rFonts w:ascii="Open Sans Semibold" w:hAnsi="Open Sans Semibold" w:cs="Open Sans Semibold"/>
                <w:lang w:eastAsia="en-AU"/>
              </w:rPr>
            </w:pPr>
            <w:r w:rsidRPr="00034E9B">
              <w:rPr>
                <w:rFonts w:ascii="Open Sans Semibold" w:hAnsi="Open Sans Semibold" w:cs="Open Sans Semibold"/>
                <w:lang w:eastAsia="en-AU"/>
              </w:rPr>
              <w:t>-15,090</w:t>
            </w:r>
          </w:p>
        </w:tc>
        <w:tc>
          <w:tcPr>
            <w:tcW w:w="700" w:type="dxa"/>
            <w:shd w:val="clear" w:color="auto" w:fill="B6D5E4"/>
            <w:noWrap/>
            <w:vAlign w:val="bottom"/>
            <w:hideMark/>
          </w:tcPr>
          <w:p w14:paraId="56439048" w14:textId="77777777" w:rsidR="00FC0498" w:rsidRPr="00034E9B" w:rsidRDefault="00FC0498" w:rsidP="00FF6CBF">
            <w:pPr>
              <w:pStyle w:val="CGCTablerow"/>
              <w:keepNext/>
              <w:keepLines/>
              <w:jc w:val="right"/>
              <w:rPr>
                <w:rFonts w:ascii="Open Sans Semibold" w:hAnsi="Open Sans Semibold" w:cs="Open Sans Semibold"/>
                <w:lang w:eastAsia="en-AU"/>
              </w:rPr>
            </w:pPr>
            <w:r w:rsidRPr="00034E9B">
              <w:rPr>
                <w:rFonts w:ascii="Open Sans Semibold" w:hAnsi="Open Sans Semibold" w:cs="Open Sans Semibold"/>
                <w:lang w:eastAsia="en-AU"/>
              </w:rPr>
              <w:t>6,106</w:t>
            </w:r>
          </w:p>
        </w:tc>
        <w:tc>
          <w:tcPr>
            <w:tcW w:w="700" w:type="dxa"/>
            <w:shd w:val="clear" w:color="auto" w:fill="B6D5E4"/>
            <w:noWrap/>
            <w:vAlign w:val="bottom"/>
            <w:hideMark/>
          </w:tcPr>
          <w:p w14:paraId="79030440" w14:textId="77777777" w:rsidR="00FC0498" w:rsidRPr="00034E9B" w:rsidRDefault="00FC0498" w:rsidP="00FF6CBF">
            <w:pPr>
              <w:pStyle w:val="CGCTablerow"/>
              <w:keepNext/>
              <w:keepLines/>
              <w:jc w:val="right"/>
              <w:rPr>
                <w:rFonts w:ascii="Open Sans Semibold" w:hAnsi="Open Sans Semibold" w:cs="Open Sans Semibold"/>
                <w:lang w:eastAsia="en-AU"/>
              </w:rPr>
            </w:pPr>
            <w:r w:rsidRPr="00034E9B">
              <w:rPr>
                <w:rFonts w:ascii="Open Sans Semibold" w:hAnsi="Open Sans Semibold" w:cs="Open Sans Semibold"/>
                <w:lang w:eastAsia="en-AU"/>
              </w:rPr>
              <w:t>477</w:t>
            </w:r>
          </w:p>
        </w:tc>
        <w:tc>
          <w:tcPr>
            <w:tcW w:w="640" w:type="dxa"/>
            <w:shd w:val="clear" w:color="auto" w:fill="B6D5E4"/>
            <w:noWrap/>
            <w:vAlign w:val="bottom"/>
            <w:hideMark/>
          </w:tcPr>
          <w:p w14:paraId="03C71340" w14:textId="77777777" w:rsidR="00FC0498" w:rsidRPr="00034E9B" w:rsidRDefault="00FC0498" w:rsidP="00FF6CBF">
            <w:pPr>
              <w:pStyle w:val="CGCTablerow"/>
              <w:keepNext/>
              <w:keepLines/>
              <w:jc w:val="right"/>
              <w:rPr>
                <w:rFonts w:ascii="Open Sans Semibold" w:hAnsi="Open Sans Semibold" w:cs="Open Sans Semibold"/>
                <w:lang w:eastAsia="en-AU"/>
              </w:rPr>
            </w:pPr>
            <w:r w:rsidRPr="00034E9B">
              <w:rPr>
                <w:rFonts w:ascii="Open Sans Semibold" w:hAnsi="Open Sans Semibold" w:cs="Open Sans Semibold"/>
                <w:lang w:eastAsia="en-AU"/>
              </w:rPr>
              <w:t>517</w:t>
            </w:r>
          </w:p>
        </w:tc>
        <w:tc>
          <w:tcPr>
            <w:tcW w:w="640" w:type="dxa"/>
            <w:shd w:val="clear" w:color="auto" w:fill="B6D5E4"/>
            <w:noWrap/>
            <w:vAlign w:val="bottom"/>
            <w:hideMark/>
          </w:tcPr>
          <w:p w14:paraId="073A2571" w14:textId="77777777" w:rsidR="00FC0498" w:rsidRPr="00034E9B" w:rsidRDefault="00FC0498" w:rsidP="00FF6CBF">
            <w:pPr>
              <w:pStyle w:val="CGCTablerow"/>
              <w:keepNext/>
              <w:keepLines/>
              <w:jc w:val="right"/>
              <w:rPr>
                <w:rFonts w:ascii="Open Sans Semibold" w:hAnsi="Open Sans Semibold" w:cs="Open Sans Semibold"/>
                <w:lang w:eastAsia="en-AU"/>
              </w:rPr>
            </w:pPr>
            <w:r w:rsidRPr="00034E9B">
              <w:rPr>
                <w:rFonts w:ascii="Open Sans Semibold" w:hAnsi="Open Sans Semibold" w:cs="Open Sans Semibold"/>
                <w:lang w:eastAsia="en-AU"/>
              </w:rPr>
              <w:t>649</w:t>
            </w:r>
          </w:p>
        </w:tc>
        <w:tc>
          <w:tcPr>
            <w:tcW w:w="600" w:type="dxa"/>
            <w:shd w:val="clear" w:color="auto" w:fill="B6D5E4"/>
            <w:noWrap/>
            <w:vAlign w:val="bottom"/>
            <w:hideMark/>
          </w:tcPr>
          <w:p w14:paraId="5CBB1373" w14:textId="77777777" w:rsidR="00FC0498" w:rsidRPr="00034E9B" w:rsidRDefault="00FC0498" w:rsidP="00FF6CBF">
            <w:pPr>
              <w:pStyle w:val="CGCTablerow"/>
              <w:keepNext/>
              <w:keepLines/>
              <w:jc w:val="right"/>
              <w:rPr>
                <w:rFonts w:ascii="Open Sans Semibold" w:hAnsi="Open Sans Semibold" w:cs="Open Sans Semibold"/>
                <w:lang w:eastAsia="en-AU"/>
              </w:rPr>
            </w:pPr>
            <w:r w:rsidRPr="00034E9B">
              <w:rPr>
                <w:rFonts w:ascii="Open Sans Semibold" w:hAnsi="Open Sans Semibold" w:cs="Open Sans Semibold"/>
                <w:lang w:eastAsia="en-AU"/>
              </w:rPr>
              <w:t>-328</w:t>
            </w:r>
          </w:p>
        </w:tc>
        <w:tc>
          <w:tcPr>
            <w:tcW w:w="700" w:type="dxa"/>
            <w:shd w:val="clear" w:color="auto" w:fill="B6D5E4"/>
            <w:noWrap/>
            <w:vAlign w:val="bottom"/>
            <w:hideMark/>
          </w:tcPr>
          <w:p w14:paraId="0FE613D9" w14:textId="77777777" w:rsidR="00FC0498" w:rsidRPr="00034E9B" w:rsidRDefault="00FC0498" w:rsidP="00FF6CBF">
            <w:pPr>
              <w:pStyle w:val="CGCTablerow"/>
              <w:keepNext/>
              <w:keepLines/>
              <w:jc w:val="right"/>
              <w:rPr>
                <w:rFonts w:ascii="Open Sans Semibold" w:hAnsi="Open Sans Semibold" w:cs="Open Sans Semibold"/>
                <w:lang w:eastAsia="en-AU"/>
              </w:rPr>
            </w:pPr>
            <w:r w:rsidRPr="00034E9B">
              <w:rPr>
                <w:rFonts w:ascii="Open Sans Semibold" w:hAnsi="Open Sans Semibold" w:cs="Open Sans Semibold"/>
                <w:lang w:eastAsia="en-AU"/>
              </w:rPr>
              <w:t>1,941</w:t>
            </w:r>
          </w:p>
        </w:tc>
        <w:tc>
          <w:tcPr>
            <w:tcW w:w="700" w:type="dxa"/>
            <w:shd w:val="clear" w:color="auto" w:fill="B6D5E4"/>
            <w:noWrap/>
            <w:vAlign w:val="bottom"/>
            <w:hideMark/>
          </w:tcPr>
          <w:p w14:paraId="089422FC" w14:textId="77777777" w:rsidR="00FC0498" w:rsidRPr="00034E9B" w:rsidRDefault="00FC0498" w:rsidP="00FF6CBF">
            <w:pPr>
              <w:pStyle w:val="CGCTablerow"/>
              <w:keepNext/>
              <w:keepLines/>
              <w:jc w:val="right"/>
              <w:rPr>
                <w:rFonts w:ascii="Open Sans Semibold" w:hAnsi="Open Sans Semibold" w:cs="Open Sans Semibold"/>
                <w:lang w:eastAsia="en-AU"/>
              </w:rPr>
            </w:pPr>
            <w:r w:rsidRPr="00034E9B">
              <w:rPr>
                <w:rFonts w:ascii="Open Sans Semibold" w:hAnsi="Open Sans Semibold" w:cs="Open Sans Semibold"/>
                <w:lang w:eastAsia="en-AU"/>
              </w:rPr>
              <w:t>13,515</w:t>
            </w:r>
          </w:p>
        </w:tc>
      </w:tr>
      <w:tr w:rsidR="00FC0498" w:rsidRPr="00034E9B" w14:paraId="35B2E859" w14:textId="77777777" w:rsidTr="00CB7BE6">
        <w:trPr>
          <w:trHeight w:val="315"/>
        </w:trPr>
        <w:tc>
          <w:tcPr>
            <w:tcW w:w="2900" w:type="dxa"/>
            <w:shd w:val="clear" w:color="auto" w:fill="auto"/>
            <w:noWrap/>
            <w:vAlign w:val="bottom"/>
            <w:hideMark/>
          </w:tcPr>
          <w:p w14:paraId="6FA9B98B" w14:textId="77777777" w:rsidR="00FC0498" w:rsidRPr="00034E9B" w:rsidRDefault="00FC0498" w:rsidP="00FF6CBF">
            <w:pPr>
              <w:pStyle w:val="CGCTablerow"/>
              <w:keepNext/>
              <w:keepLines/>
              <w:rPr>
                <w:lang w:eastAsia="en-AU"/>
              </w:rPr>
            </w:pPr>
            <w:r w:rsidRPr="00034E9B">
              <w:rPr>
                <w:lang w:eastAsia="en-AU"/>
              </w:rPr>
              <w:t xml:space="preserve">Urban centre size </w:t>
            </w:r>
          </w:p>
        </w:tc>
        <w:tc>
          <w:tcPr>
            <w:tcW w:w="700" w:type="dxa"/>
            <w:shd w:val="clear" w:color="auto" w:fill="auto"/>
            <w:noWrap/>
            <w:vAlign w:val="bottom"/>
            <w:hideMark/>
          </w:tcPr>
          <w:p w14:paraId="5D3FEA14" w14:textId="77777777" w:rsidR="00FC0498" w:rsidRPr="00034E9B" w:rsidRDefault="00FC0498" w:rsidP="00FF6CBF">
            <w:pPr>
              <w:pStyle w:val="CGCTablerow"/>
              <w:keepNext/>
              <w:keepLines/>
              <w:jc w:val="right"/>
              <w:rPr>
                <w:lang w:eastAsia="en-AU"/>
              </w:rPr>
            </w:pPr>
            <w:r w:rsidRPr="00034E9B">
              <w:rPr>
                <w:lang w:eastAsia="en-AU"/>
              </w:rPr>
              <w:t>846</w:t>
            </w:r>
          </w:p>
        </w:tc>
        <w:tc>
          <w:tcPr>
            <w:tcW w:w="700" w:type="dxa"/>
            <w:shd w:val="clear" w:color="auto" w:fill="auto"/>
            <w:noWrap/>
            <w:vAlign w:val="bottom"/>
            <w:hideMark/>
          </w:tcPr>
          <w:p w14:paraId="7803E059" w14:textId="77777777" w:rsidR="00FC0498" w:rsidRPr="00034E9B" w:rsidRDefault="00FC0498" w:rsidP="00FF6CBF">
            <w:pPr>
              <w:pStyle w:val="CGCTablerow"/>
              <w:keepNext/>
              <w:keepLines/>
              <w:jc w:val="right"/>
              <w:rPr>
                <w:lang w:eastAsia="en-AU"/>
              </w:rPr>
            </w:pPr>
            <w:r w:rsidRPr="00034E9B">
              <w:rPr>
                <w:lang w:eastAsia="en-AU"/>
              </w:rPr>
              <w:t>5,121</w:t>
            </w:r>
          </w:p>
        </w:tc>
        <w:tc>
          <w:tcPr>
            <w:tcW w:w="700" w:type="dxa"/>
            <w:shd w:val="clear" w:color="auto" w:fill="auto"/>
            <w:noWrap/>
            <w:vAlign w:val="bottom"/>
            <w:hideMark/>
          </w:tcPr>
          <w:p w14:paraId="47C2A36D" w14:textId="77777777" w:rsidR="00FC0498" w:rsidRPr="00034E9B" w:rsidRDefault="00FC0498" w:rsidP="00FF6CBF">
            <w:pPr>
              <w:pStyle w:val="CGCTablerow"/>
              <w:keepNext/>
              <w:keepLines/>
              <w:jc w:val="right"/>
              <w:rPr>
                <w:lang w:eastAsia="en-AU"/>
              </w:rPr>
            </w:pPr>
            <w:r w:rsidRPr="00034E9B">
              <w:rPr>
                <w:lang w:eastAsia="en-AU"/>
              </w:rPr>
              <w:t>-2,577</w:t>
            </w:r>
          </w:p>
        </w:tc>
        <w:tc>
          <w:tcPr>
            <w:tcW w:w="700" w:type="dxa"/>
            <w:shd w:val="clear" w:color="auto" w:fill="auto"/>
            <w:noWrap/>
            <w:vAlign w:val="bottom"/>
            <w:hideMark/>
          </w:tcPr>
          <w:p w14:paraId="1104786C" w14:textId="77777777" w:rsidR="00FC0498" w:rsidRPr="00034E9B" w:rsidRDefault="00FC0498" w:rsidP="00FF6CBF">
            <w:pPr>
              <w:pStyle w:val="CGCTablerow"/>
              <w:keepNext/>
              <w:keepLines/>
              <w:jc w:val="right"/>
              <w:rPr>
                <w:lang w:eastAsia="en-AU"/>
              </w:rPr>
            </w:pPr>
            <w:r w:rsidRPr="00034E9B">
              <w:rPr>
                <w:lang w:eastAsia="en-AU"/>
              </w:rPr>
              <w:t>-87</w:t>
            </w:r>
          </w:p>
        </w:tc>
        <w:tc>
          <w:tcPr>
            <w:tcW w:w="640" w:type="dxa"/>
            <w:shd w:val="clear" w:color="auto" w:fill="auto"/>
            <w:noWrap/>
            <w:vAlign w:val="bottom"/>
            <w:hideMark/>
          </w:tcPr>
          <w:p w14:paraId="738C8951" w14:textId="77777777" w:rsidR="00FC0498" w:rsidRPr="00034E9B" w:rsidRDefault="00FC0498" w:rsidP="00FF6CBF">
            <w:pPr>
              <w:pStyle w:val="CGCTablerow"/>
              <w:keepNext/>
              <w:keepLines/>
              <w:jc w:val="right"/>
              <w:rPr>
                <w:lang w:eastAsia="en-AU"/>
              </w:rPr>
            </w:pPr>
            <w:r w:rsidRPr="00034E9B">
              <w:rPr>
                <w:lang w:eastAsia="en-AU"/>
              </w:rPr>
              <w:t>-252</w:t>
            </w:r>
          </w:p>
        </w:tc>
        <w:tc>
          <w:tcPr>
            <w:tcW w:w="640" w:type="dxa"/>
            <w:shd w:val="clear" w:color="auto" w:fill="auto"/>
            <w:noWrap/>
            <w:vAlign w:val="bottom"/>
            <w:hideMark/>
          </w:tcPr>
          <w:p w14:paraId="717CF091" w14:textId="77777777" w:rsidR="00FC0498" w:rsidRPr="00034E9B" w:rsidRDefault="00FC0498" w:rsidP="00FF6CBF">
            <w:pPr>
              <w:pStyle w:val="CGCTablerow"/>
              <w:keepNext/>
              <w:keepLines/>
              <w:jc w:val="right"/>
              <w:rPr>
                <w:lang w:eastAsia="en-AU"/>
              </w:rPr>
            </w:pPr>
            <w:r w:rsidRPr="00034E9B">
              <w:rPr>
                <w:lang w:eastAsia="en-AU"/>
              </w:rPr>
              <w:t>-321</w:t>
            </w:r>
          </w:p>
        </w:tc>
        <w:tc>
          <w:tcPr>
            <w:tcW w:w="600" w:type="dxa"/>
            <w:shd w:val="clear" w:color="auto" w:fill="auto"/>
            <w:noWrap/>
            <w:vAlign w:val="bottom"/>
            <w:hideMark/>
          </w:tcPr>
          <w:p w14:paraId="6125EC86" w14:textId="77777777" w:rsidR="00FC0498" w:rsidRPr="00034E9B" w:rsidRDefault="00FC0498" w:rsidP="00FF6CBF">
            <w:pPr>
              <w:pStyle w:val="CGCTablerow"/>
              <w:keepNext/>
              <w:keepLines/>
              <w:jc w:val="right"/>
              <w:rPr>
                <w:lang w:eastAsia="en-AU"/>
              </w:rPr>
            </w:pPr>
            <w:r w:rsidRPr="00034E9B">
              <w:rPr>
                <w:lang w:eastAsia="en-AU"/>
              </w:rPr>
              <w:t>-61</w:t>
            </w:r>
          </w:p>
        </w:tc>
        <w:tc>
          <w:tcPr>
            <w:tcW w:w="700" w:type="dxa"/>
            <w:shd w:val="clear" w:color="auto" w:fill="auto"/>
            <w:noWrap/>
            <w:vAlign w:val="bottom"/>
            <w:hideMark/>
          </w:tcPr>
          <w:p w14:paraId="06EFC8A5" w14:textId="77777777" w:rsidR="00FC0498" w:rsidRPr="00034E9B" w:rsidRDefault="00FC0498" w:rsidP="00FF6CBF">
            <w:pPr>
              <w:pStyle w:val="CGCTablerow"/>
              <w:keepNext/>
              <w:keepLines/>
              <w:jc w:val="right"/>
              <w:rPr>
                <w:lang w:eastAsia="en-AU"/>
              </w:rPr>
            </w:pPr>
            <w:r w:rsidRPr="00034E9B">
              <w:rPr>
                <w:lang w:eastAsia="en-AU"/>
              </w:rPr>
              <w:t>-182</w:t>
            </w:r>
          </w:p>
        </w:tc>
        <w:tc>
          <w:tcPr>
            <w:tcW w:w="700" w:type="dxa"/>
            <w:shd w:val="clear" w:color="auto" w:fill="auto"/>
            <w:noWrap/>
            <w:vAlign w:val="bottom"/>
            <w:hideMark/>
          </w:tcPr>
          <w:p w14:paraId="37F10E00" w14:textId="77777777" w:rsidR="00FC0498" w:rsidRPr="00034E9B" w:rsidRDefault="00FC0498" w:rsidP="00FF6CBF">
            <w:pPr>
              <w:pStyle w:val="CGCTablerow"/>
              <w:keepNext/>
              <w:keepLines/>
              <w:jc w:val="right"/>
              <w:rPr>
                <w:lang w:eastAsia="en-AU"/>
              </w:rPr>
            </w:pPr>
            <w:r w:rsidRPr="00034E9B">
              <w:rPr>
                <w:lang w:eastAsia="en-AU"/>
              </w:rPr>
              <w:t>4,724</w:t>
            </w:r>
          </w:p>
        </w:tc>
      </w:tr>
      <w:tr w:rsidR="00FC0498" w:rsidRPr="00034E9B" w14:paraId="165A1CAE" w14:textId="77777777" w:rsidTr="00CB7BE6">
        <w:trPr>
          <w:trHeight w:val="315"/>
        </w:trPr>
        <w:tc>
          <w:tcPr>
            <w:tcW w:w="2900" w:type="dxa"/>
            <w:shd w:val="clear" w:color="auto" w:fill="auto"/>
            <w:noWrap/>
            <w:vAlign w:val="bottom"/>
            <w:hideMark/>
          </w:tcPr>
          <w:p w14:paraId="2B8869B6" w14:textId="77777777" w:rsidR="00FC0498" w:rsidRPr="00034E9B" w:rsidRDefault="00FC0498" w:rsidP="00FF6CBF">
            <w:pPr>
              <w:pStyle w:val="CGCTablerow"/>
              <w:keepNext/>
              <w:keepLines/>
              <w:rPr>
                <w:lang w:eastAsia="en-AU"/>
              </w:rPr>
            </w:pPr>
            <w:r w:rsidRPr="00034E9B">
              <w:rPr>
                <w:lang w:eastAsia="en-AU"/>
              </w:rPr>
              <w:t>Administrative scale</w:t>
            </w:r>
          </w:p>
        </w:tc>
        <w:tc>
          <w:tcPr>
            <w:tcW w:w="700" w:type="dxa"/>
            <w:shd w:val="clear" w:color="auto" w:fill="auto"/>
            <w:noWrap/>
            <w:vAlign w:val="bottom"/>
            <w:hideMark/>
          </w:tcPr>
          <w:p w14:paraId="2B4C3A9E" w14:textId="77777777" w:rsidR="00FC0498" w:rsidRPr="00034E9B" w:rsidRDefault="00FC0498" w:rsidP="00FF6CBF">
            <w:pPr>
              <w:pStyle w:val="CGCTablerow"/>
              <w:keepNext/>
              <w:keepLines/>
              <w:jc w:val="right"/>
              <w:rPr>
                <w:lang w:eastAsia="en-AU"/>
              </w:rPr>
            </w:pPr>
            <w:r w:rsidRPr="00034E9B">
              <w:rPr>
                <w:lang w:eastAsia="en-AU"/>
              </w:rPr>
              <w:t>-795</w:t>
            </w:r>
          </w:p>
        </w:tc>
        <w:tc>
          <w:tcPr>
            <w:tcW w:w="700" w:type="dxa"/>
            <w:shd w:val="clear" w:color="auto" w:fill="auto"/>
            <w:noWrap/>
            <w:vAlign w:val="bottom"/>
            <w:hideMark/>
          </w:tcPr>
          <w:p w14:paraId="26718E86" w14:textId="77777777" w:rsidR="00FC0498" w:rsidRPr="00034E9B" w:rsidRDefault="00FC0498" w:rsidP="00FF6CBF">
            <w:pPr>
              <w:pStyle w:val="CGCTablerow"/>
              <w:keepNext/>
              <w:keepLines/>
              <w:jc w:val="right"/>
              <w:rPr>
                <w:lang w:eastAsia="en-AU"/>
              </w:rPr>
            </w:pPr>
            <w:r w:rsidRPr="00034E9B">
              <w:rPr>
                <w:lang w:eastAsia="en-AU"/>
              </w:rPr>
              <w:t>-1,370</w:t>
            </w:r>
          </w:p>
        </w:tc>
        <w:tc>
          <w:tcPr>
            <w:tcW w:w="700" w:type="dxa"/>
            <w:shd w:val="clear" w:color="auto" w:fill="auto"/>
            <w:noWrap/>
            <w:vAlign w:val="bottom"/>
            <w:hideMark/>
          </w:tcPr>
          <w:p w14:paraId="6D757D53" w14:textId="77777777" w:rsidR="00FC0498" w:rsidRPr="00034E9B" w:rsidRDefault="00FC0498" w:rsidP="00FF6CBF">
            <w:pPr>
              <w:pStyle w:val="CGCTablerow"/>
              <w:keepNext/>
              <w:keepLines/>
              <w:jc w:val="right"/>
              <w:rPr>
                <w:lang w:eastAsia="en-AU"/>
              </w:rPr>
            </w:pPr>
            <w:r w:rsidRPr="00034E9B">
              <w:rPr>
                <w:lang w:eastAsia="en-AU"/>
              </w:rPr>
              <w:t>-564</w:t>
            </w:r>
          </w:p>
        </w:tc>
        <w:tc>
          <w:tcPr>
            <w:tcW w:w="700" w:type="dxa"/>
            <w:shd w:val="clear" w:color="auto" w:fill="auto"/>
            <w:noWrap/>
            <w:vAlign w:val="bottom"/>
            <w:hideMark/>
          </w:tcPr>
          <w:p w14:paraId="4F55C067" w14:textId="77777777" w:rsidR="00FC0498" w:rsidRPr="00034E9B" w:rsidRDefault="00FC0498" w:rsidP="00FF6CBF">
            <w:pPr>
              <w:pStyle w:val="CGCTablerow"/>
              <w:keepNext/>
              <w:keepLines/>
              <w:jc w:val="right"/>
              <w:rPr>
                <w:lang w:eastAsia="en-AU"/>
              </w:rPr>
            </w:pPr>
            <w:r w:rsidRPr="00034E9B">
              <w:rPr>
                <w:lang w:eastAsia="en-AU"/>
              </w:rPr>
              <w:t>42</w:t>
            </w:r>
          </w:p>
        </w:tc>
        <w:tc>
          <w:tcPr>
            <w:tcW w:w="640" w:type="dxa"/>
            <w:shd w:val="clear" w:color="auto" w:fill="auto"/>
            <w:noWrap/>
            <w:vAlign w:val="bottom"/>
            <w:hideMark/>
          </w:tcPr>
          <w:p w14:paraId="27C314F3" w14:textId="77777777" w:rsidR="00FC0498" w:rsidRPr="00034E9B" w:rsidRDefault="00FC0498" w:rsidP="00FF6CBF">
            <w:pPr>
              <w:pStyle w:val="CGCTablerow"/>
              <w:keepNext/>
              <w:keepLines/>
              <w:jc w:val="right"/>
              <w:rPr>
                <w:lang w:eastAsia="en-AU"/>
              </w:rPr>
            </w:pPr>
            <w:r w:rsidRPr="00034E9B">
              <w:rPr>
                <w:lang w:eastAsia="en-AU"/>
              </w:rPr>
              <w:t>126</w:t>
            </w:r>
          </w:p>
        </w:tc>
        <w:tc>
          <w:tcPr>
            <w:tcW w:w="640" w:type="dxa"/>
            <w:shd w:val="clear" w:color="auto" w:fill="auto"/>
            <w:noWrap/>
            <w:vAlign w:val="bottom"/>
            <w:hideMark/>
          </w:tcPr>
          <w:p w14:paraId="0207667A" w14:textId="77777777" w:rsidR="00FC0498" w:rsidRPr="00034E9B" w:rsidRDefault="00FC0498" w:rsidP="00FF6CBF">
            <w:pPr>
              <w:pStyle w:val="CGCTablerow"/>
              <w:keepNext/>
              <w:keepLines/>
              <w:jc w:val="right"/>
              <w:rPr>
                <w:lang w:eastAsia="en-AU"/>
              </w:rPr>
            </w:pPr>
            <w:r w:rsidRPr="00034E9B">
              <w:rPr>
                <w:lang w:eastAsia="en-AU"/>
              </w:rPr>
              <w:t>274</w:t>
            </w:r>
          </w:p>
        </w:tc>
        <w:tc>
          <w:tcPr>
            <w:tcW w:w="600" w:type="dxa"/>
            <w:shd w:val="clear" w:color="auto" w:fill="auto"/>
            <w:noWrap/>
            <w:vAlign w:val="bottom"/>
            <w:hideMark/>
          </w:tcPr>
          <w:p w14:paraId="70F312A3" w14:textId="77777777" w:rsidR="00FC0498" w:rsidRPr="00034E9B" w:rsidRDefault="00FC0498" w:rsidP="00FF6CBF">
            <w:pPr>
              <w:pStyle w:val="CGCTablerow"/>
              <w:keepNext/>
              <w:keepLines/>
              <w:jc w:val="right"/>
              <w:rPr>
                <w:lang w:eastAsia="en-AU"/>
              </w:rPr>
            </w:pPr>
            <w:r w:rsidRPr="00034E9B">
              <w:rPr>
                <w:lang w:eastAsia="en-AU"/>
              </w:rPr>
              <w:t>189</w:t>
            </w:r>
          </w:p>
        </w:tc>
        <w:tc>
          <w:tcPr>
            <w:tcW w:w="700" w:type="dxa"/>
            <w:shd w:val="clear" w:color="auto" w:fill="auto"/>
            <w:noWrap/>
            <w:vAlign w:val="bottom"/>
            <w:hideMark/>
          </w:tcPr>
          <w:p w14:paraId="381ED986" w14:textId="77777777" w:rsidR="00FC0498" w:rsidRPr="00034E9B" w:rsidRDefault="00FC0498" w:rsidP="00FF6CBF">
            <w:pPr>
              <w:pStyle w:val="CGCTablerow"/>
              <w:keepNext/>
              <w:keepLines/>
              <w:jc w:val="right"/>
              <w:rPr>
                <w:lang w:eastAsia="en-AU"/>
              </w:rPr>
            </w:pPr>
            <w:r w:rsidRPr="00034E9B">
              <w:rPr>
                <w:lang w:eastAsia="en-AU"/>
              </w:rPr>
              <w:t>372</w:t>
            </w:r>
          </w:p>
        </w:tc>
        <w:tc>
          <w:tcPr>
            <w:tcW w:w="700" w:type="dxa"/>
            <w:shd w:val="clear" w:color="auto" w:fill="auto"/>
            <w:noWrap/>
            <w:vAlign w:val="bottom"/>
            <w:hideMark/>
          </w:tcPr>
          <w:p w14:paraId="128BC03A" w14:textId="77777777" w:rsidR="00FC0498" w:rsidRPr="00034E9B" w:rsidRDefault="00FC0498" w:rsidP="00FF6CBF">
            <w:pPr>
              <w:pStyle w:val="CGCTablerow"/>
              <w:keepNext/>
              <w:keepLines/>
              <w:jc w:val="right"/>
              <w:rPr>
                <w:lang w:eastAsia="en-AU"/>
              </w:rPr>
            </w:pPr>
            <w:r w:rsidRPr="00034E9B">
              <w:rPr>
                <w:lang w:eastAsia="en-AU"/>
              </w:rPr>
              <w:t>1,866</w:t>
            </w:r>
          </w:p>
        </w:tc>
      </w:tr>
      <w:tr w:rsidR="00FC0498" w:rsidRPr="00034E9B" w14:paraId="63672545" w14:textId="77777777" w:rsidTr="00CB7BE6">
        <w:trPr>
          <w:trHeight w:val="315"/>
        </w:trPr>
        <w:tc>
          <w:tcPr>
            <w:tcW w:w="2900" w:type="dxa"/>
            <w:shd w:val="clear" w:color="auto" w:fill="auto"/>
            <w:noWrap/>
            <w:vAlign w:val="bottom"/>
            <w:hideMark/>
          </w:tcPr>
          <w:p w14:paraId="1A0B0E1D" w14:textId="77777777" w:rsidR="00FC0498" w:rsidRPr="00034E9B" w:rsidRDefault="00FC0498" w:rsidP="00FF6CBF">
            <w:pPr>
              <w:pStyle w:val="CGCTablerow"/>
              <w:keepNext/>
              <w:keepLines/>
              <w:rPr>
                <w:lang w:eastAsia="en-AU"/>
              </w:rPr>
            </w:pPr>
            <w:r w:rsidRPr="00034E9B">
              <w:rPr>
                <w:lang w:eastAsia="en-AU"/>
              </w:rPr>
              <w:t>Wage costs</w:t>
            </w:r>
          </w:p>
        </w:tc>
        <w:tc>
          <w:tcPr>
            <w:tcW w:w="700" w:type="dxa"/>
            <w:shd w:val="clear" w:color="auto" w:fill="auto"/>
            <w:noWrap/>
            <w:vAlign w:val="bottom"/>
            <w:hideMark/>
          </w:tcPr>
          <w:p w14:paraId="35292C47" w14:textId="77777777" w:rsidR="00FC0498" w:rsidRPr="00034E9B" w:rsidRDefault="00FC0498" w:rsidP="00FF6CBF">
            <w:pPr>
              <w:pStyle w:val="CGCTablerow"/>
              <w:keepNext/>
              <w:keepLines/>
              <w:jc w:val="right"/>
              <w:rPr>
                <w:lang w:eastAsia="en-AU"/>
              </w:rPr>
            </w:pPr>
            <w:r w:rsidRPr="00034E9B">
              <w:rPr>
                <w:lang w:eastAsia="en-AU"/>
              </w:rPr>
              <w:t>304</w:t>
            </w:r>
          </w:p>
        </w:tc>
        <w:tc>
          <w:tcPr>
            <w:tcW w:w="700" w:type="dxa"/>
            <w:shd w:val="clear" w:color="auto" w:fill="auto"/>
            <w:noWrap/>
            <w:vAlign w:val="bottom"/>
            <w:hideMark/>
          </w:tcPr>
          <w:p w14:paraId="07946D0C" w14:textId="77777777" w:rsidR="00FC0498" w:rsidRPr="00034E9B" w:rsidRDefault="00FC0498" w:rsidP="00FF6CBF">
            <w:pPr>
              <w:pStyle w:val="CGCTablerow"/>
              <w:keepNext/>
              <w:keepLines/>
              <w:jc w:val="right"/>
              <w:rPr>
                <w:lang w:eastAsia="en-AU"/>
              </w:rPr>
            </w:pPr>
            <w:r w:rsidRPr="00034E9B">
              <w:rPr>
                <w:lang w:eastAsia="en-AU"/>
              </w:rPr>
              <w:t>-819</w:t>
            </w:r>
          </w:p>
        </w:tc>
        <w:tc>
          <w:tcPr>
            <w:tcW w:w="700" w:type="dxa"/>
            <w:shd w:val="clear" w:color="auto" w:fill="auto"/>
            <w:noWrap/>
            <w:vAlign w:val="bottom"/>
            <w:hideMark/>
          </w:tcPr>
          <w:p w14:paraId="64282340" w14:textId="77777777" w:rsidR="00FC0498" w:rsidRPr="00034E9B" w:rsidRDefault="00FC0498" w:rsidP="00FF6CBF">
            <w:pPr>
              <w:pStyle w:val="CGCTablerow"/>
              <w:keepNext/>
              <w:keepLines/>
              <w:jc w:val="right"/>
              <w:rPr>
                <w:lang w:eastAsia="en-AU"/>
              </w:rPr>
            </w:pPr>
            <w:r w:rsidRPr="00034E9B">
              <w:rPr>
                <w:lang w:eastAsia="en-AU"/>
              </w:rPr>
              <w:t>-496</w:t>
            </w:r>
          </w:p>
        </w:tc>
        <w:tc>
          <w:tcPr>
            <w:tcW w:w="700" w:type="dxa"/>
            <w:shd w:val="clear" w:color="auto" w:fill="auto"/>
            <w:noWrap/>
            <w:vAlign w:val="bottom"/>
            <w:hideMark/>
          </w:tcPr>
          <w:p w14:paraId="72DD296F" w14:textId="77777777" w:rsidR="00FC0498" w:rsidRPr="00034E9B" w:rsidRDefault="00FC0498" w:rsidP="00FF6CBF">
            <w:pPr>
              <w:pStyle w:val="CGCTablerow"/>
              <w:keepNext/>
              <w:keepLines/>
              <w:jc w:val="right"/>
              <w:rPr>
                <w:lang w:eastAsia="en-AU"/>
              </w:rPr>
            </w:pPr>
            <w:r w:rsidRPr="00034E9B">
              <w:rPr>
                <w:lang w:eastAsia="en-AU"/>
              </w:rPr>
              <w:t>306</w:t>
            </w:r>
          </w:p>
        </w:tc>
        <w:tc>
          <w:tcPr>
            <w:tcW w:w="640" w:type="dxa"/>
            <w:shd w:val="clear" w:color="auto" w:fill="auto"/>
            <w:noWrap/>
            <w:vAlign w:val="bottom"/>
            <w:hideMark/>
          </w:tcPr>
          <w:p w14:paraId="298B89B3" w14:textId="77777777" w:rsidR="00FC0498" w:rsidRPr="00034E9B" w:rsidRDefault="00FC0498" w:rsidP="00FF6CBF">
            <w:pPr>
              <w:pStyle w:val="CGCTablerow"/>
              <w:keepNext/>
              <w:keepLines/>
              <w:jc w:val="right"/>
              <w:rPr>
                <w:lang w:eastAsia="en-AU"/>
              </w:rPr>
            </w:pPr>
            <w:r w:rsidRPr="00034E9B">
              <w:rPr>
                <w:lang w:eastAsia="en-AU"/>
              </w:rPr>
              <w:t>-228</w:t>
            </w:r>
          </w:p>
        </w:tc>
        <w:tc>
          <w:tcPr>
            <w:tcW w:w="640" w:type="dxa"/>
            <w:shd w:val="clear" w:color="auto" w:fill="auto"/>
            <w:noWrap/>
            <w:vAlign w:val="bottom"/>
            <w:hideMark/>
          </w:tcPr>
          <w:p w14:paraId="692E73F6" w14:textId="77777777" w:rsidR="00FC0498" w:rsidRPr="00034E9B" w:rsidRDefault="00FC0498" w:rsidP="00FF6CBF">
            <w:pPr>
              <w:pStyle w:val="CGCTablerow"/>
              <w:keepNext/>
              <w:keepLines/>
              <w:jc w:val="right"/>
              <w:rPr>
                <w:lang w:eastAsia="en-AU"/>
              </w:rPr>
            </w:pPr>
            <w:r w:rsidRPr="00034E9B">
              <w:rPr>
                <w:lang w:eastAsia="en-AU"/>
              </w:rPr>
              <w:t>-180</w:t>
            </w:r>
          </w:p>
        </w:tc>
        <w:tc>
          <w:tcPr>
            <w:tcW w:w="600" w:type="dxa"/>
            <w:shd w:val="clear" w:color="auto" w:fill="auto"/>
            <w:noWrap/>
            <w:vAlign w:val="bottom"/>
            <w:hideMark/>
          </w:tcPr>
          <w:p w14:paraId="36239FB3" w14:textId="77777777" w:rsidR="00FC0498" w:rsidRPr="00034E9B" w:rsidRDefault="00FC0498" w:rsidP="00FF6CBF">
            <w:pPr>
              <w:pStyle w:val="CGCTablerow"/>
              <w:keepNext/>
              <w:keepLines/>
              <w:jc w:val="right"/>
              <w:rPr>
                <w:lang w:eastAsia="en-AU"/>
              </w:rPr>
            </w:pPr>
            <w:r w:rsidRPr="00034E9B">
              <w:rPr>
                <w:lang w:eastAsia="en-AU"/>
              </w:rPr>
              <w:t>103</w:t>
            </w:r>
          </w:p>
        </w:tc>
        <w:tc>
          <w:tcPr>
            <w:tcW w:w="700" w:type="dxa"/>
            <w:shd w:val="clear" w:color="auto" w:fill="auto"/>
            <w:noWrap/>
            <w:vAlign w:val="bottom"/>
            <w:hideMark/>
          </w:tcPr>
          <w:p w14:paraId="0FB26F1F" w14:textId="77777777" w:rsidR="00FC0498" w:rsidRPr="00034E9B" w:rsidRDefault="00FC0498" w:rsidP="00FF6CBF">
            <w:pPr>
              <w:pStyle w:val="CGCTablerow"/>
              <w:keepNext/>
              <w:keepLines/>
              <w:jc w:val="right"/>
              <w:rPr>
                <w:lang w:eastAsia="en-AU"/>
              </w:rPr>
            </w:pPr>
            <w:r w:rsidRPr="00034E9B">
              <w:rPr>
                <w:lang w:eastAsia="en-AU"/>
              </w:rPr>
              <w:t>88</w:t>
            </w:r>
          </w:p>
        </w:tc>
        <w:tc>
          <w:tcPr>
            <w:tcW w:w="700" w:type="dxa"/>
            <w:shd w:val="clear" w:color="auto" w:fill="auto"/>
            <w:noWrap/>
            <w:vAlign w:val="bottom"/>
            <w:hideMark/>
          </w:tcPr>
          <w:p w14:paraId="4B5DAA9D" w14:textId="77777777" w:rsidR="00FC0498" w:rsidRPr="00034E9B" w:rsidRDefault="00FC0498" w:rsidP="00FF6CBF">
            <w:pPr>
              <w:pStyle w:val="CGCTablerow"/>
              <w:keepNext/>
              <w:keepLines/>
              <w:jc w:val="right"/>
              <w:rPr>
                <w:lang w:eastAsia="en-AU"/>
              </w:rPr>
            </w:pPr>
            <w:r w:rsidRPr="00034E9B">
              <w:rPr>
                <w:lang w:eastAsia="en-AU"/>
              </w:rPr>
              <w:t>1,262</w:t>
            </w:r>
          </w:p>
        </w:tc>
      </w:tr>
      <w:tr w:rsidR="00FC0498" w:rsidRPr="00034E9B" w14:paraId="00DFEFB3" w14:textId="77777777" w:rsidTr="00CB7BE6">
        <w:trPr>
          <w:trHeight w:val="315"/>
        </w:trPr>
        <w:tc>
          <w:tcPr>
            <w:tcW w:w="2900" w:type="dxa"/>
            <w:shd w:val="clear" w:color="auto" w:fill="auto"/>
            <w:noWrap/>
            <w:vAlign w:val="bottom"/>
            <w:hideMark/>
          </w:tcPr>
          <w:p w14:paraId="070DB8EA" w14:textId="77777777" w:rsidR="00FC0498" w:rsidRPr="00034E9B" w:rsidRDefault="00FC0498" w:rsidP="00FF6CBF">
            <w:pPr>
              <w:pStyle w:val="CGCTablerow"/>
              <w:keepNext/>
              <w:keepLines/>
              <w:rPr>
                <w:lang w:eastAsia="en-AU"/>
              </w:rPr>
            </w:pPr>
            <w:r w:rsidRPr="00034E9B">
              <w:rPr>
                <w:lang w:eastAsia="en-AU"/>
              </w:rPr>
              <w:t>Population growth</w:t>
            </w:r>
          </w:p>
        </w:tc>
        <w:tc>
          <w:tcPr>
            <w:tcW w:w="700" w:type="dxa"/>
            <w:shd w:val="clear" w:color="auto" w:fill="auto"/>
            <w:noWrap/>
            <w:vAlign w:val="bottom"/>
            <w:hideMark/>
          </w:tcPr>
          <w:p w14:paraId="347B8B40" w14:textId="77777777" w:rsidR="00FC0498" w:rsidRPr="00034E9B" w:rsidRDefault="00FC0498" w:rsidP="00FF6CBF">
            <w:pPr>
              <w:pStyle w:val="CGCTablerow"/>
              <w:keepNext/>
              <w:keepLines/>
              <w:jc w:val="right"/>
              <w:rPr>
                <w:lang w:eastAsia="en-AU"/>
              </w:rPr>
            </w:pPr>
            <w:r w:rsidRPr="00034E9B">
              <w:rPr>
                <w:lang w:eastAsia="en-AU"/>
              </w:rPr>
              <w:t>-143</w:t>
            </w:r>
          </w:p>
        </w:tc>
        <w:tc>
          <w:tcPr>
            <w:tcW w:w="700" w:type="dxa"/>
            <w:shd w:val="clear" w:color="auto" w:fill="auto"/>
            <w:noWrap/>
            <w:vAlign w:val="bottom"/>
            <w:hideMark/>
          </w:tcPr>
          <w:p w14:paraId="0299F078" w14:textId="77777777" w:rsidR="00FC0498" w:rsidRPr="00034E9B" w:rsidRDefault="00FC0498" w:rsidP="00FF6CBF">
            <w:pPr>
              <w:pStyle w:val="CGCTablerow"/>
              <w:keepNext/>
              <w:keepLines/>
              <w:jc w:val="right"/>
              <w:rPr>
                <w:lang w:eastAsia="en-AU"/>
              </w:rPr>
            </w:pPr>
            <w:r w:rsidRPr="00034E9B">
              <w:rPr>
                <w:lang w:eastAsia="en-AU"/>
              </w:rPr>
              <w:t>2,768</w:t>
            </w:r>
          </w:p>
        </w:tc>
        <w:tc>
          <w:tcPr>
            <w:tcW w:w="700" w:type="dxa"/>
            <w:shd w:val="clear" w:color="auto" w:fill="auto"/>
            <w:noWrap/>
            <w:vAlign w:val="bottom"/>
            <w:hideMark/>
          </w:tcPr>
          <w:p w14:paraId="66AAD361" w14:textId="77777777" w:rsidR="00FC0498" w:rsidRPr="00034E9B" w:rsidRDefault="00FC0498" w:rsidP="00FF6CBF">
            <w:pPr>
              <w:pStyle w:val="CGCTablerow"/>
              <w:keepNext/>
              <w:keepLines/>
              <w:jc w:val="right"/>
              <w:rPr>
                <w:lang w:eastAsia="en-AU"/>
              </w:rPr>
            </w:pPr>
            <w:r w:rsidRPr="00034E9B">
              <w:rPr>
                <w:lang w:eastAsia="en-AU"/>
              </w:rPr>
              <w:t>-81</w:t>
            </w:r>
          </w:p>
        </w:tc>
        <w:tc>
          <w:tcPr>
            <w:tcW w:w="700" w:type="dxa"/>
            <w:shd w:val="clear" w:color="auto" w:fill="auto"/>
            <w:noWrap/>
            <w:vAlign w:val="bottom"/>
            <w:hideMark/>
          </w:tcPr>
          <w:p w14:paraId="427C1B63" w14:textId="77777777" w:rsidR="00FC0498" w:rsidRPr="00034E9B" w:rsidRDefault="00FC0498" w:rsidP="00FF6CBF">
            <w:pPr>
              <w:pStyle w:val="CGCTablerow"/>
              <w:keepNext/>
              <w:keepLines/>
              <w:jc w:val="right"/>
              <w:rPr>
                <w:lang w:eastAsia="en-AU"/>
              </w:rPr>
            </w:pPr>
            <w:r w:rsidRPr="00034E9B">
              <w:rPr>
                <w:lang w:eastAsia="en-AU"/>
              </w:rPr>
              <w:t>-263</w:t>
            </w:r>
          </w:p>
        </w:tc>
        <w:tc>
          <w:tcPr>
            <w:tcW w:w="640" w:type="dxa"/>
            <w:shd w:val="clear" w:color="auto" w:fill="auto"/>
            <w:noWrap/>
            <w:vAlign w:val="bottom"/>
            <w:hideMark/>
          </w:tcPr>
          <w:p w14:paraId="2E338C11" w14:textId="77777777" w:rsidR="00FC0498" w:rsidRPr="00034E9B" w:rsidRDefault="00FC0498" w:rsidP="00FF6CBF">
            <w:pPr>
              <w:pStyle w:val="CGCTablerow"/>
              <w:keepNext/>
              <w:keepLines/>
              <w:jc w:val="right"/>
              <w:rPr>
                <w:lang w:eastAsia="en-AU"/>
              </w:rPr>
            </w:pPr>
            <w:r w:rsidRPr="00034E9B">
              <w:rPr>
                <w:lang w:eastAsia="en-AU"/>
              </w:rPr>
              <w:t>-212</w:t>
            </w:r>
          </w:p>
        </w:tc>
        <w:tc>
          <w:tcPr>
            <w:tcW w:w="640" w:type="dxa"/>
            <w:shd w:val="clear" w:color="auto" w:fill="auto"/>
            <w:noWrap/>
            <w:vAlign w:val="bottom"/>
            <w:hideMark/>
          </w:tcPr>
          <w:p w14:paraId="0A913F9F" w14:textId="77777777" w:rsidR="00FC0498" w:rsidRPr="00034E9B" w:rsidRDefault="00FC0498" w:rsidP="00FF6CBF">
            <w:pPr>
              <w:pStyle w:val="CGCTablerow"/>
              <w:keepNext/>
              <w:keepLines/>
              <w:jc w:val="right"/>
              <w:rPr>
                <w:lang w:eastAsia="en-AU"/>
              </w:rPr>
            </w:pPr>
            <w:r w:rsidRPr="00034E9B">
              <w:rPr>
                <w:lang w:eastAsia="en-AU"/>
              </w:rPr>
              <w:t>-73</w:t>
            </w:r>
          </w:p>
        </w:tc>
        <w:tc>
          <w:tcPr>
            <w:tcW w:w="600" w:type="dxa"/>
            <w:shd w:val="clear" w:color="auto" w:fill="auto"/>
            <w:noWrap/>
            <w:vAlign w:val="bottom"/>
            <w:hideMark/>
          </w:tcPr>
          <w:p w14:paraId="01426944" w14:textId="77777777" w:rsidR="00FC0498" w:rsidRPr="00034E9B" w:rsidRDefault="00FC0498" w:rsidP="00FF6CBF">
            <w:pPr>
              <w:pStyle w:val="CGCTablerow"/>
              <w:keepNext/>
              <w:keepLines/>
              <w:jc w:val="right"/>
              <w:rPr>
                <w:lang w:eastAsia="en-AU"/>
              </w:rPr>
            </w:pPr>
            <w:r w:rsidRPr="00034E9B">
              <w:rPr>
                <w:lang w:eastAsia="en-AU"/>
              </w:rPr>
              <w:t>-10</w:t>
            </w:r>
          </w:p>
        </w:tc>
        <w:tc>
          <w:tcPr>
            <w:tcW w:w="700" w:type="dxa"/>
            <w:shd w:val="clear" w:color="auto" w:fill="auto"/>
            <w:noWrap/>
            <w:vAlign w:val="bottom"/>
            <w:hideMark/>
          </w:tcPr>
          <w:p w14:paraId="6BCD1983" w14:textId="77777777" w:rsidR="00FC0498" w:rsidRPr="00034E9B" w:rsidRDefault="00FC0498" w:rsidP="00FF6CBF">
            <w:pPr>
              <w:pStyle w:val="CGCTablerow"/>
              <w:keepNext/>
              <w:keepLines/>
              <w:jc w:val="right"/>
              <w:rPr>
                <w:lang w:eastAsia="en-AU"/>
              </w:rPr>
            </w:pPr>
            <w:r w:rsidRPr="00034E9B">
              <w:rPr>
                <w:lang w:eastAsia="en-AU"/>
              </w:rPr>
              <w:t>110</w:t>
            </w:r>
          </w:p>
        </w:tc>
        <w:tc>
          <w:tcPr>
            <w:tcW w:w="700" w:type="dxa"/>
            <w:shd w:val="clear" w:color="auto" w:fill="auto"/>
            <w:noWrap/>
            <w:vAlign w:val="bottom"/>
            <w:hideMark/>
          </w:tcPr>
          <w:p w14:paraId="36589F31" w14:textId="77777777" w:rsidR="00FC0498" w:rsidRPr="00034E9B" w:rsidRDefault="00FC0498" w:rsidP="00FF6CBF">
            <w:pPr>
              <w:pStyle w:val="CGCTablerow"/>
              <w:keepNext/>
              <w:keepLines/>
              <w:jc w:val="right"/>
              <w:rPr>
                <w:lang w:eastAsia="en-AU"/>
              </w:rPr>
            </w:pPr>
            <w:r w:rsidRPr="00034E9B">
              <w:rPr>
                <w:lang w:eastAsia="en-AU"/>
              </w:rPr>
              <w:t>1,830</w:t>
            </w:r>
          </w:p>
        </w:tc>
      </w:tr>
      <w:tr w:rsidR="00FC0498" w:rsidRPr="00034E9B" w14:paraId="5E7FEB36" w14:textId="77777777" w:rsidTr="00CB7BE6">
        <w:trPr>
          <w:trHeight w:val="315"/>
        </w:trPr>
        <w:tc>
          <w:tcPr>
            <w:tcW w:w="2900" w:type="dxa"/>
            <w:shd w:val="clear" w:color="auto" w:fill="auto"/>
            <w:noWrap/>
            <w:vAlign w:val="bottom"/>
            <w:hideMark/>
          </w:tcPr>
          <w:p w14:paraId="29FB51CA" w14:textId="77777777" w:rsidR="00FC0498" w:rsidRPr="00034E9B" w:rsidRDefault="00FC0498" w:rsidP="00FF6CBF">
            <w:pPr>
              <w:pStyle w:val="CGCTablerow"/>
              <w:keepNext/>
              <w:keepLines/>
              <w:rPr>
                <w:lang w:eastAsia="en-AU"/>
              </w:rPr>
            </w:pPr>
            <w:r w:rsidRPr="00034E9B">
              <w:rPr>
                <w:lang w:eastAsia="en-AU"/>
              </w:rPr>
              <w:t>Small communities</w:t>
            </w:r>
          </w:p>
        </w:tc>
        <w:tc>
          <w:tcPr>
            <w:tcW w:w="700" w:type="dxa"/>
            <w:shd w:val="clear" w:color="auto" w:fill="auto"/>
            <w:noWrap/>
            <w:vAlign w:val="bottom"/>
            <w:hideMark/>
          </w:tcPr>
          <w:p w14:paraId="297D68DC" w14:textId="77777777" w:rsidR="00FC0498" w:rsidRPr="00034E9B" w:rsidRDefault="00FC0498" w:rsidP="00FF6CBF">
            <w:pPr>
              <w:pStyle w:val="CGCTablerow"/>
              <w:keepNext/>
              <w:keepLines/>
              <w:jc w:val="right"/>
              <w:rPr>
                <w:lang w:eastAsia="en-AU"/>
              </w:rPr>
            </w:pPr>
            <w:r w:rsidRPr="00034E9B">
              <w:rPr>
                <w:lang w:eastAsia="en-AU"/>
              </w:rPr>
              <w:t>-410</w:t>
            </w:r>
          </w:p>
        </w:tc>
        <w:tc>
          <w:tcPr>
            <w:tcW w:w="700" w:type="dxa"/>
            <w:shd w:val="clear" w:color="auto" w:fill="auto"/>
            <w:noWrap/>
            <w:vAlign w:val="bottom"/>
            <w:hideMark/>
          </w:tcPr>
          <w:p w14:paraId="4B2C80EC" w14:textId="77777777" w:rsidR="00FC0498" w:rsidRPr="00034E9B" w:rsidRDefault="00FC0498" w:rsidP="00FF6CBF">
            <w:pPr>
              <w:pStyle w:val="CGCTablerow"/>
              <w:keepNext/>
              <w:keepLines/>
              <w:jc w:val="right"/>
              <w:rPr>
                <w:lang w:eastAsia="en-AU"/>
              </w:rPr>
            </w:pPr>
            <w:r w:rsidRPr="00034E9B">
              <w:rPr>
                <w:lang w:eastAsia="en-AU"/>
              </w:rPr>
              <w:t>-970</w:t>
            </w:r>
          </w:p>
        </w:tc>
        <w:tc>
          <w:tcPr>
            <w:tcW w:w="700" w:type="dxa"/>
            <w:shd w:val="clear" w:color="auto" w:fill="auto"/>
            <w:noWrap/>
            <w:vAlign w:val="bottom"/>
            <w:hideMark/>
          </w:tcPr>
          <w:p w14:paraId="055ABA63" w14:textId="77777777" w:rsidR="00FC0498" w:rsidRPr="00034E9B" w:rsidRDefault="00FC0498" w:rsidP="00FF6CBF">
            <w:pPr>
              <w:pStyle w:val="CGCTablerow"/>
              <w:keepNext/>
              <w:keepLines/>
              <w:jc w:val="right"/>
              <w:rPr>
                <w:lang w:eastAsia="en-AU"/>
              </w:rPr>
            </w:pPr>
            <w:r w:rsidRPr="00034E9B">
              <w:rPr>
                <w:lang w:eastAsia="en-AU"/>
              </w:rPr>
              <w:t>270</w:t>
            </w:r>
          </w:p>
        </w:tc>
        <w:tc>
          <w:tcPr>
            <w:tcW w:w="700" w:type="dxa"/>
            <w:shd w:val="clear" w:color="auto" w:fill="auto"/>
            <w:noWrap/>
            <w:vAlign w:val="bottom"/>
            <w:hideMark/>
          </w:tcPr>
          <w:p w14:paraId="04AD1F44" w14:textId="77777777" w:rsidR="00FC0498" w:rsidRPr="00034E9B" w:rsidRDefault="00FC0498" w:rsidP="00FF6CBF">
            <w:pPr>
              <w:pStyle w:val="CGCTablerow"/>
              <w:keepNext/>
              <w:keepLines/>
              <w:jc w:val="right"/>
              <w:rPr>
                <w:lang w:eastAsia="en-AU"/>
              </w:rPr>
            </w:pPr>
            <w:r w:rsidRPr="00034E9B">
              <w:rPr>
                <w:lang w:eastAsia="en-AU"/>
              </w:rPr>
              <w:t>112</w:t>
            </w:r>
          </w:p>
        </w:tc>
        <w:tc>
          <w:tcPr>
            <w:tcW w:w="640" w:type="dxa"/>
            <w:shd w:val="clear" w:color="auto" w:fill="auto"/>
            <w:noWrap/>
            <w:vAlign w:val="bottom"/>
            <w:hideMark/>
          </w:tcPr>
          <w:p w14:paraId="00952922" w14:textId="77777777" w:rsidR="00FC0498" w:rsidRPr="00034E9B" w:rsidRDefault="00FC0498" w:rsidP="00FF6CBF">
            <w:pPr>
              <w:pStyle w:val="CGCTablerow"/>
              <w:keepNext/>
              <w:keepLines/>
              <w:jc w:val="right"/>
              <w:rPr>
                <w:lang w:eastAsia="en-AU"/>
              </w:rPr>
            </w:pPr>
            <w:r w:rsidRPr="00034E9B">
              <w:rPr>
                <w:lang w:eastAsia="en-AU"/>
              </w:rPr>
              <w:t>43</w:t>
            </w:r>
          </w:p>
        </w:tc>
        <w:tc>
          <w:tcPr>
            <w:tcW w:w="640" w:type="dxa"/>
            <w:shd w:val="clear" w:color="auto" w:fill="auto"/>
            <w:noWrap/>
            <w:vAlign w:val="bottom"/>
            <w:hideMark/>
          </w:tcPr>
          <w:p w14:paraId="75579E04" w14:textId="77777777" w:rsidR="00FC0498" w:rsidRPr="00034E9B" w:rsidRDefault="00FC0498" w:rsidP="00FF6CBF">
            <w:pPr>
              <w:pStyle w:val="CGCTablerow"/>
              <w:keepNext/>
              <w:keepLines/>
              <w:jc w:val="right"/>
              <w:rPr>
                <w:lang w:eastAsia="en-AU"/>
              </w:rPr>
            </w:pPr>
            <w:r w:rsidRPr="00034E9B">
              <w:rPr>
                <w:lang w:eastAsia="en-AU"/>
              </w:rPr>
              <w:t>21</w:t>
            </w:r>
          </w:p>
        </w:tc>
        <w:tc>
          <w:tcPr>
            <w:tcW w:w="600" w:type="dxa"/>
            <w:shd w:val="clear" w:color="auto" w:fill="auto"/>
            <w:noWrap/>
            <w:vAlign w:val="bottom"/>
            <w:hideMark/>
          </w:tcPr>
          <w:p w14:paraId="3D560726" w14:textId="77777777" w:rsidR="00FC0498" w:rsidRPr="00034E9B" w:rsidRDefault="00FC0498" w:rsidP="00FF6CBF">
            <w:pPr>
              <w:pStyle w:val="CGCTablerow"/>
              <w:keepNext/>
              <w:keepLines/>
              <w:jc w:val="right"/>
              <w:rPr>
                <w:lang w:eastAsia="en-AU"/>
              </w:rPr>
            </w:pPr>
            <w:r w:rsidRPr="00034E9B">
              <w:rPr>
                <w:lang w:eastAsia="en-AU"/>
              </w:rPr>
              <w:t>-11</w:t>
            </w:r>
          </w:p>
        </w:tc>
        <w:tc>
          <w:tcPr>
            <w:tcW w:w="700" w:type="dxa"/>
            <w:shd w:val="clear" w:color="auto" w:fill="auto"/>
            <w:noWrap/>
            <w:vAlign w:val="bottom"/>
            <w:hideMark/>
          </w:tcPr>
          <w:p w14:paraId="285D2063" w14:textId="77777777" w:rsidR="00FC0498" w:rsidRPr="00034E9B" w:rsidRDefault="00FC0498" w:rsidP="00FF6CBF">
            <w:pPr>
              <w:pStyle w:val="CGCTablerow"/>
              <w:keepNext/>
              <w:keepLines/>
              <w:jc w:val="right"/>
              <w:rPr>
                <w:lang w:eastAsia="en-AU"/>
              </w:rPr>
            </w:pPr>
            <w:r w:rsidRPr="00034E9B">
              <w:rPr>
                <w:lang w:eastAsia="en-AU"/>
              </w:rPr>
              <w:t>266</w:t>
            </w:r>
          </w:p>
        </w:tc>
        <w:tc>
          <w:tcPr>
            <w:tcW w:w="700" w:type="dxa"/>
            <w:shd w:val="clear" w:color="auto" w:fill="auto"/>
            <w:noWrap/>
            <w:vAlign w:val="bottom"/>
            <w:hideMark/>
          </w:tcPr>
          <w:p w14:paraId="17B038CE" w14:textId="77777777" w:rsidR="00FC0498" w:rsidRPr="00034E9B" w:rsidRDefault="00FC0498" w:rsidP="00FF6CBF">
            <w:pPr>
              <w:pStyle w:val="CGCTablerow"/>
              <w:keepNext/>
              <w:keepLines/>
              <w:jc w:val="right"/>
              <w:rPr>
                <w:lang w:eastAsia="en-AU"/>
              </w:rPr>
            </w:pPr>
            <w:r w:rsidRPr="00034E9B">
              <w:rPr>
                <w:lang w:eastAsia="en-AU"/>
              </w:rPr>
              <w:t>1,051</w:t>
            </w:r>
          </w:p>
        </w:tc>
      </w:tr>
      <w:tr w:rsidR="00FC0498" w:rsidRPr="00034E9B" w14:paraId="2E7C996D" w14:textId="77777777" w:rsidTr="00CB7BE6">
        <w:trPr>
          <w:trHeight w:val="315"/>
        </w:trPr>
        <w:tc>
          <w:tcPr>
            <w:tcW w:w="2900" w:type="dxa"/>
            <w:shd w:val="clear" w:color="auto" w:fill="auto"/>
            <w:noWrap/>
            <w:vAlign w:val="bottom"/>
            <w:hideMark/>
          </w:tcPr>
          <w:p w14:paraId="6C6F4F2E" w14:textId="77777777" w:rsidR="00FC0498" w:rsidRPr="00034E9B" w:rsidRDefault="00FC0498" w:rsidP="00FF6CBF">
            <w:pPr>
              <w:pStyle w:val="CGCTablerow"/>
              <w:keepNext/>
              <w:keepLines/>
              <w:rPr>
                <w:lang w:eastAsia="en-AU"/>
              </w:rPr>
            </w:pPr>
            <w:r w:rsidRPr="00034E9B">
              <w:rPr>
                <w:lang w:eastAsia="en-AU"/>
              </w:rPr>
              <w:t>Economic activity</w:t>
            </w:r>
          </w:p>
        </w:tc>
        <w:tc>
          <w:tcPr>
            <w:tcW w:w="700" w:type="dxa"/>
            <w:shd w:val="clear" w:color="auto" w:fill="auto"/>
            <w:noWrap/>
            <w:vAlign w:val="bottom"/>
            <w:hideMark/>
          </w:tcPr>
          <w:p w14:paraId="053D8C61" w14:textId="77777777" w:rsidR="00FC0498" w:rsidRPr="00034E9B" w:rsidRDefault="00FC0498" w:rsidP="00FF6CBF">
            <w:pPr>
              <w:pStyle w:val="CGCTablerow"/>
              <w:keepNext/>
              <w:keepLines/>
              <w:jc w:val="right"/>
              <w:rPr>
                <w:lang w:eastAsia="en-AU"/>
              </w:rPr>
            </w:pPr>
            <w:r w:rsidRPr="00034E9B">
              <w:rPr>
                <w:lang w:eastAsia="en-AU"/>
              </w:rPr>
              <w:t>-261</w:t>
            </w:r>
          </w:p>
        </w:tc>
        <w:tc>
          <w:tcPr>
            <w:tcW w:w="700" w:type="dxa"/>
            <w:shd w:val="clear" w:color="auto" w:fill="auto"/>
            <w:noWrap/>
            <w:vAlign w:val="bottom"/>
            <w:hideMark/>
          </w:tcPr>
          <w:p w14:paraId="253F11AC" w14:textId="77777777" w:rsidR="00FC0498" w:rsidRPr="00034E9B" w:rsidRDefault="00FC0498" w:rsidP="00FF6CBF">
            <w:pPr>
              <w:pStyle w:val="CGCTablerow"/>
              <w:keepNext/>
              <w:keepLines/>
              <w:jc w:val="right"/>
              <w:rPr>
                <w:lang w:eastAsia="en-AU"/>
              </w:rPr>
            </w:pPr>
            <w:r w:rsidRPr="00034E9B">
              <w:rPr>
                <w:lang w:eastAsia="en-AU"/>
              </w:rPr>
              <w:t>-605</w:t>
            </w:r>
          </w:p>
        </w:tc>
        <w:tc>
          <w:tcPr>
            <w:tcW w:w="700" w:type="dxa"/>
            <w:shd w:val="clear" w:color="auto" w:fill="auto"/>
            <w:noWrap/>
            <w:vAlign w:val="bottom"/>
            <w:hideMark/>
          </w:tcPr>
          <w:p w14:paraId="7F95C24E" w14:textId="77777777" w:rsidR="00FC0498" w:rsidRPr="00034E9B" w:rsidRDefault="00FC0498" w:rsidP="00FF6CBF">
            <w:pPr>
              <w:pStyle w:val="CGCTablerow"/>
              <w:keepNext/>
              <w:keepLines/>
              <w:jc w:val="right"/>
              <w:rPr>
                <w:lang w:eastAsia="en-AU"/>
              </w:rPr>
            </w:pPr>
            <w:r w:rsidRPr="00034E9B">
              <w:rPr>
                <w:lang w:eastAsia="en-AU"/>
              </w:rPr>
              <w:t>257</w:t>
            </w:r>
          </w:p>
        </w:tc>
        <w:tc>
          <w:tcPr>
            <w:tcW w:w="700" w:type="dxa"/>
            <w:shd w:val="clear" w:color="auto" w:fill="auto"/>
            <w:noWrap/>
            <w:vAlign w:val="bottom"/>
            <w:hideMark/>
          </w:tcPr>
          <w:p w14:paraId="2F4C2DD6" w14:textId="77777777" w:rsidR="00FC0498" w:rsidRPr="00034E9B" w:rsidRDefault="00FC0498" w:rsidP="00FF6CBF">
            <w:pPr>
              <w:pStyle w:val="CGCTablerow"/>
              <w:keepNext/>
              <w:keepLines/>
              <w:jc w:val="right"/>
              <w:rPr>
                <w:lang w:eastAsia="en-AU"/>
              </w:rPr>
            </w:pPr>
            <w:r w:rsidRPr="00034E9B">
              <w:rPr>
                <w:lang w:eastAsia="en-AU"/>
              </w:rPr>
              <w:t>127</w:t>
            </w:r>
          </w:p>
        </w:tc>
        <w:tc>
          <w:tcPr>
            <w:tcW w:w="640" w:type="dxa"/>
            <w:shd w:val="clear" w:color="auto" w:fill="auto"/>
            <w:noWrap/>
            <w:vAlign w:val="bottom"/>
            <w:hideMark/>
          </w:tcPr>
          <w:p w14:paraId="18873C31" w14:textId="77777777" w:rsidR="00FC0498" w:rsidRPr="00034E9B" w:rsidRDefault="00FC0498" w:rsidP="00FF6CBF">
            <w:pPr>
              <w:pStyle w:val="CGCTablerow"/>
              <w:keepNext/>
              <w:keepLines/>
              <w:jc w:val="right"/>
              <w:rPr>
                <w:lang w:eastAsia="en-AU"/>
              </w:rPr>
            </w:pPr>
            <w:r w:rsidRPr="00034E9B">
              <w:rPr>
                <w:lang w:eastAsia="en-AU"/>
              </w:rPr>
              <w:t>66</w:t>
            </w:r>
          </w:p>
        </w:tc>
        <w:tc>
          <w:tcPr>
            <w:tcW w:w="640" w:type="dxa"/>
            <w:shd w:val="clear" w:color="auto" w:fill="auto"/>
            <w:noWrap/>
            <w:vAlign w:val="bottom"/>
            <w:hideMark/>
          </w:tcPr>
          <w:p w14:paraId="171CE84A" w14:textId="77777777" w:rsidR="00FC0498" w:rsidRPr="00034E9B" w:rsidRDefault="00FC0498" w:rsidP="00FF6CBF">
            <w:pPr>
              <w:pStyle w:val="CGCTablerow"/>
              <w:keepNext/>
              <w:keepLines/>
              <w:jc w:val="right"/>
              <w:rPr>
                <w:lang w:eastAsia="en-AU"/>
              </w:rPr>
            </w:pPr>
            <w:r w:rsidRPr="00034E9B">
              <w:rPr>
                <w:lang w:eastAsia="en-AU"/>
              </w:rPr>
              <w:t>18</w:t>
            </w:r>
          </w:p>
        </w:tc>
        <w:tc>
          <w:tcPr>
            <w:tcW w:w="600" w:type="dxa"/>
            <w:shd w:val="clear" w:color="auto" w:fill="auto"/>
            <w:noWrap/>
            <w:vAlign w:val="bottom"/>
            <w:hideMark/>
          </w:tcPr>
          <w:p w14:paraId="4B08131C" w14:textId="77777777" w:rsidR="00FC0498" w:rsidRPr="00034E9B" w:rsidRDefault="00FC0498" w:rsidP="00FF6CBF">
            <w:pPr>
              <w:pStyle w:val="CGCTablerow"/>
              <w:keepNext/>
              <w:keepLines/>
              <w:jc w:val="right"/>
              <w:rPr>
                <w:lang w:eastAsia="en-AU"/>
              </w:rPr>
            </w:pPr>
            <w:r w:rsidRPr="00034E9B">
              <w:rPr>
                <w:lang w:eastAsia="en-AU"/>
              </w:rPr>
              <w:t>-38</w:t>
            </w:r>
          </w:p>
        </w:tc>
        <w:tc>
          <w:tcPr>
            <w:tcW w:w="700" w:type="dxa"/>
            <w:shd w:val="clear" w:color="auto" w:fill="auto"/>
            <w:noWrap/>
            <w:vAlign w:val="bottom"/>
            <w:hideMark/>
          </w:tcPr>
          <w:p w14:paraId="0FD1E3CE" w14:textId="77777777" w:rsidR="00FC0498" w:rsidRPr="00034E9B" w:rsidRDefault="00FC0498" w:rsidP="00FF6CBF">
            <w:pPr>
              <w:pStyle w:val="CGCTablerow"/>
              <w:keepNext/>
              <w:keepLines/>
              <w:jc w:val="right"/>
              <w:rPr>
                <w:lang w:eastAsia="en-AU"/>
              </w:rPr>
            </w:pPr>
            <w:r w:rsidRPr="00034E9B">
              <w:rPr>
                <w:lang w:eastAsia="en-AU"/>
              </w:rPr>
              <w:t>34</w:t>
            </w:r>
          </w:p>
        </w:tc>
        <w:tc>
          <w:tcPr>
            <w:tcW w:w="700" w:type="dxa"/>
            <w:shd w:val="clear" w:color="auto" w:fill="auto"/>
            <w:noWrap/>
            <w:vAlign w:val="bottom"/>
            <w:hideMark/>
          </w:tcPr>
          <w:p w14:paraId="021D0605" w14:textId="77777777" w:rsidR="00FC0498" w:rsidRPr="00034E9B" w:rsidRDefault="00FC0498" w:rsidP="00FF6CBF">
            <w:pPr>
              <w:pStyle w:val="CGCTablerow"/>
              <w:keepNext/>
              <w:keepLines/>
              <w:jc w:val="right"/>
              <w:rPr>
                <w:lang w:eastAsia="en-AU"/>
              </w:rPr>
            </w:pPr>
            <w:r w:rsidRPr="00034E9B">
              <w:rPr>
                <w:lang w:eastAsia="en-AU"/>
              </w:rPr>
              <w:t>703</w:t>
            </w:r>
          </w:p>
        </w:tc>
      </w:tr>
      <w:tr w:rsidR="00FC0498" w:rsidRPr="00034E9B" w14:paraId="02AA328E" w14:textId="77777777" w:rsidTr="00CB7BE6">
        <w:trPr>
          <w:trHeight w:val="315"/>
        </w:trPr>
        <w:tc>
          <w:tcPr>
            <w:tcW w:w="2900" w:type="dxa"/>
            <w:shd w:val="clear" w:color="auto" w:fill="auto"/>
            <w:noWrap/>
            <w:vAlign w:val="bottom"/>
            <w:hideMark/>
          </w:tcPr>
          <w:p w14:paraId="7D16B97F" w14:textId="77777777" w:rsidR="00FC0498" w:rsidRPr="00034E9B" w:rsidRDefault="00FC0498" w:rsidP="00FF6CBF">
            <w:pPr>
              <w:pStyle w:val="CGCTablerow"/>
              <w:keepNext/>
              <w:keepLines/>
              <w:rPr>
                <w:lang w:eastAsia="en-AU"/>
              </w:rPr>
            </w:pPr>
            <w:r w:rsidRPr="00034E9B">
              <w:rPr>
                <w:lang w:eastAsia="en-AU"/>
              </w:rPr>
              <w:t>Non-State sector</w:t>
            </w:r>
          </w:p>
        </w:tc>
        <w:tc>
          <w:tcPr>
            <w:tcW w:w="700" w:type="dxa"/>
            <w:shd w:val="clear" w:color="auto" w:fill="auto"/>
            <w:noWrap/>
            <w:vAlign w:val="bottom"/>
            <w:hideMark/>
          </w:tcPr>
          <w:p w14:paraId="6BD7383E" w14:textId="77777777" w:rsidR="00FC0498" w:rsidRPr="00034E9B" w:rsidRDefault="00FC0498" w:rsidP="00FF6CBF">
            <w:pPr>
              <w:pStyle w:val="CGCTablerow"/>
              <w:keepNext/>
              <w:keepLines/>
              <w:jc w:val="right"/>
              <w:rPr>
                <w:lang w:eastAsia="en-AU"/>
              </w:rPr>
            </w:pPr>
            <w:r w:rsidRPr="00034E9B">
              <w:rPr>
                <w:lang w:eastAsia="en-AU"/>
              </w:rPr>
              <w:t>-270</w:t>
            </w:r>
          </w:p>
        </w:tc>
        <w:tc>
          <w:tcPr>
            <w:tcW w:w="700" w:type="dxa"/>
            <w:shd w:val="clear" w:color="auto" w:fill="auto"/>
            <w:noWrap/>
            <w:vAlign w:val="bottom"/>
            <w:hideMark/>
          </w:tcPr>
          <w:p w14:paraId="3A958D26" w14:textId="77777777" w:rsidR="00FC0498" w:rsidRPr="00034E9B" w:rsidRDefault="00FC0498" w:rsidP="00FF6CBF">
            <w:pPr>
              <w:pStyle w:val="CGCTablerow"/>
              <w:keepNext/>
              <w:keepLines/>
              <w:jc w:val="right"/>
              <w:rPr>
                <w:lang w:eastAsia="en-AU"/>
              </w:rPr>
            </w:pPr>
            <w:r w:rsidRPr="00034E9B">
              <w:rPr>
                <w:lang w:eastAsia="en-AU"/>
              </w:rPr>
              <w:t>-357</w:t>
            </w:r>
          </w:p>
        </w:tc>
        <w:tc>
          <w:tcPr>
            <w:tcW w:w="700" w:type="dxa"/>
            <w:shd w:val="clear" w:color="auto" w:fill="auto"/>
            <w:noWrap/>
            <w:vAlign w:val="bottom"/>
            <w:hideMark/>
          </w:tcPr>
          <w:p w14:paraId="1654B091" w14:textId="77777777" w:rsidR="00FC0498" w:rsidRPr="00034E9B" w:rsidRDefault="00FC0498" w:rsidP="00FF6CBF">
            <w:pPr>
              <w:pStyle w:val="CGCTablerow"/>
              <w:keepNext/>
              <w:keepLines/>
              <w:jc w:val="right"/>
              <w:rPr>
                <w:lang w:eastAsia="en-AU"/>
              </w:rPr>
            </w:pPr>
            <w:r w:rsidRPr="00034E9B">
              <w:rPr>
                <w:lang w:eastAsia="en-AU"/>
              </w:rPr>
              <w:t>-223</w:t>
            </w:r>
          </w:p>
        </w:tc>
        <w:tc>
          <w:tcPr>
            <w:tcW w:w="700" w:type="dxa"/>
            <w:shd w:val="clear" w:color="auto" w:fill="auto"/>
            <w:noWrap/>
            <w:vAlign w:val="bottom"/>
            <w:hideMark/>
          </w:tcPr>
          <w:p w14:paraId="4A066246" w14:textId="77777777" w:rsidR="00FC0498" w:rsidRPr="00034E9B" w:rsidRDefault="00FC0498" w:rsidP="00FF6CBF">
            <w:pPr>
              <w:pStyle w:val="CGCTablerow"/>
              <w:keepNext/>
              <w:keepLines/>
              <w:jc w:val="right"/>
              <w:rPr>
                <w:lang w:eastAsia="en-AU"/>
              </w:rPr>
            </w:pPr>
            <w:r w:rsidRPr="00034E9B">
              <w:rPr>
                <w:lang w:eastAsia="en-AU"/>
              </w:rPr>
              <w:t>190</w:t>
            </w:r>
          </w:p>
        </w:tc>
        <w:tc>
          <w:tcPr>
            <w:tcW w:w="640" w:type="dxa"/>
            <w:shd w:val="clear" w:color="auto" w:fill="auto"/>
            <w:noWrap/>
            <w:vAlign w:val="bottom"/>
            <w:hideMark/>
          </w:tcPr>
          <w:p w14:paraId="71F4E8B9" w14:textId="77777777" w:rsidR="00FC0498" w:rsidRPr="00034E9B" w:rsidRDefault="00FC0498" w:rsidP="00FF6CBF">
            <w:pPr>
              <w:pStyle w:val="CGCTablerow"/>
              <w:keepNext/>
              <w:keepLines/>
              <w:jc w:val="right"/>
              <w:rPr>
                <w:lang w:eastAsia="en-AU"/>
              </w:rPr>
            </w:pPr>
            <w:r w:rsidRPr="00034E9B">
              <w:rPr>
                <w:lang w:eastAsia="en-AU"/>
              </w:rPr>
              <w:t>7</w:t>
            </w:r>
          </w:p>
        </w:tc>
        <w:tc>
          <w:tcPr>
            <w:tcW w:w="640" w:type="dxa"/>
            <w:shd w:val="clear" w:color="auto" w:fill="auto"/>
            <w:noWrap/>
            <w:vAlign w:val="bottom"/>
            <w:hideMark/>
          </w:tcPr>
          <w:p w14:paraId="5B91047B" w14:textId="77777777" w:rsidR="00FC0498" w:rsidRPr="00034E9B" w:rsidRDefault="00FC0498" w:rsidP="00FF6CBF">
            <w:pPr>
              <w:pStyle w:val="CGCTablerow"/>
              <w:keepNext/>
              <w:keepLines/>
              <w:jc w:val="right"/>
              <w:rPr>
                <w:lang w:eastAsia="en-AU"/>
              </w:rPr>
            </w:pPr>
            <w:r w:rsidRPr="00034E9B">
              <w:rPr>
                <w:lang w:eastAsia="en-AU"/>
              </w:rPr>
              <w:t>69</w:t>
            </w:r>
          </w:p>
        </w:tc>
        <w:tc>
          <w:tcPr>
            <w:tcW w:w="600" w:type="dxa"/>
            <w:shd w:val="clear" w:color="auto" w:fill="auto"/>
            <w:noWrap/>
            <w:vAlign w:val="bottom"/>
            <w:hideMark/>
          </w:tcPr>
          <w:p w14:paraId="6565C583" w14:textId="77777777" w:rsidR="00FC0498" w:rsidRPr="00034E9B" w:rsidRDefault="00FC0498" w:rsidP="00FF6CBF">
            <w:pPr>
              <w:pStyle w:val="CGCTablerow"/>
              <w:keepNext/>
              <w:keepLines/>
              <w:jc w:val="right"/>
              <w:rPr>
                <w:lang w:eastAsia="en-AU"/>
              </w:rPr>
            </w:pPr>
            <w:r w:rsidRPr="00034E9B">
              <w:rPr>
                <w:lang w:eastAsia="en-AU"/>
              </w:rPr>
              <w:t>32</w:t>
            </w:r>
          </w:p>
        </w:tc>
        <w:tc>
          <w:tcPr>
            <w:tcW w:w="700" w:type="dxa"/>
            <w:shd w:val="clear" w:color="auto" w:fill="auto"/>
            <w:noWrap/>
            <w:vAlign w:val="bottom"/>
            <w:hideMark/>
          </w:tcPr>
          <w:p w14:paraId="0C5722D6" w14:textId="77777777" w:rsidR="00FC0498" w:rsidRPr="00034E9B" w:rsidRDefault="00FC0498" w:rsidP="00FF6CBF">
            <w:pPr>
              <w:pStyle w:val="CGCTablerow"/>
              <w:keepNext/>
              <w:keepLines/>
              <w:jc w:val="right"/>
              <w:rPr>
                <w:lang w:eastAsia="en-AU"/>
              </w:rPr>
            </w:pPr>
            <w:r w:rsidRPr="00034E9B">
              <w:rPr>
                <w:lang w:eastAsia="en-AU"/>
              </w:rPr>
              <w:t>-38</w:t>
            </w:r>
          </w:p>
        </w:tc>
        <w:tc>
          <w:tcPr>
            <w:tcW w:w="700" w:type="dxa"/>
            <w:shd w:val="clear" w:color="auto" w:fill="auto"/>
            <w:noWrap/>
            <w:vAlign w:val="bottom"/>
            <w:hideMark/>
          </w:tcPr>
          <w:p w14:paraId="05E022F8" w14:textId="77777777" w:rsidR="00FC0498" w:rsidRPr="00034E9B" w:rsidRDefault="00FC0498" w:rsidP="00FF6CBF">
            <w:pPr>
              <w:pStyle w:val="CGCTablerow"/>
              <w:keepNext/>
              <w:keepLines/>
              <w:jc w:val="right"/>
              <w:rPr>
                <w:lang w:eastAsia="en-AU"/>
              </w:rPr>
            </w:pPr>
            <w:r w:rsidRPr="00034E9B">
              <w:rPr>
                <w:lang w:eastAsia="en-AU"/>
              </w:rPr>
              <w:t>594</w:t>
            </w:r>
          </w:p>
        </w:tc>
      </w:tr>
      <w:tr w:rsidR="00FC0498" w:rsidRPr="00034E9B" w14:paraId="31177A50" w14:textId="77777777" w:rsidTr="00CB7BE6">
        <w:trPr>
          <w:trHeight w:val="315"/>
        </w:trPr>
        <w:tc>
          <w:tcPr>
            <w:tcW w:w="2900" w:type="dxa"/>
            <w:tcBorders>
              <w:bottom w:val="single" w:sz="4" w:space="0" w:color="ADD6EA"/>
            </w:tcBorders>
            <w:shd w:val="clear" w:color="auto" w:fill="auto"/>
            <w:noWrap/>
            <w:vAlign w:val="bottom"/>
            <w:hideMark/>
          </w:tcPr>
          <w:p w14:paraId="56621660" w14:textId="77777777" w:rsidR="00FC0498" w:rsidRPr="00034E9B" w:rsidRDefault="00FC0498" w:rsidP="00FF6CBF">
            <w:pPr>
              <w:pStyle w:val="CGCTablerow"/>
              <w:keepNext/>
              <w:keepLines/>
              <w:rPr>
                <w:lang w:eastAsia="en-AU"/>
              </w:rPr>
            </w:pPr>
            <w:r w:rsidRPr="00034E9B">
              <w:rPr>
                <w:lang w:eastAsia="en-AU"/>
              </w:rPr>
              <w:t>Other expenses</w:t>
            </w:r>
          </w:p>
        </w:tc>
        <w:tc>
          <w:tcPr>
            <w:tcW w:w="700" w:type="dxa"/>
            <w:tcBorders>
              <w:bottom w:val="single" w:sz="4" w:space="0" w:color="ADD6EA"/>
            </w:tcBorders>
            <w:shd w:val="clear" w:color="auto" w:fill="auto"/>
            <w:noWrap/>
            <w:vAlign w:val="bottom"/>
            <w:hideMark/>
          </w:tcPr>
          <w:p w14:paraId="0C0141D7" w14:textId="77777777" w:rsidR="00FC0498" w:rsidRPr="00034E9B" w:rsidRDefault="00FC0498" w:rsidP="00FF6CBF">
            <w:pPr>
              <w:pStyle w:val="CGCTablerow"/>
              <w:keepNext/>
              <w:keepLines/>
              <w:jc w:val="right"/>
              <w:rPr>
                <w:lang w:eastAsia="en-AU"/>
              </w:rPr>
            </w:pPr>
            <w:r w:rsidRPr="00034E9B">
              <w:rPr>
                <w:lang w:eastAsia="en-AU"/>
              </w:rPr>
              <w:t>-493</w:t>
            </w:r>
          </w:p>
        </w:tc>
        <w:tc>
          <w:tcPr>
            <w:tcW w:w="700" w:type="dxa"/>
            <w:tcBorders>
              <w:bottom w:val="single" w:sz="4" w:space="0" w:color="ADD6EA"/>
            </w:tcBorders>
            <w:shd w:val="clear" w:color="auto" w:fill="auto"/>
            <w:noWrap/>
            <w:vAlign w:val="bottom"/>
            <w:hideMark/>
          </w:tcPr>
          <w:p w14:paraId="27477ADF" w14:textId="77777777" w:rsidR="00FC0498" w:rsidRPr="00034E9B" w:rsidRDefault="00FC0498" w:rsidP="00FF6CBF">
            <w:pPr>
              <w:pStyle w:val="CGCTablerow"/>
              <w:keepNext/>
              <w:keepLines/>
              <w:jc w:val="right"/>
              <w:rPr>
                <w:lang w:eastAsia="en-AU"/>
              </w:rPr>
            </w:pPr>
            <w:r w:rsidRPr="00034E9B">
              <w:rPr>
                <w:lang w:eastAsia="en-AU"/>
              </w:rPr>
              <w:t>-4,067</w:t>
            </w:r>
          </w:p>
        </w:tc>
        <w:tc>
          <w:tcPr>
            <w:tcW w:w="700" w:type="dxa"/>
            <w:tcBorders>
              <w:bottom w:val="single" w:sz="4" w:space="0" w:color="ADD6EA"/>
            </w:tcBorders>
            <w:shd w:val="clear" w:color="auto" w:fill="auto"/>
            <w:noWrap/>
            <w:vAlign w:val="bottom"/>
            <w:hideMark/>
          </w:tcPr>
          <w:p w14:paraId="7C418577" w14:textId="77777777" w:rsidR="00FC0498" w:rsidRPr="00034E9B" w:rsidRDefault="00FC0498" w:rsidP="00FF6CBF">
            <w:pPr>
              <w:pStyle w:val="CGCTablerow"/>
              <w:keepNext/>
              <w:keepLines/>
              <w:jc w:val="right"/>
              <w:rPr>
                <w:lang w:eastAsia="en-AU"/>
              </w:rPr>
            </w:pPr>
            <w:r w:rsidRPr="00034E9B">
              <w:rPr>
                <w:lang w:eastAsia="en-AU"/>
              </w:rPr>
              <w:t>316</w:t>
            </w:r>
          </w:p>
        </w:tc>
        <w:tc>
          <w:tcPr>
            <w:tcW w:w="700" w:type="dxa"/>
            <w:tcBorders>
              <w:bottom w:val="single" w:sz="4" w:space="0" w:color="ADD6EA"/>
            </w:tcBorders>
            <w:shd w:val="clear" w:color="auto" w:fill="auto"/>
            <w:noWrap/>
            <w:vAlign w:val="bottom"/>
            <w:hideMark/>
          </w:tcPr>
          <w:p w14:paraId="78AA18DE" w14:textId="77777777" w:rsidR="00FC0498" w:rsidRPr="00034E9B" w:rsidRDefault="00FC0498" w:rsidP="00FF6CBF">
            <w:pPr>
              <w:pStyle w:val="CGCTablerow"/>
              <w:keepNext/>
              <w:keepLines/>
              <w:jc w:val="right"/>
              <w:rPr>
                <w:lang w:eastAsia="en-AU"/>
              </w:rPr>
            </w:pPr>
            <w:r w:rsidRPr="00034E9B">
              <w:rPr>
                <w:lang w:eastAsia="en-AU"/>
              </w:rPr>
              <w:t>352</w:t>
            </w:r>
          </w:p>
        </w:tc>
        <w:tc>
          <w:tcPr>
            <w:tcW w:w="640" w:type="dxa"/>
            <w:tcBorders>
              <w:bottom w:val="single" w:sz="4" w:space="0" w:color="ADD6EA"/>
            </w:tcBorders>
            <w:shd w:val="clear" w:color="auto" w:fill="auto"/>
            <w:noWrap/>
            <w:vAlign w:val="bottom"/>
            <w:hideMark/>
          </w:tcPr>
          <w:p w14:paraId="3088F98E" w14:textId="77777777" w:rsidR="00FC0498" w:rsidRPr="00034E9B" w:rsidRDefault="00FC0498" w:rsidP="00FF6CBF">
            <w:pPr>
              <w:pStyle w:val="CGCTablerow"/>
              <w:keepNext/>
              <w:keepLines/>
              <w:jc w:val="right"/>
              <w:rPr>
                <w:lang w:eastAsia="en-AU"/>
              </w:rPr>
            </w:pPr>
            <w:r w:rsidRPr="00034E9B">
              <w:rPr>
                <w:lang w:eastAsia="en-AU"/>
              </w:rPr>
              <w:t>81</w:t>
            </w:r>
          </w:p>
        </w:tc>
        <w:tc>
          <w:tcPr>
            <w:tcW w:w="640" w:type="dxa"/>
            <w:tcBorders>
              <w:bottom w:val="single" w:sz="4" w:space="0" w:color="ADD6EA"/>
            </w:tcBorders>
            <w:shd w:val="clear" w:color="auto" w:fill="auto"/>
            <w:noWrap/>
            <w:vAlign w:val="bottom"/>
            <w:hideMark/>
          </w:tcPr>
          <w:p w14:paraId="11DA8EA3" w14:textId="77777777" w:rsidR="00FC0498" w:rsidRPr="00034E9B" w:rsidRDefault="00FC0498" w:rsidP="00FF6CBF">
            <w:pPr>
              <w:pStyle w:val="CGCTablerow"/>
              <w:keepNext/>
              <w:keepLines/>
              <w:jc w:val="right"/>
              <w:rPr>
                <w:lang w:eastAsia="en-AU"/>
              </w:rPr>
            </w:pPr>
            <w:r w:rsidRPr="00034E9B">
              <w:rPr>
                <w:lang w:eastAsia="en-AU"/>
              </w:rPr>
              <w:t>20</w:t>
            </w:r>
          </w:p>
        </w:tc>
        <w:tc>
          <w:tcPr>
            <w:tcW w:w="600" w:type="dxa"/>
            <w:tcBorders>
              <w:bottom w:val="single" w:sz="4" w:space="0" w:color="ADD6EA"/>
            </w:tcBorders>
            <w:shd w:val="clear" w:color="auto" w:fill="auto"/>
            <w:noWrap/>
            <w:vAlign w:val="bottom"/>
            <w:hideMark/>
          </w:tcPr>
          <w:p w14:paraId="089EB2B9" w14:textId="77777777" w:rsidR="00FC0498" w:rsidRPr="00034E9B" w:rsidRDefault="00FC0498" w:rsidP="00FF6CBF">
            <w:pPr>
              <w:pStyle w:val="CGCTablerow"/>
              <w:keepNext/>
              <w:keepLines/>
              <w:jc w:val="right"/>
              <w:rPr>
                <w:lang w:eastAsia="en-AU"/>
              </w:rPr>
            </w:pPr>
            <w:r w:rsidRPr="00034E9B">
              <w:rPr>
                <w:lang w:eastAsia="en-AU"/>
              </w:rPr>
              <w:t>12</w:t>
            </w:r>
          </w:p>
        </w:tc>
        <w:tc>
          <w:tcPr>
            <w:tcW w:w="700" w:type="dxa"/>
            <w:tcBorders>
              <w:bottom w:val="single" w:sz="4" w:space="0" w:color="ADD6EA"/>
            </w:tcBorders>
            <w:shd w:val="clear" w:color="auto" w:fill="auto"/>
            <w:noWrap/>
            <w:vAlign w:val="bottom"/>
            <w:hideMark/>
          </w:tcPr>
          <w:p w14:paraId="4B3B1CD4" w14:textId="77777777" w:rsidR="00FC0498" w:rsidRPr="00034E9B" w:rsidRDefault="00FC0498" w:rsidP="00FF6CBF">
            <w:pPr>
              <w:pStyle w:val="CGCTablerow"/>
              <w:keepNext/>
              <w:keepLines/>
              <w:jc w:val="right"/>
              <w:rPr>
                <w:lang w:eastAsia="en-AU"/>
              </w:rPr>
            </w:pPr>
            <w:r w:rsidRPr="00034E9B">
              <w:rPr>
                <w:lang w:eastAsia="en-AU"/>
              </w:rPr>
              <w:t>792</w:t>
            </w:r>
          </w:p>
        </w:tc>
        <w:tc>
          <w:tcPr>
            <w:tcW w:w="700" w:type="dxa"/>
            <w:tcBorders>
              <w:bottom w:val="single" w:sz="4" w:space="0" w:color="ADD6EA"/>
            </w:tcBorders>
            <w:shd w:val="clear" w:color="auto" w:fill="auto"/>
            <w:noWrap/>
            <w:vAlign w:val="bottom"/>
            <w:hideMark/>
          </w:tcPr>
          <w:p w14:paraId="35CDBEA4" w14:textId="77777777" w:rsidR="00FC0498" w:rsidRPr="00034E9B" w:rsidRDefault="00FC0498" w:rsidP="00FF6CBF">
            <w:pPr>
              <w:pStyle w:val="CGCTablerow"/>
              <w:keepNext/>
              <w:keepLines/>
              <w:jc w:val="right"/>
              <w:rPr>
                <w:lang w:eastAsia="en-AU"/>
              </w:rPr>
            </w:pPr>
            <w:r w:rsidRPr="00034E9B">
              <w:rPr>
                <w:lang w:eastAsia="en-AU"/>
              </w:rPr>
              <w:t>3,066</w:t>
            </w:r>
          </w:p>
        </w:tc>
      </w:tr>
      <w:tr w:rsidR="00FC0498" w:rsidRPr="00034E9B" w14:paraId="2A2E9BE6" w14:textId="77777777" w:rsidTr="00CB7BE6">
        <w:trPr>
          <w:trHeight w:val="315"/>
        </w:trPr>
        <w:tc>
          <w:tcPr>
            <w:tcW w:w="2900" w:type="dxa"/>
            <w:shd w:val="clear" w:color="auto" w:fill="B6D5E4"/>
            <w:vAlign w:val="bottom"/>
            <w:hideMark/>
          </w:tcPr>
          <w:p w14:paraId="6CBC15A4" w14:textId="77777777" w:rsidR="00FC0498" w:rsidRPr="00034E9B" w:rsidRDefault="00FC0498" w:rsidP="00FF6CBF">
            <w:pPr>
              <w:pStyle w:val="CGCTablesubhead1"/>
              <w:keepNext/>
              <w:keepLines/>
              <w:rPr>
                <w:lang w:val="en-AU" w:eastAsia="en-AU"/>
              </w:rPr>
            </w:pPr>
            <w:r w:rsidRPr="00034E9B">
              <w:rPr>
                <w:lang w:val="en-AU" w:eastAsia="en-AU"/>
              </w:rPr>
              <w:t>Total expense and investment</w:t>
            </w:r>
          </w:p>
        </w:tc>
        <w:tc>
          <w:tcPr>
            <w:tcW w:w="700" w:type="dxa"/>
            <w:shd w:val="clear" w:color="auto" w:fill="B6D5E4"/>
            <w:vAlign w:val="bottom"/>
            <w:hideMark/>
          </w:tcPr>
          <w:p w14:paraId="069738D5" w14:textId="77777777" w:rsidR="00FC0498" w:rsidRPr="00034E9B" w:rsidRDefault="00FC0498" w:rsidP="00FF6CBF">
            <w:pPr>
              <w:pStyle w:val="CGCTablesubhead1"/>
              <w:keepNext/>
              <w:keepLines/>
              <w:jc w:val="right"/>
              <w:rPr>
                <w:lang w:val="en-AU" w:eastAsia="en-AU"/>
              </w:rPr>
            </w:pPr>
            <w:r w:rsidRPr="00034E9B">
              <w:rPr>
                <w:lang w:val="en-AU" w:eastAsia="en-AU"/>
              </w:rPr>
              <w:t>-3,141</w:t>
            </w:r>
          </w:p>
        </w:tc>
        <w:tc>
          <w:tcPr>
            <w:tcW w:w="700" w:type="dxa"/>
            <w:shd w:val="clear" w:color="auto" w:fill="B6D5E4"/>
            <w:vAlign w:val="bottom"/>
            <w:hideMark/>
          </w:tcPr>
          <w:p w14:paraId="726BE76B" w14:textId="77777777" w:rsidR="00FC0498" w:rsidRPr="00034E9B" w:rsidRDefault="00FC0498" w:rsidP="00FF6CBF">
            <w:pPr>
              <w:pStyle w:val="CGCTablesubhead1"/>
              <w:keepNext/>
              <w:keepLines/>
              <w:jc w:val="right"/>
              <w:rPr>
                <w:lang w:val="en-AU" w:eastAsia="en-AU"/>
              </w:rPr>
            </w:pPr>
            <w:r w:rsidRPr="00034E9B">
              <w:rPr>
                <w:lang w:val="en-AU" w:eastAsia="en-AU"/>
              </w:rPr>
              <w:t>-15,393</w:t>
            </w:r>
          </w:p>
        </w:tc>
        <w:tc>
          <w:tcPr>
            <w:tcW w:w="700" w:type="dxa"/>
            <w:shd w:val="clear" w:color="auto" w:fill="B6D5E4"/>
            <w:vAlign w:val="bottom"/>
            <w:hideMark/>
          </w:tcPr>
          <w:p w14:paraId="3099DBDF" w14:textId="77777777" w:rsidR="00FC0498" w:rsidRPr="00034E9B" w:rsidRDefault="00FC0498" w:rsidP="00FF6CBF">
            <w:pPr>
              <w:pStyle w:val="CGCTablesubhead1"/>
              <w:keepNext/>
              <w:keepLines/>
              <w:jc w:val="right"/>
              <w:rPr>
                <w:lang w:val="en-AU" w:eastAsia="en-AU"/>
              </w:rPr>
            </w:pPr>
            <w:r w:rsidRPr="00034E9B">
              <w:rPr>
                <w:lang w:val="en-AU" w:eastAsia="en-AU"/>
              </w:rPr>
              <w:t>3,008</w:t>
            </w:r>
          </w:p>
        </w:tc>
        <w:tc>
          <w:tcPr>
            <w:tcW w:w="700" w:type="dxa"/>
            <w:shd w:val="clear" w:color="auto" w:fill="B6D5E4"/>
            <w:vAlign w:val="bottom"/>
            <w:hideMark/>
          </w:tcPr>
          <w:p w14:paraId="1994D859" w14:textId="77777777" w:rsidR="00FC0498" w:rsidRPr="00034E9B" w:rsidRDefault="00FC0498" w:rsidP="00FF6CBF">
            <w:pPr>
              <w:pStyle w:val="CGCTablesubhead1"/>
              <w:keepNext/>
              <w:keepLines/>
              <w:jc w:val="right"/>
              <w:rPr>
                <w:lang w:val="en-AU" w:eastAsia="en-AU"/>
              </w:rPr>
            </w:pPr>
            <w:r w:rsidRPr="00034E9B">
              <w:rPr>
                <w:lang w:val="en-AU" w:eastAsia="en-AU"/>
              </w:rPr>
              <w:t>1,256</w:t>
            </w:r>
          </w:p>
        </w:tc>
        <w:tc>
          <w:tcPr>
            <w:tcW w:w="640" w:type="dxa"/>
            <w:shd w:val="clear" w:color="auto" w:fill="B6D5E4"/>
            <w:vAlign w:val="bottom"/>
            <w:hideMark/>
          </w:tcPr>
          <w:p w14:paraId="7E3C9C1B" w14:textId="77777777" w:rsidR="00FC0498" w:rsidRPr="00034E9B" w:rsidRDefault="00FC0498" w:rsidP="00FF6CBF">
            <w:pPr>
              <w:pStyle w:val="CGCTablesubhead1"/>
              <w:keepNext/>
              <w:keepLines/>
              <w:jc w:val="right"/>
              <w:rPr>
                <w:lang w:val="en-AU" w:eastAsia="en-AU"/>
              </w:rPr>
            </w:pPr>
            <w:r w:rsidRPr="00034E9B">
              <w:rPr>
                <w:lang w:val="en-AU" w:eastAsia="en-AU"/>
              </w:rPr>
              <w:t>148</w:t>
            </w:r>
          </w:p>
        </w:tc>
        <w:tc>
          <w:tcPr>
            <w:tcW w:w="640" w:type="dxa"/>
            <w:shd w:val="clear" w:color="auto" w:fill="B6D5E4"/>
            <w:vAlign w:val="bottom"/>
            <w:hideMark/>
          </w:tcPr>
          <w:p w14:paraId="763DA67A" w14:textId="77777777" w:rsidR="00FC0498" w:rsidRPr="00034E9B" w:rsidRDefault="00FC0498" w:rsidP="00FF6CBF">
            <w:pPr>
              <w:pStyle w:val="CGCTablesubhead1"/>
              <w:keepNext/>
              <w:keepLines/>
              <w:jc w:val="right"/>
              <w:rPr>
                <w:lang w:val="en-AU" w:eastAsia="en-AU"/>
              </w:rPr>
            </w:pPr>
            <w:r w:rsidRPr="00034E9B">
              <w:rPr>
                <w:lang w:val="en-AU" w:eastAsia="en-AU"/>
              </w:rPr>
              <w:t>477</w:t>
            </w:r>
          </w:p>
        </w:tc>
        <w:tc>
          <w:tcPr>
            <w:tcW w:w="600" w:type="dxa"/>
            <w:shd w:val="clear" w:color="auto" w:fill="B6D5E4"/>
            <w:vAlign w:val="bottom"/>
            <w:hideMark/>
          </w:tcPr>
          <w:p w14:paraId="36287B1A" w14:textId="77777777" w:rsidR="00FC0498" w:rsidRPr="00034E9B" w:rsidRDefault="00FC0498" w:rsidP="00FF6CBF">
            <w:pPr>
              <w:pStyle w:val="CGCTablesubhead1"/>
              <w:keepNext/>
              <w:keepLines/>
              <w:jc w:val="right"/>
              <w:rPr>
                <w:lang w:val="en-AU" w:eastAsia="en-AU"/>
              </w:rPr>
            </w:pPr>
            <w:r w:rsidRPr="00034E9B">
              <w:rPr>
                <w:lang w:val="en-AU" w:eastAsia="en-AU"/>
              </w:rPr>
              <w:t>-114</w:t>
            </w:r>
          </w:p>
        </w:tc>
        <w:tc>
          <w:tcPr>
            <w:tcW w:w="700" w:type="dxa"/>
            <w:shd w:val="clear" w:color="auto" w:fill="B6D5E4"/>
            <w:vAlign w:val="bottom"/>
            <w:hideMark/>
          </w:tcPr>
          <w:p w14:paraId="4A0753C2" w14:textId="77777777" w:rsidR="00FC0498" w:rsidRPr="00034E9B" w:rsidRDefault="00FC0498" w:rsidP="00FF6CBF">
            <w:pPr>
              <w:pStyle w:val="CGCTablesubhead1"/>
              <w:keepNext/>
              <w:keepLines/>
              <w:jc w:val="right"/>
              <w:rPr>
                <w:lang w:val="en-AU" w:eastAsia="en-AU"/>
              </w:rPr>
            </w:pPr>
            <w:r w:rsidRPr="00034E9B">
              <w:rPr>
                <w:lang w:val="en-AU" w:eastAsia="en-AU"/>
              </w:rPr>
              <w:t>3,384</w:t>
            </w:r>
          </w:p>
        </w:tc>
        <w:tc>
          <w:tcPr>
            <w:tcW w:w="700" w:type="dxa"/>
            <w:shd w:val="clear" w:color="auto" w:fill="B6D5E4"/>
            <w:vAlign w:val="bottom"/>
            <w:hideMark/>
          </w:tcPr>
          <w:p w14:paraId="162525FA" w14:textId="77777777" w:rsidR="00FC0498" w:rsidRPr="00034E9B" w:rsidRDefault="00FC0498" w:rsidP="00FF6CBF">
            <w:pPr>
              <w:pStyle w:val="CGCTablesubhead1"/>
              <w:keepNext/>
              <w:keepLines/>
              <w:jc w:val="right"/>
              <w:rPr>
                <w:lang w:val="en-AU" w:eastAsia="en-AU"/>
              </w:rPr>
            </w:pPr>
            <w:r w:rsidRPr="00034E9B">
              <w:rPr>
                <w:lang w:val="en-AU" w:eastAsia="en-AU"/>
              </w:rPr>
              <w:t>13,461</w:t>
            </w:r>
          </w:p>
        </w:tc>
      </w:tr>
      <w:tr w:rsidR="00FC0498" w:rsidRPr="00034E9B" w14:paraId="4DCDB3DF" w14:textId="77777777" w:rsidTr="00CB7BE6">
        <w:trPr>
          <w:trHeight w:val="315"/>
        </w:trPr>
        <w:tc>
          <w:tcPr>
            <w:tcW w:w="2900" w:type="dxa"/>
            <w:tcBorders>
              <w:bottom w:val="single" w:sz="4" w:space="0" w:color="ADD6EA"/>
            </w:tcBorders>
            <w:shd w:val="clear" w:color="auto" w:fill="auto"/>
            <w:noWrap/>
            <w:vAlign w:val="bottom"/>
            <w:hideMark/>
          </w:tcPr>
          <w:p w14:paraId="591F833F" w14:textId="77777777" w:rsidR="00FC0498" w:rsidRPr="00034E9B" w:rsidRDefault="00FC0498" w:rsidP="00FF6CBF">
            <w:pPr>
              <w:pStyle w:val="CGCTablerow"/>
              <w:keepNext/>
              <w:keepLines/>
              <w:rPr>
                <w:lang w:eastAsia="en-AU"/>
              </w:rPr>
            </w:pPr>
            <w:r w:rsidRPr="00034E9B">
              <w:rPr>
                <w:lang w:eastAsia="en-AU"/>
              </w:rPr>
              <w:t>Commonwealth payments</w:t>
            </w:r>
          </w:p>
        </w:tc>
        <w:tc>
          <w:tcPr>
            <w:tcW w:w="700" w:type="dxa"/>
            <w:tcBorders>
              <w:bottom w:val="single" w:sz="4" w:space="0" w:color="ADD6EA"/>
            </w:tcBorders>
            <w:shd w:val="clear" w:color="auto" w:fill="auto"/>
            <w:noWrap/>
            <w:vAlign w:val="bottom"/>
            <w:hideMark/>
          </w:tcPr>
          <w:p w14:paraId="28FAE6AC" w14:textId="77777777" w:rsidR="00FC0498" w:rsidRPr="00034E9B" w:rsidRDefault="00FC0498" w:rsidP="00FF6CBF">
            <w:pPr>
              <w:pStyle w:val="CGCTablerow"/>
              <w:keepNext/>
              <w:keepLines/>
              <w:jc w:val="right"/>
              <w:rPr>
                <w:lang w:eastAsia="en-AU"/>
              </w:rPr>
            </w:pPr>
            <w:r w:rsidRPr="00034E9B">
              <w:rPr>
                <w:lang w:eastAsia="en-AU"/>
              </w:rPr>
              <w:t>436</w:t>
            </w:r>
          </w:p>
        </w:tc>
        <w:tc>
          <w:tcPr>
            <w:tcW w:w="700" w:type="dxa"/>
            <w:tcBorders>
              <w:bottom w:val="single" w:sz="4" w:space="0" w:color="ADD6EA"/>
            </w:tcBorders>
            <w:shd w:val="clear" w:color="auto" w:fill="auto"/>
            <w:noWrap/>
            <w:vAlign w:val="bottom"/>
            <w:hideMark/>
          </w:tcPr>
          <w:p w14:paraId="3C7025B5" w14:textId="77777777" w:rsidR="00FC0498" w:rsidRPr="00034E9B" w:rsidRDefault="00FC0498" w:rsidP="00FF6CBF">
            <w:pPr>
              <w:pStyle w:val="CGCTablerow"/>
              <w:keepNext/>
              <w:keepLines/>
              <w:jc w:val="right"/>
              <w:rPr>
                <w:lang w:eastAsia="en-AU"/>
              </w:rPr>
            </w:pPr>
            <w:r w:rsidRPr="00034E9B">
              <w:rPr>
                <w:lang w:eastAsia="en-AU"/>
              </w:rPr>
              <w:t>4,004</w:t>
            </w:r>
          </w:p>
        </w:tc>
        <w:tc>
          <w:tcPr>
            <w:tcW w:w="700" w:type="dxa"/>
            <w:tcBorders>
              <w:bottom w:val="single" w:sz="4" w:space="0" w:color="ADD6EA"/>
            </w:tcBorders>
            <w:shd w:val="clear" w:color="auto" w:fill="auto"/>
            <w:noWrap/>
            <w:vAlign w:val="bottom"/>
            <w:hideMark/>
          </w:tcPr>
          <w:p w14:paraId="356366B3" w14:textId="77777777" w:rsidR="00FC0498" w:rsidRPr="00034E9B" w:rsidRDefault="00FC0498" w:rsidP="00FF6CBF">
            <w:pPr>
              <w:pStyle w:val="CGCTablerow"/>
              <w:keepNext/>
              <w:keepLines/>
              <w:jc w:val="right"/>
              <w:rPr>
                <w:lang w:eastAsia="en-AU"/>
              </w:rPr>
            </w:pPr>
            <w:r w:rsidRPr="00034E9B">
              <w:rPr>
                <w:lang w:eastAsia="en-AU"/>
              </w:rPr>
              <w:t>-2,212</w:t>
            </w:r>
          </w:p>
        </w:tc>
        <w:tc>
          <w:tcPr>
            <w:tcW w:w="700" w:type="dxa"/>
            <w:tcBorders>
              <w:bottom w:val="single" w:sz="4" w:space="0" w:color="ADD6EA"/>
            </w:tcBorders>
            <w:shd w:val="clear" w:color="auto" w:fill="auto"/>
            <w:noWrap/>
            <w:vAlign w:val="bottom"/>
            <w:hideMark/>
          </w:tcPr>
          <w:p w14:paraId="4167A19E" w14:textId="77777777" w:rsidR="00FC0498" w:rsidRPr="00034E9B" w:rsidRDefault="00FC0498" w:rsidP="00FF6CBF">
            <w:pPr>
              <w:pStyle w:val="CGCTablerow"/>
              <w:keepNext/>
              <w:keepLines/>
              <w:jc w:val="right"/>
              <w:rPr>
                <w:lang w:eastAsia="en-AU"/>
              </w:rPr>
            </w:pPr>
            <w:r w:rsidRPr="00034E9B">
              <w:rPr>
                <w:lang w:eastAsia="en-AU"/>
              </w:rPr>
              <w:t>10</w:t>
            </w:r>
          </w:p>
        </w:tc>
        <w:tc>
          <w:tcPr>
            <w:tcW w:w="640" w:type="dxa"/>
            <w:tcBorders>
              <w:bottom w:val="single" w:sz="4" w:space="0" w:color="ADD6EA"/>
            </w:tcBorders>
            <w:shd w:val="clear" w:color="auto" w:fill="auto"/>
            <w:noWrap/>
            <w:vAlign w:val="bottom"/>
            <w:hideMark/>
          </w:tcPr>
          <w:p w14:paraId="3FAFF3E7" w14:textId="77777777" w:rsidR="00FC0498" w:rsidRPr="00034E9B" w:rsidRDefault="00FC0498" w:rsidP="00FF6CBF">
            <w:pPr>
              <w:pStyle w:val="CGCTablerow"/>
              <w:keepNext/>
              <w:keepLines/>
              <w:jc w:val="right"/>
              <w:rPr>
                <w:lang w:eastAsia="en-AU"/>
              </w:rPr>
            </w:pPr>
            <w:r w:rsidRPr="00034E9B">
              <w:rPr>
                <w:lang w:eastAsia="en-AU"/>
              </w:rPr>
              <w:t>-62</w:t>
            </w:r>
          </w:p>
        </w:tc>
        <w:tc>
          <w:tcPr>
            <w:tcW w:w="640" w:type="dxa"/>
            <w:tcBorders>
              <w:bottom w:val="single" w:sz="4" w:space="0" w:color="ADD6EA"/>
            </w:tcBorders>
            <w:shd w:val="clear" w:color="auto" w:fill="auto"/>
            <w:noWrap/>
            <w:vAlign w:val="bottom"/>
            <w:hideMark/>
          </w:tcPr>
          <w:p w14:paraId="5C2CC606" w14:textId="77777777" w:rsidR="00FC0498" w:rsidRPr="00034E9B" w:rsidRDefault="00FC0498" w:rsidP="00FF6CBF">
            <w:pPr>
              <w:pStyle w:val="CGCTablerow"/>
              <w:keepNext/>
              <w:keepLines/>
              <w:jc w:val="right"/>
              <w:rPr>
                <w:lang w:eastAsia="en-AU"/>
              </w:rPr>
            </w:pPr>
            <w:r w:rsidRPr="00034E9B">
              <w:rPr>
                <w:lang w:eastAsia="en-AU"/>
              </w:rPr>
              <w:t>-93</w:t>
            </w:r>
          </w:p>
        </w:tc>
        <w:tc>
          <w:tcPr>
            <w:tcW w:w="600" w:type="dxa"/>
            <w:tcBorders>
              <w:bottom w:val="single" w:sz="4" w:space="0" w:color="ADD6EA"/>
            </w:tcBorders>
            <w:shd w:val="clear" w:color="auto" w:fill="auto"/>
            <w:noWrap/>
            <w:vAlign w:val="bottom"/>
            <w:hideMark/>
          </w:tcPr>
          <w:p w14:paraId="3CB5BD9B" w14:textId="77777777" w:rsidR="00FC0498" w:rsidRPr="00034E9B" w:rsidRDefault="00FC0498" w:rsidP="00FF6CBF">
            <w:pPr>
              <w:pStyle w:val="CGCTablerow"/>
              <w:keepNext/>
              <w:keepLines/>
              <w:jc w:val="right"/>
              <w:rPr>
                <w:lang w:eastAsia="en-AU"/>
              </w:rPr>
            </w:pPr>
            <w:r w:rsidRPr="00034E9B">
              <w:rPr>
                <w:lang w:eastAsia="en-AU"/>
              </w:rPr>
              <w:t>73</w:t>
            </w:r>
          </w:p>
        </w:tc>
        <w:tc>
          <w:tcPr>
            <w:tcW w:w="700" w:type="dxa"/>
            <w:tcBorders>
              <w:bottom w:val="single" w:sz="4" w:space="0" w:color="ADD6EA"/>
            </w:tcBorders>
            <w:shd w:val="clear" w:color="auto" w:fill="auto"/>
            <w:noWrap/>
            <w:vAlign w:val="bottom"/>
            <w:hideMark/>
          </w:tcPr>
          <w:p w14:paraId="2337AC97" w14:textId="77777777" w:rsidR="00FC0498" w:rsidRPr="00034E9B" w:rsidRDefault="00FC0498" w:rsidP="00FF6CBF">
            <w:pPr>
              <w:pStyle w:val="CGCTablerow"/>
              <w:keepNext/>
              <w:keepLines/>
              <w:jc w:val="right"/>
              <w:rPr>
                <w:lang w:eastAsia="en-AU"/>
              </w:rPr>
            </w:pPr>
            <w:r w:rsidRPr="00034E9B">
              <w:rPr>
                <w:lang w:eastAsia="en-AU"/>
              </w:rPr>
              <w:t>-598</w:t>
            </w:r>
          </w:p>
        </w:tc>
        <w:tc>
          <w:tcPr>
            <w:tcW w:w="700" w:type="dxa"/>
            <w:tcBorders>
              <w:bottom w:val="single" w:sz="4" w:space="0" w:color="ADD6EA"/>
            </w:tcBorders>
            <w:shd w:val="clear" w:color="auto" w:fill="auto"/>
            <w:noWrap/>
            <w:vAlign w:val="bottom"/>
            <w:hideMark/>
          </w:tcPr>
          <w:p w14:paraId="29E4E90F" w14:textId="77777777" w:rsidR="00FC0498" w:rsidRPr="00034E9B" w:rsidRDefault="00FC0498" w:rsidP="00FF6CBF">
            <w:pPr>
              <w:pStyle w:val="CGCTablerow"/>
              <w:keepNext/>
              <w:keepLines/>
              <w:jc w:val="right"/>
              <w:rPr>
                <w:lang w:eastAsia="en-AU"/>
              </w:rPr>
            </w:pPr>
            <w:r w:rsidRPr="00034E9B">
              <w:rPr>
                <w:lang w:eastAsia="en-AU"/>
              </w:rPr>
              <w:t>3,744</w:t>
            </w:r>
          </w:p>
        </w:tc>
      </w:tr>
      <w:tr w:rsidR="00FC0498" w:rsidRPr="00034E9B" w14:paraId="782B0509" w14:textId="77777777" w:rsidTr="00CB7BE6">
        <w:trPr>
          <w:trHeight w:val="315"/>
        </w:trPr>
        <w:tc>
          <w:tcPr>
            <w:tcW w:w="2900" w:type="dxa"/>
            <w:shd w:val="clear" w:color="auto" w:fill="B6D5E4"/>
            <w:vAlign w:val="bottom"/>
            <w:hideMark/>
          </w:tcPr>
          <w:p w14:paraId="677A6087" w14:textId="77777777" w:rsidR="00FC0498" w:rsidRPr="00034E9B" w:rsidRDefault="00FC0498" w:rsidP="00FF6CBF">
            <w:pPr>
              <w:pStyle w:val="CGCTablesubhead1"/>
              <w:keepNext/>
              <w:keepLines/>
              <w:rPr>
                <w:lang w:val="en-AU" w:eastAsia="en-AU"/>
              </w:rPr>
            </w:pPr>
            <w:r w:rsidRPr="00034E9B">
              <w:rPr>
                <w:lang w:val="en-AU" w:eastAsia="en-AU"/>
              </w:rPr>
              <w:t>Total effect of fiscal capacities</w:t>
            </w:r>
          </w:p>
        </w:tc>
        <w:tc>
          <w:tcPr>
            <w:tcW w:w="700" w:type="dxa"/>
            <w:shd w:val="clear" w:color="auto" w:fill="B6D5E4"/>
            <w:vAlign w:val="bottom"/>
            <w:hideMark/>
          </w:tcPr>
          <w:p w14:paraId="5CD6182C" w14:textId="77777777" w:rsidR="00FC0498" w:rsidRPr="00034E9B" w:rsidRDefault="00FC0498" w:rsidP="00FF6CBF">
            <w:pPr>
              <w:pStyle w:val="CGCTablesubhead1"/>
              <w:keepNext/>
              <w:keepLines/>
              <w:jc w:val="right"/>
              <w:rPr>
                <w:lang w:val="en-AU" w:eastAsia="en-AU"/>
              </w:rPr>
            </w:pPr>
            <w:r w:rsidRPr="00034E9B">
              <w:rPr>
                <w:lang w:val="en-AU" w:eastAsia="en-AU"/>
              </w:rPr>
              <w:t>-4,706</w:t>
            </w:r>
          </w:p>
        </w:tc>
        <w:tc>
          <w:tcPr>
            <w:tcW w:w="700" w:type="dxa"/>
            <w:shd w:val="clear" w:color="auto" w:fill="B6D5E4"/>
            <w:vAlign w:val="bottom"/>
            <w:hideMark/>
          </w:tcPr>
          <w:p w14:paraId="1C6A36DD" w14:textId="77777777" w:rsidR="00FC0498" w:rsidRPr="00034E9B" w:rsidRDefault="00FC0498" w:rsidP="00FF6CBF">
            <w:pPr>
              <w:pStyle w:val="CGCTablesubhead1"/>
              <w:keepNext/>
              <w:keepLines/>
              <w:jc w:val="right"/>
              <w:rPr>
                <w:lang w:val="en-AU" w:eastAsia="en-AU"/>
              </w:rPr>
            </w:pPr>
            <w:r w:rsidRPr="00034E9B">
              <w:rPr>
                <w:lang w:val="en-AU" w:eastAsia="en-AU"/>
              </w:rPr>
              <w:t>-1,172</w:t>
            </w:r>
          </w:p>
        </w:tc>
        <w:tc>
          <w:tcPr>
            <w:tcW w:w="700" w:type="dxa"/>
            <w:shd w:val="clear" w:color="auto" w:fill="B6D5E4"/>
            <w:vAlign w:val="bottom"/>
            <w:hideMark/>
          </w:tcPr>
          <w:p w14:paraId="31C77ED3" w14:textId="77777777" w:rsidR="00FC0498" w:rsidRPr="00034E9B" w:rsidRDefault="00FC0498" w:rsidP="00FF6CBF">
            <w:pPr>
              <w:pStyle w:val="CGCTablesubhead1"/>
              <w:keepNext/>
              <w:keepLines/>
              <w:jc w:val="right"/>
              <w:rPr>
                <w:lang w:val="en-AU" w:eastAsia="en-AU"/>
              </w:rPr>
            </w:pPr>
            <w:r w:rsidRPr="00034E9B">
              <w:rPr>
                <w:lang w:val="en-AU" w:eastAsia="en-AU"/>
              </w:rPr>
              <w:t>2,376</w:t>
            </w:r>
          </w:p>
        </w:tc>
        <w:tc>
          <w:tcPr>
            <w:tcW w:w="700" w:type="dxa"/>
            <w:shd w:val="clear" w:color="auto" w:fill="B6D5E4"/>
            <w:vAlign w:val="bottom"/>
            <w:hideMark/>
          </w:tcPr>
          <w:p w14:paraId="4D592384" w14:textId="77777777" w:rsidR="00FC0498" w:rsidRPr="00034E9B" w:rsidRDefault="00FC0498" w:rsidP="00FF6CBF">
            <w:pPr>
              <w:pStyle w:val="CGCTablesubhead1"/>
              <w:keepNext/>
              <w:keepLines/>
              <w:jc w:val="right"/>
              <w:rPr>
                <w:lang w:val="en-AU" w:eastAsia="en-AU"/>
              </w:rPr>
            </w:pPr>
            <w:r w:rsidRPr="00034E9B">
              <w:rPr>
                <w:lang w:val="en-AU" w:eastAsia="en-AU"/>
              </w:rPr>
              <w:t>-2,788</w:t>
            </w:r>
          </w:p>
        </w:tc>
        <w:tc>
          <w:tcPr>
            <w:tcW w:w="640" w:type="dxa"/>
            <w:shd w:val="clear" w:color="auto" w:fill="B6D5E4"/>
            <w:vAlign w:val="bottom"/>
            <w:hideMark/>
          </w:tcPr>
          <w:p w14:paraId="6FB46800" w14:textId="77777777" w:rsidR="00FC0498" w:rsidRPr="00034E9B" w:rsidRDefault="00FC0498" w:rsidP="00FF6CBF">
            <w:pPr>
              <w:pStyle w:val="CGCTablesubhead1"/>
              <w:keepNext/>
              <w:keepLines/>
              <w:jc w:val="right"/>
              <w:rPr>
                <w:lang w:val="en-AU" w:eastAsia="en-AU"/>
              </w:rPr>
            </w:pPr>
            <w:r w:rsidRPr="00034E9B">
              <w:rPr>
                <w:lang w:val="en-AU" w:eastAsia="en-AU"/>
              </w:rPr>
              <w:t>2,064</w:t>
            </w:r>
          </w:p>
        </w:tc>
        <w:tc>
          <w:tcPr>
            <w:tcW w:w="640" w:type="dxa"/>
            <w:shd w:val="clear" w:color="auto" w:fill="B6D5E4"/>
            <w:vAlign w:val="bottom"/>
            <w:hideMark/>
          </w:tcPr>
          <w:p w14:paraId="7706BB29" w14:textId="77777777" w:rsidR="00FC0498" w:rsidRPr="00034E9B" w:rsidRDefault="00FC0498" w:rsidP="00FF6CBF">
            <w:pPr>
              <w:pStyle w:val="CGCTablesubhead1"/>
              <w:keepNext/>
              <w:keepLines/>
              <w:jc w:val="right"/>
              <w:rPr>
                <w:lang w:val="en-AU" w:eastAsia="en-AU"/>
              </w:rPr>
            </w:pPr>
            <w:r w:rsidRPr="00034E9B">
              <w:rPr>
                <w:lang w:val="en-AU" w:eastAsia="en-AU"/>
              </w:rPr>
              <w:t>1,176</w:t>
            </w:r>
          </w:p>
        </w:tc>
        <w:tc>
          <w:tcPr>
            <w:tcW w:w="600" w:type="dxa"/>
            <w:shd w:val="clear" w:color="auto" w:fill="B6D5E4"/>
            <w:vAlign w:val="bottom"/>
            <w:hideMark/>
          </w:tcPr>
          <w:p w14:paraId="58471B24" w14:textId="77777777" w:rsidR="00FC0498" w:rsidRPr="00034E9B" w:rsidRDefault="00FC0498" w:rsidP="00FF6CBF">
            <w:pPr>
              <w:pStyle w:val="CGCTablesubhead1"/>
              <w:keepNext/>
              <w:keepLines/>
              <w:jc w:val="right"/>
              <w:rPr>
                <w:lang w:val="en-AU" w:eastAsia="en-AU"/>
              </w:rPr>
            </w:pPr>
            <w:r w:rsidRPr="00034E9B">
              <w:rPr>
                <w:lang w:val="en-AU" w:eastAsia="en-AU"/>
              </w:rPr>
              <w:t>202</w:t>
            </w:r>
          </w:p>
        </w:tc>
        <w:tc>
          <w:tcPr>
            <w:tcW w:w="700" w:type="dxa"/>
            <w:shd w:val="clear" w:color="auto" w:fill="B6D5E4"/>
            <w:vAlign w:val="bottom"/>
            <w:hideMark/>
          </w:tcPr>
          <w:p w14:paraId="3AE908AC" w14:textId="77777777" w:rsidR="00FC0498" w:rsidRPr="00034E9B" w:rsidRDefault="00FC0498" w:rsidP="00FF6CBF">
            <w:pPr>
              <w:pStyle w:val="CGCTablesubhead1"/>
              <w:keepNext/>
              <w:keepLines/>
              <w:jc w:val="right"/>
              <w:rPr>
                <w:lang w:val="en-AU" w:eastAsia="en-AU"/>
              </w:rPr>
            </w:pPr>
            <w:r w:rsidRPr="00034E9B">
              <w:rPr>
                <w:lang w:val="en-AU" w:eastAsia="en-AU"/>
              </w:rPr>
              <w:t>2,848</w:t>
            </w:r>
          </w:p>
        </w:tc>
        <w:tc>
          <w:tcPr>
            <w:tcW w:w="700" w:type="dxa"/>
            <w:shd w:val="clear" w:color="auto" w:fill="B6D5E4"/>
            <w:vAlign w:val="bottom"/>
            <w:hideMark/>
          </w:tcPr>
          <w:p w14:paraId="18FE8B19" w14:textId="77777777" w:rsidR="00FC0498" w:rsidRPr="00034E9B" w:rsidRDefault="00FC0498" w:rsidP="00FF6CBF">
            <w:pPr>
              <w:pStyle w:val="CGCTablesubhead1"/>
              <w:keepNext/>
              <w:keepLines/>
              <w:jc w:val="right"/>
              <w:rPr>
                <w:lang w:val="en-AU" w:eastAsia="en-AU"/>
              </w:rPr>
            </w:pPr>
            <w:r w:rsidRPr="00034E9B">
              <w:rPr>
                <w:lang w:val="en-AU" w:eastAsia="en-AU"/>
              </w:rPr>
              <w:t>8,666</w:t>
            </w:r>
          </w:p>
        </w:tc>
      </w:tr>
      <w:tr w:rsidR="00FC0498" w:rsidRPr="00034E9B" w14:paraId="54F80359" w14:textId="77777777" w:rsidTr="00CB7BE6">
        <w:trPr>
          <w:trHeight w:val="315"/>
        </w:trPr>
        <w:tc>
          <w:tcPr>
            <w:tcW w:w="2900" w:type="dxa"/>
            <w:tcBorders>
              <w:bottom w:val="single" w:sz="4" w:space="0" w:color="ADD6EA"/>
            </w:tcBorders>
            <w:shd w:val="clear" w:color="auto" w:fill="auto"/>
            <w:vAlign w:val="bottom"/>
            <w:hideMark/>
          </w:tcPr>
          <w:p w14:paraId="256D2B00" w14:textId="77777777" w:rsidR="00FC0498" w:rsidRPr="00034E9B" w:rsidRDefault="00FC0498" w:rsidP="00FF6CBF">
            <w:pPr>
              <w:pStyle w:val="CGCTablerow"/>
              <w:keepNext/>
              <w:keepLines/>
              <w:rPr>
                <w:lang w:eastAsia="en-AU"/>
              </w:rPr>
            </w:pPr>
            <w:r w:rsidRPr="00034E9B">
              <w:rPr>
                <w:lang w:eastAsia="en-AU"/>
              </w:rPr>
              <w:t>Effect of legislation</w:t>
            </w:r>
          </w:p>
        </w:tc>
        <w:tc>
          <w:tcPr>
            <w:tcW w:w="700" w:type="dxa"/>
            <w:tcBorders>
              <w:bottom w:val="single" w:sz="4" w:space="0" w:color="ADD6EA"/>
            </w:tcBorders>
            <w:shd w:val="clear" w:color="auto" w:fill="auto"/>
            <w:vAlign w:val="bottom"/>
            <w:hideMark/>
          </w:tcPr>
          <w:p w14:paraId="681754DF" w14:textId="77777777" w:rsidR="00FC0498" w:rsidRPr="00034E9B" w:rsidRDefault="00FC0498" w:rsidP="00FF6CBF">
            <w:pPr>
              <w:pStyle w:val="CGCTablerow"/>
              <w:keepNext/>
              <w:keepLines/>
              <w:jc w:val="right"/>
              <w:rPr>
                <w:lang w:eastAsia="en-AU"/>
              </w:rPr>
            </w:pPr>
            <w:r w:rsidRPr="00034E9B">
              <w:rPr>
                <w:lang w:eastAsia="en-AU"/>
              </w:rPr>
              <w:t>-104</w:t>
            </w:r>
          </w:p>
        </w:tc>
        <w:tc>
          <w:tcPr>
            <w:tcW w:w="700" w:type="dxa"/>
            <w:tcBorders>
              <w:bottom w:val="single" w:sz="4" w:space="0" w:color="ADD6EA"/>
            </w:tcBorders>
            <w:shd w:val="clear" w:color="auto" w:fill="auto"/>
            <w:vAlign w:val="bottom"/>
            <w:hideMark/>
          </w:tcPr>
          <w:p w14:paraId="621FDFDA" w14:textId="77777777" w:rsidR="00FC0498" w:rsidRPr="00034E9B" w:rsidRDefault="00FC0498" w:rsidP="00FF6CBF">
            <w:pPr>
              <w:pStyle w:val="CGCTablerow"/>
              <w:keepNext/>
              <w:keepLines/>
              <w:jc w:val="right"/>
              <w:rPr>
                <w:lang w:eastAsia="en-AU"/>
              </w:rPr>
            </w:pPr>
            <w:r w:rsidRPr="00034E9B">
              <w:rPr>
                <w:lang w:eastAsia="en-AU"/>
              </w:rPr>
              <w:t>-99</w:t>
            </w:r>
          </w:p>
        </w:tc>
        <w:tc>
          <w:tcPr>
            <w:tcW w:w="700" w:type="dxa"/>
            <w:tcBorders>
              <w:bottom w:val="single" w:sz="4" w:space="0" w:color="ADD6EA"/>
            </w:tcBorders>
            <w:shd w:val="clear" w:color="auto" w:fill="auto"/>
            <w:vAlign w:val="bottom"/>
            <w:hideMark/>
          </w:tcPr>
          <w:p w14:paraId="7BDB9D29" w14:textId="77777777" w:rsidR="00FC0498" w:rsidRPr="00034E9B" w:rsidRDefault="00FC0498" w:rsidP="00FF6CBF">
            <w:pPr>
              <w:pStyle w:val="CGCTablerow"/>
              <w:keepNext/>
              <w:keepLines/>
              <w:jc w:val="right"/>
              <w:rPr>
                <w:lang w:eastAsia="en-AU"/>
              </w:rPr>
            </w:pPr>
            <w:r w:rsidRPr="00034E9B">
              <w:rPr>
                <w:lang w:eastAsia="en-AU"/>
              </w:rPr>
              <w:t>-92</w:t>
            </w:r>
          </w:p>
        </w:tc>
        <w:tc>
          <w:tcPr>
            <w:tcW w:w="700" w:type="dxa"/>
            <w:tcBorders>
              <w:bottom w:val="single" w:sz="4" w:space="0" w:color="ADD6EA"/>
            </w:tcBorders>
            <w:shd w:val="clear" w:color="auto" w:fill="auto"/>
            <w:vAlign w:val="bottom"/>
            <w:hideMark/>
          </w:tcPr>
          <w:p w14:paraId="33292E79" w14:textId="77777777" w:rsidR="00FC0498" w:rsidRPr="00034E9B" w:rsidRDefault="00FC0498" w:rsidP="00FF6CBF">
            <w:pPr>
              <w:pStyle w:val="CGCTablerow"/>
              <w:keepNext/>
              <w:keepLines/>
              <w:jc w:val="right"/>
              <w:rPr>
                <w:lang w:eastAsia="en-AU"/>
              </w:rPr>
            </w:pPr>
            <w:r w:rsidRPr="00034E9B">
              <w:rPr>
                <w:lang w:eastAsia="en-AU"/>
              </w:rPr>
              <w:t>374</w:t>
            </w:r>
          </w:p>
        </w:tc>
        <w:tc>
          <w:tcPr>
            <w:tcW w:w="640" w:type="dxa"/>
            <w:tcBorders>
              <w:bottom w:val="single" w:sz="4" w:space="0" w:color="ADD6EA"/>
            </w:tcBorders>
            <w:shd w:val="clear" w:color="auto" w:fill="auto"/>
            <w:vAlign w:val="bottom"/>
            <w:hideMark/>
          </w:tcPr>
          <w:p w14:paraId="4DE8A61B" w14:textId="77777777" w:rsidR="00FC0498" w:rsidRPr="00034E9B" w:rsidRDefault="00FC0498" w:rsidP="00FF6CBF">
            <w:pPr>
              <w:pStyle w:val="CGCTablerow"/>
              <w:keepNext/>
              <w:keepLines/>
              <w:jc w:val="right"/>
              <w:rPr>
                <w:lang w:eastAsia="en-AU"/>
              </w:rPr>
            </w:pPr>
            <w:r w:rsidRPr="00034E9B">
              <w:rPr>
                <w:lang w:eastAsia="en-AU"/>
              </w:rPr>
              <w:t>-38</w:t>
            </w:r>
          </w:p>
        </w:tc>
        <w:tc>
          <w:tcPr>
            <w:tcW w:w="640" w:type="dxa"/>
            <w:tcBorders>
              <w:bottom w:val="single" w:sz="4" w:space="0" w:color="ADD6EA"/>
            </w:tcBorders>
            <w:shd w:val="clear" w:color="auto" w:fill="auto"/>
            <w:vAlign w:val="bottom"/>
            <w:hideMark/>
          </w:tcPr>
          <w:p w14:paraId="713944F4" w14:textId="77777777" w:rsidR="00FC0498" w:rsidRPr="00034E9B" w:rsidRDefault="00FC0498" w:rsidP="00FF6CBF">
            <w:pPr>
              <w:pStyle w:val="CGCTablerow"/>
              <w:keepNext/>
              <w:keepLines/>
              <w:jc w:val="right"/>
              <w:rPr>
                <w:lang w:eastAsia="en-AU"/>
              </w:rPr>
            </w:pPr>
            <w:r w:rsidRPr="00034E9B">
              <w:rPr>
                <w:lang w:eastAsia="en-AU"/>
              </w:rPr>
              <w:t>-14</w:t>
            </w:r>
          </w:p>
        </w:tc>
        <w:tc>
          <w:tcPr>
            <w:tcW w:w="600" w:type="dxa"/>
            <w:tcBorders>
              <w:bottom w:val="single" w:sz="4" w:space="0" w:color="ADD6EA"/>
            </w:tcBorders>
            <w:shd w:val="clear" w:color="auto" w:fill="auto"/>
            <w:vAlign w:val="bottom"/>
            <w:hideMark/>
          </w:tcPr>
          <w:p w14:paraId="3D173B1A" w14:textId="77777777" w:rsidR="00FC0498" w:rsidRPr="00034E9B" w:rsidRDefault="00FC0498" w:rsidP="00FF6CBF">
            <w:pPr>
              <w:pStyle w:val="CGCTablerow"/>
              <w:keepNext/>
              <w:keepLines/>
              <w:jc w:val="right"/>
              <w:rPr>
                <w:lang w:eastAsia="en-AU"/>
              </w:rPr>
            </w:pPr>
            <w:r w:rsidRPr="00034E9B">
              <w:rPr>
                <w:lang w:eastAsia="en-AU"/>
              </w:rPr>
              <w:t>-8</w:t>
            </w:r>
          </w:p>
        </w:tc>
        <w:tc>
          <w:tcPr>
            <w:tcW w:w="700" w:type="dxa"/>
            <w:tcBorders>
              <w:bottom w:val="single" w:sz="4" w:space="0" w:color="ADD6EA"/>
            </w:tcBorders>
            <w:shd w:val="clear" w:color="auto" w:fill="auto"/>
            <w:vAlign w:val="bottom"/>
            <w:hideMark/>
          </w:tcPr>
          <w:p w14:paraId="3F433507" w14:textId="77777777" w:rsidR="00FC0498" w:rsidRPr="00034E9B" w:rsidRDefault="00FC0498" w:rsidP="00FF6CBF">
            <w:pPr>
              <w:pStyle w:val="CGCTablerow"/>
              <w:keepNext/>
              <w:keepLines/>
              <w:jc w:val="right"/>
              <w:rPr>
                <w:lang w:eastAsia="en-AU"/>
              </w:rPr>
            </w:pPr>
            <w:r w:rsidRPr="00034E9B">
              <w:rPr>
                <w:lang w:eastAsia="en-AU"/>
              </w:rPr>
              <w:t>-18</w:t>
            </w:r>
          </w:p>
        </w:tc>
        <w:tc>
          <w:tcPr>
            <w:tcW w:w="700" w:type="dxa"/>
            <w:tcBorders>
              <w:bottom w:val="single" w:sz="4" w:space="0" w:color="ADD6EA"/>
            </w:tcBorders>
            <w:shd w:val="clear" w:color="auto" w:fill="auto"/>
            <w:vAlign w:val="bottom"/>
            <w:hideMark/>
          </w:tcPr>
          <w:p w14:paraId="10562C8E" w14:textId="77777777" w:rsidR="00FC0498" w:rsidRPr="00034E9B" w:rsidRDefault="00FC0498" w:rsidP="00FF6CBF">
            <w:pPr>
              <w:pStyle w:val="CGCTablerow"/>
              <w:keepNext/>
              <w:keepLines/>
              <w:jc w:val="right"/>
              <w:rPr>
                <w:lang w:eastAsia="en-AU"/>
              </w:rPr>
            </w:pPr>
            <w:r w:rsidRPr="00034E9B">
              <w:rPr>
                <w:lang w:eastAsia="en-AU"/>
              </w:rPr>
              <w:t>374</w:t>
            </w:r>
          </w:p>
        </w:tc>
      </w:tr>
      <w:tr w:rsidR="00FC0498" w:rsidRPr="00034E9B" w14:paraId="6DB52DE0" w14:textId="77777777" w:rsidTr="00CB7BE6">
        <w:trPr>
          <w:trHeight w:val="315"/>
        </w:trPr>
        <w:tc>
          <w:tcPr>
            <w:tcW w:w="2900" w:type="dxa"/>
            <w:shd w:val="clear" w:color="auto" w:fill="D6E7F0"/>
            <w:noWrap/>
            <w:vAlign w:val="bottom"/>
            <w:hideMark/>
          </w:tcPr>
          <w:p w14:paraId="49A55D46" w14:textId="77777777" w:rsidR="00FC0498" w:rsidRPr="00034E9B" w:rsidRDefault="00FC0498" w:rsidP="00FF6CBF">
            <w:pPr>
              <w:pStyle w:val="CGCTablesubhead2"/>
              <w:keepNext/>
              <w:keepLines/>
              <w:rPr>
                <w:lang w:val="en-AU" w:eastAsia="en-AU"/>
              </w:rPr>
            </w:pPr>
            <w:r w:rsidRPr="00034E9B">
              <w:rPr>
                <w:lang w:val="en-AU" w:eastAsia="en-AU"/>
              </w:rPr>
              <w:t>Total</w:t>
            </w:r>
          </w:p>
        </w:tc>
        <w:tc>
          <w:tcPr>
            <w:tcW w:w="700" w:type="dxa"/>
            <w:shd w:val="clear" w:color="auto" w:fill="D6E7F0"/>
            <w:noWrap/>
            <w:vAlign w:val="bottom"/>
            <w:hideMark/>
          </w:tcPr>
          <w:p w14:paraId="67F82E81" w14:textId="77777777" w:rsidR="00FC0498" w:rsidRPr="00034E9B" w:rsidRDefault="00FC0498" w:rsidP="00FF6CBF">
            <w:pPr>
              <w:pStyle w:val="CGCTablesubhead2"/>
              <w:keepNext/>
              <w:keepLines/>
              <w:jc w:val="right"/>
              <w:rPr>
                <w:lang w:val="en-AU" w:eastAsia="en-AU"/>
              </w:rPr>
            </w:pPr>
            <w:r w:rsidRPr="00034E9B">
              <w:rPr>
                <w:lang w:val="en-AU" w:eastAsia="en-AU"/>
              </w:rPr>
              <w:t>-4,810</w:t>
            </w:r>
          </w:p>
        </w:tc>
        <w:tc>
          <w:tcPr>
            <w:tcW w:w="700" w:type="dxa"/>
            <w:shd w:val="clear" w:color="auto" w:fill="D6E7F0"/>
            <w:noWrap/>
            <w:vAlign w:val="bottom"/>
            <w:hideMark/>
          </w:tcPr>
          <w:p w14:paraId="371CF02B" w14:textId="77777777" w:rsidR="00FC0498" w:rsidRPr="00034E9B" w:rsidRDefault="00FC0498" w:rsidP="00FF6CBF">
            <w:pPr>
              <w:pStyle w:val="CGCTablesubhead2"/>
              <w:keepNext/>
              <w:keepLines/>
              <w:jc w:val="right"/>
              <w:rPr>
                <w:lang w:val="en-AU" w:eastAsia="en-AU"/>
              </w:rPr>
            </w:pPr>
            <w:r w:rsidRPr="00034E9B">
              <w:rPr>
                <w:lang w:val="en-AU" w:eastAsia="en-AU"/>
              </w:rPr>
              <w:t>-1,271</w:t>
            </w:r>
          </w:p>
        </w:tc>
        <w:tc>
          <w:tcPr>
            <w:tcW w:w="700" w:type="dxa"/>
            <w:shd w:val="clear" w:color="auto" w:fill="D6E7F0"/>
            <w:noWrap/>
            <w:vAlign w:val="bottom"/>
            <w:hideMark/>
          </w:tcPr>
          <w:p w14:paraId="6C366B46" w14:textId="77777777" w:rsidR="00FC0498" w:rsidRPr="00034E9B" w:rsidRDefault="00FC0498" w:rsidP="00FF6CBF">
            <w:pPr>
              <w:pStyle w:val="CGCTablesubhead2"/>
              <w:keepNext/>
              <w:keepLines/>
              <w:jc w:val="right"/>
              <w:rPr>
                <w:lang w:val="en-AU" w:eastAsia="en-AU"/>
              </w:rPr>
            </w:pPr>
            <w:r w:rsidRPr="00034E9B">
              <w:rPr>
                <w:lang w:val="en-AU" w:eastAsia="en-AU"/>
              </w:rPr>
              <w:t>2,284</w:t>
            </w:r>
          </w:p>
        </w:tc>
        <w:tc>
          <w:tcPr>
            <w:tcW w:w="700" w:type="dxa"/>
            <w:shd w:val="clear" w:color="auto" w:fill="D6E7F0"/>
            <w:noWrap/>
            <w:vAlign w:val="bottom"/>
            <w:hideMark/>
          </w:tcPr>
          <w:p w14:paraId="7EBE4B78" w14:textId="77777777" w:rsidR="00FC0498" w:rsidRPr="00034E9B" w:rsidRDefault="00FC0498" w:rsidP="00FF6CBF">
            <w:pPr>
              <w:pStyle w:val="CGCTablesubhead2"/>
              <w:keepNext/>
              <w:keepLines/>
              <w:jc w:val="right"/>
              <w:rPr>
                <w:lang w:val="en-AU" w:eastAsia="en-AU"/>
              </w:rPr>
            </w:pPr>
            <w:r w:rsidRPr="00034E9B">
              <w:rPr>
                <w:lang w:val="en-AU" w:eastAsia="en-AU"/>
              </w:rPr>
              <w:t>-2,414</w:t>
            </w:r>
          </w:p>
        </w:tc>
        <w:tc>
          <w:tcPr>
            <w:tcW w:w="640" w:type="dxa"/>
            <w:shd w:val="clear" w:color="auto" w:fill="D6E7F0"/>
            <w:noWrap/>
            <w:vAlign w:val="bottom"/>
            <w:hideMark/>
          </w:tcPr>
          <w:p w14:paraId="65624249" w14:textId="77777777" w:rsidR="00FC0498" w:rsidRPr="00034E9B" w:rsidRDefault="00FC0498" w:rsidP="00FF6CBF">
            <w:pPr>
              <w:pStyle w:val="CGCTablesubhead2"/>
              <w:keepNext/>
              <w:keepLines/>
              <w:jc w:val="right"/>
              <w:rPr>
                <w:lang w:val="en-AU" w:eastAsia="en-AU"/>
              </w:rPr>
            </w:pPr>
            <w:r w:rsidRPr="00034E9B">
              <w:rPr>
                <w:lang w:val="en-AU" w:eastAsia="en-AU"/>
              </w:rPr>
              <w:t>2,026</w:t>
            </w:r>
          </w:p>
        </w:tc>
        <w:tc>
          <w:tcPr>
            <w:tcW w:w="640" w:type="dxa"/>
            <w:shd w:val="clear" w:color="auto" w:fill="D6E7F0"/>
            <w:noWrap/>
            <w:vAlign w:val="bottom"/>
            <w:hideMark/>
          </w:tcPr>
          <w:p w14:paraId="0595E8ED" w14:textId="77777777" w:rsidR="00FC0498" w:rsidRPr="00034E9B" w:rsidRDefault="00FC0498" w:rsidP="00FF6CBF">
            <w:pPr>
              <w:pStyle w:val="CGCTablesubhead2"/>
              <w:keepNext/>
              <w:keepLines/>
              <w:jc w:val="right"/>
              <w:rPr>
                <w:lang w:val="en-AU" w:eastAsia="en-AU"/>
              </w:rPr>
            </w:pPr>
            <w:r w:rsidRPr="00034E9B">
              <w:rPr>
                <w:lang w:val="en-AU" w:eastAsia="en-AU"/>
              </w:rPr>
              <w:t>1,161</w:t>
            </w:r>
          </w:p>
        </w:tc>
        <w:tc>
          <w:tcPr>
            <w:tcW w:w="600" w:type="dxa"/>
            <w:shd w:val="clear" w:color="auto" w:fill="D6E7F0"/>
            <w:noWrap/>
            <w:vAlign w:val="bottom"/>
            <w:hideMark/>
          </w:tcPr>
          <w:p w14:paraId="63158FFB" w14:textId="77777777" w:rsidR="00FC0498" w:rsidRPr="00034E9B" w:rsidRDefault="00FC0498" w:rsidP="00FF6CBF">
            <w:pPr>
              <w:pStyle w:val="CGCTablesubhead2"/>
              <w:keepNext/>
              <w:keepLines/>
              <w:jc w:val="right"/>
              <w:rPr>
                <w:lang w:val="en-AU" w:eastAsia="en-AU"/>
              </w:rPr>
            </w:pPr>
            <w:r w:rsidRPr="00034E9B">
              <w:rPr>
                <w:lang w:val="en-AU" w:eastAsia="en-AU"/>
              </w:rPr>
              <w:t>194</w:t>
            </w:r>
          </w:p>
        </w:tc>
        <w:tc>
          <w:tcPr>
            <w:tcW w:w="700" w:type="dxa"/>
            <w:shd w:val="clear" w:color="auto" w:fill="D6E7F0"/>
            <w:noWrap/>
            <w:vAlign w:val="bottom"/>
            <w:hideMark/>
          </w:tcPr>
          <w:p w14:paraId="4D417FC0" w14:textId="77777777" w:rsidR="00FC0498" w:rsidRPr="00034E9B" w:rsidRDefault="00FC0498" w:rsidP="00FF6CBF">
            <w:pPr>
              <w:pStyle w:val="CGCTablesubhead2"/>
              <w:keepNext/>
              <w:keepLines/>
              <w:jc w:val="right"/>
              <w:rPr>
                <w:lang w:val="en-AU" w:eastAsia="en-AU"/>
              </w:rPr>
            </w:pPr>
            <w:r w:rsidRPr="00034E9B">
              <w:rPr>
                <w:lang w:val="en-AU" w:eastAsia="en-AU"/>
              </w:rPr>
              <w:t>2,830</w:t>
            </w:r>
          </w:p>
        </w:tc>
        <w:tc>
          <w:tcPr>
            <w:tcW w:w="700" w:type="dxa"/>
            <w:shd w:val="clear" w:color="auto" w:fill="D6E7F0"/>
            <w:noWrap/>
            <w:vAlign w:val="bottom"/>
            <w:hideMark/>
          </w:tcPr>
          <w:p w14:paraId="64CED458" w14:textId="77777777" w:rsidR="00FC0498" w:rsidRPr="00034E9B" w:rsidRDefault="00FC0498" w:rsidP="00FF6CBF">
            <w:pPr>
              <w:pStyle w:val="CGCTablesubhead2"/>
              <w:keepNext/>
              <w:keepLines/>
              <w:jc w:val="right"/>
              <w:rPr>
                <w:lang w:val="en-AU" w:eastAsia="en-AU"/>
              </w:rPr>
            </w:pPr>
            <w:r w:rsidRPr="00034E9B">
              <w:rPr>
                <w:lang w:val="en-AU" w:eastAsia="en-AU"/>
              </w:rPr>
              <w:t>8,495</w:t>
            </w:r>
          </w:p>
        </w:tc>
      </w:tr>
    </w:tbl>
    <w:p w14:paraId="5AADD885" w14:textId="77777777" w:rsidR="00FC0498" w:rsidRPr="00034E9B" w:rsidRDefault="00FC0498" w:rsidP="00FC0498">
      <w:pPr>
        <w:pStyle w:val="CGCTablenote"/>
      </w:pPr>
      <w:r w:rsidRPr="00034E9B">
        <w:t xml:space="preserve">Note: </w:t>
      </w:r>
      <w:r w:rsidRPr="00034E9B">
        <w:tab/>
        <w:t>For illustrative purposes only.</w:t>
      </w:r>
      <w:r w:rsidRPr="00034E9B">
        <w:br/>
        <w:t xml:space="preserve">Uses 2020 drivers of difference scaled to relativities based on the Productivity Commission projections and legislated changes. </w:t>
      </w:r>
    </w:p>
    <w:p w14:paraId="5A5840C1" w14:textId="77777777" w:rsidR="00FC0498" w:rsidRPr="00034E9B" w:rsidRDefault="00FC0498" w:rsidP="00FC0498">
      <w:pPr>
        <w:pStyle w:val="Heading3"/>
      </w:pPr>
      <w:bookmarkStart w:id="252" w:name="_Toc26890336"/>
      <w:bookmarkStart w:id="253" w:name="_Toc33545902"/>
      <w:r w:rsidRPr="00034E9B">
        <w:t>No State worse off</w:t>
      </w:r>
      <w:bookmarkEnd w:id="252"/>
      <w:bookmarkEnd w:id="253"/>
    </w:p>
    <w:p w14:paraId="06B90F2C" w14:textId="77777777" w:rsidR="00FC0498" w:rsidRPr="00034E9B" w:rsidRDefault="00FC0498" w:rsidP="00FC0498">
      <w:pPr>
        <w:pStyle w:val="CGCParaNumber"/>
        <w:numPr>
          <w:ilvl w:val="0"/>
          <w:numId w:val="26"/>
        </w:numPr>
        <w:ind w:left="567" w:hanging="567"/>
        <w:rPr>
          <w:lang w:val="en-AU"/>
        </w:rPr>
      </w:pPr>
      <w:r w:rsidRPr="00034E9B">
        <w:rPr>
          <w:lang w:val="en-AU"/>
        </w:rPr>
        <w:t>The legislation tasks the Minister with ensuring that no State is worse off under the new arrangements. In reaching an opinion about any necessary top-ups required, ‘the Minister must … have regard to any report of the Commonwealth Grants Commission that the Minister considers relevant.’</w:t>
      </w:r>
      <w:r w:rsidRPr="00034E9B">
        <w:rPr>
          <w:vertAlign w:val="superscript"/>
          <w:lang w:val="en-AU"/>
        </w:rPr>
        <w:footnoteReference w:id="70"/>
      </w:r>
      <w:r w:rsidRPr="00034E9B">
        <w:rPr>
          <w:lang w:val="en-AU"/>
        </w:rPr>
        <w:t xml:space="preserve"> </w:t>
      </w:r>
    </w:p>
    <w:p w14:paraId="0487C369" w14:textId="149441BE" w:rsidR="00FC0498" w:rsidRPr="00034E9B" w:rsidRDefault="00FC0498" w:rsidP="00526A7B">
      <w:pPr>
        <w:pStyle w:val="CGCParaNumber"/>
        <w:keepNext/>
        <w:keepLines/>
        <w:numPr>
          <w:ilvl w:val="0"/>
          <w:numId w:val="26"/>
        </w:numPr>
        <w:ind w:left="567" w:hanging="567"/>
        <w:rPr>
          <w:lang w:val="en-AU"/>
        </w:rPr>
      </w:pPr>
      <w:r w:rsidRPr="00034E9B">
        <w:rPr>
          <w:lang w:val="en-AU"/>
        </w:rPr>
        <w:lastRenderedPageBreak/>
        <w:t xml:space="preserve">The Commission would include in this section a table showing the fiscal capacity relativities based solely upon a GST revenue only grant pool, as shown in </w:t>
      </w:r>
      <w:r w:rsidRPr="00034E9B">
        <w:rPr>
          <w:lang w:val="en-AU"/>
        </w:rPr>
        <w:fldChar w:fldCharType="begin"/>
      </w:r>
      <w:r w:rsidRPr="00034E9B">
        <w:rPr>
          <w:lang w:val="en-AU"/>
        </w:rPr>
        <w:instrText xml:space="preserve"> REF _Ref26538056 \h  \* MERGEFORMAT </w:instrText>
      </w:r>
      <w:r w:rsidRPr="00034E9B">
        <w:rPr>
          <w:lang w:val="en-AU"/>
        </w:rPr>
      </w:r>
      <w:r w:rsidRPr="00034E9B">
        <w:rPr>
          <w:lang w:val="en-AU"/>
        </w:rPr>
        <w:fldChar w:fldCharType="separate"/>
      </w:r>
      <w:r w:rsidR="004A0DFA" w:rsidRPr="004A0DFA">
        <w:rPr>
          <w:lang w:val="en-AU"/>
        </w:rPr>
        <w:t>Table 4A-6</w:t>
      </w:r>
      <w:r w:rsidRPr="00034E9B">
        <w:rPr>
          <w:lang w:val="en-AU"/>
        </w:rPr>
        <w:fldChar w:fldCharType="end"/>
      </w:r>
      <w:r w:rsidRPr="00034E9B">
        <w:rPr>
          <w:lang w:val="en-AU"/>
        </w:rPr>
        <w:t>.</w:t>
      </w:r>
      <w:r w:rsidRPr="00034E9B">
        <w:rPr>
          <w:rStyle w:val="FootnoteReference"/>
          <w:lang w:val="en-AU"/>
        </w:rPr>
        <w:footnoteReference w:id="71"/>
      </w:r>
      <w:r w:rsidRPr="00034E9B">
        <w:rPr>
          <w:lang w:val="en-AU"/>
        </w:rPr>
        <w:t xml:space="preserve"> These relativities are applied to GST revenue to determine whether entitlements under the no worse off provisions of the legislation may arise. </w:t>
      </w:r>
    </w:p>
    <w:p w14:paraId="67603E00" w14:textId="3BA95C8C" w:rsidR="00FC0498" w:rsidRPr="00034E9B" w:rsidRDefault="00FC0498" w:rsidP="00FC0498">
      <w:pPr>
        <w:pStyle w:val="Caption"/>
      </w:pPr>
      <w:bookmarkStart w:id="254" w:name="_Ref26538056"/>
      <w:r w:rsidRPr="00034E9B">
        <w:t>Table 4A-</w:t>
      </w:r>
      <w:r w:rsidR="009063F1">
        <w:fldChar w:fldCharType="begin"/>
      </w:r>
      <w:r w:rsidR="009063F1">
        <w:instrText xml:space="preserve"> SEQ Table \* ARABIC </w:instrText>
      </w:r>
      <w:r w:rsidR="009063F1">
        <w:fldChar w:fldCharType="separate"/>
      </w:r>
      <w:r w:rsidR="004A0DFA">
        <w:rPr>
          <w:noProof/>
        </w:rPr>
        <w:t>6</w:t>
      </w:r>
      <w:r w:rsidR="009063F1">
        <w:rPr>
          <w:noProof/>
        </w:rPr>
        <w:fldChar w:fldCharType="end"/>
      </w:r>
      <w:bookmarkEnd w:id="254"/>
      <w:r w:rsidRPr="00034E9B">
        <w:tab/>
        <w:t>‘No worse off’ fiscal capacity relativities, 2022-23</w:t>
      </w:r>
    </w:p>
    <w:tbl>
      <w:tblPr>
        <w:tblW w:w="8940" w:type="dxa"/>
        <w:tblBorders>
          <w:top w:val="single" w:sz="4" w:space="0" w:color="ADD6EA"/>
          <w:bottom w:val="single" w:sz="4" w:space="0" w:color="ADD6EA"/>
          <w:insideH w:val="single" w:sz="4" w:space="0" w:color="ADD6EA"/>
        </w:tblBorders>
        <w:tblLayout w:type="fixed"/>
        <w:tblCellMar>
          <w:left w:w="0" w:type="dxa"/>
          <w:right w:w="0" w:type="dxa"/>
        </w:tblCellMar>
        <w:tblLook w:val="04A0" w:firstRow="1" w:lastRow="0" w:firstColumn="1" w:lastColumn="0" w:noHBand="0" w:noVBand="1"/>
      </w:tblPr>
      <w:tblGrid>
        <w:gridCol w:w="2380"/>
        <w:gridCol w:w="820"/>
        <w:gridCol w:w="820"/>
        <w:gridCol w:w="820"/>
        <w:gridCol w:w="820"/>
        <w:gridCol w:w="820"/>
        <w:gridCol w:w="820"/>
        <w:gridCol w:w="820"/>
        <w:gridCol w:w="820"/>
      </w:tblGrid>
      <w:tr w:rsidR="00FC0498" w:rsidRPr="00034E9B" w14:paraId="379F8D31" w14:textId="77777777" w:rsidTr="00FF6CBF">
        <w:trPr>
          <w:trHeight w:val="379"/>
        </w:trPr>
        <w:tc>
          <w:tcPr>
            <w:tcW w:w="2380" w:type="dxa"/>
            <w:shd w:val="clear" w:color="auto" w:fill="006991"/>
            <w:noWrap/>
            <w:vAlign w:val="center"/>
            <w:hideMark/>
          </w:tcPr>
          <w:p w14:paraId="7237824E" w14:textId="77777777" w:rsidR="00FC0498" w:rsidRPr="00034E9B" w:rsidRDefault="00FC0498" w:rsidP="00FF6CBF">
            <w:pPr>
              <w:pStyle w:val="CGCTableheader"/>
              <w:jc w:val="right"/>
              <w:rPr>
                <w:lang w:val="en-AU" w:eastAsia="en-AU"/>
              </w:rPr>
            </w:pPr>
            <w:bookmarkStart w:id="255" w:name="_Ref18321123"/>
            <w:r w:rsidRPr="00034E9B">
              <w:rPr>
                <w:lang w:val="en-AU" w:eastAsia="en-AU"/>
              </w:rPr>
              <w:t> </w:t>
            </w:r>
          </w:p>
        </w:tc>
        <w:tc>
          <w:tcPr>
            <w:tcW w:w="820" w:type="dxa"/>
            <w:shd w:val="clear" w:color="auto" w:fill="006991"/>
            <w:noWrap/>
            <w:vAlign w:val="center"/>
            <w:hideMark/>
          </w:tcPr>
          <w:p w14:paraId="568ED149" w14:textId="77777777" w:rsidR="00FC0498" w:rsidRPr="00034E9B" w:rsidRDefault="00FC0498" w:rsidP="00FF6CBF">
            <w:pPr>
              <w:pStyle w:val="CGCTableheader"/>
              <w:jc w:val="right"/>
              <w:rPr>
                <w:lang w:val="en-AU" w:eastAsia="en-AU"/>
              </w:rPr>
            </w:pPr>
            <w:r w:rsidRPr="00034E9B">
              <w:rPr>
                <w:lang w:val="en-AU" w:eastAsia="en-AU"/>
              </w:rPr>
              <w:t>NSW</w:t>
            </w:r>
          </w:p>
        </w:tc>
        <w:tc>
          <w:tcPr>
            <w:tcW w:w="820" w:type="dxa"/>
            <w:shd w:val="clear" w:color="auto" w:fill="006991"/>
            <w:noWrap/>
            <w:vAlign w:val="center"/>
            <w:hideMark/>
          </w:tcPr>
          <w:p w14:paraId="3FFFCD8A" w14:textId="77777777" w:rsidR="00FC0498" w:rsidRPr="00034E9B" w:rsidRDefault="00FC0498" w:rsidP="00FF6CBF">
            <w:pPr>
              <w:pStyle w:val="CGCTableheader"/>
              <w:jc w:val="right"/>
              <w:rPr>
                <w:lang w:val="en-AU" w:eastAsia="en-AU"/>
              </w:rPr>
            </w:pPr>
            <w:r w:rsidRPr="00034E9B">
              <w:rPr>
                <w:lang w:val="en-AU" w:eastAsia="en-AU"/>
              </w:rPr>
              <w:t>Vic</w:t>
            </w:r>
          </w:p>
        </w:tc>
        <w:tc>
          <w:tcPr>
            <w:tcW w:w="820" w:type="dxa"/>
            <w:shd w:val="clear" w:color="auto" w:fill="006991"/>
            <w:noWrap/>
            <w:vAlign w:val="center"/>
            <w:hideMark/>
          </w:tcPr>
          <w:p w14:paraId="537CEFD0" w14:textId="77777777" w:rsidR="00FC0498" w:rsidRPr="00034E9B" w:rsidRDefault="00FC0498" w:rsidP="00FF6CBF">
            <w:pPr>
              <w:pStyle w:val="CGCTableheader"/>
              <w:jc w:val="right"/>
              <w:rPr>
                <w:lang w:val="en-AU" w:eastAsia="en-AU"/>
              </w:rPr>
            </w:pPr>
            <w:r w:rsidRPr="00034E9B">
              <w:rPr>
                <w:lang w:val="en-AU" w:eastAsia="en-AU"/>
              </w:rPr>
              <w:t>Qld</w:t>
            </w:r>
          </w:p>
        </w:tc>
        <w:tc>
          <w:tcPr>
            <w:tcW w:w="820" w:type="dxa"/>
            <w:shd w:val="clear" w:color="auto" w:fill="006991"/>
            <w:noWrap/>
            <w:vAlign w:val="center"/>
            <w:hideMark/>
          </w:tcPr>
          <w:p w14:paraId="7B08DFBE" w14:textId="77777777" w:rsidR="00FC0498" w:rsidRPr="00034E9B" w:rsidRDefault="00FC0498" w:rsidP="00FF6CBF">
            <w:pPr>
              <w:pStyle w:val="CGCTableheader"/>
              <w:jc w:val="right"/>
              <w:rPr>
                <w:lang w:val="en-AU" w:eastAsia="en-AU"/>
              </w:rPr>
            </w:pPr>
            <w:r w:rsidRPr="00034E9B">
              <w:rPr>
                <w:lang w:val="en-AU" w:eastAsia="en-AU"/>
              </w:rPr>
              <w:t>WA</w:t>
            </w:r>
          </w:p>
        </w:tc>
        <w:tc>
          <w:tcPr>
            <w:tcW w:w="820" w:type="dxa"/>
            <w:shd w:val="clear" w:color="auto" w:fill="006991"/>
            <w:noWrap/>
            <w:vAlign w:val="center"/>
            <w:hideMark/>
          </w:tcPr>
          <w:p w14:paraId="1E7C6C6B" w14:textId="77777777" w:rsidR="00FC0498" w:rsidRPr="00034E9B" w:rsidRDefault="00FC0498" w:rsidP="00FF6CBF">
            <w:pPr>
              <w:pStyle w:val="CGCTableheader"/>
              <w:jc w:val="right"/>
              <w:rPr>
                <w:lang w:val="en-AU" w:eastAsia="en-AU"/>
              </w:rPr>
            </w:pPr>
            <w:r w:rsidRPr="00034E9B">
              <w:rPr>
                <w:lang w:val="en-AU" w:eastAsia="en-AU"/>
              </w:rPr>
              <w:t>SA</w:t>
            </w:r>
          </w:p>
        </w:tc>
        <w:tc>
          <w:tcPr>
            <w:tcW w:w="820" w:type="dxa"/>
            <w:shd w:val="clear" w:color="auto" w:fill="006991"/>
            <w:noWrap/>
            <w:vAlign w:val="center"/>
            <w:hideMark/>
          </w:tcPr>
          <w:p w14:paraId="26580A08" w14:textId="77777777" w:rsidR="00FC0498" w:rsidRPr="00034E9B" w:rsidRDefault="00FC0498" w:rsidP="00FF6CBF">
            <w:pPr>
              <w:pStyle w:val="CGCTableheader"/>
              <w:jc w:val="right"/>
              <w:rPr>
                <w:lang w:val="en-AU" w:eastAsia="en-AU"/>
              </w:rPr>
            </w:pPr>
            <w:r w:rsidRPr="00034E9B">
              <w:rPr>
                <w:lang w:val="en-AU" w:eastAsia="en-AU"/>
              </w:rPr>
              <w:t>Tas</w:t>
            </w:r>
          </w:p>
        </w:tc>
        <w:tc>
          <w:tcPr>
            <w:tcW w:w="820" w:type="dxa"/>
            <w:shd w:val="clear" w:color="auto" w:fill="006991"/>
            <w:noWrap/>
            <w:vAlign w:val="center"/>
            <w:hideMark/>
          </w:tcPr>
          <w:p w14:paraId="1A85A17C" w14:textId="77777777" w:rsidR="00FC0498" w:rsidRPr="00034E9B" w:rsidRDefault="00FC0498" w:rsidP="00FF6CBF">
            <w:pPr>
              <w:pStyle w:val="CGCTableheader"/>
              <w:jc w:val="right"/>
              <w:rPr>
                <w:lang w:val="en-AU" w:eastAsia="en-AU"/>
              </w:rPr>
            </w:pPr>
            <w:r w:rsidRPr="00034E9B">
              <w:rPr>
                <w:lang w:val="en-AU" w:eastAsia="en-AU"/>
              </w:rPr>
              <w:t>ACT</w:t>
            </w:r>
          </w:p>
        </w:tc>
        <w:tc>
          <w:tcPr>
            <w:tcW w:w="820" w:type="dxa"/>
            <w:shd w:val="clear" w:color="auto" w:fill="006991"/>
            <w:noWrap/>
            <w:vAlign w:val="center"/>
            <w:hideMark/>
          </w:tcPr>
          <w:p w14:paraId="1390DDF4" w14:textId="77777777" w:rsidR="00FC0498" w:rsidRPr="00034E9B" w:rsidRDefault="00FC0498" w:rsidP="00FF6CBF">
            <w:pPr>
              <w:pStyle w:val="CGCTableheader"/>
              <w:jc w:val="right"/>
              <w:rPr>
                <w:lang w:val="en-AU" w:eastAsia="en-AU"/>
              </w:rPr>
            </w:pPr>
            <w:r w:rsidRPr="00034E9B">
              <w:rPr>
                <w:lang w:val="en-AU" w:eastAsia="en-AU"/>
              </w:rPr>
              <w:t>NT</w:t>
            </w:r>
          </w:p>
        </w:tc>
      </w:tr>
      <w:tr w:rsidR="00FC0498" w:rsidRPr="00034E9B" w14:paraId="0770C2E3" w14:textId="77777777" w:rsidTr="00FF6CBF">
        <w:trPr>
          <w:trHeight w:val="315"/>
        </w:trPr>
        <w:tc>
          <w:tcPr>
            <w:tcW w:w="2380" w:type="dxa"/>
            <w:shd w:val="clear" w:color="auto" w:fill="auto"/>
            <w:noWrap/>
            <w:vAlign w:val="bottom"/>
            <w:hideMark/>
          </w:tcPr>
          <w:p w14:paraId="7EF86970" w14:textId="77777777" w:rsidR="00FC0498" w:rsidRPr="00034E9B" w:rsidRDefault="00FC0498" w:rsidP="00FF6CBF">
            <w:pPr>
              <w:pStyle w:val="CGCTablerow"/>
              <w:rPr>
                <w:lang w:eastAsia="en-AU"/>
              </w:rPr>
            </w:pPr>
            <w:r w:rsidRPr="00034E9B">
              <w:rPr>
                <w:lang w:eastAsia="en-AU"/>
              </w:rPr>
              <w:t>Fiscal capacity relativities</w:t>
            </w:r>
          </w:p>
        </w:tc>
        <w:tc>
          <w:tcPr>
            <w:tcW w:w="820" w:type="dxa"/>
            <w:shd w:val="clear" w:color="auto" w:fill="auto"/>
            <w:noWrap/>
            <w:vAlign w:val="bottom"/>
            <w:hideMark/>
          </w:tcPr>
          <w:p w14:paraId="1AF1E952" w14:textId="77777777" w:rsidR="00FC0498" w:rsidRPr="00034E9B" w:rsidRDefault="00FC0498" w:rsidP="00FF6CBF">
            <w:pPr>
              <w:pStyle w:val="CGCTablerow"/>
              <w:jc w:val="right"/>
              <w:rPr>
                <w:lang w:eastAsia="en-AU"/>
              </w:rPr>
            </w:pPr>
            <w:r w:rsidRPr="00034E9B">
              <w:rPr>
                <w:lang w:eastAsia="en-AU"/>
              </w:rPr>
              <w:t>0.82039</w:t>
            </w:r>
          </w:p>
        </w:tc>
        <w:tc>
          <w:tcPr>
            <w:tcW w:w="820" w:type="dxa"/>
            <w:shd w:val="clear" w:color="auto" w:fill="auto"/>
            <w:noWrap/>
            <w:vAlign w:val="bottom"/>
            <w:hideMark/>
          </w:tcPr>
          <w:p w14:paraId="4D90BD8A" w14:textId="77777777" w:rsidR="00FC0498" w:rsidRPr="00034E9B" w:rsidRDefault="00FC0498" w:rsidP="00FF6CBF">
            <w:pPr>
              <w:pStyle w:val="CGCTablerow"/>
              <w:jc w:val="right"/>
              <w:rPr>
                <w:lang w:eastAsia="en-AU"/>
              </w:rPr>
            </w:pPr>
            <w:r w:rsidRPr="00034E9B">
              <w:rPr>
                <w:lang w:eastAsia="en-AU"/>
              </w:rPr>
              <w:t>0.95045</w:t>
            </w:r>
          </w:p>
        </w:tc>
        <w:tc>
          <w:tcPr>
            <w:tcW w:w="820" w:type="dxa"/>
            <w:shd w:val="clear" w:color="auto" w:fill="auto"/>
            <w:noWrap/>
            <w:vAlign w:val="bottom"/>
            <w:hideMark/>
          </w:tcPr>
          <w:p w14:paraId="44C42D4D" w14:textId="77777777" w:rsidR="00FC0498" w:rsidRPr="00034E9B" w:rsidRDefault="00FC0498" w:rsidP="00FF6CBF">
            <w:pPr>
              <w:pStyle w:val="CGCTablerow"/>
              <w:jc w:val="right"/>
              <w:rPr>
                <w:lang w:eastAsia="en-AU"/>
              </w:rPr>
            </w:pPr>
            <w:r w:rsidRPr="00034E9B">
              <w:rPr>
                <w:lang w:eastAsia="en-AU"/>
              </w:rPr>
              <w:t>1.12054</w:t>
            </w:r>
          </w:p>
        </w:tc>
        <w:tc>
          <w:tcPr>
            <w:tcW w:w="820" w:type="dxa"/>
            <w:shd w:val="clear" w:color="auto" w:fill="auto"/>
            <w:noWrap/>
            <w:vAlign w:val="bottom"/>
            <w:hideMark/>
          </w:tcPr>
          <w:p w14:paraId="350AB878" w14:textId="77777777" w:rsidR="00FC0498" w:rsidRPr="00034E9B" w:rsidRDefault="00FC0498" w:rsidP="00FF6CBF">
            <w:pPr>
              <w:pStyle w:val="CGCTablerow"/>
              <w:jc w:val="right"/>
              <w:rPr>
                <w:lang w:eastAsia="en-AU"/>
              </w:rPr>
            </w:pPr>
            <w:r w:rsidRPr="00034E9B">
              <w:rPr>
                <w:lang w:eastAsia="en-AU"/>
              </w:rPr>
              <w:t>0.62030</w:t>
            </w:r>
          </w:p>
        </w:tc>
        <w:tc>
          <w:tcPr>
            <w:tcW w:w="820" w:type="dxa"/>
            <w:shd w:val="clear" w:color="auto" w:fill="auto"/>
            <w:noWrap/>
            <w:vAlign w:val="bottom"/>
            <w:hideMark/>
          </w:tcPr>
          <w:p w14:paraId="775390BB" w14:textId="77777777" w:rsidR="00FC0498" w:rsidRPr="00034E9B" w:rsidRDefault="00FC0498" w:rsidP="00FF6CBF">
            <w:pPr>
              <w:pStyle w:val="CGCTablerow"/>
              <w:jc w:val="right"/>
              <w:rPr>
                <w:lang w:eastAsia="en-AU"/>
              </w:rPr>
            </w:pPr>
            <w:r w:rsidRPr="00034E9B">
              <w:rPr>
                <w:lang w:eastAsia="en-AU"/>
              </w:rPr>
              <w:t>1.43068</w:t>
            </w:r>
          </w:p>
        </w:tc>
        <w:tc>
          <w:tcPr>
            <w:tcW w:w="820" w:type="dxa"/>
            <w:shd w:val="clear" w:color="auto" w:fill="auto"/>
            <w:noWrap/>
            <w:vAlign w:val="bottom"/>
            <w:hideMark/>
          </w:tcPr>
          <w:p w14:paraId="5BE45E87" w14:textId="77777777" w:rsidR="00FC0498" w:rsidRPr="00034E9B" w:rsidRDefault="00FC0498" w:rsidP="00FF6CBF">
            <w:pPr>
              <w:pStyle w:val="CGCTablerow"/>
              <w:jc w:val="right"/>
              <w:rPr>
                <w:lang w:eastAsia="en-AU"/>
              </w:rPr>
            </w:pPr>
            <w:r w:rsidRPr="00034E9B">
              <w:rPr>
                <w:lang w:eastAsia="en-AU"/>
              </w:rPr>
              <w:t>1.80086</w:t>
            </w:r>
          </w:p>
        </w:tc>
        <w:tc>
          <w:tcPr>
            <w:tcW w:w="820" w:type="dxa"/>
            <w:shd w:val="clear" w:color="auto" w:fill="auto"/>
            <w:noWrap/>
            <w:vAlign w:val="bottom"/>
            <w:hideMark/>
          </w:tcPr>
          <w:p w14:paraId="630B3FFA" w14:textId="77777777" w:rsidR="00FC0498" w:rsidRPr="00034E9B" w:rsidRDefault="00FC0498" w:rsidP="00FF6CBF">
            <w:pPr>
              <w:pStyle w:val="CGCTablerow"/>
              <w:jc w:val="right"/>
              <w:rPr>
                <w:lang w:eastAsia="en-AU"/>
              </w:rPr>
            </w:pPr>
            <w:r w:rsidRPr="00034E9B">
              <w:rPr>
                <w:lang w:eastAsia="en-AU"/>
              </w:rPr>
              <w:t>1.18056</w:t>
            </w:r>
          </w:p>
        </w:tc>
        <w:tc>
          <w:tcPr>
            <w:tcW w:w="820" w:type="dxa"/>
            <w:shd w:val="clear" w:color="auto" w:fill="auto"/>
            <w:noWrap/>
            <w:vAlign w:val="bottom"/>
            <w:hideMark/>
          </w:tcPr>
          <w:p w14:paraId="41A238FB" w14:textId="77777777" w:rsidR="00FC0498" w:rsidRPr="00034E9B" w:rsidRDefault="00FC0498" w:rsidP="00FF6CBF">
            <w:pPr>
              <w:pStyle w:val="CGCTablerow"/>
              <w:jc w:val="right"/>
              <w:rPr>
                <w:lang w:eastAsia="en-AU"/>
              </w:rPr>
            </w:pPr>
            <w:r w:rsidRPr="00034E9B">
              <w:rPr>
                <w:lang w:eastAsia="en-AU"/>
              </w:rPr>
              <w:t>4.75227</w:t>
            </w:r>
          </w:p>
        </w:tc>
      </w:tr>
    </w:tbl>
    <w:p w14:paraId="0BF13FCE" w14:textId="77777777" w:rsidR="00FC0498" w:rsidRPr="00034E9B" w:rsidRDefault="00FC0498" w:rsidP="00FC0498">
      <w:pPr>
        <w:pStyle w:val="CGCTablenote"/>
      </w:pPr>
      <w:r w:rsidRPr="00034E9B">
        <w:t>Note:</w:t>
      </w:r>
      <w:r w:rsidRPr="00034E9B">
        <w:tab/>
        <w:t>Relativities calculated as if the new legislation had not been enacted.</w:t>
      </w:r>
    </w:p>
    <w:p w14:paraId="4129844C" w14:textId="778353B1" w:rsidR="00FC0498" w:rsidRPr="00034E9B" w:rsidRDefault="00FC0498" w:rsidP="00FC0498">
      <w:pPr>
        <w:pStyle w:val="CGCParaNumber"/>
        <w:numPr>
          <w:ilvl w:val="0"/>
          <w:numId w:val="26"/>
        </w:numPr>
        <w:ind w:left="567" w:hanging="567"/>
        <w:rPr>
          <w:lang w:val="en-AU"/>
        </w:rPr>
      </w:pPr>
      <w:r w:rsidRPr="00034E9B">
        <w:rPr>
          <w:lang w:val="en-AU"/>
        </w:rPr>
        <w:fldChar w:fldCharType="begin"/>
      </w:r>
      <w:r w:rsidRPr="00034E9B">
        <w:rPr>
          <w:lang w:val="en-AU"/>
        </w:rPr>
        <w:instrText xml:space="preserve"> REF _Ref26538220 \h  \* MERGEFORMAT </w:instrText>
      </w:r>
      <w:r w:rsidRPr="00034E9B">
        <w:rPr>
          <w:lang w:val="en-AU"/>
        </w:rPr>
      </w:r>
      <w:r w:rsidRPr="00034E9B">
        <w:rPr>
          <w:lang w:val="en-AU"/>
        </w:rPr>
        <w:fldChar w:fldCharType="separate"/>
      </w:r>
      <w:r w:rsidR="004A0DFA" w:rsidRPr="004A0DFA">
        <w:rPr>
          <w:lang w:val="en-AU"/>
        </w:rPr>
        <w:t>Table 4A-7</w:t>
      </w:r>
      <w:r w:rsidRPr="00034E9B">
        <w:rPr>
          <w:lang w:val="en-AU"/>
        </w:rPr>
        <w:fldChar w:fldCharType="end"/>
      </w:r>
      <w:r w:rsidRPr="00034E9B">
        <w:rPr>
          <w:lang w:val="en-AU"/>
        </w:rPr>
        <w:t xml:space="preserve"> shows an illustrative comparison, indicating whether States are better off or worse off under the new arrangements, in the upcoming year.   </w:t>
      </w:r>
    </w:p>
    <w:p w14:paraId="70C535DE" w14:textId="1182BAF2" w:rsidR="00FC0498" w:rsidRPr="00034E9B" w:rsidRDefault="00FC0498" w:rsidP="00FC0498">
      <w:pPr>
        <w:pStyle w:val="Caption"/>
      </w:pPr>
      <w:bookmarkStart w:id="256" w:name="_Ref26538220"/>
      <w:r w:rsidRPr="00034E9B">
        <w:t>Table 4A-</w:t>
      </w:r>
      <w:r w:rsidR="009063F1">
        <w:fldChar w:fldCharType="begin"/>
      </w:r>
      <w:r w:rsidR="009063F1">
        <w:instrText xml:space="preserve"> SEQ Table \* ARABIC </w:instrText>
      </w:r>
      <w:r w:rsidR="009063F1">
        <w:fldChar w:fldCharType="separate"/>
      </w:r>
      <w:r w:rsidR="004A0DFA">
        <w:rPr>
          <w:noProof/>
        </w:rPr>
        <w:t>7</w:t>
      </w:r>
      <w:r w:rsidR="009063F1">
        <w:rPr>
          <w:noProof/>
        </w:rPr>
        <w:fldChar w:fldCharType="end"/>
      </w:r>
      <w:bookmarkEnd w:id="255"/>
      <w:bookmarkEnd w:id="256"/>
      <w:r w:rsidRPr="00034E9B">
        <w:tab/>
        <w:t>Illustrative comparison of grant share distribution under new and previous arrangements, 2022-23</w:t>
      </w:r>
    </w:p>
    <w:tbl>
      <w:tblPr>
        <w:tblW w:w="8900" w:type="dxa"/>
        <w:tblBorders>
          <w:top w:val="single" w:sz="4" w:space="0" w:color="ADD6EA"/>
          <w:bottom w:val="single" w:sz="4" w:space="0" w:color="ADD6EA"/>
          <w:insideH w:val="single" w:sz="4" w:space="0" w:color="ADD6EA"/>
        </w:tblBorders>
        <w:tblLayout w:type="fixed"/>
        <w:tblCellMar>
          <w:left w:w="0" w:type="dxa"/>
          <w:right w:w="0" w:type="dxa"/>
        </w:tblCellMar>
        <w:tblLook w:val="04A0" w:firstRow="1" w:lastRow="0" w:firstColumn="1" w:lastColumn="0" w:noHBand="0" w:noVBand="1"/>
      </w:tblPr>
      <w:tblGrid>
        <w:gridCol w:w="2380"/>
        <w:gridCol w:w="780"/>
        <w:gridCol w:w="780"/>
        <w:gridCol w:w="780"/>
        <w:gridCol w:w="680"/>
        <w:gridCol w:w="680"/>
        <w:gridCol w:w="680"/>
        <w:gridCol w:w="680"/>
        <w:gridCol w:w="680"/>
        <w:gridCol w:w="780"/>
      </w:tblGrid>
      <w:tr w:rsidR="00FC0498" w:rsidRPr="00034E9B" w14:paraId="43C2BA6B" w14:textId="77777777" w:rsidTr="00FF6CBF">
        <w:trPr>
          <w:trHeight w:val="379"/>
        </w:trPr>
        <w:tc>
          <w:tcPr>
            <w:tcW w:w="2380" w:type="dxa"/>
            <w:shd w:val="clear" w:color="auto" w:fill="006991"/>
            <w:noWrap/>
            <w:vAlign w:val="center"/>
            <w:hideMark/>
          </w:tcPr>
          <w:p w14:paraId="58B072D1" w14:textId="77777777" w:rsidR="00FC0498" w:rsidRPr="00034E9B" w:rsidRDefault="00FC0498" w:rsidP="00FF6CBF">
            <w:pPr>
              <w:pStyle w:val="CGCTableheader"/>
              <w:jc w:val="right"/>
              <w:rPr>
                <w:lang w:val="en-AU" w:eastAsia="en-AU"/>
              </w:rPr>
            </w:pPr>
            <w:r w:rsidRPr="00034E9B">
              <w:rPr>
                <w:lang w:val="en-AU" w:eastAsia="en-AU"/>
              </w:rPr>
              <w:t> </w:t>
            </w:r>
          </w:p>
        </w:tc>
        <w:tc>
          <w:tcPr>
            <w:tcW w:w="780" w:type="dxa"/>
            <w:shd w:val="clear" w:color="auto" w:fill="006991"/>
            <w:noWrap/>
            <w:vAlign w:val="center"/>
            <w:hideMark/>
          </w:tcPr>
          <w:p w14:paraId="0431AECB" w14:textId="77777777" w:rsidR="00FC0498" w:rsidRPr="00034E9B" w:rsidRDefault="00FC0498" w:rsidP="00FF6CBF">
            <w:pPr>
              <w:pStyle w:val="CGCTableheader"/>
              <w:jc w:val="right"/>
              <w:rPr>
                <w:lang w:val="en-AU" w:eastAsia="en-AU"/>
              </w:rPr>
            </w:pPr>
            <w:r w:rsidRPr="00034E9B">
              <w:rPr>
                <w:lang w:val="en-AU" w:eastAsia="en-AU"/>
              </w:rPr>
              <w:t>NSW</w:t>
            </w:r>
          </w:p>
        </w:tc>
        <w:tc>
          <w:tcPr>
            <w:tcW w:w="780" w:type="dxa"/>
            <w:shd w:val="clear" w:color="auto" w:fill="006991"/>
            <w:noWrap/>
            <w:vAlign w:val="center"/>
            <w:hideMark/>
          </w:tcPr>
          <w:p w14:paraId="010B66AF" w14:textId="77777777" w:rsidR="00FC0498" w:rsidRPr="00034E9B" w:rsidRDefault="00FC0498" w:rsidP="00FF6CBF">
            <w:pPr>
              <w:pStyle w:val="CGCTableheader"/>
              <w:jc w:val="right"/>
              <w:rPr>
                <w:lang w:val="en-AU" w:eastAsia="en-AU"/>
              </w:rPr>
            </w:pPr>
            <w:r w:rsidRPr="00034E9B">
              <w:rPr>
                <w:lang w:val="en-AU" w:eastAsia="en-AU"/>
              </w:rPr>
              <w:t>Vic</w:t>
            </w:r>
          </w:p>
        </w:tc>
        <w:tc>
          <w:tcPr>
            <w:tcW w:w="780" w:type="dxa"/>
            <w:shd w:val="clear" w:color="auto" w:fill="006991"/>
            <w:noWrap/>
            <w:vAlign w:val="center"/>
            <w:hideMark/>
          </w:tcPr>
          <w:p w14:paraId="2D6EFF3F" w14:textId="77777777" w:rsidR="00FC0498" w:rsidRPr="00034E9B" w:rsidRDefault="00FC0498" w:rsidP="00FF6CBF">
            <w:pPr>
              <w:pStyle w:val="CGCTableheader"/>
              <w:jc w:val="right"/>
              <w:rPr>
                <w:lang w:val="en-AU" w:eastAsia="en-AU"/>
              </w:rPr>
            </w:pPr>
            <w:r w:rsidRPr="00034E9B">
              <w:rPr>
                <w:lang w:val="en-AU" w:eastAsia="en-AU"/>
              </w:rPr>
              <w:t>Qld</w:t>
            </w:r>
          </w:p>
        </w:tc>
        <w:tc>
          <w:tcPr>
            <w:tcW w:w="680" w:type="dxa"/>
            <w:shd w:val="clear" w:color="auto" w:fill="006991"/>
            <w:noWrap/>
            <w:vAlign w:val="center"/>
            <w:hideMark/>
          </w:tcPr>
          <w:p w14:paraId="1642EC28" w14:textId="77777777" w:rsidR="00FC0498" w:rsidRPr="00034E9B" w:rsidRDefault="00FC0498" w:rsidP="00FF6CBF">
            <w:pPr>
              <w:pStyle w:val="CGCTableheader"/>
              <w:jc w:val="right"/>
              <w:rPr>
                <w:lang w:val="en-AU" w:eastAsia="en-AU"/>
              </w:rPr>
            </w:pPr>
            <w:r w:rsidRPr="00034E9B">
              <w:rPr>
                <w:lang w:val="en-AU" w:eastAsia="en-AU"/>
              </w:rPr>
              <w:t>WA</w:t>
            </w:r>
          </w:p>
        </w:tc>
        <w:tc>
          <w:tcPr>
            <w:tcW w:w="680" w:type="dxa"/>
            <w:shd w:val="clear" w:color="auto" w:fill="006991"/>
            <w:noWrap/>
            <w:vAlign w:val="center"/>
            <w:hideMark/>
          </w:tcPr>
          <w:p w14:paraId="206A7876" w14:textId="77777777" w:rsidR="00FC0498" w:rsidRPr="00034E9B" w:rsidRDefault="00FC0498" w:rsidP="00FF6CBF">
            <w:pPr>
              <w:pStyle w:val="CGCTableheader"/>
              <w:jc w:val="right"/>
              <w:rPr>
                <w:lang w:val="en-AU" w:eastAsia="en-AU"/>
              </w:rPr>
            </w:pPr>
            <w:r w:rsidRPr="00034E9B">
              <w:rPr>
                <w:lang w:val="en-AU" w:eastAsia="en-AU"/>
              </w:rPr>
              <w:t>SA</w:t>
            </w:r>
          </w:p>
        </w:tc>
        <w:tc>
          <w:tcPr>
            <w:tcW w:w="680" w:type="dxa"/>
            <w:shd w:val="clear" w:color="auto" w:fill="006991"/>
            <w:noWrap/>
            <w:vAlign w:val="center"/>
            <w:hideMark/>
          </w:tcPr>
          <w:p w14:paraId="2F9C125C" w14:textId="77777777" w:rsidR="00FC0498" w:rsidRPr="00034E9B" w:rsidRDefault="00FC0498" w:rsidP="00FF6CBF">
            <w:pPr>
              <w:pStyle w:val="CGCTableheader"/>
              <w:jc w:val="right"/>
              <w:rPr>
                <w:lang w:val="en-AU" w:eastAsia="en-AU"/>
              </w:rPr>
            </w:pPr>
            <w:r w:rsidRPr="00034E9B">
              <w:rPr>
                <w:lang w:val="en-AU" w:eastAsia="en-AU"/>
              </w:rPr>
              <w:t>Tas</w:t>
            </w:r>
          </w:p>
        </w:tc>
        <w:tc>
          <w:tcPr>
            <w:tcW w:w="680" w:type="dxa"/>
            <w:shd w:val="clear" w:color="auto" w:fill="006991"/>
            <w:noWrap/>
            <w:vAlign w:val="center"/>
            <w:hideMark/>
          </w:tcPr>
          <w:p w14:paraId="11791A32" w14:textId="77777777" w:rsidR="00FC0498" w:rsidRPr="00034E9B" w:rsidRDefault="00FC0498" w:rsidP="00FF6CBF">
            <w:pPr>
              <w:pStyle w:val="CGCTableheader"/>
              <w:jc w:val="right"/>
              <w:rPr>
                <w:lang w:val="en-AU" w:eastAsia="en-AU"/>
              </w:rPr>
            </w:pPr>
            <w:r w:rsidRPr="00034E9B">
              <w:rPr>
                <w:lang w:val="en-AU" w:eastAsia="en-AU"/>
              </w:rPr>
              <w:t>ACT</w:t>
            </w:r>
          </w:p>
        </w:tc>
        <w:tc>
          <w:tcPr>
            <w:tcW w:w="680" w:type="dxa"/>
            <w:shd w:val="clear" w:color="auto" w:fill="006991"/>
            <w:noWrap/>
            <w:vAlign w:val="center"/>
            <w:hideMark/>
          </w:tcPr>
          <w:p w14:paraId="6DEEA5EC" w14:textId="77777777" w:rsidR="00FC0498" w:rsidRPr="00034E9B" w:rsidRDefault="00FC0498" w:rsidP="00FF6CBF">
            <w:pPr>
              <w:pStyle w:val="CGCTableheader"/>
              <w:jc w:val="right"/>
              <w:rPr>
                <w:lang w:val="en-AU" w:eastAsia="en-AU"/>
              </w:rPr>
            </w:pPr>
            <w:r w:rsidRPr="00034E9B">
              <w:rPr>
                <w:lang w:val="en-AU" w:eastAsia="en-AU"/>
              </w:rPr>
              <w:t>NT</w:t>
            </w:r>
          </w:p>
        </w:tc>
        <w:tc>
          <w:tcPr>
            <w:tcW w:w="780" w:type="dxa"/>
            <w:shd w:val="clear" w:color="auto" w:fill="006991"/>
            <w:noWrap/>
            <w:vAlign w:val="center"/>
            <w:hideMark/>
          </w:tcPr>
          <w:p w14:paraId="7760484D" w14:textId="77777777" w:rsidR="00FC0498" w:rsidRPr="00034E9B" w:rsidRDefault="00FC0498" w:rsidP="00FF6CBF">
            <w:pPr>
              <w:pStyle w:val="CGCTableheader"/>
              <w:jc w:val="right"/>
              <w:rPr>
                <w:lang w:val="en-AU" w:eastAsia="en-AU"/>
              </w:rPr>
            </w:pPr>
            <w:r w:rsidRPr="00034E9B">
              <w:rPr>
                <w:lang w:val="en-AU" w:eastAsia="en-AU"/>
              </w:rPr>
              <w:t>Total</w:t>
            </w:r>
          </w:p>
        </w:tc>
      </w:tr>
      <w:tr w:rsidR="00FC0498" w:rsidRPr="00034E9B" w14:paraId="5CAF1DA6" w14:textId="77777777" w:rsidTr="00E6501C">
        <w:trPr>
          <w:trHeight w:val="259"/>
        </w:trPr>
        <w:tc>
          <w:tcPr>
            <w:tcW w:w="2380" w:type="dxa"/>
            <w:shd w:val="clear" w:color="auto" w:fill="B6D5E4"/>
            <w:noWrap/>
            <w:vAlign w:val="center"/>
            <w:hideMark/>
          </w:tcPr>
          <w:p w14:paraId="20766BDF" w14:textId="77777777" w:rsidR="00FC0498" w:rsidRPr="00034E9B" w:rsidRDefault="00FC0498" w:rsidP="00FF6CBF">
            <w:pPr>
              <w:pStyle w:val="CGCTablesubhead1"/>
              <w:jc w:val="right"/>
              <w:rPr>
                <w:lang w:val="en-AU" w:eastAsia="en-AU"/>
              </w:rPr>
            </w:pPr>
          </w:p>
        </w:tc>
        <w:tc>
          <w:tcPr>
            <w:tcW w:w="780" w:type="dxa"/>
            <w:shd w:val="clear" w:color="auto" w:fill="B6D5E4"/>
            <w:noWrap/>
            <w:vAlign w:val="center"/>
            <w:hideMark/>
          </w:tcPr>
          <w:p w14:paraId="7A150B0C" w14:textId="77777777" w:rsidR="00FC0498" w:rsidRPr="00034E9B" w:rsidRDefault="00FC0498" w:rsidP="00FF6CBF">
            <w:pPr>
              <w:pStyle w:val="CGCTablesubhead1"/>
              <w:jc w:val="right"/>
              <w:rPr>
                <w:lang w:val="en-AU" w:eastAsia="en-AU"/>
              </w:rPr>
            </w:pPr>
            <w:r w:rsidRPr="00034E9B">
              <w:rPr>
                <w:lang w:val="en-AU" w:eastAsia="en-AU"/>
              </w:rPr>
              <w:t>$m</w:t>
            </w:r>
          </w:p>
        </w:tc>
        <w:tc>
          <w:tcPr>
            <w:tcW w:w="780" w:type="dxa"/>
            <w:shd w:val="clear" w:color="auto" w:fill="B6D5E4"/>
            <w:noWrap/>
            <w:vAlign w:val="center"/>
            <w:hideMark/>
          </w:tcPr>
          <w:p w14:paraId="1455BEAD" w14:textId="77777777" w:rsidR="00FC0498" w:rsidRPr="00034E9B" w:rsidRDefault="00FC0498" w:rsidP="00FF6CBF">
            <w:pPr>
              <w:pStyle w:val="CGCTablesubhead1"/>
              <w:jc w:val="right"/>
              <w:rPr>
                <w:lang w:val="en-AU" w:eastAsia="en-AU"/>
              </w:rPr>
            </w:pPr>
            <w:r w:rsidRPr="00034E9B">
              <w:rPr>
                <w:lang w:val="en-AU" w:eastAsia="en-AU"/>
              </w:rPr>
              <w:t>$m</w:t>
            </w:r>
          </w:p>
        </w:tc>
        <w:tc>
          <w:tcPr>
            <w:tcW w:w="780" w:type="dxa"/>
            <w:shd w:val="clear" w:color="auto" w:fill="B6D5E4"/>
            <w:noWrap/>
            <w:vAlign w:val="center"/>
            <w:hideMark/>
          </w:tcPr>
          <w:p w14:paraId="3880BB4E" w14:textId="77777777" w:rsidR="00FC0498" w:rsidRPr="00034E9B" w:rsidRDefault="00FC0498" w:rsidP="00FF6CBF">
            <w:pPr>
              <w:pStyle w:val="CGCTablesubhead1"/>
              <w:jc w:val="right"/>
              <w:rPr>
                <w:lang w:val="en-AU" w:eastAsia="en-AU"/>
              </w:rPr>
            </w:pPr>
            <w:r w:rsidRPr="00034E9B">
              <w:rPr>
                <w:lang w:val="en-AU" w:eastAsia="en-AU"/>
              </w:rPr>
              <w:t>$m</w:t>
            </w:r>
          </w:p>
        </w:tc>
        <w:tc>
          <w:tcPr>
            <w:tcW w:w="680" w:type="dxa"/>
            <w:shd w:val="clear" w:color="auto" w:fill="B6D5E4"/>
            <w:noWrap/>
            <w:vAlign w:val="center"/>
            <w:hideMark/>
          </w:tcPr>
          <w:p w14:paraId="3D9E6B9D" w14:textId="77777777" w:rsidR="00FC0498" w:rsidRPr="00034E9B" w:rsidRDefault="00FC0498" w:rsidP="00FF6CBF">
            <w:pPr>
              <w:pStyle w:val="CGCTablesubhead1"/>
              <w:jc w:val="right"/>
              <w:rPr>
                <w:lang w:val="en-AU" w:eastAsia="en-AU"/>
              </w:rPr>
            </w:pPr>
            <w:r w:rsidRPr="00034E9B">
              <w:rPr>
                <w:lang w:val="en-AU" w:eastAsia="en-AU"/>
              </w:rPr>
              <w:t>$m</w:t>
            </w:r>
          </w:p>
        </w:tc>
        <w:tc>
          <w:tcPr>
            <w:tcW w:w="680" w:type="dxa"/>
            <w:shd w:val="clear" w:color="auto" w:fill="B6D5E4"/>
            <w:noWrap/>
            <w:vAlign w:val="center"/>
            <w:hideMark/>
          </w:tcPr>
          <w:p w14:paraId="01933C6E" w14:textId="77777777" w:rsidR="00FC0498" w:rsidRPr="00034E9B" w:rsidRDefault="00FC0498" w:rsidP="00FF6CBF">
            <w:pPr>
              <w:pStyle w:val="CGCTablesubhead1"/>
              <w:jc w:val="right"/>
              <w:rPr>
                <w:lang w:val="en-AU" w:eastAsia="en-AU"/>
              </w:rPr>
            </w:pPr>
            <w:r w:rsidRPr="00034E9B">
              <w:rPr>
                <w:lang w:val="en-AU" w:eastAsia="en-AU"/>
              </w:rPr>
              <w:t>$m</w:t>
            </w:r>
          </w:p>
        </w:tc>
        <w:tc>
          <w:tcPr>
            <w:tcW w:w="680" w:type="dxa"/>
            <w:shd w:val="clear" w:color="auto" w:fill="B6D5E4"/>
            <w:noWrap/>
            <w:vAlign w:val="center"/>
            <w:hideMark/>
          </w:tcPr>
          <w:p w14:paraId="08820C00" w14:textId="77777777" w:rsidR="00FC0498" w:rsidRPr="00034E9B" w:rsidRDefault="00FC0498" w:rsidP="00FF6CBF">
            <w:pPr>
              <w:pStyle w:val="CGCTablesubhead1"/>
              <w:jc w:val="right"/>
              <w:rPr>
                <w:lang w:val="en-AU" w:eastAsia="en-AU"/>
              </w:rPr>
            </w:pPr>
            <w:r w:rsidRPr="00034E9B">
              <w:rPr>
                <w:lang w:val="en-AU" w:eastAsia="en-AU"/>
              </w:rPr>
              <w:t>$m</w:t>
            </w:r>
          </w:p>
        </w:tc>
        <w:tc>
          <w:tcPr>
            <w:tcW w:w="680" w:type="dxa"/>
            <w:shd w:val="clear" w:color="auto" w:fill="B6D5E4"/>
            <w:noWrap/>
            <w:vAlign w:val="center"/>
            <w:hideMark/>
          </w:tcPr>
          <w:p w14:paraId="00130CC9" w14:textId="77777777" w:rsidR="00FC0498" w:rsidRPr="00034E9B" w:rsidRDefault="00FC0498" w:rsidP="00FF6CBF">
            <w:pPr>
              <w:pStyle w:val="CGCTablesubhead1"/>
              <w:jc w:val="right"/>
              <w:rPr>
                <w:lang w:val="en-AU" w:eastAsia="en-AU"/>
              </w:rPr>
            </w:pPr>
            <w:r w:rsidRPr="00034E9B">
              <w:rPr>
                <w:lang w:val="en-AU" w:eastAsia="en-AU"/>
              </w:rPr>
              <w:t>$m</w:t>
            </w:r>
          </w:p>
        </w:tc>
        <w:tc>
          <w:tcPr>
            <w:tcW w:w="680" w:type="dxa"/>
            <w:shd w:val="clear" w:color="auto" w:fill="B6D5E4"/>
            <w:noWrap/>
            <w:vAlign w:val="center"/>
            <w:hideMark/>
          </w:tcPr>
          <w:p w14:paraId="75DE1D25" w14:textId="77777777" w:rsidR="00FC0498" w:rsidRPr="00034E9B" w:rsidRDefault="00FC0498" w:rsidP="00FF6CBF">
            <w:pPr>
              <w:pStyle w:val="CGCTablesubhead1"/>
              <w:jc w:val="right"/>
              <w:rPr>
                <w:lang w:val="en-AU" w:eastAsia="en-AU"/>
              </w:rPr>
            </w:pPr>
            <w:r w:rsidRPr="00034E9B">
              <w:rPr>
                <w:lang w:val="en-AU" w:eastAsia="en-AU"/>
              </w:rPr>
              <w:t>$m</w:t>
            </w:r>
          </w:p>
        </w:tc>
        <w:tc>
          <w:tcPr>
            <w:tcW w:w="780" w:type="dxa"/>
            <w:shd w:val="clear" w:color="auto" w:fill="B6D5E4"/>
            <w:noWrap/>
            <w:vAlign w:val="center"/>
            <w:hideMark/>
          </w:tcPr>
          <w:p w14:paraId="65111DBF" w14:textId="77777777" w:rsidR="00FC0498" w:rsidRPr="00034E9B" w:rsidRDefault="00FC0498" w:rsidP="00FF6CBF">
            <w:pPr>
              <w:pStyle w:val="CGCTablesubhead1"/>
              <w:jc w:val="right"/>
              <w:rPr>
                <w:lang w:val="en-AU" w:eastAsia="en-AU"/>
              </w:rPr>
            </w:pPr>
            <w:r w:rsidRPr="00034E9B">
              <w:rPr>
                <w:lang w:val="en-AU" w:eastAsia="en-AU"/>
              </w:rPr>
              <w:t>$m</w:t>
            </w:r>
          </w:p>
        </w:tc>
      </w:tr>
      <w:tr w:rsidR="00FC0498" w:rsidRPr="00034E9B" w14:paraId="51C8DC22" w14:textId="77777777" w:rsidTr="00FF6CBF">
        <w:trPr>
          <w:trHeight w:val="315"/>
        </w:trPr>
        <w:tc>
          <w:tcPr>
            <w:tcW w:w="2380" w:type="dxa"/>
            <w:shd w:val="clear" w:color="auto" w:fill="auto"/>
            <w:vAlign w:val="bottom"/>
            <w:hideMark/>
          </w:tcPr>
          <w:p w14:paraId="45114D69" w14:textId="77777777" w:rsidR="00FC0498" w:rsidRPr="00034E9B" w:rsidRDefault="00FC0498" w:rsidP="00FF6CBF">
            <w:pPr>
              <w:pStyle w:val="CGCTablerow"/>
              <w:rPr>
                <w:lang w:eastAsia="en-AU"/>
              </w:rPr>
            </w:pPr>
            <w:r w:rsidRPr="00034E9B">
              <w:rPr>
                <w:lang w:eastAsia="en-AU"/>
              </w:rPr>
              <w:t>New arrangements</w:t>
            </w:r>
          </w:p>
        </w:tc>
        <w:tc>
          <w:tcPr>
            <w:tcW w:w="780" w:type="dxa"/>
            <w:shd w:val="clear" w:color="auto" w:fill="auto"/>
            <w:vAlign w:val="bottom"/>
            <w:hideMark/>
          </w:tcPr>
          <w:p w14:paraId="43D38265" w14:textId="77777777" w:rsidR="00FC0498" w:rsidRPr="00034E9B" w:rsidRDefault="00FC0498" w:rsidP="00FF6CBF">
            <w:pPr>
              <w:pStyle w:val="CGCTablerow"/>
              <w:jc w:val="right"/>
              <w:rPr>
                <w:lang w:eastAsia="en-AU"/>
              </w:rPr>
            </w:pPr>
            <w:r w:rsidRPr="00034E9B">
              <w:rPr>
                <w:lang w:eastAsia="en-AU"/>
              </w:rPr>
              <w:t>20,384</w:t>
            </w:r>
          </w:p>
        </w:tc>
        <w:tc>
          <w:tcPr>
            <w:tcW w:w="780" w:type="dxa"/>
            <w:shd w:val="clear" w:color="auto" w:fill="auto"/>
            <w:vAlign w:val="bottom"/>
            <w:hideMark/>
          </w:tcPr>
          <w:p w14:paraId="243E40F3" w14:textId="77777777" w:rsidR="00FC0498" w:rsidRPr="00034E9B" w:rsidRDefault="00FC0498" w:rsidP="00FF6CBF">
            <w:pPr>
              <w:pStyle w:val="CGCTablerow"/>
              <w:jc w:val="right"/>
              <w:rPr>
                <w:lang w:eastAsia="en-AU"/>
              </w:rPr>
            </w:pPr>
            <w:r w:rsidRPr="00034E9B">
              <w:rPr>
                <w:lang w:eastAsia="en-AU"/>
              </w:rPr>
              <w:t xml:space="preserve"> 19,260</w:t>
            </w:r>
          </w:p>
        </w:tc>
        <w:tc>
          <w:tcPr>
            <w:tcW w:w="780" w:type="dxa"/>
            <w:shd w:val="clear" w:color="auto" w:fill="auto"/>
            <w:vAlign w:val="bottom"/>
            <w:hideMark/>
          </w:tcPr>
          <w:p w14:paraId="034E5F1B" w14:textId="77777777" w:rsidR="00FC0498" w:rsidRPr="00034E9B" w:rsidRDefault="00FC0498" w:rsidP="00FF6CBF">
            <w:pPr>
              <w:pStyle w:val="CGCTablerow"/>
              <w:jc w:val="right"/>
              <w:rPr>
                <w:lang w:eastAsia="en-AU"/>
              </w:rPr>
            </w:pPr>
            <w:r w:rsidRPr="00034E9B">
              <w:rPr>
                <w:lang w:eastAsia="en-AU"/>
              </w:rPr>
              <w:t xml:space="preserve"> 18,003</w:t>
            </w:r>
          </w:p>
        </w:tc>
        <w:tc>
          <w:tcPr>
            <w:tcW w:w="680" w:type="dxa"/>
            <w:shd w:val="clear" w:color="auto" w:fill="auto"/>
            <w:vAlign w:val="bottom"/>
            <w:hideMark/>
          </w:tcPr>
          <w:p w14:paraId="70A34474" w14:textId="77777777" w:rsidR="00FC0498" w:rsidRPr="00034E9B" w:rsidRDefault="00FC0498" w:rsidP="00FF6CBF">
            <w:pPr>
              <w:pStyle w:val="CGCTablerow"/>
              <w:jc w:val="right"/>
              <w:rPr>
                <w:lang w:eastAsia="en-AU"/>
              </w:rPr>
            </w:pPr>
            <w:r w:rsidRPr="00034E9B">
              <w:rPr>
                <w:lang w:eastAsia="en-AU"/>
              </w:rPr>
              <w:t xml:space="preserve"> 5,693</w:t>
            </w:r>
          </w:p>
        </w:tc>
        <w:tc>
          <w:tcPr>
            <w:tcW w:w="680" w:type="dxa"/>
            <w:shd w:val="clear" w:color="auto" w:fill="auto"/>
            <w:vAlign w:val="bottom"/>
            <w:hideMark/>
          </w:tcPr>
          <w:p w14:paraId="42861872" w14:textId="77777777" w:rsidR="00FC0498" w:rsidRPr="00034E9B" w:rsidRDefault="00FC0498" w:rsidP="00FF6CBF">
            <w:pPr>
              <w:pStyle w:val="CGCTablerow"/>
              <w:jc w:val="right"/>
              <w:rPr>
                <w:lang w:eastAsia="en-AU"/>
              </w:rPr>
            </w:pPr>
            <w:r w:rsidRPr="00034E9B">
              <w:rPr>
                <w:lang w:eastAsia="en-AU"/>
              </w:rPr>
              <w:t xml:space="preserve"> 7,418</w:t>
            </w:r>
          </w:p>
        </w:tc>
        <w:tc>
          <w:tcPr>
            <w:tcW w:w="680" w:type="dxa"/>
            <w:shd w:val="clear" w:color="auto" w:fill="auto"/>
            <w:vAlign w:val="bottom"/>
            <w:hideMark/>
          </w:tcPr>
          <w:p w14:paraId="2D649306" w14:textId="77777777" w:rsidR="00FC0498" w:rsidRPr="00034E9B" w:rsidRDefault="00FC0498" w:rsidP="00FF6CBF">
            <w:pPr>
              <w:pStyle w:val="CGCTablerow"/>
              <w:jc w:val="right"/>
              <w:rPr>
                <w:lang w:eastAsia="en-AU"/>
              </w:rPr>
            </w:pPr>
            <w:r w:rsidRPr="00034E9B">
              <w:rPr>
                <w:lang w:eastAsia="en-AU"/>
              </w:rPr>
              <w:t xml:space="preserve"> 2,790</w:t>
            </w:r>
          </w:p>
        </w:tc>
        <w:tc>
          <w:tcPr>
            <w:tcW w:w="680" w:type="dxa"/>
            <w:shd w:val="clear" w:color="auto" w:fill="auto"/>
            <w:vAlign w:val="bottom"/>
            <w:hideMark/>
          </w:tcPr>
          <w:p w14:paraId="06691D35" w14:textId="77777777" w:rsidR="00FC0498" w:rsidRPr="00034E9B" w:rsidRDefault="00FC0498" w:rsidP="00FF6CBF">
            <w:pPr>
              <w:pStyle w:val="CGCTablerow"/>
              <w:jc w:val="right"/>
              <w:rPr>
                <w:lang w:eastAsia="en-AU"/>
              </w:rPr>
            </w:pPr>
            <w:r w:rsidRPr="00034E9B">
              <w:rPr>
                <w:lang w:eastAsia="en-AU"/>
              </w:rPr>
              <w:t xml:space="preserve"> 1,514</w:t>
            </w:r>
          </w:p>
        </w:tc>
        <w:tc>
          <w:tcPr>
            <w:tcW w:w="680" w:type="dxa"/>
            <w:shd w:val="clear" w:color="auto" w:fill="auto"/>
            <w:vAlign w:val="bottom"/>
            <w:hideMark/>
          </w:tcPr>
          <w:p w14:paraId="09922D6F" w14:textId="77777777" w:rsidR="00FC0498" w:rsidRPr="00034E9B" w:rsidRDefault="00FC0498" w:rsidP="00FF6CBF">
            <w:pPr>
              <w:pStyle w:val="CGCTablerow"/>
              <w:jc w:val="right"/>
              <w:rPr>
                <w:lang w:eastAsia="en-AU"/>
              </w:rPr>
            </w:pPr>
            <w:r w:rsidRPr="00034E9B">
              <w:rPr>
                <w:lang w:eastAsia="en-AU"/>
              </w:rPr>
              <w:t xml:space="preserve"> 3,592</w:t>
            </w:r>
          </w:p>
        </w:tc>
        <w:tc>
          <w:tcPr>
            <w:tcW w:w="780" w:type="dxa"/>
            <w:shd w:val="clear" w:color="auto" w:fill="auto"/>
            <w:vAlign w:val="bottom"/>
            <w:hideMark/>
          </w:tcPr>
          <w:p w14:paraId="47E5B11F" w14:textId="77777777" w:rsidR="00FC0498" w:rsidRPr="00034E9B" w:rsidRDefault="00FC0498" w:rsidP="00FF6CBF">
            <w:pPr>
              <w:pStyle w:val="CGCTablerow"/>
              <w:jc w:val="right"/>
              <w:rPr>
                <w:lang w:eastAsia="en-AU"/>
              </w:rPr>
            </w:pPr>
            <w:r w:rsidRPr="00034E9B">
              <w:rPr>
                <w:lang w:eastAsia="en-AU"/>
              </w:rPr>
              <w:t xml:space="preserve"> 78,652</w:t>
            </w:r>
          </w:p>
        </w:tc>
      </w:tr>
      <w:tr w:rsidR="00FC0498" w:rsidRPr="00034E9B" w14:paraId="57651CD6" w14:textId="77777777" w:rsidTr="00FF6CBF">
        <w:trPr>
          <w:trHeight w:val="315"/>
        </w:trPr>
        <w:tc>
          <w:tcPr>
            <w:tcW w:w="2380" w:type="dxa"/>
            <w:shd w:val="clear" w:color="auto" w:fill="auto"/>
            <w:vAlign w:val="bottom"/>
            <w:hideMark/>
          </w:tcPr>
          <w:p w14:paraId="21B1F772" w14:textId="77777777" w:rsidR="00FC0498" w:rsidRPr="00034E9B" w:rsidRDefault="00FC0498" w:rsidP="00FF6CBF">
            <w:pPr>
              <w:pStyle w:val="CGCTablerow"/>
              <w:rPr>
                <w:lang w:eastAsia="en-AU"/>
              </w:rPr>
            </w:pPr>
            <w:r w:rsidRPr="00034E9B">
              <w:rPr>
                <w:lang w:eastAsia="en-AU"/>
              </w:rPr>
              <w:t>Previous arrangements (a)</w:t>
            </w:r>
          </w:p>
        </w:tc>
        <w:tc>
          <w:tcPr>
            <w:tcW w:w="780" w:type="dxa"/>
            <w:shd w:val="clear" w:color="auto" w:fill="auto"/>
            <w:vAlign w:val="bottom"/>
            <w:hideMark/>
          </w:tcPr>
          <w:p w14:paraId="436E83E4" w14:textId="77777777" w:rsidR="00FC0498" w:rsidRPr="00034E9B" w:rsidRDefault="00FC0498" w:rsidP="00FF6CBF">
            <w:pPr>
              <w:pStyle w:val="CGCTablerow"/>
              <w:jc w:val="right"/>
              <w:rPr>
                <w:lang w:eastAsia="en-AU"/>
              </w:rPr>
            </w:pPr>
            <w:r w:rsidRPr="00034E9B">
              <w:rPr>
                <w:lang w:eastAsia="en-AU"/>
              </w:rPr>
              <w:t>20,324</w:t>
            </w:r>
          </w:p>
        </w:tc>
        <w:tc>
          <w:tcPr>
            <w:tcW w:w="780" w:type="dxa"/>
            <w:shd w:val="clear" w:color="auto" w:fill="auto"/>
            <w:vAlign w:val="bottom"/>
            <w:hideMark/>
          </w:tcPr>
          <w:p w14:paraId="01C69381" w14:textId="77777777" w:rsidR="00FC0498" w:rsidRPr="00034E9B" w:rsidRDefault="00FC0498" w:rsidP="00FF6CBF">
            <w:pPr>
              <w:pStyle w:val="CGCTablerow"/>
              <w:jc w:val="right"/>
              <w:rPr>
                <w:lang w:eastAsia="en-AU"/>
              </w:rPr>
            </w:pPr>
            <w:r w:rsidRPr="00034E9B">
              <w:rPr>
                <w:lang w:eastAsia="en-AU"/>
              </w:rPr>
              <w:t xml:space="preserve"> 19,203</w:t>
            </w:r>
          </w:p>
        </w:tc>
        <w:tc>
          <w:tcPr>
            <w:tcW w:w="780" w:type="dxa"/>
            <w:shd w:val="clear" w:color="auto" w:fill="auto"/>
            <w:vAlign w:val="bottom"/>
            <w:hideMark/>
          </w:tcPr>
          <w:p w14:paraId="3A156EE4" w14:textId="77777777" w:rsidR="00FC0498" w:rsidRPr="00034E9B" w:rsidRDefault="00FC0498" w:rsidP="00FF6CBF">
            <w:pPr>
              <w:pStyle w:val="CGCTablerow"/>
              <w:jc w:val="right"/>
              <w:rPr>
                <w:lang w:eastAsia="en-AU"/>
              </w:rPr>
            </w:pPr>
            <w:r w:rsidRPr="00034E9B">
              <w:rPr>
                <w:lang w:eastAsia="en-AU"/>
              </w:rPr>
              <w:t xml:space="preserve"> 17,950</w:t>
            </w:r>
          </w:p>
        </w:tc>
        <w:tc>
          <w:tcPr>
            <w:tcW w:w="680" w:type="dxa"/>
            <w:shd w:val="clear" w:color="auto" w:fill="auto"/>
            <w:vAlign w:val="bottom"/>
            <w:hideMark/>
          </w:tcPr>
          <w:p w14:paraId="634BEF0E" w14:textId="77777777" w:rsidR="00FC0498" w:rsidRPr="00034E9B" w:rsidRDefault="00FC0498" w:rsidP="00FF6CBF">
            <w:pPr>
              <w:pStyle w:val="CGCTablerow"/>
              <w:jc w:val="right"/>
              <w:rPr>
                <w:lang w:eastAsia="en-AU"/>
              </w:rPr>
            </w:pPr>
            <w:r w:rsidRPr="00034E9B">
              <w:rPr>
                <w:lang w:eastAsia="en-AU"/>
              </w:rPr>
              <w:t xml:space="preserve"> 5,276</w:t>
            </w:r>
          </w:p>
        </w:tc>
        <w:tc>
          <w:tcPr>
            <w:tcW w:w="680" w:type="dxa"/>
            <w:shd w:val="clear" w:color="auto" w:fill="auto"/>
            <w:vAlign w:val="bottom"/>
            <w:hideMark/>
          </w:tcPr>
          <w:p w14:paraId="731ECED7" w14:textId="77777777" w:rsidR="00FC0498" w:rsidRPr="00034E9B" w:rsidRDefault="00FC0498" w:rsidP="00FF6CBF">
            <w:pPr>
              <w:pStyle w:val="CGCTablerow"/>
              <w:jc w:val="right"/>
              <w:rPr>
                <w:lang w:eastAsia="en-AU"/>
              </w:rPr>
            </w:pPr>
            <w:r w:rsidRPr="00034E9B">
              <w:rPr>
                <w:lang w:eastAsia="en-AU"/>
              </w:rPr>
              <w:t xml:space="preserve"> 7,396</w:t>
            </w:r>
          </w:p>
        </w:tc>
        <w:tc>
          <w:tcPr>
            <w:tcW w:w="680" w:type="dxa"/>
            <w:shd w:val="clear" w:color="auto" w:fill="auto"/>
            <w:vAlign w:val="bottom"/>
            <w:hideMark/>
          </w:tcPr>
          <w:p w14:paraId="7FF1F760" w14:textId="77777777" w:rsidR="00FC0498" w:rsidRPr="00034E9B" w:rsidRDefault="00FC0498" w:rsidP="00FF6CBF">
            <w:pPr>
              <w:pStyle w:val="CGCTablerow"/>
              <w:jc w:val="right"/>
              <w:rPr>
                <w:lang w:eastAsia="en-AU"/>
              </w:rPr>
            </w:pPr>
            <w:r w:rsidRPr="00034E9B">
              <w:rPr>
                <w:lang w:eastAsia="en-AU"/>
              </w:rPr>
              <w:t xml:space="preserve"> 2,782</w:t>
            </w:r>
          </w:p>
        </w:tc>
        <w:tc>
          <w:tcPr>
            <w:tcW w:w="680" w:type="dxa"/>
            <w:shd w:val="clear" w:color="auto" w:fill="auto"/>
            <w:vAlign w:val="bottom"/>
            <w:hideMark/>
          </w:tcPr>
          <w:p w14:paraId="00AC2606" w14:textId="77777777" w:rsidR="00FC0498" w:rsidRPr="00034E9B" w:rsidRDefault="00FC0498" w:rsidP="00FF6CBF">
            <w:pPr>
              <w:pStyle w:val="CGCTablerow"/>
              <w:jc w:val="right"/>
              <w:rPr>
                <w:lang w:eastAsia="en-AU"/>
              </w:rPr>
            </w:pPr>
            <w:r w:rsidRPr="00034E9B">
              <w:rPr>
                <w:lang w:eastAsia="en-AU"/>
              </w:rPr>
              <w:t xml:space="preserve"> 1,509</w:t>
            </w:r>
          </w:p>
        </w:tc>
        <w:tc>
          <w:tcPr>
            <w:tcW w:w="680" w:type="dxa"/>
            <w:shd w:val="clear" w:color="auto" w:fill="auto"/>
            <w:vAlign w:val="bottom"/>
            <w:hideMark/>
          </w:tcPr>
          <w:p w14:paraId="673B694D" w14:textId="77777777" w:rsidR="00FC0498" w:rsidRPr="00034E9B" w:rsidRDefault="00FC0498" w:rsidP="00FF6CBF">
            <w:pPr>
              <w:pStyle w:val="CGCTablerow"/>
              <w:jc w:val="right"/>
              <w:rPr>
                <w:lang w:eastAsia="en-AU"/>
              </w:rPr>
            </w:pPr>
            <w:r w:rsidRPr="00034E9B">
              <w:rPr>
                <w:lang w:eastAsia="en-AU"/>
              </w:rPr>
              <w:t xml:space="preserve"> 3,582</w:t>
            </w:r>
          </w:p>
        </w:tc>
        <w:tc>
          <w:tcPr>
            <w:tcW w:w="780" w:type="dxa"/>
            <w:shd w:val="clear" w:color="auto" w:fill="auto"/>
            <w:vAlign w:val="bottom"/>
            <w:hideMark/>
          </w:tcPr>
          <w:p w14:paraId="6D43A6DB" w14:textId="77777777" w:rsidR="00FC0498" w:rsidRPr="00034E9B" w:rsidRDefault="00FC0498" w:rsidP="00FF6CBF">
            <w:pPr>
              <w:pStyle w:val="CGCTablerow"/>
              <w:jc w:val="right"/>
              <w:rPr>
                <w:lang w:eastAsia="en-AU"/>
              </w:rPr>
            </w:pPr>
            <w:r w:rsidRPr="00034E9B">
              <w:rPr>
                <w:lang w:eastAsia="en-AU"/>
              </w:rPr>
              <w:t xml:space="preserve"> 78,021</w:t>
            </w:r>
          </w:p>
        </w:tc>
      </w:tr>
      <w:tr w:rsidR="00FC0498" w:rsidRPr="00034E9B" w14:paraId="30BD8C98" w14:textId="77777777" w:rsidTr="00FF6CBF">
        <w:trPr>
          <w:trHeight w:val="315"/>
        </w:trPr>
        <w:tc>
          <w:tcPr>
            <w:tcW w:w="2380" w:type="dxa"/>
            <w:shd w:val="clear" w:color="auto" w:fill="auto"/>
            <w:noWrap/>
            <w:vAlign w:val="bottom"/>
            <w:hideMark/>
          </w:tcPr>
          <w:p w14:paraId="5D10328E" w14:textId="77777777" w:rsidR="00FC0498" w:rsidRPr="00034E9B" w:rsidRDefault="00FC0498" w:rsidP="00FF6CBF">
            <w:pPr>
              <w:pStyle w:val="CGCTablerow"/>
              <w:rPr>
                <w:lang w:eastAsia="en-AU"/>
              </w:rPr>
            </w:pPr>
            <w:r w:rsidRPr="00034E9B">
              <w:rPr>
                <w:lang w:eastAsia="en-AU"/>
              </w:rPr>
              <w:t>Difference</w:t>
            </w:r>
          </w:p>
        </w:tc>
        <w:tc>
          <w:tcPr>
            <w:tcW w:w="780" w:type="dxa"/>
            <w:shd w:val="clear" w:color="auto" w:fill="auto"/>
            <w:noWrap/>
            <w:vAlign w:val="bottom"/>
            <w:hideMark/>
          </w:tcPr>
          <w:p w14:paraId="5170523E" w14:textId="77777777" w:rsidR="00FC0498" w:rsidRPr="00034E9B" w:rsidRDefault="00FC0498" w:rsidP="00FF6CBF">
            <w:pPr>
              <w:pStyle w:val="CGCTablerow"/>
              <w:jc w:val="right"/>
              <w:rPr>
                <w:lang w:eastAsia="en-AU"/>
              </w:rPr>
            </w:pPr>
            <w:r w:rsidRPr="00034E9B">
              <w:rPr>
                <w:lang w:eastAsia="en-AU"/>
              </w:rPr>
              <w:t xml:space="preserve">  60</w:t>
            </w:r>
          </w:p>
        </w:tc>
        <w:tc>
          <w:tcPr>
            <w:tcW w:w="780" w:type="dxa"/>
            <w:shd w:val="clear" w:color="auto" w:fill="auto"/>
            <w:noWrap/>
            <w:vAlign w:val="bottom"/>
            <w:hideMark/>
          </w:tcPr>
          <w:p w14:paraId="5D0FFA80" w14:textId="77777777" w:rsidR="00FC0498" w:rsidRPr="00034E9B" w:rsidRDefault="00FC0498" w:rsidP="00FF6CBF">
            <w:pPr>
              <w:pStyle w:val="CGCTablerow"/>
              <w:jc w:val="right"/>
              <w:rPr>
                <w:lang w:eastAsia="en-AU"/>
              </w:rPr>
            </w:pPr>
            <w:r w:rsidRPr="00034E9B">
              <w:rPr>
                <w:lang w:eastAsia="en-AU"/>
              </w:rPr>
              <w:t xml:space="preserve">  57</w:t>
            </w:r>
          </w:p>
        </w:tc>
        <w:tc>
          <w:tcPr>
            <w:tcW w:w="780" w:type="dxa"/>
            <w:shd w:val="clear" w:color="auto" w:fill="auto"/>
            <w:noWrap/>
            <w:vAlign w:val="bottom"/>
            <w:hideMark/>
          </w:tcPr>
          <w:p w14:paraId="4909E282" w14:textId="77777777" w:rsidR="00FC0498" w:rsidRPr="00034E9B" w:rsidRDefault="00FC0498" w:rsidP="00FF6CBF">
            <w:pPr>
              <w:pStyle w:val="CGCTablerow"/>
              <w:jc w:val="right"/>
              <w:rPr>
                <w:lang w:eastAsia="en-AU"/>
              </w:rPr>
            </w:pPr>
            <w:r w:rsidRPr="00034E9B">
              <w:rPr>
                <w:lang w:eastAsia="en-AU"/>
              </w:rPr>
              <w:t xml:space="preserve">  53</w:t>
            </w:r>
          </w:p>
        </w:tc>
        <w:tc>
          <w:tcPr>
            <w:tcW w:w="680" w:type="dxa"/>
            <w:shd w:val="clear" w:color="auto" w:fill="auto"/>
            <w:noWrap/>
            <w:vAlign w:val="bottom"/>
            <w:hideMark/>
          </w:tcPr>
          <w:p w14:paraId="1B435F2F" w14:textId="77777777" w:rsidR="00FC0498" w:rsidRPr="00034E9B" w:rsidRDefault="00FC0498" w:rsidP="00FF6CBF">
            <w:pPr>
              <w:pStyle w:val="CGCTablerow"/>
              <w:jc w:val="right"/>
              <w:rPr>
                <w:lang w:eastAsia="en-AU"/>
              </w:rPr>
            </w:pPr>
            <w:r w:rsidRPr="00034E9B">
              <w:rPr>
                <w:lang w:eastAsia="en-AU"/>
              </w:rPr>
              <w:t xml:space="preserve">  416</w:t>
            </w:r>
          </w:p>
        </w:tc>
        <w:tc>
          <w:tcPr>
            <w:tcW w:w="680" w:type="dxa"/>
            <w:shd w:val="clear" w:color="auto" w:fill="auto"/>
            <w:noWrap/>
            <w:vAlign w:val="bottom"/>
            <w:hideMark/>
          </w:tcPr>
          <w:p w14:paraId="02A74C45" w14:textId="77777777" w:rsidR="00FC0498" w:rsidRPr="00034E9B" w:rsidRDefault="00FC0498" w:rsidP="00FF6CBF">
            <w:pPr>
              <w:pStyle w:val="CGCTablerow"/>
              <w:jc w:val="right"/>
              <w:rPr>
                <w:lang w:eastAsia="en-AU"/>
              </w:rPr>
            </w:pPr>
            <w:r w:rsidRPr="00034E9B">
              <w:rPr>
                <w:lang w:eastAsia="en-AU"/>
              </w:rPr>
              <w:t xml:space="preserve">  22</w:t>
            </w:r>
          </w:p>
        </w:tc>
        <w:tc>
          <w:tcPr>
            <w:tcW w:w="680" w:type="dxa"/>
            <w:shd w:val="clear" w:color="auto" w:fill="auto"/>
            <w:noWrap/>
            <w:vAlign w:val="bottom"/>
            <w:hideMark/>
          </w:tcPr>
          <w:p w14:paraId="67259D66" w14:textId="77777777" w:rsidR="00FC0498" w:rsidRPr="00034E9B" w:rsidRDefault="00FC0498" w:rsidP="00FF6CBF">
            <w:pPr>
              <w:pStyle w:val="CGCTablerow"/>
              <w:jc w:val="right"/>
              <w:rPr>
                <w:lang w:eastAsia="en-AU"/>
              </w:rPr>
            </w:pPr>
            <w:r w:rsidRPr="00034E9B">
              <w:rPr>
                <w:lang w:eastAsia="en-AU"/>
              </w:rPr>
              <w:t xml:space="preserve">  8</w:t>
            </w:r>
          </w:p>
        </w:tc>
        <w:tc>
          <w:tcPr>
            <w:tcW w:w="680" w:type="dxa"/>
            <w:shd w:val="clear" w:color="auto" w:fill="auto"/>
            <w:noWrap/>
            <w:vAlign w:val="bottom"/>
            <w:hideMark/>
          </w:tcPr>
          <w:p w14:paraId="291443F3" w14:textId="77777777" w:rsidR="00FC0498" w:rsidRPr="00034E9B" w:rsidRDefault="00FC0498" w:rsidP="00FF6CBF">
            <w:pPr>
              <w:pStyle w:val="CGCTablerow"/>
              <w:jc w:val="right"/>
              <w:rPr>
                <w:lang w:eastAsia="en-AU"/>
              </w:rPr>
            </w:pPr>
            <w:r w:rsidRPr="00034E9B">
              <w:rPr>
                <w:lang w:eastAsia="en-AU"/>
              </w:rPr>
              <w:t xml:space="preserve">  4</w:t>
            </w:r>
          </w:p>
        </w:tc>
        <w:tc>
          <w:tcPr>
            <w:tcW w:w="680" w:type="dxa"/>
            <w:shd w:val="clear" w:color="auto" w:fill="auto"/>
            <w:noWrap/>
            <w:vAlign w:val="bottom"/>
            <w:hideMark/>
          </w:tcPr>
          <w:p w14:paraId="097F8F5B" w14:textId="77777777" w:rsidR="00FC0498" w:rsidRPr="00034E9B" w:rsidRDefault="00FC0498" w:rsidP="00FF6CBF">
            <w:pPr>
              <w:pStyle w:val="CGCTablerow"/>
              <w:jc w:val="right"/>
              <w:rPr>
                <w:lang w:eastAsia="en-AU"/>
              </w:rPr>
            </w:pPr>
            <w:r w:rsidRPr="00034E9B">
              <w:rPr>
                <w:lang w:eastAsia="en-AU"/>
              </w:rPr>
              <w:t xml:space="preserve">  11</w:t>
            </w:r>
          </w:p>
        </w:tc>
        <w:tc>
          <w:tcPr>
            <w:tcW w:w="780" w:type="dxa"/>
            <w:shd w:val="clear" w:color="auto" w:fill="auto"/>
            <w:noWrap/>
            <w:vAlign w:val="bottom"/>
            <w:hideMark/>
          </w:tcPr>
          <w:p w14:paraId="7DAB53DF" w14:textId="77777777" w:rsidR="00FC0498" w:rsidRPr="00034E9B" w:rsidRDefault="00FC0498" w:rsidP="00FF6CBF">
            <w:pPr>
              <w:pStyle w:val="CGCTablerow"/>
              <w:jc w:val="right"/>
              <w:rPr>
                <w:lang w:eastAsia="en-AU"/>
              </w:rPr>
            </w:pPr>
            <w:r w:rsidRPr="00034E9B">
              <w:rPr>
                <w:lang w:eastAsia="en-AU"/>
              </w:rPr>
              <w:t xml:space="preserve">  631</w:t>
            </w:r>
          </w:p>
        </w:tc>
      </w:tr>
    </w:tbl>
    <w:p w14:paraId="72C78359" w14:textId="77777777" w:rsidR="00FC0498" w:rsidRPr="00034E9B" w:rsidRDefault="00FC0498" w:rsidP="00FC0498">
      <w:pPr>
        <w:pStyle w:val="CGCTablenote"/>
      </w:pPr>
      <w:r w:rsidRPr="00034E9B">
        <w:t xml:space="preserve">(a) </w:t>
      </w:r>
      <w:r w:rsidRPr="00034E9B">
        <w:tab/>
        <w:t xml:space="preserve">Relativities calculated as if the new legislation had not been enacted, and applied to GST revenue only. </w:t>
      </w:r>
    </w:p>
    <w:p w14:paraId="6B06EF41" w14:textId="77777777" w:rsidR="00FC0498" w:rsidRPr="00034E9B" w:rsidRDefault="00FC0498" w:rsidP="00FC0498">
      <w:pPr>
        <w:pStyle w:val="CGCParaNumber"/>
        <w:numPr>
          <w:ilvl w:val="0"/>
          <w:numId w:val="26"/>
        </w:numPr>
        <w:ind w:left="567" w:hanging="567"/>
        <w:rPr>
          <w:lang w:val="en-AU"/>
        </w:rPr>
      </w:pPr>
      <w:r w:rsidRPr="00034E9B">
        <w:rPr>
          <w:lang w:val="en-AU"/>
        </w:rPr>
        <w:t xml:space="preserve">The legislation specifies that the no worse off test be calculated annually during the transition period, on a cumulative basis. That is, gains in earlier years may offset losses in later years. As an aside, the legislation appears to allow for compensated losses in earlier years not to be recouped where there are gains in later years.  </w:t>
      </w:r>
    </w:p>
    <w:p w14:paraId="04158F9F" w14:textId="77777777" w:rsidR="00FC0498" w:rsidRPr="00034E9B" w:rsidRDefault="00FC0498" w:rsidP="00FC0498">
      <w:pPr>
        <w:pStyle w:val="CGCParaNumber"/>
        <w:numPr>
          <w:ilvl w:val="0"/>
          <w:numId w:val="26"/>
        </w:numPr>
        <w:ind w:left="567" w:hanging="567"/>
        <w:rPr>
          <w:lang w:val="en-AU"/>
        </w:rPr>
      </w:pPr>
      <w:r w:rsidRPr="00034E9B">
        <w:rPr>
          <w:lang w:val="en-AU"/>
        </w:rPr>
        <w:t>In the absence of the final population and pool numbers for a given year, the Commission cannot provide a final value for the top-up required at the time of its report. Commonwealth Treasury could produce the final ‘no worse off’ outcomes at a later time as data are finalised.</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4A3375BE" w14:textId="77777777" w:rsidR="00FC0498" w:rsidRPr="00034E9B" w:rsidRDefault="00FC0498" w:rsidP="00FC0498"/>
    <w:p w14:paraId="49D03DF9" w14:textId="77777777" w:rsidR="003623A9" w:rsidRDefault="003623A9" w:rsidP="00161EFB">
      <w:pPr>
        <w:sectPr w:rsidR="003623A9" w:rsidSect="00AD001C">
          <w:footerReference w:type="default" r:id="rId38"/>
          <w:footerReference w:type="first" r:id="rId39"/>
          <w:footnotePr>
            <w:numRestart w:val="eachSect"/>
          </w:footnotePr>
          <w:pgSz w:w="11899" w:h="16838" w:code="9"/>
          <w:pgMar w:top="1418" w:right="1474" w:bottom="1418" w:left="1474" w:header="709" w:footer="567" w:gutter="0"/>
          <w:cols w:space="708"/>
          <w:titlePg/>
          <w:docGrid w:linePitch="299"/>
        </w:sectPr>
      </w:pPr>
    </w:p>
    <w:p w14:paraId="3294495C" w14:textId="77777777" w:rsidR="00FE29B9" w:rsidRPr="006B447F" w:rsidRDefault="00FE29B9" w:rsidP="00FE29B9">
      <w:pPr>
        <w:rPr>
          <w:rStyle w:val="normaltextrun"/>
          <w:rFonts w:cs="Open Sans Light"/>
          <w:szCs w:val="20"/>
        </w:rPr>
      </w:pPr>
      <w:r w:rsidRPr="006B447F">
        <w:rPr>
          <w:noProof/>
        </w:rPr>
        <w:lastRenderedPageBreak/>
        <w:drawing>
          <wp:anchor distT="0" distB="0" distL="114300" distR="114300" simplePos="0" relativeHeight="251658242" behindDoc="1" locked="0" layoutInCell="1" allowOverlap="1" wp14:anchorId="2327930E" wp14:editId="1B421A5B">
            <wp:simplePos x="0" y="0"/>
            <wp:positionH relativeFrom="page">
              <wp:posOffset>-117043</wp:posOffset>
            </wp:positionH>
            <wp:positionV relativeFrom="page">
              <wp:posOffset>-1141171</wp:posOffset>
            </wp:positionV>
            <wp:extent cx="8545830" cy="11814048"/>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550028" cy="11819851"/>
                    </a:xfrm>
                    <a:prstGeom prst="rect">
                      <a:avLst/>
                    </a:prstGeom>
                    <a:noFill/>
                  </pic:spPr>
                </pic:pic>
              </a:graphicData>
            </a:graphic>
            <wp14:sizeRelH relativeFrom="margin">
              <wp14:pctWidth>0</wp14:pctWidth>
            </wp14:sizeRelH>
            <wp14:sizeRelV relativeFrom="margin">
              <wp14:pctHeight>0</wp14:pctHeight>
            </wp14:sizeRelV>
          </wp:anchor>
        </w:drawing>
      </w:r>
    </w:p>
    <w:p w14:paraId="7DCF1347" w14:textId="2205AB99" w:rsidR="00FE29B9" w:rsidRDefault="00FE29B9" w:rsidP="00FE29B9">
      <w:pPr>
        <w:rPr>
          <w:rStyle w:val="normaltextrun"/>
          <w:rFonts w:cs="Open Sans Light"/>
          <w:szCs w:val="20"/>
        </w:rPr>
      </w:pPr>
    </w:p>
    <w:p w14:paraId="4E94CB72" w14:textId="3D4DBD77" w:rsidR="003069D0" w:rsidRDefault="003069D0" w:rsidP="00FE29B9">
      <w:pPr>
        <w:rPr>
          <w:rStyle w:val="normaltextrun"/>
          <w:rFonts w:cs="Open Sans Light"/>
          <w:szCs w:val="20"/>
        </w:rPr>
      </w:pPr>
    </w:p>
    <w:p w14:paraId="6A6A4B08" w14:textId="77777777" w:rsidR="003069D0" w:rsidRPr="006B447F" w:rsidRDefault="003069D0" w:rsidP="00FE29B9">
      <w:pPr>
        <w:rPr>
          <w:rStyle w:val="normaltextrun"/>
          <w:rFonts w:cs="Open Sans Light"/>
          <w:szCs w:val="20"/>
        </w:rPr>
      </w:pPr>
    </w:p>
    <w:p w14:paraId="0C23883A" w14:textId="77777777" w:rsidR="00FE29B9" w:rsidRPr="006B447F" w:rsidRDefault="00FE29B9" w:rsidP="00FE29B9">
      <w:pPr>
        <w:rPr>
          <w:rStyle w:val="normaltextrun"/>
          <w:rFonts w:cs="Open Sans Light"/>
          <w:szCs w:val="20"/>
        </w:rPr>
      </w:pPr>
    </w:p>
    <w:p w14:paraId="4A2DCF3E" w14:textId="77777777" w:rsidR="00FE29B9" w:rsidRDefault="00FE29B9" w:rsidP="00FE29B9">
      <w:pPr>
        <w:rPr>
          <w:rStyle w:val="normaltextrun"/>
          <w:rFonts w:cs="Open Sans Light"/>
          <w:szCs w:val="20"/>
        </w:rPr>
      </w:pPr>
    </w:p>
    <w:p w14:paraId="5A7463E0" w14:textId="77777777" w:rsidR="00FE29B9" w:rsidRDefault="00FE29B9" w:rsidP="00FE29B9">
      <w:pPr>
        <w:rPr>
          <w:rStyle w:val="normaltextrun"/>
          <w:rFonts w:cs="Open Sans Light"/>
          <w:szCs w:val="20"/>
        </w:rPr>
      </w:pPr>
    </w:p>
    <w:p w14:paraId="3E2866DC" w14:textId="77777777" w:rsidR="00FE29B9" w:rsidRDefault="00FE29B9" w:rsidP="00FE29B9">
      <w:pPr>
        <w:rPr>
          <w:rStyle w:val="normaltextrun"/>
          <w:rFonts w:cs="Open Sans Light"/>
          <w:szCs w:val="20"/>
        </w:rPr>
      </w:pPr>
    </w:p>
    <w:p w14:paraId="2EFEE1A3" w14:textId="77777777" w:rsidR="00FE29B9" w:rsidRDefault="00FE29B9" w:rsidP="00FE29B9">
      <w:pPr>
        <w:rPr>
          <w:rStyle w:val="normaltextrun"/>
          <w:rFonts w:cs="Open Sans Light"/>
          <w:szCs w:val="20"/>
        </w:rPr>
      </w:pPr>
    </w:p>
    <w:p w14:paraId="0322EA48" w14:textId="77777777" w:rsidR="00FE29B9" w:rsidRDefault="00FE29B9" w:rsidP="00FE29B9">
      <w:pPr>
        <w:rPr>
          <w:rStyle w:val="normaltextrun"/>
          <w:rFonts w:cs="Open Sans Light"/>
          <w:szCs w:val="20"/>
        </w:rPr>
      </w:pPr>
    </w:p>
    <w:p w14:paraId="3A9D517E" w14:textId="77777777" w:rsidR="00FE29B9" w:rsidRDefault="00FE29B9" w:rsidP="00FE29B9">
      <w:pPr>
        <w:rPr>
          <w:rStyle w:val="normaltextrun"/>
          <w:rFonts w:cs="Open Sans Light"/>
          <w:szCs w:val="20"/>
        </w:rPr>
      </w:pPr>
    </w:p>
    <w:p w14:paraId="404C1295" w14:textId="23F603DC" w:rsidR="00FE29B9" w:rsidRDefault="00FE29B9" w:rsidP="00FE29B9">
      <w:pPr>
        <w:rPr>
          <w:rStyle w:val="normaltextrun"/>
          <w:rFonts w:cs="Open Sans Light"/>
          <w:szCs w:val="20"/>
        </w:rPr>
      </w:pPr>
    </w:p>
    <w:p w14:paraId="4719DE9A" w14:textId="77777777" w:rsidR="00FE29B9" w:rsidRPr="006B447F" w:rsidRDefault="00FE29B9" w:rsidP="00FE29B9">
      <w:pPr>
        <w:rPr>
          <w:rStyle w:val="normaltextrun"/>
          <w:rFonts w:cs="Open Sans Light"/>
          <w:szCs w:val="20"/>
        </w:rPr>
      </w:pPr>
    </w:p>
    <w:p w14:paraId="4171C6BB" w14:textId="77777777" w:rsidR="00FE29B9" w:rsidRDefault="00FE29B9" w:rsidP="00FE29B9">
      <w:pPr>
        <w:pStyle w:val="paragraph"/>
        <w:spacing w:before="0" w:beforeAutospacing="0" w:after="0" w:afterAutospacing="0"/>
        <w:ind w:left="-454" w:right="-397"/>
        <w:jc w:val="center"/>
        <w:textAlignment w:val="baseline"/>
        <w:rPr>
          <w:rFonts w:ascii="&amp;quot" w:hAnsi="&amp;quot"/>
          <w:sz w:val="18"/>
          <w:szCs w:val="18"/>
        </w:rPr>
      </w:pPr>
      <w:r>
        <w:rPr>
          <w:rStyle w:val="normaltextrun"/>
          <w:rFonts w:ascii="Montserrat Ultra Light" w:hAnsi="Montserrat Ultra Light"/>
          <w:color w:val="FFFFFF"/>
          <w:sz w:val="52"/>
          <w:szCs w:val="52"/>
        </w:rPr>
        <w:t>cgc.gov.au</w:t>
      </w:r>
    </w:p>
    <w:p w14:paraId="44E1BD4A" w14:textId="77777777" w:rsidR="00FE29B9" w:rsidRPr="00F3399C" w:rsidRDefault="00FE29B9" w:rsidP="00FE29B9"/>
    <w:p w14:paraId="757B1FC2" w14:textId="3DD259EA" w:rsidR="00AD5584" w:rsidRPr="00034E9B" w:rsidRDefault="00AD5584" w:rsidP="00161EFB"/>
    <w:p w14:paraId="42DC8589" w14:textId="77777777" w:rsidR="00AD5584" w:rsidRPr="00034E9B" w:rsidRDefault="00AD5584" w:rsidP="00161EFB"/>
    <w:sectPr w:rsidR="00AD5584" w:rsidRPr="00034E9B" w:rsidSect="00AD001C">
      <w:footerReference w:type="first" r:id="rId41"/>
      <w:footnotePr>
        <w:numRestart w:val="eachSect"/>
      </w:footnotePr>
      <w:pgSz w:w="11899" w:h="16838" w:code="9"/>
      <w:pgMar w:top="1418" w:right="1474" w:bottom="1418" w:left="1474" w:header="709"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DCFDB" w14:textId="77777777" w:rsidR="009063F1" w:rsidRDefault="009063F1">
      <w:r>
        <w:separator/>
      </w:r>
    </w:p>
  </w:endnote>
  <w:endnote w:type="continuationSeparator" w:id="0">
    <w:p w14:paraId="233BD78C" w14:textId="77777777" w:rsidR="009063F1" w:rsidRDefault="009063F1">
      <w:r>
        <w:continuationSeparator/>
      </w:r>
    </w:p>
  </w:endnote>
  <w:endnote w:type="continuationNotice" w:id="1">
    <w:p w14:paraId="38F481FD" w14:textId="77777777" w:rsidR="009063F1" w:rsidRDefault="009063F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Ultra Light">
    <w:altName w:val="Calibri"/>
    <w:panose1 w:val="000003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ontserrat Extra Bold">
    <w:altName w:val="Calibri"/>
    <w:panose1 w:val="00000900000000000000"/>
    <w:charset w:val="00"/>
    <w:family w:val="modern"/>
    <w:notTrueType/>
    <w:pitch w:val="variable"/>
    <w:sig w:usb0="00000007" w:usb1="00000000" w:usb2="00000000" w:usb3="00000000" w:csb0="00000093" w:csb1="00000000"/>
  </w:font>
  <w:font w:name="Montserrat Semi Bold">
    <w:altName w:val="Calibri"/>
    <w:panose1 w:val="00000700000000000000"/>
    <w:charset w:val="00"/>
    <w:family w:val="modern"/>
    <w:notTrueType/>
    <w:pitch w:val="variable"/>
    <w:sig w:usb0="00000007" w:usb1="00000000" w:usb2="00000000" w:usb3="00000000" w:csb0="00000093" w:csb1="00000000"/>
  </w:font>
  <w:font w:name="Montserrat Light">
    <w:altName w:val="Calibri"/>
    <w:panose1 w:val="00000400000000000000"/>
    <w:charset w:val="00"/>
    <w:family w:val="auto"/>
    <w:pitch w:val="variable"/>
    <w:sig w:usb0="20000207" w:usb1="00000000" w:usb2="00000000" w:usb3="00000000" w:csb0="00000197" w:csb1="00000000"/>
  </w:font>
  <w:font w:name="Open Sans Semibold">
    <w:altName w:val="Segoe UI"/>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300C8" w14:textId="77777777" w:rsidR="00FC0D96" w:rsidRDefault="002E1B77">
    <w:pPr>
      <w:pStyle w:val="Footer"/>
    </w:pPr>
    <w:r>
      <w:fldChar w:fldCharType="begin"/>
    </w:r>
    <w:r>
      <w:instrText xml:space="preserve"> PAGE   \* MERGEFORMAT </w:instrText>
    </w:r>
    <w:r>
      <w:fldChar w:fldCharType="separate"/>
    </w:r>
    <w:r>
      <w:rPr>
        <w:noProof/>
      </w:rPr>
      <w:t>1</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AE7C9" w14:textId="77777777" w:rsidR="00FC0498" w:rsidRPr="007E487F" w:rsidRDefault="00FC0498" w:rsidP="00DC0F02">
    <w:pPr>
      <w:pStyle w:val="Footer"/>
      <w:tabs>
        <w:tab w:val="right" w:pos="8931"/>
      </w:tabs>
      <w:rPr>
        <w:szCs w:val="20"/>
      </w:rPr>
    </w:pPr>
    <w:r>
      <w:rPr>
        <w:szCs w:val="20"/>
      </w:rPr>
      <w:tab/>
    </w:r>
    <w:r>
      <w:rPr>
        <w:szCs w:val="20"/>
      </w:rPr>
      <w:tab/>
    </w:r>
    <w:r>
      <w:fldChar w:fldCharType="begin"/>
    </w:r>
    <w:r>
      <w:instrText xml:space="preserve"> PAGE   \* MERGEFORMAT </w:instrText>
    </w:r>
    <w:r>
      <w:fldChar w:fldCharType="separate"/>
    </w:r>
    <w:r>
      <w:rPr>
        <w:noProof/>
      </w:rPr>
      <w:t>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4E1F9" w14:textId="122C7BAF" w:rsidR="00FC0498" w:rsidRPr="0011178C" w:rsidRDefault="00FC0498" w:rsidP="003929D2">
    <w:pPr>
      <w:pStyle w:val="Footer"/>
    </w:pPr>
    <w:r w:rsidRPr="00803ACA">
      <w:t>Chapter 4</w:t>
    </w:r>
    <w:r>
      <w:t xml:space="preserve"> Attachment</w:t>
    </w:r>
    <w:r w:rsidR="008250D0">
      <w:t xml:space="preserve"> A</w:t>
    </w:r>
    <w:r>
      <w:tab/>
    </w:r>
    <w:r>
      <w:tab/>
      <w:t xml:space="preserve"> </w:t>
    </w:r>
    <w:r>
      <w:fldChar w:fldCharType="begin"/>
    </w:r>
    <w:r>
      <w:instrText xml:space="preserve"> PAGE  \* Arabic  \* MERGEFORMAT </w:instrText>
    </w:r>
    <w:r>
      <w:fldChar w:fldCharType="separate"/>
    </w:r>
    <w:r>
      <w:rPr>
        <w:noProof/>
      </w:rPr>
      <w:t>6</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8A4B7" w14:textId="77777777" w:rsidR="00AB0FE7" w:rsidRPr="007E487F" w:rsidRDefault="00AB0FE7" w:rsidP="00D520FA">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0614B" w14:textId="2691439A" w:rsidR="003623A9" w:rsidRPr="007E487F" w:rsidRDefault="003623A9" w:rsidP="00D520F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9708D" w14:textId="77777777" w:rsidR="00242AD6" w:rsidRPr="00B91790" w:rsidRDefault="00242AD6" w:rsidP="00B91790">
    <w:pPr>
      <w:pStyle w:val="Footer"/>
      <w:tabs>
        <w:tab w:val="right" w:pos="8931"/>
      </w:tabs>
      <w:rPr>
        <w:szCs w:val="24"/>
      </w:rPr>
    </w:pPr>
    <w:r w:rsidRPr="0019016E">
      <w:rPr>
        <w:szCs w:val="24"/>
      </w:rPr>
      <w:tab/>
    </w:r>
    <w:r w:rsidRPr="0019016E">
      <w:rPr>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5E8A6" w14:textId="7719DCE6" w:rsidR="00E67CBB" w:rsidRPr="0019016E" w:rsidRDefault="00E67CBB" w:rsidP="00DC0F02">
    <w:pPr>
      <w:pStyle w:val="Footer"/>
      <w:tabs>
        <w:tab w:val="right" w:pos="8931"/>
      </w:tabs>
      <w:rPr>
        <w:szCs w:val="24"/>
      </w:rPr>
    </w:pPr>
    <w:r w:rsidRPr="0019016E">
      <w:rPr>
        <w:szCs w:val="24"/>
      </w:rPr>
      <w:tab/>
    </w:r>
    <w:r w:rsidRPr="0019016E">
      <w:rPr>
        <w:szCs w:val="24"/>
      </w:rPr>
      <w:tab/>
    </w:r>
    <w:r w:rsidR="002E1B77" w:rsidRPr="002E1B77">
      <w:rPr>
        <w:szCs w:val="24"/>
      </w:rPr>
      <w:fldChar w:fldCharType="begin"/>
    </w:r>
    <w:r w:rsidR="002E1B77" w:rsidRPr="002E1B77">
      <w:rPr>
        <w:szCs w:val="24"/>
      </w:rPr>
      <w:instrText xml:space="preserve"> PAGE   \* MERGEFORMAT </w:instrText>
    </w:r>
    <w:r w:rsidR="002E1B77" w:rsidRPr="002E1B77">
      <w:rPr>
        <w:szCs w:val="24"/>
      </w:rPr>
      <w:fldChar w:fldCharType="separate"/>
    </w:r>
    <w:r w:rsidR="002E1B77" w:rsidRPr="002E1B77">
      <w:rPr>
        <w:noProof/>
        <w:szCs w:val="24"/>
      </w:rPr>
      <w:t>1</w:t>
    </w:r>
    <w:r w:rsidR="002E1B77" w:rsidRPr="002E1B77">
      <w:rPr>
        <w:noProof/>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06C7E" w14:textId="74842C13" w:rsidR="004D4AB4" w:rsidRPr="0011178C" w:rsidRDefault="004D4AB4" w:rsidP="004D4AB4">
    <w:pPr>
      <w:pStyle w:val="Footer"/>
    </w:pPr>
    <w:r>
      <w:t xml:space="preserve">Chapter </w:t>
    </w:r>
    <w:r w:rsidR="005119C7">
      <w:t xml:space="preserve">1 </w:t>
    </w:r>
    <w:r w:rsidR="007556B7">
      <w:t xml:space="preserve">Approach and main issues for the </w:t>
    </w:r>
    <w:r w:rsidR="00E054C5">
      <w:t>2020 Review</w:t>
    </w:r>
    <w:r>
      <w:tab/>
      <w:t xml:space="preserve"> </w:t>
    </w:r>
    <w:r>
      <w:fldChar w:fldCharType="begin"/>
    </w:r>
    <w:r>
      <w:instrText xml:space="preserve"> PAGE  \* Arabic  \* MERGEFORMAT </w:instrText>
    </w:r>
    <w:r>
      <w:fldChar w:fldCharType="separate"/>
    </w:r>
    <w:r>
      <w:rPr>
        <w:noProof/>
      </w:rPr>
      <w:t>3</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7B23B" w14:textId="77777777" w:rsidR="00114846" w:rsidRPr="007E487F" w:rsidRDefault="00114846" w:rsidP="00D520FA">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75697" w14:textId="77777777" w:rsidR="005119C7" w:rsidRPr="0011178C" w:rsidRDefault="005119C7" w:rsidP="004D4AB4">
    <w:pPr>
      <w:pStyle w:val="Footer"/>
    </w:pPr>
    <w:r>
      <w:t xml:space="preserve">Chapter 2 </w:t>
    </w:r>
    <w:r w:rsidRPr="00A81AB3">
      <w:t>Measuring relative fiscal capacity</w:t>
    </w:r>
    <w:r w:rsidRPr="00A81AB3">
      <w:tab/>
    </w:r>
    <w:r>
      <w:tab/>
      <w:t xml:space="preserve"> </w:t>
    </w:r>
    <w:r>
      <w:fldChar w:fldCharType="begin"/>
    </w:r>
    <w:r>
      <w:instrText xml:space="preserve"> PAGE  \* Arabic  \* MERGEFORMAT </w:instrText>
    </w:r>
    <w:r>
      <w:fldChar w:fldCharType="separate"/>
    </w:r>
    <w:r>
      <w:rPr>
        <w:noProof/>
      </w:rPr>
      <w:t>3</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8FBD" w14:textId="5A710DED" w:rsidR="00476FCD" w:rsidRPr="0011178C" w:rsidRDefault="00476FCD" w:rsidP="004D4AB4">
    <w:pPr>
      <w:pStyle w:val="Footer"/>
    </w:pPr>
    <w:r>
      <w:t>Chapter 3 Implementation issues and assessment guidelines</w:t>
    </w:r>
    <w:r>
      <w:tab/>
      <w:t xml:space="preserve"> </w:t>
    </w:r>
    <w:r>
      <w:fldChar w:fldCharType="begin"/>
    </w:r>
    <w:r>
      <w:instrText xml:space="preserve"> PAGE  \* Arabic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BD64" w14:textId="77777777" w:rsidR="00AB0FE7" w:rsidRPr="007E487F" w:rsidRDefault="00AB0FE7" w:rsidP="00D520FA">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84AC7" w14:textId="77777777" w:rsidR="00FC0498" w:rsidRPr="0011178C" w:rsidRDefault="00FC0498" w:rsidP="003929D2">
    <w:pPr>
      <w:pStyle w:val="Footer"/>
    </w:pPr>
    <w:r w:rsidRPr="00803ACA">
      <w:t>Chapter 4 Implementing legislated changes to the GST distribution</w:t>
    </w:r>
    <w:r>
      <w:tab/>
      <w:t xml:space="preserve"> </w:t>
    </w:r>
    <w:r>
      <w:fldChar w:fldCharType="begin"/>
    </w:r>
    <w:r>
      <w:instrText xml:space="preserve"> PAGE  \* Arabic  \* MERGEFORMAT </w:instrText>
    </w:r>
    <w: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448FD" w14:textId="77777777" w:rsidR="009063F1" w:rsidRPr="00201B3A" w:rsidRDefault="009063F1">
      <w:pPr>
        <w:rPr>
          <w:color w:val="ADD6EA"/>
        </w:rPr>
      </w:pPr>
      <w:r w:rsidRPr="00201B3A">
        <w:rPr>
          <w:color w:val="ADD6EA"/>
        </w:rPr>
        <w:separator/>
      </w:r>
    </w:p>
  </w:footnote>
  <w:footnote w:type="continuationSeparator" w:id="0">
    <w:p w14:paraId="0E890941" w14:textId="77777777" w:rsidR="009063F1" w:rsidRDefault="009063F1">
      <w:r>
        <w:continuationSeparator/>
      </w:r>
    </w:p>
  </w:footnote>
  <w:footnote w:type="continuationNotice" w:id="1">
    <w:p w14:paraId="14E0EF05" w14:textId="77777777" w:rsidR="009063F1" w:rsidRDefault="009063F1">
      <w:pPr>
        <w:spacing w:before="0" w:line="240" w:lineRule="auto"/>
      </w:pPr>
    </w:p>
  </w:footnote>
  <w:footnote w:id="2">
    <w:p w14:paraId="18D1BEC8" w14:textId="77777777" w:rsidR="00242AD6" w:rsidRDefault="00242AD6" w:rsidP="00242AD6">
      <w:pPr>
        <w:pStyle w:val="FootnoteText"/>
      </w:pPr>
      <w:r>
        <w:rPr>
          <w:rStyle w:val="FootnoteReference"/>
        </w:rPr>
        <w:footnoteRef/>
      </w:r>
      <w:r>
        <w:t xml:space="preserve"> </w:t>
      </w:r>
      <w:r>
        <w:tab/>
        <w:t>Clauses 5 and 7 of the terms of reference (ToR).</w:t>
      </w:r>
    </w:p>
  </w:footnote>
  <w:footnote w:id="3">
    <w:p w14:paraId="4190B641" w14:textId="77777777" w:rsidR="00242AD6" w:rsidRDefault="00242AD6" w:rsidP="00242AD6">
      <w:pPr>
        <w:pStyle w:val="FootnoteText"/>
      </w:pPr>
      <w:r>
        <w:rPr>
          <w:rStyle w:val="FootnoteReference"/>
        </w:rPr>
        <w:footnoteRef/>
      </w:r>
      <w:r>
        <w:t xml:space="preserve"> </w:t>
      </w:r>
      <w:r>
        <w:tab/>
        <w:t>Clause 6 of the ToR.</w:t>
      </w:r>
    </w:p>
  </w:footnote>
  <w:footnote w:id="4">
    <w:p w14:paraId="67ACACE9" w14:textId="77777777" w:rsidR="00242AD6" w:rsidRDefault="00242AD6" w:rsidP="00242AD6">
      <w:pPr>
        <w:pStyle w:val="FootnoteText"/>
      </w:pPr>
      <w:r>
        <w:rPr>
          <w:rStyle w:val="FootnoteReference"/>
        </w:rPr>
        <w:footnoteRef/>
      </w:r>
      <w:r>
        <w:t xml:space="preserve"> </w:t>
      </w:r>
      <w:r>
        <w:tab/>
        <w:t>Clauses 8(a) to 8(c) of the ToR.</w:t>
      </w:r>
    </w:p>
  </w:footnote>
  <w:footnote w:id="5">
    <w:p w14:paraId="6672438E" w14:textId="77777777" w:rsidR="00242AD6" w:rsidRDefault="00242AD6" w:rsidP="00242AD6">
      <w:pPr>
        <w:pStyle w:val="FootnoteText"/>
      </w:pPr>
      <w:r>
        <w:rPr>
          <w:rStyle w:val="FootnoteReference"/>
        </w:rPr>
        <w:footnoteRef/>
      </w:r>
      <w:r>
        <w:t xml:space="preserve"> </w:t>
      </w:r>
      <w:r>
        <w:tab/>
        <w:t>Clause 8(d) of the ToR.</w:t>
      </w:r>
    </w:p>
  </w:footnote>
  <w:footnote w:id="6">
    <w:p w14:paraId="4896816B" w14:textId="55738421" w:rsidR="00242AD6" w:rsidRDefault="00242AD6" w:rsidP="00242AD6">
      <w:pPr>
        <w:pStyle w:val="FootnoteText"/>
      </w:pPr>
      <w:r>
        <w:rPr>
          <w:rStyle w:val="FootnoteReference"/>
        </w:rPr>
        <w:footnoteRef/>
      </w:r>
      <w:r>
        <w:t xml:space="preserve"> </w:t>
      </w:r>
      <w:r>
        <w:tab/>
        <w:t xml:space="preserve">Clause 3(a) of the </w:t>
      </w:r>
      <w:r w:rsidR="00194C32">
        <w:t>ToR</w:t>
      </w:r>
      <w:r>
        <w:t xml:space="preserve"> for the 2020 methodology Review.</w:t>
      </w:r>
    </w:p>
  </w:footnote>
  <w:footnote w:id="7">
    <w:p w14:paraId="50EFAFC0" w14:textId="77777777" w:rsidR="00242AD6" w:rsidRDefault="00242AD6" w:rsidP="00242AD6">
      <w:pPr>
        <w:pStyle w:val="FootnoteText"/>
      </w:pPr>
      <w:r>
        <w:rPr>
          <w:rStyle w:val="FootnoteReference"/>
        </w:rPr>
        <w:footnoteRef/>
      </w:r>
      <w:r>
        <w:t xml:space="preserve"> </w:t>
      </w:r>
      <w:r>
        <w:tab/>
        <w:t>Clause 3(b) of the ToR.</w:t>
      </w:r>
    </w:p>
  </w:footnote>
  <w:footnote w:id="8">
    <w:p w14:paraId="16363657" w14:textId="77777777" w:rsidR="00242AD6" w:rsidRDefault="00242AD6" w:rsidP="00242AD6">
      <w:pPr>
        <w:pStyle w:val="FootnoteText"/>
      </w:pPr>
      <w:r>
        <w:rPr>
          <w:rStyle w:val="FootnoteReference"/>
        </w:rPr>
        <w:footnoteRef/>
      </w:r>
      <w:r>
        <w:t xml:space="preserve"> </w:t>
      </w:r>
      <w:r>
        <w:tab/>
        <w:t>Clause 1(b) of the ToR.</w:t>
      </w:r>
    </w:p>
  </w:footnote>
  <w:footnote w:id="9">
    <w:p w14:paraId="38CF5610" w14:textId="76A9CF57" w:rsidR="00242AD6" w:rsidRDefault="00242AD6" w:rsidP="00242AD6">
      <w:pPr>
        <w:pStyle w:val="FootnoteText"/>
      </w:pPr>
      <w:r>
        <w:rPr>
          <w:rStyle w:val="FootnoteReference"/>
        </w:rPr>
        <w:footnoteRef/>
      </w:r>
      <w:r w:rsidR="004251BD">
        <w:tab/>
      </w:r>
      <w:r>
        <w:t xml:space="preserve"> In addition to estimates based on Commission assessment data, elasticities were estimated for motor taxes using Household, Income and Labour Dynamics in Australia (HILDA) survey data, and for stamp duty on conveyances using CoreLogic property sales data.</w:t>
      </w:r>
    </w:p>
  </w:footnote>
  <w:footnote w:id="10">
    <w:p w14:paraId="05256EF8" w14:textId="0EF2BDEA" w:rsidR="00242AD6" w:rsidRDefault="00242AD6" w:rsidP="00242AD6">
      <w:pPr>
        <w:pStyle w:val="FootnoteText"/>
      </w:pPr>
      <w:r>
        <w:rPr>
          <w:rStyle w:val="FootnoteReference"/>
        </w:rPr>
        <w:footnoteRef/>
      </w:r>
      <w:r>
        <w:t xml:space="preserve"> </w:t>
      </w:r>
      <w:r w:rsidR="006F3AEA">
        <w:tab/>
      </w:r>
      <w:r>
        <w:t xml:space="preserve">An elasticity adjustment is a data adjustment as it aims </w:t>
      </w:r>
      <w:r w:rsidR="006F3AEA" w:rsidRPr="007067EE">
        <w:t xml:space="preserve">to </w:t>
      </w:r>
      <w:r>
        <w:t>adjust a revenue base for the effects of tax rates that differ from the average. For Stamp duty on conveyances</w:t>
      </w:r>
      <w:r w:rsidRPr="00FB6BF3">
        <w:t>, the Commission used the midpoint of the elasticity range estimated by the consultants using Commission data.</w:t>
      </w:r>
    </w:p>
  </w:footnote>
  <w:footnote w:id="11">
    <w:p w14:paraId="081EDAB1" w14:textId="037CDFA0" w:rsidR="00242AD6" w:rsidRDefault="00242AD6" w:rsidP="00242AD6">
      <w:pPr>
        <w:pStyle w:val="FootnoteText"/>
      </w:pPr>
      <w:r>
        <w:rPr>
          <w:rStyle w:val="FootnoteReference"/>
        </w:rPr>
        <w:footnoteRef/>
      </w:r>
      <w:r>
        <w:t xml:space="preserve"> </w:t>
      </w:r>
      <w:r w:rsidR="006F3AEA">
        <w:tab/>
      </w:r>
      <w:r>
        <w:t>For example, State and average effective rates, and hence the effect of an elasticity adjustment, would vary with differing treatments of non</w:t>
      </w:r>
      <w:r w:rsidR="009266CE">
        <w:noBreakHyphen/>
      </w:r>
      <w:r>
        <w:t>real property and land rich transactions.</w:t>
      </w:r>
    </w:p>
  </w:footnote>
  <w:footnote w:id="12">
    <w:p w14:paraId="22B86D6D" w14:textId="57D6121A" w:rsidR="00242AD6" w:rsidRDefault="00242AD6" w:rsidP="007067EE">
      <w:pPr>
        <w:pStyle w:val="FootnoteText"/>
        <w:tabs>
          <w:tab w:val="clear" w:pos="227"/>
        </w:tabs>
      </w:pPr>
      <w:r>
        <w:rPr>
          <w:rStyle w:val="FootnoteReference"/>
        </w:rPr>
        <w:footnoteRef/>
      </w:r>
      <w:r>
        <w:t xml:space="preserve"> </w:t>
      </w:r>
      <w:r w:rsidR="007067EE">
        <w:tab/>
      </w:r>
      <w:r>
        <w:t>The subtraction approach refers to the method the Commission adopted in the 2010 Review but discontinued in the 2015 Review in favour of a more direct assessment.</w:t>
      </w:r>
    </w:p>
  </w:footnote>
  <w:footnote w:id="13">
    <w:p w14:paraId="184AC01F" w14:textId="4A81648F" w:rsidR="00242AD6" w:rsidRDefault="00242AD6" w:rsidP="00242AD6">
      <w:pPr>
        <w:pStyle w:val="FootnoteText"/>
      </w:pPr>
      <w:r>
        <w:rPr>
          <w:rStyle w:val="FootnoteReference"/>
        </w:rPr>
        <w:footnoteRef/>
      </w:r>
      <w:r>
        <w:t xml:space="preserve"> </w:t>
      </w:r>
      <w:r w:rsidR="007067EE">
        <w:tab/>
      </w:r>
      <w:r>
        <w:t xml:space="preserve">In this review, the Commission improved the measurement of remote health service costs to reflect better the low level of non-State sector services in these locations. </w:t>
      </w:r>
    </w:p>
  </w:footnote>
  <w:footnote w:id="14">
    <w:p w14:paraId="06B930B8" w14:textId="279F929F" w:rsidR="00242AD6" w:rsidRPr="00430C8C" w:rsidRDefault="00242AD6" w:rsidP="00242AD6">
      <w:pPr>
        <w:pStyle w:val="FootnoteText"/>
      </w:pPr>
      <w:r>
        <w:rPr>
          <w:rStyle w:val="FootnoteReference"/>
        </w:rPr>
        <w:footnoteRef/>
      </w:r>
      <w:r>
        <w:t xml:space="preserve"> </w:t>
      </w:r>
      <w:r w:rsidR="007067EE">
        <w:tab/>
      </w:r>
      <w:r>
        <w:t xml:space="preserve">The stage 1 and </w:t>
      </w:r>
      <w:r w:rsidRPr="00430C8C">
        <w:t xml:space="preserve">stage 2 reports are available on the </w:t>
      </w:r>
      <w:hyperlink r:id="rId1" w:history="1">
        <w:r w:rsidRPr="00430C8C">
          <w:rPr>
            <w:rStyle w:val="Hyperlink"/>
          </w:rPr>
          <w:t>Commission website</w:t>
        </w:r>
      </w:hyperlink>
      <w:r w:rsidRPr="00430C8C">
        <w:t xml:space="preserve"> (https://cgc.gov.au/).</w:t>
      </w:r>
    </w:p>
  </w:footnote>
  <w:footnote w:id="15">
    <w:p w14:paraId="098EB2F4" w14:textId="2FC8A877" w:rsidR="00242AD6" w:rsidRDefault="00242AD6" w:rsidP="00242AD6">
      <w:pPr>
        <w:pStyle w:val="FootnoteText"/>
      </w:pPr>
      <w:r w:rsidRPr="00430C8C">
        <w:rPr>
          <w:rStyle w:val="FootnoteReference"/>
        </w:rPr>
        <w:footnoteRef/>
      </w:r>
      <w:r>
        <w:t xml:space="preserve"> </w:t>
      </w:r>
      <w:r w:rsidR="007067EE">
        <w:tab/>
      </w:r>
      <w:r w:rsidRPr="00430C8C">
        <w:t>The presence of other transport modes, including heavy rail, buses and light rail, is recognised through the inclusion of passenger numbers by mode.</w:t>
      </w:r>
    </w:p>
  </w:footnote>
  <w:footnote w:id="16">
    <w:p w14:paraId="394E3873" w14:textId="12925186" w:rsidR="00351870" w:rsidRPr="00351870" w:rsidRDefault="00351870" w:rsidP="007067EE">
      <w:pPr>
        <w:pStyle w:val="FootnoteText"/>
        <w:rPr>
          <w:lang w:val="en-US"/>
        </w:rPr>
      </w:pPr>
      <w:r>
        <w:rPr>
          <w:rStyle w:val="FootnoteReference"/>
        </w:rPr>
        <w:footnoteRef/>
      </w:r>
      <w:r>
        <w:t xml:space="preserve"> </w:t>
      </w:r>
      <w:r w:rsidR="00857CA8">
        <w:rPr>
          <w:lang w:val="en-US"/>
        </w:rPr>
        <w:tab/>
      </w:r>
      <w:r w:rsidR="003B0B89">
        <w:rPr>
          <w:lang w:val="en-US"/>
        </w:rPr>
        <w:t xml:space="preserve">For further information </w:t>
      </w:r>
      <w:r w:rsidR="00A344AE">
        <w:rPr>
          <w:lang w:val="en-US"/>
        </w:rPr>
        <w:t xml:space="preserve">about the assessment guidelines </w:t>
      </w:r>
      <w:r w:rsidR="0043149C">
        <w:rPr>
          <w:lang w:val="en-US"/>
        </w:rPr>
        <w:t>including the</w:t>
      </w:r>
      <w:r w:rsidR="00A344AE">
        <w:rPr>
          <w:lang w:val="en-US"/>
        </w:rPr>
        <w:t xml:space="preserve"> materiality</w:t>
      </w:r>
      <w:r w:rsidR="003B0B89">
        <w:rPr>
          <w:lang w:val="en-US"/>
        </w:rPr>
        <w:t xml:space="preserve"> </w:t>
      </w:r>
      <w:r w:rsidR="0043149C">
        <w:rPr>
          <w:lang w:val="en-US"/>
        </w:rPr>
        <w:t>threshold,</w:t>
      </w:r>
      <w:r w:rsidR="003B0B89">
        <w:rPr>
          <w:lang w:val="en-US"/>
        </w:rPr>
        <w:t xml:space="preserve"> see Chapter 3 of Volume</w:t>
      </w:r>
      <w:r w:rsidR="008539C0">
        <w:rPr>
          <w:lang w:val="en-US"/>
        </w:rPr>
        <w:t xml:space="preserve"> 2.</w:t>
      </w:r>
    </w:p>
  </w:footnote>
  <w:footnote w:id="17">
    <w:p w14:paraId="4273DF48" w14:textId="49D1C542" w:rsidR="00242AD6" w:rsidRDefault="00242AD6" w:rsidP="00242AD6">
      <w:pPr>
        <w:pStyle w:val="FootnoteText"/>
      </w:pPr>
      <w:r>
        <w:rPr>
          <w:rStyle w:val="FootnoteReference"/>
        </w:rPr>
        <w:footnoteRef/>
      </w:r>
      <w:r>
        <w:t xml:space="preserve"> </w:t>
      </w:r>
      <w:r w:rsidR="009F336A">
        <w:tab/>
      </w:r>
      <w:r>
        <w:t xml:space="preserve">For example, refer to the Commission’s </w:t>
      </w:r>
      <w:r w:rsidRPr="002C5082">
        <w:t>Report on State Revenue Sharing Relativities 2004 Review</w:t>
      </w:r>
      <w:r>
        <w:t xml:space="preserve">, Chapter 7, </w:t>
      </w:r>
      <w:r w:rsidRPr="002C5082">
        <w:t>Report on GST Revenue Sharing Relativities — 2010 Review</w:t>
      </w:r>
      <w:r>
        <w:t xml:space="preserve">, Volume 1, Chapter 3, </w:t>
      </w:r>
      <w:r w:rsidRPr="00BD35A9">
        <w:t>Report on GST Revenue Sharing Relativities 2015 Review</w:t>
      </w:r>
      <w:r>
        <w:t>, Volume 1, Chapter 1.</w:t>
      </w:r>
    </w:p>
  </w:footnote>
  <w:footnote w:id="18">
    <w:p w14:paraId="7249A02D" w14:textId="0F8954AA" w:rsidR="00242AD6" w:rsidRDefault="00242AD6" w:rsidP="00242AD6">
      <w:pPr>
        <w:pStyle w:val="FootnoteText"/>
      </w:pPr>
      <w:r>
        <w:rPr>
          <w:rStyle w:val="FootnoteReference"/>
        </w:rPr>
        <w:footnoteRef/>
      </w:r>
      <w:r>
        <w:t xml:space="preserve"> </w:t>
      </w:r>
      <w:r w:rsidR="009F336A">
        <w:tab/>
      </w:r>
      <w:r>
        <w:t xml:space="preserve">Productivity Commission 2018, </w:t>
      </w:r>
      <w:r w:rsidRPr="009934B6">
        <w:rPr>
          <w:i/>
        </w:rPr>
        <w:t>Horizontal Fiscal Equalisation</w:t>
      </w:r>
      <w:r>
        <w:t>, Report no. 88, page 352.</w:t>
      </w:r>
    </w:p>
  </w:footnote>
  <w:footnote w:id="19">
    <w:p w14:paraId="0D92C215" w14:textId="7AE924E7" w:rsidR="00242AD6" w:rsidRDefault="00242AD6" w:rsidP="00242AD6">
      <w:pPr>
        <w:pStyle w:val="FootnoteText"/>
      </w:pPr>
      <w:r>
        <w:rPr>
          <w:rStyle w:val="FootnoteReference"/>
        </w:rPr>
        <w:footnoteRef/>
      </w:r>
      <w:r w:rsidR="009F336A">
        <w:tab/>
      </w:r>
      <w:r>
        <w:t>Ibid. Chapter 3.</w:t>
      </w:r>
    </w:p>
  </w:footnote>
  <w:footnote w:id="20">
    <w:p w14:paraId="522C4A1D" w14:textId="5D39BEEE" w:rsidR="00242AD6" w:rsidRDefault="00242AD6" w:rsidP="00242AD6">
      <w:pPr>
        <w:pStyle w:val="FootnoteText"/>
      </w:pPr>
      <w:r>
        <w:rPr>
          <w:rStyle w:val="FootnoteReference"/>
        </w:rPr>
        <w:footnoteRef/>
      </w:r>
      <w:r>
        <w:t xml:space="preserve"> </w:t>
      </w:r>
      <w:r w:rsidR="009F336A">
        <w:tab/>
      </w:r>
      <w:r>
        <w:t>The Commission has conducted reviews of its methods in each of 2004, 2010 and 2015.</w:t>
      </w:r>
    </w:p>
  </w:footnote>
  <w:footnote w:id="21">
    <w:p w14:paraId="08241401" w14:textId="0B5EAAF9" w:rsidR="00242AD6" w:rsidRDefault="00242AD6" w:rsidP="00242AD6">
      <w:pPr>
        <w:pStyle w:val="FootnoteText"/>
      </w:pPr>
      <w:r>
        <w:rPr>
          <w:rStyle w:val="FootnoteReference"/>
        </w:rPr>
        <w:footnoteRef/>
      </w:r>
      <w:r>
        <w:t xml:space="preserve"> </w:t>
      </w:r>
      <w:r w:rsidR="009F336A">
        <w:tab/>
      </w:r>
      <w:r>
        <w:t xml:space="preserve">Commonwealth Grants Commission, </w:t>
      </w:r>
      <w:r w:rsidRPr="00F70CAD">
        <w:rPr>
          <w:i/>
        </w:rPr>
        <w:t>Report on General Revenue Grant Relativities 1993</w:t>
      </w:r>
      <w:r>
        <w:t>, Volume 1, Chapter 7, paras. 7.29 to 7.34.</w:t>
      </w:r>
    </w:p>
  </w:footnote>
  <w:footnote w:id="22">
    <w:p w14:paraId="6B201931" w14:textId="247151B9" w:rsidR="009B4602" w:rsidRDefault="009B4602" w:rsidP="00B80D74">
      <w:pPr>
        <w:pStyle w:val="FootnoteText"/>
      </w:pPr>
      <w:r>
        <w:rPr>
          <w:rStyle w:val="FootnoteReference"/>
        </w:rPr>
        <w:footnoteRef/>
      </w:r>
      <w:r>
        <w:t xml:space="preserve"> </w:t>
      </w:r>
      <w:r w:rsidR="004251BD">
        <w:tab/>
      </w:r>
      <w:r>
        <w:t xml:space="preserve">Chapter 4 of Volume 2 describes the new arrangements for determining the GST revenue sharing relativities from 2021-22. </w:t>
      </w:r>
      <w:r w:rsidRPr="00430C8C">
        <w:t xml:space="preserve">The reference to current arrangements is to those that currently apply and will continue to apply </w:t>
      </w:r>
      <w:r>
        <w:t>up to and including 2020-21</w:t>
      </w:r>
      <w:r w:rsidRPr="00430C8C">
        <w:t>. Chapter</w:t>
      </w:r>
      <w:r>
        <w:t xml:space="preserve"> 4 refers to these as the ‘previous arrangements’.</w:t>
      </w:r>
    </w:p>
  </w:footnote>
  <w:footnote w:id="23">
    <w:p w14:paraId="49735ACC" w14:textId="0DCB9F4D" w:rsidR="009B4602" w:rsidRDefault="009B4602" w:rsidP="00B80D74">
      <w:pPr>
        <w:pStyle w:val="FootnoteText"/>
      </w:pPr>
      <w:r>
        <w:rPr>
          <w:rStyle w:val="FootnoteReference"/>
        </w:rPr>
        <w:footnoteRef/>
      </w:r>
      <w:r>
        <w:t xml:space="preserve"> </w:t>
      </w:r>
      <w:r w:rsidR="004251BD">
        <w:tab/>
      </w:r>
      <w:r>
        <w:t xml:space="preserve">A disability is an influence beyond a State’s control that requires it to spend more (or less) per capita than the average to provide the average level of service, or to make a greater (or lesser) effort than the average to raise the average amount of revenue per capita. See also paragraph </w:t>
      </w:r>
      <w:r>
        <w:fldChar w:fldCharType="begin"/>
      </w:r>
      <w:r>
        <w:instrText xml:space="preserve"> REF _Ref9497683 \r \h </w:instrText>
      </w:r>
      <w:r>
        <w:fldChar w:fldCharType="separate"/>
      </w:r>
      <w:r w:rsidR="004A0DFA">
        <w:t>11</w:t>
      </w:r>
      <w:r>
        <w:fldChar w:fldCharType="end"/>
      </w:r>
      <w:r>
        <w:t>.</w:t>
      </w:r>
    </w:p>
  </w:footnote>
  <w:footnote w:id="24">
    <w:p w14:paraId="696F1076" w14:textId="2F924A01" w:rsidR="009B4602" w:rsidRDefault="009B4602" w:rsidP="00B80D74">
      <w:pPr>
        <w:pStyle w:val="FootnoteText"/>
      </w:pPr>
      <w:r>
        <w:rPr>
          <w:rStyle w:val="FootnoteReference"/>
        </w:rPr>
        <w:footnoteRef/>
      </w:r>
      <w:r>
        <w:t xml:space="preserve"> </w:t>
      </w:r>
      <w:r w:rsidR="004251BD">
        <w:tab/>
      </w:r>
      <w:r>
        <w:t>The calculations include most, but not all, PSPs. The ToR quarantine (or exclude) some payments and the Commission excludes others because they do not affect fiscal capacities.</w:t>
      </w:r>
    </w:p>
  </w:footnote>
  <w:footnote w:id="25">
    <w:p w14:paraId="64D75C3A" w14:textId="1A2DCF79" w:rsidR="009B4602" w:rsidRDefault="009B4602" w:rsidP="00B80D74">
      <w:pPr>
        <w:pStyle w:val="FootnoteText"/>
      </w:pPr>
      <w:r>
        <w:rPr>
          <w:rStyle w:val="FootnoteReference"/>
        </w:rPr>
        <w:footnoteRef/>
      </w:r>
      <w:r w:rsidR="004251BD">
        <w:tab/>
      </w:r>
      <w:r w:rsidRPr="005E2A62">
        <w:t>The Commission derives a per capita relativity for each State by expressing its per capita GST requirement as a ratio to the national average per capita GST distributed in a year.</w:t>
      </w:r>
    </w:p>
  </w:footnote>
  <w:footnote w:id="26">
    <w:p w14:paraId="34FA0359" w14:textId="5BE42309" w:rsidR="009B4602" w:rsidRDefault="009B4602" w:rsidP="00B80D74">
      <w:pPr>
        <w:pStyle w:val="FootnoteText"/>
      </w:pPr>
      <w:r>
        <w:rPr>
          <w:rStyle w:val="FootnoteReference"/>
        </w:rPr>
        <w:footnoteRef/>
      </w:r>
      <w:r w:rsidR="004251BD">
        <w:tab/>
      </w:r>
      <w:r>
        <w:t>The GST pool refers to the total GST entitlement of the States plus any permanent top-up payments.</w:t>
      </w:r>
    </w:p>
  </w:footnote>
  <w:footnote w:id="27">
    <w:p w14:paraId="765F44D8" w14:textId="5A20F3EC" w:rsidR="009B4602" w:rsidRDefault="009B4602" w:rsidP="00B80D74">
      <w:pPr>
        <w:pStyle w:val="FootnoteText"/>
      </w:pPr>
      <w:r>
        <w:rPr>
          <w:rStyle w:val="FootnoteReference"/>
        </w:rPr>
        <w:footnoteRef/>
      </w:r>
      <w:r>
        <w:t xml:space="preserve"> </w:t>
      </w:r>
      <w:r w:rsidR="004251BD">
        <w:tab/>
      </w:r>
      <w:r w:rsidRPr="00A328EF">
        <w:t xml:space="preserve">Under an EPC </w:t>
      </w:r>
      <w:r>
        <w:t xml:space="preserve">assessment, </w:t>
      </w:r>
      <w:r w:rsidRPr="00A328EF">
        <w:t xml:space="preserve">each State </w:t>
      </w:r>
      <w:r>
        <w:t>is assessed as needing to spend the average per capita amount on delivering services or being able to raise the average per capita revenue from its revenue bases.</w:t>
      </w:r>
    </w:p>
  </w:footnote>
  <w:footnote w:id="28">
    <w:p w14:paraId="3FE118AA" w14:textId="3D3A94E7" w:rsidR="009B4602" w:rsidRDefault="009B4602" w:rsidP="00B80D74">
      <w:pPr>
        <w:pStyle w:val="FootnoteText"/>
      </w:pPr>
      <w:r>
        <w:rPr>
          <w:rStyle w:val="FootnoteReference"/>
        </w:rPr>
        <w:footnoteRef/>
      </w:r>
      <w:r>
        <w:t xml:space="preserve"> </w:t>
      </w:r>
      <w:r w:rsidR="004251BD">
        <w:tab/>
      </w:r>
      <w:r w:rsidRPr="00A328EF">
        <w:t xml:space="preserve">Materiality thresholds represent a minimum change </w:t>
      </w:r>
      <w:r>
        <w:t xml:space="preserve">from an equal per capita distribution of expenditure or revenue </w:t>
      </w:r>
      <w:r w:rsidRPr="00A328EF">
        <w:t xml:space="preserve">that must be met before the Commission will recognise a disability. </w:t>
      </w:r>
      <w:r>
        <w:t>T</w:t>
      </w:r>
      <w:r w:rsidRPr="00A328EF">
        <w:t xml:space="preserve">he section on Implementation issues </w:t>
      </w:r>
      <w:r>
        <w:t>discusses material thresholds in more detail. See paragraph 6 in Chapter 13.</w:t>
      </w:r>
    </w:p>
  </w:footnote>
  <w:footnote w:id="29">
    <w:p w14:paraId="397C17E3" w14:textId="56682B82" w:rsidR="009B4602" w:rsidRDefault="009B4602" w:rsidP="00B80D74">
      <w:pPr>
        <w:pStyle w:val="FootnoteText"/>
      </w:pPr>
      <w:r w:rsidRPr="00430C8C">
        <w:rPr>
          <w:rStyle w:val="FootnoteReference"/>
        </w:rPr>
        <w:footnoteRef/>
      </w:r>
      <w:r w:rsidRPr="00430C8C">
        <w:t xml:space="preserve"> </w:t>
      </w:r>
      <w:r w:rsidRPr="00430C8C">
        <w:tab/>
        <w:t>Paragraph</w:t>
      </w:r>
      <w:r>
        <w:t xml:space="preserve"> </w:t>
      </w:r>
      <w:r>
        <w:fldChar w:fldCharType="begin"/>
      </w:r>
      <w:r>
        <w:instrText xml:space="preserve"> REF _Ref9497683 \r \h </w:instrText>
      </w:r>
      <w:r>
        <w:fldChar w:fldCharType="separate"/>
      </w:r>
      <w:r w:rsidR="004A0DFA">
        <w:t>11</w:t>
      </w:r>
      <w:r>
        <w:fldChar w:fldCharType="end"/>
      </w:r>
      <w:r w:rsidRPr="00430C8C">
        <w:t xml:space="preserve"> defines disabilities.</w:t>
      </w:r>
    </w:p>
  </w:footnote>
  <w:footnote w:id="30">
    <w:p w14:paraId="68AD290B" w14:textId="49236FFD" w:rsidR="009B4602" w:rsidRDefault="009B4602" w:rsidP="00B80D74">
      <w:pPr>
        <w:pStyle w:val="FootnoteText"/>
      </w:pPr>
      <w:r>
        <w:rPr>
          <w:rStyle w:val="FootnoteReference"/>
        </w:rPr>
        <w:footnoteRef/>
      </w:r>
      <w:r>
        <w:t xml:space="preserve"> </w:t>
      </w:r>
      <w:r w:rsidR="00ED590E">
        <w:tab/>
      </w:r>
      <w:r>
        <w:t>Sometimes this is referred to as the revenue or expenditure ‘standard’.</w:t>
      </w:r>
    </w:p>
  </w:footnote>
  <w:footnote w:id="31">
    <w:p w14:paraId="560C7312" w14:textId="6F8C268E" w:rsidR="009B4602" w:rsidRDefault="009B4602" w:rsidP="00B80D74">
      <w:pPr>
        <w:pStyle w:val="FootnoteText"/>
      </w:pPr>
      <w:r>
        <w:rPr>
          <w:rStyle w:val="FootnoteReference"/>
        </w:rPr>
        <w:footnoteRef/>
      </w:r>
      <w:r>
        <w:t xml:space="preserve"> </w:t>
      </w:r>
      <w:r w:rsidR="00ED590E">
        <w:tab/>
      </w:r>
      <w:r w:rsidRPr="000829A9">
        <w:t xml:space="preserve">Materiality thresholds represent a minimum change to the </w:t>
      </w:r>
      <w:r>
        <w:t>redistribution from an equal per capita assessment for a revenue or expense</w:t>
      </w:r>
      <w:r w:rsidRPr="000829A9">
        <w:t xml:space="preserve"> before the Commission will recognise a disability. </w:t>
      </w:r>
      <w:r>
        <w:t>T</w:t>
      </w:r>
      <w:r w:rsidRPr="000829A9">
        <w:t>he section on Implementation issues</w:t>
      </w:r>
      <w:r>
        <w:t xml:space="preserve"> discusses them in </w:t>
      </w:r>
      <w:r w:rsidRPr="000829A9">
        <w:t>more detail in</w:t>
      </w:r>
      <w:r>
        <w:t>.</w:t>
      </w:r>
    </w:p>
  </w:footnote>
  <w:footnote w:id="32">
    <w:p w14:paraId="36A75ED8" w14:textId="191FC8E4" w:rsidR="009B4602" w:rsidRDefault="009B4602" w:rsidP="00B80D74">
      <w:pPr>
        <w:pStyle w:val="FootnoteText"/>
      </w:pPr>
      <w:r>
        <w:rPr>
          <w:rStyle w:val="FootnoteReference"/>
        </w:rPr>
        <w:footnoteRef/>
      </w:r>
      <w:r>
        <w:t xml:space="preserve"> </w:t>
      </w:r>
      <w:r w:rsidR="00ED590E">
        <w:tab/>
      </w:r>
      <w:r>
        <w:t xml:space="preserve">Paragraph </w:t>
      </w:r>
      <w:r>
        <w:fldChar w:fldCharType="begin"/>
      </w:r>
      <w:r>
        <w:instrText xml:space="preserve"> REF _Ref26711973 \r \h </w:instrText>
      </w:r>
      <w:r>
        <w:fldChar w:fldCharType="separate"/>
      </w:r>
      <w:r w:rsidR="004A0DFA">
        <w:t>58</w:t>
      </w:r>
      <w:r>
        <w:fldChar w:fldCharType="end"/>
      </w:r>
      <w:r>
        <w:t xml:space="preserve"> and following discusses internal standards.</w:t>
      </w:r>
    </w:p>
  </w:footnote>
  <w:footnote w:id="33">
    <w:p w14:paraId="4DEE4E1F" w14:textId="74E770A0" w:rsidR="009B4602" w:rsidRDefault="009B4602" w:rsidP="00B80D74">
      <w:pPr>
        <w:pStyle w:val="FootnoteText"/>
      </w:pPr>
      <w:r>
        <w:rPr>
          <w:rStyle w:val="FootnoteReference"/>
        </w:rPr>
        <w:footnoteRef/>
      </w:r>
      <w:r>
        <w:t xml:space="preserve"> </w:t>
      </w:r>
      <w:r w:rsidR="00ED590E">
        <w:tab/>
      </w:r>
      <w:r>
        <w:t>Western Australia’s Submission in response to the draft report, September 2019, page 5.</w:t>
      </w:r>
    </w:p>
  </w:footnote>
  <w:footnote w:id="34">
    <w:p w14:paraId="4A37EA4E" w14:textId="6CFB30BB" w:rsidR="009B4602" w:rsidRDefault="009B4602" w:rsidP="00B80D74">
      <w:pPr>
        <w:pStyle w:val="FootnoteText"/>
      </w:pPr>
      <w:r w:rsidRPr="00430C8C">
        <w:rPr>
          <w:rStyle w:val="FootnoteReference"/>
        </w:rPr>
        <w:footnoteRef/>
      </w:r>
      <w:r>
        <w:t xml:space="preserve"> </w:t>
      </w:r>
      <w:r w:rsidR="00ED590E">
        <w:tab/>
      </w:r>
      <w:r w:rsidRPr="00430C8C">
        <w:t>The simpl</w:t>
      </w:r>
      <w:r>
        <w:t>ified</w:t>
      </w:r>
      <w:r w:rsidRPr="00430C8C">
        <w:t xml:space="preserve"> and integrated approach uses a modified operating statement to recognise State capital needs. The modified operating statement would include the holding cost of capital and the activities of housing and urban transport PNFCs. Under this approach, net financial worth would be equalised.</w:t>
      </w:r>
    </w:p>
  </w:footnote>
  <w:footnote w:id="35">
    <w:p w14:paraId="5E249384" w14:textId="7B89675F" w:rsidR="009B4602" w:rsidRDefault="009B4602" w:rsidP="00B80D74">
      <w:pPr>
        <w:pStyle w:val="FootnoteText"/>
      </w:pPr>
      <w:r>
        <w:rPr>
          <w:rStyle w:val="FootnoteReference"/>
        </w:rPr>
        <w:footnoteRef/>
      </w:r>
      <w:r>
        <w:t xml:space="preserve"> </w:t>
      </w:r>
      <w:r w:rsidR="00ED590E">
        <w:tab/>
      </w:r>
      <w:r w:rsidRPr="005E2A62">
        <w:t>Although the Commission excludes local government activities from the equalisation process, transactions between States and their local governments, including State support for natural disaster relief, are included.</w:t>
      </w:r>
    </w:p>
  </w:footnote>
  <w:footnote w:id="36">
    <w:p w14:paraId="3C3C1F59" w14:textId="614FA803" w:rsidR="009B4602" w:rsidRDefault="009B4602" w:rsidP="00B80D74">
      <w:pPr>
        <w:pStyle w:val="FootnoteText"/>
      </w:pPr>
      <w:r>
        <w:rPr>
          <w:rStyle w:val="FootnoteReference"/>
        </w:rPr>
        <w:footnoteRef/>
      </w:r>
      <w:r>
        <w:t xml:space="preserve"> </w:t>
      </w:r>
      <w:r w:rsidR="00ED590E">
        <w:tab/>
      </w:r>
      <w:r w:rsidRPr="003F48F9">
        <w:t>The effective tax rate for a State is the actual tax raised by that State divided by the assessed tax base from which that tax is raised. The average effective tax rate is the sum of the revenues raised by each State, divided by the sum of the assessed tax bases</w:t>
      </w:r>
      <w:r>
        <w:t>.</w:t>
      </w:r>
    </w:p>
  </w:footnote>
  <w:footnote w:id="37">
    <w:p w14:paraId="698B5E7D" w14:textId="26E86947" w:rsidR="009B4602" w:rsidRDefault="009B4602" w:rsidP="00B80D74">
      <w:pPr>
        <w:pStyle w:val="FootnoteText"/>
      </w:pPr>
      <w:r>
        <w:rPr>
          <w:rStyle w:val="FootnoteReference"/>
        </w:rPr>
        <w:footnoteRef/>
      </w:r>
      <w:r>
        <w:t xml:space="preserve"> </w:t>
      </w:r>
      <w:r w:rsidR="00954819">
        <w:tab/>
      </w:r>
      <w:r>
        <w:t>Under a rotating standard approach, each State in turn is chosen as the standard State and its policies are applied to every other State. The results for each standard State are then population weighted to obtain a State’s assessed expense or assessed revenue.</w:t>
      </w:r>
    </w:p>
  </w:footnote>
  <w:footnote w:id="38">
    <w:p w14:paraId="22B4D45A" w14:textId="3D1BA21C" w:rsidR="009B4602" w:rsidRDefault="009B4602" w:rsidP="00B80D74">
      <w:pPr>
        <w:pStyle w:val="FootnoteText"/>
      </w:pPr>
      <w:r>
        <w:rPr>
          <w:rStyle w:val="FootnoteReference"/>
        </w:rPr>
        <w:footnoteRef/>
      </w:r>
      <w:r>
        <w:t xml:space="preserve"> </w:t>
      </w:r>
      <w:r w:rsidR="00954819">
        <w:tab/>
      </w:r>
      <w:r>
        <w:t>See Chapter</w:t>
      </w:r>
      <w:r w:rsidRPr="009760FD">
        <w:t xml:space="preserve"> </w:t>
      </w:r>
      <w:r>
        <w:t>11</w:t>
      </w:r>
      <w:r w:rsidRPr="009760FD">
        <w:t xml:space="preserve"> Mining</w:t>
      </w:r>
      <w:r>
        <w:t xml:space="preserve"> revenue</w:t>
      </w:r>
      <w:r w:rsidRPr="00D20983">
        <w:t>, for further details</w:t>
      </w:r>
      <w:r>
        <w:t xml:space="preserve"> on the policy neutrality of the Mining assessment.</w:t>
      </w:r>
    </w:p>
  </w:footnote>
  <w:footnote w:id="39">
    <w:p w14:paraId="0E434C9A" w14:textId="6826D36D" w:rsidR="009B4602" w:rsidRDefault="009B4602" w:rsidP="00B80D74">
      <w:pPr>
        <w:pStyle w:val="FootnoteText"/>
      </w:pPr>
      <w:r>
        <w:rPr>
          <w:rStyle w:val="FootnoteReference"/>
        </w:rPr>
        <w:footnoteRef/>
      </w:r>
      <w:r>
        <w:t xml:space="preserve"> </w:t>
      </w:r>
      <w:r w:rsidR="00954819">
        <w:tab/>
      </w:r>
      <w:r>
        <w:t xml:space="preserve">The Commission’s proposal was outlined in </w:t>
      </w:r>
      <w:r w:rsidRPr="00AB787D">
        <w:rPr>
          <w:i/>
        </w:rPr>
        <w:t xml:space="preserve">CGC 2017-21 </w:t>
      </w:r>
      <w:r>
        <w:rPr>
          <w:i/>
        </w:rPr>
        <w:t>—</w:t>
      </w:r>
      <w:r w:rsidRPr="00AB787D">
        <w:rPr>
          <w:i/>
        </w:rPr>
        <w:t xml:space="preserve"> The</w:t>
      </w:r>
      <w:r w:rsidRPr="006A10F6">
        <w:rPr>
          <w:i/>
        </w:rPr>
        <w:t xml:space="preserve"> Principle of HFE and its Implementation</w:t>
      </w:r>
      <w:r w:rsidRPr="009760FD">
        <w:t xml:space="preserve">, which </w:t>
      </w:r>
      <w:r w:rsidRPr="00AB787D">
        <w:t xml:space="preserve">is available on the </w:t>
      </w:r>
      <w:hyperlink r:id="rId2" w:history="1">
        <w:r w:rsidRPr="00C70F6D">
          <w:rPr>
            <w:rStyle w:val="Hyperlink"/>
          </w:rPr>
          <w:t>Commission website</w:t>
        </w:r>
      </w:hyperlink>
      <w:r>
        <w:t xml:space="preserve"> </w:t>
      </w:r>
      <w:r w:rsidRPr="002233A6">
        <w:t>(</w:t>
      </w:r>
      <w:r w:rsidRPr="00A45CA6">
        <w:t>https://cgc.gov.au/</w:t>
      </w:r>
      <w:r>
        <w:t>).</w:t>
      </w:r>
    </w:p>
  </w:footnote>
  <w:footnote w:id="40">
    <w:p w14:paraId="46DE637F" w14:textId="3489F2D6" w:rsidR="009B4602" w:rsidRDefault="009B4602" w:rsidP="00B80D74">
      <w:pPr>
        <w:pStyle w:val="FootnoteText"/>
      </w:pPr>
      <w:r>
        <w:rPr>
          <w:rStyle w:val="FootnoteReference"/>
        </w:rPr>
        <w:footnoteRef/>
      </w:r>
      <w:r>
        <w:t xml:space="preserve"> </w:t>
      </w:r>
      <w:r w:rsidR="00954819">
        <w:tab/>
      </w:r>
      <w:r w:rsidRPr="009B20A4">
        <w:t xml:space="preserve">Western Australia said that the </w:t>
      </w:r>
      <w:r>
        <w:t xml:space="preserve">revenue assessments should recognise the </w:t>
      </w:r>
      <w:r w:rsidRPr="009B20A4">
        <w:t>effects of past policies on current revenue bases in some manner, including by applying a discount</w:t>
      </w:r>
      <w:r>
        <w:t>.</w:t>
      </w:r>
    </w:p>
  </w:footnote>
  <w:footnote w:id="41">
    <w:p w14:paraId="5C9BD7C7" w14:textId="4944B121" w:rsidR="009B4602" w:rsidRDefault="009B4602" w:rsidP="00B80D74">
      <w:pPr>
        <w:pStyle w:val="FootnoteText"/>
      </w:pPr>
      <w:r>
        <w:rPr>
          <w:rStyle w:val="FootnoteReference"/>
        </w:rPr>
        <w:footnoteRef/>
      </w:r>
      <w:r>
        <w:t xml:space="preserve"> </w:t>
      </w:r>
      <w:r w:rsidR="00954819">
        <w:tab/>
      </w:r>
      <w:r>
        <w:t>The particular example Western Australia provided was the North West Shelf project.</w:t>
      </w:r>
    </w:p>
  </w:footnote>
  <w:footnote w:id="42">
    <w:p w14:paraId="61B1C28F" w14:textId="1F8D9072" w:rsidR="009B4602" w:rsidRDefault="009B4602" w:rsidP="00B80D74">
      <w:pPr>
        <w:pStyle w:val="FootnoteText"/>
      </w:pPr>
      <w:r>
        <w:rPr>
          <w:rStyle w:val="FootnoteReference"/>
        </w:rPr>
        <w:footnoteRef/>
      </w:r>
      <w:r>
        <w:t xml:space="preserve"> </w:t>
      </w:r>
      <w:r w:rsidR="00954819">
        <w:tab/>
      </w:r>
      <w:r>
        <w:t>This refers to the historical assessment years (currently three years) on which the relativity calculations are based.</w:t>
      </w:r>
    </w:p>
  </w:footnote>
  <w:footnote w:id="43">
    <w:p w14:paraId="7B81DCE9" w14:textId="14EB28A1" w:rsidR="009B4602" w:rsidRDefault="009B4602" w:rsidP="00B80D74">
      <w:pPr>
        <w:pStyle w:val="FootnoteText"/>
      </w:pPr>
      <w:r>
        <w:rPr>
          <w:rStyle w:val="FootnoteReference"/>
        </w:rPr>
        <w:footnoteRef/>
      </w:r>
      <w:r>
        <w:t xml:space="preserve"> </w:t>
      </w:r>
      <w:r w:rsidR="00954819">
        <w:tab/>
      </w:r>
      <w:r>
        <w:t>It is worth noting that Western Australia’s budget papers for 2011-12 provided a reasonably realistic forecast of the impact on its GST share in future years of its surging own-source revenues. This suggests that the problem Western Australia then faced was something other than its ability to predict its future relativities.</w:t>
      </w:r>
    </w:p>
  </w:footnote>
  <w:footnote w:id="44">
    <w:p w14:paraId="4004C53D" w14:textId="00073518" w:rsidR="009B4602" w:rsidRDefault="009B4602" w:rsidP="00B80D74">
      <w:pPr>
        <w:pStyle w:val="FootnoteText"/>
      </w:pPr>
      <w:r>
        <w:rPr>
          <w:rStyle w:val="FootnoteReference"/>
        </w:rPr>
        <w:footnoteRef/>
      </w:r>
      <w:r>
        <w:t xml:space="preserve"> </w:t>
      </w:r>
      <w:r w:rsidR="00954819">
        <w:tab/>
      </w:r>
      <w:r w:rsidRPr="00DA79C2">
        <w:t>For example, the application year for the relativities recommende</w:t>
      </w:r>
      <w:r>
        <w:t xml:space="preserve">d by the Commission in </w:t>
      </w:r>
      <w:r w:rsidR="00AF7A44">
        <w:t>the 2020 Review</w:t>
      </w:r>
      <w:r w:rsidRPr="00DA79C2">
        <w:t xml:space="preserve"> </w:t>
      </w:r>
      <w:r w:rsidR="00AF7A44">
        <w:t>r</w:t>
      </w:r>
      <w:r w:rsidRPr="00DA79C2">
        <w:t>eport is 201</w:t>
      </w:r>
      <w:r>
        <w:t>9</w:t>
      </w:r>
      <w:r w:rsidRPr="00DA79C2">
        <w:t>-</w:t>
      </w:r>
      <w:r>
        <w:t>20</w:t>
      </w:r>
      <w:r w:rsidRPr="00DA79C2">
        <w:t>. These relativities were derived from the average of the relativities calculated for the 201</w:t>
      </w:r>
      <w:r>
        <w:t>6</w:t>
      </w:r>
      <w:r w:rsidRPr="00DA79C2">
        <w:t>-1</w:t>
      </w:r>
      <w:r>
        <w:t>7</w:t>
      </w:r>
      <w:r w:rsidR="00CF5969">
        <w:t>,</w:t>
      </w:r>
      <w:r w:rsidRPr="00DA79C2">
        <w:t xml:space="preserve"> 201</w:t>
      </w:r>
      <w:r>
        <w:t>7</w:t>
      </w:r>
      <w:r w:rsidRPr="00DA79C2">
        <w:t>-1</w:t>
      </w:r>
      <w:r>
        <w:t>8</w:t>
      </w:r>
      <w:r w:rsidRPr="00DA79C2">
        <w:t xml:space="preserve"> and 201</w:t>
      </w:r>
      <w:r w:rsidR="000D025B">
        <w:t>8</w:t>
      </w:r>
      <w:r w:rsidRPr="00DA79C2">
        <w:t>-1</w:t>
      </w:r>
      <w:r w:rsidR="000D025B">
        <w:t>9</w:t>
      </w:r>
      <w:r w:rsidRPr="00DA79C2">
        <w:t xml:space="preserve"> assessment years</w:t>
      </w:r>
      <w:r>
        <w:t xml:space="preserve"> (the assessment window).</w:t>
      </w:r>
    </w:p>
  </w:footnote>
  <w:footnote w:id="45">
    <w:p w14:paraId="120F92E6" w14:textId="4FAA48EE" w:rsidR="009B4602" w:rsidRDefault="009B4602" w:rsidP="00B80D74">
      <w:pPr>
        <w:pStyle w:val="FootnoteText"/>
      </w:pPr>
      <w:r>
        <w:rPr>
          <w:rStyle w:val="FootnoteReference"/>
        </w:rPr>
        <w:footnoteRef/>
      </w:r>
      <w:r>
        <w:t xml:space="preserve"> </w:t>
      </w:r>
      <w:r w:rsidR="00954819">
        <w:tab/>
      </w:r>
      <w:r w:rsidRPr="00DA79C2">
        <w:t>It would require application year data on State revenues, spending and associated State disabilities</w:t>
      </w:r>
      <w:r>
        <w:t>.</w:t>
      </w:r>
    </w:p>
  </w:footnote>
  <w:footnote w:id="46">
    <w:p w14:paraId="7A833DF2" w14:textId="52BCA2A2" w:rsidR="009B4602" w:rsidRDefault="009B4602" w:rsidP="00B80D74">
      <w:pPr>
        <w:pStyle w:val="FootnoteText"/>
      </w:pPr>
      <w:r>
        <w:rPr>
          <w:rStyle w:val="FootnoteReference"/>
        </w:rPr>
        <w:footnoteRef/>
      </w:r>
      <w:r>
        <w:t xml:space="preserve"> </w:t>
      </w:r>
      <w:r w:rsidR="00954819">
        <w:tab/>
      </w:r>
      <w:r w:rsidRPr="00DA79C2">
        <w:t xml:space="preserve">Under an absorption </w:t>
      </w:r>
      <w:r>
        <w:t xml:space="preserve">approach, </w:t>
      </w:r>
      <w:r w:rsidRPr="00DA79C2">
        <w:t>State GST shares in the application year</w:t>
      </w:r>
      <w:r>
        <w:t xml:space="preserve"> depend on the distribution of PSPs in the application year, rather than their distribution in the assessment years.</w:t>
      </w:r>
    </w:p>
  </w:footnote>
  <w:footnote w:id="47">
    <w:p w14:paraId="17EC5631" w14:textId="35E58DA4" w:rsidR="009B4602" w:rsidRDefault="009B4602" w:rsidP="00B80D74">
      <w:pPr>
        <w:pStyle w:val="FootnoteText"/>
      </w:pPr>
      <w:r>
        <w:rPr>
          <w:rStyle w:val="FootnoteReference"/>
        </w:rPr>
        <w:footnoteRef/>
      </w:r>
      <w:r>
        <w:t xml:space="preserve"> </w:t>
      </w:r>
      <w:r w:rsidR="00954819">
        <w:tab/>
      </w:r>
      <w:r w:rsidR="00370E6C">
        <w:t>See</w:t>
      </w:r>
      <w:r>
        <w:t xml:space="preserve"> </w:t>
      </w:r>
      <w:r w:rsidRPr="00E72F90">
        <w:rPr>
          <w:i/>
        </w:rPr>
        <w:t>Staff Research Paper CGC 2017-05 S</w:t>
      </w:r>
      <w:r>
        <w:t xml:space="preserve"> </w:t>
      </w:r>
      <w:r w:rsidR="00370E6C" w:rsidRPr="005E2A62">
        <w:t xml:space="preserve">— </w:t>
      </w:r>
      <w:r w:rsidR="00370E6C" w:rsidRPr="005E2A62">
        <w:rPr>
          <w:i/>
        </w:rPr>
        <w:t>Options for Improving Contemporaneity</w:t>
      </w:r>
      <w:r w:rsidR="00370E6C">
        <w:rPr>
          <w:i/>
        </w:rPr>
        <w:t xml:space="preserve">, </w:t>
      </w:r>
      <w:r w:rsidR="00370E6C" w:rsidRPr="00370E6C">
        <w:rPr>
          <w:iCs/>
        </w:rPr>
        <w:t xml:space="preserve">which </w:t>
      </w:r>
      <w:r>
        <w:t>set</w:t>
      </w:r>
      <w:r w:rsidR="00370E6C">
        <w:t>s</w:t>
      </w:r>
      <w:r>
        <w:t xml:space="preserve"> out options for making the Commission’s recommendations more contemporaneous.</w:t>
      </w:r>
    </w:p>
  </w:footnote>
  <w:footnote w:id="48">
    <w:p w14:paraId="60B35138" w14:textId="61AA825A" w:rsidR="009B4602" w:rsidRPr="005E2A62" w:rsidRDefault="009B4602" w:rsidP="00B80D74">
      <w:pPr>
        <w:pStyle w:val="FootnoteText"/>
      </w:pPr>
      <w:r>
        <w:rPr>
          <w:rStyle w:val="FootnoteReference"/>
        </w:rPr>
        <w:footnoteRef/>
      </w:r>
      <w:r>
        <w:t xml:space="preserve"> </w:t>
      </w:r>
      <w:r w:rsidR="00370E6C">
        <w:tab/>
      </w:r>
      <w:r w:rsidRPr="005E2A62">
        <w:t>The response to the Treasurer’s letter on the treatment of large and volatile State revenue, prepared as part of the 2015 Review, is available on the CGC website.</w:t>
      </w:r>
    </w:p>
  </w:footnote>
  <w:footnote w:id="49">
    <w:p w14:paraId="5A3FACC1" w14:textId="655792B5" w:rsidR="009B4602" w:rsidRDefault="009B4602" w:rsidP="00B80D74">
      <w:pPr>
        <w:pStyle w:val="FootnoteText"/>
      </w:pPr>
      <w:r w:rsidRPr="005E2A62">
        <w:rPr>
          <w:rStyle w:val="FootnoteReference"/>
        </w:rPr>
        <w:footnoteRef/>
      </w:r>
      <w:r>
        <w:t xml:space="preserve"> </w:t>
      </w:r>
      <w:r w:rsidR="00370E6C">
        <w:tab/>
      </w:r>
      <w:r w:rsidRPr="00370E6C">
        <w:rPr>
          <w:i/>
        </w:rPr>
        <w:t>Staff discussion paper</w:t>
      </w:r>
      <w:r w:rsidRPr="005E2A62">
        <w:t xml:space="preserve"> </w:t>
      </w:r>
      <w:r w:rsidRPr="00370E6C">
        <w:rPr>
          <w:i/>
        </w:rPr>
        <w:t>CGC 2017</w:t>
      </w:r>
      <w:r w:rsidRPr="00370E6C">
        <w:rPr>
          <w:i/>
        </w:rPr>
        <w:noBreakHyphen/>
        <w:t>05</w:t>
      </w:r>
      <w:r w:rsidRPr="00370E6C">
        <w:rPr>
          <w:i/>
        </w:rPr>
        <w:noBreakHyphen/>
        <w:t>S —</w:t>
      </w:r>
      <w:r w:rsidRPr="005E2A62">
        <w:t xml:space="preserve"> </w:t>
      </w:r>
      <w:r w:rsidRPr="005E2A62">
        <w:rPr>
          <w:i/>
        </w:rPr>
        <w:t>Options for Improving Contemporaneity</w:t>
      </w:r>
      <w:r w:rsidRPr="005E2A62">
        <w:t xml:space="preserve"> is available on the CGC website.</w:t>
      </w:r>
    </w:p>
  </w:footnote>
  <w:footnote w:id="50">
    <w:p w14:paraId="57D35907" w14:textId="381A3D32" w:rsidR="009B4602" w:rsidRDefault="009B4602" w:rsidP="00B80D74">
      <w:pPr>
        <w:pStyle w:val="FootnoteText"/>
      </w:pPr>
      <w:r>
        <w:rPr>
          <w:rStyle w:val="FootnoteReference"/>
        </w:rPr>
        <w:footnoteRef/>
      </w:r>
      <w:r>
        <w:t xml:space="preserve"> </w:t>
      </w:r>
      <w:r w:rsidR="00370E6C">
        <w:tab/>
      </w:r>
      <w:r w:rsidRPr="00125896">
        <w:t xml:space="preserve">Under an EPC approach, </w:t>
      </w:r>
      <w:r>
        <w:t xml:space="preserve">there would be no assessments and so no issues regarding what State do, policy neutrality and practicality would arise. The only issue would be the choice of a year, with contemporaneity suggesting application year populations. </w:t>
      </w:r>
    </w:p>
  </w:footnote>
  <w:footnote w:id="51">
    <w:p w14:paraId="620B577A" w14:textId="281F979B" w:rsidR="00CA57AD" w:rsidRDefault="00CA57AD" w:rsidP="00B80D74">
      <w:pPr>
        <w:pStyle w:val="FootnoteText"/>
      </w:pPr>
      <w:r>
        <w:rPr>
          <w:rStyle w:val="FootnoteReference"/>
        </w:rPr>
        <w:footnoteRef/>
      </w:r>
      <w:r>
        <w:t xml:space="preserve"> </w:t>
      </w:r>
      <w:r w:rsidR="00370E6C">
        <w:tab/>
      </w:r>
      <w:r>
        <w:t xml:space="preserve">See </w:t>
      </w:r>
      <w:r w:rsidRPr="00EA30E3">
        <w:t>Chapter 7 Land tax</w:t>
      </w:r>
      <w:r>
        <w:t xml:space="preserve"> and </w:t>
      </w:r>
      <w:r w:rsidRPr="00EA30E3">
        <w:t xml:space="preserve">Chapter 15 Health </w:t>
      </w:r>
      <w:r w:rsidR="005D6B5E">
        <w:t xml:space="preserve">for </w:t>
      </w:r>
      <w:r w:rsidR="004546DF">
        <w:t>discussion</w:t>
      </w:r>
      <w:r>
        <w:t xml:space="preserve"> of the decisions to reduce or remove discounts.</w:t>
      </w:r>
    </w:p>
  </w:footnote>
  <w:footnote w:id="52">
    <w:p w14:paraId="6827DFC6" w14:textId="05D692FE" w:rsidR="00CA57AD" w:rsidRDefault="00CA57AD" w:rsidP="00B80D74">
      <w:pPr>
        <w:pStyle w:val="FootnoteText"/>
      </w:pPr>
      <w:r>
        <w:rPr>
          <w:rStyle w:val="FootnoteReference"/>
        </w:rPr>
        <w:footnoteRef/>
      </w:r>
      <w:r>
        <w:t xml:space="preserve"> </w:t>
      </w:r>
      <w:r w:rsidR="00370E6C">
        <w:tab/>
      </w:r>
      <w:r>
        <w:t xml:space="preserve">See </w:t>
      </w:r>
      <w:r w:rsidRPr="00EA30E3">
        <w:t>Chapter 21 Transport</w:t>
      </w:r>
      <w:r>
        <w:t xml:space="preserve"> for discussion of the decisions to blend assessments rather than discount towards EPC. </w:t>
      </w:r>
    </w:p>
  </w:footnote>
  <w:footnote w:id="53">
    <w:p w14:paraId="5CC0A3D1" w14:textId="37DC38BB" w:rsidR="00CA57AD" w:rsidRDefault="00CA57AD" w:rsidP="00B80D74">
      <w:pPr>
        <w:pStyle w:val="FootnoteText"/>
      </w:pPr>
      <w:r>
        <w:rPr>
          <w:rStyle w:val="FootnoteReference"/>
        </w:rPr>
        <w:footnoteRef/>
      </w:r>
      <w:r>
        <w:t xml:space="preserve"> </w:t>
      </w:r>
      <w:r w:rsidR="00AD001C">
        <w:tab/>
      </w:r>
      <w:r>
        <w:t xml:space="preserve">See the final report for the 2017 Update, which is available on the </w:t>
      </w:r>
      <w:hyperlink r:id="rId3" w:history="1">
        <w:r w:rsidRPr="00C70F6D">
          <w:rPr>
            <w:rStyle w:val="Hyperlink"/>
          </w:rPr>
          <w:t>Commission website</w:t>
        </w:r>
      </w:hyperlink>
      <w:r>
        <w:t xml:space="preserve"> </w:t>
      </w:r>
      <w:r w:rsidRPr="002233A6">
        <w:t>(</w:t>
      </w:r>
      <w:hyperlink r:id="rId4" w:history="1">
        <w:r w:rsidRPr="003A430F">
          <w:t>https://cgc.gov.au/</w:t>
        </w:r>
      </w:hyperlink>
      <w:r>
        <w:t xml:space="preserve">). </w:t>
      </w:r>
    </w:p>
  </w:footnote>
  <w:footnote w:id="54">
    <w:p w14:paraId="57127AA0" w14:textId="51C56CC8" w:rsidR="00FC0498" w:rsidRDefault="00FC0498" w:rsidP="00FC0498">
      <w:pPr>
        <w:pStyle w:val="FootnoteText"/>
      </w:pPr>
      <w:r>
        <w:rPr>
          <w:rStyle w:val="FootnoteReference"/>
        </w:rPr>
        <w:footnoteRef/>
      </w:r>
      <w:r>
        <w:rPr>
          <w:rStyle w:val="FootnoteReference"/>
        </w:rPr>
        <w:footnoteRef/>
      </w:r>
      <w:r>
        <w:t xml:space="preserve"> </w:t>
      </w:r>
      <w:r w:rsidR="00AD001C">
        <w:tab/>
      </w:r>
      <w:r w:rsidR="00CA5DC7">
        <w:t>Clause</w:t>
      </w:r>
      <w:r>
        <w:t xml:space="preserve"> 4 of the </w:t>
      </w:r>
      <w:r w:rsidRPr="00976647">
        <w:rPr>
          <w:i/>
        </w:rPr>
        <w:t>Treasury Laws Amendment (Making Sure Every State and Territory Gets Their Fair Share of GST) Act 2018</w:t>
      </w:r>
      <w:r>
        <w:rPr>
          <w:i/>
        </w:rPr>
        <w:t xml:space="preserve"> </w:t>
      </w:r>
      <w:r>
        <w:t>also specifies that by the end of 2026 the Productivity Commission is to hold an inquiry into whether the changes are operating efficiently, effectively and as intended, as well as into the fiscal implications for the States.</w:t>
      </w:r>
    </w:p>
  </w:footnote>
  <w:footnote w:id="55">
    <w:p w14:paraId="7AF72B5B" w14:textId="0437ABD0" w:rsidR="00FC0498" w:rsidRDefault="00FC0498" w:rsidP="00FC0498">
      <w:pPr>
        <w:pStyle w:val="FootnoteText"/>
      </w:pPr>
      <w:r>
        <w:rPr>
          <w:rStyle w:val="FootnoteReference"/>
        </w:rPr>
        <w:footnoteRef/>
      </w:r>
      <w:r>
        <w:t xml:space="preserve"> </w:t>
      </w:r>
      <w:r w:rsidR="00AD001C">
        <w:tab/>
      </w:r>
      <w:r>
        <w:t xml:space="preserve">Subsection 16AB(2) of the amended </w:t>
      </w:r>
      <w:r w:rsidRPr="000B7CC5">
        <w:t>Commonwealth Grants Commission Act 1973</w:t>
      </w:r>
      <w:r>
        <w:t>.</w:t>
      </w:r>
    </w:p>
  </w:footnote>
  <w:footnote w:id="56">
    <w:p w14:paraId="77473D16" w14:textId="66C6F63E" w:rsidR="00FC0498" w:rsidRDefault="00FC0498" w:rsidP="00FC0498">
      <w:pPr>
        <w:pStyle w:val="FootnoteText"/>
      </w:pPr>
      <w:r>
        <w:rPr>
          <w:rStyle w:val="FootnoteReference"/>
        </w:rPr>
        <w:footnoteRef/>
      </w:r>
      <w:r>
        <w:t xml:space="preserve"> </w:t>
      </w:r>
      <w:r w:rsidR="00AD001C">
        <w:tab/>
      </w:r>
      <w:r w:rsidRPr="007F3532">
        <w:t xml:space="preserve">The </w:t>
      </w:r>
      <w:r w:rsidRPr="00976647">
        <w:rPr>
          <w:i/>
        </w:rPr>
        <w:t>Treasury Laws Amendment (Making Sure Every State and Territory Gets Their Fair Share of GST) Act 2018</w:t>
      </w:r>
      <w:r w:rsidRPr="007F3532">
        <w:t xml:space="preserve"> and its explanatory memorandum variously refer to the current, old or previous HFE arrangements as ‘applying a full equalisation standard’ (which this </w:t>
      </w:r>
      <w:r w:rsidR="007727B0">
        <w:t>chapter</w:t>
      </w:r>
      <w:r w:rsidRPr="007F3532">
        <w:t xml:space="preserve"> refers to as the previous arrangements)</w:t>
      </w:r>
      <w:r>
        <w:t>. T</w:t>
      </w:r>
      <w:r w:rsidRPr="007F3532">
        <w:t xml:space="preserve">he new or updated HFE system </w:t>
      </w:r>
      <w:r>
        <w:t xml:space="preserve">is referred to </w:t>
      </w:r>
      <w:r w:rsidRPr="007F3532">
        <w:t xml:space="preserve">as ‘applying a reasonable equalisation standard’ (which this </w:t>
      </w:r>
      <w:r w:rsidR="007727B0">
        <w:t>chapter</w:t>
      </w:r>
      <w:r w:rsidRPr="007F3532">
        <w:t xml:space="preserve"> refers to as the new arrangements).</w:t>
      </w:r>
    </w:p>
  </w:footnote>
  <w:footnote w:id="57">
    <w:p w14:paraId="02FF7F17" w14:textId="1DEB1C5C" w:rsidR="00FC0498" w:rsidRDefault="00FC0498" w:rsidP="00FC0498">
      <w:pPr>
        <w:pStyle w:val="FootnoteText"/>
      </w:pPr>
      <w:r>
        <w:rPr>
          <w:rStyle w:val="FootnoteReference"/>
        </w:rPr>
        <w:footnoteRef/>
      </w:r>
      <w:r>
        <w:t xml:space="preserve"> </w:t>
      </w:r>
      <w:r w:rsidR="00AD001C">
        <w:tab/>
      </w:r>
      <w:r>
        <w:t xml:space="preserve">Subsections 8(2A) and 8(2B) of the amended </w:t>
      </w:r>
      <w:r w:rsidRPr="000E4C7A">
        <w:rPr>
          <w:i/>
        </w:rPr>
        <w:t>Federal Financial Relations Act 2009</w:t>
      </w:r>
      <w:r>
        <w:rPr>
          <w:i/>
        </w:rPr>
        <w:t>.</w:t>
      </w:r>
    </w:p>
  </w:footnote>
  <w:footnote w:id="58">
    <w:p w14:paraId="1EBB3FD8" w14:textId="5FABB7E2" w:rsidR="00FC0498" w:rsidRDefault="00FC0498" w:rsidP="00FC0498">
      <w:pPr>
        <w:pStyle w:val="FootnoteText"/>
      </w:pPr>
      <w:r>
        <w:rPr>
          <w:rStyle w:val="FootnoteReference"/>
        </w:rPr>
        <w:footnoteRef/>
      </w:r>
      <w:r>
        <w:t xml:space="preserve"> </w:t>
      </w:r>
      <w:r w:rsidR="00AD001C">
        <w:tab/>
      </w:r>
      <w:r>
        <w:t xml:space="preserve">Section 8A of the amended </w:t>
      </w:r>
      <w:r w:rsidRPr="00191B85">
        <w:rPr>
          <w:i/>
        </w:rPr>
        <w:t>Federal Financial Relations Act 2009</w:t>
      </w:r>
      <w:r>
        <w:t xml:space="preserve"> describes the pool top-ups for a payment year</w:t>
      </w:r>
      <w:r>
        <w:rPr>
          <w:i/>
        </w:rPr>
        <w:t>.</w:t>
      </w:r>
      <w:r>
        <w:t xml:space="preserve"> </w:t>
      </w:r>
    </w:p>
  </w:footnote>
  <w:footnote w:id="59">
    <w:p w14:paraId="108CF493" w14:textId="22C002A3" w:rsidR="00FC0498" w:rsidRDefault="00FC0498" w:rsidP="00FC0498">
      <w:pPr>
        <w:pStyle w:val="FootnoteText"/>
      </w:pPr>
      <w:r>
        <w:rPr>
          <w:rStyle w:val="FootnoteReference"/>
        </w:rPr>
        <w:footnoteRef/>
      </w:r>
      <w:r w:rsidR="00AD001C">
        <w:tab/>
      </w:r>
      <w:r>
        <w:t>The legislation refers to arrangements in place prior to 2021-22 as ‘previous’ arrangements. This terminology is used for the remainder of this chapter. Y</w:t>
      </w:r>
      <w:r w:rsidRPr="007F3532">
        <w:t>ears 2021-22 to 2025-26 are transition years where the move from the full equalisation standard to the reasonable equalisation standard is ‘rolled out in broadly equivalent steps’ (see para</w:t>
      </w:r>
      <w:r>
        <w:t>graph</w:t>
      </w:r>
      <w:r w:rsidRPr="007F3532">
        <w:t xml:space="preserve"> 1.54 of the explanatory memorandum).</w:t>
      </w:r>
      <w:r>
        <w:t xml:space="preserve"> Subsection 16AB(3)(b)(ii) of the amended </w:t>
      </w:r>
      <w:r w:rsidRPr="00985B9C">
        <w:rPr>
          <w:i/>
        </w:rPr>
        <w:t>Commonwealth Grants Commission Act 1973</w:t>
      </w:r>
      <w:r>
        <w:t xml:space="preserve"> includes a table describing the proportions of the relativities to be derived from the previous and new arrangements over the transition years 2021-22 to 2025-26.</w:t>
      </w:r>
    </w:p>
  </w:footnote>
  <w:footnote w:id="60">
    <w:p w14:paraId="0A8F713D" w14:textId="57EAB197" w:rsidR="00FC0498" w:rsidRDefault="00FC0498" w:rsidP="00FC0498">
      <w:pPr>
        <w:pStyle w:val="FootnoteText"/>
      </w:pPr>
      <w:r>
        <w:rPr>
          <w:rStyle w:val="FootnoteReference"/>
        </w:rPr>
        <w:footnoteRef/>
      </w:r>
      <w:r>
        <w:t xml:space="preserve"> </w:t>
      </w:r>
      <w:r w:rsidR="00AD001C">
        <w:tab/>
      </w:r>
      <w:r>
        <w:t xml:space="preserve">Subsections 5(2) and (3) of the amended </w:t>
      </w:r>
      <w:r w:rsidRPr="000E4C7A">
        <w:rPr>
          <w:i/>
        </w:rPr>
        <w:t>Federal Financial Relations Act 2009</w:t>
      </w:r>
      <w:r>
        <w:rPr>
          <w:i/>
        </w:rPr>
        <w:t>.</w:t>
      </w:r>
    </w:p>
  </w:footnote>
  <w:footnote w:id="61">
    <w:p w14:paraId="3BF7EFBA" w14:textId="3B31F8AA" w:rsidR="00FC0498" w:rsidRDefault="00FC0498" w:rsidP="00FC0498">
      <w:pPr>
        <w:pStyle w:val="FootnoteText"/>
      </w:pPr>
      <w:r>
        <w:rPr>
          <w:rStyle w:val="FootnoteReference"/>
        </w:rPr>
        <w:footnoteRef/>
      </w:r>
      <w:r>
        <w:t xml:space="preserve">  </w:t>
      </w:r>
      <w:r w:rsidR="009E30A6">
        <w:tab/>
      </w:r>
      <w:r>
        <w:t xml:space="preserve">In the </w:t>
      </w:r>
      <w:r w:rsidRPr="000E3270">
        <w:rPr>
          <w:i/>
        </w:rPr>
        <w:t>Federal Financial Relations Act 2009</w:t>
      </w:r>
      <w:r>
        <w:t xml:space="preserve"> relativities are also referred to as ‘factors’. The relativities (or factors) determined by the Treasurer are used to adjust State populations and hence determine State shares of the GST revenue pool (with each State’s share based upon its share of the total adjusted populations).</w:t>
      </w:r>
    </w:p>
  </w:footnote>
  <w:footnote w:id="62">
    <w:p w14:paraId="31B47FBF" w14:textId="3C6040E9" w:rsidR="00FC0498" w:rsidRDefault="00FC0498" w:rsidP="00FC0498">
      <w:pPr>
        <w:pStyle w:val="FootnoteText"/>
      </w:pPr>
      <w:r>
        <w:rPr>
          <w:rStyle w:val="FootnoteReference"/>
        </w:rPr>
        <w:footnoteRef/>
      </w:r>
      <w:r w:rsidR="009E30A6">
        <w:tab/>
      </w:r>
      <w:r>
        <w:t>Where there is a major change in Commonwealth State arrangements in an application year that is not present in the relevant assessment years for an inquiry, the Commission may ‘backcast’ the effect of the changed arrangements into the assessment years. It can occur when there is a change in the distribution pattern across States of Commonwealth Payments for Specific Purposes.</w:t>
      </w:r>
    </w:p>
  </w:footnote>
  <w:footnote w:id="63">
    <w:p w14:paraId="74959FAB" w14:textId="0B82631E" w:rsidR="00FC0498" w:rsidRDefault="00FC0498" w:rsidP="00FC0498">
      <w:pPr>
        <w:pStyle w:val="FootnoteText"/>
      </w:pPr>
      <w:r>
        <w:rPr>
          <w:rStyle w:val="FootnoteReference"/>
        </w:rPr>
        <w:footnoteRef/>
      </w:r>
      <w:r>
        <w:t xml:space="preserve"> </w:t>
      </w:r>
      <w:r w:rsidR="009E30A6">
        <w:tab/>
      </w:r>
      <w:r>
        <w:t>For example, from 2014-15 to 2015-16, GST revenue grew by 5.5%, while growth reduced to 4.3% from 2015-16 to 2016-17, before returning to 5.5% in the following year.</w:t>
      </w:r>
    </w:p>
  </w:footnote>
  <w:footnote w:id="64">
    <w:p w14:paraId="2B1B68CB" w14:textId="24211A2A" w:rsidR="00FC0498" w:rsidRDefault="00FC0498" w:rsidP="00FC0498">
      <w:pPr>
        <w:pStyle w:val="FootnoteText"/>
      </w:pPr>
      <w:r>
        <w:rPr>
          <w:rStyle w:val="FootnoteReference"/>
        </w:rPr>
        <w:footnoteRef/>
      </w:r>
      <w:r>
        <w:t xml:space="preserve"> </w:t>
      </w:r>
      <w:r w:rsidR="009E30A6">
        <w:tab/>
      </w:r>
      <w:r>
        <w:t>It is conceivable that the standard State will vary between New South Wales and Victoria from assessment year to assessment year.</w:t>
      </w:r>
    </w:p>
  </w:footnote>
  <w:footnote w:id="65">
    <w:p w14:paraId="55900F62" w14:textId="30AC5409" w:rsidR="00FC0498" w:rsidRDefault="00FC0498" w:rsidP="00FC0498">
      <w:pPr>
        <w:pStyle w:val="FootnoteText"/>
      </w:pPr>
      <w:r>
        <w:rPr>
          <w:rStyle w:val="FootnoteReference"/>
        </w:rPr>
        <w:footnoteRef/>
      </w:r>
      <w:r w:rsidR="00E41AF3">
        <w:tab/>
      </w:r>
      <w:r>
        <w:t>This approach differs slightly from that adopted by the Productivity Commission and the Australian Treasury. In their modelling, they derived standard State relativities using application year estimates of the GST pool and State populations. If standard State relativities are based on application year pools and populations, then the calculation of standard State relativities could differ, most likely only slightly, depending on the estimates used. The Commission’s approach avoids the question of which application year pool and population estimates to use in the calculations.</w:t>
      </w:r>
    </w:p>
  </w:footnote>
  <w:footnote w:id="66">
    <w:p w14:paraId="12AB0210" w14:textId="5E209E0B" w:rsidR="00FC0498" w:rsidRDefault="00FC0498" w:rsidP="00FC0498">
      <w:pPr>
        <w:pStyle w:val="FootnoteText"/>
      </w:pPr>
      <w:r>
        <w:rPr>
          <w:rStyle w:val="FootnoteReference"/>
        </w:rPr>
        <w:footnoteRef/>
      </w:r>
      <w:r>
        <w:t xml:space="preserve"> </w:t>
      </w:r>
      <w:r w:rsidR="00E41AF3">
        <w:tab/>
      </w:r>
      <w:r>
        <w:t>From 2022</w:t>
      </w:r>
      <w:r>
        <w:noBreakHyphen/>
        <w:t>23, the Treasurer cannot make a determination of a relativity factor for a State less than the relevant relativity floor applying at the time.</w:t>
      </w:r>
    </w:p>
  </w:footnote>
  <w:footnote w:id="67">
    <w:p w14:paraId="16643466" w14:textId="43F8769F" w:rsidR="00FC0498" w:rsidRDefault="00FC0498" w:rsidP="00FC0498">
      <w:pPr>
        <w:pStyle w:val="FootnoteText"/>
      </w:pPr>
      <w:r>
        <w:rPr>
          <w:rStyle w:val="FootnoteReference"/>
        </w:rPr>
        <w:footnoteRef/>
      </w:r>
      <w:r>
        <w:t xml:space="preserve"> </w:t>
      </w:r>
      <w:r w:rsidR="009E30A6">
        <w:tab/>
      </w:r>
      <w:r w:rsidRPr="00AB5B45">
        <w:rPr>
          <w:i/>
        </w:rPr>
        <w:t>Treasury Laws Amendment (Making sure every State and Territory gets their Fair Share of GST) Act 2018</w:t>
      </w:r>
      <w:r>
        <w:t>,</w:t>
      </w:r>
      <w:r>
        <w:rPr>
          <w:shd w:val="clear" w:color="auto" w:fill="FFFFFF"/>
        </w:rPr>
        <w:t xml:space="preserve"> </w:t>
      </w:r>
      <w:r>
        <w:t>Schedule 1, section 1, paragraph 16AB(2).</w:t>
      </w:r>
    </w:p>
  </w:footnote>
  <w:footnote w:id="68">
    <w:p w14:paraId="1D3AF104" w14:textId="2DEB7B1E" w:rsidR="00FC0498" w:rsidRDefault="00FC0498" w:rsidP="00FC0498">
      <w:pPr>
        <w:pStyle w:val="FootnoteText"/>
      </w:pPr>
      <w:r>
        <w:rPr>
          <w:rStyle w:val="FootnoteReference"/>
        </w:rPr>
        <w:footnoteRef/>
      </w:r>
      <w:r>
        <w:t xml:space="preserve"> </w:t>
      </w:r>
      <w:r w:rsidR="009E30A6">
        <w:tab/>
      </w:r>
      <w:r>
        <w:t>Ibid. Schedule 1, section 1, paragraph 16AB(3).</w:t>
      </w:r>
    </w:p>
  </w:footnote>
  <w:footnote w:id="69">
    <w:p w14:paraId="793CF6A0" w14:textId="3DDF0112" w:rsidR="00FC0498" w:rsidRDefault="00FC0498" w:rsidP="00FC0498">
      <w:pPr>
        <w:pStyle w:val="FootnoteText"/>
      </w:pPr>
      <w:r>
        <w:rPr>
          <w:rStyle w:val="FootnoteReference"/>
        </w:rPr>
        <w:footnoteRef/>
      </w:r>
      <w:r>
        <w:t xml:space="preserve"> </w:t>
      </w:r>
      <w:r w:rsidR="009E30A6">
        <w:tab/>
      </w:r>
      <w:r>
        <w:t>Ibid. Schedule 1, section 4.</w:t>
      </w:r>
    </w:p>
  </w:footnote>
  <w:footnote w:id="70">
    <w:p w14:paraId="32CE3F9A" w14:textId="2B6B7ABA" w:rsidR="00FC0498" w:rsidRDefault="00FC0498" w:rsidP="00FC0498">
      <w:pPr>
        <w:pStyle w:val="FootnoteText"/>
      </w:pPr>
      <w:r>
        <w:rPr>
          <w:rStyle w:val="FootnoteReference"/>
        </w:rPr>
        <w:footnoteRef/>
      </w:r>
      <w:r>
        <w:t xml:space="preserve"> </w:t>
      </w:r>
      <w:r w:rsidR="00743848">
        <w:tab/>
      </w:r>
      <w:r>
        <w:t>Ibid. Schedule 1, section 3, paragraph 5(4).</w:t>
      </w:r>
    </w:p>
  </w:footnote>
  <w:footnote w:id="71">
    <w:p w14:paraId="2D6ACAF1" w14:textId="55500C15" w:rsidR="00FC0498" w:rsidRDefault="00FC0498" w:rsidP="00FC0498">
      <w:pPr>
        <w:pStyle w:val="FootnoteText"/>
      </w:pPr>
      <w:r>
        <w:rPr>
          <w:rStyle w:val="FootnoteReference"/>
        </w:rPr>
        <w:footnoteRef/>
      </w:r>
      <w:r>
        <w:t xml:space="preserve"> </w:t>
      </w:r>
      <w:r w:rsidR="00743848">
        <w:tab/>
      </w:r>
      <w:r>
        <w:t>Note that the Commission does not propose to produce any analysis of change in respect of the ‘no worse off’ relativities.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F10028"/>
    <w:multiLevelType w:val="hybridMultilevel"/>
    <w:tmpl w:val="4CA83060"/>
    <w:lvl w:ilvl="0" w:tplc="5F8E20C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 w15:restartNumberingAfterBreak="0">
    <w:nsid w:val="07810CE2"/>
    <w:multiLevelType w:val="hybridMultilevel"/>
    <w:tmpl w:val="E66EA58E"/>
    <w:lvl w:ilvl="0" w:tplc="DD28DB72">
      <w:start w:val="1"/>
      <w:numFmt w:val="decimal"/>
      <w:pStyle w:val="11para"/>
      <w:lvlText w:val="1.%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FD03BB"/>
    <w:multiLevelType w:val="hybridMultilevel"/>
    <w:tmpl w:val="775C6174"/>
    <w:lvl w:ilvl="0" w:tplc="A71C89A2">
      <w:start w:val="1"/>
      <w:numFmt w:val="bullet"/>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D14453"/>
    <w:multiLevelType w:val="hybridMultilevel"/>
    <w:tmpl w:val="D36A0C36"/>
    <w:lvl w:ilvl="0" w:tplc="A71C89A2">
      <w:start w:val="1"/>
      <w:numFmt w:val="bullet"/>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0A65E1"/>
    <w:multiLevelType w:val="hybridMultilevel"/>
    <w:tmpl w:val="493E45D8"/>
    <w:lvl w:ilvl="0" w:tplc="A71C89A2">
      <w:start w:val="1"/>
      <w:numFmt w:val="bullet"/>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93798F"/>
    <w:multiLevelType w:val="hybridMultilevel"/>
    <w:tmpl w:val="75246446"/>
    <w:lvl w:ilvl="0" w:tplc="A71C89A2">
      <w:start w:val="1"/>
      <w:numFmt w:val="bullet"/>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0" w15:restartNumberingAfterBreak="0">
    <w:nsid w:val="2E164838"/>
    <w:multiLevelType w:val="hybridMultilevel"/>
    <w:tmpl w:val="A058B6BC"/>
    <w:lvl w:ilvl="0" w:tplc="922E657C">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11" w15:restartNumberingAfterBreak="0">
    <w:nsid w:val="305A2F29"/>
    <w:multiLevelType w:val="hybridMultilevel"/>
    <w:tmpl w:val="25EAF598"/>
    <w:lvl w:ilvl="0" w:tplc="245E7AAC">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441A7E"/>
    <w:multiLevelType w:val="hybridMultilevel"/>
    <w:tmpl w:val="F42A8A66"/>
    <w:lvl w:ilvl="0" w:tplc="579A4A7C">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3" w15:restartNumberingAfterBreak="0">
    <w:nsid w:val="3D150960"/>
    <w:multiLevelType w:val="hybridMultilevel"/>
    <w:tmpl w:val="B48CE070"/>
    <w:lvl w:ilvl="0" w:tplc="5F8E20C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4" w15:restartNumberingAfterBreak="0">
    <w:nsid w:val="3D8E2854"/>
    <w:multiLevelType w:val="hybridMultilevel"/>
    <w:tmpl w:val="B1AC84AE"/>
    <w:lvl w:ilvl="0" w:tplc="A71C89A2">
      <w:start w:val="1"/>
      <w:numFmt w:val="bullet"/>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5F16F4"/>
    <w:multiLevelType w:val="hybridMultilevel"/>
    <w:tmpl w:val="8D22B1EE"/>
    <w:lvl w:ilvl="0" w:tplc="AE7EAED4">
      <w:start w:val="1"/>
      <w:numFmt w:val="decimal"/>
      <w:pStyle w:val="A1AttachmentAlist"/>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190B6E"/>
    <w:multiLevelType w:val="hybridMultilevel"/>
    <w:tmpl w:val="78246BD8"/>
    <w:lvl w:ilvl="0" w:tplc="5DA02500">
      <w:start w:val="1"/>
      <w:numFmt w:val="bullet"/>
      <w:lvlText w:val=""/>
      <w:lvlJc w:val="left"/>
      <w:pPr>
        <w:ind w:left="720" w:hanging="360"/>
      </w:pPr>
      <w:rPr>
        <w:rFonts w:ascii="Symbol" w:hAnsi="Symbol" w:hint="default"/>
        <w:b/>
        <w:i w:val="0"/>
        <w:caps w:val="0"/>
        <w:strike w:val="0"/>
        <w:dstrike w:val="0"/>
        <w:vanish w:val="0"/>
        <w:color w:val="5CA5C2"/>
        <w:sz w:val="16"/>
        <w:u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9D7420"/>
    <w:multiLevelType w:val="hybridMultilevel"/>
    <w:tmpl w:val="4CA83060"/>
    <w:lvl w:ilvl="0" w:tplc="5F8E20C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9" w15:restartNumberingAfterBreak="0">
    <w:nsid w:val="542855A7"/>
    <w:multiLevelType w:val="hybridMultilevel"/>
    <w:tmpl w:val="6834089C"/>
    <w:lvl w:ilvl="0" w:tplc="A71C89A2">
      <w:start w:val="1"/>
      <w:numFmt w:val="bullet"/>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5E24AF"/>
    <w:multiLevelType w:val="hybridMultilevel"/>
    <w:tmpl w:val="D5546DC0"/>
    <w:lvl w:ilvl="0" w:tplc="F878BA8C">
      <w:start w:val="1"/>
      <w:numFmt w:val="bullet"/>
      <w:lvlText w:val=""/>
      <w:lvlJc w:val="left"/>
      <w:pPr>
        <w:ind w:left="720" w:hanging="360"/>
      </w:pPr>
      <w:rPr>
        <w:rFonts w:ascii="Symbol" w:hAnsi="Symbol" w:hint="default"/>
        <w:color w:val="5CA5C2"/>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287649"/>
    <w:multiLevelType w:val="hybridMultilevel"/>
    <w:tmpl w:val="2B9411FE"/>
    <w:lvl w:ilvl="0" w:tplc="A71C89A2">
      <w:start w:val="1"/>
      <w:numFmt w:val="bullet"/>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B56961"/>
    <w:multiLevelType w:val="hybridMultilevel"/>
    <w:tmpl w:val="EC0A00E0"/>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3" w15:restartNumberingAfterBreak="0">
    <w:nsid w:val="6E9F2B5A"/>
    <w:multiLevelType w:val="hybridMultilevel"/>
    <w:tmpl w:val="AA783DF4"/>
    <w:lvl w:ilvl="0" w:tplc="A71C89A2">
      <w:start w:val="1"/>
      <w:numFmt w:val="bullet"/>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113BB6"/>
    <w:multiLevelType w:val="hybridMultilevel"/>
    <w:tmpl w:val="DF926C28"/>
    <w:lvl w:ilvl="0" w:tplc="D85003E6">
      <w:start w:val="1"/>
      <w:numFmt w:val="decimal"/>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C201C6"/>
    <w:multiLevelType w:val="hybridMultilevel"/>
    <w:tmpl w:val="71703060"/>
    <w:lvl w:ilvl="0" w:tplc="5DA02500">
      <w:start w:val="1"/>
      <w:numFmt w:val="bullet"/>
      <w:lvlText w:val=""/>
      <w:lvlJc w:val="left"/>
      <w:pPr>
        <w:ind w:left="720" w:hanging="360"/>
      </w:pPr>
      <w:rPr>
        <w:rFonts w:ascii="Symbol" w:hAnsi="Symbol" w:hint="default"/>
        <w:b/>
        <w:i w:val="0"/>
        <w:caps w:val="0"/>
        <w:strike w:val="0"/>
        <w:dstrike w:val="0"/>
        <w:vanish w:val="0"/>
        <w:color w:val="5CA5C2"/>
        <w:sz w:val="16"/>
        <w:u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3"/>
  </w:num>
  <w:num w:numId="5">
    <w:abstractNumId w:val="4"/>
  </w:num>
  <w:num w:numId="6">
    <w:abstractNumId w:val="3"/>
  </w:num>
  <w:num w:numId="7">
    <w:abstractNumId w:val="0"/>
  </w:num>
  <w:num w:numId="8">
    <w:abstractNumId w:val="22"/>
  </w:num>
  <w:num w:numId="9">
    <w:abstractNumId w:val="11"/>
  </w:num>
  <w:num w:numId="10">
    <w:abstractNumId w:val="14"/>
  </w:num>
  <w:num w:numId="11">
    <w:abstractNumId w:val="21"/>
  </w:num>
  <w:num w:numId="12">
    <w:abstractNumId w:val="5"/>
  </w:num>
  <w:num w:numId="13">
    <w:abstractNumId w:val="20"/>
  </w:num>
  <w:num w:numId="14">
    <w:abstractNumId w:val="25"/>
  </w:num>
  <w:num w:numId="15">
    <w:abstractNumId w:val="16"/>
  </w:num>
  <w:num w:numId="16">
    <w:abstractNumId w:val="19"/>
  </w:num>
  <w:num w:numId="17">
    <w:abstractNumId w:val="6"/>
  </w:num>
  <w:num w:numId="18">
    <w:abstractNumId w:val="23"/>
  </w:num>
  <w:num w:numId="19">
    <w:abstractNumId w:val="8"/>
  </w:num>
  <w:num w:numId="20">
    <w:abstractNumId w:val="7"/>
  </w:num>
  <w:num w:numId="21">
    <w:abstractNumId w:val="11"/>
    <w:lvlOverride w:ilvl="0">
      <w:startOverride w:val="1"/>
    </w:lvlOverride>
  </w:num>
  <w:num w:numId="22">
    <w:abstractNumId w:val="11"/>
    <w:lvlOverride w:ilvl="0">
      <w:startOverride w:val="1"/>
    </w:lvlOverride>
  </w:num>
  <w:num w:numId="23">
    <w:abstractNumId w:val="17"/>
  </w:num>
  <w:num w:numId="24">
    <w:abstractNumId w:val="2"/>
  </w:num>
  <w:num w:numId="25">
    <w:abstractNumId w:val="15"/>
  </w:num>
  <w:num w:numId="26">
    <w:abstractNumId w:val="24"/>
  </w:num>
  <w:num w:numId="27">
    <w:abstractNumId w:val="24"/>
    <w:lvlOverride w:ilvl="0">
      <w:startOverride w:val="1"/>
    </w:lvlOverride>
  </w:num>
  <w:num w:numId="28">
    <w:abstractNumId w:val="12"/>
  </w:num>
  <w:num w:numId="29">
    <w:abstractNumId w:val="18"/>
  </w:num>
  <w:num w:numId="30">
    <w:abstractNumId w:val="1"/>
  </w:num>
  <w:num w:numId="31">
    <w:abstractNumId w:val="13"/>
  </w:num>
  <w:num w:numId="32">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42AD6"/>
    <w:rsid w:val="00001C71"/>
    <w:rsid w:val="00001C89"/>
    <w:rsid w:val="00002CF1"/>
    <w:rsid w:val="00003497"/>
    <w:rsid w:val="00011803"/>
    <w:rsid w:val="00011DCC"/>
    <w:rsid w:val="00012454"/>
    <w:rsid w:val="0001307C"/>
    <w:rsid w:val="00015839"/>
    <w:rsid w:val="00016C01"/>
    <w:rsid w:val="00016FE0"/>
    <w:rsid w:val="00022EA9"/>
    <w:rsid w:val="00024745"/>
    <w:rsid w:val="00024E5D"/>
    <w:rsid w:val="000307FA"/>
    <w:rsid w:val="00032F41"/>
    <w:rsid w:val="0003458B"/>
    <w:rsid w:val="00034E9B"/>
    <w:rsid w:val="00034FFC"/>
    <w:rsid w:val="0003533E"/>
    <w:rsid w:val="00037E3B"/>
    <w:rsid w:val="0004123E"/>
    <w:rsid w:val="00041748"/>
    <w:rsid w:val="00041E84"/>
    <w:rsid w:val="000424EA"/>
    <w:rsid w:val="00051792"/>
    <w:rsid w:val="000537A1"/>
    <w:rsid w:val="00055756"/>
    <w:rsid w:val="00055A78"/>
    <w:rsid w:val="00056373"/>
    <w:rsid w:val="00060EB1"/>
    <w:rsid w:val="00061111"/>
    <w:rsid w:val="000624BB"/>
    <w:rsid w:val="0006283B"/>
    <w:rsid w:val="00062F75"/>
    <w:rsid w:val="00063A54"/>
    <w:rsid w:val="000648E8"/>
    <w:rsid w:val="0006768B"/>
    <w:rsid w:val="00072A21"/>
    <w:rsid w:val="000746A6"/>
    <w:rsid w:val="000747F1"/>
    <w:rsid w:val="00076077"/>
    <w:rsid w:val="00077D0A"/>
    <w:rsid w:val="00080676"/>
    <w:rsid w:val="00081353"/>
    <w:rsid w:val="00081E16"/>
    <w:rsid w:val="00087D35"/>
    <w:rsid w:val="0009041B"/>
    <w:rsid w:val="000911AC"/>
    <w:rsid w:val="0009346B"/>
    <w:rsid w:val="00093796"/>
    <w:rsid w:val="000948D2"/>
    <w:rsid w:val="000A3898"/>
    <w:rsid w:val="000A3F54"/>
    <w:rsid w:val="000A4FB6"/>
    <w:rsid w:val="000A52A1"/>
    <w:rsid w:val="000A5CF4"/>
    <w:rsid w:val="000B2942"/>
    <w:rsid w:val="000B2C21"/>
    <w:rsid w:val="000B3557"/>
    <w:rsid w:val="000B636E"/>
    <w:rsid w:val="000B64E3"/>
    <w:rsid w:val="000C038C"/>
    <w:rsid w:val="000C25C6"/>
    <w:rsid w:val="000D025B"/>
    <w:rsid w:val="000D1354"/>
    <w:rsid w:val="000D1A0D"/>
    <w:rsid w:val="000D714B"/>
    <w:rsid w:val="000D7C54"/>
    <w:rsid w:val="000E0210"/>
    <w:rsid w:val="000E108D"/>
    <w:rsid w:val="000E4EE3"/>
    <w:rsid w:val="000E5937"/>
    <w:rsid w:val="000E6858"/>
    <w:rsid w:val="000E6AA5"/>
    <w:rsid w:val="000E7C9C"/>
    <w:rsid w:val="000E7F56"/>
    <w:rsid w:val="000F1058"/>
    <w:rsid w:val="000F1CDA"/>
    <w:rsid w:val="000F23CA"/>
    <w:rsid w:val="000F77EC"/>
    <w:rsid w:val="000F789E"/>
    <w:rsid w:val="00100666"/>
    <w:rsid w:val="0010231A"/>
    <w:rsid w:val="001039C2"/>
    <w:rsid w:val="00103ECB"/>
    <w:rsid w:val="001040AD"/>
    <w:rsid w:val="00107FC1"/>
    <w:rsid w:val="00110B80"/>
    <w:rsid w:val="0011178C"/>
    <w:rsid w:val="00111E2D"/>
    <w:rsid w:val="00112CF0"/>
    <w:rsid w:val="00114846"/>
    <w:rsid w:val="00115444"/>
    <w:rsid w:val="0011544F"/>
    <w:rsid w:val="00120C89"/>
    <w:rsid w:val="001211AB"/>
    <w:rsid w:val="001218B8"/>
    <w:rsid w:val="00124ED1"/>
    <w:rsid w:val="00125EAB"/>
    <w:rsid w:val="00135715"/>
    <w:rsid w:val="00136497"/>
    <w:rsid w:val="00141275"/>
    <w:rsid w:val="00141349"/>
    <w:rsid w:val="00141BD1"/>
    <w:rsid w:val="001421EB"/>
    <w:rsid w:val="00147115"/>
    <w:rsid w:val="001477CE"/>
    <w:rsid w:val="00151B77"/>
    <w:rsid w:val="001536AE"/>
    <w:rsid w:val="00154069"/>
    <w:rsid w:val="00155176"/>
    <w:rsid w:val="0016062C"/>
    <w:rsid w:val="001611F6"/>
    <w:rsid w:val="00161EFB"/>
    <w:rsid w:val="00166EDC"/>
    <w:rsid w:val="0016723A"/>
    <w:rsid w:val="00171A05"/>
    <w:rsid w:val="00172F3A"/>
    <w:rsid w:val="001730FD"/>
    <w:rsid w:val="00173798"/>
    <w:rsid w:val="00173BE6"/>
    <w:rsid w:val="00173E72"/>
    <w:rsid w:val="00174B75"/>
    <w:rsid w:val="00177128"/>
    <w:rsid w:val="001772E1"/>
    <w:rsid w:val="001807C0"/>
    <w:rsid w:val="001811DE"/>
    <w:rsid w:val="00183C7F"/>
    <w:rsid w:val="001859B9"/>
    <w:rsid w:val="00186DDE"/>
    <w:rsid w:val="00187145"/>
    <w:rsid w:val="00190754"/>
    <w:rsid w:val="00194C32"/>
    <w:rsid w:val="00196BF0"/>
    <w:rsid w:val="001A1261"/>
    <w:rsid w:val="001A47F3"/>
    <w:rsid w:val="001A5D29"/>
    <w:rsid w:val="001B0110"/>
    <w:rsid w:val="001B3048"/>
    <w:rsid w:val="001B510C"/>
    <w:rsid w:val="001B696E"/>
    <w:rsid w:val="001B6A56"/>
    <w:rsid w:val="001B6B06"/>
    <w:rsid w:val="001C0C82"/>
    <w:rsid w:val="001C3F12"/>
    <w:rsid w:val="001C4417"/>
    <w:rsid w:val="001C469B"/>
    <w:rsid w:val="001C62D4"/>
    <w:rsid w:val="001C6A71"/>
    <w:rsid w:val="001C77EE"/>
    <w:rsid w:val="001D0706"/>
    <w:rsid w:val="001D0AB5"/>
    <w:rsid w:val="001D1617"/>
    <w:rsid w:val="001D2221"/>
    <w:rsid w:val="001D35D1"/>
    <w:rsid w:val="001D4D61"/>
    <w:rsid w:val="001D638B"/>
    <w:rsid w:val="001D6A25"/>
    <w:rsid w:val="001D6DFA"/>
    <w:rsid w:val="001D7E80"/>
    <w:rsid w:val="001E362E"/>
    <w:rsid w:val="001E6180"/>
    <w:rsid w:val="001E6691"/>
    <w:rsid w:val="001E674B"/>
    <w:rsid w:val="001E68FC"/>
    <w:rsid w:val="001F3389"/>
    <w:rsid w:val="001F6B7F"/>
    <w:rsid w:val="00201B3A"/>
    <w:rsid w:val="00204026"/>
    <w:rsid w:val="002114B5"/>
    <w:rsid w:val="00212948"/>
    <w:rsid w:val="00213012"/>
    <w:rsid w:val="002134C3"/>
    <w:rsid w:val="00217839"/>
    <w:rsid w:val="002178DD"/>
    <w:rsid w:val="00220E8D"/>
    <w:rsid w:val="00224C50"/>
    <w:rsid w:val="002251C7"/>
    <w:rsid w:val="00225A3B"/>
    <w:rsid w:val="0023081D"/>
    <w:rsid w:val="00230DC8"/>
    <w:rsid w:val="0023329C"/>
    <w:rsid w:val="0023388D"/>
    <w:rsid w:val="00234926"/>
    <w:rsid w:val="00236DC0"/>
    <w:rsid w:val="002373A2"/>
    <w:rsid w:val="00240C71"/>
    <w:rsid w:val="00240D9E"/>
    <w:rsid w:val="00242517"/>
    <w:rsid w:val="0024260B"/>
    <w:rsid w:val="00242AD6"/>
    <w:rsid w:val="0024401F"/>
    <w:rsid w:val="0024569B"/>
    <w:rsid w:val="00247610"/>
    <w:rsid w:val="00247665"/>
    <w:rsid w:val="00250088"/>
    <w:rsid w:val="00251D91"/>
    <w:rsid w:val="00252D0F"/>
    <w:rsid w:val="00255B5A"/>
    <w:rsid w:val="00257742"/>
    <w:rsid w:val="00260524"/>
    <w:rsid w:val="0026095A"/>
    <w:rsid w:val="00262962"/>
    <w:rsid w:val="002659C2"/>
    <w:rsid w:val="002671A2"/>
    <w:rsid w:val="00267496"/>
    <w:rsid w:val="00271ACA"/>
    <w:rsid w:val="00272F6C"/>
    <w:rsid w:val="00274B29"/>
    <w:rsid w:val="00275B68"/>
    <w:rsid w:val="00277045"/>
    <w:rsid w:val="0028068E"/>
    <w:rsid w:val="00281274"/>
    <w:rsid w:val="00281FD4"/>
    <w:rsid w:val="00282D68"/>
    <w:rsid w:val="00283B21"/>
    <w:rsid w:val="002845EA"/>
    <w:rsid w:val="00285D6E"/>
    <w:rsid w:val="00286EBE"/>
    <w:rsid w:val="0029229D"/>
    <w:rsid w:val="002951B4"/>
    <w:rsid w:val="00295B70"/>
    <w:rsid w:val="00297262"/>
    <w:rsid w:val="002A00BA"/>
    <w:rsid w:val="002A03C2"/>
    <w:rsid w:val="002A21DE"/>
    <w:rsid w:val="002A2A08"/>
    <w:rsid w:val="002A2D93"/>
    <w:rsid w:val="002A342C"/>
    <w:rsid w:val="002A4E42"/>
    <w:rsid w:val="002A77C3"/>
    <w:rsid w:val="002B10B0"/>
    <w:rsid w:val="002B169C"/>
    <w:rsid w:val="002B32F2"/>
    <w:rsid w:val="002B42AD"/>
    <w:rsid w:val="002B4A20"/>
    <w:rsid w:val="002B6EFD"/>
    <w:rsid w:val="002B6F33"/>
    <w:rsid w:val="002B79F0"/>
    <w:rsid w:val="002B7F3E"/>
    <w:rsid w:val="002C1D9C"/>
    <w:rsid w:val="002C1DD2"/>
    <w:rsid w:val="002C366F"/>
    <w:rsid w:val="002C4CA9"/>
    <w:rsid w:val="002C6ECE"/>
    <w:rsid w:val="002D0068"/>
    <w:rsid w:val="002D10BF"/>
    <w:rsid w:val="002D1166"/>
    <w:rsid w:val="002D2270"/>
    <w:rsid w:val="002D4FCB"/>
    <w:rsid w:val="002D5C88"/>
    <w:rsid w:val="002E08DC"/>
    <w:rsid w:val="002E1B77"/>
    <w:rsid w:val="002E25A8"/>
    <w:rsid w:val="002E3213"/>
    <w:rsid w:val="002F04DE"/>
    <w:rsid w:val="002F1CD3"/>
    <w:rsid w:val="002F2C6E"/>
    <w:rsid w:val="002F6572"/>
    <w:rsid w:val="002F6E28"/>
    <w:rsid w:val="002F7487"/>
    <w:rsid w:val="002F7E68"/>
    <w:rsid w:val="00302E5E"/>
    <w:rsid w:val="00306103"/>
    <w:rsid w:val="003069D0"/>
    <w:rsid w:val="00307400"/>
    <w:rsid w:val="00307DEF"/>
    <w:rsid w:val="0031000C"/>
    <w:rsid w:val="00311D33"/>
    <w:rsid w:val="00313664"/>
    <w:rsid w:val="00314F90"/>
    <w:rsid w:val="00323A8F"/>
    <w:rsid w:val="003247DA"/>
    <w:rsid w:val="003266BE"/>
    <w:rsid w:val="0033102E"/>
    <w:rsid w:val="00331401"/>
    <w:rsid w:val="00333234"/>
    <w:rsid w:val="00335630"/>
    <w:rsid w:val="00335ED1"/>
    <w:rsid w:val="00336417"/>
    <w:rsid w:val="00337EF8"/>
    <w:rsid w:val="00342A60"/>
    <w:rsid w:val="0034379D"/>
    <w:rsid w:val="00344544"/>
    <w:rsid w:val="00344D84"/>
    <w:rsid w:val="00345333"/>
    <w:rsid w:val="00345F1F"/>
    <w:rsid w:val="0034646D"/>
    <w:rsid w:val="00347BE5"/>
    <w:rsid w:val="00351870"/>
    <w:rsid w:val="003522E0"/>
    <w:rsid w:val="0035267F"/>
    <w:rsid w:val="003551C8"/>
    <w:rsid w:val="0035580D"/>
    <w:rsid w:val="00355FE4"/>
    <w:rsid w:val="00357631"/>
    <w:rsid w:val="00357C04"/>
    <w:rsid w:val="003623A9"/>
    <w:rsid w:val="003639FB"/>
    <w:rsid w:val="00363BF7"/>
    <w:rsid w:val="00364DB3"/>
    <w:rsid w:val="00370E6C"/>
    <w:rsid w:val="0037531F"/>
    <w:rsid w:val="003754A6"/>
    <w:rsid w:val="003754D1"/>
    <w:rsid w:val="003813D4"/>
    <w:rsid w:val="00382AE5"/>
    <w:rsid w:val="00392417"/>
    <w:rsid w:val="003929D2"/>
    <w:rsid w:val="00393FA5"/>
    <w:rsid w:val="00395733"/>
    <w:rsid w:val="00397C34"/>
    <w:rsid w:val="003A27BB"/>
    <w:rsid w:val="003A36CE"/>
    <w:rsid w:val="003A5013"/>
    <w:rsid w:val="003B069F"/>
    <w:rsid w:val="003B0764"/>
    <w:rsid w:val="003B0B89"/>
    <w:rsid w:val="003B591D"/>
    <w:rsid w:val="003B673D"/>
    <w:rsid w:val="003C2577"/>
    <w:rsid w:val="003C4448"/>
    <w:rsid w:val="003C4512"/>
    <w:rsid w:val="003C5463"/>
    <w:rsid w:val="003C56CD"/>
    <w:rsid w:val="003C7866"/>
    <w:rsid w:val="003D05B4"/>
    <w:rsid w:val="003D0F32"/>
    <w:rsid w:val="003D1CDB"/>
    <w:rsid w:val="003D3D91"/>
    <w:rsid w:val="003D4708"/>
    <w:rsid w:val="003D477A"/>
    <w:rsid w:val="003D4BCC"/>
    <w:rsid w:val="003D4E77"/>
    <w:rsid w:val="003E1209"/>
    <w:rsid w:val="003E3DBC"/>
    <w:rsid w:val="003E515A"/>
    <w:rsid w:val="003E6615"/>
    <w:rsid w:val="003E79F9"/>
    <w:rsid w:val="003E7B83"/>
    <w:rsid w:val="003F12E9"/>
    <w:rsid w:val="003F59F4"/>
    <w:rsid w:val="003F65C6"/>
    <w:rsid w:val="003F6686"/>
    <w:rsid w:val="003F72F7"/>
    <w:rsid w:val="003F7911"/>
    <w:rsid w:val="00401575"/>
    <w:rsid w:val="00402246"/>
    <w:rsid w:val="00404DCD"/>
    <w:rsid w:val="004077D6"/>
    <w:rsid w:val="0041113E"/>
    <w:rsid w:val="004121E7"/>
    <w:rsid w:val="0041233F"/>
    <w:rsid w:val="004124E8"/>
    <w:rsid w:val="00414E51"/>
    <w:rsid w:val="004159B1"/>
    <w:rsid w:val="00416579"/>
    <w:rsid w:val="00420F04"/>
    <w:rsid w:val="00422CD2"/>
    <w:rsid w:val="00423099"/>
    <w:rsid w:val="00423BB8"/>
    <w:rsid w:val="00424E79"/>
    <w:rsid w:val="004251BD"/>
    <w:rsid w:val="0042661C"/>
    <w:rsid w:val="00427244"/>
    <w:rsid w:val="004274B3"/>
    <w:rsid w:val="00427604"/>
    <w:rsid w:val="0043149C"/>
    <w:rsid w:val="00433BD5"/>
    <w:rsid w:val="00434293"/>
    <w:rsid w:val="00435465"/>
    <w:rsid w:val="00442E01"/>
    <w:rsid w:val="00443EC1"/>
    <w:rsid w:val="00450AF1"/>
    <w:rsid w:val="00453264"/>
    <w:rsid w:val="0045418F"/>
    <w:rsid w:val="004546DF"/>
    <w:rsid w:val="00455194"/>
    <w:rsid w:val="004609F6"/>
    <w:rsid w:val="0046225D"/>
    <w:rsid w:val="0046226E"/>
    <w:rsid w:val="004624F6"/>
    <w:rsid w:val="00462B54"/>
    <w:rsid w:val="00463064"/>
    <w:rsid w:val="0046388B"/>
    <w:rsid w:val="004638A5"/>
    <w:rsid w:val="00467FC2"/>
    <w:rsid w:val="00470B31"/>
    <w:rsid w:val="00472461"/>
    <w:rsid w:val="0047649C"/>
    <w:rsid w:val="00476FCD"/>
    <w:rsid w:val="004809B8"/>
    <w:rsid w:val="004821B9"/>
    <w:rsid w:val="0048290B"/>
    <w:rsid w:val="00486CEE"/>
    <w:rsid w:val="00490A78"/>
    <w:rsid w:val="00491D88"/>
    <w:rsid w:val="004927B0"/>
    <w:rsid w:val="00493A9A"/>
    <w:rsid w:val="0049438C"/>
    <w:rsid w:val="0049605C"/>
    <w:rsid w:val="004965F7"/>
    <w:rsid w:val="004969F2"/>
    <w:rsid w:val="00496CD6"/>
    <w:rsid w:val="004A0DFA"/>
    <w:rsid w:val="004A165E"/>
    <w:rsid w:val="004A276A"/>
    <w:rsid w:val="004A3C53"/>
    <w:rsid w:val="004A3E74"/>
    <w:rsid w:val="004A7048"/>
    <w:rsid w:val="004B0A0A"/>
    <w:rsid w:val="004B1356"/>
    <w:rsid w:val="004B1C4B"/>
    <w:rsid w:val="004B60CB"/>
    <w:rsid w:val="004C00C4"/>
    <w:rsid w:val="004C0B15"/>
    <w:rsid w:val="004C1BAA"/>
    <w:rsid w:val="004C1CB5"/>
    <w:rsid w:val="004C394A"/>
    <w:rsid w:val="004C3CAB"/>
    <w:rsid w:val="004C3D1C"/>
    <w:rsid w:val="004C418B"/>
    <w:rsid w:val="004C56AB"/>
    <w:rsid w:val="004D27DD"/>
    <w:rsid w:val="004D3475"/>
    <w:rsid w:val="004D4AB4"/>
    <w:rsid w:val="004D59A0"/>
    <w:rsid w:val="004D7003"/>
    <w:rsid w:val="004E20B8"/>
    <w:rsid w:val="004E769A"/>
    <w:rsid w:val="004F0379"/>
    <w:rsid w:val="004F0552"/>
    <w:rsid w:val="004F0DA2"/>
    <w:rsid w:val="004F129E"/>
    <w:rsid w:val="004F13F1"/>
    <w:rsid w:val="004F40BA"/>
    <w:rsid w:val="004F5A8B"/>
    <w:rsid w:val="00500ACD"/>
    <w:rsid w:val="00504061"/>
    <w:rsid w:val="00505116"/>
    <w:rsid w:val="00505BAE"/>
    <w:rsid w:val="00506069"/>
    <w:rsid w:val="00506956"/>
    <w:rsid w:val="005108F5"/>
    <w:rsid w:val="005119C7"/>
    <w:rsid w:val="0051500A"/>
    <w:rsid w:val="00515380"/>
    <w:rsid w:val="005176CA"/>
    <w:rsid w:val="005177E7"/>
    <w:rsid w:val="0052689A"/>
    <w:rsid w:val="00526911"/>
    <w:rsid w:val="00526A7B"/>
    <w:rsid w:val="005278E8"/>
    <w:rsid w:val="00531807"/>
    <w:rsid w:val="0053451D"/>
    <w:rsid w:val="005348E4"/>
    <w:rsid w:val="00537A77"/>
    <w:rsid w:val="00541A14"/>
    <w:rsid w:val="00543F9C"/>
    <w:rsid w:val="00546A62"/>
    <w:rsid w:val="00546D39"/>
    <w:rsid w:val="0055049F"/>
    <w:rsid w:val="00550E84"/>
    <w:rsid w:val="00550FA9"/>
    <w:rsid w:val="00551368"/>
    <w:rsid w:val="00553914"/>
    <w:rsid w:val="0055467C"/>
    <w:rsid w:val="005577B0"/>
    <w:rsid w:val="00557D37"/>
    <w:rsid w:val="00562084"/>
    <w:rsid w:val="005657EA"/>
    <w:rsid w:val="00566222"/>
    <w:rsid w:val="00567435"/>
    <w:rsid w:val="00570EED"/>
    <w:rsid w:val="005716FC"/>
    <w:rsid w:val="00571F7A"/>
    <w:rsid w:val="005721A4"/>
    <w:rsid w:val="00573DF8"/>
    <w:rsid w:val="00574958"/>
    <w:rsid w:val="00575C8D"/>
    <w:rsid w:val="00575DEF"/>
    <w:rsid w:val="005761B8"/>
    <w:rsid w:val="005764D4"/>
    <w:rsid w:val="005771F2"/>
    <w:rsid w:val="00580919"/>
    <w:rsid w:val="00583A33"/>
    <w:rsid w:val="00585F04"/>
    <w:rsid w:val="005867D2"/>
    <w:rsid w:val="00590A3C"/>
    <w:rsid w:val="00591BF8"/>
    <w:rsid w:val="00591FEB"/>
    <w:rsid w:val="00592669"/>
    <w:rsid w:val="00592759"/>
    <w:rsid w:val="00593181"/>
    <w:rsid w:val="00594894"/>
    <w:rsid w:val="005963CC"/>
    <w:rsid w:val="005963D6"/>
    <w:rsid w:val="00596E19"/>
    <w:rsid w:val="005A241E"/>
    <w:rsid w:val="005A4E55"/>
    <w:rsid w:val="005A6FED"/>
    <w:rsid w:val="005A782A"/>
    <w:rsid w:val="005B1BC4"/>
    <w:rsid w:val="005B56B8"/>
    <w:rsid w:val="005B6894"/>
    <w:rsid w:val="005B7C5F"/>
    <w:rsid w:val="005C0F3D"/>
    <w:rsid w:val="005C13B2"/>
    <w:rsid w:val="005C21FC"/>
    <w:rsid w:val="005C27E3"/>
    <w:rsid w:val="005C37CB"/>
    <w:rsid w:val="005C459C"/>
    <w:rsid w:val="005D1A9F"/>
    <w:rsid w:val="005D52FA"/>
    <w:rsid w:val="005D6B5E"/>
    <w:rsid w:val="005D6D0D"/>
    <w:rsid w:val="005E0846"/>
    <w:rsid w:val="005E1102"/>
    <w:rsid w:val="005E266F"/>
    <w:rsid w:val="005E5293"/>
    <w:rsid w:val="005E5505"/>
    <w:rsid w:val="005E5734"/>
    <w:rsid w:val="005E73CE"/>
    <w:rsid w:val="005F07DC"/>
    <w:rsid w:val="005F1EFD"/>
    <w:rsid w:val="005F3022"/>
    <w:rsid w:val="005F41BA"/>
    <w:rsid w:val="005F4DA1"/>
    <w:rsid w:val="005F64FB"/>
    <w:rsid w:val="005F6D00"/>
    <w:rsid w:val="00600661"/>
    <w:rsid w:val="00600C24"/>
    <w:rsid w:val="0060251E"/>
    <w:rsid w:val="00602DDE"/>
    <w:rsid w:val="006031E5"/>
    <w:rsid w:val="00603841"/>
    <w:rsid w:val="006056AA"/>
    <w:rsid w:val="00607B39"/>
    <w:rsid w:val="00611737"/>
    <w:rsid w:val="00612D39"/>
    <w:rsid w:val="00613421"/>
    <w:rsid w:val="00614DE8"/>
    <w:rsid w:val="00616173"/>
    <w:rsid w:val="00622669"/>
    <w:rsid w:val="00622FE1"/>
    <w:rsid w:val="00624AA2"/>
    <w:rsid w:val="00625CE5"/>
    <w:rsid w:val="006267EA"/>
    <w:rsid w:val="00630DC6"/>
    <w:rsid w:val="00634B1B"/>
    <w:rsid w:val="00635027"/>
    <w:rsid w:val="006354EC"/>
    <w:rsid w:val="00635B54"/>
    <w:rsid w:val="0064037C"/>
    <w:rsid w:val="0064089E"/>
    <w:rsid w:val="00641913"/>
    <w:rsid w:val="00644372"/>
    <w:rsid w:val="00644A7B"/>
    <w:rsid w:val="00646A24"/>
    <w:rsid w:val="00650CD3"/>
    <w:rsid w:val="00651F7D"/>
    <w:rsid w:val="006535E2"/>
    <w:rsid w:val="006556D9"/>
    <w:rsid w:val="006566DC"/>
    <w:rsid w:val="006618E2"/>
    <w:rsid w:val="00661B0D"/>
    <w:rsid w:val="00661C46"/>
    <w:rsid w:val="00662806"/>
    <w:rsid w:val="006652D3"/>
    <w:rsid w:val="00667CF3"/>
    <w:rsid w:val="006723C0"/>
    <w:rsid w:val="006769C4"/>
    <w:rsid w:val="00677627"/>
    <w:rsid w:val="00677BD5"/>
    <w:rsid w:val="0068025E"/>
    <w:rsid w:val="00685694"/>
    <w:rsid w:val="00687AD8"/>
    <w:rsid w:val="00691916"/>
    <w:rsid w:val="00692F54"/>
    <w:rsid w:val="00693C87"/>
    <w:rsid w:val="0069523A"/>
    <w:rsid w:val="00696355"/>
    <w:rsid w:val="00696421"/>
    <w:rsid w:val="006A0255"/>
    <w:rsid w:val="006A05C7"/>
    <w:rsid w:val="006A09E7"/>
    <w:rsid w:val="006A1FDF"/>
    <w:rsid w:val="006A2941"/>
    <w:rsid w:val="006A4DD6"/>
    <w:rsid w:val="006A607B"/>
    <w:rsid w:val="006A6E27"/>
    <w:rsid w:val="006A72B0"/>
    <w:rsid w:val="006B07D7"/>
    <w:rsid w:val="006B19C6"/>
    <w:rsid w:val="006B3E4D"/>
    <w:rsid w:val="006B5063"/>
    <w:rsid w:val="006B5C81"/>
    <w:rsid w:val="006B6640"/>
    <w:rsid w:val="006B7707"/>
    <w:rsid w:val="006C0586"/>
    <w:rsid w:val="006C3BF4"/>
    <w:rsid w:val="006C52B9"/>
    <w:rsid w:val="006C5D57"/>
    <w:rsid w:val="006D00F1"/>
    <w:rsid w:val="006D1DFE"/>
    <w:rsid w:val="006D456C"/>
    <w:rsid w:val="006D6D38"/>
    <w:rsid w:val="006D7420"/>
    <w:rsid w:val="006E1B81"/>
    <w:rsid w:val="006E217F"/>
    <w:rsid w:val="006E22D1"/>
    <w:rsid w:val="006E6BC2"/>
    <w:rsid w:val="006E77BB"/>
    <w:rsid w:val="006F3AEA"/>
    <w:rsid w:val="0070150E"/>
    <w:rsid w:val="00705DB8"/>
    <w:rsid w:val="0070610B"/>
    <w:rsid w:val="007067EE"/>
    <w:rsid w:val="0070783A"/>
    <w:rsid w:val="00711B4C"/>
    <w:rsid w:val="00713225"/>
    <w:rsid w:val="007151D5"/>
    <w:rsid w:val="0072512A"/>
    <w:rsid w:val="00731EE6"/>
    <w:rsid w:val="007328B5"/>
    <w:rsid w:val="007355A6"/>
    <w:rsid w:val="00735D8E"/>
    <w:rsid w:val="00736FD5"/>
    <w:rsid w:val="00740096"/>
    <w:rsid w:val="00740A71"/>
    <w:rsid w:val="0074143C"/>
    <w:rsid w:val="00743848"/>
    <w:rsid w:val="00746473"/>
    <w:rsid w:val="00746A53"/>
    <w:rsid w:val="007477C5"/>
    <w:rsid w:val="00747938"/>
    <w:rsid w:val="0075411D"/>
    <w:rsid w:val="00755624"/>
    <w:rsid w:val="007556B7"/>
    <w:rsid w:val="00756D1D"/>
    <w:rsid w:val="00757AC1"/>
    <w:rsid w:val="00761B1C"/>
    <w:rsid w:val="00762AFB"/>
    <w:rsid w:val="00765BA8"/>
    <w:rsid w:val="00766007"/>
    <w:rsid w:val="00770A26"/>
    <w:rsid w:val="007727B0"/>
    <w:rsid w:val="00775CD9"/>
    <w:rsid w:val="007817C8"/>
    <w:rsid w:val="007874E9"/>
    <w:rsid w:val="00790242"/>
    <w:rsid w:val="0079496A"/>
    <w:rsid w:val="00794A76"/>
    <w:rsid w:val="0079565B"/>
    <w:rsid w:val="0079595A"/>
    <w:rsid w:val="00797F97"/>
    <w:rsid w:val="007A1364"/>
    <w:rsid w:val="007A24A0"/>
    <w:rsid w:val="007A454D"/>
    <w:rsid w:val="007A4607"/>
    <w:rsid w:val="007A4AB2"/>
    <w:rsid w:val="007A4CF1"/>
    <w:rsid w:val="007A5E68"/>
    <w:rsid w:val="007B00D3"/>
    <w:rsid w:val="007B1BF7"/>
    <w:rsid w:val="007B2887"/>
    <w:rsid w:val="007B34F2"/>
    <w:rsid w:val="007B3C5D"/>
    <w:rsid w:val="007B41F7"/>
    <w:rsid w:val="007C016C"/>
    <w:rsid w:val="007C0D3C"/>
    <w:rsid w:val="007C404B"/>
    <w:rsid w:val="007C4BAE"/>
    <w:rsid w:val="007C5864"/>
    <w:rsid w:val="007C634B"/>
    <w:rsid w:val="007D0AC2"/>
    <w:rsid w:val="007D1337"/>
    <w:rsid w:val="007D1D3B"/>
    <w:rsid w:val="007D5960"/>
    <w:rsid w:val="007D7C31"/>
    <w:rsid w:val="007D7E41"/>
    <w:rsid w:val="007E114E"/>
    <w:rsid w:val="007E487F"/>
    <w:rsid w:val="007E4B2D"/>
    <w:rsid w:val="007E587D"/>
    <w:rsid w:val="007E60BF"/>
    <w:rsid w:val="007E71E9"/>
    <w:rsid w:val="007F1D06"/>
    <w:rsid w:val="007F754F"/>
    <w:rsid w:val="008010D7"/>
    <w:rsid w:val="00802A41"/>
    <w:rsid w:val="00803443"/>
    <w:rsid w:val="008053BD"/>
    <w:rsid w:val="008055E1"/>
    <w:rsid w:val="00806156"/>
    <w:rsid w:val="0080680D"/>
    <w:rsid w:val="008071A8"/>
    <w:rsid w:val="008105A4"/>
    <w:rsid w:val="008108AD"/>
    <w:rsid w:val="00812C05"/>
    <w:rsid w:val="0081322A"/>
    <w:rsid w:val="00813788"/>
    <w:rsid w:val="0081405B"/>
    <w:rsid w:val="008150A7"/>
    <w:rsid w:val="008162AB"/>
    <w:rsid w:val="0081736C"/>
    <w:rsid w:val="00817FAE"/>
    <w:rsid w:val="00823A64"/>
    <w:rsid w:val="00824371"/>
    <w:rsid w:val="008250D0"/>
    <w:rsid w:val="008253AE"/>
    <w:rsid w:val="00827AD5"/>
    <w:rsid w:val="008304B7"/>
    <w:rsid w:val="00834626"/>
    <w:rsid w:val="008423FA"/>
    <w:rsid w:val="00843DCB"/>
    <w:rsid w:val="00843E6F"/>
    <w:rsid w:val="008440D8"/>
    <w:rsid w:val="008445AF"/>
    <w:rsid w:val="00846E4A"/>
    <w:rsid w:val="0085155C"/>
    <w:rsid w:val="00851AF5"/>
    <w:rsid w:val="00851FB5"/>
    <w:rsid w:val="008539C0"/>
    <w:rsid w:val="00853EF7"/>
    <w:rsid w:val="008551B1"/>
    <w:rsid w:val="00855B32"/>
    <w:rsid w:val="00857C30"/>
    <w:rsid w:val="00857CA8"/>
    <w:rsid w:val="008601A5"/>
    <w:rsid w:val="00860345"/>
    <w:rsid w:val="00860DF4"/>
    <w:rsid w:val="00862C8A"/>
    <w:rsid w:val="008636CA"/>
    <w:rsid w:val="00863B2F"/>
    <w:rsid w:val="0086428A"/>
    <w:rsid w:val="008647DE"/>
    <w:rsid w:val="00864B95"/>
    <w:rsid w:val="00865D29"/>
    <w:rsid w:val="008672F4"/>
    <w:rsid w:val="00867A4F"/>
    <w:rsid w:val="0087002D"/>
    <w:rsid w:val="008706E2"/>
    <w:rsid w:val="00870A8D"/>
    <w:rsid w:val="00870EC3"/>
    <w:rsid w:val="00871514"/>
    <w:rsid w:val="00871CA6"/>
    <w:rsid w:val="00874371"/>
    <w:rsid w:val="00875B0B"/>
    <w:rsid w:val="00877670"/>
    <w:rsid w:val="008800D3"/>
    <w:rsid w:val="00880556"/>
    <w:rsid w:val="00883762"/>
    <w:rsid w:val="00886528"/>
    <w:rsid w:val="00886CDD"/>
    <w:rsid w:val="008919F6"/>
    <w:rsid w:val="00891A30"/>
    <w:rsid w:val="0089214D"/>
    <w:rsid w:val="008924F3"/>
    <w:rsid w:val="0089393B"/>
    <w:rsid w:val="00893C0D"/>
    <w:rsid w:val="00897633"/>
    <w:rsid w:val="008A2023"/>
    <w:rsid w:val="008A20DA"/>
    <w:rsid w:val="008A31D6"/>
    <w:rsid w:val="008A5767"/>
    <w:rsid w:val="008A5DA0"/>
    <w:rsid w:val="008A747A"/>
    <w:rsid w:val="008A7939"/>
    <w:rsid w:val="008B01F0"/>
    <w:rsid w:val="008B2195"/>
    <w:rsid w:val="008B2F6D"/>
    <w:rsid w:val="008B5C8F"/>
    <w:rsid w:val="008B5F16"/>
    <w:rsid w:val="008B6A5D"/>
    <w:rsid w:val="008B6ABA"/>
    <w:rsid w:val="008B6C8C"/>
    <w:rsid w:val="008B7531"/>
    <w:rsid w:val="008B7722"/>
    <w:rsid w:val="008C02C3"/>
    <w:rsid w:val="008C08C3"/>
    <w:rsid w:val="008C0E5C"/>
    <w:rsid w:val="008C1C74"/>
    <w:rsid w:val="008C6E18"/>
    <w:rsid w:val="008D0B3C"/>
    <w:rsid w:val="008D348B"/>
    <w:rsid w:val="008D51C6"/>
    <w:rsid w:val="008E1746"/>
    <w:rsid w:val="008E2BE4"/>
    <w:rsid w:val="008E6B4E"/>
    <w:rsid w:val="008E78EE"/>
    <w:rsid w:val="008E7970"/>
    <w:rsid w:val="008E7C34"/>
    <w:rsid w:val="008E7D30"/>
    <w:rsid w:val="008F0C36"/>
    <w:rsid w:val="008F1C7C"/>
    <w:rsid w:val="008F377B"/>
    <w:rsid w:val="00900973"/>
    <w:rsid w:val="00904B60"/>
    <w:rsid w:val="00905E8F"/>
    <w:rsid w:val="009063F1"/>
    <w:rsid w:val="0091040E"/>
    <w:rsid w:val="00910A0B"/>
    <w:rsid w:val="00914C64"/>
    <w:rsid w:val="00915512"/>
    <w:rsid w:val="009163F3"/>
    <w:rsid w:val="009174D7"/>
    <w:rsid w:val="00920B93"/>
    <w:rsid w:val="009214E0"/>
    <w:rsid w:val="009227A0"/>
    <w:rsid w:val="009233CC"/>
    <w:rsid w:val="009240D8"/>
    <w:rsid w:val="009266CE"/>
    <w:rsid w:val="00926E74"/>
    <w:rsid w:val="00930F7C"/>
    <w:rsid w:val="009320F4"/>
    <w:rsid w:val="0093474F"/>
    <w:rsid w:val="00935EDA"/>
    <w:rsid w:val="009360D7"/>
    <w:rsid w:val="009362C9"/>
    <w:rsid w:val="00936BC2"/>
    <w:rsid w:val="00937ACF"/>
    <w:rsid w:val="00937BEF"/>
    <w:rsid w:val="00941FEB"/>
    <w:rsid w:val="00942387"/>
    <w:rsid w:val="00945FD6"/>
    <w:rsid w:val="0094626F"/>
    <w:rsid w:val="009462D2"/>
    <w:rsid w:val="0094634B"/>
    <w:rsid w:val="00947DCB"/>
    <w:rsid w:val="00951463"/>
    <w:rsid w:val="00951F3E"/>
    <w:rsid w:val="00954819"/>
    <w:rsid w:val="00964FC6"/>
    <w:rsid w:val="009652D5"/>
    <w:rsid w:val="0096779E"/>
    <w:rsid w:val="009677F8"/>
    <w:rsid w:val="00971146"/>
    <w:rsid w:val="00972A9A"/>
    <w:rsid w:val="00973591"/>
    <w:rsid w:val="00974302"/>
    <w:rsid w:val="00975D05"/>
    <w:rsid w:val="00977BB1"/>
    <w:rsid w:val="00977C92"/>
    <w:rsid w:val="00981395"/>
    <w:rsid w:val="00985073"/>
    <w:rsid w:val="009850A4"/>
    <w:rsid w:val="00986499"/>
    <w:rsid w:val="00986AE2"/>
    <w:rsid w:val="00986AFB"/>
    <w:rsid w:val="009874C8"/>
    <w:rsid w:val="00990C62"/>
    <w:rsid w:val="00991675"/>
    <w:rsid w:val="00992008"/>
    <w:rsid w:val="0099337E"/>
    <w:rsid w:val="00996409"/>
    <w:rsid w:val="00996D00"/>
    <w:rsid w:val="00997945"/>
    <w:rsid w:val="009A0053"/>
    <w:rsid w:val="009A03DC"/>
    <w:rsid w:val="009A60A8"/>
    <w:rsid w:val="009A632D"/>
    <w:rsid w:val="009A6CF3"/>
    <w:rsid w:val="009A72C4"/>
    <w:rsid w:val="009B12FE"/>
    <w:rsid w:val="009B1A2C"/>
    <w:rsid w:val="009B1F06"/>
    <w:rsid w:val="009B332C"/>
    <w:rsid w:val="009B43BF"/>
    <w:rsid w:val="009B4602"/>
    <w:rsid w:val="009B4A2D"/>
    <w:rsid w:val="009B7312"/>
    <w:rsid w:val="009C0B88"/>
    <w:rsid w:val="009C1E0B"/>
    <w:rsid w:val="009D187C"/>
    <w:rsid w:val="009D1C60"/>
    <w:rsid w:val="009D28B1"/>
    <w:rsid w:val="009D545A"/>
    <w:rsid w:val="009D63C7"/>
    <w:rsid w:val="009D6B22"/>
    <w:rsid w:val="009D6D44"/>
    <w:rsid w:val="009E0E84"/>
    <w:rsid w:val="009E22FA"/>
    <w:rsid w:val="009E30A6"/>
    <w:rsid w:val="009E4744"/>
    <w:rsid w:val="009E4EC9"/>
    <w:rsid w:val="009E5D5A"/>
    <w:rsid w:val="009E6E74"/>
    <w:rsid w:val="009F04E1"/>
    <w:rsid w:val="009F2262"/>
    <w:rsid w:val="009F336A"/>
    <w:rsid w:val="009F4089"/>
    <w:rsid w:val="009F4ADA"/>
    <w:rsid w:val="009F6A0D"/>
    <w:rsid w:val="00A00953"/>
    <w:rsid w:val="00A01F0F"/>
    <w:rsid w:val="00A03763"/>
    <w:rsid w:val="00A07991"/>
    <w:rsid w:val="00A07E60"/>
    <w:rsid w:val="00A10CDE"/>
    <w:rsid w:val="00A119FD"/>
    <w:rsid w:val="00A15CBC"/>
    <w:rsid w:val="00A1680D"/>
    <w:rsid w:val="00A22F9C"/>
    <w:rsid w:val="00A235CA"/>
    <w:rsid w:val="00A23AB0"/>
    <w:rsid w:val="00A25774"/>
    <w:rsid w:val="00A266C5"/>
    <w:rsid w:val="00A2723B"/>
    <w:rsid w:val="00A27989"/>
    <w:rsid w:val="00A309C6"/>
    <w:rsid w:val="00A31632"/>
    <w:rsid w:val="00A32E4E"/>
    <w:rsid w:val="00A344AE"/>
    <w:rsid w:val="00A348A6"/>
    <w:rsid w:val="00A42183"/>
    <w:rsid w:val="00A421D6"/>
    <w:rsid w:val="00A42656"/>
    <w:rsid w:val="00A43B25"/>
    <w:rsid w:val="00A43D44"/>
    <w:rsid w:val="00A43E2A"/>
    <w:rsid w:val="00A47A34"/>
    <w:rsid w:val="00A47FC3"/>
    <w:rsid w:val="00A505DE"/>
    <w:rsid w:val="00A5327C"/>
    <w:rsid w:val="00A5352D"/>
    <w:rsid w:val="00A54222"/>
    <w:rsid w:val="00A56BBB"/>
    <w:rsid w:val="00A5721C"/>
    <w:rsid w:val="00A61804"/>
    <w:rsid w:val="00A65C7D"/>
    <w:rsid w:val="00A65D0A"/>
    <w:rsid w:val="00A67913"/>
    <w:rsid w:val="00A70FD8"/>
    <w:rsid w:val="00A80E98"/>
    <w:rsid w:val="00A81A94"/>
    <w:rsid w:val="00A81AB3"/>
    <w:rsid w:val="00A86CE5"/>
    <w:rsid w:val="00A93BD3"/>
    <w:rsid w:val="00A9681E"/>
    <w:rsid w:val="00AA007A"/>
    <w:rsid w:val="00AA4068"/>
    <w:rsid w:val="00AA41E2"/>
    <w:rsid w:val="00AA444F"/>
    <w:rsid w:val="00AA5A08"/>
    <w:rsid w:val="00AA5A2C"/>
    <w:rsid w:val="00AB073E"/>
    <w:rsid w:val="00AB0B9B"/>
    <w:rsid w:val="00AB0FE7"/>
    <w:rsid w:val="00AB1A13"/>
    <w:rsid w:val="00AB4E9F"/>
    <w:rsid w:val="00AC002B"/>
    <w:rsid w:val="00AC0068"/>
    <w:rsid w:val="00AC210F"/>
    <w:rsid w:val="00AC319E"/>
    <w:rsid w:val="00AD001C"/>
    <w:rsid w:val="00AD31CC"/>
    <w:rsid w:val="00AD3D89"/>
    <w:rsid w:val="00AD5584"/>
    <w:rsid w:val="00AD786E"/>
    <w:rsid w:val="00AE3A1E"/>
    <w:rsid w:val="00AE3C3E"/>
    <w:rsid w:val="00AE553C"/>
    <w:rsid w:val="00AE734F"/>
    <w:rsid w:val="00AE7876"/>
    <w:rsid w:val="00AF0E4D"/>
    <w:rsid w:val="00AF1D99"/>
    <w:rsid w:val="00AF2656"/>
    <w:rsid w:val="00AF311A"/>
    <w:rsid w:val="00AF6110"/>
    <w:rsid w:val="00AF6AC6"/>
    <w:rsid w:val="00AF7A44"/>
    <w:rsid w:val="00B00611"/>
    <w:rsid w:val="00B01562"/>
    <w:rsid w:val="00B04354"/>
    <w:rsid w:val="00B06407"/>
    <w:rsid w:val="00B06DB0"/>
    <w:rsid w:val="00B11821"/>
    <w:rsid w:val="00B13375"/>
    <w:rsid w:val="00B13FAC"/>
    <w:rsid w:val="00B1457F"/>
    <w:rsid w:val="00B1630C"/>
    <w:rsid w:val="00B16716"/>
    <w:rsid w:val="00B1793A"/>
    <w:rsid w:val="00B21FCF"/>
    <w:rsid w:val="00B2394B"/>
    <w:rsid w:val="00B23FA1"/>
    <w:rsid w:val="00B249FC"/>
    <w:rsid w:val="00B27A50"/>
    <w:rsid w:val="00B317E7"/>
    <w:rsid w:val="00B33A57"/>
    <w:rsid w:val="00B33B48"/>
    <w:rsid w:val="00B34083"/>
    <w:rsid w:val="00B35707"/>
    <w:rsid w:val="00B37728"/>
    <w:rsid w:val="00B45C64"/>
    <w:rsid w:val="00B46344"/>
    <w:rsid w:val="00B46A32"/>
    <w:rsid w:val="00B46B29"/>
    <w:rsid w:val="00B5073A"/>
    <w:rsid w:val="00B5171D"/>
    <w:rsid w:val="00B52024"/>
    <w:rsid w:val="00B53547"/>
    <w:rsid w:val="00B53597"/>
    <w:rsid w:val="00B55D3E"/>
    <w:rsid w:val="00B60F0C"/>
    <w:rsid w:val="00B62590"/>
    <w:rsid w:val="00B644AE"/>
    <w:rsid w:val="00B6471B"/>
    <w:rsid w:val="00B6729F"/>
    <w:rsid w:val="00B67A04"/>
    <w:rsid w:val="00B80195"/>
    <w:rsid w:val="00B80D74"/>
    <w:rsid w:val="00B80F8D"/>
    <w:rsid w:val="00B81898"/>
    <w:rsid w:val="00B82136"/>
    <w:rsid w:val="00B82627"/>
    <w:rsid w:val="00B87290"/>
    <w:rsid w:val="00B87993"/>
    <w:rsid w:val="00B90AA7"/>
    <w:rsid w:val="00B91790"/>
    <w:rsid w:val="00B94335"/>
    <w:rsid w:val="00B94D55"/>
    <w:rsid w:val="00B96DE6"/>
    <w:rsid w:val="00BA0AA6"/>
    <w:rsid w:val="00BA22C8"/>
    <w:rsid w:val="00BA2541"/>
    <w:rsid w:val="00BA2C0E"/>
    <w:rsid w:val="00BA3E10"/>
    <w:rsid w:val="00BA4B89"/>
    <w:rsid w:val="00BA53CD"/>
    <w:rsid w:val="00BA54FF"/>
    <w:rsid w:val="00BA5604"/>
    <w:rsid w:val="00BA566A"/>
    <w:rsid w:val="00BA65E5"/>
    <w:rsid w:val="00BB043E"/>
    <w:rsid w:val="00BB09DF"/>
    <w:rsid w:val="00BB248C"/>
    <w:rsid w:val="00BB3FC5"/>
    <w:rsid w:val="00BB4212"/>
    <w:rsid w:val="00BB7D0F"/>
    <w:rsid w:val="00BC24DF"/>
    <w:rsid w:val="00BC2B3B"/>
    <w:rsid w:val="00BC2D10"/>
    <w:rsid w:val="00BC4579"/>
    <w:rsid w:val="00BC5F26"/>
    <w:rsid w:val="00BC76B9"/>
    <w:rsid w:val="00BD1390"/>
    <w:rsid w:val="00BD15F6"/>
    <w:rsid w:val="00BD3D24"/>
    <w:rsid w:val="00BD537A"/>
    <w:rsid w:val="00BE1CCC"/>
    <w:rsid w:val="00BE3AC3"/>
    <w:rsid w:val="00BE6F45"/>
    <w:rsid w:val="00BE7493"/>
    <w:rsid w:val="00BE74BD"/>
    <w:rsid w:val="00BF4DDD"/>
    <w:rsid w:val="00C0018A"/>
    <w:rsid w:val="00C00905"/>
    <w:rsid w:val="00C01414"/>
    <w:rsid w:val="00C015AD"/>
    <w:rsid w:val="00C02935"/>
    <w:rsid w:val="00C02A7F"/>
    <w:rsid w:val="00C035B5"/>
    <w:rsid w:val="00C07C3A"/>
    <w:rsid w:val="00C11ABD"/>
    <w:rsid w:val="00C12F91"/>
    <w:rsid w:val="00C14FB2"/>
    <w:rsid w:val="00C15D41"/>
    <w:rsid w:val="00C165EC"/>
    <w:rsid w:val="00C17255"/>
    <w:rsid w:val="00C176AC"/>
    <w:rsid w:val="00C21BD2"/>
    <w:rsid w:val="00C21EF9"/>
    <w:rsid w:val="00C222F7"/>
    <w:rsid w:val="00C22588"/>
    <w:rsid w:val="00C244ED"/>
    <w:rsid w:val="00C24839"/>
    <w:rsid w:val="00C25851"/>
    <w:rsid w:val="00C27C23"/>
    <w:rsid w:val="00C30F71"/>
    <w:rsid w:val="00C3195C"/>
    <w:rsid w:val="00C32652"/>
    <w:rsid w:val="00C32851"/>
    <w:rsid w:val="00C32B61"/>
    <w:rsid w:val="00C3333B"/>
    <w:rsid w:val="00C33AB2"/>
    <w:rsid w:val="00C4056B"/>
    <w:rsid w:val="00C41C84"/>
    <w:rsid w:val="00C43ACF"/>
    <w:rsid w:val="00C503FC"/>
    <w:rsid w:val="00C50E83"/>
    <w:rsid w:val="00C54BA4"/>
    <w:rsid w:val="00C5546A"/>
    <w:rsid w:val="00C554D4"/>
    <w:rsid w:val="00C5761C"/>
    <w:rsid w:val="00C61B02"/>
    <w:rsid w:val="00C6218D"/>
    <w:rsid w:val="00C6254D"/>
    <w:rsid w:val="00C63E11"/>
    <w:rsid w:val="00C643CD"/>
    <w:rsid w:val="00C665DB"/>
    <w:rsid w:val="00C719A2"/>
    <w:rsid w:val="00C72165"/>
    <w:rsid w:val="00C732C9"/>
    <w:rsid w:val="00C8106D"/>
    <w:rsid w:val="00C81E4D"/>
    <w:rsid w:val="00C83041"/>
    <w:rsid w:val="00C840A5"/>
    <w:rsid w:val="00C850B4"/>
    <w:rsid w:val="00C85FDF"/>
    <w:rsid w:val="00C90B42"/>
    <w:rsid w:val="00C92E62"/>
    <w:rsid w:val="00C9424B"/>
    <w:rsid w:val="00C9475D"/>
    <w:rsid w:val="00C95056"/>
    <w:rsid w:val="00C951FD"/>
    <w:rsid w:val="00CA0671"/>
    <w:rsid w:val="00CA1537"/>
    <w:rsid w:val="00CA57AD"/>
    <w:rsid w:val="00CA5DC7"/>
    <w:rsid w:val="00CA6018"/>
    <w:rsid w:val="00CA7F28"/>
    <w:rsid w:val="00CB0768"/>
    <w:rsid w:val="00CB12E9"/>
    <w:rsid w:val="00CB131F"/>
    <w:rsid w:val="00CB430F"/>
    <w:rsid w:val="00CB4DCD"/>
    <w:rsid w:val="00CB4F2D"/>
    <w:rsid w:val="00CB55FD"/>
    <w:rsid w:val="00CB7BE6"/>
    <w:rsid w:val="00CC1690"/>
    <w:rsid w:val="00CC46BC"/>
    <w:rsid w:val="00CC665A"/>
    <w:rsid w:val="00CC673E"/>
    <w:rsid w:val="00CC681D"/>
    <w:rsid w:val="00CD16C6"/>
    <w:rsid w:val="00CD3389"/>
    <w:rsid w:val="00CD33E8"/>
    <w:rsid w:val="00CD4A81"/>
    <w:rsid w:val="00CD7C87"/>
    <w:rsid w:val="00CE04A0"/>
    <w:rsid w:val="00CE0ED6"/>
    <w:rsid w:val="00CE0EF3"/>
    <w:rsid w:val="00CE17BD"/>
    <w:rsid w:val="00CE182E"/>
    <w:rsid w:val="00CE2CCC"/>
    <w:rsid w:val="00CE34DC"/>
    <w:rsid w:val="00CE45BB"/>
    <w:rsid w:val="00CE4E1B"/>
    <w:rsid w:val="00CE7E6C"/>
    <w:rsid w:val="00CF5969"/>
    <w:rsid w:val="00CF5E20"/>
    <w:rsid w:val="00CF5E94"/>
    <w:rsid w:val="00D00E70"/>
    <w:rsid w:val="00D01700"/>
    <w:rsid w:val="00D02CBA"/>
    <w:rsid w:val="00D054B2"/>
    <w:rsid w:val="00D06CDB"/>
    <w:rsid w:val="00D07FB4"/>
    <w:rsid w:val="00D11F73"/>
    <w:rsid w:val="00D16C7B"/>
    <w:rsid w:val="00D17123"/>
    <w:rsid w:val="00D21FA8"/>
    <w:rsid w:val="00D22E14"/>
    <w:rsid w:val="00D236B7"/>
    <w:rsid w:val="00D23E48"/>
    <w:rsid w:val="00D244BE"/>
    <w:rsid w:val="00D35965"/>
    <w:rsid w:val="00D36FB1"/>
    <w:rsid w:val="00D41506"/>
    <w:rsid w:val="00D42557"/>
    <w:rsid w:val="00D43096"/>
    <w:rsid w:val="00D45C1E"/>
    <w:rsid w:val="00D46AB2"/>
    <w:rsid w:val="00D46F93"/>
    <w:rsid w:val="00D47815"/>
    <w:rsid w:val="00D520FA"/>
    <w:rsid w:val="00D56447"/>
    <w:rsid w:val="00D60496"/>
    <w:rsid w:val="00D6181E"/>
    <w:rsid w:val="00D62399"/>
    <w:rsid w:val="00D656EB"/>
    <w:rsid w:val="00D668E9"/>
    <w:rsid w:val="00D71D35"/>
    <w:rsid w:val="00D73559"/>
    <w:rsid w:val="00D74C32"/>
    <w:rsid w:val="00D74D6E"/>
    <w:rsid w:val="00D771FD"/>
    <w:rsid w:val="00D77822"/>
    <w:rsid w:val="00D7796D"/>
    <w:rsid w:val="00D80534"/>
    <w:rsid w:val="00D81B18"/>
    <w:rsid w:val="00D83541"/>
    <w:rsid w:val="00D84030"/>
    <w:rsid w:val="00D8586B"/>
    <w:rsid w:val="00D87F7B"/>
    <w:rsid w:val="00D92BB3"/>
    <w:rsid w:val="00D93A16"/>
    <w:rsid w:val="00D9496D"/>
    <w:rsid w:val="00D9502F"/>
    <w:rsid w:val="00D95F89"/>
    <w:rsid w:val="00D97EB8"/>
    <w:rsid w:val="00D97F37"/>
    <w:rsid w:val="00DA0768"/>
    <w:rsid w:val="00DA161A"/>
    <w:rsid w:val="00DA275C"/>
    <w:rsid w:val="00DA2957"/>
    <w:rsid w:val="00DA3768"/>
    <w:rsid w:val="00DA5A94"/>
    <w:rsid w:val="00DB2355"/>
    <w:rsid w:val="00DB35EF"/>
    <w:rsid w:val="00DB39BE"/>
    <w:rsid w:val="00DB3BB4"/>
    <w:rsid w:val="00DC0F02"/>
    <w:rsid w:val="00DC0F8D"/>
    <w:rsid w:val="00DC2284"/>
    <w:rsid w:val="00DC3533"/>
    <w:rsid w:val="00DC3CA4"/>
    <w:rsid w:val="00DC5A36"/>
    <w:rsid w:val="00DC784B"/>
    <w:rsid w:val="00DD1636"/>
    <w:rsid w:val="00DD3D81"/>
    <w:rsid w:val="00DD7A73"/>
    <w:rsid w:val="00DE1B17"/>
    <w:rsid w:val="00DE4578"/>
    <w:rsid w:val="00DE754E"/>
    <w:rsid w:val="00DF04EE"/>
    <w:rsid w:val="00DF0524"/>
    <w:rsid w:val="00DF2F53"/>
    <w:rsid w:val="00DF3010"/>
    <w:rsid w:val="00DF309D"/>
    <w:rsid w:val="00DF3E35"/>
    <w:rsid w:val="00E0100D"/>
    <w:rsid w:val="00E03ED5"/>
    <w:rsid w:val="00E054C5"/>
    <w:rsid w:val="00E06243"/>
    <w:rsid w:val="00E06D1A"/>
    <w:rsid w:val="00E07169"/>
    <w:rsid w:val="00E071BD"/>
    <w:rsid w:val="00E07A70"/>
    <w:rsid w:val="00E10D31"/>
    <w:rsid w:val="00E14FE2"/>
    <w:rsid w:val="00E1688C"/>
    <w:rsid w:val="00E22665"/>
    <w:rsid w:val="00E22BC2"/>
    <w:rsid w:val="00E23612"/>
    <w:rsid w:val="00E23ECD"/>
    <w:rsid w:val="00E24FE8"/>
    <w:rsid w:val="00E257BD"/>
    <w:rsid w:val="00E30499"/>
    <w:rsid w:val="00E30B51"/>
    <w:rsid w:val="00E324BB"/>
    <w:rsid w:val="00E32BCD"/>
    <w:rsid w:val="00E335F6"/>
    <w:rsid w:val="00E377E8"/>
    <w:rsid w:val="00E41AF3"/>
    <w:rsid w:val="00E428DE"/>
    <w:rsid w:val="00E42944"/>
    <w:rsid w:val="00E43464"/>
    <w:rsid w:val="00E47713"/>
    <w:rsid w:val="00E47A69"/>
    <w:rsid w:val="00E47E0B"/>
    <w:rsid w:val="00E55144"/>
    <w:rsid w:val="00E571BB"/>
    <w:rsid w:val="00E57965"/>
    <w:rsid w:val="00E60C8A"/>
    <w:rsid w:val="00E60D33"/>
    <w:rsid w:val="00E616F0"/>
    <w:rsid w:val="00E6501C"/>
    <w:rsid w:val="00E67CBB"/>
    <w:rsid w:val="00E73510"/>
    <w:rsid w:val="00E739AE"/>
    <w:rsid w:val="00E74435"/>
    <w:rsid w:val="00E758AD"/>
    <w:rsid w:val="00E77AF5"/>
    <w:rsid w:val="00E77D4E"/>
    <w:rsid w:val="00E8192D"/>
    <w:rsid w:val="00E8291C"/>
    <w:rsid w:val="00E85F01"/>
    <w:rsid w:val="00E8708A"/>
    <w:rsid w:val="00E91860"/>
    <w:rsid w:val="00E94F6C"/>
    <w:rsid w:val="00E954B7"/>
    <w:rsid w:val="00E96FDB"/>
    <w:rsid w:val="00EA107B"/>
    <w:rsid w:val="00EA6CDD"/>
    <w:rsid w:val="00EB0908"/>
    <w:rsid w:val="00EB292E"/>
    <w:rsid w:val="00EB3D2F"/>
    <w:rsid w:val="00EB7851"/>
    <w:rsid w:val="00EC16F1"/>
    <w:rsid w:val="00EC64F7"/>
    <w:rsid w:val="00ED05D6"/>
    <w:rsid w:val="00ED0C6F"/>
    <w:rsid w:val="00ED17A6"/>
    <w:rsid w:val="00ED2FCC"/>
    <w:rsid w:val="00ED590E"/>
    <w:rsid w:val="00EE0579"/>
    <w:rsid w:val="00EE58CA"/>
    <w:rsid w:val="00EE5F75"/>
    <w:rsid w:val="00EF2722"/>
    <w:rsid w:val="00EF2850"/>
    <w:rsid w:val="00EF2937"/>
    <w:rsid w:val="00EF3F99"/>
    <w:rsid w:val="00EF6805"/>
    <w:rsid w:val="00EF6A2F"/>
    <w:rsid w:val="00F00508"/>
    <w:rsid w:val="00F01A15"/>
    <w:rsid w:val="00F01E52"/>
    <w:rsid w:val="00F042DC"/>
    <w:rsid w:val="00F07099"/>
    <w:rsid w:val="00F105EA"/>
    <w:rsid w:val="00F11117"/>
    <w:rsid w:val="00F11253"/>
    <w:rsid w:val="00F12541"/>
    <w:rsid w:val="00F13E0D"/>
    <w:rsid w:val="00F14223"/>
    <w:rsid w:val="00F14C80"/>
    <w:rsid w:val="00F22035"/>
    <w:rsid w:val="00F224BA"/>
    <w:rsid w:val="00F22D18"/>
    <w:rsid w:val="00F23419"/>
    <w:rsid w:val="00F23F01"/>
    <w:rsid w:val="00F2676C"/>
    <w:rsid w:val="00F271F8"/>
    <w:rsid w:val="00F27FDB"/>
    <w:rsid w:val="00F3387B"/>
    <w:rsid w:val="00F3399C"/>
    <w:rsid w:val="00F36C87"/>
    <w:rsid w:val="00F4074B"/>
    <w:rsid w:val="00F419D1"/>
    <w:rsid w:val="00F419E0"/>
    <w:rsid w:val="00F43644"/>
    <w:rsid w:val="00F46927"/>
    <w:rsid w:val="00F51B0B"/>
    <w:rsid w:val="00F53D6C"/>
    <w:rsid w:val="00F55854"/>
    <w:rsid w:val="00F56813"/>
    <w:rsid w:val="00F60BD1"/>
    <w:rsid w:val="00F61457"/>
    <w:rsid w:val="00F65114"/>
    <w:rsid w:val="00F6656F"/>
    <w:rsid w:val="00F7007C"/>
    <w:rsid w:val="00F70110"/>
    <w:rsid w:val="00F713A8"/>
    <w:rsid w:val="00F72C93"/>
    <w:rsid w:val="00F73400"/>
    <w:rsid w:val="00F734B2"/>
    <w:rsid w:val="00F7782D"/>
    <w:rsid w:val="00F80185"/>
    <w:rsid w:val="00F80A88"/>
    <w:rsid w:val="00F8142F"/>
    <w:rsid w:val="00F81FF4"/>
    <w:rsid w:val="00F823F5"/>
    <w:rsid w:val="00F85482"/>
    <w:rsid w:val="00F8723D"/>
    <w:rsid w:val="00F9170D"/>
    <w:rsid w:val="00F92292"/>
    <w:rsid w:val="00F94368"/>
    <w:rsid w:val="00F9494C"/>
    <w:rsid w:val="00F95362"/>
    <w:rsid w:val="00FA0DC2"/>
    <w:rsid w:val="00FA10FA"/>
    <w:rsid w:val="00FA13CD"/>
    <w:rsid w:val="00FA15C8"/>
    <w:rsid w:val="00FA1BD2"/>
    <w:rsid w:val="00FA2D86"/>
    <w:rsid w:val="00FA348C"/>
    <w:rsid w:val="00FA6AB9"/>
    <w:rsid w:val="00FA7E14"/>
    <w:rsid w:val="00FB0AD8"/>
    <w:rsid w:val="00FB0BC2"/>
    <w:rsid w:val="00FB4DBB"/>
    <w:rsid w:val="00FC0498"/>
    <w:rsid w:val="00FC0D96"/>
    <w:rsid w:val="00FC2481"/>
    <w:rsid w:val="00FC33D6"/>
    <w:rsid w:val="00FC754B"/>
    <w:rsid w:val="00FD000F"/>
    <w:rsid w:val="00FD1466"/>
    <w:rsid w:val="00FD1863"/>
    <w:rsid w:val="00FD31FB"/>
    <w:rsid w:val="00FD4031"/>
    <w:rsid w:val="00FD50B0"/>
    <w:rsid w:val="00FD64AE"/>
    <w:rsid w:val="00FD6685"/>
    <w:rsid w:val="00FD6C3F"/>
    <w:rsid w:val="00FE29B9"/>
    <w:rsid w:val="00FE2C17"/>
    <w:rsid w:val="00FE3AAD"/>
    <w:rsid w:val="00FE4B8D"/>
    <w:rsid w:val="00FE61F9"/>
    <w:rsid w:val="00FF072F"/>
    <w:rsid w:val="00FF423E"/>
    <w:rsid w:val="00FF5A7C"/>
    <w:rsid w:val="00FF6C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FE983"/>
  <w15:chartTrackingRefBased/>
  <w15:docId w15:val="{6DB29E36-7418-41A1-B40D-5BA46CD6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116"/>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6031E5"/>
    <w:pPr>
      <w:keepNext/>
      <w:widowControl w:val="0"/>
      <w:tabs>
        <w:tab w:val="clear" w:pos="567"/>
        <w:tab w:val="left" w:pos="851"/>
      </w:tabs>
      <w:spacing w:line="240" w:lineRule="auto"/>
      <w:ind w:left="851" w:hanging="851"/>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242AD6"/>
    <w:pPr>
      <w:keepNext/>
      <w:widowControl w:val="0"/>
      <w:tabs>
        <w:tab w:val="clear" w:pos="567"/>
        <w:tab w:val="left" w:pos="851"/>
      </w:tabs>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D46F93"/>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D46F93"/>
    <w:pPr>
      <w:keepNext/>
      <w:widowControl w:val="0"/>
      <w:spacing w:before="24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D46F93"/>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D46F93"/>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rsid w:val="00201B3A"/>
    <w:pPr>
      <w:keepLines/>
      <w:spacing w:before="200"/>
      <w:outlineLvl w:val="6"/>
    </w:pPr>
    <w:rPr>
      <w:i/>
      <w:iCs/>
      <w:color w:val="939598"/>
      <w:sz w:val="20"/>
    </w:rPr>
  </w:style>
  <w:style w:type="paragraph" w:styleId="Heading8">
    <w:name w:val="heading 8"/>
    <w:aliases w:val="(Do not use),(Sub-section Nos)"/>
    <w:basedOn w:val="Normal"/>
    <w:next w:val="Normal"/>
    <w:link w:val="Heading8Char"/>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link w:val="Heading9Char"/>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1">
    <w:name w:val="Publication title 1"/>
    <w:basedOn w:val="Normal"/>
    <w:next w:val="Normal"/>
    <w:rsid w:val="00D520FA"/>
    <w:pPr>
      <w:spacing w:line="240" w:lineRule="auto"/>
      <w:jc w:val="center"/>
    </w:pPr>
    <w:rPr>
      <w:rFonts w:ascii="Montserrat Extra Bold" w:hAnsi="Montserrat Extra Bold"/>
      <w:color w:val="004563"/>
      <w:sz w:val="60"/>
    </w:rPr>
  </w:style>
  <w:style w:type="paragraph" w:styleId="Caption">
    <w:name w:val="caption"/>
    <w:basedOn w:val="Normal"/>
    <w:next w:val="Normal"/>
    <w:link w:val="CaptionChar"/>
    <w:qFormat/>
    <w:rsid w:val="005721A4"/>
    <w:pPr>
      <w:keepNext/>
      <w:keepLines/>
      <w:tabs>
        <w:tab w:val="clear" w:pos="567"/>
        <w:tab w:val="left" w:pos="1134"/>
        <w:tab w:val="left" w:pos="1418"/>
      </w:tabs>
      <w:spacing w:before="240" w:after="120" w:line="240" w:lineRule="auto"/>
      <w:ind w:left="1134" w:hanging="1134"/>
    </w:pPr>
    <w:rPr>
      <w:rFonts w:ascii="Montserrat Light" w:hAnsi="Montserrat Light"/>
      <w:b/>
      <w:bCs/>
      <w:szCs w:val="20"/>
    </w:rPr>
  </w:style>
  <w:style w:type="paragraph" w:customStyle="1" w:styleId="Publicationtitle2">
    <w:name w:val="Publication title 2"/>
    <w:basedOn w:val="Publicationtitle1"/>
    <w:next w:val="Normal"/>
    <w:rsid w:val="00D520FA"/>
    <w:pPr>
      <w:spacing w:before="0"/>
    </w:pPr>
    <w:rPr>
      <w:rFonts w:ascii="Montserrat Ultra Light" w:hAnsi="Montserrat Ultra Light"/>
      <w:b/>
      <w:color w:val="60B5D7"/>
      <w:sz w:val="52"/>
    </w:rPr>
  </w:style>
  <w:style w:type="paragraph" w:customStyle="1" w:styleId="Publicationtitle3">
    <w:name w:val="Publication title 3"/>
    <w:basedOn w:val="Publicationtitle2"/>
    <w:next w:val="Normal"/>
    <w:rsid w:val="00D520FA"/>
    <w:rPr>
      <w:b w:val="0"/>
      <w:color w:val="004563"/>
    </w:rPr>
  </w:style>
  <w:style w:type="paragraph" w:customStyle="1" w:styleId="CGCTableFootnote">
    <w:name w:val="CGC Table Footnote"/>
    <w:basedOn w:val="Normal"/>
    <w:next w:val="Normal"/>
    <w:link w:val="CGCTableFootnoteChar"/>
    <w:qFormat/>
    <w:rsid w:val="00D46F93"/>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E616F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D46F93"/>
    <w:pPr>
      <w:keepNext/>
      <w:keepLines/>
      <w:tabs>
        <w:tab w:val="left" w:pos="284"/>
      </w:tabs>
      <w:spacing w:before="60" w:after="60" w:line="200" w:lineRule="atLeast"/>
    </w:pPr>
    <w:rPr>
      <w:rFonts w:asciiTheme="minorHAnsi" w:hAnsiTheme="minorHAnsi"/>
      <w:szCs w:val="20"/>
    </w:rPr>
  </w:style>
  <w:style w:type="paragraph" w:customStyle="1" w:styleId="CGCTableheader">
    <w:name w:val="CGC Table header"/>
    <w:basedOn w:val="CGCTablerow"/>
    <w:next w:val="Normal"/>
    <w:rsid w:val="00011803"/>
    <w:rPr>
      <w:rFonts w:ascii="Open Sans Semibold" w:hAnsi="Open Sans Semibold" w:cs="Open Sans Semibold"/>
      <w:color w:val="FFFFFF" w:themeColor="background1"/>
      <w:lang w:val="en-US"/>
    </w:rPr>
  </w:style>
  <w:style w:type="character" w:styleId="FootnoteReference">
    <w:name w:val="footnote reference"/>
    <w:basedOn w:val="DefaultParagraphFont"/>
    <w:qFormat/>
    <w:rsid w:val="00D46F93"/>
    <w:rPr>
      <w:vertAlign w:val="superscript"/>
    </w:rPr>
  </w:style>
  <w:style w:type="paragraph" w:customStyle="1" w:styleId="CGCTablesubhead1">
    <w:name w:val="CGC Table subhead1"/>
    <w:basedOn w:val="Normal"/>
    <w:rsid w:val="00011803"/>
    <w:pPr>
      <w:spacing w:before="0" w:line="240" w:lineRule="auto"/>
    </w:pPr>
    <w:rPr>
      <w:rFonts w:ascii="Open Sans Semibold" w:hAnsi="Open Sans Semibold"/>
      <w:sz w:val="16"/>
      <w:lang w:val="en-US"/>
    </w:rPr>
  </w:style>
  <w:style w:type="paragraph" w:styleId="DocumentMap">
    <w:name w:val="Document Map"/>
    <w:basedOn w:val="Normal"/>
    <w:link w:val="DocumentMapChar"/>
    <w:rsid w:val="00765BA8"/>
    <w:pPr>
      <w:shd w:val="clear" w:color="auto" w:fill="000080"/>
    </w:pPr>
    <w:rPr>
      <w:rFonts w:ascii="Tahoma" w:hAnsi="Tahoma" w:cs="Tahoma"/>
      <w:szCs w:val="20"/>
    </w:rPr>
  </w:style>
  <w:style w:type="paragraph" w:styleId="ListParagraph">
    <w:name w:val="List Paragraph"/>
    <w:basedOn w:val="Normal"/>
    <w:uiPriority w:val="34"/>
    <w:qFormat/>
    <w:rsid w:val="006E1B81"/>
    <w:pPr>
      <w:ind w:left="720"/>
      <w:contextualSpacing/>
    </w:pPr>
  </w:style>
  <w:style w:type="paragraph" w:styleId="Footer">
    <w:name w:val="footer"/>
    <w:basedOn w:val="Normal"/>
    <w:link w:val="FooterChar"/>
    <w:uiPriority w:val="99"/>
    <w:unhideWhenUsed/>
    <w:rsid w:val="00011803"/>
    <w:pPr>
      <w:tabs>
        <w:tab w:val="center" w:pos="4513"/>
        <w:tab w:val="right" w:pos="9026"/>
      </w:tabs>
      <w:spacing w:before="0" w:line="240" w:lineRule="auto"/>
      <w:ind w:left="-284" w:right="-284"/>
      <w:jc w:val="right"/>
    </w:pPr>
    <w:rPr>
      <w:rFonts w:ascii="Montserrat Ultra Light" w:hAnsi="Montserrat Ultra Light"/>
      <w:b/>
      <w:color w:val="004563"/>
    </w:rPr>
  </w:style>
  <w:style w:type="paragraph" w:styleId="FootnoteText">
    <w:name w:val="footnote text"/>
    <w:basedOn w:val="Normal"/>
    <w:link w:val="FootnoteTextChar"/>
    <w:qFormat/>
    <w:rsid w:val="007067EE"/>
    <w:pPr>
      <w:tabs>
        <w:tab w:val="clear" w:pos="567"/>
        <w:tab w:val="left" w:pos="227"/>
      </w:tabs>
      <w:spacing w:before="40" w:line="240" w:lineRule="auto"/>
      <w:ind w:left="227" w:hanging="227"/>
    </w:pPr>
    <w:rPr>
      <w:sz w:val="14"/>
      <w:szCs w:val="20"/>
    </w:rPr>
  </w:style>
  <w:style w:type="paragraph" w:styleId="Header">
    <w:name w:val="header"/>
    <w:basedOn w:val="Normal"/>
    <w:link w:val="HeaderChar"/>
    <w:uiPriority w:val="99"/>
    <w:unhideWhenUsed/>
    <w:rsid w:val="00F3399C"/>
    <w:pPr>
      <w:tabs>
        <w:tab w:val="clear" w:pos="567"/>
        <w:tab w:val="center" w:pos="4513"/>
        <w:tab w:val="right" w:pos="9026"/>
      </w:tabs>
      <w:spacing w:line="240" w:lineRule="auto"/>
    </w:pPr>
    <w:rPr>
      <w:rFonts w:ascii="Montserrat Ultra Light" w:hAnsi="Montserrat Ultra Light"/>
      <w:color w:val="004563"/>
    </w:rPr>
  </w:style>
  <w:style w:type="character" w:styleId="Hyperlink">
    <w:name w:val="Hyperlink"/>
    <w:basedOn w:val="DefaultParagraphFont"/>
    <w:uiPriority w:val="99"/>
    <w:unhideWhenUsed/>
    <w:qFormat/>
    <w:rsid w:val="00D46F93"/>
    <w:rPr>
      <w:color w:val="006991"/>
      <w:u w:val="single"/>
    </w:rPr>
  </w:style>
  <w:style w:type="paragraph" w:styleId="List">
    <w:name w:val="List"/>
    <w:basedOn w:val="Normal"/>
    <w:rsid w:val="003A27BB"/>
    <w:pPr>
      <w:spacing w:line="300" w:lineRule="atLeast"/>
    </w:pPr>
  </w:style>
  <w:style w:type="paragraph" w:styleId="MacroText">
    <w:name w:val="macro"/>
    <w:link w:val="MacroTextChar"/>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F3399C"/>
    <w:rPr>
      <w:rFonts w:ascii="Montserrat Ultra Light" w:hAnsi="Montserrat Ultra Light"/>
      <w:color w:val="004563"/>
      <w:sz w:val="20"/>
    </w:rPr>
  </w:style>
  <w:style w:type="paragraph" w:customStyle="1" w:styleId="Single">
    <w:name w:val="Single"/>
    <w:basedOn w:val="Normal"/>
    <w:next w:val="Normal"/>
    <w:link w:val="SingleChar"/>
    <w:rsid w:val="00765BA8"/>
    <w:pPr>
      <w:spacing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Tablesubhead2">
    <w:name w:val="CGC Table subhead2"/>
    <w:basedOn w:val="Normal"/>
    <w:rsid w:val="00011803"/>
    <w:pPr>
      <w:spacing w:before="0" w:line="240" w:lineRule="auto"/>
    </w:pPr>
    <w:rPr>
      <w:rFonts w:ascii="Open Sans Semibold" w:hAnsi="Open Sans Semibold"/>
      <w:sz w:val="16"/>
      <w:lang w:val="en-US"/>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3A27BB"/>
    <w:rPr>
      <w:rFonts w:cs="Arial"/>
      <w:b/>
      <w:bCs/>
    </w:rPr>
  </w:style>
  <w:style w:type="paragraph" w:styleId="TOC1">
    <w:name w:val="toc 1"/>
    <w:basedOn w:val="Normal"/>
    <w:next w:val="Normal"/>
    <w:uiPriority w:val="39"/>
    <w:rsid w:val="0041233F"/>
    <w:pPr>
      <w:tabs>
        <w:tab w:val="clear" w:pos="567"/>
        <w:tab w:val="right" w:pos="8942"/>
      </w:tabs>
      <w:spacing w:before="80" w:line="240" w:lineRule="auto"/>
      <w:ind w:left="113"/>
    </w:pPr>
    <w:rPr>
      <w:rFonts w:ascii="Open Sans" w:hAnsi="Open Sans"/>
      <w:b/>
      <w:bCs/>
      <w:color w:val="636466"/>
      <w:szCs w:val="20"/>
    </w:rPr>
  </w:style>
  <w:style w:type="paragraph" w:styleId="TOC2">
    <w:name w:val="toc 2"/>
    <w:basedOn w:val="Normal"/>
    <w:next w:val="Normal"/>
    <w:uiPriority w:val="39"/>
    <w:rsid w:val="00DE754E"/>
    <w:pPr>
      <w:tabs>
        <w:tab w:val="clear" w:pos="567"/>
        <w:tab w:val="right" w:pos="8942"/>
      </w:tabs>
      <w:spacing w:before="0"/>
      <w:ind w:left="113"/>
    </w:pPr>
    <w:rPr>
      <w:rFonts w:ascii="Open Sans" w:hAnsi="Open Sans"/>
      <w:color w:val="636466"/>
      <w:szCs w:val="20"/>
    </w:rPr>
  </w:style>
  <w:style w:type="paragraph" w:styleId="TOC3">
    <w:name w:val="toc 3"/>
    <w:basedOn w:val="Normal"/>
    <w:next w:val="Normal"/>
    <w:uiPriority w:val="39"/>
    <w:rsid w:val="0041233F"/>
    <w:pPr>
      <w:tabs>
        <w:tab w:val="clear" w:pos="567"/>
        <w:tab w:val="right" w:pos="8942"/>
      </w:tabs>
      <w:spacing w:before="40" w:line="240" w:lineRule="auto"/>
      <w:ind w:left="397"/>
    </w:pPr>
    <w:rPr>
      <w:iCs/>
      <w:color w:val="636466"/>
    </w:rPr>
  </w:style>
  <w:style w:type="paragraph" w:styleId="TOC4">
    <w:name w:val="toc 4"/>
    <w:basedOn w:val="Normal"/>
    <w:next w:val="Normal"/>
    <w:uiPriority w:val="39"/>
    <w:rsid w:val="00DE754E"/>
    <w:pPr>
      <w:tabs>
        <w:tab w:val="clear" w:pos="567"/>
        <w:tab w:val="right" w:pos="8942"/>
      </w:tabs>
      <w:spacing w:before="40" w:line="276" w:lineRule="auto"/>
      <w:ind w:left="680"/>
    </w:pPr>
    <w:rPr>
      <w:i/>
      <w:color w:val="636466"/>
    </w:rPr>
  </w:style>
  <w:style w:type="paragraph" w:styleId="TOC5">
    <w:name w:val="toc 5"/>
    <w:basedOn w:val="Normal"/>
    <w:next w:val="Normal"/>
    <w:autoRedefine/>
    <w:uiPriority w:val="39"/>
    <w:unhideWhenUsed/>
    <w:rsid w:val="00DE754E"/>
    <w:pPr>
      <w:tabs>
        <w:tab w:val="clear" w:pos="567"/>
      </w:tabs>
      <w:ind w:left="799"/>
    </w:pPr>
    <w:rPr>
      <w:lang w:val="en-US"/>
    </w:rPr>
  </w:style>
  <w:style w:type="paragraph" w:styleId="TOC6">
    <w:name w:val="toc 6"/>
    <w:basedOn w:val="Normal"/>
    <w:next w:val="Normal"/>
    <w:autoRedefine/>
    <w:unhideWhenUsed/>
    <w:rsid w:val="00DE754E"/>
    <w:pPr>
      <w:tabs>
        <w:tab w:val="clear" w:pos="567"/>
      </w:tabs>
      <w:ind w:left="998"/>
    </w:pPr>
    <w:rPr>
      <w:lang w:val="en-US"/>
    </w:rPr>
  </w:style>
  <w:style w:type="character" w:customStyle="1" w:styleId="Heading1Char">
    <w:name w:val="Heading 1 Char"/>
    <w:basedOn w:val="DefaultParagraphFont"/>
    <w:link w:val="Heading1"/>
    <w:uiPriority w:val="9"/>
    <w:rsid w:val="00242AD6"/>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242AD6"/>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D46F93"/>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D46F93"/>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D46F93"/>
    <w:rPr>
      <w:rFonts w:ascii="Montserrat Semi Bold" w:eastAsiaTheme="majorEastAsia" w:hAnsi="Montserrat Semi Bold" w:cstheme="majorBidi"/>
      <w:color w:val="636466"/>
      <w:sz w:val="24"/>
    </w:rPr>
  </w:style>
  <w:style w:type="paragraph" w:styleId="TOCHeading">
    <w:name w:val="TOC Heading"/>
    <w:basedOn w:val="TOCtitle"/>
    <w:next w:val="Normal"/>
    <w:uiPriority w:val="39"/>
    <w:unhideWhenUsed/>
    <w:qFormat/>
    <w:rsid w:val="00D46F93"/>
    <w:pPr>
      <w:keepLines/>
      <w:spacing w:before="480" w:line="320" w:lineRule="atLeast"/>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011803"/>
    <w:rPr>
      <w:rFonts w:ascii="Montserrat Ultra Light" w:hAnsi="Montserrat Ultra Light"/>
      <w:b/>
      <w:color w:val="004563"/>
      <w:sz w:val="20"/>
    </w:rPr>
  </w:style>
  <w:style w:type="character" w:customStyle="1" w:styleId="HeaderChar">
    <w:name w:val="Header Char"/>
    <w:basedOn w:val="DefaultParagraphFont"/>
    <w:link w:val="Header"/>
    <w:uiPriority w:val="99"/>
    <w:rsid w:val="00F3399C"/>
    <w:rPr>
      <w:rFonts w:ascii="Montserrat Ultra Light" w:hAnsi="Montserrat Ultra Light"/>
      <w:color w:val="004563"/>
      <w:sz w:val="20"/>
      <w:lang w:val="en-US"/>
    </w:rPr>
  </w:style>
  <w:style w:type="paragraph" w:customStyle="1" w:styleId="CGCDataCaption">
    <w:name w:val="CGC Data Caption"/>
    <w:basedOn w:val="CGCTableFootnote"/>
    <w:next w:val="Normal"/>
    <w:link w:val="DataCaptionChar"/>
    <w:rsid w:val="00622669"/>
  </w:style>
  <w:style w:type="character" w:customStyle="1" w:styleId="CaptionChar">
    <w:name w:val="Caption Char"/>
    <w:basedOn w:val="DefaultParagraphFont"/>
    <w:link w:val="Caption"/>
    <w:rsid w:val="005721A4"/>
    <w:rPr>
      <w:rFonts w:ascii="Montserrat Light" w:hAnsi="Montserrat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F3399C"/>
    <w:rPr>
      <w:rFonts w:ascii="Open Sans Light" w:hAnsi="Open Sans Light"/>
      <w:sz w:val="14"/>
      <w:szCs w:val="20"/>
    </w:rPr>
  </w:style>
  <w:style w:type="character" w:customStyle="1" w:styleId="Heading6Char">
    <w:name w:val="Heading 6 Char"/>
    <w:basedOn w:val="DefaultParagraphFont"/>
    <w:link w:val="Heading6"/>
    <w:uiPriority w:val="9"/>
    <w:rsid w:val="00D46F93"/>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rsid w:val="00201B3A"/>
    <w:rPr>
      <w:rFonts w:ascii="Montserrat Semi Bold" w:eastAsiaTheme="majorEastAsia" w:hAnsi="Montserrat Semi Bold" w:cstheme="majorBidi"/>
      <w:i/>
      <w:iCs/>
      <w:color w:val="939598"/>
      <w:sz w:val="20"/>
    </w:rPr>
  </w:style>
  <w:style w:type="paragraph" w:customStyle="1" w:styleId="CGCParaNumber">
    <w:name w:val="CGC Para Number"/>
    <w:basedOn w:val="Normal"/>
    <w:qFormat/>
    <w:rsid w:val="00011803"/>
    <w:pPr>
      <w:numPr>
        <w:numId w:val="9"/>
      </w:numPr>
    </w:pPr>
    <w:rPr>
      <w:lang w:val="en-US"/>
    </w:rPr>
  </w:style>
  <w:style w:type="paragraph" w:customStyle="1" w:styleId="CGCBullet1">
    <w:name w:val="CGC Bullet 1"/>
    <w:basedOn w:val="Normal"/>
    <w:qFormat/>
    <w:rsid w:val="00364DB3"/>
    <w:pPr>
      <w:numPr>
        <w:numId w:val="5"/>
      </w:numPr>
      <w:ind w:left="924" w:hanging="357"/>
    </w:pPr>
  </w:style>
  <w:style w:type="paragraph" w:customStyle="1" w:styleId="CGCBullet2">
    <w:name w:val="CGC Bullet 2"/>
    <w:basedOn w:val="Normal"/>
    <w:autoRedefine/>
    <w:qFormat/>
    <w:rsid w:val="00161EFB"/>
    <w:pPr>
      <w:numPr>
        <w:numId w:val="6"/>
      </w:numPr>
      <w:ind w:left="1208" w:hanging="357"/>
    </w:pPr>
  </w:style>
  <w:style w:type="paragraph" w:customStyle="1" w:styleId="CGCBullet3">
    <w:name w:val="CGC Bullet 3"/>
    <w:basedOn w:val="Normal"/>
    <w:qFormat/>
    <w:rsid w:val="00401575"/>
    <w:pPr>
      <w:numPr>
        <w:numId w:val="7"/>
      </w:numPr>
      <w:ind w:left="1491" w:hanging="357"/>
    </w:pPr>
  </w:style>
  <w:style w:type="paragraph" w:customStyle="1" w:styleId="CGCQuoteText">
    <w:name w:val="CGC Quote Text"/>
    <w:basedOn w:val="Normal"/>
    <w:next w:val="Normal"/>
    <w:rsid w:val="00F3399C"/>
    <w:pPr>
      <w:spacing w:after="120"/>
      <w:ind w:left="1418" w:right="1134"/>
    </w:pPr>
  </w:style>
  <w:style w:type="paragraph" w:customStyle="1" w:styleId="CGCQuoteBullet">
    <w:name w:val="CGC Quote Bullet"/>
    <w:basedOn w:val="CGCQuoteText"/>
    <w:next w:val="Normal"/>
    <w:rsid w:val="00F3399C"/>
    <w:pPr>
      <w:numPr>
        <w:numId w:val="8"/>
      </w:numPr>
      <w:spacing w:after="0"/>
      <w:ind w:left="1775" w:right="1418" w:hanging="357"/>
    </w:pPr>
  </w:style>
  <w:style w:type="paragraph" w:customStyle="1" w:styleId="CGCTablerow">
    <w:name w:val="CGC Table row"/>
    <w:basedOn w:val="Normal"/>
    <w:qFormat/>
    <w:rsid w:val="00D46F93"/>
    <w:pPr>
      <w:spacing w:before="0" w:line="240" w:lineRule="auto"/>
    </w:pPr>
    <w:rPr>
      <w:sz w:val="16"/>
    </w:rPr>
  </w:style>
  <w:style w:type="paragraph" w:customStyle="1" w:styleId="CGCTablenote">
    <w:name w:val="CGC Table note"/>
    <w:basedOn w:val="Normal"/>
    <w:next w:val="Normal"/>
    <w:qFormat/>
    <w:rsid w:val="009F4089"/>
    <w:pPr>
      <w:tabs>
        <w:tab w:val="clear" w:pos="567"/>
        <w:tab w:val="left" w:pos="680"/>
      </w:tabs>
      <w:spacing w:before="40" w:line="240" w:lineRule="auto"/>
      <w:ind w:left="567" w:hanging="567"/>
    </w:pPr>
    <w:rPr>
      <w:sz w:val="14"/>
    </w:rPr>
  </w:style>
  <w:style w:type="character" w:customStyle="1" w:styleId="CGCTableHeadingChar">
    <w:name w:val="CGC Table Heading Char"/>
    <w:basedOn w:val="DefaultParagraphFont"/>
    <w:link w:val="CGCTableHeading"/>
    <w:rsid w:val="00E616F0"/>
    <w:rPr>
      <w:rFonts w:ascii="Montserrat Ultra Light" w:hAnsi="Montserrat Ultra Light"/>
      <w:b/>
      <w:sz w:val="20"/>
      <w:szCs w:val="20"/>
      <w:lang w:val="en-US"/>
    </w:rPr>
  </w:style>
  <w:style w:type="character" w:customStyle="1" w:styleId="CGCTableStubChar">
    <w:name w:val="CGC Table Stub Char"/>
    <w:basedOn w:val="DefaultParagraphFont"/>
    <w:link w:val="CGCTableStub"/>
    <w:rsid w:val="00D46F93"/>
    <w:rPr>
      <w:sz w:val="20"/>
      <w:szCs w:val="20"/>
    </w:rPr>
  </w:style>
  <w:style w:type="paragraph" w:styleId="NoSpacing">
    <w:name w:val="No Spacing"/>
    <w:link w:val="NoSpacingChar"/>
    <w:uiPriority w:val="1"/>
    <w:rsid w:val="00D46F93"/>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D46F93"/>
    <w:rPr>
      <w:sz w:val="24"/>
    </w:rPr>
  </w:style>
  <w:style w:type="character" w:styleId="CommentReference">
    <w:name w:val="annotation reference"/>
    <w:basedOn w:val="DefaultParagraphFont"/>
    <w:rsid w:val="00242AD6"/>
    <w:rPr>
      <w:sz w:val="16"/>
      <w:szCs w:val="16"/>
    </w:rPr>
  </w:style>
  <w:style w:type="paragraph" w:styleId="CommentText">
    <w:name w:val="annotation text"/>
    <w:basedOn w:val="Normal"/>
    <w:link w:val="CommentTextChar"/>
    <w:rsid w:val="00242AD6"/>
    <w:pPr>
      <w:spacing w:before="0" w:after="80" w:line="320" w:lineRule="atLeast"/>
    </w:pPr>
    <w:rPr>
      <w:rFonts w:asciiTheme="minorHAnsi" w:hAnsiTheme="minorHAnsi"/>
      <w:szCs w:val="20"/>
    </w:rPr>
  </w:style>
  <w:style w:type="character" w:customStyle="1" w:styleId="CommentTextChar">
    <w:name w:val="Comment Text Char"/>
    <w:basedOn w:val="DefaultParagraphFont"/>
    <w:link w:val="CommentText"/>
    <w:rsid w:val="00242AD6"/>
    <w:rPr>
      <w:sz w:val="20"/>
      <w:szCs w:val="20"/>
    </w:rPr>
  </w:style>
  <w:style w:type="character" w:styleId="Mention">
    <w:name w:val="Mention"/>
    <w:basedOn w:val="DefaultParagraphFont"/>
    <w:uiPriority w:val="99"/>
    <w:unhideWhenUsed/>
    <w:rsid w:val="00242AD6"/>
    <w:rPr>
      <w:color w:val="2B579A"/>
      <w:shd w:val="clear" w:color="auto" w:fill="E1DFDD"/>
    </w:rPr>
  </w:style>
  <w:style w:type="paragraph" w:styleId="BalloonText">
    <w:name w:val="Balloon Text"/>
    <w:basedOn w:val="Normal"/>
    <w:link w:val="BalloonTextChar"/>
    <w:uiPriority w:val="99"/>
    <w:unhideWhenUsed/>
    <w:rsid w:val="00242AD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42AD6"/>
    <w:rPr>
      <w:rFonts w:ascii="Segoe UI" w:hAnsi="Segoe UI" w:cs="Segoe UI"/>
      <w:sz w:val="18"/>
      <w:szCs w:val="18"/>
    </w:rPr>
  </w:style>
  <w:style w:type="table" w:customStyle="1" w:styleId="TableGrid1">
    <w:name w:val="Table Grid1"/>
    <w:basedOn w:val="TableNormal"/>
    <w:next w:val="TableGrid"/>
    <w:rsid w:val="00242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Quotation">
    <w:name w:val="CGC Quotation"/>
    <w:basedOn w:val="Normal"/>
    <w:next w:val="Normal"/>
    <w:rsid w:val="00355FE4"/>
    <w:pPr>
      <w:tabs>
        <w:tab w:val="clear" w:pos="567"/>
      </w:tabs>
      <w:spacing w:after="120" w:line="240" w:lineRule="auto"/>
      <w:ind w:left="1134" w:right="1134"/>
    </w:pPr>
    <w:rPr>
      <w:szCs w:val="24"/>
    </w:rPr>
  </w:style>
  <w:style w:type="paragraph" w:customStyle="1" w:styleId="TOCtitle">
    <w:name w:val="TOC title"/>
    <w:basedOn w:val="Normal"/>
    <w:next w:val="Normal"/>
    <w:rsid w:val="006B5063"/>
    <w:pPr>
      <w:ind w:left="113"/>
    </w:pPr>
    <w:rPr>
      <w:rFonts w:ascii="Montserrat Extra Bold" w:hAnsi="Montserrat Extra Bold"/>
      <w:color w:val="004563"/>
      <w:sz w:val="32"/>
      <w:lang w:val="en-US"/>
    </w:rPr>
  </w:style>
  <w:style w:type="paragraph" w:styleId="TOC7">
    <w:name w:val="toc 7"/>
    <w:basedOn w:val="Normal"/>
    <w:next w:val="Normal"/>
    <w:autoRedefine/>
    <w:unhideWhenUsed/>
    <w:rsid w:val="003F65C6"/>
    <w:pPr>
      <w:tabs>
        <w:tab w:val="clear" w:pos="567"/>
      </w:tabs>
      <w:spacing w:after="100"/>
      <w:ind w:left="1200"/>
    </w:pPr>
  </w:style>
  <w:style w:type="paragraph" w:styleId="TOC8">
    <w:name w:val="toc 8"/>
    <w:basedOn w:val="Normal"/>
    <w:next w:val="Normal"/>
    <w:autoRedefine/>
    <w:unhideWhenUsed/>
    <w:rsid w:val="003F65C6"/>
    <w:pPr>
      <w:tabs>
        <w:tab w:val="clear" w:pos="567"/>
      </w:tabs>
      <w:spacing w:after="100"/>
      <w:ind w:left="1400"/>
    </w:pPr>
  </w:style>
  <w:style w:type="paragraph" w:styleId="TOC9">
    <w:name w:val="toc 9"/>
    <w:basedOn w:val="Normal"/>
    <w:next w:val="Normal"/>
    <w:autoRedefine/>
    <w:unhideWhenUsed/>
    <w:rsid w:val="003F65C6"/>
    <w:pPr>
      <w:tabs>
        <w:tab w:val="clear" w:pos="567"/>
      </w:tabs>
      <w:spacing w:after="100"/>
      <w:ind w:left="1600"/>
    </w:pPr>
  </w:style>
  <w:style w:type="numbering" w:customStyle="1" w:styleId="NoList1">
    <w:name w:val="No List1"/>
    <w:next w:val="NoList"/>
    <w:uiPriority w:val="99"/>
    <w:semiHidden/>
    <w:unhideWhenUsed/>
    <w:rsid w:val="00BD15F6"/>
  </w:style>
  <w:style w:type="paragraph" w:customStyle="1" w:styleId="CGCBulletlist">
    <w:name w:val="CGC Bullet list"/>
    <w:aliases w:val="CGC List 1"/>
    <w:basedOn w:val="Normal"/>
    <w:link w:val="CGCBulletlistCharChar"/>
    <w:rsid w:val="00BD15F6"/>
    <w:pPr>
      <w:tabs>
        <w:tab w:val="clear" w:pos="567"/>
        <w:tab w:val="num" w:pos="927"/>
        <w:tab w:val="left" w:pos="1134"/>
      </w:tabs>
      <w:spacing w:before="80" w:after="80" w:line="300" w:lineRule="atLeast"/>
      <w:ind w:left="927" w:hanging="360"/>
    </w:pPr>
    <w:rPr>
      <w:rFonts w:asciiTheme="minorHAnsi" w:hAnsiTheme="minorHAnsi"/>
      <w:sz w:val="24"/>
      <w:szCs w:val="20"/>
    </w:rPr>
  </w:style>
  <w:style w:type="paragraph" w:customStyle="1" w:styleId="CGCNumeralList">
    <w:name w:val="CGC Numeral List"/>
    <w:aliases w:val="CGC List 3"/>
    <w:basedOn w:val="Normal"/>
    <w:rsid w:val="00BD15F6"/>
    <w:pPr>
      <w:tabs>
        <w:tab w:val="clear" w:pos="567"/>
      </w:tabs>
      <w:spacing w:before="0" w:after="80" w:line="300" w:lineRule="atLeast"/>
      <w:ind w:left="2061" w:hanging="360"/>
    </w:pPr>
    <w:rPr>
      <w:rFonts w:asciiTheme="minorHAnsi" w:hAnsiTheme="minorHAnsi"/>
      <w:sz w:val="24"/>
      <w:szCs w:val="20"/>
    </w:rPr>
  </w:style>
  <w:style w:type="paragraph" w:customStyle="1" w:styleId="CGCNumberedPara">
    <w:name w:val="CGC Numbered Para"/>
    <w:aliases w:val="CGC Para No"/>
    <w:basedOn w:val="Normal"/>
    <w:link w:val="CGCParaNoChar"/>
    <w:rsid w:val="00BD15F6"/>
    <w:pPr>
      <w:tabs>
        <w:tab w:val="clear" w:pos="567"/>
      </w:tabs>
      <w:spacing w:after="80" w:line="320" w:lineRule="atLeast"/>
      <w:ind w:left="567" w:hanging="624"/>
    </w:pPr>
    <w:rPr>
      <w:rFonts w:asciiTheme="minorHAnsi" w:hAnsiTheme="minorHAnsi"/>
      <w:sz w:val="24"/>
      <w:szCs w:val="24"/>
    </w:rPr>
  </w:style>
  <w:style w:type="paragraph" w:customStyle="1" w:styleId="CGCSubbulletlist">
    <w:name w:val="CGC Sub bullet list"/>
    <w:aliases w:val="CGC List 2"/>
    <w:basedOn w:val="Normal"/>
    <w:link w:val="CGCSubbulletlistChar"/>
    <w:rsid w:val="00BD15F6"/>
    <w:pPr>
      <w:tabs>
        <w:tab w:val="clear" w:pos="567"/>
        <w:tab w:val="left" w:pos="1701"/>
      </w:tabs>
      <w:spacing w:before="0" w:after="80" w:line="300" w:lineRule="atLeast"/>
      <w:ind w:left="1701" w:hanging="567"/>
    </w:pPr>
    <w:rPr>
      <w:rFonts w:asciiTheme="minorHAnsi" w:hAnsiTheme="minorHAnsi"/>
      <w:sz w:val="24"/>
      <w:szCs w:val="20"/>
    </w:rPr>
  </w:style>
  <w:style w:type="paragraph" w:customStyle="1" w:styleId="CGCQuotationBullet">
    <w:name w:val="CGC Quotation Bullet"/>
    <w:basedOn w:val="CGCSubbulletlist"/>
    <w:rsid w:val="00BD15F6"/>
    <w:pPr>
      <w:numPr>
        <w:numId w:val="23"/>
      </w:numPr>
      <w:tabs>
        <w:tab w:val="num" w:pos="927"/>
        <w:tab w:val="left" w:pos="1701"/>
      </w:tabs>
      <w:ind w:left="720" w:right="1134" w:hanging="360"/>
    </w:pPr>
    <w:rPr>
      <w:sz w:val="22"/>
    </w:rPr>
  </w:style>
  <w:style w:type="paragraph" w:styleId="CommentSubject">
    <w:name w:val="annotation subject"/>
    <w:basedOn w:val="CommentText"/>
    <w:next w:val="CommentText"/>
    <w:link w:val="CommentSubjectChar"/>
    <w:rsid w:val="00BD15F6"/>
    <w:rPr>
      <w:b/>
      <w:bCs/>
    </w:rPr>
  </w:style>
  <w:style w:type="character" w:customStyle="1" w:styleId="CommentSubjectChar">
    <w:name w:val="Comment Subject Char"/>
    <w:basedOn w:val="CommentTextChar"/>
    <w:link w:val="CommentSubject"/>
    <w:rsid w:val="00BD15F6"/>
    <w:rPr>
      <w:b/>
      <w:bCs/>
      <w:sz w:val="20"/>
      <w:szCs w:val="20"/>
    </w:rPr>
  </w:style>
  <w:style w:type="character" w:styleId="EndnoteReference">
    <w:name w:val="endnote reference"/>
    <w:basedOn w:val="DefaultParagraphFont"/>
    <w:rsid w:val="00BD15F6"/>
    <w:rPr>
      <w:vertAlign w:val="superscript"/>
    </w:rPr>
  </w:style>
  <w:style w:type="paragraph" w:styleId="EndnoteText">
    <w:name w:val="endnote text"/>
    <w:basedOn w:val="Normal"/>
    <w:link w:val="EndnoteTextChar"/>
    <w:rsid w:val="00BD15F6"/>
    <w:pPr>
      <w:spacing w:before="0" w:after="80" w:line="320" w:lineRule="atLeast"/>
    </w:pPr>
    <w:rPr>
      <w:rFonts w:asciiTheme="minorHAnsi" w:hAnsiTheme="minorHAnsi"/>
      <w:szCs w:val="20"/>
    </w:rPr>
  </w:style>
  <w:style w:type="character" w:customStyle="1" w:styleId="EndnoteTextChar">
    <w:name w:val="Endnote Text Char"/>
    <w:basedOn w:val="DefaultParagraphFont"/>
    <w:link w:val="EndnoteText"/>
    <w:rsid w:val="00BD15F6"/>
    <w:rPr>
      <w:sz w:val="20"/>
      <w:szCs w:val="20"/>
    </w:rPr>
  </w:style>
  <w:style w:type="paragraph" w:styleId="Index1">
    <w:name w:val="index 1"/>
    <w:basedOn w:val="Normal"/>
    <w:rsid w:val="00BD15F6"/>
    <w:pPr>
      <w:spacing w:before="0" w:after="80" w:line="320" w:lineRule="atLeast"/>
    </w:pPr>
    <w:rPr>
      <w:rFonts w:asciiTheme="minorHAnsi" w:hAnsiTheme="minorHAnsi"/>
      <w:sz w:val="24"/>
    </w:rPr>
  </w:style>
  <w:style w:type="paragraph" w:styleId="Index2">
    <w:name w:val="index 2"/>
    <w:basedOn w:val="Normal"/>
    <w:next w:val="Index1"/>
    <w:rsid w:val="00BD15F6"/>
    <w:pPr>
      <w:spacing w:before="0" w:after="80" w:line="320" w:lineRule="atLeast"/>
      <w:ind w:left="284"/>
    </w:pPr>
    <w:rPr>
      <w:rFonts w:asciiTheme="minorHAnsi" w:hAnsiTheme="minorHAnsi"/>
      <w:sz w:val="24"/>
    </w:rPr>
  </w:style>
  <w:style w:type="paragraph" w:styleId="Index3">
    <w:name w:val="index 3"/>
    <w:basedOn w:val="Normal"/>
    <w:next w:val="Index1"/>
    <w:rsid w:val="00BD15F6"/>
    <w:pPr>
      <w:spacing w:before="0" w:after="80" w:line="320" w:lineRule="atLeast"/>
      <w:ind w:left="567"/>
    </w:pPr>
    <w:rPr>
      <w:rFonts w:asciiTheme="minorHAnsi" w:hAnsiTheme="minorHAnsi"/>
      <w:sz w:val="24"/>
    </w:rPr>
  </w:style>
  <w:style w:type="paragraph" w:styleId="Index4">
    <w:name w:val="index 4"/>
    <w:basedOn w:val="Normal"/>
    <w:next w:val="Normal"/>
    <w:rsid w:val="00BD15F6"/>
    <w:pPr>
      <w:spacing w:before="0" w:after="80" w:line="320" w:lineRule="atLeast"/>
      <w:ind w:left="880" w:hanging="220"/>
    </w:pPr>
    <w:rPr>
      <w:rFonts w:asciiTheme="minorHAnsi" w:hAnsiTheme="minorHAnsi"/>
      <w:sz w:val="24"/>
    </w:rPr>
  </w:style>
  <w:style w:type="paragraph" w:styleId="Index5">
    <w:name w:val="index 5"/>
    <w:basedOn w:val="Normal"/>
    <w:next w:val="Normal"/>
    <w:rsid w:val="00BD15F6"/>
    <w:pPr>
      <w:spacing w:before="0" w:after="80" w:line="320" w:lineRule="atLeast"/>
      <w:ind w:left="1100" w:hanging="220"/>
    </w:pPr>
    <w:rPr>
      <w:rFonts w:asciiTheme="minorHAnsi" w:hAnsiTheme="minorHAnsi"/>
      <w:sz w:val="24"/>
    </w:rPr>
  </w:style>
  <w:style w:type="paragraph" w:styleId="Index6">
    <w:name w:val="index 6"/>
    <w:basedOn w:val="Normal"/>
    <w:next w:val="Normal"/>
    <w:rsid w:val="00BD15F6"/>
    <w:pPr>
      <w:spacing w:before="0" w:after="80" w:line="320" w:lineRule="atLeast"/>
      <w:ind w:left="1320" w:hanging="220"/>
    </w:pPr>
    <w:rPr>
      <w:rFonts w:asciiTheme="minorHAnsi" w:hAnsiTheme="minorHAnsi"/>
      <w:sz w:val="24"/>
    </w:rPr>
  </w:style>
  <w:style w:type="paragraph" w:styleId="Index7">
    <w:name w:val="index 7"/>
    <w:basedOn w:val="Normal"/>
    <w:next w:val="Normal"/>
    <w:rsid w:val="00BD15F6"/>
    <w:pPr>
      <w:spacing w:before="0" w:after="80" w:line="320" w:lineRule="atLeast"/>
      <w:ind w:left="1540" w:hanging="220"/>
    </w:pPr>
    <w:rPr>
      <w:rFonts w:asciiTheme="minorHAnsi" w:hAnsiTheme="minorHAnsi"/>
      <w:sz w:val="24"/>
    </w:rPr>
  </w:style>
  <w:style w:type="paragraph" w:styleId="Index8">
    <w:name w:val="index 8"/>
    <w:basedOn w:val="Normal"/>
    <w:next w:val="Normal"/>
    <w:rsid w:val="00BD15F6"/>
    <w:pPr>
      <w:spacing w:before="0" w:after="80" w:line="320" w:lineRule="atLeast"/>
      <w:ind w:left="1760" w:hanging="220"/>
    </w:pPr>
    <w:rPr>
      <w:rFonts w:asciiTheme="minorHAnsi" w:hAnsiTheme="minorHAnsi"/>
      <w:sz w:val="24"/>
    </w:rPr>
  </w:style>
  <w:style w:type="paragraph" w:styleId="Index9">
    <w:name w:val="index 9"/>
    <w:basedOn w:val="Normal"/>
    <w:next w:val="Normal"/>
    <w:rsid w:val="00BD15F6"/>
    <w:pPr>
      <w:spacing w:before="0" w:after="80" w:line="320" w:lineRule="atLeast"/>
      <w:ind w:left="1980" w:hanging="220"/>
    </w:pPr>
    <w:rPr>
      <w:rFonts w:asciiTheme="minorHAnsi" w:hAnsiTheme="minorHAnsi"/>
      <w:sz w:val="24"/>
    </w:rPr>
  </w:style>
  <w:style w:type="paragraph" w:styleId="IndexHeading">
    <w:name w:val="index heading"/>
    <w:basedOn w:val="Normal"/>
    <w:next w:val="Index1"/>
    <w:rsid w:val="00BD15F6"/>
    <w:pPr>
      <w:spacing w:before="0" w:after="80" w:line="320" w:lineRule="atLeast"/>
    </w:pPr>
    <w:rPr>
      <w:rFonts w:asciiTheme="minorHAnsi" w:hAnsiTheme="minorHAnsi"/>
      <w:sz w:val="24"/>
    </w:rPr>
  </w:style>
  <w:style w:type="paragraph" w:styleId="TableofAuthorities">
    <w:name w:val="table of authorities"/>
    <w:basedOn w:val="Normal"/>
    <w:next w:val="Normal"/>
    <w:rsid w:val="00BD15F6"/>
    <w:pPr>
      <w:tabs>
        <w:tab w:val="clear" w:pos="567"/>
      </w:tabs>
      <w:spacing w:before="0" w:after="80" w:line="320" w:lineRule="atLeast"/>
      <w:ind w:left="220" w:hanging="220"/>
    </w:pPr>
    <w:rPr>
      <w:rFonts w:asciiTheme="minorHAnsi" w:hAnsiTheme="minorHAnsi"/>
      <w:sz w:val="24"/>
    </w:rPr>
  </w:style>
  <w:style w:type="paragraph" w:styleId="TableofFigures">
    <w:name w:val="table of figures"/>
    <w:basedOn w:val="Normal"/>
    <w:next w:val="Normal"/>
    <w:rsid w:val="00BD15F6"/>
    <w:pPr>
      <w:tabs>
        <w:tab w:val="clear" w:pos="567"/>
      </w:tabs>
      <w:spacing w:before="0" w:after="80" w:line="320" w:lineRule="atLeast"/>
    </w:pPr>
    <w:rPr>
      <w:rFonts w:asciiTheme="minorHAnsi" w:hAnsiTheme="minorHAnsi"/>
      <w:sz w:val="24"/>
    </w:rPr>
  </w:style>
  <w:style w:type="paragraph" w:customStyle="1" w:styleId="TableColHeadings">
    <w:name w:val="TableColHeadings"/>
    <w:basedOn w:val="Normal"/>
    <w:rsid w:val="00BD15F6"/>
    <w:pPr>
      <w:keepNext/>
      <w:keepLines/>
      <w:tabs>
        <w:tab w:val="left" w:pos="475"/>
        <w:tab w:val="left" w:pos="1440"/>
        <w:tab w:val="left" w:pos="2160"/>
        <w:tab w:val="left" w:pos="2880"/>
      </w:tabs>
      <w:spacing w:before="60" w:after="60" w:line="240" w:lineRule="auto"/>
      <w:jc w:val="right"/>
    </w:pPr>
    <w:rPr>
      <w:rFonts w:asciiTheme="minorHAnsi" w:hAnsiTheme="minorHAnsi"/>
      <w:szCs w:val="20"/>
    </w:rPr>
  </w:style>
  <w:style w:type="character" w:customStyle="1" w:styleId="CGCBulletlistCharChar">
    <w:name w:val="CGC Bullet list Char Char"/>
    <w:basedOn w:val="DefaultParagraphFont"/>
    <w:link w:val="CGCBulletlist"/>
    <w:rsid w:val="00BD15F6"/>
    <w:rPr>
      <w:sz w:val="24"/>
      <w:szCs w:val="20"/>
    </w:rPr>
  </w:style>
  <w:style w:type="character" w:customStyle="1" w:styleId="CGCParaNoChar">
    <w:name w:val="CGC Para No Char"/>
    <w:aliases w:val="CGC Numbered Para Char"/>
    <w:basedOn w:val="DefaultParagraphFont"/>
    <w:link w:val="CGCNumberedPara"/>
    <w:rsid w:val="00BD15F6"/>
    <w:rPr>
      <w:sz w:val="24"/>
      <w:szCs w:val="24"/>
    </w:rPr>
  </w:style>
  <w:style w:type="character" w:customStyle="1" w:styleId="CGCTableFootnoteChar">
    <w:name w:val="CGC Table Footnote Char"/>
    <w:basedOn w:val="DefaultParagraphFont"/>
    <w:link w:val="CGCTableFootnote"/>
    <w:rsid w:val="00BD15F6"/>
    <w:rPr>
      <w:rFonts w:ascii="Open Sans Light" w:hAnsi="Open Sans Light"/>
      <w:sz w:val="20"/>
      <w:szCs w:val="24"/>
    </w:rPr>
  </w:style>
  <w:style w:type="character" w:customStyle="1" w:styleId="TableRowNormalChar">
    <w:name w:val="TableRowNormal Char"/>
    <w:basedOn w:val="DefaultParagraphFont"/>
    <w:link w:val="TableRowNormal"/>
    <w:locked/>
    <w:rsid w:val="00BD15F6"/>
    <w:rPr>
      <w:rFonts w:ascii="Open Sans Light" w:hAnsi="Open Sans Light"/>
      <w:sz w:val="20"/>
      <w:szCs w:val="20"/>
    </w:rPr>
  </w:style>
  <w:style w:type="character" w:customStyle="1" w:styleId="CGCBulletlistChar">
    <w:name w:val="CGC Bullet list Char"/>
    <w:aliases w:val="CGC List 1 Char,CGC Bullet list Char1"/>
    <w:basedOn w:val="DefaultParagraphFont"/>
    <w:locked/>
    <w:rsid w:val="00BD15F6"/>
    <w:rPr>
      <w:sz w:val="24"/>
      <w:szCs w:val="20"/>
    </w:rPr>
  </w:style>
  <w:style w:type="character" w:styleId="FollowedHyperlink">
    <w:name w:val="FollowedHyperlink"/>
    <w:basedOn w:val="DefaultParagraphFont"/>
    <w:unhideWhenUsed/>
    <w:rsid w:val="00BD15F6"/>
    <w:rPr>
      <w:color w:val="800080" w:themeColor="followedHyperlink"/>
      <w:u w:val="single"/>
    </w:rPr>
  </w:style>
  <w:style w:type="character" w:customStyle="1" w:styleId="Heading8Char">
    <w:name w:val="Heading 8 Char"/>
    <w:aliases w:val="(Do not use) Char,(Sub-section Nos) Char"/>
    <w:basedOn w:val="DefaultParagraphFont"/>
    <w:link w:val="Heading8"/>
    <w:rsid w:val="00BD15F6"/>
    <w:rPr>
      <w:rFonts w:ascii="Arial" w:hAnsi="Arial"/>
      <w:i/>
      <w:sz w:val="20"/>
      <w:szCs w:val="20"/>
    </w:rPr>
  </w:style>
  <w:style w:type="character" w:customStyle="1" w:styleId="Heading9Char">
    <w:name w:val="Heading 9 Char"/>
    <w:aliases w:val="Heading 9 (Do not use) Char,(Subsubsection Nos) Char"/>
    <w:basedOn w:val="DefaultParagraphFont"/>
    <w:link w:val="Heading9"/>
    <w:rsid w:val="00BD15F6"/>
    <w:rPr>
      <w:rFonts w:ascii="Arial" w:hAnsi="Arial"/>
      <w:b/>
      <w:i/>
      <w:sz w:val="18"/>
      <w:szCs w:val="20"/>
    </w:rPr>
  </w:style>
  <w:style w:type="character" w:customStyle="1" w:styleId="DocumentMapChar">
    <w:name w:val="Document Map Char"/>
    <w:basedOn w:val="DefaultParagraphFont"/>
    <w:link w:val="DocumentMap"/>
    <w:rsid w:val="00BD15F6"/>
    <w:rPr>
      <w:rFonts w:ascii="Tahoma" w:hAnsi="Tahoma" w:cs="Tahoma"/>
      <w:sz w:val="20"/>
      <w:szCs w:val="20"/>
      <w:shd w:val="clear" w:color="auto" w:fill="000080"/>
    </w:rPr>
  </w:style>
  <w:style w:type="character" w:customStyle="1" w:styleId="MacroTextChar">
    <w:name w:val="Macro Text Char"/>
    <w:basedOn w:val="DefaultParagraphFont"/>
    <w:link w:val="MacroText"/>
    <w:rsid w:val="00BD15F6"/>
    <w:rPr>
      <w:rFonts w:ascii="Courier New" w:hAnsi="Courier New" w:cs="Courier New"/>
    </w:rPr>
  </w:style>
  <w:style w:type="character" w:customStyle="1" w:styleId="CGCSubbulletlistChar">
    <w:name w:val="CGC Sub bullet list Char"/>
    <w:aliases w:val="CGC List 2 Char"/>
    <w:basedOn w:val="DefaultParagraphFont"/>
    <w:link w:val="CGCSubbulletlist"/>
    <w:locked/>
    <w:rsid w:val="00BD15F6"/>
    <w:rPr>
      <w:sz w:val="24"/>
      <w:szCs w:val="20"/>
    </w:rPr>
  </w:style>
  <w:style w:type="paragraph" w:customStyle="1" w:styleId="h1num">
    <w:name w:val="h1num"/>
    <w:basedOn w:val="Normal"/>
    <w:rsid w:val="00BD15F6"/>
    <w:pPr>
      <w:keepNext/>
      <w:pBdr>
        <w:bottom w:val="single" w:sz="6" w:space="1" w:color="auto"/>
      </w:pBdr>
      <w:tabs>
        <w:tab w:val="clear" w:pos="567"/>
      </w:tabs>
      <w:spacing w:before="2400" w:after="200" w:line="240" w:lineRule="auto"/>
      <w:outlineLvl w:val="0"/>
    </w:pPr>
    <w:rPr>
      <w:rFonts w:asciiTheme="minorHAnsi" w:eastAsia="Times New Roman" w:hAnsiTheme="minorHAnsi" w:cs="Arial"/>
      <w:b/>
      <w:bCs/>
      <w:caps/>
      <w:color w:val="329664"/>
      <w:sz w:val="40"/>
      <w:szCs w:val="32"/>
    </w:rPr>
  </w:style>
  <w:style w:type="character" w:customStyle="1" w:styleId="SingleChar">
    <w:name w:val="Single Char"/>
    <w:basedOn w:val="DefaultParagraphFont"/>
    <w:link w:val="Single"/>
    <w:locked/>
    <w:rsid w:val="00BD15F6"/>
    <w:rPr>
      <w:rFonts w:ascii="Open Sans Light" w:hAnsi="Open Sans Light"/>
      <w:sz w:val="20"/>
    </w:rPr>
  </w:style>
  <w:style w:type="paragraph" w:customStyle="1" w:styleId="StyleBodyText2Body">
    <w:name w:val="Style Body Text 2 + +Body"/>
    <w:basedOn w:val="BodyText2"/>
    <w:rsid w:val="00BD15F6"/>
    <w:pPr>
      <w:keepNext/>
      <w:keepLines/>
      <w:tabs>
        <w:tab w:val="clear" w:pos="567"/>
        <w:tab w:val="left" w:pos="1440"/>
        <w:tab w:val="left" w:pos="2160"/>
        <w:tab w:val="left" w:pos="2880"/>
      </w:tabs>
      <w:spacing w:before="60" w:after="60" w:line="240" w:lineRule="auto"/>
    </w:pPr>
    <w:rPr>
      <w:rFonts w:eastAsia="Times New Roman" w:cs="Times New Roman"/>
      <w:sz w:val="20"/>
      <w:szCs w:val="24"/>
    </w:rPr>
  </w:style>
  <w:style w:type="paragraph" w:styleId="BodyText2">
    <w:name w:val="Body Text 2"/>
    <w:basedOn w:val="Normal"/>
    <w:link w:val="BodyText2Char"/>
    <w:rsid w:val="00BD15F6"/>
    <w:pPr>
      <w:spacing w:before="0" w:after="120" w:line="480" w:lineRule="auto"/>
    </w:pPr>
    <w:rPr>
      <w:rFonts w:asciiTheme="minorHAnsi" w:hAnsiTheme="minorHAnsi"/>
      <w:sz w:val="24"/>
    </w:rPr>
  </w:style>
  <w:style w:type="character" w:customStyle="1" w:styleId="BodyText2Char">
    <w:name w:val="Body Text 2 Char"/>
    <w:basedOn w:val="DefaultParagraphFont"/>
    <w:link w:val="BodyText2"/>
    <w:rsid w:val="00BD15F6"/>
    <w:rPr>
      <w:sz w:val="24"/>
    </w:rPr>
  </w:style>
  <w:style w:type="paragraph" w:customStyle="1" w:styleId="Default">
    <w:name w:val="Default"/>
    <w:rsid w:val="00BD15F6"/>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link w:val="TitleChar"/>
    <w:uiPriority w:val="10"/>
    <w:rsid w:val="00BD15F6"/>
    <w:pPr>
      <w:spacing w:after="360" w:line="240" w:lineRule="auto"/>
      <w:jc w:val="right"/>
    </w:pPr>
    <w:rPr>
      <w:rFonts w:ascii="Tahoma" w:eastAsia="Batang" w:hAnsi="Tahoma" w:cs="Times New Roman"/>
      <w:sz w:val="48"/>
      <w:szCs w:val="24"/>
      <w:lang w:eastAsia="ko-KR"/>
    </w:rPr>
  </w:style>
  <w:style w:type="character" w:customStyle="1" w:styleId="TitleChar">
    <w:name w:val="Title Char"/>
    <w:basedOn w:val="DefaultParagraphFont"/>
    <w:link w:val="Title"/>
    <w:uiPriority w:val="10"/>
    <w:rsid w:val="00BD15F6"/>
    <w:rPr>
      <w:rFonts w:ascii="Tahoma" w:eastAsia="Batang" w:hAnsi="Tahoma" w:cs="Times New Roman"/>
      <w:sz w:val="48"/>
      <w:szCs w:val="24"/>
      <w:lang w:eastAsia="ko-KR"/>
    </w:rPr>
  </w:style>
  <w:style w:type="paragraph" w:styleId="Revision">
    <w:name w:val="Revision"/>
    <w:hidden/>
    <w:uiPriority w:val="99"/>
    <w:semiHidden/>
    <w:rsid w:val="00BD15F6"/>
    <w:pPr>
      <w:spacing w:after="0" w:line="240" w:lineRule="auto"/>
    </w:pPr>
    <w:rPr>
      <w:sz w:val="24"/>
      <w:szCs w:val="24"/>
    </w:rPr>
  </w:style>
  <w:style w:type="character" w:styleId="Strong">
    <w:name w:val="Strong"/>
    <w:basedOn w:val="DefaultParagraphFont"/>
    <w:uiPriority w:val="22"/>
    <w:rsid w:val="00BD15F6"/>
    <w:rPr>
      <w:b/>
      <w:bCs/>
    </w:rPr>
  </w:style>
  <w:style w:type="character" w:customStyle="1" w:styleId="apple-converted-space">
    <w:name w:val="apple-converted-space"/>
    <w:basedOn w:val="DefaultParagraphFont"/>
    <w:rsid w:val="00BD15F6"/>
  </w:style>
  <w:style w:type="paragraph" w:customStyle="1" w:styleId="Style1">
    <w:name w:val="Style1"/>
    <w:basedOn w:val="CGCBulletlist"/>
    <w:link w:val="Style1Char"/>
    <w:rsid w:val="00BD15F6"/>
    <w:pPr>
      <w:tabs>
        <w:tab w:val="clear" w:pos="927"/>
      </w:tabs>
      <w:ind w:left="1134" w:hanging="567"/>
    </w:pPr>
  </w:style>
  <w:style w:type="character" w:customStyle="1" w:styleId="Style1Char">
    <w:name w:val="Style1 Char"/>
    <w:basedOn w:val="CGCBulletlistCharChar"/>
    <w:link w:val="Style1"/>
    <w:rsid w:val="00BD15F6"/>
    <w:rPr>
      <w:sz w:val="24"/>
      <w:szCs w:val="20"/>
    </w:rPr>
  </w:style>
  <w:style w:type="paragraph" w:customStyle="1" w:styleId="StyleHeading1Italic">
    <w:name w:val="Style Heading 1 + Italic"/>
    <w:basedOn w:val="Heading1"/>
    <w:rsid w:val="00BD15F6"/>
    <w:pPr>
      <w:pBdr>
        <w:bottom w:val="single" w:sz="4" w:space="1" w:color="auto"/>
      </w:pBdr>
      <w:spacing w:before="800"/>
      <w:ind w:left="357" w:hanging="357"/>
    </w:pPr>
    <w:rPr>
      <w:rFonts w:asciiTheme="minorHAnsi" w:hAnsiTheme="minorHAnsi"/>
      <w:iCs/>
      <w:caps/>
      <w:color w:val="2C8558"/>
      <w:sz w:val="40"/>
    </w:rPr>
  </w:style>
  <w:style w:type="paragraph" w:customStyle="1" w:styleId="footnotedescription">
    <w:name w:val="footnote description"/>
    <w:next w:val="Normal"/>
    <w:link w:val="footnotedescriptionChar"/>
    <w:hidden/>
    <w:rsid w:val="00BD15F6"/>
    <w:pPr>
      <w:spacing w:after="0" w:line="259" w:lineRule="auto"/>
      <w:ind w:left="1"/>
    </w:pPr>
    <w:rPr>
      <w:rFonts w:ascii="Arial" w:eastAsia="Arial" w:hAnsi="Arial" w:cs="Arial"/>
      <w:color w:val="000000"/>
      <w:sz w:val="17"/>
      <w:lang w:eastAsia="en-AU"/>
    </w:rPr>
  </w:style>
  <w:style w:type="character" w:customStyle="1" w:styleId="footnotedescriptionChar">
    <w:name w:val="footnote description Char"/>
    <w:link w:val="footnotedescription"/>
    <w:rsid w:val="00BD15F6"/>
    <w:rPr>
      <w:rFonts w:ascii="Arial" w:eastAsia="Arial" w:hAnsi="Arial" w:cs="Arial"/>
      <w:color w:val="000000"/>
      <w:sz w:val="17"/>
      <w:lang w:eastAsia="en-AU"/>
    </w:rPr>
  </w:style>
  <w:style w:type="paragraph" w:customStyle="1" w:styleId="H3notoc">
    <w:name w:val="H3 no toc"/>
    <w:basedOn w:val="NoSpacing"/>
    <w:link w:val="H3notocChar"/>
    <w:rsid w:val="00BD15F6"/>
    <w:pPr>
      <w:spacing w:before="240"/>
    </w:pPr>
    <w:rPr>
      <w:rFonts w:ascii="Montserrat Extra Bold" w:eastAsiaTheme="majorEastAsia" w:hAnsi="Montserrat Extra Bold" w:cstheme="majorBidi"/>
      <w:b/>
      <w:color w:val="2C8558"/>
      <w:sz w:val="32"/>
    </w:rPr>
  </w:style>
  <w:style w:type="paragraph" w:customStyle="1" w:styleId="H1notoc">
    <w:name w:val="H1 no toc"/>
    <w:basedOn w:val="NoSpacing"/>
    <w:next w:val="Normal"/>
    <w:link w:val="H1notocChar"/>
    <w:rsid w:val="00BD15F6"/>
    <w:pPr>
      <w:pBdr>
        <w:bottom w:val="single" w:sz="4" w:space="1" w:color="auto"/>
      </w:pBdr>
      <w:spacing w:before="800"/>
    </w:pPr>
    <w:rPr>
      <w:rFonts w:ascii="Montserrat Ultra Light" w:eastAsiaTheme="majorEastAsia" w:hAnsi="Montserrat Ultra Light" w:cstheme="majorBidi"/>
      <w:b/>
      <w:caps/>
      <w:color w:val="2C8558"/>
      <w:sz w:val="40"/>
      <w:szCs w:val="28"/>
    </w:rPr>
  </w:style>
  <w:style w:type="character" w:customStyle="1" w:styleId="H3notocChar">
    <w:name w:val="H3 no toc Char"/>
    <w:basedOn w:val="Heading3Char"/>
    <w:link w:val="H3notoc"/>
    <w:rsid w:val="00BD15F6"/>
    <w:rPr>
      <w:rFonts w:ascii="Montserrat Extra Bold" w:eastAsiaTheme="majorEastAsia" w:hAnsi="Montserrat Extra Bold" w:cstheme="majorBidi"/>
      <w:b/>
      <w:bCs w:val="0"/>
      <w:color w:val="2C8558"/>
      <w:sz w:val="32"/>
    </w:rPr>
  </w:style>
  <w:style w:type="character" w:customStyle="1" w:styleId="H1notocChar">
    <w:name w:val="H1 no toc Char"/>
    <w:basedOn w:val="Heading1Char"/>
    <w:link w:val="H1notoc"/>
    <w:rsid w:val="00BD15F6"/>
    <w:rPr>
      <w:rFonts w:ascii="Montserrat Ultra Light" w:eastAsiaTheme="majorEastAsia" w:hAnsi="Montserrat Ultra Light" w:cstheme="majorBidi"/>
      <w:b/>
      <w:bCs w:val="0"/>
      <w:caps/>
      <w:color w:val="2C8558"/>
      <w:sz w:val="40"/>
      <w:szCs w:val="28"/>
    </w:rPr>
  </w:style>
  <w:style w:type="paragraph" w:customStyle="1" w:styleId="A1AttachmentAlist">
    <w:name w:val="A.1 Attachment A list"/>
    <w:basedOn w:val="CGCNumberedPara"/>
    <w:link w:val="A1AttachmentAlistChar"/>
    <w:rsid w:val="00BD15F6"/>
    <w:pPr>
      <w:numPr>
        <w:numId w:val="25"/>
      </w:numPr>
      <w:tabs>
        <w:tab w:val="left" w:pos="567"/>
      </w:tabs>
      <w:ind w:left="567" w:hanging="567"/>
    </w:pPr>
  </w:style>
  <w:style w:type="paragraph" w:customStyle="1" w:styleId="CGCterminologylabel">
    <w:name w:val="CGC terminology label"/>
    <w:basedOn w:val="Normal"/>
    <w:link w:val="CGCterminologylabelChar"/>
    <w:rsid w:val="00BD15F6"/>
    <w:pPr>
      <w:keepNext/>
      <w:spacing w:before="0" w:after="80" w:line="320" w:lineRule="atLeast"/>
    </w:pPr>
    <w:rPr>
      <w:rFonts w:asciiTheme="minorHAnsi" w:hAnsiTheme="minorHAnsi"/>
      <w:b/>
      <w:sz w:val="24"/>
    </w:rPr>
  </w:style>
  <w:style w:type="character" w:customStyle="1" w:styleId="CGCterminologylabelChar">
    <w:name w:val="CGC terminology label Char"/>
    <w:basedOn w:val="DefaultParagraphFont"/>
    <w:link w:val="CGCterminologylabel"/>
    <w:rsid w:val="00BD15F6"/>
    <w:rPr>
      <w:b/>
      <w:sz w:val="24"/>
    </w:rPr>
  </w:style>
  <w:style w:type="paragraph" w:customStyle="1" w:styleId="Crest">
    <w:name w:val="Crest"/>
    <w:basedOn w:val="Normal"/>
    <w:rsid w:val="00BD15F6"/>
    <w:pPr>
      <w:tabs>
        <w:tab w:val="clear" w:pos="567"/>
      </w:tabs>
      <w:spacing w:before="480" w:after="120" w:line="240" w:lineRule="auto"/>
      <w:jc w:val="center"/>
    </w:pPr>
    <w:rPr>
      <w:rFonts w:ascii="Times New Roman" w:eastAsia="Times New Roman" w:hAnsi="Times New Roman" w:cs="Times New Roman"/>
      <w:sz w:val="24"/>
      <w:szCs w:val="24"/>
      <w:lang w:eastAsia="en-AU"/>
    </w:rPr>
  </w:style>
  <w:style w:type="paragraph" w:customStyle="1" w:styleId="Contact">
    <w:name w:val="Contact"/>
    <w:basedOn w:val="Normal"/>
    <w:rsid w:val="00BD15F6"/>
    <w:pPr>
      <w:tabs>
        <w:tab w:val="clear" w:pos="567"/>
      </w:tabs>
      <w:spacing w:before="0" w:after="120" w:line="240" w:lineRule="auto"/>
      <w:contextualSpacing/>
      <w:jc w:val="right"/>
    </w:pPr>
    <w:rPr>
      <w:rFonts w:ascii="Times" w:eastAsia="Times New Roman" w:hAnsi="Times" w:cs="Times New Roman"/>
      <w:b/>
      <w:sz w:val="16"/>
      <w:szCs w:val="16"/>
      <w:lang w:eastAsia="en-AU"/>
    </w:rPr>
  </w:style>
  <w:style w:type="paragraph" w:customStyle="1" w:styleId="URL">
    <w:name w:val="URL"/>
    <w:basedOn w:val="Normal"/>
    <w:rsid w:val="00BD15F6"/>
    <w:pPr>
      <w:tabs>
        <w:tab w:val="clear" w:pos="567"/>
      </w:tabs>
      <w:spacing w:before="0" w:after="120" w:line="240" w:lineRule="auto"/>
      <w:jc w:val="right"/>
    </w:pPr>
    <w:rPr>
      <w:rFonts w:ascii="Times New Roman" w:eastAsia="Times New Roman" w:hAnsi="Times New Roman" w:cs="Times New Roman"/>
      <w:b/>
      <w:sz w:val="16"/>
      <w:szCs w:val="16"/>
      <w:lang w:eastAsia="en-AU"/>
    </w:rPr>
  </w:style>
  <w:style w:type="numbering" w:customStyle="1" w:styleId="NoList11">
    <w:name w:val="No List11"/>
    <w:next w:val="NoList"/>
    <w:uiPriority w:val="99"/>
    <w:semiHidden/>
    <w:unhideWhenUsed/>
    <w:rsid w:val="00BD15F6"/>
  </w:style>
  <w:style w:type="paragraph" w:customStyle="1" w:styleId="11para">
    <w:name w:val="1.1 para"/>
    <w:basedOn w:val="Normal"/>
    <w:rsid w:val="00BD15F6"/>
    <w:pPr>
      <w:numPr>
        <w:numId w:val="24"/>
      </w:numPr>
      <w:tabs>
        <w:tab w:val="clear" w:pos="567"/>
      </w:tabs>
      <w:spacing w:after="80" w:line="320" w:lineRule="atLeast"/>
      <w:ind w:left="567" w:hanging="567"/>
    </w:pPr>
    <w:rPr>
      <w:rFonts w:asciiTheme="minorHAnsi" w:hAnsiTheme="minorHAnsi"/>
      <w:sz w:val="24"/>
      <w:szCs w:val="24"/>
    </w:rPr>
  </w:style>
  <w:style w:type="paragraph" w:customStyle="1" w:styleId="21para">
    <w:name w:val="2.1 para"/>
    <w:basedOn w:val="Normal"/>
    <w:rsid w:val="00BD15F6"/>
    <w:pPr>
      <w:tabs>
        <w:tab w:val="clear" w:pos="567"/>
      </w:tabs>
      <w:spacing w:after="80" w:line="320" w:lineRule="atLeast"/>
      <w:ind w:left="567" w:hanging="567"/>
    </w:pPr>
    <w:rPr>
      <w:rFonts w:asciiTheme="minorHAnsi" w:hAnsiTheme="minorHAnsi"/>
      <w:sz w:val="24"/>
      <w:szCs w:val="24"/>
    </w:rPr>
  </w:style>
  <w:style w:type="character" w:customStyle="1" w:styleId="A1AttachmentAlistChar">
    <w:name w:val="A.1 Attachment A list Char"/>
    <w:basedOn w:val="CGCParaNoChar"/>
    <w:link w:val="A1AttachmentAlist"/>
    <w:rsid w:val="00BD15F6"/>
    <w:rPr>
      <w:sz w:val="24"/>
      <w:szCs w:val="24"/>
    </w:rPr>
  </w:style>
  <w:style w:type="character" w:styleId="UnresolvedMention">
    <w:name w:val="Unresolved Mention"/>
    <w:basedOn w:val="DefaultParagraphFont"/>
    <w:uiPriority w:val="99"/>
    <w:semiHidden/>
    <w:unhideWhenUsed/>
    <w:rsid w:val="005F4DA1"/>
    <w:rPr>
      <w:color w:val="605E5C"/>
      <w:shd w:val="clear" w:color="auto" w:fill="E1DFDD"/>
    </w:rPr>
  </w:style>
  <w:style w:type="paragraph" w:customStyle="1" w:styleId="paragraph">
    <w:name w:val="paragraph"/>
    <w:basedOn w:val="Normal"/>
    <w:rsid w:val="00FE29B9"/>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E29B9"/>
  </w:style>
  <w:style w:type="table" w:customStyle="1" w:styleId="TableGrid2">
    <w:name w:val="Table Grid2"/>
    <w:basedOn w:val="TableNormal"/>
    <w:next w:val="TableGrid"/>
    <w:uiPriority w:val="39"/>
    <w:rsid w:val="00D35965"/>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72032">
      <w:bodyDiv w:val="1"/>
      <w:marLeft w:val="0"/>
      <w:marRight w:val="0"/>
      <w:marTop w:val="0"/>
      <w:marBottom w:val="0"/>
      <w:divBdr>
        <w:top w:val="none" w:sz="0" w:space="0" w:color="auto"/>
        <w:left w:val="none" w:sz="0" w:space="0" w:color="auto"/>
        <w:bottom w:val="none" w:sz="0" w:space="0" w:color="auto"/>
        <w:right w:val="none" w:sz="0" w:space="0" w:color="auto"/>
      </w:divBdr>
    </w:div>
    <w:div w:id="459878337">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715815860">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430660899">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secretary@cgc.gov.au" TargetMode="External"/><Relationship Id="rId26" Type="http://schemas.openxmlformats.org/officeDocument/2006/relationships/footer" Target="footer5.xml"/><Relationship Id="rId39" Type="http://schemas.openxmlformats.org/officeDocument/2006/relationships/footer" Target="footer12.xml"/><Relationship Id="rId21" Type="http://schemas.openxmlformats.org/officeDocument/2006/relationships/footer" Target="footer3.xml"/><Relationship Id="rId34" Type="http://schemas.openxmlformats.org/officeDocument/2006/relationships/footer" Target="footer8.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hyperlink" Target="https://cgc.gov.au/" TargetMode="Externa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hyperlink" Target="https://cgc.gov.au/" TargetMode="External"/><Relationship Id="rId37" Type="http://schemas.openxmlformats.org/officeDocument/2006/relationships/image" Target="media/image5.png"/><Relationship Id="rId40"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hyperlink" Target="https://cgc.gov.au/" TargetMode="External"/><Relationship Id="rId28" Type="http://schemas.openxmlformats.org/officeDocument/2006/relationships/chart" Target="charts/chart1.xml"/><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yperlink" Target="http://www.cgc.gov.au" TargetMode="External"/><Relationship Id="rId31" Type="http://schemas.openxmlformats.org/officeDocument/2006/relationships/hyperlink" Target="https://cg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hyperlink" Target="file://cgcfs/I_drive/R2020/Report/Draft%20Report/Final%20Draft%20report%20papers/Commission&#160;website" TargetMode="External"/><Relationship Id="rId27" Type="http://schemas.openxmlformats.org/officeDocument/2006/relationships/hyperlink" Target="https://cgc.gov.au/" TargetMode="External"/><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pmc.gov.au/government/commonwealth-coat-arms" TargetMode="External"/><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footer" Target="footer11.xml"/></Relationships>
</file>

<file path=word/_rels/footnotes.xml.rels><?xml version="1.0" encoding="UTF-8" standalone="yes"?>
<Relationships xmlns="http://schemas.openxmlformats.org/package/2006/relationships"><Relationship Id="rId3" Type="http://schemas.openxmlformats.org/officeDocument/2006/relationships/hyperlink" Target="https://cgc.gov.au/" TargetMode="External"/><Relationship Id="rId2" Type="http://schemas.openxmlformats.org/officeDocument/2006/relationships/hyperlink" Target="https://cgc.gov.au/" TargetMode="External"/><Relationship Id="rId1" Type="http://schemas.openxmlformats.org/officeDocument/2006/relationships/hyperlink" Target="https://cgc.gov.au/" TargetMode="External"/><Relationship Id="rId4" Type="http://schemas.openxmlformats.org/officeDocument/2006/relationships/hyperlink" Target="https://cgc.gov.a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GCFS\ODrive\AssessmentSystem\Temp\R2020%20GST\7.%20R\Volu\0.%20O\1.%20T\Figure%201%20-%20Illustrative%20assessed%20budgets%20per%20capita-Initial.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572806086341119"/>
          <c:y val="0.11519274376417234"/>
          <c:w val="0.78852563508825024"/>
          <c:h val="0.8077060657596371"/>
        </c:manualLayout>
      </c:layout>
      <c:barChart>
        <c:barDir val="col"/>
        <c:grouping val="stacked"/>
        <c:varyColors val="0"/>
        <c:ser>
          <c:idx val="0"/>
          <c:order val="0"/>
          <c:tx>
            <c:strRef>
              <c:f>Method!$AE$114</c:f>
              <c:strCache>
                <c:ptCount val="1"/>
                <c:pt idx="0">
                  <c:v>Expenditure (a)</c:v>
                </c:pt>
              </c:strCache>
            </c:strRef>
          </c:tx>
          <c:spPr>
            <a:solidFill>
              <a:srgbClr val="006991"/>
            </a:solidFill>
            <a:ln>
              <a:noFill/>
            </a:ln>
          </c:spPr>
          <c:invertIfNegative val="0"/>
          <c:cat>
            <c:strRef>
              <c:f>Method!$AD$115:$AD$141</c:f>
              <c:strCache>
                <c:ptCount val="25"/>
                <c:pt idx="0">
                  <c:v>NSW</c:v>
                </c:pt>
                <c:pt idx="3">
                  <c:v>Vic</c:v>
                </c:pt>
                <c:pt idx="6">
                  <c:v>Qld</c:v>
                </c:pt>
                <c:pt idx="9">
                  <c:v>WA</c:v>
                </c:pt>
                <c:pt idx="12">
                  <c:v>SA</c:v>
                </c:pt>
                <c:pt idx="15">
                  <c:v>Tas</c:v>
                </c:pt>
                <c:pt idx="18">
                  <c:v>ACT</c:v>
                </c:pt>
                <c:pt idx="21">
                  <c:v>NT</c:v>
                </c:pt>
                <c:pt idx="24">
                  <c:v>Total</c:v>
                </c:pt>
              </c:strCache>
            </c:strRef>
          </c:cat>
          <c:val>
            <c:numRef>
              <c:f>Method!$AE$115:$AE$141</c:f>
              <c:numCache>
                <c:formatCode>#,##0</c:formatCode>
                <c:ptCount val="27"/>
                <c:pt idx="0">
                  <c:v>9985.2491784335052</c:v>
                </c:pt>
                <c:pt idx="1">
                  <c:v>0</c:v>
                </c:pt>
                <c:pt idx="2">
                  <c:v>0</c:v>
                </c:pt>
                <c:pt idx="3">
                  <c:v>9464.2769214282398</c:v>
                </c:pt>
                <c:pt idx="4">
                  <c:v>0</c:v>
                </c:pt>
                <c:pt idx="5">
                  <c:v>0</c:v>
                </c:pt>
                <c:pt idx="6">
                  <c:v>10361.724339777127</c:v>
                </c:pt>
                <c:pt idx="7">
                  <c:v>0</c:v>
                </c:pt>
                <c:pt idx="8">
                  <c:v>0</c:v>
                </c:pt>
                <c:pt idx="9">
                  <c:v>10592.409660937299</c:v>
                </c:pt>
                <c:pt idx="10">
                  <c:v>0</c:v>
                </c:pt>
                <c:pt idx="11">
                  <c:v>0</c:v>
                </c:pt>
                <c:pt idx="12">
                  <c:v>9984.8810982205032</c:v>
                </c:pt>
                <c:pt idx="13">
                  <c:v>0</c:v>
                </c:pt>
                <c:pt idx="14">
                  <c:v>0</c:v>
                </c:pt>
                <c:pt idx="15">
                  <c:v>11205.972316363535</c:v>
                </c:pt>
                <c:pt idx="16">
                  <c:v>0</c:v>
                </c:pt>
                <c:pt idx="17">
                  <c:v>0</c:v>
                </c:pt>
                <c:pt idx="18">
                  <c:v>9461.8644157860763</c:v>
                </c:pt>
                <c:pt idx="19">
                  <c:v>0</c:v>
                </c:pt>
                <c:pt idx="20">
                  <c:v>0</c:v>
                </c:pt>
                <c:pt idx="21">
                  <c:v>21530.423131929951</c:v>
                </c:pt>
                <c:pt idx="22">
                  <c:v>0</c:v>
                </c:pt>
                <c:pt idx="23">
                  <c:v>0</c:v>
                </c:pt>
                <c:pt idx="24">
                  <c:v>10121.64352994892</c:v>
                </c:pt>
                <c:pt idx="25">
                  <c:v>0</c:v>
                </c:pt>
                <c:pt idx="26">
                  <c:v>0</c:v>
                </c:pt>
              </c:numCache>
            </c:numRef>
          </c:val>
          <c:extLst>
            <c:ext xmlns:c16="http://schemas.microsoft.com/office/drawing/2014/chart" uri="{C3380CC4-5D6E-409C-BE32-E72D297353CC}">
              <c16:uniqueId val="{00000000-6E70-4F00-BE15-FDB4B712F46E}"/>
            </c:ext>
          </c:extLst>
        </c:ser>
        <c:ser>
          <c:idx val="1"/>
          <c:order val="1"/>
          <c:tx>
            <c:strRef>
              <c:f>Method!$AF$114</c:f>
              <c:strCache>
                <c:ptCount val="1"/>
                <c:pt idx="0">
                  <c:v>Own source revenue</c:v>
                </c:pt>
              </c:strCache>
            </c:strRef>
          </c:tx>
          <c:spPr>
            <a:solidFill>
              <a:srgbClr val="ADD6EA"/>
            </a:solidFill>
            <a:ln>
              <a:noFill/>
            </a:ln>
          </c:spPr>
          <c:invertIfNegative val="0"/>
          <c:cat>
            <c:strRef>
              <c:f>Method!$AD$115:$AD$141</c:f>
              <c:strCache>
                <c:ptCount val="25"/>
                <c:pt idx="0">
                  <c:v>NSW</c:v>
                </c:pt>
                <c:pt idx="3">
                  <c:v>Vic</c:v>
                </c:pt>
                <c:pt idx="6">
                  <c:v>Qld</c:v>
                </c:pt>
                <c:pt idx="9">
                  <c:v>WA</c:v>
                </c:pt>
                <c:pt idx="12">
                  <c:v>SA</c:v>
                </c:pt>
                <c:pt idx="15">
                  <c:v>Tas</c:v>
                </c:pt>
                <c:pt idx="18">
                  <c:v>ACT</c:v>
                </c:pt>
                <c:pt idx="21">
                  <c:v>NT</c:v>
                </c:pt>
                <c:pt idx="24">
                  <c:v>Total</c:v>
                </c:pt>
              </c:strCache>
            </c:strRef>
          </c:cat>
          <c:val>
            <c:numRef>
              <c:f>Method!$AF$115:$AF$141</c:f>
              <c:numCache>
                <c:formatCode>#,##0</c:formatCode>
                <c:ptCount val="27"/>
                <c:pt idx="0">
                  <c:v>0</c:v>
                </c:pt>
                <c:pt idx="1">
                  <c:v>5369.4798907492286</c:v>
                </c:pt>
                <c:pt idx="2">
                  <c:v>0</c:v>
                </c:pt>
                <c:pt idx="3">
                  <c:v>0</c:v>
                </c:pt>
                <c:pt idx="4">
                  <c:v>4835.0255223634758</c:v>
                </c:pt>
                <c:pt idx="5">
                  <c:v>0</c:v>
                </c:pt>
                <c:pt idx="6">
                  <c:v>0</c:v>
                </c:pt>
                <c:pt idx="7">
                  <c:v>5186.6650641067372</c:v>
                </c:pt>
                <c:pt idx="8">
                  <c:v>0</c:v>
                </c:pt>
                <c:pt idx="9">
                  <c:v>0</c:v>
                </c:pt>
                <c:pt idx="10">
                  <c:v>7180.4128847041939</c:v>
                </c:pt>
                <c:pt idx="11">
                  <c:v>0</c:v>
                </c:pt>
                <c:pt idx="12">
                  <c:v>0</c:v>
                </c:pt>
                <c:pt idx="13">
                  <c:v>4078.599874418438</c:v>
                </c:pt>
                <c:pt idx="14">
                  <c:v>0</c:v>
                </c:pt>
                <c:pt idx="15">
                  <c:v>0</c:v>
                </c:pt>
                <c:pt idx="16">
                  <c:v>3852.8809646777131</c:v>
                </c:pt>
                <c:pt idx="17">
                  <c:v>0</c:v>
                </c:pt>
                <c:pt idx="18">
                  <c:v>0</c:v>
                </c:pt>
                <c:pt idx="19">
                  <c:v>4385.6192477507966</c:v>
                </c:pt>
                <c:pt idx="20">
                  <c:v>0</c:v>
                </c:pt>
                <c:pt idx="21">
                  <c:v>0</c:v>
                </c:pt>
                <c:pt idx="22">
                  <c:v>5233.5311783202233</c:v>
                </c:pt>
                <c:pt idx="23">
                  <c:v>0</c:v>
                </c:pt>
                <c:pt idx="24">
                  <c:v>0</c:v>
                </c:pt>
                <c:pt idx="25">
                  <c:v>5243.7108914947712</c:v>
                </c:pt>
                <c:pt idx="26">
                  <c:v>0</c:v>
                </c:pt>
              </c:numCache>
            </c:numRef>
          </c:val>
          <c:extLst>
            <c:ext xmlns:c16="http://schemas.microsoft.com/office/drawing/2014/chart" uri="{C3380CC4-5D6E-409C-BE32-E72D297353CC}">
              <c16:uniqueId val="{00000001-6E70-4F00-BE15-FDB4B712F46E}"/>
            </c:ext>
          </c:extLst>
        </c:ser>
        <c:ser>
          <c:idx val="2"/>
          <c:order val="2"/>
          <c:tx>
            <c:strRef>
              <c:f>Method!$AG$114</c:f>
              <c:strCache>
                <c:ptCount val="1"/>
                <c:pt idx="0">
                  <c:v>Net Borowing</c:v>
                </c:pt>
              </c:strCache>
            </c:strRef>
          </c:tx>
          <c:spPr>
            <a:solidFill>
              <a:srgbClr val="60B5D7"/>
            </a:solidFill>
            <a:ln>
              <a:noFill/>
            </a:ln>
          </c:spPr>
          <c:invertIfNegative val="0"/>
          <c:cat>
            <c:strRef>
              <c:f>Method!$AD$115:$AD$141</c:f>
              <c:strCache>
                <c:ptCount val="25"/>
                <c:pt idx="0">
                  <c:v>NSW</c:v>
                </c:pt>
                <c:pt idx="3">
                  <c:v>Vic</c:v>
                </c:pt>
                <c:pt idx="6">
                  <c:v>Qld</c:v>
                </c:pt>
                <c:pt idx="9">
                  <c:v>WA</c:v>
                </c:pt>
                <c:pt idx="12">
                  <c:v>SA</c:v>
                </c:pt>
                <c:pt idx="15">
                  <c:v>Tas</c:v>
                </c:pt>
                <c:pt idx="18">
                  <c:v>ACT</c:v>
                </c:pt>
                <c:pt idx="21">
                  <c:v>NT</c:v>
                </c:pt>
                <c:pt idx="24">
                  <c:v>Total</c:v>
                </c:pt>
              </c:strCache>
            </c:strRef>
          </c:cat>
          <c:val>
            <c:numRef>
              <c:f>Method!$AG$115:$AG$141</c:f>
              <c:numCache>
                <c:formatCode>#,##0</c:formatCode>
                <c:ptCount val="27"/>
                <c:pt idx="0">
                  <c:v>0</c:v>
                </c:pt>
                <c:pt idx="1">
                  <c:v>631.74644483594193</c:v>
                </c:pt>
                <c:pt idx="2">
                  <c:v>0</c:v>
                </c:pt>
                <c:pt idx="3">
                  <c:v>0</c:v>
                </c:pt>
                <c:pt idx="4">
                  <c:v>659.86171449181893</c:v>
                </c:pt>
                <c:pt idx="5">
                  <c:v>0</c:v>
                </c:pt>
                <c:pt idx="6">
                  <c:v>0</c:v>
                </c:pt>
                <c:pt idx="7">
                  <c:v>637.13607804347464</c:v>
                </c:pt>
                <c:pt idx="8">
                  <c:v>0</c:v>
                </c:pt>
                <c:pt idx="9">
                  <c:v>0</c:v>
                </c:pt>
                <c:pt idx="10">
                  <c:v>602.17394787292778</c:v>
                </c:pt>
                <c:pt idx="11">
                  <c:v>0</c:v>
                </c:pt>
                <c:pt idx="12">
                  <c:v>0</c:v>
                </c:pt>
                <c:pt idx="13">
                  <c:v>600.63895185983097</c:v>
                </c:pt>
                <c:pt idx="14">
                  <c:v>0</c:v>
                </c:pt>
                <c:pt idx="15">
                  <c:v>0</c:v>
                </c:pt>
                <c:pt idx="16">
                  <c:v>613.3300042532519</c:v>
                </c:pt>
                <c:pt idx="17">
                  <c:v>0</c:v>
                </c:pt>
                <c:pt idx="18">
                  <c:v>0</c:v>
                </c:pt>
                <c:pt idx="19">
                  <c:v>647.20327281556865</c:v>
                </c:pt>
                <c:pt idx="20">
                  <c:v>0</c:v>
                </c:pt>
                <c:pt idx="21">
                  <c:v>0</c:v>
                </c:pt>
                <c:pt idx="22">
                  <c:v>573.27091272599057</c:v>
                </c:pt>
                <c:pt idx="23">
                  <c:v>0</c:v>
                </c:pt>
                <c:pt idx="24">
                  <c:v>0</c:v>
                </c:pt>
                <c:pt idx="25">
                  <c:v>634.11828305993004</c:v>
                </c:pt>
                <c:pt idx="26">
                  <c:v>0</c:v>
                </c:pt>
              </c:numCache>
            </c:numRef>
          </c:val>
          <c:extLst>
            <c:ext xmlns:c16="http://schemas.microsoft.com/office/drawing/2014/chart" uri="{C3380CC4-5D6E-409C-BE32-E72D297353CC}">
              <c16:uniqueId val="{00000002-6E70-4F00-BE15-FDB4B712F46E}"/>
            </c:ext>
          </c:extLst>
        </c:ser>
        <c:ser>
          <c:idx val="3"/>
          <c:order val="3"/>
          <c:tx>
            <c:strRef>
              <c:f>Method!$AH$114</c:f>
              <c:strCache>
                <c:ptCount val="1"/>
                <c:pt idx="0">
                  <c:v>Commonwealth payments</c:v>
                </c:pt>
              </c:strCache>
            </c:strRef>
          </c:tx>
          <c:spPr>
            <a:solidFill>
              <a:srgbClr val="004563"/>
            </a:solidFill>
            <a:ln>
              <a:noFill/>
            </a:ln>
          </c:spPr>
          <c:invertIfNegative val="0"/>
          <c:cat>
            <c:strRef>
              <c:f>Method!$AD$115:$AD$141</c:f>
              <c:strCache>
                <c:ptCount val="25"/>
                <c:pt idx="0">
                  <c:v>NSW</c:v>
                </c:pt>
                <c:pt idx="3">
                  <c:v>Vic</c:v>
                </c:pt>
                <c:pt idx="6">
                  <c:v>Qld</c:v>
                </c:pt>
                <c:pt idx="9">
                  <c:v>WA</c:v>
                </c:pt>
                <c:pt idx="12">
                  <c:v>SA</c:v>
                </c:pt>
                <c:pt idx="15">
                  <c:v>Tas</c:v>
                </c:pt>
                <c:pt idx="18">
                  <c:v>ACT</c:v>
                </c:pt>
                <c:pt idx="21">
                  <c:v>NT</c:v>
                </c:pt>
                <c:pt idx="24">
                  <c:v>Total</c:v>
                </c:pt>
              </c:strCache>
            </c:strRef>
          </c:cat>
          <c:val>
            <c:numRef>
              <c:f>Method!$AH$115:$AH$141</c:f>
              <c:numCache>
                <c:formatCode>#,##0</c:formatCode>
                <c:ptCount val="27"/>
                <c:pt idx="0">
                  <c:v>0</c:v>
                </c:pt>
                <c:pt idx="1">
                  <c:v>1594.6439480138995</c:v>
                </c:pt>
                <c:pt idx="2">
                  <c:v>0</c:v>
                </c:pt>
                <c:pt idx="3">
                  <c:v>0</c:v>
                </c:pt>
                <c:pt idx="4">
                  <c:v>1471.3538104412094</c:v>
                </c:pt>
                <c:pt idx="5">
                  <c:v>0</c:v>
                </c:pt>
                <c:pt idx="6">
                  <c:v>0</c:v>
                </c:pt>
                <c:pt idx="7">
                  <c:v>1808.4594287023147</c:v>
                </c:pt>
                <c:pt idx="8">
                  <c:v>0</c:v>
                </c:pt>
                <c:pt idx="9">
                  <c:v>0</c:v>
                </c:pt>
                <c:pt idx="10">
                  <c:v>1639.8201736595079</c:v>
                </c:pt>
                <c:pt idx="11">
                  <c:v>0</c:v>
                </c:pt>
                <c:pt idx="12">
                  <c:v>0</c:v>
                </c:pt>
                <c:pt idx="13">
                  <c:v>1773.0640935908741</c:v>
                </c:pt>
                <c:pt idx="14">
                  <c:v>0</c:v>
                </c:pt>
                <c:pt idx="15">
                  <c:v>0</c:v>
                </c:pt>
                <c:pt idx="16">
                  <c:v>1803.4343539437186</c:v>
                </c:pt>
                <c:pt idx="17">
                  <c:v>0</c:v>
                </c:pt>
                <c:pt idx="18">
                  <c:v>0</c:v>
                </c:pt>
                <c:pt idx="19">
                  <c:v>1433.9754859279544</c:v>
                </c:pt>
                <c:pt idx="20">
                  <c:v>0</c:v>
                </c:pt>
                <c:pt idx="21">
                  <c:v>0</c:v>
                </c:pt>
                <c:pt idx="22">
                  <c:v>3315.074424779833</c:v>
                </c:pt>
                <c:pt idx="23">
                  <c:v>0</c:v>
                </c:pt>
                <c:pt idx="24">
                  <c:v>0</c:v>
                </c:pt>
                <c:pt idx="25">
                  <c:v>1641.6290677836471</c:v>
                </c:pt>
                <c:pt idx="26">
                  <c:v>0</c:v>
                </c:pt>
              </c:numCache>
            </c:numRef>
          </c:val>
          <c:extLst>
            <c:ext xmlns:c16="http://schemas.microsoft.com/office/drawing/2014/chart" uri="{C3380CC4-5D6E-409C-BE32-E72D297353CC}">
              <c16:uniqueId val="{00000003-6E70-4F00-BE15-FDB4B712F46E}"/>
            </c:ext>
          </c:extLst>
        </c:ser>
        <c:ser>
          <c:idx val="4"/>
          <c:order val="4"/>
          <c:tx>
            <c:strRef>
              <c:f>Method!$AI$114</c:f>
              <c:strCache>
                <c:ptCount val="1"/>
                <c:pt idx="0">
                  <c:v>GST</c:v>
                </c:pt>
              </c:strCache>
            </c:strRef>
          </c:tx>
          <c:spPr>
            <a:solidFill>
              <a:srgbClr val="D6E7F0"/>
            </a:solidFill>
            <a:ln>
              <a:noFill/>
            </a:ln>
          </c:spPr>
          <c:invertIfNegative val="0"/>
          <c:cat>
            <c:strRef>
              <c:f>Method!$AD$115:$AD$141</c:f>
              <c:strCache>
                <c:ptCount val="25"/>
                <c:pt idx="0">
                  <c:v>NSW</c:v>
                </c:pt>
                <c:pt idx="3">
                  <c:v>Vic</c:v>
                </c:pt>
                <c:pt idx="6">
                  <c:v>Qld</c:v>
                </c:pt>
                <c:pt idx="9">
                  <c:v>WA</c:v>
                </c:pt>
                <c:pt idx="12">
                  <c:v>SA</c:v>
                </c:pt>
                <c:pt idx="15">
                  <c:v>Tas</c:v>
                </c:pt>
                <c:pt idx="18">
                  <c:v>ACT</c:v>
                </c:pt>
                <c:pt idx="21">
                  <c:v>NT</c:v>
                </c:pt>
                <c:pt idx="24">
                  <c:v>Total</c:v>
                </c:pt>
              </c:strCache>
            </c:strRef>
          </c:cat>
          <c:val>
            <c:numRef>
              <c:f>Method!$AI$115:$AI$141</c:f>
              <c:numCache>
                <c:formatCode>#,##0</c:formatCode>
                <c:ptCount val="27"/>
                <c:pt idx="0">
                  <c:v>0</c:v>
                </c:pt>
                <c:pt idx="1">
                  <c:v>2389.3788948344336</c:v>
                </c:pt>
                <c:pt idx="2">
                  <c:v>0</c:v>
                </c:pt>
                <c:pt idx="3">
                  <c:v>0</c:v>
                </c:pt>
                <c:pt idx="4">
                  <c:v>2498.0358741317345</c:v>
                </c:pt>
                <c:pt idx="5">
                  <c:v>0</c:v>
                </c:pt>
                <c:pt idx="6">
                  <c:v>0</c:v>
                </c:pt>
                <c:pt idx="7">
                  <c:v>2729.463768924601</c:v>
                </c:pt>
                <c:pt idx="8">
                  <c:v>0</c:v>
                </c:pt>
                <c:pt idx="9">
                  <c:v>0</c:v>
                </c:pt>
                <c:pt idx="10">
                  <c:v>1170.0026547006696</c:v>
                </c:pt>
                <c:pt idx="11">
                  <c:v>0</c:v>
                </c:pt>
                <c:pt idx="12">
                  <c:v>0</c:v>
                </c:pt>
                <c:pt idx="13">
                  <c:v>3532.5781783513585</c:v>
                </c:pt>
                <c:pt idx="14">
                  <c:v>0</c:v>
                </c:pt>
                <c:pt idx="15">
                  <c:v>0</c:v>
                </c:pt>
                <c:pt idx="16">
                  <c:v>4936.3269934888503</c:v>
                </c:pt>
                <c:pt idx="17">
                  <c:v>0</c:v>
                </c:pt>
                <c:pt idx="18">
                  <c:v>0</c:v>
                </c:pt>
                <c:pt idx="19">
                  <c:v>2995.0664092917541</c:v>
                </c:pt>
                <c:pt idx="20">
                  <c:v>0</c:v>
                </c:pt>
                <c:pt idx="21">
                  <c:v>0</c:v>
                </c:pt>
                <c:pt idx="22">
                  <c:v>12408.546616103908</c:v>
                </c:pt>
                <c:pt idx="23">
                  <c:v>0</c:v>
                </c:pt>
                <c:pt idx="24">
                  <c:v>0</c:v>
                </c:pt>
                <c:pt idx="25">
                  <c:v>2602.1852876105722</c:v>
                </c:pt>
                <c:pt idx="26">
                  <c:v>0</c:v>
                </c:pt>
              </c:numCache>
            </c:numRef>
          </c:val>
          <c:extLst>
            <c:ext xmlns:c16="http://schemas.microsoft.com/office/drawing/2014/chart" uri="{C3380CC4-5D6E-409C-BE32-E72D297353CC}">
              <c16:uniqueId val="{00000004-6E70-4F00-BE15-FDB4B712F46E}"/>
            </c:ext>
          </c:extLst>
        </c:ser>
        <c:dLbls>
          <c:showLegendKey val="0"/>
          <c:showVal val="0"/>
          <c:showCatName val="0"/>
          <c:showSerName val="0"/>
          <c:showPercent val="0"/>
          <c:showBubbleSize val="0"/>
        </c:dLbls>
        <c:gapWidth val="10"/>
        <c:overlap val="100"/>
        <c:axId val="268169216"/>
        <c:axId val="268170752"/>
      </c:barChart>
      <c:catAx>
        <c:axId val="268169216"/>
        <c:scaling>
          <c:orientation val="minMax"/>
        </c:scaling>
        <c:delete val="0"/>
        <c:axPos val="b"/>
        <c:numFmt formatCode="#,##0" sourceLinked="0"/>
        <c:majorTickMark val="out"/>
        <c:minorTickMark val="none"/>
        <c:tickLblPos val="nextTo"/>
        <c:spPr>
          <a:ln>
            <a:noFill/>
          </a:ln>
        </c:spPr>
        <c:txPr>
          <a:bodyPr/>
          <a:lstStyle/>
          <a:p>
            <a:pPr>
              <a:defRPr sz="800">
                <a:latin typeface="Montserrat Ultra Light" panose="00000300000000000000" pitchFamily="50" charset="0"/>
              </a:defRPr>
            </a:pPr>
            <a:endParaRPr lang="en-US"/>
          </a:p>
        </c:txPr>
        <c:crossAx val="268170752"/>
        <c:crosses val="autoZero"/>
        <c:auto val="1"/>
        <c:lblAlgn val="ctr"/>
        <c:lblOffset val="100"/>
        <c:noMultiLvlLbl val="0"/>
      </c:catAx>
      <c:valAx>
        <c:axId val="268170752"/>
        <c:scaling>
          <c:orientation val="minMax"/>
        </c:scaling>
        <c:delete val="0"/>
        <c:axPos val="l"/>
        <c:majorGridlines>
          <c:spPr>
            <a:ln w="6350">
              <a:solidFill>
                <a:schemeClr val="bg1">
                  <a:lumMod val="85000"/>
                </a:schemeClr>
              </a:solidFill>
            </a:ln>
          </c:spPr>
        </c:majorGridlines>
        <c:title>
          <c:tx>
            <c:rich>
              <a:bodyPr rot="-5400000" vert="horz"/>
              <a:lstStyle/>
              <a:p>
                <a:pPr>
                  <a:defRPr sz="800">
                    <a:latin typeface="Montserrat Semi Bold" panose="00000700000000000000" pitchFamily="50" charset="0"/>
                  </a:defRPr>
                </a:pPr>
                <a:r>
                  <a:rPr lang="en-AU"/>
                  <a:t>$ per capita</a:t>
                </a:r>
              </a:p>
            </c:rich>
          </c:tx>
          <c:overlay val="0"/>
        </c:title>
        <c:numFmt formatCode="#,##0" sourceLinked="0"/>
        <c:majorTickMark val="out"/>
        <c:minorTickMark val="none"/>
        <c:tickLblPos val="nextTo"/>
        <c:spPr>
          <a:ln>
            <a:noFill/>
          </a:ln>
        </c:spPr>
        <c:txPr>
          <a:bodyPr/>
          <a:lstStyle/>
          <a:p>
            <a:pPr>
              <a:defRPr sz="800">
                <a:latin typeface="Montserrat Ultra Light" panose="00000300000000000000" pitchFamily="50" charset="0"/>
              </a:defRPr>
            </a:pPr>
            <a:endParaRPr lang="en-US"/>
          </a:p>
        </c:txPr>
        <c:crossAx val="268169216"/>
        <c:crosses val="autoZero"/>
        <c:crossBetween val="between"/>
      </c:valAx>
    </c:plotArea>
    <c:legend>
      <c:legendPos val="t"/>
      <c:layout>
        <c:manualLayout>
          <c:xMode val="edge"/>
          <c:yMode val="edge"/>
          <c:x val="4.9999964647596637E-2"/>
          <c:y val="2.1598639455782314E-2"/>
          <c:w val="0.8999998939427899"/>
          <c:h val="7.4362244897959187E-2"/>
        </c:manualLayout>
      </c:layout>
      <c:overlay val="0"/>
      <c:spPr>
        <a:ln>
          <a:solidFill>
            <a:srgbClr val="ADD6EA"/>
          </a:solidFill>
        </a:ln>
      </c:spPr>
      <c:txPr>
        <a:bodyPr/>
        <a:lstStyle/>
        <a:p>
          <a:pPr>
            <a:defRPr sz="800">
              <a:latin typeface="Montserrat Ultra Light" panose="00000300000000000000" pitchFamily="50" charset="0"/>
            </a:defRPr>
          </a:pPr>
          <a:endParaRPr lang="en-US"/>
        </a:p>
      </c:txPr>
    </c:legend>
    <c:plotVisOnly val="1"/>
    <c:dispBlanksAs val="gap"/>
    <c:showDLblsOverMax val="0"/>
  </c:chart>
  <c:spPr>
    <a:ln>
      <a:solidFill>
        <a:srgbClr val="ADD6EA"/>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A9839F97DA84EAC43A7FB852BABF8" ma:contentTypeVersion="12" ma:contentTypeDescription="Create a new document." ma:contentTypeScope="" ma:versionID="26f4eaebbbf5eea6eea98917bd7a920a">
  <xsd:schema xmlns:xsd="http://www.w3.org/2001/XMLSchema" xmlns:xs="http://www.w3.org/2001/XMLSchema" xmlns:p="http://schemas.microsoft.com/office/2006/metadata/properties" xmlns:ns2="fddab0a8-5dcd-452e-8920-feabfc03300f" xmlns:ns3="3b147965-d003-4c9e-9913-90f0d9e77379" targetNamespace="http://schemas.microsoft.com/office/2006/metadata/properties" ma:root="true" ma:fieldsID="72ec95277f14174cd63dc65a16bd5d7a" ns2:_="" ns3:_="">
    <xsd:import namespace="fddab0a8-5dcd-452e-8920-feabfc03300f"/>
    <xsd:import namespace="3b147965-d003-4c9e-9913-90f0d9e773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b0a8-5dcd-452e-8920-feabfc033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47965-d003-4c9e-9913-90f0d9e773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B5B83-DBE9-4257-97AD-44D382811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b0a8-5dcd-452e-8920-feabfc03300f"/>
    <ds:schemaRef ds:uri="3b147965-d003-4c9e-9913-90f0d9e77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8F938-B14F-4593-8F86-EE3CD8651AB5}">
  <ds:schemaRefs>
    <ds:schemaRef ds:uri="http://schemas.microsoft.com/sharepoint/v3/contenttype/forms"/>
  </ds:schemaRefs>
</ds:datastoreItem>
</file>

<file path=customXml/itemProps3.xml><?xml version="1.0" encoding="utf-8"?>
<ds:datastoreItem xmlns:ds="http://schemas.openxmlformats.org/officeDocument/2006/customXml" ds:itemID="{895D0E2A-B355-4F48-99B3-FD1D0543A1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7253F3-AD65-4E36-978D-EF931F19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91</Pages>
  <Words>37591</Words>
  <Characters>214273</Characters>
  <Application>Microsoft Office Word</Application>
  <DocSecurity>0</DocSecurity>
  <Lines>1785</Lines>
  <Paragraphs>502</Paragraphs>
  <ScaleCrop>false</ScaleCrop>
  <HeadingPairs>
    <vt:vector size="2" baseType="variant">
      <vt:variant>
        <vt:lpstr>Title</vt:lpstr>
      </vt:variant>
      <vt:variant>
        <vt:i4>1</vt:i4>
      </vt:variant>
    </vt:vector>
  </HeadingPairs>
  <TitlesOfParts>
    <vt:vector size="1" baseType="lpstr">
      <vt:lpstr>•</vt:lpstr>
    </vt:vector>
  </TitlesOfParts>
  <Company>The Commonwealth Grants Commission</Company>
  <LinksUpToDate>false</LinksUpToDate>
  <CharactersWithSpaces>251362</CharactersWithSpaces>
  <SharedDoc>false</SharedDoc>
  <HLinks>
    <vt:vector size="216" baseType="variant">
      <vt:variant>
        <vt:i4>7077936</vt:i4>
      </vt:variant>
      <vt:variant>
        <vt:i4>225</vt:i4>
      </vt:variant>
      <vt:variant>
        <vt:i4>0</vt:i4>
      </vt:variant>
      <vt:variant>
        <vt:i4>5</vt:i4>
      </vt:variant>
      <vt:variant>
        <vt:lpwstr>https://cgc.gov.au/</vt:lpwstr>
      </vt:variant>
      <vt:variant>
        <vt:lpwstr/>
      </vt:variant>
      <vt:variant>
        <vt:i4>7077936</vt:i4>
      </vt:variant>
      <vt:variant>
        <vt:i4>222</vt:i4>
      </vt:variant>
      <vt:variant>
        <vt:i4>0</vt:i4>
      </vt:variant>
      <vt:variant>
        <vt:i4>5</vt:i4>
      </vt:variant>
      <vt:variant>
        <vt:lpwstr>https://cgc.gov.au/</vt:lpwstr>
      </vt:variant>
      <vt:variant>
        <vt:lpwstr/>
      </vt:variant>
      <vt:variant>
        <vt:i4>7077936</vt:i4>
      </vt:variant>
      <vt:variant>
        <vt:i4>216</vt:i4>
      </vt:variant>
      <vt:variant>
        <vt:i4>0</vt:i4>
      </vt:variant>
      <vt:variant>
        <vt:i4>5</vt:i4>
      </vt:variant>
      <vt:variant>
        <vt:lpwstr>https://cgc.gov.au/</vt:lpwstr>
      </vt:variant>
      <vt:variant>
        <vt:lpwstr/>
      </vt:variant>
      <vt:variant>
        <vt:i4>7077936</vt:i4>
      </vt:variant>
      <vt:variant>
        <vt:i4>192</vt:i4>
      </vt:variant>
      <vt:variant>
        <vt:i4>0</vt:i4>
      </vt:variant>
      <vt:variant>
        <vt:i4>5</vt:i4>
      </vt:variant>
      <vt:variant>
        <vt:lpwstr>https://cgc.gov.au/</vt:lpwstr>
      </vt:variant>
      <vt:variant>
        <vt:lpwstr/>
      </vt:variant>
      <vt:variant>
        <vt:i4>7077936</vt:i4>
      </vt:variant>
      <vt:variant>
        <vt:i4>162</vt:i4>
      </vt:variant>
      <vt:variant>
        <vt:i4>0</vt:i4>
      </vt:variant>
      <vt:variant>
        <vt:i4>5</vt:i4>
      </vt:variant>
      <vt:variant>
        <vt:lpwstr>https://cgc.gov.au/</vt:lpwstr>
      </vt:variant>
      <vt:variant>
        <vt:lpwstr/>
      </vt:variant>
      <vt:variant>
        <vt:i4>5898417</vt:i4>
      </vt:variant>
      <vt:variant>
        <vt:i4>156</vt:i4>
      </vt:variant>
      <vt:variant>
        <vt:i4>0</vt:i4>
      </vt:variant>
      <vt:variant>
        <vt:i4>5</vt:i4>
      </vt:variant>
      <vt:variant>
        <vt:lpwstr>\\cgcfs\I_drive\R2020\Report\Draft Report\Final Draft report papers\Commission website</vt:lpwstr>
      </vt:variant>
      <vt:variant>
        <vt:lpwstr/>
      </vt:variant>
      <vt:variant>
        <vt:i4>1507385</vt:i4>
      </vt:variant>
      <vt:variant>
        <vt:i4>137</vt:i4>
      </vt:variant>
      <vt:variant>
        <vt:i4>0</vt:i4>
      </vt:variant>
      <vt:variant>
        <vt:i4>5</vt:i4>
      </vt:variant>
      <vt:variant>
        <vt:lpwstr/>
      </vt:variant>
      <vt:variant>
        <vt:lpwstr>_Toc33459177</vt:lpwstr>
      </vt:variant>
      <vt:variant>
        <vt:i4>1441849</vt:i4>
      </vt:variant>
      <vt:variant>
        <vt:i4>131</vt:i4>
      </vt:variant>
      <vt:variant>
        <vt:i4>0</vt:i4>
      </vt:variant>
      <vt:variant>
        <vt:i4>5</vt:i4>
      </vt:variant>
      <vt:variant>
        <vt:lpwstr/>
      </vt:variant>
      <vt:variant>
        <vt:lpwstr>_Toc33459176</vt:lpwstr>
      </vt:variant>
      <vt:variant>
        <vt:i4>1376313</vt:i4>
      </vt:variant>
      <vt:variant>
        <vt:i4>125</vt:i4>
      </vt:variant>
      <vt:variant>
        <vt:i4>0</vt:i4>
      </vt:variant>
      <vt:variant>
        <vt:i4>5</vt:i4>
      </vt:variant>
      <vt:variant>
        <vt:lpwstr/>
      </vt:variant>
      <vt:variant>
        <vt:lpwstr>_Toc33459175</vt:lpwstr>
      </vt:variant>
      <vt:variant>
        <vt:i4>1310777</vt:i4>
      </vt:variant>
      <vt:variant>
        <vt:i4>119</vt:i4>
      </vt:variant>
      <vt:variant>
        <vt:i4>0</vt:i4>
      </vt:variant>
      <vt:variant>
        <vt:i4>5</vt:i4>
      </vt:variant>
      <vt:variant>
        <vt:lpwstr/>
      </vt:variant>
      <vt:variant>
        <vt:lpwstr>_Toc33459174</vt:lpwstr>
      </vt:variant>
      <vt:variant>
        <vt:i4>1245241</vt:i4>
      </vt:variant>
      <vt:variant>
        <vt:i4>113</vt:i4>
      </vt:variant>
      <vt:variant>
        <vt:i4>0</vt:i4>
      </vt:variant>
      <vt:variant>
        <vt:i4>5</vt:i4>
      </vt:variant>
      <vt:variant>
        <vt:lpwstr/>
      </vt:variant>
      <vt:variant>
        <vt:lpwstr>_Toc33459173</vt:lpwstr>
      </vt:variant>
      <vt:variant>
        <vt:i4>1179705</vt:i4>
      </vt:variant>
      <vt:variant>
        <vt:i4>107</vt:i4>
      </vt:variant>
      <vt:variant>
        <vt:i4>0</vt:i4>
      </vt:variant>
      <vt:variant>
        <vt:i4>5</vt:i4>
      </vt:variant>
      <vt:variant>
        <vt:lpwstr/>
      </vt:variant>
      <vt:variant>
        <vt:lpwstr>_Toc33459172</vt:lpwstr>
      </vt:variant>
      <vt:variant>
        <vt:i4>1114169</vt:i4>
      </vt:variant>
      <vt:variant>
        <vt:i4>101</vt:i4>
      </vt:variant>
      <vt:variant>
        <vt:i4>0</vt:i4>
      </vt:variant>
      <vt:variant>
        <vt:i4>5</vt:i4>
      </vt:variant>
      <vt:variant>
        <vt:lpwstr/>
      </vt:variant>
      <vt:variant>
        <vt:lpwstr>_Toc33459171</vt:lpwstr>
      </vt:variant>
      <vt:variant>
        <vt:i4>1048633</vt:i4>
      </vt:variant>
      <vt:variant>
        <vt:i4>95</vt:i4>
      </vt:variant>
      <vt:variant>
        <vt:i4>0</vt:i4>
      </vt:variant>
      <vt:variant>
        <vt:i4>5</vt:i4>
      </vt:variant>
      <vt:variant>
        <vt:lpwstr/>
      </vt:variant>
      <vt:variant>
        <vt:lpwstr>_Toc33459170</vt:lpwstr>
      </vt:variant>
      <vt:variant>
        <vt:i4>1638456</vt:i4>
      </vt:variant>
      <vt:variant>
        <vt:i4>89</vt:i4>
      </vt:variant>
      <vt:variant>
        <vt:i4>0</vt:i4>
      </vt:variant>
      <vt:variant>
        <vt:i4>5</vt:i4>
      </vt:variant>
      <vt:variant>
        <vt:lpwstr/>
      </vt:variant>
      <vt:variant>
        <vt:lpwstr>_Toc33459169</vt:lpwstr>
      </vt:variant>
      <vt:variant>
        <vt:i4>1572920</vt:i4>
      </vt:variant>
      <vt:variant>
        <vt:i4>83</vt:i4>
      </vt:variant>
      <vt:variant>
        <vt:i4>0</vt:i4>
      </vt:variant>
      <vt:variant>
        <vt:i4>5</vt:i4>
      </vt:variant>
      <vt:variant>
        <vt:lpwstr/>
      </vt:variant>
      <vt:variant>
        <vt:lpwstr>_Toc33459168</vt:lpwstr>
      </vt:variant>
      <vt:variant>
        <vt:i4>1507384</vt:i4>
      </vt:variant>
      <vt:variant>
        <vt:i4>77</vt:i4>
      </vt:variant>
      <vt:variant>
        <vt:i4>0</vt:i4>
      </vt:variant>
      <vt:variant>
        <vt:i4>5</vt:i4>
      </vt:variant>
      <vt:variant>
        <vt:lpwstr/>
      </vt:variant>
      <vt:variant>
        <vt:lpwstr>_Toc33459167</vt:lpwstr>
      </vt:variant>
      <vt:variant>
        <vt:i4>1441848</vt:i4>
      </vt:variant>
      <vt:variant>
        <vt:i4>71</vt:i4>
      </vt:variant>
      <vt:variant>
        <vt:i4>0</vt:i4>
      </vt:variant>
      <vt:variant>
        <vt:i4>5</vt:i4>
      </vt:variant>
      <vt:variant>
        <vt:lpwstr/>
      </vt:variant>
      <vt:variant>
        <vt:lpwstr>_Toc33459166</vt:lpwstr>
      </vt:variant>
      <vt:variant>
        <vt:i4>1376312</vt:i4>
      </vt:variant>
      <vt:variant>
        <vt:i4>65</vt:i4>
      </vt:variant>
      <vt:variant>
        <vt:i4>0</vt:i4>
      </vt:variant>
      <vt:variant>
        <vt:i4>5</vt:i4>
      </vt:variant>
      <vt:variant>
        <vt:lpwstr/>
      </vt:variant>
      <vt:variant>
        <vt:lpwstr>_Toc33459165</vt:lpwstr>
      </vt:variant>
      <vt:variant>
        <vt:i4>1310776</vt:i4>
      </vt:variant>
      <vt:variant>
        <vt:i4>59</vt:i4>
      </vt:variant>
      <vt:variant>
        <vt:i4>0</vt:i4>
      </vt:variant>
      <vt:variant>
        <vt:i4>5</vt:i4>
      </vt:variant>
      <vt:variant>
        <vt:lpwstr/>
      </vt:variant>
      <vt:variant>
        <vt:lpwstr>_Toc33459164</vt:lpwstr>
      </vt:variant>
      <vt:variant>
        <vt:i4>1245240</vt:i4>
      </vt:variant>
      <vt:variant>
        <vt:i4>53</vt:i4>
      </vt:variant>
      <vt:variant>
        <vt:i4>0</vt:i4>
      </vt:variant>
      <vt:variant>
        <vt:i4>5</vt:i4>
      </vt:variant>
      <vt:variant>
        <vt:lpwstr/>
      </vt:variant>
      <vt:variant>
        <vt:lpwstr>_Toc33459163</vt:lpwstr>
      </vt:variant>
      <vt:variant>
        <vt:i4>1179704</vt:i4>
      </vt:variant>
      <vt:variant>
        <vt:i4>47</vt:i4>
      </vt:variant>
      <vt:variant>
        <vt:i4>0</vt:i4>
      </vt:variant>
      <vt:variant>
        <vt:i4>5</vt:i4>
      </vt:variant>
      <vt:variant>
        <vt:lpwstr/>
      </vt:variant>
      <vt:variant>
        <vt:lpwstr>_Toc33459162</vt:lpwstr>
      </vt:variant>
      <vt:variant>
        <vt:i4>1114168</vt:i4>
      </vt:variant>
      <vt:variant>
        <vt:i4>41</vt:i4>
      </vt:variant>
      <vt:variant>
        <vt:i4>0</vt:i4>
      </vt:variant>
      <vt:variant>
        <vt:i4>5</vt:i4>
      </vt:variant>
      <vt:variant>
        <vt:lpwstr/>
      </vt:variant>
      <vt:variant>
        <vt:lpwstr>_Toc33459161</vt:lpwstr>
      </vt:variant>
      <vt:variant>
        <vt:i4>1048632</vt:i4>
      </vt:variant>
      <vt:variant>
        <vt:i4>35</vt:i4>
      </vt:variant>
      <vt:variant>
        <vt:i4>0</vt:i4>
      </vt:variant>
      <vt:variant>
        <vt:i4>5</vt:i4>
      </vt:variant>
      <vt:variant>
        <vt:lpwstr/>
      </vt:variant>
      <vt:variant>
        <vt:lpwstr>_Toc33459160</vt:lpwstr>
      </vt:variant>
      <vt:variant>
        <vt:i4>1638459</vt:i4>
      </vt:variant>
      <vt:variant>
        <vt:i4>29</vt:i4>
      </vt:variant>
      <vt:variant>
        <vt:i4>0</vt:i4>
      </vt:variant>
      <vt:variant>
        <vt:i4>5</vt:i4>
      </vt:variant>
      <vt:variant>
        <vt:lpwstr/>
      </vt:variant>
      <vt:variant>
        <vt:lpwstr>_Toc33459159</vt:lpwstr>
      </vt:variant>
      <vt:variant>
        <vt:i4>1572923</vt:i4>
      </vt:variant>
      <vt:variant>
        <vt:i4>23</vt:i4>
      </vt:variant>
      <vt:variant>
        <vt:i4>0</vt:i4>
      </vt:variant>
      <vt:variant>
        <vt:i4>5</vt:i4>
      </vt:variant>
      <vt:variant>
        <vt:lpwstr/>
      </vt:variant>
      <vt:variant>
        <vt:lpwstr>_Toc33459158</vt:lpwstr>
      </vt:variant>
      <vt:variant>
        <vt:i4>1507387</vt:i4>
      </vt:variant>
      <vt:variant>
        <vt:i4>17</vt:i4>
      </vt:variant>
      <vt:variant>
        <vt:i4>0</vt:i4>
      </vt:variant>
      <vt:variant>
        <vt:i4>5</vt:i4>
      </vt:variant>
      <vt:variant>
        <vt:lpwstr/>
      </vt:variant>
      <vt:variant>
        <vt:lpwstr>_Toc33459157</vt:lpwstr>
      </vt:variant>
      <vt:variant>
        <vt:i4>7602221</vt:i4>
      </vt:variant>
      <vt:variant>
        <vt:i4>12</vt:i4>
      </vt:variant>
      <vt:variant>
        <vt:i4>0</vt:i4>
      </vt:variant>
      <vt:variant>
        <vt:i4>5</vt:i4>
      </vt:variant>
      <vt:variant>
        <vt:lpwstr>http://www.cgc.gov.au/</vt:lpwstr>
      </vt:variant>
      <vt:variant>
        <vt:lpwstr/>
      </vt:variant>
      <vt:variant>
        <vt:i4>8323091</vt:i4>
      </vt:variant>
      <vt:variant>
        <vt:i4>9</vt:i4>
      </vt:variant>
      <vt:variant>
        <vt:i4>0</vt:i4>
      </vt:variant>
      <vt:variant>
        <vt:i4>5</vt:i4>
      </vt:variant>
      <vt:variant>
        <vt:lpwstr>mailto:secretary@cgc.gov.au</vt:lpwstr>
      </vt:variant>
      <vt:variant>
        <vt:lpwstr/>
      </vt:variant>
      <vt:variant>
        <vt:i4>5439552</vt:i4>
      </vt:variant>
      <vt:variant>
        <vt:i4>6</vt:i4>
      </vt:variant>
      <vt:variant>
        <vt:i4>0</vt:i4>
      </vt:variant>
      <vt:variant>
        <vt:i4>5</vt:i4>
      </vt:variant>
      <vt:variant>
        <vt:lpwstr>https://www.pmc.gov.au/government/commonwealth-coat-arms</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7077936</vt:i4>
      </vt:variant>
      <vt:variant>
        <vt:i4>18</vt:i4>
      </vt:variant>
      <vt:variant>
        <vt:i4>0</vt:i4>
      </vt:variant>
      <vt:variant>
        <vt:i4>5</vt:i4>
      </vt:variant>
      <vt:variant>
        <vt:lpwstr>https://cgc.gov.au/</vt:lpwstr>
      </vt:variant>
      <vt:variant>
        <vt:lpwstr/>
      </vt:variant>
      <vt:variant>
        <vt:i4>7077936</vt:i4>
      </vt:variant>
      <vt:variant>
        <vt:i4>15</vt:i4>
      </vt:variant>
      <vt:variant>
        <vt:i4>0</vt:i4>
      </vt:variant>
      <vt:variant>
        <vt:i4>5</vt:i4>
      </vt:variant>
      <vt:variant>
        <vt:lpwstr>https://cgc.gov.au/</vt:lpwstr>
      </vt:variant>
      <vt:variant>
        <vt:lpwstr/>
      </vt:variant>
      <vt:variant>
        <vt:i4>7077936</vt:i4>
      </vt:variant>
      <vt:variant>
        <vt:i4>12</vt:i4>
      </vt:variant>
      <vt:variant>
        <vt:i4>0</vt:i4>
      </vt:variant>
      <vt:variant>
        <vt:i4>5</vt:i4>
      </vt:variant>
      <vt:variant>
        <vt:lpwstr>https://cgc.gov.au/</vt:lpwstr>
      </vt:variant>
      <vt:variant>
        <vt:lpwstr/>
      </vt:variant>
      <vt:variant>
        <vt:i4>7077936</vt:i4>
      </vt:variant>
      <vt:variant>
        <vt:i4>0</vt:i4>
      </vt:variant>
      <vt:variant>
        <vt:i4>0</vt:i4>
      </vt:variant>
      <vt:variant>
        <vt:i4>5</vt:i4>
      </vt:variant>
      <vt:variant>
        <vt:lpwstr>https://cgc.gov.au/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Deborah Fleming</dc:creator>
  <cp:keywords/>
  <dc:description/>
  <cp:lastModifiedBy>Deborah Fleming</cp:lastModifiedBy>
  <cp:revision>330</cp:revision>
  <cp:lastPrinted>2020-02-26T01:16:00Z</cp:lastPrinted>
  <dcterms:created xsi:type="dcterms:W3CDTF">2020-02-02T00:01:00Z</dcterms:created>
  <dcterms:modified xsi:type="dcterms:W3CDTF">2020-02-26T01:16:00Z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0x0101009AEA9839F97DA84EAC43A7FB852BABF8</vt:lpwstr>
  </property>
</Properties>
</file>