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4D" w:rsidRPr="00970E6D" w:rsidRDefault="00BE794D" w:rsidP="00BE794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16764A59" wp14:editId="530EE9A2">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7A4FF0" w:rsidRDefault="00BE794D" w:rsidP="00FD18A1">
      <w:pPr>
        <w:tabs>
          <w:tab w:val="clear" w:pos="567"/>
        </w:tabs>
        <w:spacing w:before="1280" w:after="880"/>
        <w:jc w:val="center"/>
        <w:rPr>
          <w:b/>
          <w:sz w:val="40"/>
          <w:szCs w:val="40"/>
        </w:rPr>
      </w:pPr>
      <w:r w:rsidRPr="00970E6D">
        <w:rPr>
          <w:b/>
          <w:sz w:val="40"/>
          <w:szCs w:val="40"/>
        </w:rPr>
        <w:t>20</w:t>
      </w:r>
      <w:r w:rsidR="008E3EA2">
        <w:rPr>
          <w:b/>
          <w:sz w:val="40"/>
          <w:szCs w:val="40"/>
        </w:rPr>
        <w:t>1</w:t>
      </w:r>
      <w:r w:rsidR="00BB013D">
        <w:rPr>
          <w:b/>
          <w:sz w:val="40"/>
          <w:szCs w:val="40"/>
        </w:rPr>
        <w:t>8 UPDATE</w:t>
      </w:r>
    </w:p>
    <w:p w:rsidR="007A4FF0" w:rsidRDefault="00BB013D" w:rsidP="00FD18A1">
      <w:pPr>
        <w:tabs>
          <w:tab w:val="clear" w:pos="567"/>
        </w:tabs>
        <w:spacing w:before="2680" w:after="240"/>
        <w:jc w:val="center"/>
        <w:rPr>
          <w:b/>
          <w:sz w:val="40"/>
          <w:szCs w:val="40"/>
        </w:rPr>
      </w:pPr>
      <w:r>
        <w:rPr>
          <w:b/>
          <w:sz w:val="40"/>
          <w:szCs w:val="40"/>
        </w:rPr>
        <w:t>NEW ISSUES FOR THE 2018 UPDATE</w:t>
      </w:r>
    </w:p>
    <w:p w:rsidR="007A4FF0" w:rsidRDefault="00BE794D" w:rsidP="00FD18A1">
      <w:pPr>
        <w:tabs>
          <w:tab w:val="clear" w:pos="567"/>
        </w:tabs>
        <w:spacing w:before="2680"/>
        <w:jc w:val="center"/>
        <w:rPr>
          <w:b/>
          <w:sz w:val="40"/>
          <w:szCs w:val="40"/>
        </w:rPr>
      </w:pPr>
      <w:r w:rsidRPr="00970E6D">
        <w:rPr>
          <w:b/>
          <w:sz w:val="40"/>
          <w:szCs w:val="40"/>
        </w:rPr>
        <w:t xml:space="preserve">STAFF DISCUSSION </w:t>
      </w:r>
      <w:r w:rsidR="00191AFA">
        <w:rPr>
          <w:b/>
          <w:sz w:val="40"/>
          <w:szCs w:val="40"/>
        </w:rPr>
        <w:t>PAPER</w:t>
      </w:r>
    </w:p>
    <w:p w:rsidR="007A4FF0" w:rsidRDefault="00055F2A" w:rsidP="00FD18A1">
      <w:pPr>
        <w:tabs>
          <w:tab w:val="clear" w:pos="567"/>
        </w:tabs>
        <w:spacing w:after="1560"/>
        <w:jc w:val="center"/>
        <w:rPr>
          <w:b/>
          <w:sz w:val="40"/>
          <w:szCs w:val="40"/>
        </w:rPr>
      </w:pPr>
      <w:proofErr w:type="spellStart"/>
      <w:r>
        <w:rPr>
          <w:b/>
          <w:sz w:val="40"/>
          <w:szCs w:val="40"/>
        </w:rPr>
        <w:t>CGC</w:t>
      </w:r>
      <w:proofErr w:type="spellEnd"/>
      <w:r>
        <w:rPr>
          <w:b/>
          <w:sz w:val="40"/>
          <w:szCs w:val="40"/>
        </w:rPr>
        <w:t xml:space="preserve"> </w:t>
      </w:r>
      <w:r w:rsidR="00BB013D">
        <w:rPr>
          <w:b/>
          <w:sz w:val="40"/>
          <w:szCs w:val="40"/>
        </w:rPr>
        <w:t>2017-</w:t>
      </w:r>
      <w:r w:rsidR="0029387C">
        <w:rPr>
          <w:b/>
          <w:sz w:val="40"/>
          <w:szCs w:val="40"/>
        </w:rPr>
        <w:t>20</w:t>
      </w:r>
      <w:r w:rsidR="00BB013D">
        <w:rPr>
          <w:b/>
          <w:sz w:val="40"/>
          <w:szCs w:val="40"/>
        </w:rPr>
        <w:t>-S</w:t>
      </w:r>
    </w:p>
    <w:p w:rsidR="00BE794D" w:rsidRPr="00970E6D" w:rsidRDefault="00347291" w:rsidP="00BE794D">
      <w:pPr>
        <w:tabs>
          <w:tab w:val="clear" w:pos="567"/>
        </w:tabs>
        <w:jc w:val="right"/>
        <w:rPr>
          <w:b/>
          <w:sz w:val="28"/>
          <w:szCs w:val="28"/>
        </w:rPr>
      </w:pPr>
      <w:r w:rsidRPr="00D964B7">
        <w:rPr>
          <w:b/>
          <w:sz w:val="28"/>
          <w:szCs w:val="28"/>
        </w:rPr>
        <w:t>15</w:t>
      </w:r>
      <w:r w:rsidR="00BB013D">
        <w:rPr>
          <w:b/>
          <w:sz w:val="28"/>
          <w:szCs w:val="28"/>
        </w:rPr>
        <w:t xml:space="preserve"> </w:t>
      </w:r>
      <w:r w:rsidR="003C6EA8">
        <w:rPr>
          <w:b/>
          <w:sz w:val="28"/>
          <w:szCs w:val="28"/>
        </w:rPr>
        <w:t>AUGUST</w:t>
      </w:r>
      <w:r w:rsidR="00BB013D">
        <w:rPr>
          <w:b/>
          <w:sz w:val="28"/>
          <w:szCs w:val="28"/>
        </w:rPr>
        <w:t xml:space="preserve"> 2017</w:t>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E32ADF">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Caption w:val="Paper issue date and CGC contact"/>
        <w:tblDescription w:val="Paper issued on 30 June 2016 and submissions due 16 September 2016"/>
      </w:tblPr>
      <w:tblGrid>
        <w:gridCol w:w="2943"/>
        <w:gridCol w:w="6224"/>
      </w:tblGrid>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515124" w:rsidRDefault="00191AFA" w:rsidP="00CE27CF">
            <w:pPr>
              <w:tabs>
                <w:tab w:val="clear" w:pos="567"/>
                <w:tab w:val="clear" w:pos="1418"/>
                <w:tab w:val="clear" w:pos="2268"/>
                <w:tab w:val="clear" w:pos="2835"/>
              </w:tabs>
            </w:pPr>
            <w:r w:rsidRPr="00515124">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191AFA" w:rsidRPr="00515124" w:rsidRDefault="00347291" w:rsidP="00CE27CF">
            <w:pPr>
              <w:tabs>
                <w:tab w:val="clear" w:pos="567"/>
                <w:tab w:val="clear" w:pos="1418"/>
                <w:tab w:val="clear" w:pos="2268"/>
                <w:tab w:val="clear" w:pos="2835"/>
              </w:tabs>
            </w:pPr>
            <w:r w:rsidRPr="00D964B7">
              <w:t>15</w:t>
            </w:r>
            <w:r w:rsidR="00191AFA" w:rsidRPr="00970E6D">
              <w:t xml:space="preserve"> </w:t>
            </w:r>
            <w:r w:rsidR="00191AFA">
              <w:t>August</w:t>
            </w:r>
            <w:r w:rsidR="00191AFA" w:rsidRPr="00970E6D">
              <w:t xml:space="preserve"> 20</w:t>
            </w:r>
            <w:r w:rsidR="00191AFA">
              <w:t>17</w:t>
            </w:r>
          </w:p>
        </w:tc>
      </w:tr>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91AFA" w:rsidRPr="00D34725" w:rsidRDefault="004B6825" w:rsidP="004B6825">
            <w:pPr>
              <w:tabs>
                <w:tab w:val="clear" w:pos="567"/>
              </w:tabs>
              <w:rPr>
                <w:lang w:val="fr-CA"/>
              </w:rPr>
            </w:pPr>
            <w:r>
              <w:rPr>
                <w:lang w:val="fr-FR"/>
              </w:rPr>
              <w:t>Yuhua Shi</w:t>
            </w:r>
            <w:r w:rsidR="00191AFA" w:rsidRPr="00A468C3">
              <w:rPr>
                <w:lang w:val="fr-FR"/>
              </w:rPr>
              <w:t>, 02 6229 88</w:t>
            </w:r>
            <w:r>
              <w:rPr>
                <w:lang w:val="fr-FR"/>
              </w:rPr>
              <w:t>52</w:t>
            </w:r>
            <w:r w:rsidR="00191AFA" w:rsidRPr="00A468C3">
              <w:rPr>
                <w:lang w:val="fr-FR"/>
              </w:rPr>
              <w:t xml:space="preserve">, </w:t>
            </w:r>
            <w:hyperlink r:id="rId12" w:history="1">
              <w:r w:rsidRPr="00180426">
                <w:rPr>
                  <w:rStyle w:val="Hyperlink"/>
                  <w:lang w:val="fr-FR"/>
                </w:rPr>
                <w:t>yuhua.shi@cgc.gov.au</w:t>
              </w:r>
            </w:hyperlink>
            <w:r>
              <w:rPr>
                <w:lang w:val="fr-FR"/>
              </w:rPr>
              <w:t xml:space="preserve"> </w:t>
            </w:r>
          </w:p>
        </w:tc>
      </w:tr>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 xml:space="preserve">Submissions should be emailed in Word format to </w:t>
            </w:r>
            <w:hyperlink r:id="rId13" w:history="1">
              <w:r w:rsidR="004B6825" w:rsidRPr="00180426">
                <w:rPr>
                  <w:rStyle w:val="Hyperlink"/>
                </w:rPr>
                <w:t>secretary@cgc.gov.au</w:t>
              </w:r>
            </w:hyperlink>
            <w:r w:rsidRPr="00970E6D">
              <w:t xml:space="preserve"> </w:t>
            </w:r>
            <w:r>
              <w:t xml:space="preserve">by </w:t>
            </w:r>
            <w:r w:rsidR="004B6825">
              <w:t>13</w:t>
            </w:r>
            <w:r w:rsidR="00E600A7" w:rsidRPr="004B6825">
              <w:t xml:space="preserve"> October</w:t>
            </w:r>
            <w:r w:rsidRPr="004B6825">
              <w:t xml:space="preserve"> 2017</w:t>
            </w:r>
            <w:r w:rsidRPr="00970E6D">
              <w:t>.</w:t>
            </w:r>
          </w:p>
          <w:p w:rsidR="00191AFA" w:rsidRPr="00970E6D" w:rsidRDefault="00191AFA" w:rsidP="00CE27CF">
            <w:pPr>
              <w:tabs>
                <w:tab w:val="clear" w:pos="567"/>
                <w:tab w:val="clear" w:pos="1418"/>
                <w:tab w:val="clear" w:pos="2268"/>
                <w:tab w:val="clear" w:pos="2835"/>
              </w:tabs>
            </w:pPr>
            <w:r w:rsidRPr="00970E6D">
              <w:t xml:space="preserve">Submissions of more than </w:t>
            </w:r>
            <w:r>
              <w:t>10</w:t>
            </w:r>
            <w:r w:rsidRPr="00970E6D">
              <w:t xml:space="preserve"> pages in length should include a summary section.</w:t>
            </w:r>
          </w:p>
        </w:tc>
      </w:tr>
      <w:tr w:rsidR="00191AFA" w:rsidRPr="00970E6D" w:rsidTr="00CE27CF">
        <w:tc>
          <w:tcPr>
            <w:tcW w:w="1605" w:type="pct"/>
            <w:tcBorders>
              <w:top w:val="single" w:sz="4" w:space="0" w:color="auto"/>
              <w:left w:val="single" w:sz="4" w:space="0" w:color="auto"/>
              <w:bottom w:val="single" w:sz="4" w:space="0" w:color="auto"/>
              <w:right w:val="single" w:sz="4" w:space="0" w:color="auto"/>
            </w:tcBorders>
          </w:tcPr>
          <w:p w:rsidR="00191AFA" w:rsidRPr="00970E6D" w:rsidRDefault="00191AFA" w:rsidP="00CE27CF">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91AFA" w:rsidRPr="00CF1294" w:rsidRDefault="00191AFA" w:rsidP="00CE27CF">
            <w:pPr>
              <w:tabs>
                <w:tab w:val="clear" w:pos="567"/>
                <w:tab w:val="clear" w:pos="1418"/>
                <w:tab w:val="clear" w:pos="2268"/>
                <w:tab w:val="clear" w:pos="2835"/>
              </w:tabs>
            </w:pPr>
            <w:r w:rsidRPr="00CF1294">
              <w:t xml:space="preserve">It is the </w:t>
            </w:r>
            <w:r>
              <w:t>C</w:t>
            </w:r>
            <w:r w:rsidRPr="00CF1294">
              <w:t xml:space="preserve">ommission’s normal practice to make State submissions available on its website under the CC BY licence, allowing free use of content by third parties. </w:t>
            </w:r>
          </w:p>
          <w:p w:rsidR="00191AFA" w:rsidRPr="00CF1294" w:rsidRDefault="00191AFA" w:rsidP="00CE27CF">
            <w:pPr>
              <w:tabs>
                <w:tab w:val="clear" w:pos="567"/>
                <w:tab w:val="clear" w:pos="1418"/>
                <w:tab w:val="clear" w:pos="2268"/>
                <w:tab w:val="clear" w:pos="2835"/>
              </w:tabs>
            </w:pPr>
            <w:r w:rsidRPr="00CF1294">
              <w:rPr>
                <w:noProof/>
                <w:lang w:eastAsia="en-AU"/>
              </w:rPr>
              <w:drawing>
                <wp:inline distT="0" distB="0" distL="0" distR="0" wp14:anchorId="64AB2F8A" wp14:editId="164BA132">
                  <wp:extent cx="828675" cy="295275"/>
                  <wp:effectExtent l="19050" t="0" r="9525" b="0"/>
                  <wp:docPr id="10"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91AFA" w:rsidRPr="00CF1294" w:rsidRDefault="00191AFA" w:rsidP="00CE27CF">
            <w:pPr>
              <w:tabs>
                <w:tab w:val="clear" w:pos="567"/>
                <w:tab w:val="clear" w:pos="1418"/>
                <w:tab w:val="clear" w:pos="2268"/>
                <w:tab w:val="clear" w:pos="2835"/>
              </w:tabs>
            </w:pPr>
            <w:r w:rsidRPr="00CF1294">
              <w:t>Further information on t</w:t>
            </w:r>
            <w:r w:rsidR="004748ED">
              <w:t xml:space="preserve">he CC BY licence can be found on the </w:t>
            </w:r>
            <w:hyperlink r:id="rId15" w:history="1">
              <w:r w:rsidR="004748ED" w:rsidRPr="004748ED">
                <w:rPr>
                  <w:rStyle w:val="Hyperlink"/>
                </w:rPr>
                <w:t>Creative Commons website</w:t>
              </w:r>
            </w:hyperlink>
            <w:r w:rsidRPr="00CF1294">
              <w:t xml:space="preserve"> </w:t>
            </w:r>
            <w:r w:rsidR="004748ED">
              <w:t>(</w:t>
            </w:r>
            <w:r w:rsidR="0098403F" w:rsidRPr="0098403F">
              <w:t>https://creativecommons.org/</w:t>
            </w:r>
            <w:r w:rsidR="004748ED">
              <w:t>)</w:t>
            </w:r>
          </w:p>
          <w:p w:rsidR="00191AFA" w:rsidRPr="00970E6D" w:rsidRDefault="00191AFA" w:rsidP="00CE27CF">
            <w:pPr>
              <w:tabs>
                <w:tab w:val="clear" w:pos="567"/>
                <w:tab w:val="clear" w:pos="1418"/>
                <w:tab w:val="clear" w:pos="2268"/>
                <w:tab w:val="clear" w:pos="2835"/>
              </w:tabs>
            </w:pPr>
            <w:r w:rsidRPr="00CF1294">
              <w:t xml:space="preserve">Confidential material contained in submissions must be clearly identified or included in separate attachment/s, and details provided in the covering email. Identified confidential material will not be published on the </w:t>
            </w:r>
            <w:r>
              <w:t>C</w:t>
            </w:r>
            <w:r w:rsidRPr="00CF1294">
              <w:t>ommission’s website.</w:t>
            </w:r>
          </w:p>
        </w:tc>
      </w:tr>
    </w:tbl>
    <w:p w:rsidR="00191AFA" w:rsidRPr="00970E6D" w:rsidRDefault="00191AFA" w:rsidP="00191AFA">
      <w:pPr>
        <w:tabs>
          <w:tab w:val="clear" w:pos="567"/>
        </w:tabs>
      </w:pPr>
    </w:p>
    <w:p w:rsidR="00191AFA" w:rsidRDefault="00191AFA" w:rsidP="00191AFA">
      <w:pPr>
        <w:tabs>
          <w:tab w:val="clear" w:pos="567"/>
        </w:tabs>
      </w:pPr>
    </w:p>
    <w:p w:rsidR="00191AFA" w:rsidRPr="00970E6D" w:rsidRDefault="00191AFA" w:rsidP="00191AFA">
      <w:pPr>
        <w:tabs>
          <w:tab w:val="clear" w:pos="567"/>
        </w:tabs>
        <w:sectPr w:rsidR="00191AFA" w:rsidRPr="00970E6D" w:rsidSect="00CE27CF">
          <w:pgSz w:w="11899" w:h="16838" w:code="9"/>
          <w:pgMar w:top="1701" w:right="1474" w:bottom="1701" w:left="1474" w:header="709" w:footer="709" w:gutter="0"/>
          <w:cols w:space="708"/>
          <w:titlePg/>
          <w:docGrid w:linePitch="299"/>
        </w:sectPr>
      </w:pPr>
    </w:p>
    <w:p w:rsidR="00BE794D" w:rsidRPr="00970E6D" w:rsidRDefault="00BE794D" w:rsidP="00444280">
      <w:pPr>
        <w:pStyle w:val="Heading1"/>
        <w:spacing w:before="0"/>
      </w:pPr>
      <w:bookmarkStart w:id="6" w:name="_Toc490228098"/>
      <w:r w:rsidRPr="00970E6D">
        <w:lastRenderedPageBreak/>
        <w:t>CONTENTS</w:t>
      </w:r>
      <w:bookmarkEnd w:id="0"/>
      <w:bookmarkEnd w:id="1"/>
      <w:bookmarkEnd w:id="2"/>
      <w:bookmarkEnd w:id="3"/>
      <w:bookmarkEnd w:id="4"/>
      <w:bookmarkEnd w:id="5"/>
      <w:bookmarkEnd w:id="6"/>
    </w:p>
    <w:p w:rsidR="00060092" w:rsidRDefault="004E56AA" w:rsidP="00060092">
      <w:pPr>
        <w:pStyle w:val="TOC1"/>
        <w:tabs>
          <w:tab w:val="right" w:pos="8941"/>
        </w:tabs>
        <w:rPr>
          <w:noProof/>
        </w:rPr>
      </w:pPr>
      <w:r>
        <w:fldChar w:fldCharType="begin"/>
      </w:r>
      <w:r>
        <w:instrText xml:space="preserve"> TOC \f \h \z \u \t "Heading 2,1,Heading 3,1,Heading 4,3" </w:instrText>
      </w:r>
      <w:r>
        <w:fldChar w:fldCharType="separate"/>
      </w:r>
      <w:r w:rsidR="00060092">
        <w:fldChar w:fldCharType="begin"/>
      </w:r>
      <w:r w:rsidR="00060092">
        <w:instrText xml:space="preserve"> TOC \f \h \z \u \t "Heading 2,1,Heading 3,1,Heading 4,3" </w:instrText>
      </w:r>
      <w:r w:rsidR="00060092">
        <w:fldChar w:fldCharType="separate"/>
      </w:r>
    </w:p>
    <w:p w:rsidR="00060092" w:rsidRDefault="00060092" w:rsidP="00060092">
      <w:pPr>
        <w:pStyle w:val="TOC1"/>
        <w:tabs>
          <w:tab w:val="right" w:pos="8941"/>
        </w:tabs>
        <w:rPr>
          <w:rFonts w:eastAsiaTheme="minorEastAsia"/>
          <w:noProof/>
          <w:sz w:val="22"/>
          <w:szCs w:val="22"/>
          <w:lang w:eastAsia="en-AU"/>
        </w:rPr>
      </w:pPr>
      <w:hyperlink w:anchor="_Toc490659523" w:history="1">
        <w:r w:rsidRPr="00747676">
          <w:rPr>
            <w:rStyle w:val="Hyperlink"/>
            <w:noProof/>
          </w:rPr>
          <w:t>Background</w:t>
        </w:r>
        <w:r>
          <w:rPr>
            <w:noProof/>
            <w:webHidden/>
          </w:rPr>
          <w:tab/>
        </w:r>
        <w:r>
          <w:rPr>
            <w:noProof/>
            <w:webHidden/>
          </w:rPr>
          <w:fldChar w:fldCharType="begin"/>
        </w:r>
        <w:r>
          <w:rPr>
            <w:noProof/>
            <w:webHidden/>
          </w:rPr>
          <w:instrText xml:space="preserve"> PAGEREF _Toc490659523 \h </w:instrText>
        </w:r>
        <w:r>
          <w:rPr>
            <w:noProof/>
            <w:webHidden/>
          </w:rPr>
        </w:r>
        <w:r>
          <w:rPr>
            <w:noProof/>
            <w:webHidden/>
          </w:rPr>
          <w:fldChar w:fldCharType="separate"/>
        </w:r>
        <w:r w:rsidR="00500132">
          <w:rPr>
            <w:noProof/>
            <w:webHidden/>
          </w:rPr>
          <w:t>1</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24" w:history="1">
        <w:r w:rsidRPr="00747676">
          <w:rPr>
            <w:rStyle w:val="Hyperlink"/>
            <w:noProof/>
          </w:rPr>
          <w:t>Issues for the 2018 Update</w:t>
        </w:r>
        <w:r>
          <w:rPr>
            <w:noProof/>
            <w:webHidden/>
          </w:rPr>
          <w:tab/>
        </w:r>
        <w:r>
          <w:rPr>
            <w:noProof/>
            <w:webHidden/>
          </w:rPr>
          <w:fldChar w:fldCharType="begin"/>
        </w:r>
        <w:r>
          <w:rPr>
            <w:noProof/>
            <w:webHidden/>
          </w:rPr>
          <w:instrText xml:space="preserve"> PAGEREF _Toc490659524 \h </w:instrText>
        </w:r>
        <w:r>
          <w:rPr>
            <w:noProof/>
            <w:webHidden/>
          </w:rPr>
        </w:r>
        <w:r>
          <w:rPr>
            <w:noProof/>
            <w:webHidden/>
          </w:rPr>
          <w:fldChar w:fldCharType="separate"/>
        </w:r>
        <w:r w:rsidR="00500132">
          <w:rPr>
            <w:noProof/>
            <w:webHidden/>
          </w:rPr>
          <w:t>1</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25" w:history="1">
        <w:r w:rsidRPr="00747676">
          <w:rPr>
            <w:rStyle w:val="Hyperlink"/>
            <w:noProof/>
          </w:rPr>
          <w:t>Use of new Census data</w:t>
        </w:r>
        <w:r>
          <w:rPr>
            <w:noProof/>
            <w:webHidden/>
          </w:rPr>
          <w:tab/>
        </w:r>
        <w:r>
          <w:rPr>
            <w:noProof/>
            <w:webHidden/>
          </w:rPr>
          <w:fldChar w:fldCharType="begin"/>
        </w:r>
        <w:r>
          <w:rPr>
            <w:noProof/>
            <w:webHidden/>
          </w:rPr>
          <w:instrText xml:space="preserve"> PAGEREF _Toc490659525 \h </w:instrText>
        </w:r>
        <w:r>
          <w:rPr>
            <w:noProof/>
            <w:webHidden/>
          </w:rPr>
        </w:r>
        <w:r>
          <w:rPr>
            <w:noProof/>
            <w:webHidden/>
          </w:rPr>
          <w:fldChar w:fldCharType="separate"/>
        </w:r>
        <w:r w:rsidR="00500132">
          <w:rPr>
            <w:noProof/>
            <w:webHidden/>
          </w:rPr>
          <w:t>1</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34" w:history="1">
        <w:r w:rsidRPr="00747676">
          <w:rPr>
            <w:rStyle w:val="Hyperlink"/>
            <w:noProof/>
          </w:rPr>
          <w:t>Wage costs assessment — Commonwealth Superannuation Scheme adjustments</w:t>
        </w:r>
        <w:r>
          <w:rPr>
            <w:noProof/>
            <w:webHidden/>
          </w:rPr>
          <w:tab/>
        </w:r>
        <w:r>
          <w:rPr>
            <w:noProof/>
            <w:webHidden/>
          </w:rPr>
          <w:fldChar w:fldCharType="begin"/>
        </w:r>
        <w:r>
          <w:rPr>
            <w:noProof/>
            <w:webHidden/>
          </w:rPr>
          <w:instrText xml:space="preserve"> PAGEREF _Toc490659534 \h </w:instrText>
        </w:r>
        <w:r>
          <w:rPr>
            <w:noProof/>
            <w:webHidden/>
          </w:rPr>
        </w:r>
        <w:r>
          <w:rPr>
            <w:noProof/>
            <w:webHidden/>
          </w:rPr>
          <w:fldChar w:fldCharType="separate"/>
        </w:r>
        <w:r w:rsidR="00500132">
          <w:rPr>
            <w:noProof/>
            <w:webHidden/>
          </w:rPr>
          <w:t>8</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35" w:history="1">
        <w:r w:rsidRPr="00747676">
          <w:rPr>
            <w:rStyle w:val="Hyperlink"/>
            <w:noProof/>
          </w:rPr>
          <w:t>National Disability Insurance Scheme (NDIS) related payments</w:t>
        </w:r>
        <w:r>
          <w:rPr>
            <w:noProof/>
            <w:webHidden/>
          </w:rPr>
          <w:tab/>
        </w:r>
        <w:r>
          <w:rPr>
            <w:noProof/>
            <w:webHidden/>
          </w:rPr>
          <w:fldChar w:fldCharType="begin"/>
        </w:r>
        <w:r>
          <w:rPr>
            <w:noProof/>
            <w:webHidden/>
          </w:rPr>
          <w:instrText xml:space="preserve"> PAGEREF _Toc490659535 \h </w:instrText>
        </w:r>
        <w:r>
          <w:rPr>
            <w:noProof/>
            <w:webHidden/>
          </w:rPr>
        </w:r>
        <w:r>
          <w:rPr>
            <w:noProof/>
            <w:webHidden/>
          </w:rPr>
          <w:fldChar w:fldCharType="separate"/>
        </w:r>
        <w:r w:rsidR="00500132">
          <w:rPr>
            <w:noProof/>
            <w:webHidden/>
          </w:rPr>
          <w:t>8</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38" w:history="1">
        <w:r w:rsidRPr="00747676">
          <w:rPr>
            <w:rStyle w:val="Hyperlink"/>
            <w:noProof/>
          </w:rPr>
          <w:t>Health assessment</w:t>
        </w:r>
        <w:r>
          <w:rPr>
            <w:noProof/>
            <w:webHidden/>
          </w:rPr>
          <w:tab/>
        </w:r>
        <w:r>
          <w:rPr>
            <w:noProof/>
            <w:webHidden/>
          </w:rPr>
          <w:fldChar w:fldCharType="begin"/>
        </w:r>
        <w:r>
          <w:rPr>
            <w:noProof/>
            <w:webHidden/>
          </w:rPr>
          <w:instrText xml:space="preserve"> PAGEREF _Toc490659538 \h </w:instrText>
        </w:r>
        <w:r>
          <w:rPr>
            <w:noProof/>
            <w:webHidden/>
          </w:rPr>
        </w:r>
        <w:r>
          <w:rPr>
            <w:noProof/>
            <w:webHidden/>
          </w:rPr>
          <w:fldChar w:fldCharType="separate"/>
        </w:r>
        <w:r w:rsidR="00500132">
          <w:rPr>
            <w:noProof/>
            <w:webHidden/>
          </w:rPr>
          <w:t>11</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43" w:history="1">
        <w:r w:rsidRPr="00747676">
          <w:rPr>
            <w:rStyle w:val="Hyperlink"/>
            <w:noProof/>
          </w:rPr>
          <w:t>Quality Schools payment and the Schools assessment</w:t>
        </w:r>
        <w:r>
          <w:rPr>
            <w:noProof/>
            <w:webHidden/>
          </w:rPr>
          <w:tab/>
        </w:r>
        <w:r>
          <w:rPr>
            <w:noProof/>
            <w:webHidden/>
          </w:rPr>
          <w:fldChar w:fldCharType="begin"/>
        </w:r>
        <w:r>
          <w:rPr>
            <w:noProof/>
            <w:webHidden/>
          </w:rPr>
          <w:instrText xml:space="preserve"> PAGEREF _Toc490659543 \h </w:instrText>
        </w:r>
        <w:r>
          <w:rPr>
            <w:noProof/>
            <w:webHidden/>
          </w:rPr>
        </w:r>
        <w:r>
          <w:rPr>
            <w:noProof/>
            <w:webHidden/>
          </w:rPr>
          <w:fldChar w:fldCharType="separate"/>
        </w:r>
        <w:r w:rsidR="00500132">
          <w:rPr>
            <w:noProof/>
            <w:webHidden/>
          </w:rPr>
          <w:t>16</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47" w:history="1">
        <w:r w:rsidRPr="00747676">
          <w:rPr>
            <w:rStyle w:val="Hyperlink"/>
            <w:noProof/>
          </w:rPr>
          <w:t>Rescaling in the Investment assessment</w:t>
        </w:r>
        <w:r>
          <w:rPr>
            <w:noProof/>
            <w:webHidden/>
          </w:rPr>
          <w:tab/>
        </w:r>
        <w:r>
          <w:rPr>
            <w:noProof/>
            <w:webHidden/>
          </w:rPr>
          <w:fldChar w:fldCharType="begin"/>
        </w:r>
        <w:r>
          <w:rPr>
            <w:noProof/>
            <w:webHidden/>
          </w:rPr>
          <w:instrText xml:space="preserve"> PAGEREF _Toc490659547 \h </w:instrText>
        </w:r>
        <w:r>
          <w:rPr>
            <w:noProof/>
            <w:webHidden/>
          </w:rPr>
        </w:r>
        <w:r>
          <w:rPr>
            <w:noProof/>
            <w:webHidden/>
          </w:rPr>
          <w:fldChar w:fldCharType="separate"/>
        </w:r>
        <w:r w:rsidR="00500132">
          <w:rPr>
            <w:noProof/>
            <w:webHidden/>
          </w:rPr>
          <w:t>22</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49" w:history="1">
        <w:r w:rsidRPr="00747676">
          <w:rPr>
            <w:rStyle w:val="Hyperlink"/>
            <w:noProof/>
          </w:rPr>
          <w:t>Treatment of mining royalties where bans have been introduced</w:t>
        </w:r>
        <w:r>
          <w:rPr>
            <w:noProof/>
            <w:webHidden/>
          </w:rPr>
          <w:tab/>
        </w:r>
        <w:r>
          <w:rPr>
            <w:noProof/>
            <w:webHidden/>
          </w:rPr>
          <w:fldChar w:fldCharType="begin"/>
        </w:r>
        <w:r>
          <w:rPr>
            <w:noProof/>
            <w:webHidden/>
          </w:rPr>
          <w:instrText xml:space="preserve"> PAGEREF _Toc490659549 \h </w:instrText>
        </w:r>
        <w:r>
          <w:rPr>
            <w:noProof/>
            <w:webHidden/>
          </w:rPr>
        </w:r>
        <w:r>
          <w:rPr>
            <w:noProof/>
            <w:webHidden/>
          </w:rPr>
          <w:fldChar w:fldCharType="separate"/>
        </w:r>
        <w:r w:rsidR="00500132">
          <w:rPr>
            <w:noProof/>
            <w:webHidden/>
          </w:rPr>
          <w:t>26</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53" w:history="1">
        <w:r w:rsidRPr="00747676">
          <w:rPr>
            <w:rStyle w:val="Hyperlink"/>
            <w:noProof/>
          </w:rPr>
          <w:t>Treatment of the new Commonwealth payments commencing in 2016-17</w:t>
        </w:r>
        <w:r>
          <w:rPr>
            <w:noProof/>
            <w:webHidden/>
          </w:rPr>
          <w:tab/>
        </w:r>
        <w:r>
          <w:rPr>
            <w:noProof/>
            <w:webHidden/>
          </w:rPr>
          <w:fldChar w:fldCharType="begin"/>
        </w:r>
        <w:r>
          <w:rPr>
            <w:noProof/>
            <w:webHidden/>
          </w:rPr>
          <w:instrText xml:space="preserve"> PAGEREF _Toc490659553 \h </w:instrText>
        </w:r>
        <w:r>
          <w:rPr>
            <w:noProof/>
            <w:webHidden/>
          </w:rPr>
        </w:r>
        <w:r>
          <w:rPr>
            <w:noProof/>
            <w:webHidden/>
          </w:rPr>
          <w:fldChar w:fldCharType="separate"/>
        </w:r>
        <w:r w:rsidR="00500132">
          <w:rPr>
            <w:noProof/>
            <w:webHidden/>
          </w:rPr>
          <w:t>29</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55" w:history="1">
        <w:r w:rsidRPr="00747676">
          <w:rPr>
            <w:rStyle w:val="Hyperlink"/>
            <w:noProof/>
          </w:rPr>
          <w:t>Commonwealth payments commencing in 2017-18 or 2018</w:t>
        </w:r>
        <w:r w:rsidRPr="00747676">
          <w:rPr>
            <w:rStyle w:val="Hyperlink"/>
            <w:noProof/>
          </w:rPr>
          <w:noBreakHyphen/>
          <w:t>19</w:t>
        </w:r>
        <w:r>
          <w:rPr>
            <w:noProof/>
            <w:webHidden/>
          </w:rPr>
          <w:tab/>
        </w:r>
        <w:r>
          <w:rPr>
            <w:noProof/>
            <w:webHidden/>
          </w:rPr>
          <w:fldChar w:fldCharType="begin"/>
        </w:r>
        <w:r>
          <w:rPr>
            <w:noProof/>
            <w:webHidden/>
          </w:rPr>
          <w:instrText xml:space="preserve"> PAGEREF _Toc490659555 \h </w:instrText>
        </w:r>
        <w:r>
          <w:rPr>
            <w:noProof/>
            <w:webHidden/>
          </w:rPr>
        </w:r>
        <w:r>
          <w:rPr>
            <w:noProof/>
            <w:webHidden/>
          </w:rPr>
          <w:fldChar w:fldCharType="separate"/>
        </w:r>
        <w:r w:rsidR="00500132">
          <w:rPr>
            <w:noProof/>
            <w:webHidden/>
          </w:rPr>
          <w:t>29</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hyperlink w:anchor="_Toc490659557" w:history="1">
        <w:r w:rsidRPr="00747676">
          <w:rPr>
            <w:rStyle w:val="Hyperlink"/>
            <w:noProof/>
          </w:rPr>
          <w:t>Attachment A</w:t>
        </w:r>
        <w:r>
          <w:rPr>
            <w:noProof/>
            <w:webHidden/>
          </w:rPr>
          <w:tab/>
        </w:r>
        <w:r>
          <w:rPr>
            <w:noProof/>
            <w:webHidden/>
          </w:rPr>
          <w:fldChar w:fldCharType="begin"/>
        </w:r>
        <w:r>
          <w:rPr>
            <w:noProof/>
            <w:webHidden/>
          </w:rPr>
          <w:instrText xml:space="preserve"> PAGEREF _Toc490659557 \h </w:instrText>
        </w:r>
        <w:r>
          <w:rPr>
            <w:noProof/>
            <w:webHidden/>
          </w:rPr>
        </w:r>
        <w:r>
          <w:rPr>
            <w:noProof/>
            <w:webHidden/>
          </w:rPr>
          <w:fldChar w:fldCharType="separate"/>
        </w:r>
        <w:r w:rsidR="00500132">
          <w:rPr>
            <w:noProof/>
            <w:webHidden/>
          </w:rPr>
          <w:t>30</w:t>
        </w:r>
        <w:r>
          <w:rPr>
            <w:noProof/>
            <w:webHidden/>
          </w:rPr>
          <w:fldChar w:fldCharType="end"/>
        </w:r>
      </w:hyperlink>
    </w:p>
    <w:p w:rsidR="00060092" w:rsidRDefault="00060092" w:rsidP="00060092">
      <w:pPr>
        <w:pStyle w:val="TOC1"/>
        <w:tabs>
          <w:tab w:val="right" w:pos="8941"/>
        </w:tabs>
        <w:rPr>
          <w:rFonts w:eastAsiaTheme="minorEastAsia"/>
          <w:noProof/>
          <w:sz w:val="22"/>
          <w:szCs w:val="22"/>
          <w:lang w:eastAsia="en-AU"/>
        </w:rPr>
      </w:pPr>
      <w:r>
        <w:fldChar w:fldCharType="end"/>
      </w:r>
    </w:p>
    <w:p w:rsidR="004E56AA" w:rsidRDefault="004E56AA" w:rsidP="00060092">
      <w:pPr>
        <w:pStyle w:val="TOC1"/>
        <w:tabs>
          <w:tab w:val="right" w:pos="8941"/>
        </w:tabs>
        <w:rPr>
          <w:rFonts w:eastAsiaTheme="minorEastAsia"/>
          <w:noProof/>
          <w:sz w:val="22"/>
          <w:szCs w:val="22"/>
          <w:lang w:eastAsia="en-AU"/>
        </w:rPr>
      </w:pPr>
    </w:p>
    <w:p w:rsidR="0087614D" w:rsidRPr="00970E6D" w:rsidRDefault="004E56AA" w:rsidP="00BE794D">
      <w:pPr>
        <w:tabs>
          <w:tab w:val="clear" w:pos="567"/>
        </w:tabs>
        <w:sectPr w:rsidR="0087614D" w:rsidRPr="00970E6D" w:rsidSect="00E32ADF">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r>
        <w:fldChar w:fldCharType="end"/>
      </w:r>
    </w:p>
    <w:p w:rsidR="00BE794D" w:rsidRPr="00970E6D" w:rsidRDefault="005C4F81" w:rsidP="00444280">
      <w:pPr>
        <w:pStyle w:val="Heading3"/>
        <w:spacing w:before="0"/>
      </w:pPr>
      <w:bookmarkStart w:id="7" w:name="_Toc106707725"/>
      <w:bookmarkStart w:id="8" w:name="_Toc155675935"/>
      <w:bookmarkStart w:id="9" w:name="_Toc174415770"/>
      <w:bookmarkStart w:id="10" w:name="_Toc174415844"/>
      <w:bookmarkStart w:id="11" w:name="_Toc174415935"/>
      <w:bookmarkStart w:id="12" w:name="_Toc174416620"/>
      <w:bookmarkStart w:id="13" w:name="_Toc174416662"/>
      <w:bookmarkStart w:id="14" w:name="_Toc174416675"/>
      <w:bookmarkStart w:id="15" w:name="_Toc489877472"/>
      <w:bookmarkStart w:id="16" w:name="_Toc489877527"/>
      <w:bookmarkStart w:id="17" w:name="_Toc489878070"/>
      <w:bookmarkStart w:id="18" w:name="_Toc489878446"/>
      <w:bookmarkStart w:id="19" w:name="_Toc490138800"/>
      <w:bookmarkStart w:id="20" w:name="_Toc490224737"/>
      <w:bookmarkStart w:id="21" w:name="_Toc490228099"/>
      <w:bookmarkStart w:id="22" w:name="_Toc490228660"/>
      <w:bookmarkStart w:id="23" w:name="_Toc490556249"/>
      <w:bookmarkStart w:id="24" w:name="_Toc490659130"/>
      <w:bookmarkStart w:id="25" w:name="_Toc490659319"/>
      <w:bookmarkStart w:id="26" w:name="_Toc490659523"/>
      <w:r w:rsidRPr="00970E6D">
        <w:lastRenderedPageBreak/>
        <w:t>Background</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E794D" w:rsidRDefault="00CE27CF" w:rsidP="00BE794D">
      <w:pPr>
        <w:pStyle w:val="CGCNumberedPara"/>
      </w:pPr>
      <w:bookmarkStart w:id="27" w:name="_Toc155675723"/>
      <w:bookmarkEnd w:id="27"/>
      <w:r>
        <w:t>In expectation that terms of reference for a 2018 Update will be sent to the Commission, t</w:t>
      </w:r>
      <w:r w:rsidR="00374E44">
        <w:t>his paper sets out issues identified by Commission staff as relevant to the 2018 Update. Staff proposals on how the new issues might be handled are included, as a basis for seeking the views of the State and Commonwealth treasuries.</w:t>
      </w:r>
    </w:p>
    <w:p w:rsidR="00BE794D" w:rsidRPr="00970E6D" w:rsidRDefault="00374E44" w:rsidP="00BE794D">
      <w:pPr>
        <w:pStyle w:val="CGCNumberedPara"/>
      </w:pPr>
      <w:r>
        <w:t>Comments should be provided by</w:t>
      </w:r>
      <w:r w:rsidR="004B6825">
        <w:t xml:space="preserve"> 13</w:t>
      </w:r>
      <w:r w:rsidR="00E600A7" w:rsidRPr="004B6825">
        <w:t xml:space="preserve"> October</w:t>
      </w:r>
      <w:r w:rsidRPr="004B6825">
        <w:t xml:space="preserve"> 2017</w:t>
      </w:r>
      <w:r>
        <w:t xml:space="preserve"> to </w:t>
      </w:r>
      <w:hyperlink r:id="rId18" w:history="1">
        <w:r w:rsidRPr="006F55B4">
          <w:rPr>
            <w:rStyle w:val="Hyperlink"/>
          </w:rPr>
          <w:t>secretary@cgc.gov.au</w:t>
        </w:r>
      </w:hyperlink>
      <w:r>
        <w:t xml:space="preserve">. States are encouraged to raise any other issues relevant to the update. The contact officer for queries is </w:t>
      </w:r>
      <w:r w:rsidR="004B6825">
        <w:t>Yuhua Shi</w:t>
      </w:r>
      <w:r>
        <w:t xml:space="preserve"> (</w:t>
      </w:r>
      <w:hyperlink r:id="rId19" w:history="1">
        <w:r w:rsidR="004B6825" w:rsidRPr="00180426">
          <w:rPr>
            <w:rStyle w:val="Hyperlink"/>
          </w:rPr>
          <w:t>yuhua.shi@cgc.gov.au</w:t>
        </w:r>
      </w:hyperlink>
      <w:r>
        <w:t xml:space="preserve"> or 02 6229 88</w:t>
      </w:r>
      <w:r w:rsidR="004B6825">
        <w:t>52</w:t>
      </w:r>
      <w:r>
        <w:t>).</w:t>
      </w:r>
    </w:p>
    <w:p w:rsidR="00BE794D" w:rsidRPr="005C4F81" w:rsidRDefault="005C4F81" w:rsidP="005C4F81">
      <w:pPr>
        <w:pStyle w:val="Heading3"/>
      </w:pPr>
      <w:bookmarkStart w:id="28" w:name="_Toc106707726"/>
      <w:bookmarkStart w:id="29" w:name="_Toc155675936"/>
      <w:bookmarkStart w:id="30" w:name="_Toc174415771"/>
      <w:bookmarkStart w:id="31" w:name="_Toc174415845"/>
      <w:bookmarkStart w:id="32" w:name="_Toc174415936"/>
      <w:bookmarkStart w:id="33" w:name="_Toc174416621"/>
      <w:bookmarkStart w:id="34" w:name="_Toc174416663"/>
      <w:bookmarkStart w:id="35" w:name="_Toc174416676"/>
      <w:bookmarkStart w:id="36" w:name="_Toc489877473"/>
      <w:bookmarkStart w:id="37" w:name="_Toc489877528"/>
      <w:bookmarkStart w:id="38" w:name="_Toc489878071"/>
      <w:bookmarkStart w:id="39" w:name="_Toc489878447"/>
      <w:bookmarkStart w:id="40" w:name="_Toc490138801"/>
      <w:bookmarkStart w:id="41" w:name="_Toc490224738"/>
      <w:bookmarkStart w:id="42" w:name="_Toc490228100"/>
      <w:bookmarkStart w:id="43" w:name="_Toc490228661"/>
      <w:bookmarkStart w:id="44" w:name="_Toc490556250"/>
      <w:bookmarkStart w:id="45" w:name="_Toc490659131"/>
      <w:bookmarkStart w:id="46" w:name="_Toc490659320"/>
      <w:bookmarkStart w:id="47" w:name="_Toc490659524"/>
      <w:r w:rsidRPr="005C4F81">
        <w:t>Issues</w:t>
      </w:r>
      <w:bookmarkEnd w:id="28"/>
      <w:bookmarkEnd w:id="29"/>
      <w:bookmarkEnd w:id="30"/>
      <w:bookmarkEnd w:id="31"/>
      <w:bookmarkEnd w:id="32"/>
      <w:bookmarkEnd w:id="33"/>
      <w:bookmarkEnd w:id="34"/>
      <w:bookmarkEnd w:id="35"/>
      <w:r w:rsidRPr="005C4F81">
        <w:t xml:space="preserve"> for the 2018 Update</w:t>
      </w:r>
      <w:bookmarkEnd w:id="36"/>
      <w:bookmarkEnd w:id="37"/>
      <w:bookmarkEnd w:id="38"/>
      <w:bookmarkEnd w:id="39"/>
      <w:bookmarkEnd w:id="40"/>
      <w:bookmarkEnd w:id="41"/>
      <w:bookmarkEnd w:id="42"/>
      <w:bookmarkEnd w:id="43"/>
      <w:bookmarkEnd w:id="44"/>
      <w:bookmarkEnd w:id="45"/>
      <w:bookmarkEnd w:id="46"/>
      <w:bookmarkEnd w:id="47"/>
    </w:p>
    <w:p w:rsidR="00BE794D" w:rsidRDefault="00374E44" w:rsidP="00BE794D">
      <w:pPr>
        <w:pStyle w:val="CGCNumberedPara"/>
      </w:pPr>
      <w:r>
        <w:t>The issues include:</w:t>
      </w:r>
    </w:p>
    <w:p w:rsidR="00374E44" w:rsidRDefault="00374E44" w:rsidP="001364C8">
      <w:pPr>
        <w:pStyle w:val="CGCBulletlist"/>
        <w:tabs>
          <w:tab w:val="clear" w:pos="927"/>
          <w:tab w:val="num" w:pos="1134"/>
        </w:tabs>
        <w:ind w:left="1134" w:hanging="567"/>
      </w:pPr>
      <w:r>
        <w:t xml:space="preserve">use of </w:t>
      </w:r>
      <w:r w:rsidR="001364C8">
        <w:t>new</w:t>
      </w:r>
      <w:r>
        <w:t xml:space="preserve"> </w:t>
      </w:r>
      <w:r w:rsidR="005E7680">
        <w:t>C</w:t>
      </w:r>
      <w:r>
        <w:t>ensus data</w:t>
      </w:r>
    </w:p>
    <w:p w:rsidR="00374E44" w:rsidRDefault="005E7680" w:rsidP="001364C8">
      <w:pPr>
        <w:pStyle w:val="CGCBulletlist"/>
        <w:tabs>
          <w:tab w:val="clear" w:pos="927"/>
          <w:tab w:val="num" w:pos="1134"/>
        </w:tabs>
        <w:ind w:left="1134" w:hanging="567"/>
      </w:pPr>
      <w:r>
        <w:t>the w</w:t>
      </w:r>
      <w:r w:rsidR="00374E44">
        <w:t>age cost assessment</w:t>
      </w:r>
      <w:r w:rsidR="00DE393F">
        <w:t xml:space="preserve"> </w:t>
      </w:r>
      <w:r w:rsidR="00CE27CF">
        <w:t xml:space="preserve">— Commonwealth Superannuation Scheme </w:t>
      </w:r>
      <w:r w:rsidR="00DE393F">
        <w:t>adjustments</w:t>
      </w:r>
    </w:p>
    <w:p w:rsidR="001364C8" w:rsidRDefault="00CE27CF" w:rsidP="001364C8">
      <w:pPr>
        <w:pStyle w:val="CGCBulletlist"/>
        <w:tabs>
          <w:tab w:val="clear" w:pos="927"/>
          <w:tab w:val="num" w:pos="1134"/>
        </w:tabs>
        <w:ind w:left="1134" w:hanging="567"/>
      </w:pPr>
      <w:r>
        <w:t>Commonwealth payments for the National Disability Insurance Scheme</w:t>
      </w:r>
    </w:p>
    <w:p w:rsidR="005317FC" w:rsidRDefault="00E600A7" w:rsidP="001364C8">
      <w:pPr>
        <w:pStyle w:val="CGCBulletlist"/>
        <w:tabs>
          <w:tab w:val="clear" w:pos="927"/>
          <w:tab w:val="num" w:pos="1134"/>
        </w:tabs>
        <w:ind w:left="1134" w:hanging="567"/>
      </w:pPr>
      <w:r>
        <w:t>t</w:t>
      </w:r>
      <w:r w:rsidR="005E7680">
        <w:t xml:space="preserve">he </w:t>
      </w:r>
      <w:r w:rsidR="005317FC">
        <w:t>Health assessment</w:t>
      </w:r>
    </w:p>
    <w:p w:rsidR="005317FC" w:rsidRDefault="005317FC" w:rsidP="005317FC">
      <w:pPr>
        <w:pStyle w:val="CGCSubbulletlist"/>
      </w:pPr>
      <w:r>
        <w:t xml:space="preserve">emergency department data </w:t>
      </w:r>
    </w:p>
    <w:p w:rsidR="001364C8" w:rsidRDefault="009E58A0" w:rsidP="009E58A0">
      <w:pPr>
        <w:pStyle w:val="CGCSubbulletlist"/>
        <w:ind w:left="1701" w:hanging="567"/>
      </w:pPr>
      <w:r>
        <w:t xml:space="preserve">treatment of </w:t>
      </w:r>
      <w:r w:rsidR="005E7680">
        <w:t xml:space="preserve">the </w:t>
      </w:r>
      <w:r>
        <w:t>Commonwealth payment for the transfer of</w:t>
      </w:r>
      <w:r w:rsidR="00CE27CF">
        <w:t xml:space="preserve"> </w:t>
      </w:r>
      <w:r w:rsidR="005E7680">
        <w:t xml:space="preserve">the </w:t>
      </w:r>
      <w:r w:rsidR="001364C8">
        <w:t xml:space="preserve">Mersey </w:t>
      </w:r>
      <w:r w:rsidR="005317FC">
        <w:t xml:space="preserve">Community </w:t>
      </w:r>
      <w:r w:rsidR="001364C8">
        <w:t xml:space="preserve">Hospital </w:t>
      </w:r>
      <w:r w:rsidR="00CE27CF">
        <w:t xml:space="preserve">from </w:t>
      </w:r>
      <w:r>
        <w:t xml:space="preserve">the </w:t>
      </w:r>
      <w:r w:rsidR="00CE27CF">
        <w:t>Commonwealth to Tasmania</w:t>
      </w:r>
      <w:r w:rsidR="001364C8">
        <w:t xml:space="preserve"> </w:t>
      </w:r>
    </w:p>
    <w:p w:rsidR="001364C8" w:rsidRDefault="00CE27CF" w:rsidP="001364C8">
      <w:pPr>
        <w:pStyle w:val="CGCBulletlist"/>
        <w:tabs>
          <w:tab w:val="clear" w:pos="927"/>
          <w:tab w:val="num" w:pos="1134"/>
        </w:tabs>
        <w:ind w:left="1134" w:hanging="567"/>
      </w:pPr>
      <w:r>
        <w:t xml:space="preserve">Commonwealth payment for </w:t>
      </w:r>
      <w:r w:rsidR="00FA0D03">
        <w:t>Q</w:t>
      </w:r>
      <w:r w:rsidR="001364C8">
        <w:t xml:space="preserve">uality Schools and </w:t>
      </w:r>
      <w:r w:rsidR="005E7680">
        <w:t xml:space="preserve">the </w:t>
      </w:r>
      <w:r w:rsidR="00FA0D03">
        <w:t>S</w:t>
      </w:r>
      <w:r w:rsidR="001364C8">
        <w:t xml:space="preserve">chools assessment </w:t>
      </w:r>
    </w:p>
    <w:p w:rsidR="001364C8" w:rsidRDefault="001364C8" w:rsidP="001364C8">
      <w:pPr>
        <w:pStyle w:val="CGCBulletlist"/>
        <w:tabs>
          <w:tab w:val="clear" w:pos="927"/>
          <w:tab w:val="num" w:pos="1134"/>
        </w:tabs>
        <w:ind w:left="1134" w:hanging="567"/>
      </w:pPr>
      <w:r>
        <w:t xml:space="preserve">rescaling in </w:t>
      </w:r>
      <w:r w:rsidR="005E7680">
        <w:t xml:space="preserve">the </w:t>
      </w:r>
      <w:r>
        <w:t xml:space="preserve">Investment assessment </w:t>
      </w:r>
    </w:p>
    <w:p w:rsidR="00374E44" w:rsidRDefault="001364C8" w:rsidP="001364C8">
      <w:pPr>
        <w:pStyle w:val="CGCBulletlist"/>
        <w:tabs>
          <w:tab w:val="clear" w:pos="927"/>
          <w:tab w:val="num" w:pos="1134"/>
        </w:tabs>
        <w:ind w:left="1134" w:hanging="567"/>
      </w:pPr>
      <w:r>
        <w:t xml:space="preserve">treatment of </w:t>
      </w:r>
      <w:r w:rsidR="005E7680">
        <w:t>mining royalties</w:t>
      </w:r>
      <w:r>
        <w:t xml:space="preserve"> where bans have been introduced </w:t>
      </w:r>
    </w:p>
    <w:p w:rsidR="00BE794D" w:rsidRPr="00970E6D" w:rsidRDefault="00596EF8" w:rsidP="001364C8">
      <w:pPr>
        <w:pStyle w:val="CGCBulletlist"/>
        <w:tabs>
          <w:tab w:val="clear" w:pos="927"/>
          <w:tab w:val="num" w:pos="1134"/>
        </w:tabs>
        <w:ind w:left="1134" w:hanging="567"/>
      </w:pPr>
      <w:proofErr w:type="gramStart"/>
      <w:r>
        <w:t>treatment</w:t>
      </w:r>
      <w:proofErr w:type="gramEnd"/>
      <w:r>
        <w:t xml:space="preserve"> of the new </w:t>
      </w:r>
      <w:r w:rsidR="00562F07">
        <w:t>C</w:t>
      </w:r>
      <w:r>
        <w:t>ommonwealth payments for specific purposes.</w:t>
      </w:r>
    </w:p>
    <w:p w:rsidR="00E32ADF" w:rsidRDefault="0064787F" w:rsidP="003732CE">
      <w:pPr>
        <w:pStyle w:val="Heading3"/>
      </w:pPr>
      <w:bookmarkStart w:id="48" w:name="_Toc489877474"/>
      <w:bookmarkStart w:id="49" w:name="_Toc489877529"/>
      <w:bookmarkStart w:id="50" w:name="_Toc489878072"/>
      <w:bookmarkStart w:id="51" w:name="_Toc489878448"/>
      <w:bookmarkStart w:id="52" w:name="_Toc490138802"/>
      <w:bookmarkStart w:id="53" w:name="_Toc490224739"/>
      <w:bookmarkStart w:id="54" w:name="_Toc490228101"/>
      <w:bookmarkStart w:id="55" w:name="_Toc490228662"/>
      <w:bookmarkStart w:id="56" w:name="_Toc490556251"/>
      <w:bookmarkStart w:id="57" w:name="_Toc106707727"/>
      <w:bookmarkStart w:id="58" w:name="_Toc155675937"/>
      <w:bookmarkStart w:id="59" w:name="_Toc174415772"/>
      <w:bookmarkStart w:id="60" w:name="_Toc174415846"/>
      <w:bookmarkStart w:id="61" w:name="_Toc174415937"/>
      <w:bookmarkStart w:id="62" w:name="_Toc174416622"/>
      <w:bookmarkStart w:id="63" w:name="_Toc174416664"/>
      <w:bookmarkStart w:id="64" w:name="_Toc174416677"/>
      <w:bookmarkStart w:id="65" w:name="_Toc490659132"/>
      <w:bookmarkStart w:id="66" w:name="_Toc490659321"/>
      <w:bookmarkStart w:id="67" w:name="_Toc490659525"/>
      <w:r>
        <w:t xml:space="preserve">Use of </w:t>
      </w:r>
      <w:r w:rsidRPr="003732CE">
        <w:t>new</w:t>
      </w:r>
      <w:r>
        <w:t xml:space="preserve"> Census data</w:t>
      </w:r>
      <w:bookmarkEnd w:id="48"/>
      <w:bookmarkEnd w:id="49"/>
      <w:bookmarkEnd w:id="50"/>
      <w:bookmarkEnd w:id="51"/>
      <w:bookmarkEnd w:id="52"/>
      <w:bookmarkEnd w:id="53"/>
      <w:bookmarkEnd w:id="54"/>
      <w:bookmarkEnd w:id="55"/>
      <w:bookmarkEnd w:id="56"/>
      <w:bookmarkEnd w:id="65"/>
      <w:bookmarkEnd w:id="66"/>
      <w:bookmarkEnd w:id="67"/>
    </w:p>
    <w:p w:rsidR="00E32ADF" w:rsidRDefault="00E32ADF" w:rsidP="00CE27CF">
      <w:pPr>
        <w:pStyle w:val="CGCNumberedPara"/>
      </w:pPr>
      <w:r>
        <w:t>Data from the 2016 Census will become available progressively during 2017, with major releases in June and October, although some data will not be available until 2018. The Commission’s</w:t>
      </w:r>
      <w:r w:rsidR="00CE27CF">
        <w:t xml:space="preserve"> previous</w:t>
      </w:r>
      <w:r>
        <w:t xml:space="preserve"> terms of reference</w:t>
      </w:r>
      <w:r w:rsidR="00224D0D">
        <w:t xml:space="preserve"> (</w:t>
      </w:r>
      <w:proofErr w:type="spellStart"/>
      <w:r w:rsidR="00224D0D">
        <w:t>ToR</w:t>
      </w:r>
      <w:proofErr w:type="spellEnd"/>
      <w:r w:rsidR="00224D0D">
        <w:t>)</w:t>
      </w:r>
      <w:r>
        <w:t xml:space="preserve"> require it ‘where possible, </w:t>
      </w:r>
      <w:r w:rsidR="0092604E">
        <w:t xml:space="preserve">[to] </w:t>
      </w:r>
      <w:r>
        <w:t xml:space="preserve">use the latest available data’. </w:t>
      </w:r>
      <w:r w:rsidR="00CE27CF">
        <w:t xml:space="preserve">We </w:t>
      </w:r>
      <w:r w:rsidR="00CE27CF" w:rsidRPr="00CE27CF">
        <w:t xml:space="preserve">assume the 2018 Update </w:t>
      </w:r>
      <w:proofErr w:type="spellStart"/>
      <w:r w:rsidR="00CE27CF">
        <w:t>ToR</w:t>
      </w:r>
      <w:proofErr w:type="spellEnd"/>
      <w:r w:rsidR="00CE27CF" w:rsidRPr="00CE27CF">
        <w:t xml:space="preserve"> contain a </w:t>
      </w:r>
      <w:r w:rsidR="00CE27CF">
        <w:t xml:space="preserve">similar </w:t>
      </w:r>
      <w:r w:rsidR="00CE27CF" w:rsidRPr="00CE27CF">
        <w:t>clause</w:t>
      </w:r>
      <w:r w:rsidR="00CE27CF">
        <w:t>.</w:t>
      </w:r>
    </w:p>
    <w:p w:rsidR="00E32ADF" w:rsidRDefault="00E32ADF" w:rsidP="00E32ADF">
      <w:pPr>
        <w:pStyle w:val="Heading4"/>
      </w:pPr>
      <w:bookmarkStart w:id="68" w:name="_Toc489877475"/>
      <w:bookmarkStart w:id="69" w:name="_Toc489877530"/>
      <w:bookmarkStart w:id="70" w:name="_Toc489878073"/>
      <w:bookmarkStart w:id="71" w:name="_Toc489878449"/>
      <w:bookmarkStart w:id="72" w:name="_Toc490138803"/>
      <w:bookmarkStart w:id="73" w:name="_Toc490139333"/>
      <w:bookmarkStart w:id="74" w:name="_Toc490224740"/>
      <w:bookmarkStart w:id="75" w:name="_Toc490228102"/>
      <w:bookmarkStart w:id="76" w:name="_Toc490228663"/>
      <w:bookmarkStart w:id="77" w:name="_Toc490556252"/>
      <w:bookmarkStart w:id="78" w:name="_Toc490659133"/>
      <w:bookmarkStart w:id="79" w:name="_Toc490659322"/>
      <w:bookmarkStart w:id="80" w:name="_Toc490659526"/>
      <w:r>
        <w:t>Data quality</w:t>
      </w:r>
      <w:bookmarkEnd w:id="68"/>
      <w:bookmarkEnd w:id="69"/>
      <w:bookmarkEnd w:id="70"/>
      <w:bookmarkEnd w:id="71"/>
      <w:bookmarkEnd w:id="72"/>
      <w:bookmarkEnd w:id="73"/>
      <w:bookmarkEnd w:id="74"/>
      <w:bookmarkEnd w:id="75"/>
      <w:bookmarkEnd w:id="76"/>
      <w:bookmarkEnd w:id="77"/>
      <w:bookmarkEnd w:id="78"/>
      <w:bookmarkEnd w:id="79"/>
      <w:bookmarkEnd w:id="80"/>
    </w:p>
    <w:p w:rsidR="00E32ADF" w:rsidRDefault="00E32ADF" w:rsidP="00E32ADF">
      <w:pPr>
        <w:pStyle w:val="CGCNumberedPara"/>
      </w:pPr>
      <w:r>
        <w:t xml:space="preserve">Some aspects of the </w:t>
      </w:r>
      <w:r w:rsidR="00562F07">
        <w:t>C</w:t>
      </w:r>
      <w:r>
        <w:t xml:space="preserve">ensus operations led to concerns about the quality of data that would be produced from it. </w:t>
      </w:r>
    </w:p>
    <w:p w:rsidR="00E32ADF" w:rsidRPr="00666C82" w:rsidRDefault="00E32ADF" w:rsidP="00E32ADF">
      <w:pPr>
        <w:pStyle w:val="CGCNumberedPara"/>
      </w:pPr>
      <w:r w:rsidRPr="008B0F16">
        <w:lastRenderedPageBreak/>
        <w:t>The ABS established an </w:t>
      </w:r>
      <w:hyperlink r:id="rId20" w:history="1">
        <w:r w:rsidRPr="008B0F16">
          <w:t>independent panel</w:t>
        </w:r>
      </w:hyperlink>
      <w:r w:rsidRPr="008B0F16">
        <w:t> of eminent Australian and internati</w:t>
      </w:r>
      <w:r w:rsidR="00CE27CF">
        <w:t>onal statisticians, academics, S</w:t>
      </w:r>
      <w:r w:rsidRPr="008B0F16">
        <w:t>tate government representatives and members of the Australi</w:t>
      </w:r>
      <w:r>
        <w:t>an Statistics Advisory Council</w:t>
      </w:r>
      <w:r w:rsidRPr="008B0F16">
        <w:t xml:space="preserve"> to independently review and assure the quality of statistical outputs from the 2016 Census. </w:t>
      </w:r>
      <w:r>
        <w:t xml:space="preserve">The Census Independent </w:t>
      </w:r>
      <w:r w:rsidRPr="00666C82">
        <w:t>Assurance Panel report was published on 27 June 2017. </w:t>
      </w:r>
    </w:p>
    <w:p w:rsidR="00E32ADF" w:rsidRDefault="00E32ADF" w:rsidP="00E32ADF">
      <w:pPr>
        <w:pStyle w:val="CGCNumberedPara"/>
      </w:pPr>
      <w:r w:rsidRPr="00666C82">
        <w:rPr>
          <w:lang w:val="en"/>
        </w:rPr>
        <w:t xml:space="preserve">The Panel concluded that the 2016 Census data </w:t>
      </w:r>
      <w:r w:rsidR="00CE27CF">
        <w:rPr>
          <w:lang w:val="en"/>
        </w:rPr>
        <w:t>are</w:t>
      </w:r>
      <w:r w:rsidRPr="00666C82">
        <w:rPr>
          <w:lang w:val="en"/>
        </w:rPr>
        <w:t xml:space="preserve"> fit-for-purpose and </w:t>
      </w:r>
      <w:r w:rsidR="00A6033E">
        <w:rPr>
          <w:lang w:val="en"/>
        </w:rPr>
        <w:t>are</w:t>
      </w:r>
      <w:r w:rsidRPr="00666C82">
        <w:rPr>
          <w:lang w:val="en"/>
        </w:rPr>
        <w:t xml:space="preserve"> of comparable quality to the 2011 and 2006 Census data. </w:t>
      </w:r>
      <w:r>
        <w:t xml:space="preserve">On this basis, </w:t>
      </w:r>
      <w:proofErr w:type="gramStart"/>
      <w:r>
        <w:t>staff consider</w:t>
      </w:r>
      <w:proofErr w:type="gramEnd"/>
      <w:r>
        <w:t xml:space="preserve"> that data quality does not present any barrier to using the latest available data.</w:t>
      </w:r>
    </w:p>
    <w:p w:rsidR="00E32ADF" w:rsidRDefault="00E32ADF" w:rsidP="00E32ADF">
      <w:pPr>
        <w:pStyle w:val="Heading4"/>
      </w:pPr>
      <w:bookmarkStart w:id="81" w:name="_Toc489877476"/>
      <w:bookmarkStart w:id="82" w:name="_Toc489877531"/>
      <w:bookmarkStart w:id="83" w:name="_Toc489878074"/>
      <w:bookmarkStart w:id="84" w:name="_Toc489878450"/>
      <w:bookmarkStart w:id="85" w:name="_Toc490138804"/>
      <w:bookmarkStart w:id="86" w:name="_Toc490139334"/>
      <w:bookmarkStart w:id="87" w:name="_Toc490224741"/>
      <w:bookmarkStart w:id="88" w:name="_Toc490228103"/>
      <w:bookmarkStart w:id="89" w:name="_Toc490228664"/>
      <w:bookmarkStart w:id="90" w:name="_Toc490556253"/>
      <w:bookmarkStart w:id="91" w:name="_Toc490659134"/>
      <w:bookmarkStart w:id="92" w:name="_Toc490659323"/>
      <w:bookmarkStart w:id="93" w:name="_Toc490659527"/>
      <w:r>
        <w:t>Estimated Resident Population</w:t>
      </w:r>
      <w:r w:rsidR="00224D0D">
        <w:t xml:space="preserve"> (ERP)</w:t>
      </w:r>
      <w:bookmarkEnd w:id="81"/>
      <w:bookmarkEnd w:id="82"/>
      <w:bookmarkEnd w:id="83"/>
      <w:bookmarkEnd w:id="84"/>
      <w:bookmarkEnd w:id="85"/>
      <w:bookmarkEnd w:id="86"/>
      <w:bookmarkEnd w:id="87"/>
      <w:bookmarkEnd w:id="88"/>
      <w:bookmarkEnd w:id="89"/>
      <w:bookmarkEnd w:id="90"/>
      <w:bookmarkEnd w:id="91"/>
      <w:bookmarkEnd w:id="92"/>
      <w:bookmarkEnd w:id="93"/>
    </w:p>
    <w:p w:rsidR="00E32ADF" w:rsidRDefault="00E32ADF" w:rsidP="00E32ADF">
      <w:pPr>
        <w:pStyle w:val="CGCNumberedPara"/>
      </w:pPr>
      <w:r>
        <w:t>The ABS estimate</w:t>
      </w:r>
      <w:r w:rsidR="00562F07">
        <w:t xml:space="preserve"> </w:t>
      </w:r>
      <w:r>
        <w:t xml:space="preserve">of Victoria’s population for 30 June 2016 </w:t>
      </w:r>
      <w:r w:rsidR="00CC4F5E">
        <w:t>w</w:t>
      </w:r>
      <w:r w:rsidR="00562F07">
        <w:t>as</w:t>
      </w:r>
      <w:r w:rsidR="00CC4F5E">
        <w:t xml:space="preserve"> </w:t>
      </w:r>
      <w:r>
        <w:t>110 000 higher than the comparable estimate mad</w:t>
      </w:r>
      <w:r w:rsidR="00FA0D03">
        <w:t>e before the 2016 Census data were</w:t>
      </w:r>
      <w:r>
        <w:t xml:space="preserve"> released. For Western Australia, the estimate </w:t>
      </w:r>
      <w:r w:rsidR="00CC4F5E">
        <w:t>w</w:t>
      </w:r>
      <w:r w:rsidR="00562F07">
        <w:t>as</w:t>
      </w:r>
      <w:r>
        <w:t xml:space="preserve"> 58 000 lower. No other State had a significant change to their </w:t>
      </w:r>
      <w:r w:rsidR="00562F07">
        <w:t>estimates</w:t>
      </w:r>
      <w:r>
        <w:t xml:space="preserve">. To </w:t>
      </w:r>
      <w:r w:rsidR="009F42C1">
        <w:t>produce</w:t>
      </w:r>
      <w:r>
        <w:t xml:space="preserve"> a consistent time series, the ABS has retained the 2011 population estimate, and reduced the annual population growth in Western Australia by around 12 000 per year between 2011 and 201</w:t>
      </w:r>
      <w:r w:rsidR="00DE6A1D">
        <w:t>6</w:t>
      </w:r>
      <w:r>
        <w:t xml:space="preserve">. This element of population growth is referred to as </w:t>
      </w:r>
      <w:r w:rsidR="00562F07">
        <w:t xml:space="preserve">the </w:t>
      </w:r>
      <w:proofErr w:type="spellStart"/>
      <w:r w:rsidRPr="00E32ADF">
        <w:t>inter</w:t>
      </w:r>
      <w:r>
        <w:t>cens</w:t>
      </w:r>
      <w:r w:rsidRPr="00E32ADF">
        <w:t>al</w:t>
      </w:r>
      <w:proofErr w:type="spellEnd"/>
      <w:r>
        <w:t xml:space="preserve"> discrepancy.  </w:t>
      </w:r>
    </w:p>
    <w:p w:rsidR="00E32ADF" w:rsidRDefault="00E32ADF" w:rsidP="00E32ADF">
      <w:pPr>
        <w:pStyle w:val="CGCNumberedPara"/>
      </w:pPr>
      <w:r>
        <w:t xml:space="preserve">The effect of using new population estimates on the </w:t>
      </w:r>
      <w:r w:rsidR="00224D0D">
        <w:t xml:space="preserve">GST distribution </w:t>
      </w:r>
      <w:r>
        <w:t xml:space="preserve">is shown in </w:t>
      </w:r>
      <w:r w:rsidR="00512D54">
        <w:fldChar w:fldCharType="begin"/>
      </w:r>
      <w:r w:rsidR="00512D54">
        <w:instrText xml:space="preserve"> REF _Ref488746350 \h </w:instrText>
      </w:r>
      <w:r w:rsidR="00512D54">
        <w:fldChar w:fldCharType="separate"/>
      </w:r>
      <w:r w:rsidR="00500132">
        <w:t xml:space="preserve">Table </w:t>
      </w:r>
      <w:r w:rsidR="00500132">
        <w:rPr>
          <w:noProof/>
        </w:rPr>
        <w:t>1</w:t>
      </w:r>
      <w:r w:rsidR="00512D54">
        <w:fldChar w:fldCharType="end"/>
      </w:r>
      <w:r>
        <w:t xml:space="preserve">.  </w:t>
      </w:r>
      <w:r w:rsidR="009F42C1">
        <w:t>Western Australia would</w:t>
      </w:r>
      <w:r w:rsidR="00562F07">
        <w:t xml:space="preserve"> have received $525 million less GST and Victoria $546 million more </w:t>
      </w:r>
      <w:r w:rsidR="00E600A7">
        <w:t xml:space="preserve">in 2017-18 </w:t>
      </w:r>
      <w:r w:rsidR="00562F07">
        <w:t xml:space="preserve">had the revised population estimates </w:t>
      </w:r>
      <w:r w:rsidR="009F42C1">
        <w:t>been</w:t>
      </w:r>
      <w:r w:rsidR="00562F07">
        <w:t xml:space="preserve"> available for the 2017 Update.</w:t>
      </w:r>
    </w:p>
    <w:p w:rsidR="001A71EA" w:rsidRDefault="001A71EA" w:rsidP="00386180">
      <w:pPr>
        <w:pStyle w:val="CGCTableHeading"/>
      </w:pPr>
      <w:bookmarkStart w:id="94" w:name="_Ref488746350"/>
      <w:r>
        <w:t xml:space="preserve">Table </w:t>
      </w:r>
      <w:fldSimple w:instr=" SEQ Table \* ARABIC ">
        <w:r w:rsidR="00500132">
          <w:rPr>
            <w:noProof/>
          </w:rPr>
          <w:t>1</w:t>
        </w:r>
      </w:fldSimple>
      <w:bookmarkEnd w:id="94"/>
      <w:r w:rsidR="00586E16">
        <w:tab/>
        <w:t>Effect of new C</w:t>
      </w:r>
      <w:r>
        <w:t xml:space="preserve">ensus data, 2017 </w:t>
      </w:r>
      <w:proofErr w:type="gramStart"/>
      <w:r>
        <w:t>Update</w:t>
      </w:r>
      <w:proofErr w:type="gramEnd"/>
    </w:p>
    <w:tbl>
      <w:tblPr>
        <w:tblW w:w="5000" w:type="pct"/>
        <w:tblLayout w:type="fixed"/>
        <w:tblCellMar>
          <w:left w:w="0" w:type="dxa"/>
          <w:right w:w="0" w:type="dxa"/>
        </w:tblCellMar>
        <w:tblLook w:val="0000" w:firstRow="0" w:lastRow="0" w:firstColumn="0" w:lastColumn="0" w:noHBand="0" w:noVBand="0"/>
      </w:tblPr>
      <w:tblGrid>
        <w:gridCol w:w="2426"/>
        <w:gridCol w:w="727"/>
        <w:gridCol w:w="725"/>
        <w:gridCol w:w="725"/>
        <w:gridCol w:w="725"/>
        <w:gridCol w:w="725"/>
        <w:gridCol w:w="725"/>
        <w:gridCol w:w="725"/>
        <w:gridCol w:w="725"/>
        <w:gridCol w:w="723"/>
      </w:tblGrid>
      <w:tr w:rsidR="00367515" w:rsidRPr="00FE3F73" w:rsidTr="000E3F26">
        <w:tc>
          <w:tcPr>
            <w:tcW w:w="135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bookmarkStart w:id="95" w:name="RANGE!A1:J15"/>
            <w:r>
              <w:rPr>
                <w:rFonts w:ascii="Calibri" w:hAnsi="Calibri" w:cstheme="minorHAnsi"/>
                <w:color w:val="000000"/>
                <w:sz w:val="20"/>
                <w:szCs w:val="20"/>
              </w:rPr>
              <w:t> </w:t>
            </w:r>
            <w:bookmarkEnd w:id="95"/>
          </w:p>
        </w:tc>
        <w:tc>
          <w:tcPr>
            <w:tcW w:w="406"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NSW</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Vic</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Qld</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WA</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SA</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proofErr w:type="spellStart"/>
            <w:r>
              <w:rPr>
                <w:rFonts w:ascii="Calibri" w:hAnsi="Calibri"/>
                <w:color w:val="000000"/>
                <w:sz w:val="20"/>
                <w:szCs w:val="20"/>
              </w:rPr>
              <w:t>Tas</w:t>
            </w:r>
            <w:proofErr w:type="spellEnd"/>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ACT</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NT</w:t>
            </w:r>
          </w:p>
        </w:tc>
        <w:tc>
          <w:tcPr>
            <w:tcW w:w="405" w:type="pct"/>
            <w:tcBorders>
              <w:top w:val="single" w:sz="4" w:space="0" w:color="auto"/>
              <w:bottom w:val="single" w:sz="4" w:space="0" w:color="auto"/>
            </w:tcBorders>
            <w:vAlign w:val="center"/>
          </w:tcPr>
          <w:p w:rsidR="00367515" w:rsidRDefault="00367515" w:rsidP="00367515">
            <w:pPr>
              <w:spacing w:after="0"/>
              <w:jc w:val="right"/>
              <w:rPr>
                <w:rFonts w:ascii="Calibri" w:hAnsi="Calibri"/>
                <w:color w:val="000000"/>
                <w:sz w:val="20"/>
                <w:szCs w:val="20"/>
              </w:rPr>
            </w:pPr>
            <w:proofErr w:type="spellStart"/>
            <w:r>
              <w:rPr>
                <w:rFonts w:ascii="Calibri" w:hAnsi="Calibri"/>
                <w:color w:val="000000"/>
                <w:sz w:val="20"/>
                <w:szCs w:val="20"/>
              </w:rPr>
              <w:t>Redist</w:t>
            </w:r>
            <w:proofErr w:type="spellEnd"/>
          </w:p>
        </w:tc>
      </w:tr>
      <w:tr w:rsidR="00367515" w:rsidRPr="00FE3F73" w:rsidTr="000E3F26">
        <w:trPr>
          <w:trHeight w:val="233"/>
        </w:trPr>
        <w:tc>
          <w:tcPr>
            <w:tcW w:w="1355" w:type="pct"/>
            <w:tcBorders>
              <w:top w:val="single" w:sz="4" w:space="0" w:color="auto"/>
            </w:tcBorders>
            <w:tcMar>
              <w:top w:w="0" w:type="dxa"/>
              <w:bottom w:w="0" w:type="dxa"/>
            </w:tcMar>
            <w:vAlign w:val="bottom"/>
          </w:tcPr>
          <w:p w:rsidR="00367515" w:rsidRDefault="00367515" w:rsidP="00304D15">
            <w:pPr>
              <w:spacing w:after="0"/>
              <w:jc w:val="right"/>
              <w:rPr>
                <w:rFonts w:ascii="Calibri" w:hAnsi="Calibri"/>
                <w:color w:val="000000"/>
                <w:sz w:val="20"/>
                <w:szCs w:val="20"/>
              </w:rPr>
            </w:pPr>
          </w:p>
        </w:tc>
        <w:tc>
          <w:tcPr>
            <w:tcW w:w="406"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c>
          <w:tcPr>
            <w:tcW w:w="405" w:type="pct"/>
            <w:tcBorders>
              <w:top w:val="single" w:sz="4" w:space="0" w:color="auto"/>
            </w:tcBorders>
            <w:tcMar>
              <w:top w:w="0" w:type="dxa"/>
              <w:bottom w:w="0" w:type="dxa"/>
            </w:tcMar>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$m</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Revenue</w:t>
            </w:r>
          </w:p>
        </w:tc>
        <w:tc>
          <w:tcPr>
            <w:tcW w:w="406" w:type="pct"/>
            <w:vAlign w:val="bottom"/>
          </w:tcPr>
          <w:p w:rsidR="00367515" w:rsidRDefault="00367515" w:rsidP="00367515">
            <w:pPr>
              <w:spacing w:after="0"/>
              <w:jc w:val="right"/>
              <w:rPr>
                <w:rFonts w:ascii="Calibri" w:hAnsi="Calibri"/>
                <w:color w:val="000000"/>
                <w:sz w:val="20"/>
                <w:szCs w:val="20"/>
              </w:rPr>
            </w:pPr>
            <w:bookmarkStart w:id="96" w:name="RANGE!B3:J15"/>
            <w:r>
              <w:rPr>
                <w:rFonts w:ascii="Calibri" w:hAnsi="Calibri"/>
                <w:color w:val="000000"/>
                <w:sz w:val="20"/>
                <w:szCs w:val="20"/>
              </w:rPr>
              <w:t>12</w:t>
            </w:r>
            <w:bookmarkEnd w:id="96"/>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225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-268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269</w:t>
            </w:r>
          </w:p>
        </w:tc>
      </w:tr>
      <w:tr w:rsidR="00367515" w:rsidRPr="00FE3F73" w:rsidTr="00367515">
        <w:tc>
          <w:tcPr>
            <w:tcW w:w="1355" w:type="pct"/>
            <w:vAlign w:val="bottom"/>
          </w:tcPr>
          <w:p w:rsidR="00367515" w:rsidRDefault="00367515" w:rsidP="00367515">
            <w:pPr>
              <w:spacing w:after="0"/>
              <w:ind w:firstLineChars="100" w:firstLine="200"/>
              <w:rPr>
                <w:rFonts w:ascii="Calibri" w:hAnsi="Calibri"/>
                <w:color w:val="000000"/>
                <w:sz w:val="20"/>
                <w:szCs w:val="20"/>
              </w:rPr>
            </w:pPr>
            <w:r>
              <w:rPr>
                <w:rFonts w:ascii="Calibri" w:hAnsi="Calibri"/>
                <w:color w:val="000000"/>
                <w:sz w:val="20"/>
                <w:szCs w:val="20"/>
              </w:rPr>
              <w:t>Mining</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114</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Commonwealth payments</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95</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Schools</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118</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Health</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54</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Justice</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38</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All other expenses</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71</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Investment</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408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-322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-15</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429</w:t>
            </w:r>
          </w:p>
        </w:tc>
      </w:tr>
      <w:tr w:rsidR="00367515" w:rsidRPr="00FE3F73" w:rsidTr="00367515">
        <w:tc>
          <w:tcPr>
            <w:tcW w:w="1355" w:type="pct"/>
            <w:vAlign w:val="bottom"/>
          </w:tcPr>
          <w:p w:rsidR="00367515" w:rsidRDefault="00367515" w:rsidP="00367515">
            <w:pPr>
              <w:spacing w:after="0"/>
              <w:ind w:firstLineChars="100" w:firstLine="200"/>
              <w:rPr>
                <w:rFonts w:ascii="Calibri" w:hAnsi="Calibri"/>
                <w:color w:val="000000"/>
                <w:sz w:val="20"/>
                <w:szCs w:val="20"/>
              </w:rPr>
            </w:pPr>
            <w:r>
              <w:rPr>
                <w:rFonts w:ascii="Calibri" w:hAnsi="Calibri"/>
                <w:color w:val="000000"/>
                <w:sz w:val="20"/>
                <w:szCs w:val="20"/>
              </w:rPr>
              <w:t>Roads</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108</w:t>
            </w:r>
          </w:p>
        </w:tc>
      </w:tr>
      <w:tr w:rsidR="00367515" w:rsidRPr="00FE3F73" w:rsidTr="00367515">
        <w:tc>
          <w:tcPr>
            <w:tcW w:w="1355" w:type="pct"/>
            <w:vAlign w:val="bottom"/>
          </w:tcPr>
          <w:p w:rsidR="00367515" w:rsidRDefault="00367515" w:rsidP="00367515">
            <w:pPr>
              <w:spacing w:after="0"/>
              <w:ind w:firstLineChars="100" w:firstLine="200"/>
              <w:rPr>
                <w:rFonts w:ascii="Calibri" w:hAnsi="Calibri"/>
                <w:color w:val="000000"/>
                <w:sz w:val="20"/>
                <w:szCs w:val="20"/>
              </w:rPr>
            </w:pPr>
            <w:r>
              <w:rPr>
                <w:rFonts w:ascii="Calibri" w:hAnsi="Calibri"/>
                <w:color w:val="000000"/>
                <w:sz w:val="20"/>
                <w:szCs w:val="20"/>
              </w:rPr>
              <w:t>Urban transport</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118</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-69</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0</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121</w:t>
            </w:r>
          </w:p>
        </w:tc>
      </w:tr>
      <w:tr w:rsidR="00367515" w:rsidRPr="00FE3F73" w:rsidTr="00367515">
        <w:tc>
          <w:tcPr>
            <w:tcW w:w="1355" w:type="pct"/>
            <w:vAlign w:val="bottom"/>
          </w:tcPr>
          <w:p w:rsidR="00367515" w:rsidRDefault="00367515" w:rsidP="00367515">
            <w:pPr>
              <w:spacing w:after="0"/>
              <w:ind w:firstLineChars="100" w:firstLine="200"/>
              <w:rPr>
                <w:rFonts w:ascii="Calibri" w:hAnsi="Calibri"/>
                <w:color w:val="000000"/>
                <w:sz w:val="20"/>
                <w:szCs w:val="20"/>
              </w:rPr>
            </w:pPr>
            <w:r>
              <w:rPr>
                <w:rFonts w:ascii="Calibri" w:hAnsi="Calibri"/>
                <w:color w:val="000000"/>
                <w:sz w:val="20"/>
                <w:szCs w:val="20"/>
              </w:rPr>
              <w:t>Other services</w:t>
            </w:r>
          </w:p>
        </w:tc>
        <w:tc>
          <w:tcPr>
            <w:tcW w:w="406"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193</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-156</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11</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-17</w:t>
            </w:r>
          </w:p>
        </w:tc>
        <w:tc>
          <w:tcPr>
            <w:tcW w:w="405" w:type="pct"/>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204</w:t>
            </w:r>
          </w:p>
        </w:tc>
      </w:tr>
      <w:tr w:rsidR="00367515" w:rsidRPr="00FE3F73" w:rsidTr="00367515">
        <w:tc>
          <w:tcPr>
            <w:tcW w:w="1355" w:type="pct"/>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Net borrowing</w:t>
            </w:r>
          </w:p>
        </w:tc>
        <w:tc>
          <w:tcPr>
            <w:tcW w:w="406"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-69</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53</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1</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0</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74</w:t>
            </w:r>
          </w:p>
        </w:tc>
      </w:tr>
      <w:tr w:rsidR="00367515" w:rsidRPr="00FE3F73" w:rsidTr="00367515">
        <w:tc>
          <w:tcPr>
            <w:tcW w:w="1355" w:type="pct"/>
            <w:tcBorders>
              <w:bottom w:val="single" w:sz="4" w:space="0" w:color="auto"/>
            </w:tcBorders>
            <w:vAlign w:val="bottom"/>
          </w:tcPr>
          <w:p w:rsidR="00367515" w:rsidRDefault="00367515" w:rsidP="00367515">
            <w:pPr>
              <w:spacing w:after="0"/>
              <w:rPr>
                <w:rFonts w:ascii="Calibri" w:hAnsi="Calibri"/>
                <w:color w:val="000000"/>
                <w:sz w:val="20"/>
                <w:szCs w:val="20"/>
              </w:rPr>
            </w:pPr>
            <w:r>
              <w:rPr>
                <w:rFonts w:ascii="Calibri" w:hAnsi="Calibri"/>
                <w:color w:val="000000"/>
                <w:sz w:val="20"/>
                <w:szCs w:val="20"/>
              </w:rPr>
              <w:t>Total</w:t>
            </w:r>
          </w:p>
        </w:tc>
        <w:tc>
          <w:tcPr>
            <w:tcW w:w="406"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39</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546</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-4</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-525</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-9</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22</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-68</w:t>
            </w:r>
          </w:p>
        </w:tc>
        <w:tc>
          <w:tcPr>
            <w:tcW w:w="405" w:type="pct"/>
            <w:tcBorders>
              <w:bottom w:val="single" w:sz="4" w:space="0" w:color="auto"/>
            </w:tcBorders>
            <w:vAlign w:val="bottom"/>
          </w:tcPr>
          <w:p w:rsidR="00367515" w:rsidRDefault="00367515" w:rsidP="00367515">
            <w:pPr>
              <w:spacing w:after="0"/>
              <w:jc w:val="right"/>
              <w:rPr>
                <w:rFonts w:ascii="Calibri" w:hAnsi="Calibri"/>
                <w:color w:val="000000"/>
                <w:sz w:val="20"/>
                <w:szCs w:val="20"/>
              </w:rPr>
            </w:pPr>
            <w:r>
              <w:rPr>
                <w:rFonts w:ascii="Calibri" w:hAnsi="Calibri"/>
                <w:color w:val="000000"/>
                <w:sz w:val="20"/>
                <w:szCs w:val="20"/>
              </w:rPr>
              <w:t>607</w:t>
            </w:r>
          </w:p>
        </w:tc>
      </w:tr>
    </w:tbl>
    <w:p w:rsidR="001A71EA" w:rsidRDefault="001A71EA" w:rsidP="00386180">
      <w:pPr>
        <w:pStyle w:val="CGCTableFootnote"/>
      </w:pPr>
      <w:r>
        <w:t>Source:</w:t>
      </w:r>
      <w:r>
        <w:tab/>
      </w:r>
      <w:r w:rsidR="00247E90">
        <w:t>Commission calculation.</w:t>
      </w:r>
    </w:p>
    <w:p w:rsidR="00E32ADF" w:rsidRDefault="00E32ADF" w:rsidP="00E32ADF">
      <w:pPr>
        <w:pStyle w:val="CGCNumberedPara"/>
      </w:pPr>
      <w:r>
        <w:lastRenderedPageBreak/>
        <w:t xml:space="preserve">Faced with a similar issue in the 2013 Update, the ABS advised that the published ERP series is the preferred measure of population level. However, the best estimate of population growth </w:t>
      </w:r>
      <w:r w:rsidR="00562F07">
        <w:t xml:space="preserve">was </w:t>
      </w:r>
      <w:r w:rsidR="009F42C1">
        <w:t>obtained</w:t>
      </w:r>
      <w:r w:rsidR="00562F07">
        <w:t xml:space="preserve"> by </w:t>
      </w:r>
      <w:r>
        <w:t>exclud</w:t>
      </w:r>
      <w:r w:rsidR="00562F07">
        <w:t>ing</w:t>
      </w:r>
      <w:r>
        <w:t xml:space="preserve"> the </w:t>
      </w:r>
      <w:proofErr w:type="spellStart"/>
      <w:r>
        <w:t>intercensal</w:t>
      </w:r>
      <w:proofErr w:type="spellEnd"/>
      <w:r>
        <w:t xml:space="preserve"> discrepancy. In light of that advice, the Commission </w:t>
      </w:r>
      <w:r w:rsidR="00336C3C">
        <w:t xml:space="preserve">calculated a </w:t>
      </w:r>
      <w:r w:rsidR="00925E03">
        <w:t xml:space="preserve">population series by using </w:t>
      </w:r>
      <w:r>
        <w:t xml:space="preserve">the </w:t>
      </w:r>
      <w:r w:rsidR="003C6EA8">
        <w:t xml:space="preserve">then </w:t>
      </w:r>
      <w:r>
        <w:t xml:space="preserve">newly released 2011 </w:t>
      </w:r>
      <w:r w:rsidR="003C6EA8">
        <w:t>C</w:t>
      </w:r>
      <w:r>
        <w:t xml:space="preserve">ensus based population level, and calculated a population for previous years by subtracting the intervening growth (excluding </w:t>
      </w:r>
      <w:r w:rsidR="00562F07">
        <w:t xml:space="preserve">the </w:t>
      </w:r>
      <w:proofErr w:type="spellStart"/>
      <w:r>
        <w:t>intercensal</w:t>
      </w:r>
      <w:proofErr w:type="spellEnd"/>
      <w:r>
        <w:t xml:space="preserve"> discrepancy).</w:t>
      </w:r>
    </w:p>
    <w:p w:rsidR="00E32ADF" w:rsidRDefault="00E32ADF" w:rsidP="00E32ADF">
      <w:pPr>
        <w:pStyle w:val="CGCNumberedPara"/>
      </w:pPr>
      <w:r>
        <w:t xml:space="preserve">The magnitude of the </w:t>
      </w:r>
      <w:proofErr w:type="spellStart"/>
      <w:r>
        <w:t>intercensal</w:t>
      </w:r>
      <w:proofErr w:type="spellEnd"/>
      <w:r>
        <w:t xml:space="preserve"> discrepancy is similar to that found in the 2006</w:t>
      </w:r>
      <w:r w:rsidR="00764F0C">
        <w:noBreakHyphen/>
      </w:r>
      <w:r>
        <w:t xml:space="preserve">2011 </w:t>
      </w:r>
      <w:proofErr w:type="spellStart"/>
      <w:r>
        <w:t>intercensal</w:t>
      </w:r>
      <w:proofErr w:type="spellEnd"/>
      <w:r>
        <w:t xml:space="preserve"> period, although fewer States are affected. We </w:t>
      </w:r>
      <w:r w:rsidR="00764F0C">
        <w:t xml:space="preserve">are consulting the </w:t>
      </w:r>
      <w:r>
        <w:t>ABS on this issue.</w:t>
      </w:r>
    </w:p>
    <w:p w:rsidR="00E32ADF" w:rsidRDefault="00E32ADF" w:rsidP="00E32ADF">
      <w:pPr>
        <w:pStyle w:val="CGCNumberedPara"/>
      </w:pPr>
      <w:r>
        <w:t>If the Commission were to repeat the process it followed in the 2013</w:t>
      </w:r>
      <w:r w:rsidR="00224D0D">
        <w:t xml:space="preserve"> Update</w:t>
      </w:r>
      <w:r>
        <w:t xml:space="preserve">, then the effects shown in </w:t>
      </w:r>
      <w:r w:rsidR="00247E90">
        <w:fldChar w:fldCharType="begin"/>
      </w:r>
      <w:r w:rsidR="00247E90">
        <w:instrText xml:space="preserve"> REF _Ref488746350 \h </w:instrText>
      </w:r>
      <w:r w:rsidR="00247E90">
        <w:fldChar w:fldCharType="separate"/>
      </w:r>
      <w:r w:rsidR="00500132">
        <w:t xml:space="preserve">Table </w:t>
      </w:r>
      <w:r w:rsidR="00500132">
        <w:rPr>
          <w:noProof/>
        </w:rPr>
        <w:t>1</w:t>
      </w:r>
      <w:r w:rsidR="00247E90">
        <w:fldChar w:fldCharType="end"/>
      </w:r>
      <w:r w:rsidR="00247E90">
        <w:t xml:space="preserve"> </w:t>
      </w:r>
      <w:r w:rsidR="00E73D25">
        <w:t>for Investment and N</w:t>
      </w:r>
      <w:r>
        <w:t xml:space="preserve">et borrowing would be avoided, but little else would change. This means that Western Australia </w:t>
      </w:r>
      <w:r w:rsidR="00764F0C">
        <w:t xml:space="preserve">and the Northern Territory </w:t>
      </w:r>
      <w:r>
        <w:t xml:space="preserve">would receive more GST than if </w:t>
      </w:r>
      <w:r w:rsidR="00562F07">
        <w:t xml:space="preserve">the Commission </w:t>
      </w:r>
      <w:r>
        <w:t>simply accepted the revised population numbers</w:t>
      </w:r>
      <w:r w:rsidR="00764F0C">
        <w:t>, and Victoria would receive less</w:t>
      </w:r>
      <w:r>
        <w:t>.</w:t>
      </w:r>
    </w:p>
    <w:p w:rsidR="00E32ADF" w:rsidRDefault="00E32ADF" w:rsidP="00E32ADF">
      <w:pPr>
        <w:pStyle w:val="Heading4"/>
      </w:pPr>
      <w:bookmarkStart w:id="97" w:name="_Toc489877477"/>
      <w:bookmarkStart w:id="98" w:name="_Toc489877532"/>
      <w:bookmarkStart w:id="99" w:name="_Toc489878075"/>
      <w:bookmarkStart w:id="100" w:name="_Toc489878451"/>
      <w:bookmarkStart w:id="101" w:name="_Toc490138805"/>
      <w:bookmarkStart w:id="102" w:name="_Toc490139335"/>
      <w:bookmarkStart w:id="103" w:name="_Toc490224742"/>
      <w:bookmarkStart w:id="104" w:name="_Toc490228104"/>
      <w:bookmarkStart w:id="105" w:name="_Toc490228665"/>
      <w:bookmarkStart w:id="106" w:name="_Toc490556254"/>
      <w:bookmarkStart w:id="107" w:name="_Toc490659135"/>
      <w:bookmarkStart w:id="108" w:name="_Toc490659324"/>
      <w:bookmarkStart w:id="109" w:name="_Toc490659528"/>
      <w:r>
        <w:t>Indigenous population</w:t>
      </w:r>
      <w:bookmarkEnd w:id="97"/>
      <w:bookmarkEnd w:id="98"/>
      <w:bookmarkEnd w:id="99"/>
      <w:bookmarkEnd w:id="100"/>
      <w:bookmarkEnd w:id="101"/>
      <w:bookmarkEnd w:id="102"/>
      <w:bookmarkEnd w:id="103"/>
      <w:bookmarkEnd w:id="104"/>
      <w:bookmarkEnd w:id="105"/>
      <w:bookmarkEnd w:id="106"/>
      <w:bookmarkEnd w:id="107"/>
      <w:bookmarkEnd w:id="108"/>
      <w:bookmarkEnd w:id="109"/>
      <w:r>
        <w:t xml:space="preserve"> </w:t>
      </w:r>
    </w:p>
    <w:p w:rsidR="00E32ADF" w:rsidRDefault="00E32ADF" w:rsidP="00E32ADF">
      <w:pPr>
        <w:pStyle w:val="CGCNumberedPara"/>
      </w:pPr>
      <w:bookmarkStart w:id="110" w:name="_Ref486602021"/>
      <w:r>
        <w:t>This year</w:t>
      </w:r>
      <w:r w:rsidR="00DE6A1D">
        <w:t>’s</w:t>
      </w:r>
      <w:r>
        <w:t xml:space="preserve"> new Indigenous ERP, based on the 2016 </w:t>
      </w:r>
      <w:r w:rsidR="003C6EA8">
        <w:t>C</w:t>
      </w:r>
      <w:r>
        <w:t xml:space="preserve">ensus, will become available </w:t>
      </w:r>
      <w:r w:rsidR="0038646A">
        <w:t>later this year</w:t>
      </w:r>
      <w:r>
        <w:t xml:space="preserve">. These data will not be consistent with the estimates and projections based on the 2011 </w:t>
      </w:r>
      <w:r w:rsidR="003C6EA8">
        <w:t>C</w:t>
      </w:r>
      <w:r>
        <w:t xml:space="preserve">ensus. While births, deaths and migration explain about an 11% increase in the Indigenous population, </w:t>
      </w:r>
      <w:r w:rsidR="00562F07">
        <w:t>C</w:t>
      </w:r>
      <w:r>
        <w:t xml:space="preserve">ensus counts from the 2016 </w:t>
      </w:r>
      <w:r w:rsidR="003C6EA8">
        <w:t>C</w:t>
      </w:r>
      <w:r>
        <w:t xml:space="preserve">ensus that are currently available show the Indigenous population in the Eastern States has grown by up to 25%, as shown in </w:t>
      </w:r>
      <w:r>
        <w:fldChar w:fldCharType="begin"/>
      </w:r>
      <w:r>
        <w:instrText xml:space="preserve"> REF _Ref486848280 \h </w:instrText>
      </w:r>
      <w:r>
        <w:fldChar w:fldCharType="separate"/>
      </w:r>
      <w:r w:rsidR="00500132">
        <w:t xml:space="preserve">Table </w:t>
      </w:r>
      <w:r w:rsidR="00500132">
        <w:rPr>
          <w:noProof/>
        </w:rPr>
        <w:t>2</w:t>
      </w:r>
      <w:r>
        <w:fldChar w:fldCharType="end"/>
      </w:r>
      <w:r>
        <w:t xml:space="preserve">. </w:t>
      </w:r>
      <w:r w:rsidR="00DE6A1D">
        <w:t>I</w:t>
      </w:r>
      <w:r>
        <w:t xml:space="preserve">t is not yet clear how the adjustment from </w:t>
      </w:r>
      <w:r w:rsidR="00562F07">
        <w:t>C</w:t>
      </w:r>
      <w:r>
        <w:t xml:space="preserve">ensus counts to ERP will affect individual States, as the Indigenous undercount will vary between States. However, it seems likely that Indigenous ERP will be revised up considerably more in the Eastern States than in Western Australia or the Northern Territory.  </w:t>
      </w:r>
    </w:p>
    <w:p w:rsidR="00444280" w:rsidRDefault="00444280" w:rsidP="00444280">
      <w:pPr>
        <w:pStyle w:val="CGCNumberedPara"/>
      </w:pPr>
      <w:r>
        <w:t xml:space="preserve">The ABS does not publish annual detailed estimates of the Indigenous population. The Commission derives the data required using the partial information that ABS publishes. Since the 2010 Review, the way we have done this has changed depending on the data available. We require data on the annual Indigenous population in each State. </w:t>
      </w:r>
    </w:p>
    <w:p w:rsidR="00444280" w:rsidRDefault="00444280" w:rsidP="00444280">
      <w:pPr>
        <w:pStyle w:val="CGCBulletlist"/>
        <w:tabs>
          <w:tab w:val="clear" w:pos="927"/>
          <w:tab w:val="num" w:pos="1134"/>
        </w:tabs>
        <w:ind w:left="1134" w:hanging="567"/>
      </w:pPr>
      <w:r>
        <w:t>From the 2010 Review to 2012 Update, we used ABS published 2006 Census based Indigenous population projections.</w:t>
      </w:r>
    </w:p>
    <w:p w:rsidR="00444280" w:rsidRDefault="00444280" w:rsidP="00444280">
      <w:pPr>
        <w:pStyle w:val="CGCBulletlist"/>
        <w:tabs>
          <w:tab w:val="clear" w:pos="927"/>
          <w:tab w:val="num" w:pos="1134"/>
        </w:tabs>
        <w:ind w:left="1134" w:hanging="567"/>
      </w:pPr>
      <w:r>
        <w:t>In the 2013 and 2014 Updates, with the release of new census data, the 2006 Census based projections were no longer relevant, so we used 2011 Indigenous ERP, indexed for growth at the same rate as the total population.</w:t>
      </w:r>
    </w:p>
    <w:p w:rsidR="00444280" w:rsidRDefault="00444280" w:rsidP="00444280">
      <w:pPr>
        <w:pStyle w:val="CGCBulletlist"/>
        <w:tabs>
          <w:tab w:val="clear" w:pos="927"/>
          <w:tab w:val="num" w:pos="1134"/>
        </w:tabs>
        <w:ind w:left="1134" w:hanging="567"/>
      </w:pPr>
      <w:r>
        <w:lastRenderedPageBreak/>
        <w:t>By the 2015 Review, the ABS had produced 2011 Census based Indigenous population projections, and so we reinstated the 2010 Review to 2012 Update methods.</w:t>
      </w:r>
    </w:p>
    <w:p w:rsidR="00E32ADF" w:rsidRDefault="00E32ADF" w:rsidP="00E32ADF">
      <w:pPr>
        <w:pStyle w:val="Caption"/>
      </w:pPr>
      <w:bookmarkStart w:id="111" w:name="_Ref486848280"/>
      <w:bookmarkStart w:id="112" w:name="_Ref486848275"/>
      <w:r>
        <w:t xml:space="preserve">Table </w:t>
      </w:r>
      <w:fldSimple w:instr=" SEQ Table \* ARABIC ">
        <w:r w:rsidR="00500132">
          <w:rPr>
            <w:noProof/>
          </w:rPr>
          <w:t>2</w:t>
        </w:r>
      </w:fldSimple>
      <w:bookmarkEnd w:id="110"/>
      <w:bookmarkEnd w:id="111"/>
      <w:r>
        <w:tab/>
        <w:t>Estimating Indigenous Populations, 2011 to 2016</w:t>
      </w:r>
      <w:bookmarkEnd w:id="112"/>
      <w:r>
        <w:t xml:space="preserve"> </w:t>
      </w:r>
    </w:p>
    <w:tbl>
      <w:tblPr>
        <w:tblW w:w="8880" w:type="dxa"/>
        <w:tblLayout w:type="fixed"/>
        <w:tblCellMar>
          <w:left w:w="0" w:type="dxa"/>
          <w:right w:w="0" w:type="dxa"/>
        </w:tblCellMar>
        <w:tblLook w:val="04A0" w:firstRow="1" w:lastRow="0" w:firstColumn="1" w:lastColumn="0" w:noHBand="0" w:noVBand="1"/>
      </w:tblPr>
      <w:tblGrid>
        <w:gridCol w:w="1000"/>
        <w:gridCol w:w="800"/>
        <w:gridCol w:w="1420"/>
        <w:gridCol w:w="1320"/>
        <w:gridCol w:w="800"/>
        <w:gridCol w:w="800"/>
        <w:gridCol w:w="1420"/>
        <w:gridCol w:w="1320"/>
      </w:tblGrid>
      <w:tr w:rsidR="00E32ADF" w:rsidRPr="000B7CCA" w:rsidTr="00E32ADF">
        <w:trPr>
          <w:trHeight w:val="315"/>
        </w:trPr>
        <w:tc>
          <w:tcPr>
            <w:tcW w:w="1000" w:type="dxa"/>
            <w:tcBorders>
              <w:top w:val="single" w:sz="4" w:space="0" w:color="auto"/>
              <w:left w:val="nil"/>
              <w:bottom w:val="nil"/>
              <w:right w:val="nil"/>
            </w:tcBorders>
            <w:shd w:val="clear" w:color="auto" w:fill="auto"/>
            <w:noWrap/>
            <w:vAlign w:val="center"/>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113" w:name="RANGE!A2:H13"/>
            <w:r w:rsidRPr="000B7CCA">
              <w:rPr>
                <w:rFonts w:ascii="Calibri" w:eastAsia="Times New Roman" w:hAnsi="Calibri" w:cs="Times New Roman"/>
                <w:color w:val="000000"/>
                <w:sz w:val="20"/>
                <w:szCs w:val="20"/>
                <w:lang w:eastAsia="en-AU"/>
              </w:rPr>
              <w:t> </w:t>
            </w:r>
            <w:bookmarkEnd w:id="113"/>
          </w:p>
        </w:tc>
        <w:tc>
          <w:tcPr>
            <w:tcW w:w="3540" w:type="dxa"/>
            <w:gridSpan w:val="3"/>
            <w:tcBorders>
              <w:top w:val="single" w:sz="4" w:space="0" w:color="auto"/>
              <w:left w:val="nil"/>
              <w:bottom w:val="single" w:sz="4" w:space="0" w:color="auto"/>
              <w:right w:val="nil"/>
            </w:tcBorders>
            <w:shd w:val="clear" w:color="auto" w:fill="auto"/>
            <w:noWrap/>
            <w:vAlign w:val="center"/>
            <w:hideMark/>
          </w:tcPr>
          <w:p w:rsidR="00E32ADF" w:rsidRPr="000B7CCA" w:rsidRDefault="00E32ADF" w:rsidP="00E32ADF">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2011 based population projections</w:t>
            </w:r>
          </w:p>
        </w:tc>
        <w:tc>
          <w:tcPr>
            <w:tcW w:w="800" w:type="dxa"/>
            <w:tcBorders>
              <w:top w:val="single" w:sz="4" w:space="0" w:color="auto"/>
              <w:left w:val="nil"/>
              <w:bottom w:val="nil"/>
              <w:right w:val="nil"/>
            </w:tcBorders>
            <w:shd w:val="clear" w:color="auto" w:fill="auto"/>
            <w:noWrap/>
            <w:vAlign w:val="center"/>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w:t>
            </w:r>
          </w:p>
        </w:tc>
        <w:tc>
          <w:tcPr>
            <w:tcW w:w="3540" w:type="dxa"/>
            <w:gridSpan w:val="3"/>
            <w:tcBorders>
              <w:top w:val="single" w:sz="4" w:space="0" w:color="auto"/>
              <w:left w:val="nil"/>
              <w:bottom w:val="single" w:sz="4" w:space="0" w:color="auto"/>
              <w:right w:val="nil"/>
            </w:tcBorders>
            <w:shd w:val="clear" w:color="auto" w:fill="auto"/>
            <w:noWrap/>
            <w:vAlign w:val="center"/>
            <w:hideMark/>
          </w:tcPr>
          <w:p w:rsidR="00E32ADF" w:rsidRPr="000B7CCA" w:rsidRDefault="00E32ADF" w:rsidP="00E32ADF">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Census counts</w:t>
            </w:r>
          </w:p>
        </w:tc>
      </w:tr>
      <w:tr w:rsidR="00E32ADF" w:rsidRPr="000B7CCA" w:rsidTr="00E32ADF">
        <w:trPr>
          <w:trHeight w:val="315"/>
        </w:trPr>
        <w:tc>
          <w:tcPr>
            <w:tcW w:w="100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w:t>
            </w:r>
          </w:p>
        </w:tc>
        <w:tc>
          <w:tcPr>
            <w:tcW w:w="80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2011</w:t>
            </w:r>
          </w:p>
        </w:tc>
        <w:tc>
          <w:tcPr>
            <w:tcW w:w="142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2016</w:t>
            </w:r>
          </w:p>
        </w:tc>
        <w:tc>
          <w:tcPr>
            <w:tcW w:w="132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Growth</w:t>
            </w:r>
          </w:p>
        </w:tc>
        <w:tc>
          <w:tcPr>
            <w:tcW w:w="80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w:t>
            </w:r>
          </w:p>
        </w:tc>
        <w:tc>
          <w:tcPr>
            <w:tcW w:w="80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2011</w:t>
            </w:r>
          </w:p>
        </w:tc>
        <w:tc>
          <w:tcPr>
            <w:tcW w:w="142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2016</w:t>
            </w:r>
          </w:p>
        </w:tc>
        <w:tc>
          <w:tcPr>
            <w:tcW w:w="1320" w:type="dxa"/>
            <w:tcBorders>
              <w:top w:val="nil"/>
              <w:left w:val="nil"/>
              <w:bottom w:val="single" w:sz="4" w:space="0" w:color="auto"/>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Growth</w:t>
            </w:r>
          </w:p>
        </w:tc>
      </w:tr>
      <w:tr w:rsidR="00E32ADF" w:rsidRPr="000B7CCA" w:rsidTr="00E32ADF">
        <w:trPr>
          <w:trHeight w:val="259"/>
        </w:trPr>
        <w:tc>
          <w:tcPr>
            <w:tcW w:w="100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No.</w:t>
            </w:r>
          </w:p>
        </w:tc>
        <w:tc>
          <w:tcPr>
            <w:tcW w:w="142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No.</w:t>
            </w:r>
          </w:p>
        </w:tc>
        <w:tc>
          <w:tcPr>
            <w:tcW w:w="132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w:t>
            </w:r>
          </w:p>
        </w:tc>
        <w:tc>
          <w:tcPr>
            <w:tcW w:w="80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No.</w:t>
            </w:r>
          </w:p>
        </w:tc>
        <w:tc>
          <w:tcPr>
            <w:tcW w:w="142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No.</w:t>
            </w:r>
          </w:p>
        </w:tc>
        <w:tc>
          <w:tcPr>
            <w:tcW w:w="1320" w:type="dxa"/>
            <w:tcBorders>
              <w:top w:val="nil"/>
              <w:left w:val="nil"/>
              <w:bottom w:val="nil"/>
              <w:right w:val="nil"/>
            </w:tcBorders>
            <w:shd w:val="clear" w:color="auto" w:fill="auto"/>
            <w:noWrap/>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NSW</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208 476</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230 564</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10.6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172 625</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216 176</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25.2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VIC</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47 333</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53 817</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13.7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37 992</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47 788</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25.8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QLD</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188 954</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213 712</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13.1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155 826</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186 482</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19.7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WA</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88 270</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97 907</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10.9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69 664</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75 978</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9.1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SA</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37 408</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41 613</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11.2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30 432</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34 184</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12.3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TAS</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24 165</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27 114</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12.2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19 625</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23 572</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20.1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ACT</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6 160</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7 121</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15.6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5 184</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6 508</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25.5 </w:t>
            </w:r>
          </w:p>
        </w:tc>
      </w:tr>
      <w:tr w:rsidR="00E32ADF" w:rsidRPr="000B7CCA" w:rsidTr="00E32ADF">
        <w:trPr>
          <w:trHeight w:val="315"/>
        </w:trPr>
        <w:tc>
          <w:tcPr>
            <w:tcW w:w="10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NT</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68 850</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74 679</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8.5 </w:t>
            </w: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0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56 779</w:t>
            </w:r>
          </w:p>
        </w:tc>
        <w:tc>
          <w:tcPr>
            <w:tcW w:w="14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58 248</w:t>
            </w:r>
          </w:p>
        </w:tc>
        <w:tc>
          <w:tcPr>
            <w:tcW w:w="1320" w:type="dxa"/>
            <w:tcBorders>
              <w:top w:val="nil"/>
              <w:left w:val="nil"/>
              <w:bottom w:val="nil"/>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2.6 </w:t>
            </w:r>
          </w:p>
        </w:tc>
      </w:tr>
      <w:tr w:rsidR="00E32ADF" w:rsidRPr="000B7CCA" w:rsidTr="00E32ADF">
        <w:trPr>
          <w:trHeight w:val="315"/>
        </w:trPr>
        <w:tc>
          <w:tcPr>
            <w:tcW w:w="1000" w:type="dxa"/>
            <w:tcBorders>
              <w:top w:val="nil"/>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Total</w:t>
            </w:r>
          </w:p>
        </w:tc>
        <w:tc>
          <w:tcPr>
            <w:tcW w:w="80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669 616</w:t>
            </w:r>
          </w:p>
        </w:tc>
        <w:tc>
          <w:tcPr>
            <w:tcW w:w="142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746 527</w:t>
            </w:r>
          </w:p>
        </w:tc>
        <w:tc>
          <w:tcPr>
            <w:tcW w:w="132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11.5 </w:t>
            </w:r>
          </w:p>
        </w:tc>
        <w:tc>
          <w:tcPr>
            <w:tcW w:w="80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w:t>
            </w:r>
          </w:p>
        </w:tc>
        <w:tc>
          <w:tcPr>
            <w:tcW w:w="80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548 127</w:t>
            </w:r>
          </w:p>
        </w:tc>
        <w:tc>
          <w:tcPr>
            <w:tcW w:w="142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32AD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 648 936</w:t>
            </w:r>
          </w:p>
        </w:tc>
        <w:tc>
          <w:tcPr>
            <w:tcW w:w="1320" w:type="dxa"/>
            <w:tcBorders>
              <w:top w:val="single" w:sz="4" w:space="0" w:color="auto"/>
              <w:left w:val="nil"/>
              <w:bottom w:val="single" w:sz="4" w:space="0" w:color="auto"/>
              <w:right w:val="nil"/>
            </w:tcBorders>
            <w:shd w:val="clear" w:color="auto" w:fill="auto"/>
            <w:vAlign w:val="bottom"/>
            <w:hideMark/>
          </w:tcPr>
          <w:p w:rsidR="00E32ADF" w:rsidRPr="000B7CCA" w:rsidRDefault="00E32ADF" w:rsidP="00EB61C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0B7CCA">
              <w:rPr>
                <w:rFonts w:ascii="Calibri" w:eastAsia="Times New Roman" w:hAnsi="Calibri" w:cs="Times New Roman"/>
                <w:color w:val="000000"/>
                <w:sz w:val="20"/>
                <w:szCs w:val="20"/>
                <w:lang w:eastAsia="en-AU"/>
              </w:rPr>
              <w:t xml:space="preserve">18.4 </w:t>
            </w:r>
          </w:p>
        </w:tc>
      </w:tr>
    </w:tbl>
    <w:p w:rsidR="00E32ADF" w:rsidRPr="000B7CCA" w:rsidRDefault="00247E90" w:rsidP="00247E90">
      <w:pPr>
        <w:pStyle w:val="CGCTableFootnote"/>
      </w:pPr>
      <w:r>
        <w:t xml:space="preserve">Source: </w:t>
      </w:r>
      <w:r>
        <w:tab/>
      </w:r>
      <w:r w:rsidR="0038646A">
        <w:t>ABS Census and Demography</w:t>
      </w:r>
      <w:r>
        <w:t>.</w:t>
      </w:r>
    </w:p>
    <w:p w:rsidR="00E32ADF" w:rsidRDefault="00E32ADF" w:rsidP="0038646A">
      <w:pPr>
        <w:pStyle w:val="CGCNumberedPara"/>
      </w:pPr>
      <w:r>
        <w:t>We also require data on the sub-State geographic distribution of the Indigenous population</w:t>
      </w:r>
      <w:r w:rsidR="00F26CF4">
        <w:t>.</w:t>
      </w:r>
    </w:p>
    <w:p w:rsidR="00E32ADF" w:rsidRDefault="00E32ADF" w:rsidP="00D67C45">
      <w:pPr>
        <w:pStyle w:val="CGCBulletlist"/>
        <w:tabs>
          <w:tab w:val="clear" w:pos="927"/>
          <w:tab w:val="num" w:pos="1134"/>
        </w:tabs>
        <w:ind w:left="1134" w:hanging="567"/>
      </w:pPr>
      <w:r>
        <w:t xml:space="preserve">From </w:t>
      </w:r>
      <w:r w:rsidR="0038646A">
        <w:t xml:space="preserve">the 2010 Review to 2012 Update, </w:t>
      </w:r>
      <w:r>
        <w:t>we used the 2006 fine level Indigenous ERP</w:t>
      </w:r>
      <w:r w:rsidR="00224D0D">
        <w:t>.</w:t>
      </w:r>
    </w:p>
    <w:p w:rsidR="00E32ADF" w:rsidRDefault="00E32ADF" w:rsidP="00D67C45">
      <w:pPr>
        <w:pStyle w:val="CGCBulletlist"/>
        <w:tabs>
          <w:tab w:val="clear" w:pos="927"/>
          <w:tab w:val="num" w:pos="1134"/>
        </w:tabs>
        <w:ind w:left="1134" w:hanging="567"/>
      </w:pPr>
      <w:r>
        <w:t xml:space="preserve">In </w:t>
      </w:r>
      <w:r w:rsidR="0038646A">
        <w:t xml:space="preserve">the </w:t>
      </w:r>
      <w:r>
        <w:t>2013</w:t>
      </w:r>
      <w:r w:rsidR="0038646A">
        <w:t xml:space="preserve"> Update</w:t>
      </w:r>
      <w:r>
        <w:t xml:space="preserve">, 2006 </w:t>
      </w:r>
      <w:r w:rsidR="003C6EA8">
        <w:t xml:space="preserve">Census </w:t>
      </w:r>
      <w:r>
        <w:t>based ERP was no longer relevant, and so we used 2011 Census counts</w:t>
      </w:r>
      <w:r w:rsidR="00224D0D">
        <w:t>.</w:t>
      </w:r>
    </w:p>
    <w:p w:rsidR="00E32ADF" w:rsidRDefault="00E32ADF" w:rsidP="00D67C45">
      <w:pPr>
        <w:pStyle w:val="CGCBulletlist"/>
        <w:tabs>
          <w:tab w:val="clear" w:pos="927"/>
          <w:tab w:val="num" w:pos="1134"/>
        </w:tabs>
        <w:ind w:left="1134" w:hanging="567"/>
      </w:pPr>
      <w:r>
        <w:t>In</w:t>
      </w:r>
      <w:r w:rsidR="00630567">
        <w:t xml:space="preserve"> the</w:t>
      </w:r>
      <w:r>
        <w:t xml:space="preserve"> 2014</w:t>
      </w:r>
      <w:r w:rsidR="00630567">
        <w:t xml:space="preserve"> Update</w:t>
      </w:r>
      <w:r>
        <w:t>, the ABS had produced 2011 fine level Indigenous ERP, and so we reinstated using that dataset.</w:t>
      </w:r>
    </w:p>
    <w:p w:rsidR="00E32ADF" w:rsidRDefault="00E32ADF" w:rsidP="00E32ADF">
      <w:pPr>
        <w:pStyle w:val="CGCNumberedPara"/>
      </w:pPr>
      <w:r>
        <w:t xml:space="preserve">In the 2018 Update, we are in the same situation we found ourselves in for the 2013 Update. </w:t>
      </w:r>
      <w:proofErr w:type="gramStart"/>
      <w:r>
        <w:t>Staff consider</w:t>
      </w:r>
      <w:proofErr w:type="gramEnd"/>
      <w:r>
        <w:t xml:space="preserve"> the solution taken in the 2013 Update remains appropriate. However, the Commission could decide to retain the 2017</w:t>
      </w:r>
      <w:r w:rsidR="00630567">
        <w:t xml:space="preserve"> </w:t>
      </w:r>
      <w:r w:rsidR="000A73FE">
        <w:t>Update</w:t>
      </w:r>
      <w:r>
        <w:t xml:space="preserve"> approach, and to continue to use Indigenous data solely derived from the 2011 Census.</w:t>
      </w:r>
    </w:p>
    <w:p w:rsidR="00E32ADF" w:rsidRDefault="00E32ADF" w:rsidP="00E32ADF">
      <w:pPr>
        <w:pStyle w:val="Heading5"/>
      </w:pPr>
      <w:r>
        <w:t xml:space="preserve">Indigenous disadvantage </w:t>
      </w:r>
    </w:p>
    <w:p w:rsidR="00E32ADF" w:rsidRDefault="00E32ADF" w:rsidP="00C50DC7">
      <w:pPr>
        <w:pStyle w:val="CGCNumberedPara"/>
      </w:pPr>
      <w:proofErr w:type="gramStart"/>
      <w:r>
        <w:t>Staff consider</w:t>
      </w:r>
      <w:proofErr w:type="gramEnd"/>
      <w:r>
        <w:t xml:space="preserve"> it necessary to </w:t>
      </w:r>
      <w:r w:rsidR="00562F07">
        <w:t>use a</w:t>
      </w:r>
      <w:r>
        <w:t xml:space="preserve"> revised </w:t>
      </w:r>
      <w:r w:rsidR="00C50DC7" w:rsidRPr="00C50DC7">
        <w:t>Indigenous Relative Socio</w:t>
      </w:r>
      <w:r w:rsidR="00C50DC7">
        <w:noBreakHyphen/>
      </w:r>
      <w:r w:rsidR="00680B8E">
        <w:t>E</w:t>
      </w:r>
      <w:r w:rsidR="00C50DC7" w:rsidRPr="00C50DC7">
        <w:t xml:space="preserve">conomic Outcomes </w:t>
      </w:r>
      <w:r w:rsidR="00372460">
        <w:t>i</w:t>
      </w:r>
      <w:r w:rsidR="00C50DC7" w:rsidRPr="00C50DC7">
        <w:t>ndex (</w:t>
      </w:r>
      <w:proofErr w:type="spellStart"/>
      <w:r w:rsidR="00C50DC7" w:rsidRPr="00C50DC7">
        <w:t>IRSEO</w:t>
      </w:r>
      <w:proofErr w:type="spellEnd"/>
      <w:r w:rsidR="00C50DC7" w:rsidRPr="00C50DC7">
        <w:t xml:space="preserve">) </w:t>
      </w:r>
      <w:r>
        <w:t xml:space="preserve">and </w:t>
      </w:r>
      <w:r w:rsidR="00372460">
        <w:t>N</w:t>
      </w:r>
      <w:r w:rsidR="00C50DC7" w:rsidRPr="00C50DC7">
        <w:t>on-Indigenous Socio-</w:t>
      </w:r>
      <w:r w:rsidR="00680B8E">
        <w:t>E</w:t>
      </w:r>
      <w:r w:rsidR="00C50DC7" w:rsidRPr="00C50DC7">
        <w:t xml:space="preserve">conomic Index for Areas </w:t>
      </w:r>
      <w:r w:rsidR="00C50DC7">
        <w:t>(</w:t>
      </w:r>
      <w:proofErr w:type="spellStart"/>
      <w:r>
        <w:t>NISEIFA</w:t>
      </w:r>
      <w:proofErr w:type="spellEnd"/>
      <w:r w:rsidR="00C50DC7">
        <w:t>)</w:t>
      </w:r>
      <w:r>
        <w:t xml:space="preserve"> at the same time as new Indigenous population data</w:t>
      </w:r>
      <w:r w:rsidR="00562F07">
        <w:t xml:space="preserve"> are included. This will </w:t>
      </w:r>
      <w:r>
        <w:t xml:space="preserve">ensure the socio-economic measures are consistent with the population data used by the Commission. </w:t>
      </w:r>
    </w:p>
    <w:p w:rsidR="00E32ADF" w:rsidRDefault="00E32ADF" w:rsidP="00E32ADF">
      <w:pPr>
        <w:pStyle w:val="CGCNumberedPara"/>
      </w:pPr>
      <w:r>
        <w:t xml:space="preserve">Both </w:t>
      </w:r>
      <w:proofErr w:type="spellStart"/>
      <w:r>
        <w:t>IRSEO</w:t>
      </w:r>
      <w:proofErr w:type="spellEnd"/>
      <w:r>
        <w:t xml:space="preserve"> and </w:t>
      </w:r>
      <w:proofErr w:type="spellStart"/>
      <w:r>
        <w:t>NISEIFA</w:t>
      </w:r>
      <w:proofErr w:type="spellEnd"/>
      <w:r>
        <w:t xml:space="preserve"> </w:t>
      </w:r>
      <w:r w:rsidR="00562F07">
        <w:t xml:space="preserve">require </w:t>
      </w:r>
      <w:r>
        <w:t xml:space="preserve">data </w:t>
      </w:r>
      <w:r w:rsidR="00562F07">
        <w:t xml:space="preserve">that </w:t>
      </w:r>
      <w:r w:rsidR="00CC4F5E">
        <w:t xml:space="preserve">will </w:t>
      </w:r>
      <w:r>
        <w:t xml:space="preserve">not </w:t>
      </w:r>
      <w:r w:rsidR="00CC4F5E">
        <w:t xml:space="preserve">be </w:t>
      </w:r>
      <w:r>
        <w:t>available before October. The Centre for Aboriginal Economic and P</w:t>
      </w:r>
      <w:r w:rsidR="00C50DC7">
        <w:t xml:space="preserve">olicy </w:t>
      </w:r>
      <w:r>
        <w:t>Research (</w:t>
      </w:r>
      <w:proofErr w:type="spellStart"/>
      <w:r>
        <w:t>CAEPR</w:t>
      </w:r>
      <w:proofErr w:type="spellEnd"/>
      <w:r>
        <w:t>)</w:t>
      </w:r>
      <w:r w:rsidR="0092604E">
        <w:t>,</w:t>
      </w:r>
      <w:r>
        <w:t xml:space="preserve"> who developed </w:t>
      </w:r>
      <w:proofErr w:type="spellStart"/>
      <w:r>
        <w:t>IRSEO</w:t>
      </w:r>
      <w:proofErr w:type="spellEnd"/>
      <w:r>
        <w:t>, intend</w:t>
      </w:r>
      <w:r w:rsidR="003E78B1">
        <w:t>s</w:t>
      </w:r>
      <w:r>
        <w:t xml:space="preserve"> to produce a new </w:t>
      </w:r>
      <w:proofErr w:type="spellStart"/>
      <w:r>
        <w:t>IRSEO</w:t>
      </w:r>
      <w:proofErr w:type="spellEnd"/>
      <w:r>
        <w:t xml:space="preserve"> on the same basis as that produced in 2011. </w:t>
      </w:r>
      <w:r>
        <w:lastRenderedPageBreak/>
        <w:t xml:space="preserve">Following the 2011 </w:t>
      </w:r>
      <w:r w:rsidR="00C50DC7">
        <w:t>C</w:t>
      </w:r>
      <w:r>
        <w:t xml:space="preserve">ensus, the ABS was commissioned to produce </w:t>
      </w:r>
      <w:proofErr w:type="spellStart"/>
      <w:r>
        <w:t>NISEIFA</w:t>
      </w:r>
      <w:proofErr w:type="spellEnd"/>
      <w:r>
        <w:t xml:space="preserve">. However because of the tight timing, </w:t>
      </w:r>
      <w:proofErr w:type="gramStart"/>
      <w:r>
        <w:t>staff propose</w:t>
      </w:r>
      <w:proofErr w:type="gramEnd"/>
      <w:r>
        <w:t xml:space="preserve"> to do this work in house this year. Both </w:t>
      </w:r>
      <w:proofErr w:type="spellStart"/>
      <w:r>
        <w:t>IRSEO</w:t>
      </w:r>
      <w:proofErr w:type="spellEnd"/>
      <w:r>
        <w:t xml:space="preserve"> and </w:t>
      </w:r>
      <w:proofErr w:type="spellStart"/>
      <w:r>
        <w:t>NISEIFA</w:t>
      </w:r>
      <w:proofErr w:type="spellEnd"/>
      <w:r>
        <w:t xml:space="preserve"> should be available on a 2016 </w:t>
      </w:r>
      <w:r w:rsidR="00680B8E">
        <w:t>C</w:t>
      </w:r>
      <w:r>
        <w:t xml:space="preserve">ensus basis by the end of November 2017. </w:t>
      </w:r>
    </w:p>
    <w:p w:rsidR="00E32ADF" w:rsidRDefault="00E32ADF" w:rsidP="00E32ADF">
      <w:pPr>
        <w:pStyle w:val="CGCNumberedPara"/>
      </w:pPr>
      <w:r>
        <w:t xml:space="preserve">The Commission relies on six datasets classified </w:t>
      </w:r>
      <w:r w:rsidR="00DE0E33">
        <w:t>by</w:t>
      </w:r>
      <w:r>
        <w:t xml:space="preserve"> </w:t>
      </w:r>
      <w:proofErr w:type="spellStart"/>
      <w:r>
        <w:t>IRSEO</w:t>
      </w:r>
      <w:proofErr w:type="spellEnd"/>
      <w:r>
        <w:t xml:space="preserve"> and </w:t>
      </w:r>
      <w:proofErr w:type="spellStart"/>
      <w:r>
        <w:t>NISEIFA</w:t>
      </w:r>
      <w:proofErr w:type="spellEnd"/>
      <w:r>
        <w:t>. For two of these (</w:t>
      </w:r>
      <w:r w:rsidR="00DE0E33">
        <w:t xml:space="preserve">the </w:t>
      </w:r>
      <w:r w:rsidR="00C50DC7">
        <w:t>Australian Curriculum and Reporting Authority (</w:t>
      </w:r>
      <w:r>
        <w:t>ACARA</w:t>
      </w:r>
      <w:r w:rsidR="00C50DC7">
        <w:t>)</w:t>
      </w:r>
      <w:r>
        <w:t xml:space="preserve"> schools data and </w:t>
      </w:r>
      <w:r w:rsidR="00DE0E33">
        <w:t xml:space="preserve">the </w:t>
      </w:r>
      <w:r w:rsidR="00680B8E">
        <w:t>National Centre for Vocational Education Research (</w:t>
      </w:r>
      <w:proofErr w:type="spellStart"/>
      <w:r>
        <w:t>NCVER</w:t>
      </w:r>
      <w:proofErr w:type="spellEnd"/>
      <w:r w:rsidR="00680B8E">
        <w:t>)</w:t>
      </w:r>
      <w:r>
        <w:t xml:space="preserve"> post-secondary education data), </w:t>
      </w:r>
      <w:r w:rsidR="00A155BC">
        <w:t xml:space="preserve">it </w:t>
      </w:r>
      <w:r>
        <w:t>receive</w:t>
      </w:r>
      <w:r w:rsidR="00A155BC">
        <w:t>s</w:t>
      </w:r>
      <w:r>
        <w:t xml:space="preserve"> disaggregated data, and allocate</w:t>
      </w:r>
      <w:r w:rsidR="00A155BC">
        <w:t>s</w:t>
      </w:r>
      <w:r>
        <w:t xml:space="preserve"> </w:t>
      </w:r>
      <w:proofErr w:type="spellStart"/>
      <w:r>
        <w:t>IRSEO</w:t>
      </w:r>
      <w:proofErr w:type="spellEnd"/>
      <w:r>
        <w:t xml:space="preserve"> and </w:t>
      </w:r>
      <w:proofErr w:type="spellStart"/>
      <w:r>
        <w:t>NISEIFA</w:t>
      </w:r>
      <w:proofErr w:type="spellEnd"/>
      <w:r>
        <w:t xml:space="preserve"> classifications to detailed geographic data </w:t>
      </w:r>
      <w:r w:rsidR="00A155BC">
        <w:t>itself</w:t>
      </w:r>
      <w:r>
        <w:t xml:space="preserve">. </w:t>
      </w:r>
      <w:r w:rsidRPr="00E600A7">
        <w:t>For other data:</w:t>
      </w:r>
    </w:p>
    <w:p w:rsidR="00E32ADF" w:rsidRDefault="00DE0E33" w:rsidP="003F1207">
      <w:pPr>
        <w:pStyle w:val="CGCBulletlist"/>
        <w:tabs>
          <w:tab w:val="clear" w:pos="927"/>
          <w:tab w:val="num" w:pos="1134"/>
        </w:tabs>
        <w:ind w:left="1134" w:hanging="567"/>
      </w:pPr>
      <w:r>
        <w:t>S</w:t>
      </w:r>
      <w:r w:rsidR="00E32ADF">
        <w:t xml:space="preserve">taff will provide </w:t>
      </w:r>
      <w:r>
        <w:t xml:space="preserve">the </w:t>
      </w:r>
      <w:r w:rsidR="00680B8E" w:rsidRPr="00680B8E">
        <w:t xml:space="preserve">Independent Hospital Pricing Authority </w:t>
      </w:r>
      <w:r w:rsidR="00680B8E">
        <w:t>(</w:t>
      </w:r>
      <w:r w:rsidR="00E32ADF">
        <w:t>IHPA</w:t>
      </w:r>
      <w:r w:rsidR="00680B8E">
        <w:t>)</w:t>
      </w:r>
      <w:r w:rsidR="00E32ADF">
        <w:t xml:space="preserve"> with the </w:t>
      </w:r>
      <w:r w:rsidR="003F1207">
        <w:t xml:space="preserve">necessary geographic </w:t>
      </w:r>
      <w:r w:rsidR="00E32ADF">
        <w:t xml:space="preserve">correspondence by the end of November, and expect to receive </w:t>
      </w:r>
      <w:r>
        <w:t xml:space="preserve">appropriately classified </w:t>
      </w:r>
      <w:r w:rsidR="00E32ADF">
        <w:t xml:space="preserve">hospital use data </w:t>
      </w:r>
      <w:r>
        <w:t>for</w:t>
      </w:r>
      <w:r w:rsidR="00E32ADF">
        <w:t xml:space="preserve"> the </w:t>
      </w:r>
      <w:r w:rsidR="00CC4F5E">
        <w:t>H</w:t>
      </w:r>
      <w:r w:rsidR="003F1207">
        <w:t>ealth assessment</w:t>
      </w:r>
      <w:r>
        <w:t>.</w:t>
      </w:r>
    </w:p>
    <w:p w:rsidR="00E32ADF" w:rsidRDefault="00E32ADF" w:rsidP="006779ED">
      <w:pPr>
        <w:pStyle w:val="CGCBulletlist"/>
        <w:tabs>
          <w:tab w:val="clear" w:pos="927"/>
          <w:tab w:val="num" w:pos="1134"/>
        </w:tabs>
        <w:ind w:left="1134" w:hanging="567"/>
      </w:pPr>
      <w:r>
        <w:t xml:space="preserve">Medicare </w:t>
      </w:r>
      <w:r w:rsidR="006779ED">
        <w:t xml:space="preserve">was </w:t>
      </w:r>
      <w:r>
        <w:t xml:space="preserve">not able to produce </w:t>
      </w:r>
      <w:r w:rsidR="003F1207">
        <w:t>cross classifi</w:t>
      </w:r>
      <w:r w:rsidR="00DE0E33">
        <w:t>ed</w:t>
      </w:r>
      <w:r w:rsidR="003F1207">
        <w:t xml:space="preserve"> </w:t>
      </w:r>
      <w:r>
        <w:t xml:space="preserve">data by </w:t>
      </w:r>
      <w:proofErr w:type="spellStart"/>
      <w:r>
        <w:t>IRSEO</w:t>
      </w:r>
      <w:proofErr w:type="spellEnd"/>
      <w:r>
        <w:t xml:space="preserve"> and </w:t>
      </w:r>
      <w:proofErr w:type="spellStart"/>
      <w:r>
        <w:t>NISEIFA</w:t>
      </w:r>
      <w:proofErr w:type="spellEnd"/>
      <w:r>
        <w:t xml:space="preserve">, and so we have used </w:t>
      </w:r>
      <w:r w:rsidR="006779ED" w:rsidRPr="006779ED">
        <w:t xml:space="preserve">Socio-Economic Indexes for Areas </w:t>
      </w:r>
      <w:r w:rsidR="006779ED">
        <w:t>(</w:t>
      </w:r>
      <w:proofErr w:type="spellStart"/>
      <w:r>
        <w:t>SEIFA</w:t>
      </w:r>
      <w:proofErr w:type="spellEnd"/>
      <w:r w:rsidR="006779ED">
        <w:t>)</w:t>
      </w:r>
      <w:r>
        <w:t xml:space="preserve">. </w:t>
      </w:r>
      <w:proofErr w:type="gramStart"/>
      <w:r>
        <w:t>Staff propose</w:t>
      </w:r>
      <w:proofErr w:type="gramEnd"/>
      <w:r>
        <w:t xml:space="preserve"> to continue to use 2011 </w:t>
      </w:r>
      <w:r w:rsidR="006779ED">
        <w:t xml:space="preserve">Census </w:t>
      </w:r>
      <w:r>
        <w:t xml:space="preserve">based </w:t>
      </w:r>
      <w:proofErr w:type="spellStart"/>
      <w:r>
        <w:t>SEIFA</w:t>
      </w:r>
      <w:proofErr w:type="spellEnd"/>
      <w:r>
        <w:t xml:space="preserve"> until the ABS produce</w:t>
      </w:r>
      <w:r w:rsidR="00CC4F5E">
        <w:t>s</w:t>
      </w:r>
      <w:r>
        <w:t xml:space="preserve"> </w:t>
      </w:r>
      <w:proofErr w:type="spellStart"/>
      <w:r>
        <w:t>SEIFA</w:t>
      </w:r>
      <w:proofErr w:type="spellEnd"/>
      <w:r>
        <w:t>, and Medicare incorporate</w:t>
      </w:r>
      <w:r w:rsidR="00CC4F5E">
        <w:t>s</w:t>
      </w:r>
      <w:r>
        <w:t xml:space="preserve"> it into </w:t>
      </w:r>
      <w:r w:rsidR="006779ED">
        <w:t>its</w:t>
      </w:r>
      <w:r>
        <w:t xml:space="preserve"> geography</w:t>
      </w:r>
      <w:r w:rsidR="00DE0E33">
        <w:t>.</w:t>
      </w:r>
    </w:p>
    <w:p w:rsidR="00E32ADF" w:rsidRDefault="00DE0E33" w:rsidP="00E32ADF">
      <w:pPr>
        <w:pStyle w:val="CGCSubbulletlist"/>
        <w:tabs>
          <w:tab w:val="clear" w:pos="927"/>
        </w:tabs>
        <w:ind w:left="1701" w:hanging="567"/>
      </w:pPr>
      <w:r>
        <w:t>These</w:t>
      </w:r>
      <w:r w:rsidR="00E32ADF">
        <w:t xml:space="preserve"> data are used in the calculation of the non-State adjustment for the </w:t>
      </w:r>
      <w:r w:rsidR="00A95069">
        <w:t>emergency departments (</w:t>
      </w:r>
      <w:r w:rsidR="00E32ADF">
        <w:t>ED</w:t>
      </w:r>
      <w:r w:rsidR="00A95069">
        <w:t>)</w:t>
      </w:r>
      <w:r w:rsidR="00E32ADF">
        <w:t>, non-admitted patient</w:t>
      </w:r>
      <w:r w:rsidR="00E600A7">
        <w:t>s</w:t>
      </w:r>
      <w:r w:rsidR="00E32ADF">
        <w:t xml:space="preserve"> and community health components of the Health category assessment</w:t>
      </w:r>
      <w:r>
        <w:t>.</w:t>
      </w:r>
      <w:r w:rsidR="00E32ADF">
        <w:t xml:space="preserve"> </w:t>
      </w:r>
    </w:p>
    <w:p w:rsidR="00E32ADF" w:rsidRDefault="000A73FE" w:rsidP="00E32ADF">
      <w:pPr>
        <w:pStyle w:val="CGCBulletlist"/>
        <w:tabs>
          <w:tab w:val="clear" w:pos="927"/>
        </w:tabs>
        <w:ind w:left="1134" w:hanging="567"/>
      </w:pPr>
      <w:r>
        <w:t>Australian</w:t>
      </w:r>
      <w:r w:rsidR="006779ED">
        <w:t xml:space="preserve"> Institute of Health and Welfare (</w:t>
      </w:r>
      <w:proofErr w:type="spellStart"/>
      <w:r w:rsidR="00E32ADF">
        <w:t>AIHW</w:t>
      </w:r>
      <w:proofErr w:type="spellEnd"/>
      <w:r w:rsidR="006779ED">
        <w:t>)</w:t>
      </w:r>
      <w:r w:rsidR="00E32ADF">
        <w:t xml:space="preserve"> data on private patient separations by </w:t>
      </w:r>
      <w:proofErr w:type="spellStart"/>
      <w:r w:rsidR="00E32ADF">
        <w:t>SEIFA</w:t>
      </w:r>
      <w:proofErr w:type="spellEnd"/>
      <w:r w:rsidR="00E32ADF">
        <w:t xml:space="preserve"> — as with Medicare data, staff propose to continue to use 2011 </w:t>
      </w:r>
      <w:r w:rsidR="006779ED">
        <w:t xml:space="preserve">Census </w:t>
      </w:r>
      <w:r w:rsidR="00E32ADF">
        <w:t xml:space="preserve">based </w:t>
      </w:r>
      <w:proofErr w:type="spellStart"/>
      <w:r w:rsidR="00E32ADF">
        <w:t>SEIFA</w:t>
      </w:r>
      <w:proofErr w:type="spellEnd"/>
      <w:r w:rsidR="00E32ADF">
        <w:t>. In the 201</w:t>
      </w:r>
      <w:r w:rsidR="006779ED">
        <w:t>9 Update, th</w:t>
      </w:r>
      <w:r w:rsidR="00372460">
        <w:t>ese</w:t>
      </w:r>
      <w:r w:rsidR="006779ED">
        <w:t xml:space="preserve"> would be updated</w:t>
      </w:r>
      <w:r w:rsidR="00DE0E33">
        <w:t>.</w:t>
      </w:r>
    </w:p>
    <w:p w:rsidR="00E32ADF" w:rsidRDefault="00DE0E33" w:rsidP="00E32ADF">
      <w:pPr>
        <w:pStyle w:val="CGCSubbulletlist"/>
        <w:tabs>
          <w:tab w:val="clear" w:pos="927"/>
        </w:tabs>
        <w:ind w:left="1701" w:hanging="567"/>
      </w:pPr>
      <w:r>
        <w:t>T</w:t>
      </w:r>
      <w:r w:rsidR="00E32ADF">
        <w:t xml:space="preserve">hese data are used in the calculation of the non-State adjustment for the admitted </w:t>
      </w:r>
      <w:proofErr w:type="gramStart"/>
      <w:r w:rsidR="00E32ADF">
        <w:t>patients</w:t>
      </w:r>
      <w:proofErr w:type="gramEnd"/>
      <w:r w:rsidR="00E32ADF">
        <w:t xml:space="preserve"> component of the Hea</w:t>
      </w:r>
      <w:r w:rsidR="006779ED">
        <w:t>lth category assessment</w:t>
      </w:r>
      <w:r>
        <w:t>.</w:t>
      </w:r>
    </w:p>
    <w:p w:rsidR="00E32ADF" w:rsidRDefault="00DE0E33" w:rsidP="00E32ADF">
      <w:pPr>
        <w:pStyle w:val="CGCBulletlist"/>
        <w:tabs>
          <w:tab w:val="clear" w:pos="927"/>
        </w:tabs>
        <w:ind w:left="1134" w:hanging="567"/>
      </w:pPr>
      <w:proofErr w:type="gramStart"/>
      <w:r>
        <w:t>Staff</w:t>
      </w:r>
      <w:r w:rsidR="00E32ADF">
        <w:t xml:space="preserve"> consider</w:t>
      </w:r>
      <w:proofErr w:type="gramEnd"/>
      <w:r w:rsidR="00E32ADF">
        <w:t xml:space="preserve"> that </w:t>
      </w:r>
      <w:r>
        <w:t xml:space="preserve">the </w:t>
      </w:r>
      <w:proofErr w:type="spellStart"/>
      <w:r w:rsidR="00E32ADF">
        <w:t>AIHW</w:t>
      </w:r>
      <w:proofErr w:type="spellEnd"/>
      <w:r w:rsidR="00E32ADF">
        <w:t xml:space="preserve"> should be able to produce child welfare statistics by </w:t>
      </w:r>
      <w:proofErr w:type="spellStart"/>
      <w:r w:rsidR="00E32ADF">
        <w:t>IRSEO</w:t>
      </w:r>
      <w:proofErr w:type="spellEnd"/>
      <w:r w:rsidR="00E32ADF">
        <w:t>/</w:t>
      </w:r>
      <w:proofErr w:type="spellStart"/>
      <w:r w:rsidR="00E32ADF">
        <w:t>NISEIFA</w:t>
      </w:r>
      <w:proofErr w:type="spellEnd"/>
      <w:r w:rsidR="00E32ADF">
        <w:t xml:space="preserve"> within this time frame, and propose using such data. </w:t>
      </w:r>
    </w:p>
    <w:p w:rsidR="00E32ADF" w:rsidRDefault="00E32ADF" w:rsidP="00E32ADF">
      <w:pPr>
        <w:pStyle w:val="CGCNumberedPara"/>
      </w:pPr>
      <w:r>
        <w:t xml:space="preserve">The Commission’s use of </w:t>
      </w:r>
      <w:proofErr w:type="spellStart"/>
      <w:r>
        <w:t>IRSEO</w:t>
      </w:r>
      <w:proofErr w:type="spellEnd"/>
      <w:r>
        <w:t xml:space="preserve"> and </w:t>
      </w:r>
      <w:proofErr w:type="spellStart"/>
      <w:r>
        <w:t>NISEIFA</w:t>
      </w:r>
      <w:proofErr w:type="spellEnd"/>
      <w:r>
        <w:t xml:space="preserve"> came about in the 2015 Review as its terms of reference required it to ‘develop methods to appropriately capture the changing characteristics of the Indigenous population’. </w:t>
      </w:r>
    </w:p>
    <w:p w:rsidR="00E32ADF" w:rsidRDefault="00E32ADF" w:rsidP="00E32ADF">
      <w:pPr>
        <w:pStyle w:val="CGCNumberedPara"/>
      </w:pPr>
      <w:r>
        <w:t xml:space="preserve">The Commission’s interpretation of this was that if a group of people decide to identify as Indigenous in the 2016 </w:t>
      </w:r>
      <w:r w:rsidR="006779ED">
        <w:t>C</w:t>
      </w:r>
      <w:r>
        <w:t xml:space="preserve">ensus, but had not in the 2011 </w:t>
      </w:r>
      <w:r w:rsidR="006779ED">
        <w:t>C</w:t>
      </w:r>
      <w:r>
        <w:t xml:space="preserve">ensus, then it should reflect the attributes, and numbers, of those people. Using a mix of attributes from one census and numbers from another </w:t>
      </w:r>
      <w:r w:rsidR="00DE0E33">
        <w:t>may</w:t>
      </w:r>
      <w:r>
        <w:t xml:space="preserve"> create significant bias.</w:t>
      </w:r>
    </w:p>
    <w:p w:rsidR="00E61CE1" w:rsidRDefault="00E32ADF" w:rsidP="00E32ADF">
      <w:pPr>
        <w:pStyle w:val="CGCNumberedPara"/>
      </w:pPr>
      <w:r>
        <w:t xml:space="preserve">As </w:t>
      </w:r>
      <w:r w:rsidR="00E61CE1">
        <w:t xml:space="preserve">the assessments </w:t>
      </w:r>
      <w:r w:rsidR="00E600A7">
        <w:t>incorporating</w:t>
      </w:r>
      <w:r w:rsidR="00E61CE1">
        <w:t xml:space="preserve"> </w:t>
      </w:r>
      <w:r>
        <w:t xml:space="preserve">Medicare and </w:t>
      </w:r>
      <w:proofErr w:type="spellStart"/>
      <w:r>
        <w:t>AIHW</w:t>
      </w:r>
      <w:proofErr w:type="spellEnd"/>
      <w:r>
        <w:t xml:space="preserve"> private patient separations data use </w:t>
      </w:r>
      <w:proofErr w:type="spellStart"/>
      <w:r>
        <w:t>SEIFA</w:t>
      </w:r>
      <w:proofErr w:type="spellEnd"/>
      <w:r>
        <w:t xml:space="preserve"> rather than </w:t>
      </w:r>
      <w:proofErr w:type="spellStart"/>
      <w:r>
        <w:t>IRSEO</w:t>
      </w:r>
      <w:proofErr w:type="spellEnd"/>
      <w:r>
        <w:t xml:space="preserve"> and </w:t>
      </w:r>
      <w:proofErr w:type="spellStart"/>
      <w:r>
        <w:t>NISEIFA</w:t>
      </w:r>
      <w:proofErr w:type="spellEnd"/>
      <w:r>
        <w:t>, changes in</w:t>
      </w:r>
      <w:r w:rsidR="00261515">
        <w:t xml:space="preserve"> Indigenous identification will</w:t>
      </w:r>
      <w:r>
        <w:t xml:space="preserve"> have no effect on </w:t>
      </w:r>
      <w:r w:rsidR="00E61CE1">
        <w:t xml:space="preserve">these </w:t>
      </w:r>
      <w:r w:rsidR="00261515">
        <w:t>assessment</w:t>
      </w:r>
      <w:r w:rsidR="00E61CE1">
        <w:t>s</w:t>
      </w:r>
      <w:r w:rsidR="00261515">
        <w:t>. The</w:t>
      </w:r>
      <w:r w:rsidR="00E61CE1">
        <w:t xml:space="preserve">se assessments will be updated for </w:t>
      </w:r>
      <w:r>
        <w:t xml:space="preserve">changes in socio-economic profiles </w:t>
      </w:r>
      <w:r w:rsidR="00E61CE1">
        <w:t xml:space="preserve">in the 2019 Update when 2016 based </w:t>
      </w:r>
      <w:proofErr w:type="spellStart"/>
      <w:r w:rsidR="00E61CE1">
        <w:t>SEIFA</w:t>
      </w:r>
      <w:proofErr w:type="spellEnd"/>
      <w:r w:rsidR="00E61CE1">
        <w:t xml:space="preserve"> is available. </w:t>
      </w:r>
    </w:p>
    <w:p w:rsidR="00E32ADF" w:rsidRDefault="00E32ADF" w:rsidP="00E32ADF">
      <w:pPr>
        <w:pStyle w:val="Heading4"/>
      </w:pPr>
      <w:bookmarkStart w:id="114" w:name="_Toc489877478"/>
      <w:bookmarkStart w:id="115" w:name="_Toc489877533"/>
      <w:bookmarkStart w:id="116" w:name="_Toc489878076"/>
      <w:bookmarkStart w:id="117" w:name="_Toc489878452"/>
      <w:bookmarkStart w:id="118" w:name="_Toc490138806"/>
      <w:bookmarkStart w:id="119" w:name="_Toc490139336"/>
      <w:bookmarkStart w:id="120" w:name="_Toc490224743"/>
      <w:bookmarkStart w:id="121" w:name="_Toc490228105"/>
      <w:bookmarkStart w:id="122" w:name="_Toc490228666"/>
      <w:bookmarkStart w:id="123" w:name="_Toc490556255"/>
      <w:bookmarkStart w:id="124" w:name="_Toc490659136"/>
      <w:bookmarkStart w:id="125" w:name="_Toc490659325"/>
      <w:bookmarkStart w:id="126" w:name="_Toc490659529"/>
      <w:r>
        <w:lastRenderedPageBreak/>
        <w:t>Remoteness</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E32ADF" w:rsidRDefault="00E32ADF" w:rsidP="00E32ADF">
      <w:pPr>
        <w:pStyle w:val="CGCNumberedPara"/>
      </w:pPr>
      <w:r>
        <w:t xml:space="preserve">The 2016 </w:t>
      </w:r>
      <w:r w:rsidR="006779ED">
        <w:t xml:space="preserve">Census </w:t>
      </w:r>
      <w:r>
        <w:t xml:space="preserve">based remoteness classification is not planned for release by the ABS until early 2018. This timing precludes us using data classified to the new classification in the 2018 Update. However, </w:t>
      </w:r>
      <w:proofErr w:type="gramStart"/>
      <w:r>
        <w:t>staff have</w:t>
      </w:r>
      <w:proofErr w:type="gramEnd"/>
      <w:r>
        <w:t xml:space="preserve"> no reason to consider that the remoteness changes are likely to be other than minor. This means that 2016 </w:t>
      </w:r>
      <w:r w:rsidR="006779ED">
        <w:t>C</w:t>
      </w:r>
      <w:r>
        <w:t xml:space="preserve">ensus data will be phased in over two inquiries, the 2018 and 2019 Updates. </w:t>
      </w:r>
    </w:p>
    <w:p w:rsidR="00E32ADF" w:rsidRDefault="00E32ADF" w:rsidP="00E32ADF">
      <w:pPr>
        <w:pStyle w:val="CGCNumberedPara"/>
      </w:pPr>
      <w:r>
        <w:t>The related service delivery scale regions (areas more than 50km from a town of 5</w:t>
      </w:r>
      <w:r w:rsidR="00CC4F5E">
        <w:t> 0</w:t>
      </w:r>
      <w:r>
        <w:t>00</w:t>
      </w:r>
      <w:r w:rsidR="00DE393F">
        <w:t xml:space="preserve"> people</w:t>
      </w:r>
      <w:r>
        <w:t xml:space="preserve">) cannot be updated without the data underpinning the remoteness classification. </w:t>
      </w:r>
    </w:p>
    <w:p w:rsidR="00E32ADF" w:rsidRDefault="00E32ADF" w:rsidP="00E32ADF">
      <w:pPr>
        <w:pStyle w:val="Heading4"/>
      </w:pPr>
      <w:bookmarkStart w:id="127" w:name="_Toc489877479"/>
      <w:bookmarkStart w:id="128" w:name="_Toc489877534"/>
      <w:bookmarkStart w:id="129" w:name="_Toc489878077"/>
      <w:bookmarkStart w:id="130" w:name="_Toc489878453"/>
      <w:bookmarkStart w:id="131" w:name="_Toc490138807"/>
      <w:bookmarkStart w:id="132" w:name="_Toc490139337"/>
      <w:bookmarkStart w:id="133" w:name="_Toc490224744"/>
      <w:bookmarkStart w:id="134" w:name="_Toc490228106"/>
      <w:bookmarkStart w:id="135" w:name="_Toc490228667"/>
      <w:bookmarkStart w:id="136" w:name="_Toc490556256"/>
      <w:bookmarkStart w:id="137" w:name="_Toc490659137"/>
      <w:bookmarkStart w:id="138" w:name="_Toc490659326"/>
      <w:bookmarkStart w:id="139" w:name="_Toc490659530"/>
      <w:r>
        <w:t>Discrete Indigenous communities</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E32ADF" w:rsidRDefault="00E32ADF" w:rsidP="00E32ADF">
      <w:pPr>
        <w:pStyle w:val="CGCNumberedPara"/>
      </w:pPr>
      <w:r>
        <w:t xml:space="preserve">The Commission defines </w:t>
      </w:r>
      <w:r w:rsidR="000940AC">
        <w:t>D</w:t>
      </w:r>
      <w:r>
        <w:t xml:space="preserve">iscrete Indigenous </w:t>
      </w:r>
      <w:r w:rsidR="000940AC">
        <w:t>C</w:t>
      </w:r>
      <w:r>
        <w:t xml:space="preserve">ommunities as </w:t>
      </w:r>
      <w:r w:rsidR="006779ED">
        <w:t>Statistical Area Level 1 (</w:t>
      </w:r>
      <w:r>
        <w:t>SA1s</w:t>
      </w:r>
      <w:r w:rsidR="006779ED">
        <w:t>)</w:t>
      </w:r>
      <w:r>
        <w:t xml:space="preserve"> where Indigenous people represent at least 50% of the estimated resident population. As Indigenous ERP will not be produced this year, it would be possible to make this calculation on the basis of census counts. However, the difference between census counts and ERP is quite different for Indigenous and non-Indigenous populations.</w:t>
      </w:r>
    </w:p>
    <w:p w:rsidR="00E32ADF" w:rsidRDefault="00E32ADF" w:rsidP="00E32ADF">
      <w:pPr>
        <w:pStyle w:val="CGCNumberedPara"/>
      </w:pPr>
      <w:proofErr w:type="gramStart"/>
      <w:r>
        <w:t>Staff consider</w:t>
      </w:r>
      <w:proofErr w:type="gramEnd"/>
      <w:r>
        <w:t xml:space="preserve"> that it</w:t>
      </w:r>
      <w:r w:rsidR="00BE2A77">
        <w:t xml:space="preserve"> is</w:t>
      </w:r>
      <w:r>
        <w:t xml:space="preserve"> unlikely that many new Discrete Indigenous Communities will have been created in this </w:t>
      </w:r>
      <w:r w:rsidR="00E61CE1">
        <w:t>C</w:t>
      </w:r>
      <w:r>
        <w:t xml:space="preserve">ensus. We consider this geography should be updated in the 2019 </w:t>
      </w:r>
      <w:r w:rsidR="00CC4F5E">
        <w:t>U</w:t>
      </w:r>
      <w:r>
        <w:t xml:space="preserve">pdate, when Indigenous small area ERP is available. </w:t>
      </w:r>
    </w:p>
    <w:p w:rsidR="00E32ADF" w:rsidRDefault="00E32ADF" w:rsidP="00E32ADF">
      <w:pPr>
        <w:pStyle w:val="Heading4"/>
      </w:pPr>
      <w:bookmarkStart w:id="140" w:name="_Toc489877480"/>
      <w:bookmarkStart w:id="141" w:name="_Toc489877535"/>
      <w:bookmarkStart w:id="142" w:name="_Toc489878078"/>
      <w:bookmarkStart w:id="143" w:name="_Toc489878454"/>
      <w:bookmarkStart w:id="144" w:name="_Toc490138808"/>
      <w:bookmarkStart w:id="145" w:name="_Toc490139338"/>
      <w:bookmarkStart w:id="146" w:name="_Toc490224745"/>
      <w:bookmarkStart w:id="147" w:name="_Toc490228107"/>
      <w:bookmarkStart w:id="148" w:name="_Toc490228668"/>
      <w:bookmarkStart w:id="149" w:name="_Toc490556257"/>
      <w:bookmarkStart w:id="150" w:name="_Toc490659138"/>
      <w:bookmarkStart w:id="151" w:name="_Toc490659327"/>
      <w:bookmarkStart w:id="152" w:name="_Toc490659531"/>
      <w:r>
        <w:t xml:space="preserve">Other </w:t>
      </w:r>
      <w:r w:rsidR="006269C3">
        <w:t>g</w:t>
      </w:r>
      <w:r>
        <w:t>eographic classifications</w:t>
      </w:r>
      <w:bookmarkEnd w:id="140"/>
      <w:bookmarkEnd w:id="141"/>
      <w:bookmarkEnd w:id="142"/>
      <w:bookmarkEnd w:id="143"/>
      <w:bookmarkEnd w:id="144"/>
      <w:bookmarkEnd w:id="145"/>
      <w:bookmarkEnd w:id="146"/>
      <w:bookmarkEnd w:id="147"/>
      <w:bookmarkEnd w:id="148"/>
      <w:bookmarkEnd w:id="149"/>
      <w:bookmarkEnd w:id="150"/>
      <w:bookmarkEnd w:id="151"/>
      <w:bookmarkEnd w:id="152"/>
    </w:p>
    <w:p w:rsidR="00E32ADF" w:rsidRDefault="00E32ADF" w:rsidP="00E32ADF">
      <w:pPr>
        <w:pStyle w:val="CGCNumberedPara"/>
      </w:pPr>
      <w:r>
        <w:t xml:space="preserve">Population classified by significant urban areas and urban centres are used in the </w:t>
      </w:r>
      <w:r w:rsidR="00CC4F5E">
        <w:t>R</w:t>
      </w:r>
      <w:r>
        <w:t xml:space="preserve">oads, </w:t>
      </w:r>
      <w:r w:rsidR="00CC4F5E">
        <w:t>T</w:t>
      </w:r>
      <w:r>
        <w:t xml:space="preserve">ransport and </w:t>
      </w:r>
      <w:r w:rsidR="00CC4F5E">
        <w:t>S</w:t>
      </w:r>
      <w:r>
        <w:t>ervices to communities assessments. Revisions to these cl</w:t>
      </w:r>
      <w:r w:rsidR="00BE2A77">
        <w:t>assifications are planned for l</w:t>
      </w:r>
      <w:r>
        <w:t xml:space="preserve">ate 2017. </w:t>
      </w:r>
    </w:p>
    <w:p w:rsidR="00E32ADF" w:rsidRDefault="00E32ADF" w:rsidP="00E32ADF">
      <w:pPr>
        <w:pStyle w:val="CGCNumberedPara"/>
      </w:pPr>
      <w:r>
        <w:t xml:space="preserve">The Commission uses two other </w:t>
      </w:r>
      <w:proofErr w:type="spellStart"/>
      <w:r>
        <w:t>CGC</w:t>
      </w:r>
      <w:proofErr w:type="spellEnd"/>
      <w:r>
        <w:t xml:space="preserve"> specific geographic classifications. It assesses:</w:t>
      </w:r>
    </w:p>
    <w:p w:rsidR="00E32ADF" w:rsidRDefault="00E32ADF" w:rsidP="00E32ADF">
      <w:pPr>
        <w:pStyle w:val="CGCBulletlist"/>
        <w:tabs>
          <w:tab w:val="clear" w:pos="927"/>
        </w:tabs>
        <w:ind w:left="1134" w:hanging="567"/>
      </w:pPr>
      <w:r>
        <w:t>local roads in areas with a population density above 0.01 persons/km</w:t>
      </w:r>
      <w:r w:rsidRPr="003179A1">
        <w:rPr>
          <w:vertAlign w:val="superscript"/>
        </w:rPr>
        <w:t>2</w:t>
      </w:r>
    </w:p>
    <w:p w:rsidR="00E32ADF" w:rsidRDefault="00E32ADF" w:rsidP="00E32ADF">
      <w:pPr>
        <w:pStyle w:val="CGCBulletlist"/>
        <w:tabs>
          <w:tab w:val="clear" w:pos="927"/>
        </w:tabs>
        <w:ind w:left="1134" w:hanging="567"/>
      </w:pPr>
      <w:proofErr w:type="gramStart"/>
      <w:r>
        <w:t>services</w:t>
      </w:r>
      <w:proofErr w:type="gramEnd"/>
      <w:r>
        <w:t xml:space="preserve"> to communities in ‘urban areas’ with a population of 50 to 200</w:t>
      </w:r>
      <w:r w:rsidR="00CC4F5E">
        <w:t>.</w:t>
      </w:r>
    </w:p>
    <w:p w:rsidR="00E32ADF" w:rsidRDefault="00E32ADF" w:rsidP="00E32ADF">
      <w:pPr>
        <w:pStyle w:val="CGCNumberedPara"/>
      </w:pPr>
      <w:r>
        <w:t xml:space="preserve">Staff will have updated population numbers for SA1s and mesh blocks respectively and could incorporate this revised geography into the Commission’s assessments. </w:t>
      </w:r>
    </w:p>
    <w:p w:rsidR="00E32ADF" w:rsidRDefault="00E32ADF" w:rsidP="00E32ADF">
      <w:pPr>
        <w:pStyle w:val="CGCNumberedPara"/>
      </w:pPr>
      <w:r>
        <w:t xml:space="preserve">Only population numbers are required on these classifications. Data from external suppliers are not required to be classified to these classifications. Therefore </w:t>
      </w:r>
      <w:proofErr w:type="gramStart"/>
      <w:r>
        <w:t>staff consider</w:t>
      </w:r>
      <w:proofErr w:type="gramEnd"/>
      <w:r>
        <w:t xml:space="preserve"> that as long as the classifications are published by the end of 2017, there should be sufficient time to incorporate them into the Commission’s assessments. </w:t>
      </w:r>
    </w:p>
    <w:p w:rsidR="00E32ADF" w:rsidRDefault="00E32ADF" w:rsidP="00E32ADF">
      <w:pPr>
        <w:pStyle w:val="Heading4"/>
      </w:pPr>
      <w:bookmarkStart w:id="153" w:name="_Toc489877481"/>
      <w:bookmarkStart w:id="154" w:name="_Toc489877536"/>
      <w:bookmarkStart w:id="155" w:name="_Toc489878079"/>
      <w:bookmarkStart w:id="156" w:name="_Toc489878455"/>
      <w:bookmarkStart w:id="157" w:name="_Toc490138809"/>
      <w:bookmarkStart w:id="158" w:name="_Toc490139339"/>
      <w:bookmarkStart w:id="159" w:name="_Toc490224746"/>
      <w:bookmarkStart w:id="160" w:name="_Toc490228108"/>
      <w:bookmarkStart w:id="161" w:name="_Toc490228669"/>
      <w:bookmarkStart w:id="162" w:name="_Toc490556258"/>
      <w:bookmarkStart w:id="163" w:name="_Toc490659139"/>
      <w:bookmarkStart w:id="164" w:name="_Toc490659328"/>
      <w:bookmarkStart w:id="165" w:name="_Toc490659532"/>
      <w:r>
        <w:lastRenderedPageBreak/>
        <w:t>Housing</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E32ADF" w:rsidRDefault="00E32ADF" w:rsidP="00E32ADF">
      <w:pPr>
        <w:pStyle w:val="CGCNumberedPara"/>
      </w:pPr>
      <w:r>
        <w:t xml:space="preserve">The </w:t>
      </w:r>
      <w:r w:rsidR="00CC4F5E">
        <w:t>H</w:t>
      </w:r>
      <w:r w:rsidR="006269C3">
        <w:t>ousing assessment uses C</w:t>
      </w:r>
      <w:r>
        <w:t xml:space="preserve">ensus data to calculate social housing use rates by Indigeneity, housing income and remoteness. As discussed above, this year the Commission will not have new remoteness areas. However, it will be possible to calculate revised social housing use rates using the new census, but using the 2011 remoteness classification. </w:t>
      </w:r>
    </w:p>
    <w:p w:rsidR="00E32ADF" w:rsidRDefault="00E32ADF" w:rsidP="00E32ADF">
      <w:pPr>
        <w:pStyle w:val="CGCNumberedPara"/>
      </w:pPr>
      <w:r>
        <w:t xml:space="preserve">In the 2019 Update, it will be necessary to recalculate this assessment using the 2017 remoteness classification. While not ideal to make this change in two bites, </w:t>
      </w:r>
      <w:proofErr w:type="gramStart"/>
      <w:r>
        <w:t>staff consider</w:t>
      </w:r>
      <w:proofErr w:type="gramEnd"/>
      <w:r>
        <w:t xml:space="preserve"> that the remoteness changes are likely to be relatively minor, while changes in social housing rates, income distributions and Indigeneity are likely to be more significant. Therefore, the chance of incomplete data moving the Commission away from the final outcome seems unlikely. </w:t>
      </w:r>
    </w:p>
    <w:p w:rsidR="00E32ADF" w:rsidRDefault="00E32ADF" w:rsidP="003215B5">
      <w:pPr>
        <w:pStyle w:val="Heading4"/>
      </w:pPr>
      <w:bookmarkStart w:id="166" w:name="_Toc489877482"/>
      <w:bookmarkStart w:id="167" w:name="_Toc489877537"/>
      <w:bookmarkStart w:id="168" w:name="_Toc489878080"/>
      <w:bookmarkStart w:id="169" w:name="_Toc489878456"/>
      <w:bookmarkStart w:id="170" w:name="_Toc490138810"/>
      <w:bookmarkStart w:id="171" w:name="_Toc490139340"/>
      <w:bookmarkStart w:id="172" w:name="_Toc490224747"/>
      <w:bookmarkStart w:id="173" w:name="_Toc490228109"/>
      <w:bookmarkStart w:id="174" w:name="_Toc490228295"/>
      <w:bookmarkStart w:id="175" w:name="_Toc490228670"/>
      <w:bookmarkStart w:id="176" w:name="_Toc490556259"/>
      <w:bookmarkStart w:id="177" w:name="_Toc490659140"/>
      <w:bookmarkStart w:id="178" w:name="_Toc490659329"/>
      <w:bookmarkStart w:id="179" w:name="_Toc490659533"/>
      <w:r>
        <w:t>Recommendation</w:t>
      </w:r>
      <w:r w:rsidR="0029387C">
        <w:t>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bl>
      <w:tblPr>
        <w:tblStyle w:val="TableGrid"/>
        <w:tblW w:w="0" w:type="auto"/>
        <w:tblLook w:val="04A0" w:firstRow="1" w:lastRow="0" w:firstColumn="1" w:lastColumn="0" w:noHBand="0" w:noVBand="1"/>
      </w:tblPr>
      <w:tblGrid>
        <w:gridCol w:w="9167"/>
      </w:tblGrid>
      <w:tr w:rsidR="00E32ADF" w:rsidTr="00E32ADF">
        <w:tc>
          <w:tcPr>
            <w:tcW w:w="9167" w:type="dxa"/>
            <w:tcBorders>
              <w:top w:val="nil"/>
              <w:left w:val="nil"/>
              <w:bottom w:val="nil"/>
              <w:right w:val="nil"/>
            </w:tcBorders>
            <w:shd w:val="clear" w:color="auto" w:fill="D9F3E6"/>
          </w:tcPr>
          <w:p w:rsidR="00E32ADF" w:rsidRDefault="00E32ADF" w:rsidP="00E32ADF">
            <w:proofErr w:type="gramStart"/>
            <w:r>
              <w:t>Staff propose</w:t>
            </w:r>
            <w:proofErr w:type="gramEnd"/>
            <w:r>
              <w:t xml:space="preserve"> to recommend that the Commission incorporate new </w:t>
            </w:r>
            <w:r w:rsidR="006269C3">
              <w:t>C</w:t>
            </w:r>
            <w:r>
              <w:t xml:space="preserve">ensus data selectively. </w:t>
            </w:r>
          </w:p>
          <w:p w:rsidR="00E32ADF" w:rsidRDefault="002F73CE" w:rsidP="00E32ADF">
            <w:pPr>
              <w:pStyle w:val="CGCBulletlist"/>
              <w:tabs>
                <w:tab w:val="clear" w:pos="927"/>
              </w:tabs>
              <w:ind w:left="1134" w:hanging="567"/>
            </w:pPr>
            <w:r>
              <w:t>T</w:t>
            </w:r>
            <w:r w:rsidR="00E32ADF">
              <w:t>otal population estimates</w:t>
            </w:r>
          </w:p>
          <w:p w:rsidR="00E32ADF" w:rsidRPr="004F7D82" w:rsidRDefault="00E32ADF" w:rsidP="004F7D82">
            <w:pPr>
              <w:pStyle w:val="CGCSubbulletlist"/>
              <w:tabs>
                <w:tab w:val="clear" w:pos="927"/>
                <w:tab w:val="clear" w:pos="1418"/>
              </w:tabs>
              <w:ind w:left="1701" w:hanging="567"/>
            </w:pPr>
            <w:proofErr w:type="gramStart"/>
            <w:r w:rsidRPr="004F7D82">
              <w:t>use</w:t>
            </w:r>
            <w:proofErr w:type="gramEnd"/>
            <w:r w:rsidRPr="004F7D82">
              <w:t xml:space="preserve"> ABS published estimated resident populations (ERPs) from June 2016 onwards, and derive its total State ERPs for estimates before June 2016 using the published components of growth (births, deaths and net migration)</w:t>
            </w:r>
            <w:r w:rsidR="00CC4F5E">
              <w:t>.</w:t>
            </w:r>
          </w:p>
          <w:p w:rsidR="00E32ADF" w:rsidRDefault="00E32ADF" w:rsidP="00E32ADF">
            <w:pPr>
              <w:pStyle w:val="CGCBulletlist"/>
              <w:tabs>
                <w:tab w:val="clear" w:pos="927"/>
              </w:tabs>
              <w:ind w:left="1134" w:hanging="567"/>
            </w:pPr>
            <w:r>
              <w:t>Indigenous population estimates</w:t>
            </w:r>
          </w:p>
          <w:p w:rsidR="00E32ADF" w:rsidRDefault="00E32ADF" w:rsidP="004F7D82">
            <w:pPr>
              <w:pStyle w:val="CGCSubbulletlist"/>
              <w:tabs>
                <w:tab w:val="clear" w:pos="927"/>
                <w:tab w:val="clear" w:pos="1418"/>
              </w:tabs>
              <w:ind w:left="1701" w:hanging="567"/>
            </w:pPr>
            <w:proofErr w:type="gramStart"/>
            <w:r>
              <w:t>use</w:t>
            </w:r>
            <w:proofErr w:type="gramEnd"/>
            <w:r>
              <w:t xml:space="preserve"> new </w:t>
            </w:r>
            <w:r w:rsidR="006269C3">
              <w:t>C</w:t>
            </w:r>
            <w:r>
              <w:t>ensus based data</w:t>
            </w:r>
            <w:r w:rsidR="00CC4F5E">
              <w:t>.</w:t>
            </w:r>
          </w:p>
          <w:p w:rsidR="00E32ADF" w:rsidRDefault="00E32ADF" w:rsidP="00E32ADF">
            <w:pPr>
              <w:pStyle w:val="CGCBulletlist"/>
              <w:tabs>
                <w:tab w:val="clear" w:pos="927"/>
              </w:tabs>
              <w:ind w:left="1134" w:hanging="567"/>
            </w:pPr>
            <w:proofErr w:type="spellStart"/>
            <w:r>
              <w:t>IRSEO</w:t>
            </w:r>
            <w:proofErr w:type="spellEnd"/>
            <w:r>
              <w:t>/</w:t>
            </w:r>
            <w:proofErr w:type="spellStart"/>
            <w:r>
              <w:t>NISEIFA</w:t>
            </w:r>
            <w:proofErr w:type="spellEnd"/>
            <w:r>
              <w:t>/</w:t>
            </w:r>
            <w:proofErr w:type="spellStart"/>
            <w:r>
              <w:t>SEIFA</w:t>
            </w:r>
            <w:proofErr w:type="spellEnd"/>
            <w:r>
              <w:t xml:space="preserve"> classifications </w:t>
            </w:r>
          </w:p>
          <w:p w:rsidR="00E32ADF" w:rsidRDefault="00E32ADF" w:rsidP="004F7D82">
            <w:pPr>
              <w:pStyle w:val="CGCSubbulletlist"/>
              <w:tabs>
                <w:tab w:val="clear" w:pos="927"/>
                <w:tab w:val="clear" w:pos="1418"/>
              </w:tabs>
              <w:ind w:left="1701" w:hanging="567"/>
            </w:pPr>
            <w:r>
              <w:t xml:space="preserve">use new data in </w:t>
            </w:r>
            <w:r w:rsidR="00CC4F5E">
              <w:t>S</w:t>
            </w:r>
            <w:r>
              <w:t xml:space="preserve">chools, </w:t>
            </w:r>
            <w:r w:rsidR="00CC4F5E">
              <w:t>P</w:t>
            </w:r>
            <w:r>
              <w:t xml:space="preserve">ost-secondary education and </w:t>
            </w:r>
            <w:r w:rsidR="00CC4F5E">
              <w:t>W</w:t>
            </w:r>
            <w:r>
              <w:t>elfare, and</w:t>
            </w:r>
            <w:r w:rsidR="00983A0E">
              <w:t xml:space="preserve"> for the </w:t>
            </w:r>
            <w:r>
              <w:t xml:space="preserve">IHPA </w:t>
            </w:r>
            <w:r w:rsidR="00983A0E">
              <w:t xml:space="preserve">health </w:t>
            </w:r>
            <w:r w:rsidR="00CC4F5E">
              <w:t xml:space="preserve">data </w:t>
            </w:r>
          </w:p>
          <w:p w:rsidR="00E32ADF" w:rsidRDefault="00E32ADF" w:rsidP="004F7D82">
            <w:pPr>
              <w:pStyle w:val="CGCSubbulletlist"/>
              <w:tabs>
                <w:tab w:val="clear" w:pos="927"/>
                <w:tab w:val="clear" w:pos="1418"/>
              </w:tabs>
              <w:ind w:left="1701" w:hanging="567"/>
            </w:pPr>
            <w:proofErr w:type="gramStart"/>
            <w:r>
              <w:t>continue</w:t>
            </w:r>
            <w:proofErr w:type="gramEnd"/>
            <w:r>
              <w:t xml:space="preserve"> to use 2011 </w:t>
            </w:r>
            <w:r w:rsidR="00983A0E">
              <w:t xml:space="preserve">Census </w:t>
            </w:r>
            <w:r>
              <w:t xml:space="preserve">based data from Medicare and </w:t>
            </w:r>
            <w:proofErr w:type="spellStart"/>
            <w:r>
              <w:t>AIHW</w:t>
            </w:r>
            <w:proofErr w:type="spellEnd"/>
            <w:r>
              <w:t xml:space="preserve"> data to assess non-State adj</w:t>
            </w:r>
            <w:r w:rsidR="00CC4F5E">
              <w:t>ustments in the Health category.</w:t>
            </w:r>
          </w:p>
          <w:p w:rsidR="00E32ADF" w:rsidRDefault="00E32ADF" w:rsidP="00E32ADF">
            <w:pPr>
              <w:pStyle w:val="CGCBulletlist"/>
              <w:tabs>
                <w:tab w:val="clear" w:pos="927"/>
              </w:tabs>
              <w:ind w:left="1134" w:hanging="567"/>
            </w:pPr>
            <w:r>
              <w:t>Other geographic classifications</w:t>
            </w:r>
          </w:p>
          <w:p w:rsidR="00E32ADF" w:rsidRDefault="00E32ADF" w:rsidP="004F7D82">
            <w:pPr>
              <w:pStyle w:val="CGCSubbulletlist"/>
              <w:tabs>
                <w:tab w:val="clear" w:pos="927"/>
                <w:tab w:val="clear" w:pos="1418"/>
              </w:tabs>
              <w:ind w:left="1701" w:hanging="567"/>
            </w:pPr>
            <w:r>
              <w:t>use new data for Urban cen</w:t>
            </w:r>
            <w:r w:rsidR="00CC4F5E">
              <w:t>tres, Significant urban areas, L</w:t>
            </w:r>
            <w:r>
              <w:t xml:space="preserve">ow density areas and </w:t>
            </w:r>
            <w:r w:rsidR="00CC4F5E">
              <w:t>P</w:t>
            </w:r>
            <w:r>
              <w:t>seudo</w:t>
            </w:r>
            <w:r>
              <w:noBreakHyphen/>
              <w:t>urban areas</w:t>
            </w:r>
          </w:p>
          <w:p w:rsidR="00E32ADF" w:rsidRDefault="00E32ADF" w:rsidP="004F7D82">
            <w:pPr>
              <w:pStyle w:val="CGCSubbulletlist"/>
              <w:tabs>
                <w:tab w:val="clear" w:pos="927"/>
                <w:tab w:val="clear" w:pos="1418"/>
              </w:tabs>
              <w:ind w:left="1701" w:hanging="567"/>
            </w:pPr>
            <w:proofErr w:type="gramStart"/>
            <w:r>
              <w:t>continue</w:t>
            </w:r>
            <w:proofErr w:type="gramEnd"/>
            <w:r>
              <w:t xml:space="preserve"> to use 2011 </w:t>
            </w:r>
            <w:r w:rsidR="00983A0E">
              <w:t xml:space="preserve">Census </w:t>
            </w:r>
            <w:r>
              <w:t>based data for remoteness areas and discrete Indigenous communities</w:t>
            </w:r>
            <w:r w:rsidR="00CC4F5E">
              <w:t>.</w:t>
            </w:r>
          </w:p>
          <w:p w:rsidR="00E32ADF" w:rsidRDefault="00E32ADF" w:rsidP="00E32ADF">
            <w:pPr>
              <w:pStyle w:val="CGCBulletlist"/>
              <w:tabs>
                <w:tab w:val="clear" w:pos="927"/>
              </w:tabs>
              <w:ind w:left="1134" w:hanging="567"/>
            </w:pPr>
            <w:r>
              <w:t>Social housing</w:t>
            </w:r>
          </w:p>
          <w:p w:rsidR="00E32ADF" w:rsidRPr="00380A9A" w:rsidRDefault="00E32ADF" w:rsidP="004F7D82">
            <w:pPr>
              <w:pStyle w:val="CGCSubbulletlist"/>
              <w:tabs>
                <w:tab w:val="clear" w:pos="927"/>
                <w:tab w:val="clear" w:pos="1418"/>
              </w:tabs>
              <w:ind w:left="1701" w:hanging="567"/>
            </w:pPr>
            <w:proofErr w:type="gramStart"/>
            <w:r>
              <w:t>use</w:t>
            </w:r>
            <w:proofErr w:type="gramEnd"/>
            <w:r>
              <w:t xml:space="preserve"> new census data (except for remoteness).</w:t>
            </w:r>
          </w:p>
        </w:tc>
      </w:tr>
    </w:tbl>
    <w:p w:rsidR="00444280" w:rsidRDefault="00444280">
      <w:pPr>
        <w:tabs>
          <w:tab w:val="clear" w:pos="567"/>
        </w:tabs>
        <w:rPr>
          <w:rFonts w:eastAsiaTheme="majorEastAsia" w:cstheme="majorBidi"/>
          <w:b/>
          <w:bCs/>
          <w:caps/>
          <w:color w:val="2C8558"/>
          <w:sz w:val="32"/>
        </w:rPr>
      </w:pPr>
      <w:bookmarkStart w:id="180" w:name="_Toc489877483"/>
      <w:bookmarkStart w:id="181" w:name="_Toc489877538"/>
      <w:bookmarkStart w:id="182" w:name="_Toc489878081"/>
      <w:bookmarkStart w:id="183" w:name="_Toc489878457"/>
      <w:bookmarkStart w:id="184" w:name="_Toc490138811"/>
      <w:bookmarkStart w:id="185" w:name="_Toc490224748"/>
      <w:bookmarkStart w:id="186" w:name="_Toc490228110"/>
      <w:bookmarkStart w:id="187" w:name="_Toc490228671"/>
      <w:r>
        <w:br w:type="page"/>
      </w:r>
    </w:p>
    <w:p w:rsidR="003C77EF" w:rsidRPr="003732CE" w:rsidRDefault="003732CE" w:rsidP="003732CE">
      <w:pPr>
        <w:pStyle w:val="Heading3"/>
      </w:pPr>
      <w:bookmarkStart w:id="188" w:name="_Toc490556260"/>
      <w:bookmarkStart w:id="189" w:name="_Toc490659141"/>
      <w:bookmarkStart w:id="190" w:name="_Toc490659330"/>
      <w:bookmarkStart w:id="191" w:name="_Toc490659534"/>
      <w:r w:rsidRPr="003732CE">
        <w:lastRenderedPageBreak/>
        <w:t>Wage costs assessment — Commonwealth Superannuation Scheme adjustment</w:t>
      </w:r>
      <w:bookmarkEnd w:id="180"/>
      <w:bookmarkEnd w:id="181"/>
      <w:bookmarkEnd w:id="182"/>
      <w:r w:rsidRPr="003732CE">
        <w:t>s</w:t>
      </w:r>
      <w:bookmarkEnd w:id="183"/>
      <w:bookmarkEnd w:id="184"/>
      <w:bookmarkEnd w:id="185"/>
      <w:bookmarkEnd w:id="186"/>
      <w:bookmarkEnd w:id="187"/>
      <w:bookmarkEnd w:id="188"/>
      <w:bookmarkEnd w:id="189"/>
      <w:bookmarkEnd w:id="190"/>
      <w:bookmarkEnd w:id="191"/>
    </w:p>
    <w:p w:rsidR="003C77EF" w:rsidRDefault="003C77EF" w:rsidP="003C77EF">
      <w:pPr>
        <w:pStyle w:val="CGCNumberedPara"/>
      </w:pPr>
      <w:r>
        <w:t>In the 2017 Update, the Commission decided to discontinue the adjustment it made to the wage cost assessment for the ACT and the Northern Territory to account for the higher costs to those States of the more generous Commonwealth Superannuation Scheme (CSS) they inherited at the time of self</w:t>
      </w:r>
      <w:r>
        <w:noBreakHyphen/>
        <w:t>government. The Commission had found that this adjustment was no longer material late in its review of the wage costs assessment in the 2016 Update, but did not have sufficient opportunity to consult States at that time.</w:t>
      </w:r>
    </w:p>
    <w:p w:rsidR="003C77EF" w:rsidRDefault="003C77EF" w:rsidP="003C77EF">
      <w:pPr>
        <w:pStyle w:val="CGCNumberedPara"/>
      </w:pPr>
      <w:r>
        <w:t xml:space="preserve">During the 2017 Update report embargo period, the ACT raised in a letter to the Commission its view that the CSS adjustment should be reinstated and expanded to include the costs associated with the Public Sector Superannuation </w:t>
      </w:r>
      <w:r w:rsidR="000940AC">
        <w:t>s</w:t>
      </w:r>
      <w:r>
        <w:t>cheme (PSS), the other defined benefit scheme which applied to former Commonwealth employees at the time of transition to a separate ACT public service. It had new information to suggest that approximately 25% of its public servants</w:t>
      </w:r>
      <w:r w:rsidR="006269C3">
        <w:t xml:space="preserve"> are</w:t>
      </w:r>
      <w:r>
        <w:t xml:space="preserve"> members of the PSS. It said that, in light of this new information, making the change would be consistent with the terms of reference that allowed method changes to overcome data issues.</w:t>
      </w:r>
      <w:r>
        <w:rPr>
          <w:rStyle w:val="FootnoteReference"/>
        </w:rPr>
        <w:footnoteReference w:id="1"/>
      </w:r>
    </w:p>
    <w:p w:rsidR="006269C3" w:rsidRDefault="006269C3" w:rsidP="006269C3">
      <w:pPr>
        <w:pStyle w:val="CGCNumberedPara"/>
      </w:pPr>
      <w:r w:rsidRPr="006269C3">
        <w:t>The ACT indicated that it would provide a further submission on this issue. The Commission has not yet received that submission. The Commission last considered the case for a PSS adjustment in the 2004 Review. At that time, it concluded that the costs of the PSS were no greater than average. Further, it said that maintenance of the PSS was a policy choice and that there was no legislation preventing the ACT from moving new employees to a different scheme.</w:t>
      </w:r>
    </w:p>
    <w:p w:rsidR="00444280" w:rsidRPr="006269C3" w:rsidRDefault="00444280" w:rsidP="00444280">
      <w:pPr>
        <w:pStyle w:val="CGCNumberedPara"/>
        <w:numPr>
          <w:ilvl w:val="0"/>
          <w:numId w:val="0"/>
        </w:numPr>
        <w:ind w:left="567"/>
      </w:pPr>
    </w:p>
    <w:tbl>
      <w:tblPr>
        <w:tblW w:w="0" w:type="auto"/>
        <w:tblInd w:w="108" w:type="dxa"/>
        <w:shd w:val="clear" w:color="auto" w:fill="D9F3E6"/>
        <w:tblLook w:val="04A0" w:firstRow="1" w:lastRow="0" w:firstColumn="1" w:lastColumn="0" w:noHBand="0" w:noVBand="1"/>
      </w:tblPr>
      <w:tblGrid>
        <w:gridCol w:w="8931"/>
      </w:tblGrid>
      <w:tr w:rsidR="007F1986" w:rsidRPr="00970E6D" w:rsidTr="00E32ADF">
        <w:tc>
          <w:tcPr>
            <w:tcW w:w="8931" w:type="dxa"/>
            <w:shd w:val="clear" w:color="auto" w:fill="D9F3E6"/>
          </w:tcPr>
          <w:p w:rsidR="007F1986" w:rsidRPr="00970E6D" w:rsidRDefault="003C77EF" w:rsidP="003C77EF">
            <w:pPr>
              <w:tabs>
                <w:tab w:val="clear" w:pos="567"/>
              </w:tabs>
            </w:pPr>
            <w:r>
              <w:t>State</w:t>
            </w:r>
            <w:r w:rsidR="006269C3">
              <w:t>s</w:t>
            </w:r>
            <w:r>
              <w:t xml:space="preserve"> may wish to comment.</w:t>
            </w:r>
          </w:p>
        </w:tc>
      </w:tr>
    </w:tbl>
    <w:p w:rsidR="00596EF8" w:rsidRPr="005C4F81" w:rsidRDefault="003732CE" w:rsidP="003732CE">
      <w:pPr>
        <w:pStyle w:val="Heading3"/>
      </w:pPr>
      <w:bookmarkStart w:id="192" w:name="_Toc489877484"/>
      <w:bookmarkStart w:id="193" w:name="_Toc489877539"/>
      <w:bookmarkStart w:id="194" w:name="_Toc489878082"/>
      <w:bookmarkStart w:id="195" w:name="_Toc489878458"/>
      <w:bookmarkStart w:id="196" w:name="_Toc490138812"/>
      <w:bookmarkStart w:id="197" w:name="_Toc490224749"/>
      <w:bookmarkStart w:id="198" w:name="_Toc490228111"/>
      <w:bookmarkStart w:id="199" w:name="_Toc490228672"/>
      <w:bookmarkStart w:id="200" w:name="_Toc490556261"/>
      <w:bookmarkStart w:id="201" w:name="_Toc490659142"/>
      <w:bookmarkStart w:id="202" w:name="_Toc490659331"/>
      <w:bookmarkStart w:id="203" w:name="_Toc490659535"/>
      <w:r w:rsidRPr="003732CE">
        <w:t>National</w:t>
      </w:r>
      <w:r w:rsidRPr="005C4F81">
        <w:t xml:space="preserve"> </w:t>
      </w:r>
      <w:r>
        <w:t>D</w:t>
      </w:r>
      <w:r w:rsidRPr="005C4F81">
        <w:t xml:space="preserve">isability </w:t>
      </w:r>
      <w:r>
        <w:t>I</w:t>
      </w:r>
      <w:r w:rsidRPr="005C4F81">
        <w:t xml:space="preserve">nsurance </w:t>
      </w:r>
      <w:r>
        <w:t>S</w:t>
      </w:r>
      <w:r w:rsidRPr="005C4F81">
        <w:t>cheme (NDIS) related payments</w:t>
      </w:r>
      <w:bookmarkEnd w:id="192"/>
      <w:bookmarkEnd w:id="193"/>
      <w:bookmarkEnd w:id="194"/>
      <w:bookmarkEnd w:id="195"/>
      <w:bookmarkEnd w:id="196"/>
      <w:bookmarkEnd w:id="197"/>
      <w:bookmarkEnd w:id="198"/>
      <w:bookmarkEnd w:id="199"/>
      <w:bookmarkEnd w:id="200"/>
      <w:bookmarkEnd w:id="201"/>
      <w:bookmarkEnd w:id="202"/>
      <w:bookmarkEnd w:id="203"/>
    </w:p>
    <w:p w:rsidR="00157BF8" w:rsidRDefault="00157BF8" w:rsidP="00157BF8">
      <w:pPr>
        <w:pStyle w:val="Heading4"/>
      </w:pPr>
      <w:bookmarkStart w:id="204" w:name="_Toc489877485"/>
      <w:bookmarkStart w:id="205" w:name="_Toc489877540"/>
      <w:bookmarkStart w:id="206" w:name="_Toc489878083"/>
      <w:bookmarkStart w:id="207" w:name="_Toc489878459"/>
      <w:bookmarkStart w:id="208" w:name="_Toc490138813"/>
      <w:bookmarkStart w:id="209" w:name="_Toc490139343"/>
      <w:bookmarkStart w:id="210" w:name="_Toc490224750"/>
      <w:bookmarkStart w:id="211" w:name="_Toc490228112"/>
      <w:bookmarkStart w:id="212" w:name="_Toc490228673"/>
      <w:bookmarkStart w:id="213" w:name="_Toc490556262"/>
      <w:bookmarkStart w:id="214" w:name="_Toc490659143"/>
      <w:bookmarkStart w:id="215" w:name="_Toc490659332"/>
      <w:bookmarkStart w:id="216" w:name="_Toc490659536"/>
      <w:r>
        <w:t>New South Wales’ and South Australia’s move to full scheme</w:t>
      </w:r>
      <w:bookmarkEnd w:id="204"/>
      <w:bookmarkEnd w:id="205"/>
      <w:bookmarkEnd w:id="206"/>
      <w:bookmarkEnd w:id="207"/>
      <w:bookmarkEnd w:id="208"/>
      <w:bookmarkEnd w:id="209"/>
      <w:bookmarkEnd w:id="210"/>
      <w:bookmarkEnd w:id="211"/>
      <w:bookmarkEnd w:id="212"/>
      <w:bookmarkEnd w:id="213"/>
      <w:bookmarkEnd w:id="214"/>
      <w:bookmarkEnd w:id="215"/>
      <w:bookmarkEnd w:id="216"/>
    </w:p>
    <w:p w:rsidR="00C67CC4" w:rsidRPr="00EC79CF" w:rsidRDefault="00C67CC4" w:rsidP="00C67CC4">
      <w:pPr>
        <w:pStyle w:val="CGCNumberedPara"/>
      </w:pPr>
      <w:bookmarkStart w:id="217" w:name="_Toc462923718"/>
      <w:bookmarkStart w:id="218" w:name="_Toc464045986"/>
      <w:bookmarkStart w:id="219" w:name="_Toc464117937"/>
      <w:r w:rsidRPr="00EC79CF">
        <w:t xml:space="preserve">The terms of reference </w:t>
      </w:r>
      <w:r>
        <w:t xml:space="preserve">for the 2015 Review </w:t>
      </w:r>
      <w:r w:rsidRPr="00EC79CF">
        <w:t>ask</w:t>
      </w:r>
      <w:r>
        <w:t>ed</w:t>
      </w:r>
      <w:r w:rsidRPr="00EC79CF">
        <w:t xml:space="preserve"> the Commission to:</w:t>
      </w:r>
    </w:p>
    <w:p w:rsidR="00C67CC4" w:rsidRPr="00EC79CF" w:rsidRDefault="00C67CC4" w:rsidP="00C67CC4">
      <w:pPr>
        <w:pStyle w:val="CGCQuotation"/>
      </w:pPr>
      <w:r w:rsidRPr="00EC79CF">
        <w:lastRenderedPageBreak/>
        <w:t xml:space="preserve">…consider the most appropriate treatment of disability services during the transition to </w:t>
      </w:r>
      <w:proofErr w:type="spellStart"/>
      <w:r w:rsidRPr="00EC79CF">
        <w:t>DisabilityCare</w:t>
      </w:r>
      <w:proofErr w:type="spellEnd"/>
      <w:r w:rsidRPr="00EC79CF">
        <w:t xml:space="preserve"> Australia (the National Disability Insurance Scheme) and once the full scheme</w:t>
      </w:r>
      <w:r>
        <w:rPr>
          <w:rStyle w:val="FootnoteReference"/>
        </w:rPr>
        <w:footnoteReference w:id="2"/>
      </w:r>
      <w:r w:rsidRPr="00EC79CF">
        <w:t xml:space="preserve"> is operating nationally. </w:t>
      </w:r>
    </w:p>
    <w:p w:rsidR="00C67CC4" w:rsidRDefault="00C67CC4" w:rsidP="00C67CC4">
      <w:pPr>
        <w:pStyle w:val="CGCNumberedPara"/>
      </w:pPr>
      <w:r>
        <w:t>The Commission decided to undertake</w:t>
      </w:r>
      <w:r w:rsidRPr="006E2535">
        <w:t xml:space="preserve"> dual assessments of State expenses on disability services and NDIS contributions </w:t>
      </w:r>
      <w:r>
        <w:t>i</w:t>
      </w:r>
      <w:r w:rsidRPr="006E2535">
        <w:t>n the transition phase</w:t>
      </w:r>
      <w:r>
        <w:t xml:space="preserve"> to recognise what States were doing. The </w:t>
      </w:r>
      <w:r w:rsidRPr="006E2535">
        <w:t xml:space="preserve">assessments of State expenses on disability services and NDIS contributions </w:t>
      </w:r>
      <w:r>
        <w:t>have been</w:t>
      </w:r>
      <w:r w:rsidRPr="006E2535">
        <w:t xml:space="preserve"> undertaken on the basis of State proportions of the total number of people eligible in a year to be covered by NDIS when fully operational.</w:t>
      </w:r>
      <w:r>
        <w:rPr>
          <w:rStyle w:val="FootnoteReference"/>
        </w:rPr>
        <w:footnoteReference w:id="3"/>
      </w:r>
      <w:r w:rsidRPr="006E2535">
        <w:t xml:space="preserve"> Other disabilities w</w:t>
      </w:r>
      <w:r>
        <w:t xml:space="preserve">ere also assessed for </w:t>
      </w:r>
      <w:r w:rsidRPr="006E2535">
        <w:t>existing disability services expenses but not in relation to the NDIS contributions.</w:t>
      </w:r>
    </w:p>
    <w:p w:rsidR="00C67CC4" w:rsidRDefault="00C67CC4" w:rsidP="00C67CC4">
      <w:pPr>
        <w:pStyle w:val="CGCNumberedPara"/>
      </w:pPr>
      <w:r>
        <w:t xml:space="preserve">This approach was adopted because States in transition were contributing the same proportion of average package costs for an agreed number of participants under the age of 65 (Indigenous Australians under the age of 50). The agreed number of </w:t>
      </w:r>
      <w:proofErr w:type="gramStart"/>
      <w:r>
        <w:t>participants,</w:t>
      </w:r>
      <w:proofErr w:type="gramEnd"/>
      <w:r>
        <w:t xml:space="preserve"> or rate of transition to full scheme, in each State was the result of State policy decisions. The Commission decided that the total number of people who would be eligible for NDIS when it was fully operational was a policy neutral measure of State needs for such funding, not affected by policies on rates of transition.</w:t>
      </w:r>
    </w:p>
    <w:p w:rsidR="00C67CC4" w:rsidRPr="006E2535" w:rsidRDefault="00C67CC4" w:rsidP="00C67CC4">
      <w:pPr>
        <w:pStyle w:val="CGCNumberedPara"/>
      </w:pPr>
      <w:r>
        <w:t>The Commission also said that a</w:t>
      </w:r>
      <w:r w:rsidRPr="006E2535">
        <w:t>fter full implementation</w:t>
      </w:r>
      <w:r>
        <w:t xml:space="preserve"> nationally</w:t>
      </w:r>
      <w:r w:rsidRPr="006E2535">
        <w:t>, State NDIS contributions w</w:t>
      </w:r>
      <w:r>
        <w:t>ould</w:t>
      </w:r>
      <w:r w:rsidRPr="006E2535">
        <w:t xml:space="preserve"> be assessed on an</w:t>
      </w:r>
      <w:r>
        <w:t xml:space="preserve"> actual per capita (APC) basis and t</w:t>
      </w:r>
      <w:r w:rsidRPr="006E2535">
        <w:t>he existing State d</w:t>
      </w:r>
      <w:r>
        <w:t>isability services assessment would continue until it became</w:t>
      </w:r>
      <w:r w:rsidRPr="006E2535">
        <w:t xml:space="preserve"> immaterial.</w:t>
      </w:r>
      <w:r>
        <w:t xml:space="preserve"> An APC assessment was considered appropriate because all States would be contributing to NDIS on the basis of their population shares at the most recent Census. All States would have the same policy.</w:t>
      </w:r>
    </w:p>
    <w:p w:rsidR="00C67CC4" w:rsidRPr="006E2535" w:rsidRDefault="00C67CC4" w:rsidP="00C67CC4">
      <w:pPr>
        <w:pStyle w:val="CGCNumberedPara"/>
      </w:pPr>
      <w:r w:rsidRPr="006E2535">
        <w:t>In both transition and full implementation phases</w:t>
      </w:r>
      <w:r>
        <w:t>, the Commission said it would</w:t>
      </w:r>
      <w:r w:rsidRPr="006E2535">
        <w:t xml:space="preserve"> treat any associated Commonwealth payments to States, excluding State draw-downs of the Medicare Levy from the </w:t>
      </w:r>
      <w:proofErr w:type="spellStart"/>
      <w:r w:rsidRPr="006E2535">
        <w:t>DisabilityCare</w:t>
      </w:r>
      <w:proofErr w:type="spellEnd"/>
      <w:r w:rsidRPr="006E2535">
        <w:t xml:space="preserve"> Australia Fund, as having an impact on the GST distribution.</w:t>
      </w:r>
    </w:p>
    <w:p w:rsidR="00C67CC4" w:rsidRDefault="00C67CC4" w:rsidP="00C67CC4">
      <w:pPr>
        <w:pStyle w:val="CGCNumberedPara"/>
      </w:pPr>
      <w:r w:rsidRPr="006E2535">
        <w:t xml:space="preserve">The changes in State service delivery and associated Commonwealth payments due to the NDIS </w:t>
      </w:r>
      <w:r>
        <w:t>have been</w:t>
      </w:r>
      <w:r w:rsidRPr="006E2535">
        <w:t xml:space="preserve"> backcast into the historical years to ensure this major change in Commonwealth-State arrangements reflects the circumstances in the application year.</w:t>
      </w:r>
      <w:r>
        <w:t xml:space="preserve"> This </w:t>
      </w:r>
      <w:proofErr w:type="spellStart"/>
      <w:r>
        <w:t>backcasting</w:t>
      </w:r>
      <w:proofErr w:type="spellEnd"/>
      <w:r>
        <w:t xml:space="preserve"> was implemented by:</w:t>
      </w:r>
    </w:p>
    <w:p w:rsidR="00C67CC4" w:rsidRPr="001F2888" w:rsidRDefault="00C67CC4" w:rsidP="00C67CC4">
      <w:pPr>
        <w:pStyle w:val="CGCBulletlist"/>
        <w:tabs>
          <w:tab w:val="clear" w:pos="927"/>
        </w:tabs>
        <w:ind w:left="1134" w:hanging="567"/>
      </w:pPr>
      <w:r>
        <w:t xml:space="preserve">using the proportions of </w:t>
      </w:r>
      <w:r w:rsidRPr="001F2888">
        <w:t xml:space="preserve">NDIS and existing disability services expenses projected for the application year </w:t>
      </w:r>
      <w:r>
        <w:t>to split total disability services expenses</w:t>
      </w:r>
      <w:r w:rsidRPr="001F2888">
        <w:t xml:space="preserve"> in each of the three assessment years </w:t>
      </w:r>
    </w:p>
    <w:p w:rsidR="00C67CC4" w:rsidRDefault="00C67CC4" w:rsidP="00C67CC4">
      <w:pPr>
        <w:pStyle w:val="CGCBulletlist"/>
        <w:tabs>
          <w:tab w:val="clear" w:pos="927"/>
        </w:tabs>
        <w:ind w:left="1134" w:hanging="567"/>
      </w:pPr>
      <w:r>
        <w:lastRenderedPageBreak/>
        <w:t>using State</w:t>
      </w:r>
      <w:r w:rsidRPr="000841B7">
        <w:t xml:space="preserve"> application year shares of </w:t>
      </w:r>
      <w:r>
        <w:t xml:space="preserve">the National Disability </w:t>
      </w:r>
      <w:r w:rsidR="00800DF7">
        <w:t>Specific</w:t>
      </w:r>
      <w:r w:rsidR="00DE5C83">
        <w:t xml:space="preserve"> Purpose Payment (</w:t>
      </w:r>
      <w:proofErr w:type="spellStart"/>
      <w:r>
        <w:t>SPP</w:t>
      </w:r>
      <w:proofErr w:type="spellEnd"/>
      <w:r w:rsidR="00DE5C83">
        <w:t>)</w:t>
      </w:r>
      <w:r>
        <w:t xml:space="preserve"> in the assessment years (as this </w:t>
      </w:r>
      <w:proofErr w:type="spellStart"/>
      <w:r>
        <w:t>SPP</w:t>
      </w:r>
      <w:proofErr w:type="spellEnd"/>
      <w:r>
        <w:t xml:space="preserve"> continues to be distributed EPC this, in practice, mean</w:t>
      </w:r>
      <w:r w:rsidR="00DE393F">
        <w:t>s</w:t>
      </w:r>
      <w:r>
        <w:t xml:space="preserve"> the historical amounts do not change)</w:t>
      </w:r>
    </w:p>
    <w:p w:rsidR="00C67CC4" w:rsidRDefault="00C67CC4" w:rsidP="00C67CC4">
      <w:pPr>
        <w:pStyle w:val="CGCBulletlist"/>
        <w:tabs>
          <w:tab w:val="clear" w:pos="927"/>
        </w:tabs>
        <w:ind w:left="1134" w:hanging="567"/>
      </w:pPr>
      <w:proofErr w:type="gramStart"/>
      <w:r>
        <w:t>using</w:t>
      </w:r>
      <w:proofErr w:type="gramEnd"/>
      <w:r>
        <w:t xml:space="preserve"> </w:t>
      </w:r>
      <w:proofErr w:type="spellStart"/>
      <w:r>
        <w:t>DSS</w:t>
      </w:r>
      <w:proofErr w:type="spellEnd"/>
      <w:r>
        <w:t xml:space="preserve"> estimates of the NDIS eligible population in each State in the application year to assess disabilities.</w:t>
      </w:r>
    </w:p>
    <w:p w:rsidR="00C67CC4" w:rsidRDefault="00C67CC4" w:rsidP="00C67CC4">
      <w:pPr>
        <w:pStyle w:val="CGCNumberedPara"/>
        <w:ind w:right="-263"/>
      </w:pPr>
      <w:r>
        <w:t>In 2018-19, New South Wales and South Australia are scheduled to be at full scheme (2018-19 is the application year for the 2018 Update). The full scheme has been implemented in the ACT since 1 July 2017 but the ACT will not be contributing financially on a full scheme funding basis until 2019-20. Western Australia will be at full scheme in 2020</w:t>
      </w:r>
      <w:r>
        <w:noBreakHyphen/>
        <w:t>21. The other States are scheduled to be at full scheme in 2019</w:t>
      </w:r>
      <w:r>
        <w:noBreakHyphen/>
        <w:t xml:space="preserve">20. </w:t>
      </w:r>
    </w:p>
    <w:p w:rsidR="00C67CC4" w:rsidRDefault="00C67CC4" w:rsidP="00C67CC4">
      <w:pPr>
        <w:pStyle w:val="CGCNumberedPara"/>
        <w:ind w:right="-263"/>
      </w:pPr>
      <w:r>
        <w:t xml:space="preserve">As a consequence of entering full scheme, with all existing disability services clients transitioning to the NDIS, New South Wales’s and South Australia’s National Disability </w:t>
      </w:r>
      <w:proofErr w:type="spellStart"/>
      <w:r>
        <w:t>SPPs</w:t>
      </w:r>
      <w:proofErr w:type="spellEnd"/>
      <w:r>
        <w:t xml:space="preserve"> will cease after 2017</w:t>
      </w:r>
      <w:r>
        <w:noBreakHyphen/>
        <w:t xml:space="preserve">18 (as did the </w:t>
      </w:r>
      <w:proofErr w:type="spellStart"/>
      <w:r>
        <w:t>ACT’s</w:t>
      </w:r>
      <w:proofErr w:type="spellEnd"/>
      <w:r>
        <w:t xml:space="preserve"> after 2016</w:t>
      </w:r>
      <w:r>
        <w:noBreakHyphen/>
        <w:t xml:space="preserve">17). These funds are now being paid direct to the </w:t>
      </w:r>
      <w:r w:rsidR="00DE5C83">
        <w:t>National Disability Insurance Agency (</w:t>
      </w:r>
      <w:proofErr w:type="spellStart"/>
      <w:r>
        <w:t>NDIA</w:t>
      </w:r>
      <w:proofErr w:type="spellEnd"/>
      <w:r w:rsidR="00DE5C83">
        <w:t>)</w:t>
      </w:r>
      <w:r>
        <w:t xml:space="preserve">. </w:t>
      </w:r>
    </w:p>
    <w:p w:rsidR="00C67CC4" w:rsidRDefault="00C67CC4" w:rsidP="00C67CC4">
      <w:pPr>
        <w:pStyle w:val="CGCNumberedPara"/>
        <w:ind w:right="-263"/>
      </w:pPr>
      <w:proofErr w:type="gramStart"/>
      <w:r>
        <w:t>Staff propose</w:t>
      </w:r>
      <w:proofErr w:type="gramEnd"/>
      <w:r>
        <w:t xml:space="preserve"> to continue the 2015 Review dual assessment approach, including </w:t>
      </w:r>
      <w:proofErr w:type="spellStart"/>
      <w:r>
        <w:t>backcasting</w:t>
      </w:r>
      <w:proofErr w:type="spellEnd"/>
      <w:r>
        <w:t xml:space="preserve">, as the rate at which States move to full scheme is a matter of policy choice. No change to the Commission’s approach will be required in this update. However, with two States contributing on a full scheme basis in 2018-19, the proportions of expenses allocated to the NDIS will increase considerably. </w:t>
      </w:r>
    </w:p>
    <w:p w:rsidR="00C67CC4" w:rsidRDefault="00C67CC4" w:rsidP="00C67CC4">
      <w:pPr>
        <w:pStyle w:val="CGCNumberedPara"/>
        <w:ind w:right="-263"/>
      </w:pPr>
      <w:r>
        <w:t xml:space="preserve">As the contributions by New South Wales, South Australia and the ACT will exclude the national disability </w:t>
      </w:r>
      <w:proofErr w:type="spellStart"/>
      <w:r>
        <w:t>SPPs</w:t>
      </w:r>
      <w:proofErr w:type="spellEnd"/>
      <w:r>
        <w:t xml:space="preserve">, we will need to impute notional </w:t>
      </w:r>
      <w:proofErr w:type="spellStart"/>
      <w:r>
        <w:t>SPPs</w:t>
      </w:r>
      <w:proofErr w:type="spellEnd"/>
      <w:r>
        <w:t xml:space="preserve"> in deriving the proportions of </w:t>
      </w:r>
      <w:r w:rsidRPr="001F2888">
        <w:t>NDIS and existing disability services expenses projected for the application year</w:t>
      </w:r>
      <w:r w:rsidR="006269C3">
        <w:t>. This will</w:t>
      </w:r>
      <w:r>
        <w:t xml:space="preserve"> ensure that expenses for all States are measured on a consistent basis.</w:t>
      </w:r>
    </w:p>
    <w:p w:rsidR="00C67CC4" w:rsidRDefault="00C67CC4" w:rsidP="00C67CC4">
      <w:pPr>
        <w:pStyle w:val="CGCNumberedPara"/>
      </w:pPr>
      <w:r>
        <w:t>In 2018</w:t>
      </w:r>
      <w:r>
        <w:noBreakHyphen/>
        <w:t xml:space="preserve">19, New South Wales and South Australia will be paying for full scheme (100% participation); we will be recognising less than this on the basis of average policy. Conversely, however, they will have ceased (New South Wales) or largely ceased (South Australia) the provision of </w:t>
      </w:r>
      <w:r w:rsidR="000940AC">
        <w:t>S</w:t>
      </w:r>
      <w:r>
        <w:t xml:space="preserve">pecialist disability services but we will be recognising the average State provision of these services. </w:t>
      </w:r>
    </w:p>
    <w:p w:rsidR="00C67CC4" w:rsidRDefault="00C67CC4" w:rsidP="00C67CC4">
      <w:pPr>
        <w:pStyle w:val="CGCBulletlist"/>
        <w:tabs>
          <w:tab w:val="clear" w:pos="927"/>
        </w:tabs>
        <w:ind w:left="1134" w:hanging="567"/>
      </w:pPr>
      <w:r>
        <w:t xml:space="preserve">Given we have the same disabilities for existing disability services, apart from cross-border and location factors, the effect of any alternative assessment would in any event be small.  </w:t>
      </w:r>
    </w:p>
    <w:p w:rsidR="00C67CC4" w:rsidRDefault="00C67CC4" w:rsidP="00C67CC4">
      <w:pPr>
        <w:pStyle w:val="CGCBulletlist"/>
        <w:tabs>
          <w:tab w:val="clear" w:pos="927"/>
        </w:tabs>
        <w:ind w:left="1134" w:hanging="567"/>
      </w:pPr>
      <w:r>
        <w:t xml:space="preserve">This is similar to the </w:t>
      </w:r>
      <w:proofErr w:type="spellStart"/>
      <w:r>
        <w:t>ACT’s</w:t>
      </w:r>
      <w:proofErr w:type="spellEnd"/>
      <w:r>
        <w:t xml:space="preserve"> position. It has moved rapidly to 100% participation in the NDIS but we recognise the national average (plus national average </w:t>
      </w:r>
      <w:r w:rsidR="000940AC">
        <w:t>S</w:t>
      </w:r>
      <w:r>
        <w:t xml:space="preserve">pecialist disability services). The Commission is on record as saying this represented above average services and it was </w:t>
      </w:r>
      <w:r w:rsidR="006269C3">
        <w:t xml:space="preserve">the </w:t>
      </w:r>
      <w:proofErr w:type="spellStart"/>
      <w:r w:rsidR="006269C3">
        <w:t>ACT’s</w:t>
      </w:r>
      <w:proofErr w:type="spellEnd"/>
      <w:r>
        <w:t xml:space="preserve"> choice to move ahead faster.</w:t>
      </w:r>
    </w:p>
    <w:p w:rsidR="00C67CC4" w:rsidRPr="00D10E9C" w:rsidRDefault="00C67CC4" w:rsidP="00C67CC4">
      <w:pPr>
        <w:pStyle w:val="CGCNumberedPara"/>
        <w:ind w:right="-263"/>
      </w:pPr>
      <w:r>
        <w:t>We seek State comments on our proposal to continue with the 2015 Review dual assessment approach</w:t>
      </w:r>
      <w:r>
        <w:rPr>
          <w:bCs/>
        </w:rPr>
        <w:t xml:space="preserve"> in this update.</w:t>
      </w:r>
    </w:p>
    <w:p w:rsidR="00163FB0" w:rsidRDefault="00163FB0" w:rsidP="003215B5">
      <w:pPr>
        <w:pStyle w:val="Heading4"/>
      </w:pPr>
      <w:bookmarkStart w:id="220" w:name="_Toc489877486"/>
      <w:bookmarkStart w:id="221" w:name="_Toc489877541"/>
      <w:bookmarkStart w:id="222" w:name="_Toc489878084"/>
      <w:bookmarkStart w:id="223" w:name="_Toc489878460"/>
      <w:bookmarkStart w:id="224" w:name="_Toc490138814"/>
      <w:bookmarkStart w:id="225" w:name="_Toc490139344"/>
      <w:bookmarkStart w:id="226" w:name="_Toc490224751"/>
      <w:bookmarkStart w:id="227" w:name="_Toc490228113"/>
      <w:bookmarkStart w:id="228" w:name="_Toc490228674"/>
      <w:bookmarkStart w:id="229" w:name="_Toc490556263"/>
      <w:bookmarkStart w:id="230" w:name="_Toc490659144"/>
      <w:bookmarkStart w:id="231" w:name="_Toc490659333"/>
      <w:bookmarkStart w:id="232" w:name="_Toc490659537"/>
      <w:r w:rsidRPr="00E674AF">
        <w:lastRenderedPageBreak/>
        <w:t>Recommendation</w:t>
      </w:r>
      <w:bookmarkEnd w:id="217"/>
      <w:bookmarkEnd w:id="218"/>
      <w:bookmarkEnd w:id="219"/>
      <w:bookmarkEnd w:id="220"/>
      <w:bookmarkEnd w:id="221"/>
      <w:bookmarkEnd w:id="222"/>
      <w:bookmarkEnd w:id="223"/>
      <w:r w:rsidR="006269C3">
        <w:t>s</w:t>
      </w:r>
      <w:bookmarkEnd w:id="224"/>
      <w:bookmarkEnd w:id="225"/>
      <w:bookmarkEnd w:id="226"/>
      <w:bookmarkEnd w:id="227"/>
      <w:bookmarkEnd w:id="228"/>
      <w:bookmarkEnd w:id="229"/>
      <w:bookmarkEnd w:id="230"/>
      <w:bookmarkEnd w:id="231"/>
      <w:bookmarkEnd w:id="232"/>
    </w:p>
    <w:tbl>
      <w:tblPr>
        <w:tblStyle w:val="TableGrid"/>
        <w:tblW w:w="0" w:type="auto"/>
        <w:tblLook w:val="04A0" w:firstRow="1" w:lastRow="0" w:firstColumn="1" w:lastColumn="0" w:noHBand="0" w:noVBand="1"/>
      </w:tblPr>
      <w:tblGrid>
        <w:gridCol w:w="9167"/>
      </w:tblGrid>
      <w:tr w:rsidR="00157BF8" w:rsidTr="00E32ADF">
        <w:tc>
          <w:tcPr>
            <w:tcW w:w="9167" w:type="dxa"/>
            <w:tcBorders>
              <w:top w:val="nil"/>
              <w:left w:val="nil"/>
              <w:bottom w:val="nil"/>
              <w:right w:val="nil"/>
            </w:tcBorders>
            <w:shd w:val="clear" w:color="auto" w:fill="D9F3E6"/>
          </w:tcPr>
          <w:p w:rsidR="00157BF8" w:rsidRPr="00163FB0" w:rsidRDefault="00163FB0" w:rsidP="00163FB0">
            <w:pPr>
              <w:tabs>
                <w:tab w:val="clear" w:pos="567"/>
              </w:tabs>
            </w:pPr>
            <w:r w:rsidRPr="00163FB0">
              <w:t xml:space="preserve">Staff propose to recommend </w:t>
            </w:r>
            <w:r w:rsidR="006269C3" w:rsidRPr="00163FB0">
              <w:t xml:space="preserve">that </w:t>
            </w:r>
            <w:r w:rsidR="006269C3">
              <w:t>the Commission:</w:t>
            </w:r>
          </w:p>
          <w:p w:rsidR="00157BF8" w:rsidRDefault="00DF6D83" w:rsidP="00163FB0">
            <w:pPr>
              <w:pStyle w:val="CGCBulletlist"/>
              <w:tabs>
                <w:tab w:val="clear" w:pos="927"/>
              </w:tabs>
              <w:ind w:left="1134" w:hanging="567"/>
            </w:pPr>
            <w:r>
              <w:t xml:space="preserve">make </w:t>
            </w:r>
            <w:r w:rsidR="00163FB0" w:rsidRPr="00163FB0">
              <w:t>no change to its assessment methods for dis</w:t>
            </w:r>
            <w:r w:rsidR="006269C3">
              <w:t>ability services in this update</w:t>
            </w:r>
          </w:p>
          <w:p w:rsidR="006269C3" w:rsidRDefault="00DF6D83" w:rsidP="00DF6D83">
            <w:pPr>
              <w:pStyle w:val="CGCBulletlist"/>
              <w:tabs>
                <w:tab w:val="clear" w:pos="927"/>
              </w:tabs>
              <w:ind w:left="1134" w:hanging="567"/>
            </w:pPr>
            <w:proofErr w:type="gramStart"/>
            <w:r>
              <w:t>estimate</w:t>
            </w:r>
            <w:proofErr w:type="gramEnd"/>
            <w:r>
              <w:t xml:space="preserve"> </w:t>
            </w:r>
            <w:r w:rsidR="006269C3">
              <w:t xml:space="preserve">notional </w:t>
            </w:r>
            <w:proofErr w:type="spellStart"/>
            <w:r w:rsidR="006269C3">
              <w:t>SPPs</w:t>
            </w:r>
            <w:proofErr w:type="spellEnd"/>
            <w:r w:rsidR="006269C3">
              <w:t xml:space="preserve"> in the application year for New South Wales, South Australia and the ACT to derive consistent splits of expense</w:t>
            </w:r>
            <w:r>
              <w:t>s</w:t>
            </w:r>
            <w:r w:rsidR="006269C3">
              <w:t xml:space="preserve"> </w:t>
            </w:r>
            <w:r>
              <w:t>between NDIS and Specialist disability services.</w:t>
            </w:r>
          </w:p>
        </w:tc>
      </w:tr>
    </w:tbl>
    <w:p w:rsidR="0039458B" w:rsidRPr="005C4F81" w:rsidRDefault="005C4F81" w:rsidP="005C4F81">
      <w:pPr>
        <w:pStyle w:val="Heading3"/>
      </w:pPr>
      <w:bookmarkStart w:id="233" w:name="_Toc489877487"/>
      <w:bookmarkStart w:id="234" w:name="_Toc489877542"/>
      <w:bookmarkStart w:id="235" w:name="_Toc489878085"/>
      <w:bookmarkStart w:id="236" w:name="_Toc489878461"/>
      <w:bookmarkStart w:id="237" w:name="_Toc490138815"/>
      <w:bookmarkStart w:id="238" w:name="_Toc490224752"/>
      <w:bookmarkStart w:id="239" w:name="_Toc490228114"/>
      <w:bookmarkStart w:id="240" w:name="_Toc490228675"/>
      <w:bookmarkStart w:id="241" w:name="_Toc490556264"/>
      <w:bookmarkStart w:id="242" w:name="_Toc490659145"/>
      <w:bookmarkStart w:id="243" w:name="_Toc490659334"/>
      <w:bookmarkStart w:id="244" w:name="_Toc490659538"/>
      <w:r w:rsidRPr="005C4F81">
        <w:t>Health assessment</w:t>
      </w:r>
      <w:bookmarkEnd w:id="233"/>
      <w:bookmarkEnd w:id="234"/>
      <w:bookmarkEnd w:id="235"/>
      <w:bookmarkEnd w:id="236"/>
      <w:bookmarkEnd w:id="237"/>
      <w:bookmarkEnd w:id="238"/>
      <w:bookmarkEnd w:id="239"/>
      <w:bookmarkEnd w:id="240"/>
      <w:bookmarkEnd w:id="241"/>
      <w:bookmarkEnd w:id="242"/>
      <w:bookmarkEnd w:id="243"/>
      <w:bookmarkEnd w:id="244"/>
      <w:r w:rsidRPr="005C4F81">
        <w:t xml:space="preserve"> </w:t>
      </w:r>
    </w:p>
    <w:p w:rsidR="0039458B" w:rsidRDefault="0039458B" w:rsidP="0039458B">
      <w:pPr>
        <w:pStyle w:val="Heading4"/>
      </w:pPr>
      <w:bookmarkStart w:id="245" w:name="_Toc489877488"/>
      <w:bookmarkStart w:id="246" w:name="_Toc489877543"/>
      <w:bookmarkStart w:id="247" w:name="_Toc489878086"/>
      <w:bookmarkStart w:id="248" w:name="_Toc489878462"/>
      <w:bookmarkStart w:id="249" w:name="_Toc490138816"/>
      <w:bookmarkStart w:id="250" w:name="_Toc490224753"/>
      <w:bookmarkStart w:id="251" w:name="_Toc490228115"/>
      <w:bookmarkStart w:id="252" w:name="_Toc490228676"/>
      <w:bookmarkStart w:id="253" w:name="_Toc490556265"/>
      <w:bookmarkStart w:id="254" w:name="_Toc490659146"/>
      <w:bookmarkStart w:id="255" w:name="_Toc490659335"/>
      <w:bookmarkStart w:id="256" w:name="_Toc490659539"/>
      <w:r>
        <w:t>Emergency department data</w:t>
      </w:r>
      <w:bookmarkEnd w:id="245"/>
      <w:bookmarkEnd w:id="246"/>
      <w:bookmarkEnd w:id="247"/>
      <w:bookmarkEnd w:id="248"/>
      <w:bookmarkEnd w:id="249"/>
      <w:bookmarkEnd w:id="250"/>
      <w:bookmarkEnd w:id="251"/>
      <w:bookmarkEnd w:id="252"/>
      <w:bookmarkEnd w:id="253"/>
      <w:bookmarkEnd w:id="254"/>
      <w:bookmarkEnd w:id="255"/>
      <w:bookmarkEnd w:id="256"/>
    </w:p>
    <w:p w:rsidR="0039458B" w:rsidRDefault="0039458B" w:rsidP="0039458B">
      <w:pPr>
        <w:pStyle w:val="Heading5"/>
      </w:pPr>
      <w:r>
        <w:t>Background</w:t>
      </w:r>
    </w:p>
    <w:p w:rsidR="0039458B" w:rsidRDefault="0039458B" w:rsidP="0039458B">
      <w:pPr>
        <w:pStyle w:val="CGCNumberedPara"/>
      </w:pPr>
      <w:r>
        <w:t xml:space="preserve">In late 2016, the Commission received advice </w:t>
      </w:r>
      <w:r w:rsidRPr="00102B02">
        <w:t xml:space="preserve">from the Independent Hospital Pricing Authority (IHPA) </w:t>
      </w:r>
      <w:r>
        <w:t xml:space="preserve">that the emergency department (ED) data from the </w:t>
      </w:r>
      <w:r w:rsidRPr="00102B02">
        <w:t>National</w:t>
      </w:r>
      <w:r>
        <w:t xml:space="preserve"> Public Hospital Establishment (</w:t>
      </w:r>
      <w:proofErr w:type="spellStart"/>
      <w:r>
        <w:t>PHE</w:t>
      </w:r>
      <w:proofErr w:type="spellEnd"/>
      <w:r>
        <w:t>) database would not</w:t>
      </w:r>
      <w:r w:rsidRPr="00102B02">
        <w:t xml:space="preserve"> be available</w:t>
      </w:r>
      <w:r>
        <w:t xml:space="preserve"> from 2014</w:t>
      </w:r>
      <w:r>
        <w:noBreakHyphen/>
        <w:t>15</w:t>
      </w:r>
      <w:r w:rsidRPr="00102B02">
        <w:t xml:space="preserve">. </w:t>
      </w:r>
      <w:r>
        <w:t>This affected 2014</w:t>
      </w:r>
      <w:r>
        <w:noBreakHyphen/>
        <w:t>15 and 2015</w:t>
      </w:r>
      <w:r>
        <w:noBreakHyphen/>
        <w:t xml:space="preserve">16 ED data in the 2017 Update and the Commission had to decide how to deal with the missing activity. </w:t>
      </w:r>
    </w:p>
    <w:p w:rsidR="0039458B" w:rsidRDefault="0039458B" w:rsidP="0039458B">
      <w:pPr>
        <w:pStyle w:val="CGCNumberedPara"/>
      </w:pPr>
      <w:r>
        <w:t>Staff analysis of the 2013</w:t>
      </w:r>
      <w:r>
        <w:noBreakHyphen/>
      </w:r>
      <w:r w:rsidRPr="00C1773D">
        <w:t>14</w:t>
      </w:r>
      <w:r>
        <w:t xml:space="preserve"> ED data for the 2017 Update showed that only about</w:t>
      </w:r>
      <w:r w:rsidRPr="00C1773D">
        <w:t xml:space="preserve"> 5% of </w:t>
      </w:r>
      <w:r>
        <w:t xml:space="preserve">total </w:t>
      </w:r>
      <w:r w:rsidRPr="00C1773D">
        <w:t xml:space="preserve">ED occasions </w:t>
      </w:r>
      <w:r>
        <w:t xml:space="preserve">(or 411 890 occasions) </w:t>
      </w:r>
      <w:r w:rsidRPr="00C1773D">
        <w:t xml:space="preserve">were sourced </w:t>
      </w:r>
      <w:r>
        <w:t xml:space="preserve">from the </w:t>
      </w:r>
      <w:proofErr w:type="spellStart"/>
      <w:r>
        <w:t>PHE</w:t>
      </w:r>
      <w:proofErr w:type="spellEnd"/>
      <w:r>
        <w:t xml:space="preserve"> database. But these occasions were </w:t>
      </w:r>
      <w:r w:rsidRPr="00C1773D">
        <w:t>not uniformly distributed across remoteness areas (</w:t>
      </w:r>
      <w:r>
        <w:t xml:space="preserve">ranging from </w:t>
      </w:r>
      <w:r w:rsidRPr="00C1773D">
        <w:t>0.1% in major cities</w:t>
      </w:r>
      <w:r>
        <w:t xml:space="preserve"> to </w:t>
      </w:r>
      <w:r w:rsidRPr="00C1773D">
        <w:t>17</w:t>
      </w:r>
      <w:r>
        <w:t>.4</w:t>
      </w:r>
      <w:r w:rsidRPr="00C1773D">
        <w:t>% in outer regional areas)</w:t>
      </w:r>
      <w:r>
        <w:t xml:space="preserve"> so </w:t>
      </w:r>
      <w:r w:rsidRPr="00C1773D">
        <w:t xml:space="preserve">ignoring </w:t>
      </w:r>
      <w:r>
        <w:t>them</w:t>
      </w:r>
      <w:r w:rsidRPr="00C1773D">
        <w:t xml:space="preserve"> would disproportionately exclude ED activity i</w:t>
      </w:r>
      <w:r>
        <w:t xml:space="preserve">n areas outside major cities and </w:t>
      </w:r>
      <w:r w:rsidRPr="00C1773D">
        <w:t>have a material effect on the GST distribution</w:t>
      </w:r>
      <w:r>
        <w:t>.</w:t>
      </w:r>
    </w:p>
    <w:p w:rsidR="0039458B" w:rsidRDefault="0039458B" w:rsidP="0039458B">
      <w:pPr>
        <w:pStyle w:val="CGCNumberedPara"/>
      </w:pPr>
      <w:r>
        <w:t xml:space="preserve">The 2017 Update New Issues paper canvassed two approaches for estimating the missing occasions. Staff said the number of missing </w:t>
      </w:r>
      <w:proofErr w:type="spellStart"/>
      <w:r>
        <w:t>PHE</w:t>
      </w:r>
      <w:proofErr w:type="spellEnd"/>
      <w:r>
        <w:t xml:space="preserve"> ED occasions in 2014</w:t>
      </w:r>
      <w:r>
        <w:noBreakHyphen/>
        <w:t>15 and 2015</w:t>
      </w:r>
      <w:r>
        <w:noBreakHyphen/>
        <w:t xml:space="preserve">16 could be estimated using either the number of </w:t>
      </w:r>
      <w:proofErr w:type="spellStart"/>
      <w:r>
        <w:t>PHE</w:t>
      </w:r>
      <w:proofErr w:type="spellEnd"/>
      <w:r>
        <w:t xml:space="preserve"> ED occasions in 2013</w:t>
      </w:r>
      <w:r>
        <w:noBreakHyphen/>
        <w:t>14 or the proportion in 2013</w:t>
      </w:r>
      <w:r>
        <w:noBreakHyphen/>
        <w:t xml:space="preserve">14. Using the proportion would allow for growth in the missing activity. </w:t>
      </w:r>
    </w:p>
    <w:p w:rsidR="0039458B" w:rsidRDefault="00E600A7" w:rsidP="0039458B">
      <w:pPr>
        <w:pStyle w:val="CGCNumberedPara"/>
      </w:pPr>
      <w:r>
        <w:t xml:space="preserve">The </w:t>
      </w:r>
      <w:r w:rsidR="00186B00">
        <w:t>Commission</w:t>
      </w:r>
      <w:r w:rsidR="0039458B" w:rsidRPr="00682222">
        <w:t xml:space="preserve"> </w:t>
      </w:r>
      <w:r w:rsidR="0039458B">
        <w:t>supported</w:t>
      </w:r>
      <w:r w:rsidR="0039458B" w:rsidRPr="00682222">
        <w:t xml:space="preserve"> </w:t>
      </w:r>
      <w:r w:rsidR="0039458B">
        <w:t>the first approach because</w:t>
      </w:r>
      <w:r w:rsidR="00DF6D83">
        <w:t xml:space="preserve"> the</w:t>
      </w:r>
      <w:r w:rsidR="0039458B">
        <w:t xml:space="preserve"> IHPA advised that the ED activity previously captured in the </w:t>
      </w:r>
      <w:proofErr w:type="spellStart"/>
      <w:r w:rsidR="0039458B">
        <w:t>PHE</w:t>
      </w:r>
      <w:proofErr w:type="spellEnd"/>
      <w:r w:rsidR="0039458B">
        <w:t xml:space="preserve"> collection would gradually be picked up in the two other collections used to source ED activity, that is, </w:t>
      </w:r>
      <w:r w:rsidR="0039458B" w:rsidRPr="00C46C7A">
        <w:t>Non-admitted Patient Emergency Department Care National Minimum Data</w:t>
      </w:r>
      <w:r w:rsidR="0039458B">
        <w:t xml:space="preserve"> Set (hereinafter referred to as ‘EP’) and Activity</w:t>
      </w:r>
      <w:r w:rsidR="0039458B">
        <w:noBreakHyphen/>
      </w:r>
      <w:r w:rsidR="0039458B" w:rsidRPr="00C46C7A">
        <w:t>based Funding Emergency Services Care Data Set Specif</w:t>
      </w:r>
      <w:r w:rsidR="0039458B">
        <w:t xml:space="preserve">ication (hereinafter referred to as ‘ES’). Therefore the number of occasions previously covered by the </w:t>
      </w:r>
      <w:proofErr w:type="spellStart"/>
      <w:r w:rsidR="0039458B">
        <w:t>PHE</w:t>
      </w:r>
      <w:proofErr w:type="spellEnd"/>
      <w:r w:rsidR="0039458B">
        <w:t xml:space="preserve"> database was expected to decline. Most States supported using the number of occasions in 2013</w:t>
      </w:r>
      <w:r w:rsidR="0039458B">
        <w:noBreakHyphen/>
        <w:t>14 to estimate the missing activity.</w:t>
      </w:r>
    </w:p>
    <w:p w:rsidR="0039458B" w:rsidRDefault="0039458B" w:rsidP="0039458B">
      <w:pPr>
        <w:pStyle w:val="CGCNumberedPara"/>
      </w:pPr>
      <w:r>
        <w:lastRenderedPageBreak/>
        <w:t>Some States said that the Commission should revisit the issue in the 2018 Update and use hospital level data to determine the best approach.</w:t>
      </w:r>
    </w:p>
    <w:p w:rsidR="0039458B" w:rsidRDefault="0039458B" w:rsidP="00EE504C">
      <w:pPr>
        <w:pStyle w:val="Heading5"/>
      </w:pPr>
      <w:r>
        <w:t>Analysis</w:t>
      </w:r>
    </w:p>
    <w:p w:rsidR="0039458B" w:rsidRDefault="0039458B" w:rsidP="0039458B">
      <w:pPr>
        <w:pStyle w:val="CGCNumberedPara"/>
      </w:pPr>
      <w:r>
        <w:t>Following the 2017 Update, staff requested additional data from IHPA to estimate the ED activity not captured in EP and ES collections in 2014</w:t>
      </w:r>
      <w:r>
        <w:noBreakHyphen/>
        <w:t>15. IHPA provided the following data to facilitate the analysis</w:t>
      </w:r>
      <w:r w:rsidR="0029387C">
        <w:t>:</w:t>
      </w:r>
    </w:p>
    <w:p w:rsidR="0039458B" w:rsidRDefault="0029387C" w:rsidP="0039458B">
      <w:pPr>
        <w:pStyle w:val="CGCBulletlist"/>
        <w:tabs>
          <w:tab w:val="clear" w:pos="927"/>
        </w:tabs>
        <w:ind w:left="1134" w:hanging="567"/>
      </w:pPr>
      <w:r>
        <w:t>d</w:t>
      </w:r>
      <w:r w:rsidR="0039458B">
        <w:t>ata on the number of ED occasions for each hospital in the EP and ES collections in 2013</w:t>
      </w:r>
      <w:r w:rsidR="0039458B">
        <w:noBreakHyphen/>
        <w:t>14 and 2014</w:t>
      </w:r>
      <w:r w:rsidR="0039458B">
        <w:noBreakHyphen/>
        <w:t>15, by hospital remoteness</w:t>
      </w:r>
    </w:p>
    <w:p w:rsidR="0039458B" w:rsidRDefault="0029387C" w:rsidP="0039458B">
      <w:pPr>
        <w:pStyle w:val="CGCBulletlist"/>
        <w:tabs>
          <w:tab w:val="clear" w:pos="927"/>
        </w:tabs>
        <w:ind w:left="1134" w:hanging="567"/>
      </w:pPr>
      <w:proofErr w:type="gramStart"/>
      <w:r>
        <w:t>d</w:t>
      </w:r>
      <w:r w:rsidR="0039458B">
        <w:t>ata</w:t>
      </w:r>
      <w:proofErr w:type="gramEnd"/>
      <w:r w:rsidR="0039458B">
        <w:t xml:space="preserve"> on the number of ED occasions for each hospital in the </w:t>
      </w:r>
      <w:proofErr w:type="spellStart"/>
      <w:r w:rsidR="0039458B">
        <w:t>PHE</w:t>
      </w:r>
      <w:proofErr w:type="spellEnd"/>
      <w:r w:rsidR="0039458B">
        <w:t xml:space="preserve"> collection in 2013</w:t>
      </w:r>
      <w:r w:rsidR="0039458B">
        <w:noBreakHyphen/>
        <w:t>14, by hospital remoteness.</w:t>
      </w:r>
      <w:r w:rsidR="0039458B">
        <w:rPr>
          <w:rStyle w:val="FootnoteReference"/>
        </w:rPr>
        <w:footnoteReference w:id="4"/>
      </w:r>
      <w:r w:rsidR="0039458B">
        <w:t xml:space="preserve"> </w:t>
      </w:r>
    </w:p>
    <w:p w:rsidR="0039458B" w:rsidRDefault="0039458B" w:rsidP="0039458B">
      <w:pPr>
        <w:pStyle w:val="CGCNumberedPara"/>
      </w:pPr>
      <w:r>
        <w:t xml:space="preserve">Using these data staff identified that of 163 hospitals </w:t>
      </w:r>
      <w:r w:rsidR="004F17AA">
        <w:t xml:space="preserve">that reported their ED occasions in the </w:t>
      </w:r>
      <w:proofErr w:type="spellStart"/>
      <w:r w:rsidR="004F17AA">
        <w:t>PHE</w:t>
      </w:r>
      <w:proofErr w:type="spellEnd"/>
      <w:r w:rsidR="004F17AA">
        <w:t xml:space="preserve"> collection in 2013</w:t>
      </w:r>
      <w:r w:rsidR="004F17AA">
        <w:noBreakHyphen/>
        <w:t>14 (that is, they did not report activity to either EP or ES), 100 of them reported to EP in 2014</w:t>
      </w:r>
      <w:r w:rsidR="004F17AA">
        <w:noBreakHyphen/>
        <w:t>15</w:t>
      </w:r>
      <w:r w:rsidR="004312F6">
        <w:rPr>
          <w:rStyle w:val="FootnoteReference"/>
        </w:rPr>
        <w:footnoteReference w:id="5"/>
      </w:r>
      <w:r w:rsidR="00E600A7">
        <w:t>,</w:t>
      </w:r>
      <w:r w:rsidR="009E44B0">
        <w:t xml:space="preserve"> leaving 63 </w:t>
      </w:r>
      <w:r>
        <w:t>‘non</w:t>
      </w:r>
      <w:r>
        <w:noBreakHyphen/>
        <w:t>reporting hospitals’</w:t>
      </w:r>
      <w:r w:rsidR="00DF6D83">
        <w:t xml:space="preserve">. </w:t>
      </w:r>
      <w:r w:rsidR="00E600A7">
        <w:t>This accounted</w:t>
      </w:r>
      <w:r>
        <w:t xml:space="preserve"> for 90 850 ED occasions in 2013</w:t>
      </w:r>
      <w:r>
        <w:noBreakHyphen/>
        <w:t>14 or 1.2% of total ED occasions in that year.</w:t>
      </w:r>
    </w:p>
    <w:p w:rsidR="0039458B" w:rsidRDefault="0039458B" w:rsidP="0039458B">
      <w:pPr>
        <w:pStyle w:val="CGCNumberedPara"/>
      </w:pPr>
      <w:r>
        <w:t xml:space="preserve">We have estimated the number and proportion of </w:t>
      </w:r>
      <w:proofErr w:type="spellStart"/>
      <w:r>
        <w:t>PHE</w:t>
      </w:r>
      <w:proofErr w:type="spellEnd"/>
      <w:r>
        <w:t xml:space="preserve"> ED occasions for the 63 ‘non-reporting hospitals’ in 2014</w:t>
      </w:r>
      <w:r>
        <w:noBreakHyphen/>
        <w:t>15 by applying the growth in ED occasions between 2013</w:t>
      </w:r>
      <w:r>
        <w:noBreakHyphen/>
        <w:t>14 and 2014</w:t>
      </w:r>
      <w:r>
        <w:noBreakHyphen/>
        <w:t>15 for the 100 hospitals that reported in both years. Using this approach we have estimated there would be 88 182 ED occasions for ‘non</w:t>
      </w:r>
      <w:r>
        <w:noBreakHyphen/>
        <w:t>reporting hospitals’ in 2014</w:t>
      </w:r>
      <w:r>
        <w:noBreakHyphen/>
        <w:t xml:space="preserve">15, representing 1.1% of total ED occasions in that year. </w:t>
      </w:r>
    </w:p>
    <w:p w:rsidR="0039458B" w:rsidRDefault="0039458B" w:rsidP="0039458B">
      <w:pPr>
        <w:pStyle w:val="CGCNumberedPara"/>
      </w:pPr>
      <w:r>
        <w:fldChar w:fldCharType="begin"/>
      </w:r>
      <w:r>
        <w:instrText xml:space="preserve"> REF _Ref488742240 \h </w:instrText>
      </w:r>
      <w:r>
        <w:fldChar w:fldCharType="separate"/>
      </w:r>
      <w:r w:rsidR="00500132">
        <w:t xml:space="preserve">Table </w:t>
      </w:r>
      <w:r w:rsidR="00500132">
        <w:rPr>
          <w:noProof/>
        </w:rPr>
        <w:t>3</w:t>
      </w:r>
      <w:r>
        <w:fldChar w:fldCharType="end"/>
      </w:r>
      <w:r>
        <w:t xml:space="preserve"> shows the calculation steps by hospital remoteness area. Most of the ‘non</w:t>
      </w:r>
      <w:r>
        <w:noBreakHyphen/>
        <w:t>reporting hospitals’ were in inner and outer regional areas and only four were in remote areas.</w:t>
      </w:r>
    </w:p>
    <w:p w:rsidR="00444280" w:rsidRDefault="00444280" w:rsidP="00444280">
      <w:pPr>
        <w:pStyle w:val="CGCNumberedPara"/>
      </w:pPr>
      <w:r w:rsidRPr="004312F6">
        <w:t>Since the number of ED occasions that were not captured in 2014</w:t>
      </w:r>
      <w:r w:rsidRPr="004312F6">
        <w:noBreakHyphen/>
        <w:t xml:space="preserve">15 has declined to an insignificant level (88 182 occasions or 1.1% of total ED activity), continuing to use the number of </w:t>
      </w:r>
      <w:proofErr w:type="spellStart"/>
      <w:r w:rsidRPr="004312F6">
        <w:t>PHE</w:t>
      </w:r>
      <w:proofErr w:type="spellEnd"/>
      <w:r w:rsidRPr="004312F6">
        <w:t xml:space="preserve"> ED occasions from 2013</w:t>
      </w:r>
      <w:r w:rsidRPr="004312F6">
        <w:noBreakHyphen/>
        <w:t>14 (411 890) would overstate the missing activity in 2014</w:t>
      </w:r>
      <w:r w:rsidRPr="004312F6">
        <w:noBreakHyphen/>
        <w:t xml:space="preserve">15 and subsequent years. We could use the estimated activity from Step 5 in </w:t>
      </w:r>
      <w:r w:rsidRPr="004312F6">
        <w:fldChar w:fldCharType="begin"/>
      </w:r>
      <w:r w:rsidRPr="004312F6">
        <w:instrText xml:space="preserve"> REF _Ref488742240 \h </w:instrText>
      </w:r>
      <w:r>
        <w:instrText xml:space="preserve"> \* MERGEFORMAT </w:instrText>
      </w:r>
      <w:r w:rsidRPr="004312F6">
        <w:fldChar w:fldCharType="separate"/>
      </w:r>
      <w:r w:rsidR="00500132">
        <w:t>Table 3</w:t>
      </w:r>
      <w:r w:rsidRPr="004312F6">
        <w:fldChar w:fldCharType="end"/>
      </w:r>
      <w:r w:rsidRPr="004312F6">
        <w:t xml:space="preserve">, but as shown in </w:t>
      </w:r>
      <w:r>
        <w:fldChar w:fldCharType="begin"/>
      </w:r>
      <w:r>
        <w:instrText xml:space="preserve"> REF _Ref490124535 \h </w:instrText>
      </w:r>
      <w:r>
        <w:fldChar w:fldCharType="separate"/>
      </w:r>
      <w:r w:rsidR="00500132">
        <w:t xml:space="preserve">Table </w:t>
      </w:r>
      <w:r w:rsidR="00500132">
        <w:rPr>
          <w:noProof/>
        </w:rPr>
        <w:t>4</w:t>
      </w:r>
      <w:r>
        <w:fldChar w:fldCharType="end"/>
      </w:r>
      <w:r w:rsidRPr="004312F6">
        <w:t xml:space="preserve"> this is not materially different to ignoring the missing activity. Therefore staff intend to recommend that the Commission use ED activity captured by the EP and ES collections (that is, without any adjustment for missing </w:t>
      </w:r>
      <w:proofErr w:type="spellStart"/>
      <w:r w:rsidRPr="004312F6">
        <w:t>PHE</w:t>
      </w:r>
      <w:proofErr w:type="spellEnd"/>
      <w:r w:rsidRPr="004312F6">
        <w:t xml:space="preserve"> ED occasions) in the 2018 Update</w:t>
      </w:r>
      <w:r>
        <w:t xml:space="preserve">. This is because </w:t>
      </w:r>
      <w:r w:rsidRPr="004312F6">
        <w:t>the number of ED occasions not being captured is negligible and the adjustment is not material for any State</w:t>
      </w:r>
      <w:r w:rsidRPr="00A30C33">
        <w:t>.</w:t>
      </w:r>
    </w:p>
    <w:p w:rsidR="0039458B" w:rsidRDefault="0039458B" w:rsidP="0039458B">
      <w:pPr>
        <w:pStyle w:val="Caption"/>
      </w:pPr>
      <w:bookmarkStart w:id="257" w:name="_Ref488742240"/>
      <w:r>
        <w:lastRenderedPageBreak/>
        <w:t xml:space="preserve">Table </w:t>
      </w:r>
      <w:fldSimple w:instr=" SEQ Table \* ARABIC ">
        <w:r w:rsidR="00500132">
          <w:rPr>
            <w:noProof/>
          </w:rPr>
          <w:t>3</w:t>
        </w:r>
      </w:fldSimple>
      <w:bookmarkEnd w:id="257"/>
      <w:r>
        <w:tab/>
        <w:t>Estimation of ED occasions from ‘non</w:t>
      </w:r>
      <w:r>
        <w:noBreakHyphen/>
        <w:t>reporting hospitals’ for 2014</w:t>
      </w:r>
      <w:r>
        <w:noBreakHyphen/>
        <w:t>15</w:t>
      </w:r>
    </w:p>
    <w:tbl>
      <w:tblPr>
        <w:tblW w:w="8960" w:type="dxa"/>
        <w:tblInd w:w="93" w:type="dxa"/>
        <w:tblLook w:val="04A0" w:firstRow="1" w:lastRow="0" w:firstColumn="1" w:lastColumn="0" w:noHBand="0" w:noVBand="1"/>
      </w:tblPr>
      <w:tblGrid>
        <w:gridCol w:w="1420"/>
        <w:gridCol w:w="1240"/>
        <w:gridCol w:w="1420"/>
        <w:gridCol w:w="1480"/>
        <w:gridCol w:w="1920"/>
        <w:gridCol w:w="1480"/>
      </w:tblGrid>
      <w:tr w:rsidR="0039458B" w:rsidRPr="00FA3E94" w:rsidTr="0039458B">
        <w:trPr>
          <w:trHeight w:val="315"/>
        </w:trPr>
        <w:tc>
          <w:tcPr>
            <w:tcW w:w="14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w:t>
            </w:r>
          </w:p>
        </w:tc>
        <w:tc>
          <w:tcPr>
            <w:tcW w:w="124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Step </w:t>
            </w:r>
            <w:r w:rsidR="00216A7B">
              <w:rPr>
                <w:rFonts w:ascii="Calibri" w:eastAsia="Times New Roman" w:hAnsi="Calibri" w:cs="Times New Roman"/>
                <w:color w:val="000000"/>
                <w:sz w:val="20"/>
                <w:szCs w:val="20"/>
              </w:rPr>
              <w:t>(</w:t>
            </w:r>
            <w:r w:rsidRPr="00FA3E94">
              <w:rPr>
                <w:rFonts w:ascii="Calibri" w:eastAsia="Times New Roman" w:hAnsi="Calibri" w:cs="Times New Roman"/>
                <w:color w:val="000000"/>
                <w:sz w:val="20"/>
                <w:szCs w:val="20"/>
              </w:rPr>
              <w:t>1</w:t>
            </w:r>
            <w:r w:rsidR="00216A7B">
              <w:rPr>
                <w:rFonts w:ascii="Calibri" w:eastAsia="Times New Roman" w:hAnsi="Calibri" w:cs="Times New Roman"/>
                <w:color w:val="000000"/>
                <w:sz w:val="20"/>
                <w:szCs w:val="20"/>
              </w:rPr>
              <w:t>)</w:t>
            </w:r>
          </w:p>
        </w:tc>
        <w:tc>
          <w:tcPr>
            <w:tcW w:w="14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Step </w:t>
            </w:r>
            <w:r w:rsidR="00216A7B">
              <w:rPr>
                <w:rFonts w:ascii="Calibri" w:eastAsia="Times New Roman" w:hAnsi="Calibri" w:cs="Times New Roman"/>
                <w:color w:val="000000"/>
                <w:sz w:val="20"/>
                <w:szCs w:val="20"/>
              </w:rPr>
              <w:t>(</w:t>
            </w:r>
            <w:r w:rsidRPr="00FA3E94">
              <w:rPr>
                <w:rFonts w:ascii="Calibri" w:eastAsia="Times New Roman" w:hAnsi="Calibri" w:cs="Times New Roman"/>
                <w:color w:val="000000"/>
                <w:sz w:val="20"/>
                <w:szCs w:val="20"/>
              </w:rPr>
              <w:t>2</w:t>
            </w:r>
            <w:r w:rsidR="00216A7B">
              <w:rPr>
                <w:rFonts w:ascii="Calibri" w:eastAsia="Times New Roman" w:hAnsi="Calibri" w:cs="Times New Roman"/>
                <w:color w:val="000000"/>
                <w:sz w:val="20"/>
                <w:szCs w:val="20"/>
              </w:rPr>
              <w:t>)</w:t>
            </w:r>
          </w:p>
        </w:tc>
        <w:tc>
          <w:tcPr>
            <w:tcW w:w="148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216A7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Step</w:t>
            </w:r>
            <w:r w:rsidR="00216A7B">
              <w:rPr>
                <w:rFonts w:ascii="Calibri" w:eastAsia="Times New Roman" w:hAnsi="Calibri" w:cs="Times New Roman"/>
                <w:color w:val="000000"/>
                <w:sz w:val="20"/>
                <w:szCs w:val="20"/>
              </w:rPr>
              <w:t xml:space="preserve"> (</w:t>
            </w:r>
            <w:r w:rsidRPr="00FA3E94">
              <w:rPr>
                <w:rFonts w:ascii="Calibri" w:eastAsia="Times New Roman" w:hAnsi="Calibri" w:cs="Times New Roman"/>
                <w:color w:val="000000"/>
                <w:sz w:val="20"/>
                <w:szCs w:val="20"/>
              </w:rPr>
              <w:t>3</w:t>
            </w:r>
            <w:r w:rsidR="00216A7B">
              <w:rPr>
                <w:rFonts w:ascii="Calibri" w:eastAsia="Times New Roman" w:hAnsi="Calibri" w:cs="Times New Roman"/>
                <w:color w:val="000000"/>
                <w:sz w:val="20"/>
                <w:szCs w:val="20"/>
              </w:rPr>
              <w:t>)</w:t>
            </w:r>
          </w:p>
        </w:tc>
        <w:tc>
          <w:tcPr>
            <w:tcW w:w="19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Step </w:t>
            </w:r>
            <w:r w:rsidR="00216A7B">
              <w:rPr>
                <w:rFonts w:ascii="Calibri" w:eastAsia="Times New Roman" w:hAnsi="Calibri" w:cs="Times New Roman"/>
                <w:color w:val="000000"/>
                <w:sz w:val="20"/>
                <w:szCs w:val="20"/>
              </w:rPr>
              <w:t>(</w:t>
            </w:r>
            <w:r w:rsidRPr="00FA3E94">
              <w:rPr>
                <w:rFonts w:ascii="Calibri" w:eastAsia="Times New Roman" w:hAnsi="Calibri" w:cs="Times New Roman"/>
                <w:color w:val="000000"/>
                <w:sz w:val="20"/>
                <w:szCs w:val="20"/>
              </w:rPr>
              <w:t>4</w:t>
            </w:r>
            <w:r w:rsidR="00216A7B">
              <w:rPr>
                <w:rFonts w:ascii="Calibri" w:eastAsia="Times New Roman" w:hAnsi="Calibri" w:cs="Times New Roman"/>
                <w:color w:val="000000"/>
                <w:sz w:val="20"/>
                <w:szCs w:val="20"/>
              </w:rPr>
              <w:t>)</w:t>
            </w:r>
          </w:p>
        </w:tc>
        <w:tc>
          <w:tcPr>
            <w:tcW w:w="148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Step </w:t>
            </w:r>
            <w:r w:rsidR="00216A7B">
              <w:rPr>
                <w:rFonts w:ascii="Calibri" w:eastAsia="Times New Roman" w:hAnsi="Calibri" w:cs="Times New Roman"/>
                <w:color w:val="000000"/>
                <w:sz w:val="20"/>
                <w:szCs w:val="20"/>
              </w:rPr>
              <w:t>(</w:t>
            </w:r>
            <w:r w:rsidRPr="00FA3E94">
              <w:rPr>
                <w:rFonts w:ascii="Calibri" w:eastAsia="Times New Roman" w:hAnsi="Calibri" w:cs="Times New Roman"/>
                <w:color w:val="000000"/>
                <w:sz w:val="20"/>
                <w:szCs w:val="20"/>
              </w:rPr>
              <w:t>5</w:t>
            </w:r>
            <w:r w:rsidR="00216A7B">
              <w:rPr>
                <w:rFonts w:ascii="Calibri" w:eastAsia="Times New Roman" w:hAnsi="Calibri" w:cs="Times New Roman"/>
                <w:color w:val="000000"/>
                <w:sz w:val="20"/>
                <w:szCs w:val="20"/>
              </w:rPr>
              <w:t>)</w:t>
            </w:r>
          </w:p>
        </w:tc>
      </w:tr>
      <w:tr w:rsidR="0039458B" w:rsidRPr="00FA3E94" w:rsidTr="0039458B">
        <w:trPr>
          <w:trHeight w:val="1275"/>
        </w:trPr>
        <w:tc>
          <w:tcPr>
            <w:tcW w:w="1420" w:type="dxa"/>
            <w:tcBorders>
              <w:top w:val="nil"/>
              <w:left w:val="nil"/>
              <w:bottom w:val="nil"/>
              <w:right w:val="nil"/>
            </w:tcBorders>
            <w:shd w:val="clear" w:color="auto" w:fill="auto"/>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Hospital remoteness</w:t>
            </w:r>
          </w:p>
        </w:tc>
        <w:tc>
          <w:tcPr>
            <w:tcW w:w="1240" w:type="dxa"/>
            <w:tcBorders>
              <w:top w:val="nil"/>
              <w:left w:val="nil"/>
              <w:bottom w:val="nil"/>
              <w:right w:val="nil"/>
            </w:tcBorders>
            <w:shd w:val="clear" w:color="auto" w:fill="auto"/>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Non-reporting hospitals in 2014</w:t>
            </w:r>
            <w:r w:rsidRPr="00FA3E94">
              <w:rPr>
                <w:rFonts w:ascii="Calibri" w:eastAsia="Times New Roman" w:hAnsi="Calibri" w:cs="Times New Roman"/>
                <w:color w:val="000000"/>
                <w:sz w:val="20"/>
                <w:szCs w:val="20"/>
              </w:rPr>
              <w:noBreakHyphen/>
              <w:t>15 (a)</w:t>
            </w:r>
          </w:p>
        </w:tc>
        <w:tc>
          <w:tcPr>
            <w:tcW w:w="1420" w:type="dxa"/>
            <w:tcBorders>
              <w:top w:val="nil"/>
              <w:left w:val="nil"/>
              <w:bottom w:val="nil"/>
              <w:right w:val="nil"/>
            </w:tcBorders>
            <w:shd w:val="clear" w:color="auto" w:fill="auto"/>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ED occasions for non-reporting hospitals in 2013</w:t>
            </w:r>
            <w:r w:rsidRPr="00FA3E94">
              <w:rPr>
                <w:rFonts w:ascii="Calibri" w:eastAsia="Times New Roman" w:hAnsi="Calibri" w:cs="Times New Roman"/>
                <w:color w:val="000000"/>
                <w:sz w:val="20"/>
                <w:szCs w:val="20"/>
              </w:rPr>
              <w:noBreakHyphen/>
              <w:t xml:space="preserve">14 </w:t>
            </w:r>
          </w:p>
        </w:tc>
        <w:tc>
          <w:tcPr>
            <w:tcW w:w="1480" w:type="dxa"/>
            <w:tcBorders>
              <w:top w:val="nil"/>
              <w:left w:val="nil"/>
              <w:bottom w:val="nil"/>
              <w:right w:val="nil"/>
            </w:tcBorders>
            <w:shd w:val="clear" w:color="auto" w:fill="auto"/>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Growth in activity for hospitals reported in both years (b) </w:t>
            </w:r>
          </w:p>
        </w:tc>
        <w:tc>
          <w:tcPr>
            <w:tcW w:w="1920" w:type="dxa"/>
            <w:tcBorders>
              <w:top w:val="nil"/>
              <w:left w:val="nil"/>
              <w:bottom w:val="nil"/>
              <w:right w:val="nil"/>
            </w:tcBorders>
            <w:shd w:val="clear" w:color="auto" w:fill="auto"/>
            <w:hideMark/>
          </w:tcPr>
          <w:p w:rsidR="0039458B" w:rsidRPr="00FA3E94" w:rsidRDefault="0039458B" w:rsidP="007C2EC2">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Estimate of ED occasions from non-reporting hospita</w:t>
            </w:r>
            <w:r w:rsidR="00D04CD5">
              <w:rPr>
                <w:rFonts w:ascii="Calibri" w:eastAsia="Times New Roman" w:hAnsi="Calibri" w:cs="Times New Roman"/>
                <w:color w:val="000000"/>
                <w:sz w:val="20"/>
                <w:szCs w:val="20"/>
              </w:rPr>
              <w:t>ls in 2014</w:t>
            </w:r>
            <w:r w:rsidR="00D04CD5">
              <w:rPr>
                <w:rFonts w:ascii="Calibri" w:eastAsia="Times New Roman" w:hAnsi="Calibri" w:cs="Times New Roman"/>
                <w:color w:val="000000"/>
                <w:sz w:val="20"/>
                <w:szCs w:val="20"/>
              </w:rPr>
              <w:noBreakHyphen/>
              <w:t>15 (2)*</w:t>
            </w:r>
            <w:r w:rsidR="00333642">
              <w:rPr>
                <w:rFonts w:ascii="Calibri" w:eastAsia="Times New Roman" w:hAnsi="Calibri" w:cs="Times New Roman"/>
                <w:color w:val="000000"/>
                <w:sz w:val="20"/>
                <w:szCs w:val="20"/>
              </w:rPr>
              <w:t>[</w:t>
            </w:r>
            <w:r w:rsidRPr="00FA3E94">
              <w:rPr>
                <w:rFonts w:ascii="Calibri" w:eastAsia="Times New Roman" w:hAnsi="Calibri" w:cs="Times New Roman"/>
                <w:color w:val="000000"/>
                <w:sz w:val="20"/>
                <w:szCs w:val="20"/>
              </w:rPr>
              <w:t>1</w:t>
            </w:r>
            <w:r w:rsidR="00D04CD5">
              <w:rPr>
                <w:rFonts w:ascii="Calibri" w:eastAsia="Times New Roman" w:hAnsi="Calibri" w:cs="Times New Roman"/>
                <w:color w:val="000000"/>
                <w:sz w:val="20"/>
                <w:szCs w:val="20"/>
              </w:rPr>
              <w:t>00</w:t>
            </w:r>
            <w:r w:rsidRPr="00FA3E94">
              <w:rPr>
                <w:rFonts w:ascii="Calibri" w:eastAsia="Times New Roman" w:hAnsi="Calibri" w:cs="Times New Roman"/>
                <w:color w:val="000000"/>
                <w:sz w:val="20"/>
                <w:szCs w:val="20"/>
              </w:rPr>
              <w:t>+(3)</w:t>
            </w:r>
            <w:r w:rsidR="00333642">
              <w:rPr>
                <w:rFonts w:ascii="Calibri" w:eastAsia="Times New Roman" w:hAnsi="Calibri" w:cs="Times New Roman"/>
                <w:color w:val="000000"/>
                <w:sz w:val="20"/>
                <w:szCs w:val="20"/>
              </w:rPr>
              <w:t>]</w:t>
            </w:r>
            <w:r w:rsidR="00D04CD5">
              <w:rPr>
                <w:rFonts w:ascii="Calibri" w:eastAsia="Times New Roman" w:hAnsi="Calibri" w:cs="Times New Roman"/>
                <w:color w:val="000000"/>
                <w:sz w:val="20"/>
                <w:szCs w:val="20"/>
              </w:rPr>
              <w:t>%</w:t>
            </w:r>
          </w:p>
        </w:tc>
        <w:tc>
          <w:tcPr>
            <w:tcW w:w="1480" w:type="dxa"/>
            <w:tcBorders>
              <w:top w:val="nil"/>
              <w:left w:val="nil"/>
              <w:bottom w:val="nil"/>
              <w:right w:val="nil"/>
            </w:tcBorders>
            <w:shd w:val="clear" w:color="auto" w:fill="auto"/>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Proportion of ED occasions from non-reporting hospitals in 2014-15</w:t>
            </w:r>
          </w:p>
        </w:tc>
      </w:tr>
      <w:tr w:rsidR="0039458B" w:rsidRPr="00FA3E94" w:rsidTr="0039458B">
        <w:trPr>
          <w:trHeight w:val="259"/>
        </w:trPr>
        <w:tc>
          <w:tcPr>
            <w:tcW w:w="142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w:t>
            </w:r>
          </w:p>
        </w:tc>
        <w:tc>
          <w:tcPr>
            <w:tcW w:w="124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No.</w:t>
            </w:r>
          </w:p>
        </w:tc>
        <w:tc>
          <w:tcPr>
            <w:tcW w:w="142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No.</w:t>
            </w:r>
          </w:p>
        </w:tc>
        <w:tc>
          <w:tcPr>
            <w:tcW w:w="148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w:t>
            </w:r>
          </w:p>
        </w:tc>
        <w:tc>
          <w:tcPr>
            <w:tcW w:w="192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No.</w:t>
            </w:r>
          </w:p>
        </w:tc>
        <w:tc>
          <w:tcPr>
            <w:tcW w:w="1480" w:type="dxa"/>
            <w:tcBorders>
              <w:top w:val="single" w:sz="4" w:space="0" w:color="auto"/>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Major cities</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-10.6</w:t>
            </w:r>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Inner regional</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30</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51 017</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-1.7</w:t>
            </w:r>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50 170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2.6</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Outer regional</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28</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37 269</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-4.2</w:t>
            </w:r>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35 707</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3.3</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Remote</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4</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2 139</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-12.1</w:t>
            </w:r>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1 880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0.7</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Very remote</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2.8</w:t>
            </w:r>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w:t>
            </w:r>
          </w:p>
        </w:tc>
      </w:tr>
      <w:tr w:rsidR="0039458B" w:rsidRPr="00FA3E94" w:rsidTr="0039458B">
        <w:trPr>
          <w:trHeight w:val="315"/>
        </w:trPr>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Unknown </w:t>
            </w:r>
          </w:p>
        </w:tc>
        <w:tc>
          <w:tcPr>
            <w:tcW w:w="124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1</w:t>
            </w:r>
          </w:p>
        </w:tc>
        <w:tc>
          <w:tcPr>
            <w:tcW w:w="14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425</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proofErr w:type="spellStart"/>
            <w:r w:rsidRPr="00FA3E94">
              <w:rPr>
                <w:rFonts w:ascii="Calibri" w:eastAsia="Times New Roman" w:hAnsi="Calibri" w:cs="Times New Roman"/>
                <w:color w:val="000000"/>
                <w:sz w:val="20"/>
                <w:szCs w:val="20"/>
              </w:rPr>
              <w:t>na</w:t>
            </w:r>
            <w:proofErr w:type="spellEnd"/>
          </w:p>
        </w:tc>
        <w:tc>
          <w:tcPr>
            <w:tcW w:w="192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425 (b)</w:t>
            </w:r>
          </w:p>
        </w:tc>
        <w:tc>
          <w:tcPr>
            <w:tcW w:w="1480" w:type="dxa"/>
            <w:tcBorders>
              <w:top w:val="nil"/>
              <w:left w:val="nil"/>
              <w:bottom w:val="nil"/>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0.5</w:t>
            </w:r>
          </w:p>
        </w:tc>
      </w:tr>
      <w:tr w:rsidR="0039458B" w:rsidRPr="00FA3E94" w:rsidTr="0039458B">
        <w:trPr>
          <w:trHeight w:val="315"/>
        </w:trPr>
        <w:tc>
          <w:tcPr>
            <w:tcW w:w="14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Total</w:t>
            </w:r>
          </w:p>
        </w:tc>
        <w:tc>
          <w:tcPr>
            <w:tcW w:w="124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63</w:t>
            </w:r>
          </w:p>
        </w:tc>
        <w:tc>
          <w:tcPr>
            <w:tcW w:w="14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90 850</w:t>
            </w:r>
          </w:p>
        </w:tc>
        <w:tc>
          <w:tcPr>
            <w:tcW w:w="148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-4</w:t>
            </w:r>
            <w:r>
              <w:rPr>
                <w:rFonts w:ascii="Calibri" w:eastAsia="Times New Roman" w:hAnsi="Calibri" w:cs="Times New Roman"/>
                <w:color w:val="000000"/>
                <w:sz w:val="20"/>
                <w:szCs w:val="20"/>
              </w:rPr>
              <w:t>.0</w:t>
            </w:r>
          </w:p>
        </w:tc>
        <w:tc>
          <w:tcPr>
            <w:tcW w:w="192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 xml:space="preserve"> 88 182</w:t>
            </w:r>
          </w:p>
        </w:tc>
        <w:tc>
          <w:tcPr>
            <w:tcW w:w="1480" w:type="dxa"/>
            <w:tcBorders>
              <w:top w:val="single" w:sz="4" w:space="0" w:color="auto"/>
              <w:left w:val="nil"/>
              <w:bottom w:val="single" w:sz="4" w:space="0" w:color="auto"/>
              <w:right w:val="nil"/>
            </w:tcBorders>
            <w:shd w:val="clear" w:color="auto" w:fill="auto"/>
            <w:noWrap/>
            <w:vAlign w:val="center"/>
            <w:hideMark/>
          </w:tcPr>
          <w:p w:rsidR="0039458B" w:rsidRPr="00FA3E94" w:rsidRDefault="0039458B" w:rsidP="0039458B">
            <w:pPr>
              <w:keepNext/>
              <w:tabs>
                <w:tab w:val="clear" w:pos="567"/>
              </w:tabs>
              <w:spacing w:after="0" w:line="240" w:lineRule="auto"/>
              <w:jc w:val="right"/>
              <w:rPr>
                <w:rFonts w:ascii="Calibri" w:eastAsia="Times New Roman" w:hAnsi="Calibri" w:cs="Times New Roman"/>
                <w:color w:val="000000"/>
                <w:sz w:val="20"/>
                <w:szCs w:val="20"/>
              </w:rPr>
            </w:pPr>
            <w:r w:rsidRPr="00FA3E94">
              <w:rPr>
                <w:rFonts w:ascii="Calibri" w:eastAsia="Times New Roman" w:hAnsi="Calibri" w:cs="Times New Roman"/>
                <w:color w:val="000000"/>
                <w:sz w:val="20"/>
                <w:szCs w:val="20"/>
              </w:rPr>
              <w:t>1.1</w:t>
            </w:r>
          </w:p>
        </w:tc>
      </w:tr>
    </w:tbl>
    <w:p w:rsidR="0039458B" w:rsidRPr="0052084D" w:rsidRDefault="0039458B" w:rsidP="0039458B">
      <w:pPr>
        <w:pStyle w:val="CGCNumberedPara"/>
        <w:keepNext/>
        <w:numPr>
          <w:ilvl w:val="4"/>
          <w:numId w:val="11"/>
        </w:numPr>
        <w:tabs>
          <w:tab w:val="clear" w:pos="2673"/>
          <w:tab w:val="num" w:pos="709"/>
        </w:tabs>
        <w:spacing w:before="0" w:after="0" w:line="240" w:lineRule="auto"/>
        <w:ind w:left="0" w:firstLine="0"/>
        <w:rPr>
          <w:sz w:val="20"/>
          <w:szCs w:val="20"/>
        </w:rPr>
      </w:pPr>
      <w:r w:rsidRPr="0052084D">
        <w:rPr>
          <w:sz w:val="20"/>
          <w:szCs w:val="20"/>
        </w:rPr>
        <w:t xml:space="preserve">All the other </w:t>
      </w:r>
      <w:proofErr w:type="spellStart"/>
      <w:r w:rsidRPr="0052084D">
        <w:rPr>
          <w:sz w:val="20"/>
          <w:szCs w:val="20"/>
        </w:rPr>
        <w:t>PHE</w:t>
      </w:r>
      <w:proofErr w:type="spellEnd"/>
      <w:r w:rsidRPr="0052084D">
        <w:rPr>
          <w:sz w:val="20"/>
          <w:szCs w:val="20"/>
        </w:rPr>
        <w:t xml:space="preserve"> hospitals </w:t>
      </w:r>
      <w:r>
        <w:rPr>
          <w:sz w:val="20"/>
          <w:szCs w:val="20"/>
        </w:rPr>
        <w:t xml:space="preserve">(100 in total) </w:t>
      </w:r>
      <w:r w:rsidRPr="0052084D">
        <w:rPr>
          <w:sz w:val="20"/>
          <w:szCs w:val="20"/>
        </w:rPr>
        <w:t xml:space="preserve">reported ED occasions in the EP collection </w:t>
      </w:r>
      <w:r>
        <w:rPr>
          <w:sz w:val="20"/>
          <w:szCs w:val="20"/>
        </w:rPr>
        <w:t>i</w:t>
      </w:r>
      <w:r w:rsidRPr="0052084D">
        <w:rPr>
          <w:sz w:val="20"/>
          <w:szCs w:val="20"/>
        </w:rPr>
        <w:t>n 2014</w:t>
      </w:r>
      <w:r w:rsidRPr="0052084D">
        <w:rPr>
          <w:sz w:val="20"/>
          <w:szCs w:val="20"/>
        </w:rPr>
        <w:noBreakHyphen/>
        <w:t xml:space="preserve">15. </w:t>
      </w:r>
    </w:p>
    <w:p w:rsidR="0039458B" w:rsidRDefault="0039458B" w:rsidP="0039458B">
      <w:pPr>
        <w:pStyle w:val="CGCNumberedPara"/>
        <w:keepNext/>
        <w:numPr>
          <w:ilvl w:val="4"/>
          <w:numId w:val="11"/>
        </w:numPr>
        <w:tabs>
          <w:tab w:val="clear" w:pos="2673"/>
          <w:tab w:val="num" w:pos="709"/>
        </w:tabs>
        <w:spacing w:before="0" w:after="0" w:line="240" w:lineRule="auto"/>
        <w:ind w:left="709" w:hanging="709"/>
        <w:rPr>
          <w:sz w:val="20"/>
          <w:szCs w:val="20"/>
        </w:rPr>
      </w:pPr>
      <w:r>
        <w:rPr>
          <w:sz w:val="20"/>
          <w:szCs w:val="20"/>
        </w:rPr>
        <w:t xml:space="preserve">We could not derive a growth factor for the unknown hospital so none was applied. </w:t>
      </w:r>
    </w:p>
    <w:p w:rsidR="0039458B" w:rsidRPr="00402CEC" w:rsidRDefault="0039458B" w:rsidP="0039458B">
      <w:pPr>
        <w:pStyle w:val="CGCNumberedPara"/>
        <w:keepNext/>
        <w:numPr>
          <w:ilvl w:val="0"/>
          <w:numId w:val="0"/>
        </w:numPr>
        <w:spacing w:before="0" w:line="240" w:lineRule="auto"/>
        <w:rPr>
          <w:sz w:val="20"/>
          <w:szCs w:val="20"/>
        </w:rPr>
      </w:pPr>
      <w:r w:rsidRPr="00402CEC">
        <w:rPr>
          <w:sz w:val="20"/>
          <w:szCs w:val="20"/>
        </w:rPr>
        <w:t xml:space="preserve">Source: </w:t>
      </w:r>
      <w:r>
        <w:rPr>
          <w:sz w:val="20"/>
          <w:szCs w:val="20"/>
        </w:rPr>
        <w:tab/>
        <w:t>Staff calculation using a special data request from</w:t>
      </w:r>
      <w:r w:rsidR="003A0EE1">
        <w:rPr>
          <w:sz w:val="20"/>
          <w:szCs w:val="20"/>
        </w:rPr>
        <w:t xml:space="preserve"> </w:t>
      </w:r>
      <w:r>
        <w:rPr>
          <w:sz w:val="20"/>
          <w:szCs w:val="20"/>
        </w:rPr>
        <w:t xml:space="preserve">IHPA. </w:t>
      </w:r>
    </w:p>
    <w:p w:rsidR="0039458B" w:rsidRDefault="0039458B" w:rsidP="0039458B">
      <w:pPr>
        <w:pStyle w:val="CGCTableHeading"/>
      </w:pPr>
      <w:bookmarkStart w:id="258" w:name="_Ref489279388"/>
      <w:bookmarkStart w:id="259" w:name="_Ref489536968"/>
      <w:bookmarkStart w:id="260" w:name="_Ref490124535"/>
      <w:r>
        <w:t xml:space="preserve">Table </w:t>
      </w:r>
      <w:fldSimple w:instr=" SEQ Table \* ARABIC ">
        <w:r w:rsidR="00500132">
          <w:rPr>
            <w:noProof/>
          </w:rPr>
          <w:t>4</w:t>
        </w:r>
      </w:fldSimple>
      <w:bookmarkEnd w:id="258"/>
      <w:bookmarkEnd w:id="259"/>
      <w:bookmarkEnd w:id="260"/>
      <w:r>
        <w:tab/>
        <w:t xml:space="preserve">Assessed expenses, emergency department, </w:t>
      </w:r>
      <w:proofErr w:type="gramStart"/>
      <w:r>
        <w:t>2014</w:t>
      </w:r>
      <w:proofErr w:type="gramEnd"/>
      <w:r>
        <w:noBreakHyphen/>
        <w:t>15</w:t>
      </w:r>
    </w:p>
    <w:tbl>
      <w:tblPr>
        <w:tblW w:w="8920" w:type="dxa"/>
        <w:tblInd w:w="93" w:type="dxa"/>
        <w:tblLook w:val="04A0" w:firstRow="1" w:lastRow="0" w:firstColumn="1" w:lastColumn="0" w:noHBand="0" w:noVBand="1"/>
      </w:tblPr>
      <w:tblGrid>
        <w:gridCol w:w="2060"/>
        <w:gridCol w:w="820"/>
        <w:gridCol w:w="820"/>
        <w:gridCol w:w="760"/>
        <w:gridCol w:w="760"/>
        <w:gridCol w:w="720"/>
        <w:gridCol w:w="720"/>
        <w:gridCol w:w="720"/>
        <w:gridCol w:w="720"/>
        <w:gridCol w:w="820"/>
      </w:tblGrid>
      <w:tr w:rsidR="0039458B" w:rsidRPr="00F9058B" w:rsidTr="0039458B">
        <w:trPr>
          <w:trHeight w:val="375"/>
        </w:trPr>
        <w:tc>
          <w:tcPr>
            <w:tcW w:w="2060" w:type="dxa"/>
            <w:tcBorders>
              <w:top w:val="single" w:sz="4" w:space="0" w:color="auto"/>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 </w:t>
            </w:r>
          </w:p>
        </w:tc>
        <w:tc>
          <w:tcPr>
            <w:tcW w:w="8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NSW</w:t>
            </w:r>
          </w:p>
        </w:tc>
        <w:tc>
          <w:tcPr>
            <w:tcW w:w="8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Vic</w:t>
            </w:r>
          </w:p>
        </w:tc>
        <w:tc>
          <w:tcPr>
            <w:tcW w:w="76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Qld</w:t>
            </w:r>
          </w:p>
        </w:tc>
        <w:tc>
          <w:tcPr>
            <w:tcW w:w="76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WA</w:t>
            </w:r>
          </w:p>
        </w:tc>
        <w:tc>
          <w:tcPr>
            <w:tcW w:w="7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SA</w:t>
            </w:r>
          </w:p>
        </w:tc>
        <w:tc>
          <w:tcPr>
            <w:tcW w:w="7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proofErr w:type="spellStart"/>
            <w:r w:rsidRPr="00F9058B">
              <w:rPr>
                <w:rFonts w:ascii="Calibri" w:eastAsia="Times New Roman" w:hAnsi="Calibri" w:cs="Times New Roman"/>
                <w:color w:val="000000"/>
                <w:sz w:val="20"/>
                <w:szCs w:val="20"/>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ACT</w:t>
            </w:r>
          </w:p>
        </w:tc>
        <w:tc>
          <w:tcPr>
            <w:tcW w:w="7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NT</w:t>
            </w:r>
          </w:p>
        </w:tc>
        <w:tc>
          <w:tcPr>
            <w:tcW w:w="820" w:type="dxa"/>
            <w:tcBorders>
              <w:top w:val="single" w:sz="4" w:space="0" w:color="auto"/>
              <w:left w:val="nil"/>
              <w:bottom w:val="single" w:sz="4" w:space="0" w:color="auto"/>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Total</w:t>
            </w:r>
          </w:p>
        </w:tc>
      </w:tr>
      <w:tr w:rsidR="0039458B" w:rsidRPr="00F9058B" w:rsidTr="0039458B">
        <w:trPr>
          <w:trHeight w:val="259"/>
        </w:trPr>
        <w:tc>
          <w:tcPr>
            <w:tcW w:w="20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p>
        </w:tc>
        <w:tc>
          <w:tcPr>
            <w:tcW w:w="8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8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6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6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7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c>
          <w:tcPr>
            <w:tcW w:w="820" w:type="dxa"/>
            <w:tcBorders>
              <w:top w:val="nil"/>
              <w:left w:val="nil"/>
              <w:bottom w:val="nil"/>
              <w:right w:val="nil"/>
            </w:tcBorders>
            <w:shd w:val="clear" w:color="auto" w:fill="auto"/>
            <w:noWrap/>
            <w:vAlign w:val="center"/>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$m</w:t>
            </w:r>
          </w:p>
        </w:tc>
      </w:tr>
      <w:tr w:rsidR="0039458B" w:rsidRPr="00F9058B" w:rsidTr="0039458B">
        <w:trPr>
          <w:trHeight w:val="315"/>
        </w:trPr>
        <w:tc>
          <w:tcPr>
            <w:tcW w:w="20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S1: </w:t>
            </w:r>
            <w:r w:rsidRPr="00F9058B">
              <w:rPr>
                <w:rFonts w:ascii="Calibri" w:eastAsia="Times New Roman" w:hAnsi="Calibri" w:cs="Times New Roman"/>
                <w:color w:val="000000"/>
                <w:sz w:val="20"/>
                <w:szCs w:val="20"/>
              </w:rPr>
              <w:t xml:space="preserve">Ignoring </w:t>
            </w:r>
            <w:proofErr w:type="spellStart"/>
            <w:r w:rsidRPr="00F9058B">
              <w:rPr>
                <w:rFonts w:ascii="Calibri" w:eastAsia="Times New Roman" w:hAnsi="Calibri" w:cs="Times New Roman"/>
                <w:color w:val="000000"/>
                <w:sz w:val="20"/>
                <w:szCs w:val="20"/>
              </w:rPr>
              <w:t>PHE</w:t>
            </w:r>
            <w:proofErr w:type="spellEnd"/>
            <w:r w:rsidRPr="00F9058B">
              <w:rPr>
                <w:rFonts w:ascii="Calibri" w:eastAsia="Times New Roman" w:hAnsi="Calibri" w:cs="Times New Roman"/>
                <w:color w:val="000000"/>
                <w:sz w:val="20"/>
                <w:szCs w:val="20"/>
              </w:rPr>
              <w:t xml:space="preserve"> ED</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1 365</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1 012</w:t>
            </w:r>
          </w:p>
        </w:tc>
        <w:tc>
          <w:tcPr>
            <w:tcW w:w="7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905</w:t>
            </w:r>
          </w:p>
        </w:tc>
        <w:tc>
          <w:tcPr>
            <w:tcW w:w="7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506</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315</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117</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61</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93</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4 374</w:t>
            </w:r>
          </w:p>
        </w:tc>
      </w:tr>
      <w:tr w:rsidR="0039458B" w:rsidRPr="00F9058B" w:rsidTr="0039458B">
        <w:trPr>
          <w:trHeight w:val="315"/>
        </w:trPr>
        <w:tc>
          <w:tcPr>
            <w:tcW w:w="20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S2: </w:t>
            </w:r>
            <w:r w:rsidRPr="00F9058B">
              <w:rPr>
                <w:rFonts w:ascii="Calibri" w:eastAsia="Times New Roman" w:hAnsi="Calibri" w:cs="Times New Roman"/>
                <w:color w:val="000000"/>
                <w:sz w:val="20"/>
                <w:szCs w:val="20"/>
              </w:rPr>
              <w:t xml:space="preserve">Estimating </w:t>
            </w:r>
            <w:proofErr w:type="spellStart"/>
            <w:r w:rsidRPr="00F9058B">
              <w:rPr>
                <w:rFonts w:ascii="Calibri" w:eastAsia="Times New Roman" w:hAnsi="Calibri" w:cs="Times New Roman"/>
                <w:color w:val="000000"/>
                <w:sz w:val="20"/>
                <w:szCs w:val="20"/>
              </w:rPr>
              <w:t>PHE</w:t>
            </w:r>
            <w:proofErr w:type="spellEnd"/>
            <w:r w:rsidRPr="00F9058B">
              <w:rPr>
                <w:rFonts w:ascii="Calibri" w:eastAsia="Times New Roman" w:hAnsi="Calibri" w:cs="Times New Roman"/>
                <w:color w:val="000000"/>
                <w:sz w:val="20"/>
                <w:szCs w:val="20"/>
              </w:rPr>
              <w:t xml:space="preserve"> ED</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1 364</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1 010</w:t>
            </w:r>
          </w:p>
        </w:tc>
        <w:tc>
          <w:tcPr>
            <w:tcW w:w="7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907</w:t>
            </w:r>
          </w:p>
        </w:tc>
        <w:tc>
          <w:tcPr>
            <w:tcW w:w="7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505</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315</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119</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61</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93</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4 374</w:t>
            </w:r>
          </w:p>
        </w:tc>
      </w:tr>
      <w:tr w:rsidR="0039458B" w:rsidRPr="00F9058B" w:rsidTr="0039458B">
        <w:trPr>
          <w:trHeight w:val="315"/>
        </w:trPr>
        <w:tc>
          <w:tcPr>
            <w:tcW w:w="20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Difference $m (a)</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2</w:t>
            </w:r>
          </w:p>
        </w:tc>
        <w:tc>
          <w:tcPr>
            <w:tcW w:w="7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F9058B">
              <w:rPr>
                <w:rFonts w:ascii="Calibri" w:eastAsia="Times New Roman" w:hAnsi="Calibri" w:cs="Times New Roman"/>
                <w:color w:val="000000"/>
                <w:sz w:val="20"/>
                <w:szCs w:val="20"/>
              </w:rPr>
              <w:t>2</w:t>
            </w:r>
          </w:p>
        </w:tc>
        <w:tc>
          <w:tcPr>
            <w:tcW w:w="76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F9058B">
              <w:rPr>
                <w:rFonts w:ascii="Calibri" w:eastAsia="Times New Roman" w:hAnsi="Calibri" w:cs="Times New Roman"/>
                <w:color w:val="000000"/>
                <w:sz w:val="20"/>
                <w:szCs w:val="20"/>
              </w:rPr>
              <w:t>2</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F9058B">
              <w:rPr>
                <w:rFonts w:ascii="Calibri" w:eastAsia="Times New Roman" w:hAnsi="Calibri" w:cs="Times New Roman"/>
                <w:color w:val="000000"/>
                <w:sz w:val="20"/>
                <w:szCs w:val="20"/>
              </w:rPr>
              <w:t>1</w:t>
            </w:r>
          </w:p>
        </w:tc>
        <w:tc>
          <w:tcPr>
            <w:tcW w:w="820" w:type="dxa"/>
            <w:tcBorders>
              <w:top w:val="nil"/>
              <w:left w:val="nil"/>
              <w:bottom w:val="nil"/>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r>
      <w:tr w:rsidR="0039458B" w:rsidRPr="00F9058B" w:rsidTr="0039458B">
        <w:trPr>
          <w:trHeight w:val="315"/>
        </w:trPr>
        <w:tc>
          <w:tcPr>
            <w:tcW w:w="20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Difference $pc (b)</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6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F9058B">
              <w:rPr>
                <w:rFonts w:ascii="Calibri" w:eastAsia="Times New Roman" w:hAnsi="Calibri" w:cs="Times New Roman"/>
                <w:color w:val="000000"/>
                <w:sz w:val="20"/>
                <w:szCs w:val="20"/>
              </w:rPr>
              <w:t>3</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1</w:t>
            </w:r>
          </w:p>
        </w:tc>
        <w:tc>
          <w:tcPr>
            <w:tcW w:w="7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F9058B">
              <w:rPr>
                <w:rFonts w:ascii="Calibri" w:eastAsia="Times New Roman" w:hAnsi="Calibri" w:cs="Times New Roman"/>
                <w:color w:val="000000"/>
                <w:sz w:val="20"/>
                <w:szCs w:val="20"/>
              </w:rPr>
              <w:t>2</w:t>
            </w:r>
          </w:p>
        </w:tc>
        <w:tc>
          <w:tcPr>
            <w:tcW w:w="820" w:type="dxa"/>
            <w:tcBorders>
              <w:top w:val="nil"/>
              <w:left w:val="nil"/>
              <w:bottom w:val="single" w:sz="4" w:space="0" w:color="auto"/>
              <w:right w:val="nil"/>
            </w:tcBorders>
            <w:shd w:val="clear" w:color="auto" w:fill="auto"/>
            <w:noWrap/>
            <w:vAlign w:val="bottom"/>
            <w:hideMark/>
          </w:tcPr>
          <w:p w:rsidR="0039458B" w:rsidRPr="00F9058B" w:rsidRDefault="0039458B" w:rsidP="0039458B">
            <w:pPr>
              <w:tabs>
                <w:tab w:val="clear" w:pos="567"/>
              </w:tabs>
              <w:spacing w:after="0" w:line="240" w:lineRule="auto"/>
              <w:jc w:val="right"/>
              <w:rPr>
                <w:rFonts w:ascii="Calibri" w:eastAsia="Times New Roman" w:hAnsi="Calibri" w:cs="Times New Roman"/>
                <w:color w:val="000000"/>
                <w:sz w:val="20"/>
                <w:szCs w:val="20"/>
              </w:rPr>
            </w:pPr>
            <w:r w:rsidRPr="00F9058B">
              <w:rPr>
                <w:rFonts w:ascii="Calibri" w:eastAsia="Times New Roman" w:hAnsi="Calibri" w:cs="Times New Roman"/>
                <w:color w:val="000000"/>
                <w:sz w:val="20"/>
                <w:szCs w:val="20"/>
              </w:rPr>
              <w:t>0</w:t>
            </w:r>
          </w:p>
        </w:tc>
      </w:tr>
    </w:tbl>
    <w:p w:rsidR="0039458B" w:rsidRDefault="0039458B" w:rsidP="0039458B">
      <w:pPr>
        <w:pStyle w:val="CGCNumberedPara"/>
        <w:keepNext/>
        <w:numPr>
          <w:ilvl w:val="0"/>
          <w:numId w:val="24"/>
        </w:numPr>
        <w:spacing w:before="0" w:after="0" w:line="240" w:lineRule="auto"/>
        <w:ind w:hanging="720"/>
        <w:rPr>
          <w:sz w:val="20"/>
          <w:szCs w:val="20"/>
        </w:rPr>
      </w:pPr>
      <w:r>
        <w:rPr>
          <w:sz w:val="20"/>
          <w:szCs w:val="20"/>
        </w:rPr>
        <w:t>The differences of ED assessed expenses between Scenario 2 and Scenario 1.</w:t>
      </w:r>
    </w:p>
    <w:p w:rsidR="0039458B" w:rsidRPr="0052084D" w:rsidRDefault="0039458B" w:rsidP="0039458B">
      <w:pPr>
        <w:pStyle w:val="CGCNumberedPara"/>
        <w:keepNext/>
        <w:numPr>
          <w:ilvl w:val="0"/>
          <w:numId w:val="24"/>
        </w:numPr>
        <w:spacing w:before="0" w:after="0" w:line="240" w:lineRule="auto"/>
        <w:ind w:hanging="720"/>
        <w:rPr>
          <w:sz w:val="20"/>
          <w:szCs w:val="20"/>
        </w:rPr>
      </w:pPr>
      <w:r>
        <w:rPr>
          <w:sz w:val="20"/>
          <w:szCs w:val="20"/>
        </w:rPr>
        <w:t>The differences of ED assessed expenses divided by 2014</w:t>
      </w:r>
      <w:r>
        <w:rPr>
          <w:sz w:val="20"/>
          <w:szCs w:val="20"/>
        </w:rPr>
        <w:noBreakHyphen/>
        <w:t xml:space="preserve">15 population. </w:t>
      </w:r>
      <w:r w:rsidRPr="0052084D">
        <w:rPr>
          <w:sz w:val="20"/>
          <w:szCs w:val="20"/>
        </w:rPr>
        <w:t xml:space="preserve"> </w:t>
      </w:r>
    </w:p>
    <w:p w:rsidR="0039458B" w:rsidRPr="00402CEC" w:rsidRDefault="0039458B" w:rsidP="0039458B">
      <w:pPr>
        <w:pStyle w:val="CGCNumberedPara"/>
        <w:keepNext/>
        <w:numPr>
          <w:ilvl w:val="0"/>
          <w:numId w:val="0"/>
        </w:numPr>
        <w:spacing w:before="0" w:line="240" w:lineRule="auto"/>
        <w:rPr>
          <w:sz w:val="20"/>
          <w:szCs w:val="20"/>
        </w:rPr>
      </w:pPr>
      <w:r w:rsidRPr="00402CEC">
        <w:rPr>
          <w:sz w:val="20"/>
          <w:szCs w:val="20"/>
        </w:rPr>
        <w:t xml:space="preserve">Source: </w:t>
      </w:r>
      <w:r>
        <w:rPr>
          <w:sz w:val="20"/>
          <w:szCs w:val="20"/>
        </w:rPr>
        <w:tab/>
        <w:t>Staff calcul</w:t>
      </w:r>
      <w:r w:rsidR="0029387C">
        <w:rPr>
          <w:sz w:val="20"/>
          <w:szCs w:val="20"/>
        </w:rPr>
        <w:t>ation based on the 2017 Update.</w:t>
      </w:r>
    </w:p>
    <w:p w:rsidR="0039458B" w:rsidRDefault="00E600A7" w:rsidP="0039458B">
      <w:pPr>
        <w:pStyle w:val="CGCNumberedPara"/>
      </w:pPr>
      <w:r>
        <w:t xml:space="preserve">The </w:t>
      </w:r>
      <w:r w:rsidR="0039458B">
        <w:t xml:space="preserve">IHPA is continuing to work with State health authorities to improve the coverage for the EP and ES collections (especially the EP collection) and it anticipates further improvements in the coverage of these collections in the future. </w:t>
      </w:r>
    </w:p>
    <w:p w:rsidR="0039458B" w:rsidRPr="003215B5" w:rsidRDefault="003215B5" w:rsidP="003215B5">
      <w:pPr>
        <w:pStyle w:val="Heading4"/>
      </w:pPr>
      <w:bookmarkStart w:id="261" w:name="_Toc490228677"/>
      <w:bookmarkStart w:id="262" w:name="_Toc490556266"/>
      <w:bookmarkStart w:id="263" w:name="_Toc490659147"/>
      <w:bookmarkStart w:id="264" w:name="_Toc490659336"/>
      <w:bookmarkStart w:id="265" w:name="_Toc490659540"/>
      <w:r>
        <w:t>R</w:t>
      </w:r>
      <w:r w:rsidRPr="003215B5">
        <w:t>ecommendation</w:t>
      </w:r>
      <w:bookmarkEnd w:id="261"/>
      <w:bookmarkEnd w:id="262"/>
      <w:bookmarkEnd w:id="263"/>
      <w:bookmarkEnd w:id="264"/>
      <w:bookmarkEnd w:id="265"/>
    </w:p>
    <w:tbl>
      <w:tblPr>
        <w:tblStyle w:val="TableGrid"/>
        <w:tblW w:w="0" w:type="auto"/>
        <w:tblLook w:val="04A0" w:firstRow="1" w:lastRow="0" w:firstColumn="1" w:lastColumn="0" w:noHBand="0" w:noVBand="1"/>
      </w:tblPr>
      <w:tblGrid>
        <w:gridCol w:w="9167"/>
      </w:tblGrid>
      <w:tr w:rsidR="0039458B" w:rsidTr="0039458B">
        <w:tc>
          <w:tcPr>
            <w:tcW w:w="9167" w:type="dxa"/>
            <w:tcBorders>
              <w:top w:val="nil"/>
              <w:left w:val="nil"/>
              <w:bottom w:val="nil"/>
              <w:right w:val="nil"/>
            </w:tcBorders>
            <w:shd w:val="clear" w:color="auto" w:fill="D9F3E6"/>
          </w:tcPr>
          <w:p w:rsidR="0039458B" w:rsidRDefault="0039458B" w:rsidP="0039458B">
            <w:r>
              <w:t>Staff propose to recommend that the Commission:</w:t>
            </w:r>
          </w:p>
          <w:p w:rsidR="0039458B" w:rsidRDefault="0039458B" w:rsidP="009E58A0">
            <w:pPr>
              <w:pStyle w:val="CGCBulletlist"/>
              <w:tabs>
                <w:tab w:val="clear" w:pos="927"/>
                <w:tab w:val="clear" w:pos="1418"/>
              </w:tabs>
              <w:ind w:left="1134" w:hanging="567"/>
            </w:pPr>
            <w:r>
              <w:t xml:space="preserve">use </w:t>
            </w:r>
            <w:r w:rsidR="009E58A0">
              <w:t xml:space="preserve">the </w:t>
            </w:r>
            <w:r w:rsidR="009E58A0" w:rsidRPr="00102B02">
              <w:t>Independent Hospital Pricing Authority</w:t>
            </w:r>
            <w:r w:rsidR="009E58A0">
              <w:t xml:space="preserve">’s emergency department </w:t>
            </w:r>
            <w:r>
              <w:t xml:space="preserve">activity captured by the </w:t>
            </w:r>
            <w:r w:rsidR="009E58A0" w:rsidRPr="00C46C7A">
              <w:t>Non-admitted Patient Emergency Department Care National Minimum Data</w:t>
            </w:r>
            <w:r w:rsidR="009E58A0">
              <w:t xml:space="preserve"> Set</w:t>
            </w:r>
            <w:r>
              <w:t xml:space="preserve"> and </w:t>
            </w:r>
            <w:r w:rsidR="009E58A0">
              <w:t>Activity</w:t>
            </w:r>
            <w:r w:rsidR="009E58A0">
              <w:noBreakHyphen/>
            </w:r>
            <w:r w:rsidR="009E58A0" w:rsidRPr="00C46C7A">
              <w:t>based Funding Emergency Services Care Data Set Specif</w:t>
            </w:r>
            <w:r w:rsidR="009E58A0">
              <w:t>ication</w:t>
            </w:r>
            <w:r>
              <w:t xml:space="preserve"> collections for all assessment years in the 2018 Update without any adjustment for under </w:t>
            </w:r>
            <w:r w:rsidR="009E58A0">
              <w:t>coverage because the number of emergency department</w:t>
            </w:r>
            <w:r>
              <w:t xml:space="preserve"> occasions not being captured is negligible (1.1% of total activity) and including an adjustment is not material for any State.</w:t>
            </w:r>
          </w:p>
        </w:tc>
      </w:tr>
    </w:tbl>
    <w:p w:rsidR="001364C8" w:rsidRDefault="005317FC" w:rsidP="005317FC">
      <w:pPr>
        <w:pStyle w:val="Heading4"/>
      </w:pPr>
      <w:bookmarkStart w:id="266" w:name="_Toc489877489"/>
      <w:bookmarkStart w:id="267" w:name="_Toc489877544"/>
      <w:bookmarkStart w:id="268" w:name="_Toc489878087"/>
      <w:bookmarkStart w:id="269" w:name="_Toc489878463"/>
      <w:bookmarkStart w:id="270" w:name="_Toc490138817"/>
      <w:bookmarkStart w:id="271" w:name="_Toc490224754"/>
      <w:bookmarkStart w:id="272" w:name="_Toc490228116"/>
      <w:bookmarkStart w:id="273" w:name="_Toc490228678"/>
      <w:bookmarkStart w:id="274" w:name="_Toc490556267"/>
      <w:bookmarkStart w:id="275" w:name="_Toc490659148"/>
      <w:bookmarkStart w:id="276" w:name="_Toc490659337"/>
      <w:bookmarkStart w:id="277" w:name="_Toc490659541"/>
      <w:r>
        <w:lastRenderedPageBreak/>
        <w:t>Treatment</w:t>
      </w:r>
      <w:r w:rsidR="001364C8">
        <w:t xml:space="preserve"> of </w:t>
      </w:r>
      <w:r w:rsidR="00333642">
        <w:t xml:space="preserve">the </w:t>
      </w:r>
      <w:r w:rsidR="009E58A0">
        <w:t xml:space="preserve">Commonwealth payment for </w:t>
      </w:r>
      <w:r w:rsidR="00E42536">
        <w:t xml:space="preserve">the transfer of </w:t>
      </w:r>
      <w:r w:rsidR="00333642">
        <w:t xml:space="preserve">the </w:t>
      </w:r>
      <w:r w:rsidR="001364C8">
        <w:t xml:space="preserve">Mersey </w:t>
      </w:r>
      <w:r>
        <w:t>C</w:t>
      </w:r>
      <w:r w:rsidR="0039458B">
        <w:t xml:space="preserve">ommunity </w:t>
      </w:r>
      <w:r w:rsidR="001364C8">
        <w:t xml:space="preserve">Hospital </w:t>
      </w:r>
      <w:r w:rsidR="00E42536">
        <w:t xml:space="preserve">from </w:t>
      </w:r>
      <w:r w:rsidR="009E58A0">
        <w:t xml:space="preserve">the </w:t>
      </w:r>
      <w:r w:rsidR="00E42536">
        <w:t>Commonwealth to Tasmania</w:t>
      </w:r>
      <w:bookmarkEnd w:id="266"/>
      <w:bookmarkEnd w:id="267"/>
      <w:bookmarkEnd w:id="268"/>
      <w:bookmarkEnd w:id="269"/>
      <w:bookmarkEnd w:id="270"/>
      <w:bookmarkEnd w:id="271"/>
      <w:bookmarkEnd w:id="272"/>
      <w:bookmarkEnd w:id="273"/>
      <w:bookmarkEnd w:id="274"/>
      <w:bookmarkEnd w:id="275"/>
      <w:bookmarkEnd w:id="276"/>
      <w:bookmarkEnd w:id="277"/>
    </w:p>
    <w:p w:rsidR="0039458B" w:rsidRDefault="0039458B" w:rsidP="00EE504C">
      <w:pPr>
        <w:pStyle w:val="Heading5"/>
      </w:pPr>
      <w:r>
        <w:t>Background</w:t>
      </w:r>
    </w:p>
    <w:p w:rsidR="0039458B" w:rsidRDefault="0039458B" w:rsidP="0039458B">
      <w:pPr>
        <w:pStyle w:val="CGCNumberedPara"/>
      </w:pPr>
      <w:r>
        <w:t>T</w:t>
      </w:r>
      <w:r w:rsidRPr="0015183E">
        <w:t xml:space="preserve">he </w:t>
      </w:r>
      <w:r>
        <w:t>Australian Government</w:t>
      </w:r>
      <w:r w:rsidRPr="0015183E">
        <w:t xml:space="preserve"> provide</w:t>
      </w:r>
      <w:r>
        <w:t>d</w:t>
      </w:r>
      <w:r w:rsidRPr="0015183E">
        <w:t xml:space="preserve"> funding </w:t>
      </w:r>
      <w:r>
        <w:t>to Tasmania in 2016</w:t>
      </w:r>
      <w:r>
        <w:noBreakHyphen/>
        <w:t xml:space="preserve">17 </w:t>
      </w:r>
      <w:r w:rsidRPr="0015183E">
        <w:t xml:space="preserve">to support the transfer and operation of the Mersey Community Hospital for the next </w:t>
      </w:r>
      <w:r w:rsidR="000940AC">
        <w:t xml:space="preserve">10 </w:t>
      </w:r>
      <w:r w:rsidR="000940AC" w:rsidRPr="0015183E">
        <w:t>years</w:t>
      </w:r>
      <w:r w:rsidRPr="0015183E">
        <w:t xml:space="preserve">. </w:t>
      </w:r>
    </w:p>
    <w:p w:rsidR="0039458B" w:rsidRDefault="0039458B" w:rsidP="0039458B">
      <w:pPr>
        <w:pStyle w:val="CGCNumberedPara"/>
      </w:pPr>
      <w:r>
        <w:t>The</w:t>
      </w:r>
      <w:r w:rsidRPr="006C3317">
        <w:t xml:space="preserve"> Treasurer </w:t>
      </w:r>
      <w:r>
        <w:t xml:space="preserve">wrote to the Commission on 12 April 2017 </w:t>
      </w:r>
      <w:r w:rsidR="000940AC">
        <w:t>directing</w:t>
      </w:r>
      <w:r>
        <w:t xml:space="preserve"> it to exclude the payment</w:t>
      </w:r>
      <w:r w:rsidRPr="006C3317">
        <w:t xml:space="preserve"> from the calculation of per capita relativities for the distribution of revenue from the GST. </w:t>
      </w:r>
    </w:p>
    <w:p w:rsidR="0039458B" w:rsidRDefault="0039458B" w:rsidP="00EE504C">
      <w:pPr>
        <w:pStyle w:val="Heading5"/>
      </w:pPr>
      <w:r>
        <w:t>Analysis</w:t>
      </w:r>
    </w:p>
    <w:p w:rsidR="0039458B" w:rsidRDefault="0039458B" w:rsidP="0039458B">
      <w:pPr>
        <w:pStyle w:val="CGCNumberedPara"/>
      </w:pPr>
      <w:r>
        <w:t>In 2016</w:t>
      </w:r>
      <w:r>
        <w:noBreakHyphen/>
        <w:t xml:space="preserve">17 Tasmania received $730.4 million from the Australian Government to cover the operating costs of the </w:t>
      </w:r>
      <w:r w:rsidRPr="0015183E">
        <w:t>Mersey Community Hospital</w:t>
      </w:r>
      <w:r>
        <w:t xml:space="preserve"> for 10 years. The Tasmanian Government has transferred the full amount to </w:t>
      </w:r>
      <w:r w:rsidR="0065592B">
        <w:t>its</w:t>
      </w:r>
      <w:r>
        <w:t xml:space="preserve"> </w:t>
      </w:r>
      <w:r w:rsidR="0065592B">
        <w:t>p</w:t>
      </w:r>
      <w:r>
        <w:t xml:space="preserve">ublic </w:t>
      </w:r>
      <w:r w:rsidR="0065592B">
        <w:t>f</w:t>
      </w:r>
      <w:r>
        <w:t xml:space="preserve">inance </w:t>
      </w:r>
      <w:r w:rsidR="0065592B">
        <w:t>c</w:t>
      </w:r>
      <w:r>
        <w:t>orporation (</w:t>
      </w:r>
      <w:proofErr w:type="spellStart"/>
      <w:r>
        <w:t>TasCorp</w:t>
      </w:r>
      <w:proofErr w:type="spellEnd"/>
      <w:r>
        <w:t xml:space="preserve">) as </w:t>
      </w:r>
      <w:r w:rsidR="00D446E3">
        <w:t xml:space="preserve">a </w:t>
      </w:r>
      <w:r>
        <w:t>one</w:t>
      </w:r>
      <w:r>
        <w:noBreakHyphen/>
        <w:t>off equity contribution to the Mersey Community Hospital Fund</w:t>
      </w:r>
      <w:r w:rsidR="007C4BCA">
        <w:t xml:space="preserve"> (the Fund)</w:t>
      </w:r>
      <w:r>
        <w:t xml:space="preserve">. </w:t>
      </w:r>
      <w:proofErr w:type="spellStart"/>
      <w:r>
        <w:t>TasCorp</w:t>
      </w:r>
      <w:proofErr w:type="spellEnd"/>
      <w:r>
        <w:t xml:space="preserve"> will make annual dividend payments to the Tasmanian Government for the next 10 years equivalent to the indexed operating costs of the hospital. </w:t>
      </w:r>
      <w:r>
        <w:fldChar w:fldCharType="begin"/>
      </w:r>
      <w:r>
        <w:instrText xml:space="preserve"> REF _Ref488754454 \h </w:instrText>
      </w:r>
      <w:r>
        <w:fldChar w:fldCharType="separate"/>
      </w:r>
      <w:r w:rsidR="00500132">
        <w:t xml:space="preserve">Table </w:t>
      </w:r>
      <w:r w:rsidR="00500132">
        <w:rPr>
          <w:noProof/>
        </w:rPr>
        <w:t>5</w:t>
      </w:r>
      <w:r>
        <w:fldChar w:fldCharType="end"/>
      </w:r>
      <w:r>
        <w:t xml:space="preserve"> shows the estimated dividend payments from 2017</w:t>
      </w:r>
      <w:r>
        <w:noBreakHyphen/>
        <w:t>18 to 2020</w:t>
      </w:r>
      <w:r>
        <w:noBreakHyphen/>
        <w:t>21.</w:t>
      </w:r>
    </w:p>
    <w:p w:rsidR="0039458B" w:rsidRDefault="0039458B" w:rsidP="0039458B">
      <w:pPr>
        <w:pStyle w:val="Caption"/>
      </w:pPr>
      <w:bookmarkStart w:id="278" w:name="_Ref488754454"/>
      <w:r>
        <w:t xml:space="preserve">Table </w:t>
      </w:r>
      <w:fldSimple w:instr=" SEQ Table \* ARABIC ">
        <w:r w:rsidR="00500132">
          <w:rPr>
            <w:noProof/>
          </w:rPr>
          <w:t>5</w:t>
        </w:r>
      </w:fldSimple>
      <w:bookmarkEnd w:id="278"/>
      <w:r>
        <w:tab/>
        <w:t>Mersey Community Hospital dividend payments</w:t>
      </w:r>
    </w:p>
    <w:tbl>
      <w:tblPr>
        <w:tblW w:w="5000" w:type="pct"/>
        <w:tblCellMar>
          <w:left w:w="85" w:type="dxa"/>
          <w:right w:w="85" w:type="dxa"/>
        </w:tblCellMar>
        <w:tblLook w:val="0000" w:firstRow="0" w:lastRow="0" w:firstColumn="0" w:lastColumn="0" w:noHBand="0" w:noVBand="0"/>
      </w:tblPr>
      <w:tblGrid>
        <w:gridCol w:w="3802"/>
        <w:gridCol w:w="5319"/>
      </w:tblGrid>
      <w:tr w:rsidR="0039458B" w:rsidRPr="00DF65D6" w:rsidTr="000E3F26">
        <w:tc>
          <w:tcPr>
            <w:tcW w:w="2084" w:type="pct"/>
            <w:tcBorders>
              <w:top w:val="single" w:sz="4" w:space="0" w:color="auto"/>
              <w:bottom w:val="single" w:sz="4" w:space="0" w:color="auto"/>
            </w:tcBorders>
            <w:vAlign w:val="bottom"/>
          </w:tcPr>
          <w:p w:rsidR="0039458B" w:rsidRPr="0039458B" w:rsidRDefault="0039458B" w:rsidP="0039458B">
            <w:pPr>
              <w:pStyle w:val="TableColHeadings"/>
              <w:jc w:val="left"/>
              <w:rPr>
                <w:rFonts w:asciiTheme="minorHAnsi" w:hAnsiTheme="minorHAnsi" w:cstheme="minorHAnsi"/>
              </w:rPr>
            </w:pPr>
            <w:r w:rsidRPr="0039458B">
              <w:rPr>
                <w:rFonts w:asciiTheme="minorHAnsi" w:hAnsiTheme="minorHAnsi" w:cstheme="minorHAnsi"/>
              </w:rPr>
              <w:t>Financial year</w:t>
            </w:r>
          </w:p>
        </w:tc>
        <w:tc>
          <w:tcPr>
            <w:tcW w:w="2916" w:type="pct"/>
            <w:tcBorders>
              <w:top w:val="single" w:sz="4" w:space="0" w:color="auto"/>
              <w:bottom w:val="single" w:sz="4" w:space="0" w:color="auto"/>
            </w:tcBorders>
            <w:vAlign w:val="bottom"/>
          </w:tcPr>
          <w:p w:rsidR="0039458B" w:rsidRPr="0039458B" w:rsidRDefault="0039458B" w:rsidP="0039458B">
            <w:pPr>
              <w:pStyle w:val="TableColHeadings"/>
              <w:rPr>
                <w:rFonts w:asciiTheme="minorHAnsi" w:hAnsiTheme="minorHAnsi" w:cstheme="minorHAnsi"/>
              </w:rPr>
            </w:pPr>
            <w:r w:rsidRPr="0039458B">
              <w:rPr>
                <w:rFonts w:asciiTheme="minorHAnsi" w:hAnsiTheme="minorHAnsi" w:cstheme="minorHAnsi"/>
              </w:rPr>
              <w:t>Estimated dividend</w:t>
            </w:r>
          </w:p>
        </w:tc>
      </w:tr>
      <w:tr w:rsidR="0039458B" w:rsidRPr="00DF65D6" w:rsidTr="000E3F26">
        <w:tc>
          <w:tcPr>
            <w:tcW w:w="2084" w:type="pct"/>
            <w:tcBorders>
              <w:top w:val="single" w:sz="4" w:space="0" w:color="auto"/>
            </w:tcBorders>
            <w:tcMar>
              <w:top w:w="0" w:type="dxa"/>
              <w:bottom w:w="0" w:type="dxa"/>
            </w:tcMar>
            <w:vAlign w:val="bottom"/>
          </w:tcPr>
          <w:p w:rsidR="0039458B" w:rsidRPr="00DF65D6" w:rsidRDefault="0039458B" w:rsidP="0039458B">
            <w:pPr>
              <w:pStyle w:val="TableRowUnits"/>
              <w:rPr>
                <w:rFonts w:cstheme="minorHAnsi"/>
              </w:rPr>
            </w:pPr>
          </w:p>
        </w:tc>
        <w:tc>
          <w:tcPr>
            <w:tcW w:w="2916" w:type="pct"/>
            <w:tcBorders>
              <w:top w:val="single" w:sz="4" w:space="0" w:color="auto"/>
            </w:tcBorders>
            <w:tcMar>
              <w:top w:w="0" w:type="dxa"/>
              <w:bottom w:w="0" w:type="dxa"/>
            </w:tcMar>
            <w:vAlign w:val="bottom"/>
          </w:tcPr>
          <w:p w:rsidR="0039458B" w:rsidRPr="00431011" w:rsidRDefault="0039458B" w:rsidP="0039458B">
            <w:pPr>
              <w:pStyle w:val="TableRowUnits"/>
              <w:rPr>
                <w:rFonts w:asciiTheme="minorHAnsi" w:hAnsiTheme="minorHAnsi" w:cstheme="minorHAnsi"/>
              </w:rPr>
            </w:pPr>
            <w:r w:rsidRPr="00431011">
              <w:rPr>
                <w:rFonts w:asciiTheme="minorHAnsi" w:hAnsiTheme="minorHAnsi" w:cstheme="minorHAnsi"/>
              </w:rPr>
              <w:t>$m</w:t>
            </w:r>
          </w:p>
        </w:tc>
      </w:tr>
      <w:tr w:rsidR="0039458B" w:rsidRPr="00DF65D6" w:rsidTr="0039458B">
        <w:tc>
          <w:tcPr>
            <w:tcW w:w="2084" w:type="pct"/>
            <w:vAlign w:val="bottom"/>
          </w:tcPr>
          <w:p w:rsidR="0039458B" w:rsidRPr="00DF65D6" w:rsidRDefault="0039458B" w:rsidP="0039458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2017</w:t>
            </w:r>
            <w:r>
              <w:rPr>
                <w:rFonts w:cstheme="minorHAnsi"/>
              </w:rPr>
              <w:noBreakHyphen/>
              <w:t>18</w:t>
            </w:r>
          </w:p>
        </w:tc>
        <w:tc>
          <w:tcPr>
            <w:tcW w:w="2916" w:type="pct"/>
            <w:vAlign w:val="bottom"/>
          </w:tcPr>
          <w:p w:rsidR="0039458B" w:rsidRPr="0039458B" w:rsidRDefault="0039458B" w:rsidP="0039458B">
            <w:pPr>
              <w:pStyle w:val="TableRowNormal"/>
              <w:ind w:left="0" w:firstLine="0"/>
              <w:rPr>
                <w:rFonts w:asciiTheme="minorHAnsi" w:hAnsiTheme="minorHAnsi" w:cstheme="minorHAnsi"/>
              </w:rPr>
            </w:pPr>
            <w:r w:rsidRPr="0039458B">
              <w:rPr>
                <w:rFonts w:asciiTheme="minorHAnsi" w:hAnsiTheme="minorHAnsi" w:cstheme="minorHAnsi"/>
              </w:rPr>
              <w:t>78.1</w:t>
            </w:r>
          </w:p>
        </w:tc>
      </w:tr>
      <w:tr w:rsidR="0039458B" w:rsidRPr="00DF65D6" w:rsidTr="0039458B">
        <w:tc>
          <w:tcPr>
            <w:tcW w:w="2084" w:type="pct"/>
            <w:vAlign w:val="bottom"/>
          </w:tcPr>
          <w:p w:rsidR="0039458B" w:rsidRPr="00DF65D6" w:rsidRDefault="0039458B" w:rsidP="0039458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2018</w:t>
            </w:r>
            <w:r>
              <w:rPr>
                <w:rFonts w:cstheme="minorHAnsi"/>
              </w:rPr>
              <w:noBreakHyphen/>
              <w:t>19</w:t>
            </w:r>
          </w:p>
        </w:tc>
        <w:tc>
          <w:tcPr>
            <w:tcW w:w="2916" w:type="pct"/>
            <w:vAlign w:val="bottom"/>
          </w:tcPr>
          <w:p w:rsidR="0039458B" w:rsidRPr="0039458B" w:rsidRDefault="0039458B" w:rsidP="0039458B">
            <w:pPr>
              <w:pStyle w:val="TableRowNormal"/>
              <w:ind w:left="0" w:firstLine="0"/>
              <w:rPr>
                <w:rFonts w:asciiTheme="minorHAnsi" w:hAnsiTheme="minorHAnsi" w:cstheme="minorHAnsi"/>
              </w:rPr>
            </w:pPr>
            <w:r w:rsidRPr="0039458B">
              <w:rPr>
                <w:rFonts w:asciiTheme="minorHAnsi" w:hAnsiTheme="minorHAnsi" w:cstheme="minorHAnsi"/>
              </w:rPr>
              <w:t>80.9</w:t>
            </w:r>
          </w:p>
        </w:tc>
      </w:tr>
      <w:tr w:rsidR="0039458B" w:rsidRPr="00DF65D6" w:rsidTr="0039458B">
        <w:tc>
          <w:tcPr>
            <w:tcW w:w="2084" w:type="pct"/>
            <w:vAlign w:val="bottom"/>
          </w:tcPr>
          <w:p w:rsidR="0039458B" w:rsidRDefault="0039458B" w:rsidP="0039458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2019</w:t>
            </w:r>
            <w:r>
              <w:rPr>
                <w:rFonts w:cstheme="minorHAnsi"/>
              </w:rPr>
              <w:noBreakHyphen/>
              <w:t>20</w:t>
            </w:r>
          </w:p>
        </w:tc>
        <w:tc>
          <w:tcPr>
            <w:tcW w:w="2916" w:type="pct"/>
            <w:vAlign w:val="bottom"/>
          </w:tcPr>
          <w:p w:rsidR="0039458B" w:rsidRPr="0039458B" w:rsidRDefault="0039458B" w:rsidP="0039458B">
            <w:pPr>
              <w:pStyle w:val="TableRowNormal"/>
              <w:ind w:left="0" w:firstLine="0"/>
              <w:rPr>
                <w:rFonts w:asciiTheme="minorHAnsi" w:hAnsiTheme="minorHAnsi" w:cstheme="minorHAnsi"/>
              </w:rPr>
            </w:pPr>
            <w:r w:rsidRPr="0039458B">
              <w:rPr>
                <w:rFonts w:asciiTheme="minorHAnsi" w:hAnsiTheme="minorHAnsi" w:cstheme="minorHAnsi"/>
              </w:rPr>
              <w:t>83.7</w:t>
            </w:r>
          </w:p>
        </w:tc>
      </w:tr>
      <w:tr w:rsidR="0039458B" w:rsidRPr="00DF65D6" w:rsidTr="0039458B">
        <w:tc>
          <w:tcPr>
            <w:tcW w:w="2084" w:type="pct"/>
            <w:tcBorders>
              <w:bottom w:val="single" w:sz="4" w:space="0" w:color="auto"/>
            </w:tcBorders>
            <w:vAlign w:val="bottom"/>
          </w:tcPr>
          <w:p w:rsidR="0039458B" w:rsidRPr="00DF65D6" w:rsidRDefault="0039458B" w:rsidP="0039458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2020</w:t>
            </w:r>
            <w:r>
              <w:rPr>
                <w:rFonts w:cstheme="minorHAnsi"/>
              </w:rPr>
              <w:noBreakHyphen/>
              <w:t>21</w:t>
            </w:r>
          </w:p>
        </w:tc>
        <w:tc>
          <w:tcPr>
            <w:tcW w:w="2916" w:type="pct"/>
            <w:tcBorders>
              <w:bottom w:val="single" w:sz="4" w:space="0" w:color="auto"/>
            </w:tcBorders>
            <w:vAlign w:val="bottom"/>
          </w:tcPr>
          <w:p w:rsidR="0039458B" w:rsidRPr="0039458B" w:rsidRDefault="0039458B" w:rsidP="0039458B">
            <w:pPr>
              <w:pStyle w:val="TableRowNormal"/>
              <w:ind w:left="0" w:firstLine="0"/>
              <w:rPr>
                <w:rFonts w:asciiTheme="minorHAnsi" w:hAnsiTheme="minorHAnsi" w:cstheme="minorHAnsi"/>
              </w:rPr>
            </w:pPr>
            <w:r w:rsidRPr="0039458B">
              <w:rPr>
                <w:rFonts w:asciiTheme="minorHAnsi" w:hAnsiTheme="minorHAnsi" w:cstheme="minorHAnsi"/>
              </w:rPr>
              <w:t>86.6</w:t>
            </w:r>
          </w:p>
        </w:tc>
      </w:tr>
    </w:tbl>
    <w:p w:rsidR="0039458B" w:rsidRDefault="0039458B" w:rsidP="0039458B">
      <w:pPr>
        <w:pStyle w:val="CGCTableFootnote"/>
        <w:keepNext/>
      </w:pPr>
      <w:r>
        <w:t>Source:</w:t>
      </w:r>
      <w:r>
        <w:tab/>
      </w:r>
      <w:r w:rsidRPr="000940AC">
        <w:t>Tasmania Budget Paper No. 1</w:t>
      </w:r>
      <w:r>
        <w:t xml:space="preserve">, Table 5.9. </w:t>
      </w:r>
    </w:p>
    <w:p w:rsidR="0039458B" w:rsidRDefault="0039458B" w:rsidP="0039458B">
      <w:pPr>
        <w:pStyle w:val="CGCNumberedPara"/>
      </w:pPr>
      <w:r>
        <w:t xml:space="preserve">A number of </w:t>
      </w:r>
      <w:r w:rsidRPr="00101DFE">
        <w:t xml:space="preserve">adjustments to revenue, expenses and balance sheet estimates </w:t>
      </w:r>
      <w:r w:rsidR="00420700">
        <w:t>are</w:t>
      </w:r>
      <w:r w:rsidRPr="00101DFE">
        <w:t xml:space="preserve"> needed to ensure </w:t>
      </w:r>
      <w:r>
        <w:t xml:space="preserve">the </w:t>
      </w:r>
      <w:r w:rsidRPr="00101DFE">
        <w:t>payment has no effect on the relativities.</w:t>
      </w:r>
    </w:p>
    <w:p w:rsidR="0039458B" w:rsidRDefault="0039458B" w:rsidP="0039458B">
      <w:pPr>
        <w:pStyle w:val="CGCNumberedPara"/>
      </w:pPr>
      <w:r>
        <w:t>The main transaction associated with the transfer of the</w:t>
      </w:r>
      <w:bookmarkStart w:id="279" w:name="_GoBack"/>
      <w:bookmarkEnd w:id="279"/>
      <w:r>
        <w:t xml:space="preserve"> hospital was the $730.4 million </w:t>
      </w:r>
      <w:r w:rsidR="0065592B">
        <w:t>payment made</w:t>
      </w:r>
      <w:r>
        <w:t xml:space="preserve"> to Tasmania in 2016</w:t>
      </w:r>
      <w:r>
        <w:noBreakHyphen/>
        <w:t xml:space="preserve">17. It resulted in the following transactions being recorded in Tasmania’s </w:t>
      </w:r>
      <w:r w:rsidR="007C4BCA">
        <w:t>general government</w:t>
      </w:r>
      <w:r>
        <w:t xml:space="preserve"> accounts in 2016-17</w:t>
      </w:r>
      <w:r w:rsidR="0065592B">
        <w:t>.</w:t>
      </w:r>
    </w:p>
    <w:p w:rsidR="0065592B" w:rsidRDefault="0065592B" w:rsidP="0065592B">
      <w:pPr>
        <w:pStyle w:val="CGCBulletlist"/>
        <w:tabs>
          <w:tab w:val="clear" w:pos="927"/>
        </w:tabs>
        <w:ind w:left="1134" w:hanging="567"/>
      </w:pPr>
      <w:r>
        <w:t>Operating statement</w:t>
      </w:r>
    </w:p>
    <w:p w:rsidR="0039458B" w:rsidRDefault="0065592B" w:rsidP="0065592B">
      <w:pPr>
        <w:pStyle w:val="CGCSubbulletlist"/>
        <w:ind w:left="1701" w:hanging="567"/>
      </w:pPr>
      <w:r>
        <w:t xml:space="preserve">current </w:t>
      </w:r>
      <w:r w:rsidR="0039458B">
        <w:t xml:space="preserve">grant </w:t>
      </w:r>
      <w:r>
        <w:t xml:space="preserve">revenue </w:t>
      </w:r>
      <w:r w:rsidR="0039458B">
        <w:t>of $730.4 million from the Australian Government</w:t>
      </w:r>
    </w:p>
    <w:p w:rsidR="0039458B" w:rsidRDefault="0039458B" w:rsidP="0065592B">
      <w:pPr>
        <w:pStyle w:val="CGCSubbulletlist"/>
        <w:ind w:left="1701" w:hanging="567"/>
      </w:pPr>
      <w:proofErr w:type="gramStart"/>
      <w:r>
        <w:t>net</w:t>
      </w:r>
      <w:proofErr w:type="gramEnd"/>
      <w:r>
        <w:t xml:space="preserve"> operating balance</w:t>
      </w:r>
      <w:r w:rsidR="00B359E1">
        <w:t xml:space="preserve"> and net financial worth were </w:t>
      </w:r>
      <w:r>
        <w:t>$730.4 million higher in 2016</w:t>
      </w:r>
      <w:r>
        <w:noBreakHyphen/>
        <w:t xml:space="preserve">17 than </w:t>
      </w:r>
      <w:r w:rsidR="00B359E1">
        <w:t>they</w:t>
      </w:r>
      <w:r w:rsidR="00D446E3">
        <w:t xml:space="preserve"> </w:t>
      </w:r>
      <w:r>
        <w:t>would have been without the payment.</w:t>
      </w:r>
    </w:p>
    <w:p w:rsidR="0065592B" w:rsidRDefault="0065592B" w:rsidP="0065592B">
      <w:pPr>
        <w:pStyle w:val="CGCBulletlist"/>
        <w:tabs>
          <w:tab w:val="clear" w:pos="927"/>
        </w:tabs>
        <w:ind w:left="1134" w:hanging="567"/>
      </w:pPr>
      <w:r>
        <w:t>Balance sheet</w:t>
      </w:r>
    </w:p>
    <w:p w:rsidR="0065592B" w:rsidRDefault="00EB2BBC" w:rsidP="00EB2BBC">
      <w:pPr>
        <w:pStyle w:val="CGCSubbulletlist"/>
        <w:ind w:left="1701" w:hanging="567"/>
      </w:pPr>
      <w:proofErr w:type="gramStart"/>
      <w:r>
        <w:lastRenderedPageBreak/>
        <w:t>n</w:t>
      </w:r>
      <w:r w:rsidR="0065592B">
        <w:t>et</w:t>
      </w:r>
      <w:proofErr w:type="gramEnd"/>
      <w:r w:rsidR="0065592B">
        <w:t xml:space="preserve"> financial worth </w:t>
      </w:r>
      <w:r>
        <w:t xml:space="preserve">included an amount of $730.4 million as equity in </w:t>
      </w:r>
      <w:proofErr w:type="spellStart"/>
      <w:r>
        <w:t>TasCorp</w:t>
      </w:r>
      <w:proofErr w:type="spellEnd"/>
      <w:r>
        <w:t>.</w:t>
      </w:r>
    </w:p>
    <w:p w:rsidR="0039458B" w:rsidRDefault="0039458B" w:rsidP="0039458B">
      <w:pPr>
        <w:pStyle w:val="CGCNumberedPara"/>
      </w:pPr>
      <w:r>
        <w:t>From 2017</w:t>
      </w:r>
      <w:r>
        <w:noBreakHyphen/>
        <w:t>18</w:t>
      </w:r>
      <w:r w:rsidR="00C76323">
        <w:t xml:space="preserve"> to 2026-27,</w:t>
      </w:r>
      <w:r>
        <w:t xml:space="preserve"> the value of equity in </w:t>
      </w:r>
      <w:proofErr w:type="spellStart"/>
      <w:r>
        <w:t>TasCorp</w:t>
      </w:r>
      <w:proofErr w:type="spellEnd"/>
      <w:r>
        <w:t xml:space="preserve"> will decline as funds are withdrawn to meet the annual operating costs of the hospital. The withdrawal of funds will be recorded in Tasmania’s general government accounts as dividend income. The operating costs for the Mersey Community Hospital will be recorded as </w:t>
      </w:r>
      <w:r w:rsidR="00EB2BBC">
        <w:t>h</w:t>
      </w:r>
      <w:r>
        <w:t>ealth expenses.</w:t>
      </w:r>
    </w:p>
    <w:p w:rsidR="00FD5A71" w:rsidRDefault="0039458B" w:rsidP="0039458B">
      <w:pPr>
        <w:pStyle w:val="CGCNumberedPara"/>
      </w:pPr>
      <w:bookmarkStart w:id="280" w:name="_Ref489434952"/>
      <w:r>
        <w:t xml:space="preserve">To ensure the payment has no effect on the distribution </w:t>
      </w:r>
      <w:r w:rsidR="00D446E3">
        <w:t>of GST revenue</w:t>
      </w:r>
      <w:r w:rsidR="00420700">
        <w:t>,</w:t>
      </w:r>
      <w:r w:rsidR="00D446E3">
        <w:t xml:space="preserve"> the initial $730.4 million will be treated so it has no effect on the GST distribution. In addition, </w:t>
      </w:r>
      <w:r>
        <w:t xml:space="preserve">a number of </w:t>
      </w:r>
      <w:r w:rsidR="00D446E3">
        <w:t xml:space="preserve">other </w:t>
      </w:r>
      <w:r>
        <w:t>adjustments should</w:t>
      </w:r>
      <w:r w:rsidR="00D446E3">
        <w:t xml:space="preserve"> </w:t>
      </w:r>
      <w:r>
        <w:t xml:space="preserve">be made to Tasmania’s </w:t>
      </w:r>
      <w:r w:rsidR="00FD5A71">
        <w:t xml:space="preserve">operating </w:t>
      </w:r>
      <w:r w:rsidR="00E600A7">
        <w:t xml:space="preserve">statement </w:t>
      </w:r>
      <w:r>
        <w:t>and balance sheet data</w:t>
      </w:r>
      <w:r w:rsidR="00420700">
        <w:t>, as described below:</w:t>
      </w:r>
    </w:p>
    <w:p w:rsidR="00FD5A71" w:rsidRDefault="00FD5A71" w:rsidP="00C76323">
      <w:pPr>
        <w:pStyle w:val="CGCBulletlist"/>
        <w:tabs>
          <w:tab w:val="clear" w:pos="927"/>
        </w:tabs>
        <w:ind w:left="1134" w:hanging="567"/>
      </w:pPr>
      <w:r>
        <w:t xml:space="preserve">deduct $730.4 million from Tasmania’s net </w:t>
      </w:r>
      <w:r w:rsidR="00C76323">
        <w:t>lending and net financial worth in 2016-17</w:t>
      </w:r>
    </w:p>
    <w:p w:rsidR="00FD5A71" w:rsidRDefault="00FD5A71" w:rsidP="00C76323">
      <w:pPr>
        <w:pStyle w:val="CGCBulletlist"/>
        <w:tabs>
          <w:tab w:val="clear" w:pos="927"/>
        </w:tabs>
        <w:ind w:left="1134" w:hanging="567"/>
      </w:pPr>
      <w:r>
        <w:t>deduct the</w:t>
      </w:r>
      <w:r w:rsidR="00C76323">
        <w:t xml:space="preserve"> annual</w:t>
      </w:r>
      <w:r>
        <w:t xml:space="preserve"> dividend </w:t>
      </w:r>
      <w:r w:rsidR="007C4BCA">
        <w:t xml:space="preserve">income </w:t>
      </w:r>
      <w:r>
        <w:t xml:space="preserve">from </w:t>
      </w:r>
      <w:proofErr w:type="spellStart"/>
      <w:r>
        <w:t>TasCorp</w:t>
      </w:r>
      <w:proofErr w:type="spellEnd"/>
      <w:r w:rsidR="00C76323">
        <w:t xml:space="preserve"> from 2017-18 to 2026-27</w:t>
      </w:r>
    </w:p>
    <w:p w:rsidR="00FD5A71" w:rsidRDefault="007C4BCA" w:rsidP="00C76323">
      <w:pPr>
        <w:pStyle w:val="CGCBulletlist"/>
        <w:tabs>
          <w:tab w:val="clear" w:pos="927"/>
        </w:tabs>
        <w:ind w:left="1134" w:hanging="567"/>
      </w:pPr>
      <w:proofErr w:type="gramStart"/>
      <w:r>
        <w:t>deduct</w:t>
      </w:r>
      <w:proofErr w:type="gramEnd"/>
      <w:r>
        <w:t xml:space="preserve"> the annual operating costs of the Mersey Community Hospital from Health expenses</w:t>
      </w:r>
      <w:r w:rsidR="00C76323">
        <w:t xml:space="preserve"> from 2017-18 to 2026-</w:t>
      </w:r>
      <w:r w:rsidR="00420700">
        <w:t>2</w:t>
      </w:r>
      <w:r w:rsidR="00C76323">
        <w:t>7</w:t>
      </w:r>
      <w:r w:rsidR="00FD5A71">
        <w:t>.</w:t>
      </w:r>
    </w:p>
    <w:bookmarkEnd w:id="280"/>
    <w:p w:rsidR="0039458B" w:rsidRDefault="0039458B" w:rsidP="0039458B">
      <w:pPr>
        <w:pStyle w:val="CGCNumberedPara"/>
      </w:pPr>
      <w:proofErr w:type="gramStart"/>
      <w:r>
        <w:t>Staff have</w:t>
      </w:r>
      <w:proofErr w:type="gramEnd"/>
      <w:r>
        <w:t xml:space="preserve"> estimated the materiality of making the </w:t>
      </w:r>
      <w:r w:rsidR="004232B8">
        <w:t xml:space="preserve">additional adjustments </w:t>
      </w:r>
      <w:r>
        <w:t xml:space="preserve">listed above </w:t>
      </w:r>
      <w:r w:rsidR="00D446E3">
        <w:t xml:space="preserve">but </w:t>
      </w:r>
      <w:r>
        <w:t>they are not material (</w:t>
      </w:r>
      <w:r>
        <w:fldChar w:fldCharType="begin"/>
      </w:r>
      <w:r>
        <w:instrText xml:space="preserve"> REF _Ref489367938 \h </w:instrText>
      </w:r>
      <w:r>
        <w:fldChar w:fldCharType="separate"/>
      </w:r>
      <w:r w:rsidR="00500132">
        <w:t xml:space="preserve">Table </w:t>
      </w:r>
      <w:r w:rsidR="00500132">
        <w:rPr>
          <w:noProof/>
        </w:rPr>
        <w:t>6</w:t>
      </w:r>
      <w:r>
        <w:fldChar w:fldCharType="end"/>
      </w:r>
      <w:r>
        <w:t xml:space="preserve">). Therefore </w:t>
      </w:r>
      <w:proofErr w:type="gramStart"/>
      <w:r>
        <w:t>staff propose</w:t>
      </w:r>
      <w:proofErr w:type="gramEnd"/>
      <w:r>
        <w:t xml:space="preserve"> to recommend that the Commission </w:t>
      </w:r>
      <w:r w:rsidR="004232B8">
        <w:t xml:space="preserve">exclude the </w:t>
      </w:r>
      <w:r w:rsidR="00D446E3">
        <w:t xml:space="preserve">initial </w:t>
      </w:r>
      <w:r w:rsidR="004232B8">
        <w:t xml:space="preserve">Commonwealth payment </w:t>
      </w:r>
      <w:r w:rsidR="00D446E3">
        <w:t xml:space="preserve">but </w:t>
      </w:r>
      <w:r>
        <w:t xml:space="preserve">not to make any </w:t>
      </w:r>
      <w:r w:rsidR="000940AC">
        <w:t>additional data</w:t>
      </w:r>
      <w:r>
        <w:t xml:space="preserve"> adjustments. This will keep the calculations simpler.</w:t>
      </w:r>
    </w:p>
    <w:p w:rsidR="0039458B" w:rsidRDefault="0039458B" w:rsidP="0039458B">
      <w:pPr>
        <w:pStyle w:val="Caption"/>
      </w:pPr>
      <w:bookmarkStart w:id="281" w:name="_Ref489367938"/>
      <w:r>
        <w:t xml:space="preserve">Table </w:t>
      </w:r>
      <w:fldSimple w:instr=" SEQ Table \* ARABIC ">
        <w:r w:rsidR="00500132">
          <w:rPr>
            <w:noProof/>
          </w:rPr>
          <w:t>6</w:t>
        </w:r>
      </w:fldSimple>
      <w:bookmarkEnd w:id="281"/>
      <w:r>
        <w:tab/>
        <w:t>Materiality of making da</w:t>
      </w:r>
      <w:r w:rsidR="007C4BCA">
        <w:t>ta adjustments to net lending, net financial worth</w:t>
      </w:r>
      <w:r>
        <w:t xml:space="preserve"> and health expenses in the 2017 Update</w:t>
      </w:r>
    </w:p>
    <w:tbl>
      <w:tblPr>
        <w:tblW w:w="9124" w:type="dxa"/>
        <w:tblLayout w:type="fixed"/>
        <w:tblCellMar>
          <w:left w:w="0" w:type="dxa"/>
          <w:right w:w="0" w:type="dxa"/>
        </w:tblCellMar>
        <w:tblLook w:val="04A0" w:firstRow="1" w:lastRow="0" w:firstColumn="1" w:lastColumn="0" w:noHBand="0" w:noVBand="1"/>
      </w:tblPr>
      <w:tblGrid>
        <w:gridCol w:w="1776"/>
        <w:gridCol w:w="1016"/>
        <w:gridCol w:w="896"/>
        <w:gridCol w:w="936"/>
        <w:gridCol w:w="916"/>
        <w:gridCol w:w="836"/>
        <w:gridCol w:w="916"/>
        <w:gridCol w:w="936"/>
        <w:gridCol w:w="896"/>
      </w:tblGrid>
      <w:tr w:rsidR="0039458B" w:rsidRPr="000B5162" w:rsidTr="007C4BCA">
        <w:trPr>
          <w:trHeight w:val="379"/>
        </w:trPr>
        <w:tc>
          <w:tcPr>
            <w:tcW w:w="177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ind w:left="193" w:hanging="142"/>
              <w:jc w:val="right"/>
              <w:rPr>
                <w:rFonts w:ascii="Calibri" w:eastAsia="Times New Roman" w:hAnsi="Calibri" w:cs="Times New Roman"/>
                <w:sz w:val="20"/>
                <w:szCs w:val="20"/>
              </w:rPr>
            </w:pPr>
            <w:bookmarkStart w:id="282" w:name="RANGE!A2:I3"/>
            <w:r w:rsidRPr="000B5162">
              <w:rPr>
                <w:rFonts w:ascii="Calibri" w:eastAsia="Times New Roman" w:hAnsi="Calibri" w:cs="Times New Roman"/>
                <w:sz w:val="20"/>
                <w:szCs w:val="20"/>
              </w:rPr>
              <w:t> </w:t>
            </w:r>
            <w:bookmarkEnd w:id="282"/>
          </w:p>
        </w:tc>
        <w:tc>
          <w:tcPr>
            <w:tcW w:w="101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NSW</w:t>
            </w:r>
          </w:p>
        </w:tc>
        <w:tc>
          <w:tcPr>
            <w:tcW w:w="89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Vic</w:t>
            </w:r>
          </w:p>
        </w:tc>
        <w:tc>
          <w:tcPr>
            <w:tcW w:w="93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Qld</w:t>
            </w:r>
          </w:p>
        </w:tc>
        <w:tc>
          <w:tcPr>
            <w:tcW w:w="91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WA</w:t>
            </w:r>
          </w:p>
        </w:tc>
        <w:tc>
          <w:tcPr>
            <w:tcW w:w="83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SA</w:t>
            </w:r>
          </w:p>
        </w:tc>
        <w:tc>
          <w:tcPr>
            <w:tcW w:w="91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proofErr w:type="spellStart"/>
            <w:r w:rsidRPr="000B5162">
              <w:rPr>
                <w:rFonts w:ascii="Calibri" w:eastAsia="Times New Roman" w:hAnsi="Calibri" w:cs="Times New Roman"/>
                <w:sz w:val="20"/>
                <w:szCs w:val="20"/>
              </w:rPr>
              <w:t>Tas</w:t>
            </w:r>
            <w:proofErr w:type="spellEnd"/>
          </w:p>
        </w:tc>
        <w:tc>
          <w:tcPr>
            <w:tcW w:w="93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ACT</w:t>
            </w:r>
          </w:p>
        </w:tc>
        <w:tc>
          <w:tcPr>
            <w:tcW w:w="896" w:type="dxa"/>
            <w:tcBorders>
              <w:top w:val="single" w:sz="4" w:space="0" w:color="auto"/>
              <w:left w:val="nil"/>
              <w:bottom w:val="single" w:sz="4" w:space="0" w:color="auto"/>
              <w:right w:val="nil"/>
            </w:tcBorders>
            <w:shd w:val="clear" w:color="auto" w:fill="auto"/>
            <w:noWrap/>
            <w:vAlign w:val="center"/>
            <w:hideMark/>
          </w:tcPr>
          <w:p w:rsidR="0039458B" w:rsidRPr="000B5162" w:rsidRDefault="0039458B" w:rsidP="00C5107E">
            <w:pPr>
              <w:keepNext/>
              <w:keepLines/>
              <w:tabs>
                <w:tab w:val="clear" w:pos="567"/>
              </w:tabs>
              <w:spacing w:after="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NT</w:t>
            </w:r>
          </w:p>
        </w:tc>
      </w:tr>
      <w:tr w:rsidR="007C4BCA" w:rsidRPr="000B5162" w:rsidTr="007C4BCA">
        <w:trPr>
          <w:trHeight w:val="315"/>
        </w:trPr>
        <w:tc>
          <w:tcPr>
            <w:tcW w:w="177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ind w:left="193" w:hanging="142"/>
              <w:rPr>
                <w:rFonts w:ascii="Calibri" w:eastAsia="Times New Roman" w:hAnsi="Calibri" w:cs="Times New Roman"/>
                <w:sz w:val="20"/>
                <w:szCs w:val="20"/>
              </w:rPr>
            </w:pPr>
          </w:p>
        </w:tc>
        <w:tc>
          <w:tcPr>
            <w:tcW w:w="101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89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93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91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836" w:type="dxa"/>
            <w:tcBorders>
              <w:top w:val="single" w:sz="4" w:space="0" w:color="auto"/>
              <w:left w:val="nil"/>
              <w:right w:val="nil"/>
            </w:tcBorders>
            <w:shd w:val="clear" w:color="auto" w:fill="auto"/>
            <w:noWrap/>
            <w:vAlign w:val="bottom"/>
          </w:tcPr>
          <w:p w:rsidR="007C4BCA"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91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936" w:type="dxa"/>
            <w:tcBorders>
              <w:top w:val="single" w:sz="4" w:space="0" w:color="auto"/>
              <w:left w:val="nil"/>
              <w:right w:val="nil"/>
            </w:tcBorders>
            <w:shd w:val="clear" w:color="auto" w:fill="auto"/>
            <w:noWrap/>
            <w:vAlign w:val="bottom"/>
          </w:tcPr>
          <w:p w:rsidR="007C4BCA"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c>
          <w:tcPr>
            <w:tcW w:w="896" w:type="dxa"/>
            <w:tcBorders>
              <w:top w:val="single" w:sz="4" w:space="0" w:color="auto"/>
              <w:left w:val="nil"/>
              <w:right w:val="nil"/>
            </w:tcBorders>
            <w:shd w:val="clear" w:color="auto" w:fill="auto"/>
            <w:noWrap/>
            <w:vAlign w:val="bottom"/>
          </w:tcPr>
          <w:p w:rsidR="007C4BCA" w:rsidRPr="000B5162" w:rsidRDefault="007C4BCA"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$pc</w:t>
            </w:r>
          </w:p>
        </w:tc>
      </w:tr>
      <w:tr w:rsidR="0039458B" w:rsidRPr="000B5162" w:rsidTr="007C4BCA">
        <w:trPr>
          <w:trHeight w:val="315"/>
        </w:trPr>
        <w:tc>
          <w:tcPr>
            <w:tcW w:w="177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ind w:left="193" w:hanging="142"/>
              <w:rPr>
                <w:rFonts w:ascii="Calibri" w:eastAsia="Times New Roman" w:hAnsi="Calibri" w:cs="Times New Roman"/>
                <w:sz w:val="20"/>
                <w:szCs w:val="20"/>
              </w:rPr>
            </w:pPr>
            <w:r w:rsidRPr="000B5162">
              <w:rPr>
                <w:rFonts w:ascii="Calibri" w:eastAsia="Times New Roman" w:hAnsi="Calibri" w:cs="Times New Roman"/>
                <w:sz w:val="20"/>
                <w:szCs w:val="20"/>
              </w:rPr>
              <w:t>GST effect</w:t>
            </w:r>
            <w:r>
              <w:rPr>
                <w:rFonts w:ascii="Calibri" w:eastAsia="Times New Roman" w:hAnsi="Calibri" w:cs="Times New Roman"/>
                <w:sz w:val="20"/>
                <w:szCs w:val="20"/>
              </w:rPr>
              <w:t xml:space="preserve"> (a)</w:t>
            </w:r>
          </w:p>
        </w:tc>
        <w:tc>
          <w:tcPr>
            <w:tcW w:w="101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0</w:t>
            </w:r>
            <w:r>
              <w:rPr>
                <w:rFonts w:ascii="Calibri" w:eastAsia="Times New Roman" w:hAnsi="Calibri" w:cs="Times New Roman"/>
                <w:sz w:val="20"/>
                <w:szCs w:val="20"/>
              </w:rPr>
              <w:t>.0</w:t>
            </w:r>
          </w:p>
        </w:tc>
        <w:tc>
          <w:tcPr>
            <w:tcW w:w="89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0</w:t>
            </w:r>
            <w:r>
              <w:rPr>
                <w:rFonts w:ascii="Calibri" w:eastAsia="Times New Roman" w:hAnsi="Calibri" w:cs="Times New Roman"/>
                <w:sz w:val="20"/>
                <w:szCs w:val="20"/>
              </w:rPr>
              <w:t>.2</w:t>
            </w:r>
          </w:p>
        </w:tc>
        <w:tc>
          <w:tcPr>
            <w:tcW w:w="93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0</w:t>
            </w:r>
            <w:r>
              <w:rPr>
                <w:rFonts w:ascii="Calibri" w:eastAsia="Times New Roman" w:hAnsi="Calibri" w:cs="Times New Roman"/>
                <w:sz w:val="20"/>
                <w:szCs w:val="20"/>
              </w:rPr>
              <w:t>.0</w:t>
            </w:r>
          </w:p>
        </w:tc>
        <w:tc>
          <w:tcPr>
            <w:tcW w:w="91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0</w:t>
            </w:r>
            <w:r>
              <w:rPr>
                <w:rFonts w:ascii="Calibri" w:eastAsia="Times New Roman" w:hAnsi="Calibri" w:cs="Times New Roman"/>
                <w:sz w:val="20"/>
                <w:szCs w:val="20"/>
              </w:rPr>
              <w:t>.1</w:t>
            </w:r>
          </w:p>
        </w:tc>
        <w:tc>
          <w:tcPr>
            <w:tcW w:w="83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w:t>
            </w:r>
            <w:r w:rsidRPr="000B5162">
              <w:rPr>
                <w:rFonts w:ascii="Calibri" w:eastAsia="Times New Roman" w:hAnsi="Calibri" w:cs="Times New Roman"/>
                <w:sz w:val="20"/>
                <w:szCs w:val="20"/>
              </w:rPr>
              <w:t>0</w:t>
            </w:r>
            <w:r>
              <w:rPr>
                <w:rFonts w:ascii="Calibri" w:eastAsia="Times New Roman" w:hAnsi="Calibri" w:cs="Times New Roman"/>
                <w:sz w:val="20"/>
                <w:szCs w:val="20"/>
              </w:rPr>
              <w:t>.3</w:t>
            </w:r>
          </w:p>
        </w:tc>
        <w:tc>
          <w:tcPr>
            <w:tcW w:w="91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w:t>
            </w:r>
            <w:r>
              <w:rPr>
                <w:rFonts w:ascii="Calibri" w:eastAsia="Times New Roman" w:hAnsi="Calibri" w:cs="Times New Roman"/>
                <w:sz w:val="20"/>
                <w:szCs w:val="20"/>
              </w:rPr>
              <w:t>0.8</w:t>
            </w:r>
          </w:p>
        </w:tc>
        <w:tc>
          <w:tcPr>
            <w:tcW w:w="93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Pr>
                <w:rFonts w:ascii="Calibri" w:eastAsia="Times New Roman" w:hAnsi="Calibri" w:cs="Times New Roman"/>
                <w:sz w:val="20"/>
                <w:szCs w:val="20"/>
              </w:rPr>
              <w:t>0.8</w:t>
            </w:r>
          </w:p>
        </w:tc>
        <w:tc>
          <w:tcPr>
            <w:tcW w:w="896" w:type="dxa"/>
            <w:tcBorders>
              <w:left w:val="nil"/>
              <w:bottom w:val="single" w:sz="4" w:space="0" w:color="auto"/>
              <w:right w:val="nil"/>
            </w:tcBorders>
            <w:shd w:val="clear" w:color="auto" w:fill="auto"/>
            <w:noWrap/>
            <w:vAlign w:val="bottom"/>
            <w:hideMark/>
          </w:tcPr>
          <w:p w:rsidR="0039458B" w:rsidRPr="000B5162" w:rsidRDefault="0039458B" w:rsidP="007C4BCA">
            <w:pPr>
              <w:keepNext/>
              <w:keepLines/>
              <w:tabs>
                <w:tab w:val="clear" w:pos="567"/>
              </w:tabs>
              <w:spacing w:after="60" w:line="240" w:lineRule="auto"/>
              <w:jc w:val="right"/>
              <w:rPr>
                <w:rFonts w:ascii="Calibri" w:eastAsia="Times New Roman" w:hAnsi="Calibri" w:cs="Times New Roman"/>
                <w:sz w:val="20"/>
                <w:szCs w:val="20"/>
              </w:rPr>
            </w:pPr>
            <w:r w:rsidRPr="000B5162">
              <w:rPr>
                <w:rFonts w:ascii="Calibri" w:eastAsia="Times New Roman" w:hAnsi="Calibri" w:cs="Times New Roman"/>
                <w:sz w:val="20"/>
                <w:szCs w:val="20"/>
              </w:rPr>
              <w:t>-2</w:t>
            </w:r>
            <w:r>
              <w:rPr>
                <w:rFonts w:ascii="Calibri" w:eastAsia="Times New Roman" w:hAnsi="Calibri" w:cs="Times New Roman"/>
                <w:sz w:val="20"/>
                <w:szCs w:val="20"/>
              </w:rPr>
              <w:t>.0</w:t>
            </w:r>
          </w:p>
        </w:tc>
      </w:tr>
    </w:tbl>
    <w:p w:rsidR="0039458B" w:rsidRDefault="0039458B" w:rsidP="0039458B">
      <w:pPr>
        <w:pStyle w:val="CGCNumberedPara"/>
        <w:keepNext/>
        <w:numPr>
          <w:ilvl w:val="0"/>
          <w:numId w:val="0"/>
        </w:numPr>
        <w:spacing w:before="0" w:after="0" w:line="240" w:lineRule="auto"/>
        <w:ind w:left="709" w:hanging="709"/>
        <w:rPr>
          <w:sz w:val="20"/>
          <w:szCs w:val="20"/>
        </w:rPr>
      </w:pPr>
      <w:r>
        <w:rPr>
          <w:sz w:val="20"/>
          <w:szCs w:val="20"/>
        </w:rPr>
        <w:t>(a)</w:t>
      </w:r>
      <w:r>
        <w:rPr>
          <w:sz w:val="20"/>
          <w:szCs w:val="20"/>
        </w:rPr>
        <w:tab/>
        <w:t>GST effect in 2017</w:t>
      </w:r>
      <w:r>
        <w:rPr>
          <w:sz w:val="20"/>
          <w:szCs w:val="20"/>
        </w:rPr>
        <w:noBreakHyphen/>
        <w:t xml:space="preserve">18 of making the data adjustments listed in paragraph </w:t>
      </w:r>
      <w:r>
        <w:rPr>
          <w:sz w:val="20"/>
          <w:szCs w:val="20"/>
        </w:rPr>
        <w:fldChar w:fldCharType="begin"/>
      </w:r>
      <w:r>
        <w:rPr>
          <w:sz w:val="20"/>
          <w:szCs w:val="20"/>
        </w:rPr>
        <w:instrText xml:space="preserve"> REF _Ref489434952 \r \h </w:instrText>
      </w:r>
      <w:r>
        <w:rPr>
          <w:sz w:val="20"/>
          <w:szCs w:val="20"/>
        </w:rPr>
      </w:r>
      <w:r>
        <w:rPr>
          <w:sz w:val="20"/>
          <w:szCs w:val="20"/>
        </w:rPr>
        <w:fldChar w:fldCharType="separate"/>
      </w:r>
      <w:r w:rsidR="00500132">
        <w:rPr>
          <w:sz w:val="20"/>
          <w:szCs w:val="20"/>
        </w:rPr>
        <w:t>65</w:t>
      </w:r>
      <w:r>
        <w:rPr>
          <w:sz w:val="20"/>
          <w:szCs w:val="20"/>
        </w:rPr>
        <w:fldChar w:fldCharType="end"/>
      </w:r>
      <w:r>
        <w:rPr>
          <w:sz w:val="20"/>
          <w:szCs w:val="20"/>
        </w:rPr>
        <w:t>. Calculation based on adjustments to three assessment years in the 2017 Update.</w:t>
      </w:r>
    </w:p>
    <w:p w:rsidR="0039458B" w:rsidRPr="00402CEC" w:rsidRDefault="0039458B" w:rsidP="0039458B">
      <w:pPr>
        <w:pStyle w:val="CGCNumberedPara"/>
        <w:keepNext/>
        <w:numPr>
          <w:ilvl w:val="0"/>
          <w:numId w:val="0"/>
        </w:numPr>
        <w:spacing w:before="0" w:line="240" w:lineRule="auto"/>
        <w:rPr>
          <w:sz w:val="20"/>
          <w:szCs w:val="20"/>
        </w:rPr>
      </w:pPr>
      <w:r w:rsidRPr="00402CEC">
        <w:rPr>
          <w:sz w:val="20"/>
          <w:szCs w:val="20"/>
        </w:rPr>
        <w:t xml:space="preserve">Source: </w:t>
      </w:r>
      <w:r>
        <w:rPr>
          <w:sz w:val="20"/>
          <w:szCs w:val="20"/>
        </w:rPr>
        <w:tab/>
        <w:t xml:space="preserve">Staff calculation based on the 2017 Update.  </w:t>
      </w:r>
    </w:p>
    <w:p w:rsidR="0039458B" w:rsidRPr="00866B48" w:rsidRDefault="0039458B" w:rsidP="0039458B">
      <w:pPr>
        <w:pStyle w:val="CGCNumberedPara"/>
      </w:pPr>
      <w:r w:rsidRPr="00866B48">
        <w:t xml:space="preserve">The </w:t>
      </w:r>
      <w:r w:rsidR="00A92067">
        <w:t>Treasurer’s letter did</w:t>
      </w:r>
      <w:r w:rsidR="00C5107E">
        <w:t xml:space="preserve"> not contain any instruction</w:t>
      </w:r>
      <w:r w:rsidRPr="00866B48">
        <w:t xml:space="preserve"> about the treatment of the $10 million </w:t>
      </w:r>
      <w:r>
        <w:t>asset</w:t>
      </w:r>
      <w:r w:rsidRPr="00866B48">
        <w:t xml:space="preserve"> transfer </w:t>
      </w:r>
      <w:r w:rsidR="004232B8">
        <w:t xml:space="preserve">from the Commonwealth to Tasmania </w:t>
      </w:r>
      <w:r w:rsidRPr="00866B48">
        <w:t>or ongoing support for the delivery of rehabilitation and palliative care services</w:t>
      </w:r>
      <w:r>
        <w:t xml:space="preserve"> </w:t>
      </w:r>
      <w:r w:rsidR="004232B8">
        <w:t>in the Hospital</w:t>
      </w:r>
      <w:r w:rsidRPr="00866B48">
        <w:t>.</w:t>
      </w:r>
      <w:r>
        <w:t xml:space="preserve"> Therefore the transfer and payment for </w:t>
      </w:r>
      <w:r w:rsidRPr="00866B48">
        <w:t>rehabilitation and palliative care services</w:t>
      </w:r>
      <w:r>
        <w:t xml:space="preserve"> w</w:t>
      </w:r>
      <w:r w:rsidR="004232B8">
        <w:t xml:space="preserve">ill affect the GST distribution, unless the </w:t>
      </w:r>
      <w:proofErr w:type="spellStart"/>
      <w:r w:rsidR="004232B8">
        <w:t>ToR</w:t>
      </w:r>
      <w:proofErr w:type="spellEnd"/>
      <w:r w:rsidR="004232B8">
        <w:t xml:space="preserve"> </w:t>
      </w:r>
      <w:proofErr w:type="gramStart"/>
      <w:r w:rsidR="000940AC">
        <w:t>direct</w:t>
      </w:r>
      <w:proofErr w:type="gramEnd"/>
      <w:r w:rsidR="004232B8">
        <w:t xml:space="preserve"> us otherwise.</w:t>
      </w:r>
    </w:p>
    <w:p w:rsidR="001364C8" w:rsidRPr="003215B5" w:rsidRDefault="003215B5" w:rsidP="003215B5">
      <w:pPr>
        <w:pStyle w:val="Heading4"/>
      </w:pPr>
      <w:bookmarkStart w:id="283" w:name="_Toc490228679"/>
      <w:bookmarkStart w:id="284" w:name="_Toc490556268"/>
      <w:bookmarkStart w:id="285" w:name="_Toc490659149"/>
      <w:bookmarkStart w:id="286" w:name="_Toc490659338"/>
      <w:bookmarkStart w:id="287" w:name="_Toc490659542"/>
      <w:r w:rsidRPr="003215B5">
        <w:t>Recommendations</w:t>
      </w:r>
      <w:bookmarkEnd w:id="283"/>
      <w:bookmarkEnd w:id="284"/>
      <w:bookmarkEnd w:id="285"/>
      <w:bookmarkEnd w:id="286"/>
      <w:bookmarkEnd w:id="287"/>
    </w:p>
    <w:tbl>
      <w:tblPr>
        <w:tblStyle w:val="TableGrid"/>
        <w:tblW w:w="0" w:type="auto"/>
        <w:tblLook w:val="04A0" w:firstRow="1" w:lastRow="0" w:firstColumn="1" w:lastColumn="0" w:noHBand="0" w:noVBand="1"/>
      </w:tblPr>
      <w:tblGrid>
        <w:gridCol w:w="9167"/>
      </w:tblGrid>
      <w:tr w:rsidR="001364C8" w:rsidTr="00E32ADF">
        <w:tc>
          <w:tcPr>
            <w:tcW w:w="9167" w:type="dxa"/>
            <w:tcBorders>
              <w:top w:val="nil"/>
              <w:left w:val="nil"/>
              <w:bottom w:val="nil"/>
              <w:right w:val="nil"/>
            </w:tcBorders>
            <w:shd w:val="clear" w:color="auto" w:fill="D9F3E6"/>
          </w:tcPr>
          <w:p w:rsidR="001364C8" w:rsidRPr="00163FB0" w:rsidRDefault="001364C8" w:rsidP="00E32ADF">
            <w:pPr>
              <w:tabs>
                <w:tab w:val="clear" w:pos="567"/>
              </w:tabs>
            </w:pPr>
            <w:r w:rsidRPr="00163FB0">
              <w:t>Staff propose to recommend t</w:t>
            </w:r>
            <w:r w:rsidR="000940AC">
              <w:t>hat</w:t>
            </w:r>
            <w:r w:rsidRPr="00163FB0">
              <w:t xml:space="preserve"> the Commission</w:t>
            </w:r>
            <w:r w:rsidR="000940AC">
              <w:t>:</w:t>
            </w:r>
          </w:p>
          <w:p w:rsidR="0039458B" w:rsidRDefault="0039458B" w:rsidP="0039458B">
            <w:pPr>
              <w:pStyle w:val="CGCBulletlist"/>
              <w:tabs>
                <w:tab w:val="clear" w:pos="927"/>
                <w:tab w:val="clear" w:pos="1418"/>
              </w:tabs>
              <w:ind w:left="1134" w:hanging="567"/>
            </w:pPr>
            <w:r>
              <w:t xml:space="preserve">treat </w:t>
            </w:r>
            <w:r w:rsidR="004647BF">
              <w:t xml:space="preserve">the $730.4 million payment </w:t>
            </w:r>
            <w:r>
              <w:t xml:space="preserve"> </w:t>
            </w:r>
            <w:r w:rsidR="004647BF">
              <w:t>for the transfer and operation of the</w:t>
            </w:r>
            <w:r>
              <w:t xml:space="preserve"> Mersey Community Hospital as not affecting the relativities because it is expected to be </w:t>
            </w:r>
            <w:r>
              <w:lastRenderedPageBreak/>
              <w:t>quarantined by the terms of reference</w:t>
            </w:r>
          </w:p>
          <w:p w:rsidR="0039458B" w:rsidRDefault="0039458B" w:rsidP="0039458B">
            <w:pPr>
              <w:pStyle w:val="CGCBulletlist"/>
              <w:tabs>
                <w:tab w:val="clear" w:pos="927"/>
                <w:tab w:val="clear" w:pos="1418"/>
              </w:tabs>
              <w:ind w:left="1134" w:hanging="567"/>
            </w:pPr>
            <w:r>
              <w:t xml:space="preserve">not make any </w:t>
            </w:r>
            <w:r w:rsidR="00D446E3">
              <w:t xml:space="preserve">additional </w:t>
            </w:r>
            <w:r>
              <w:t xml:space="preserve">adjustments to Tasmania’s financial data for the management of the payment </w:t>
            </w:r>
            <w:r w:rsidR="00D446E3">
              <w:t xml:space="preserve">or operation of the hospital </w:t>
            </w:r>
            <w:r>
              <w:t>over the next 10 years because it would add complexity but not have a material effect on the GST distribution</w:t>
            </w:r>
            <w:r w:rsidR="003543E4">
              <w:t xml:space="preserve"> </w:t>
            </w:r>
          </w:p>
          <w:p w:rsidR="0039458B" w:rsidRDefault="0039458B" w:rsidP="0039458B">
            <w:pPr>
              <w:pStyle w:val="CGCBulletlist"/>
              <w:tabs>
                <w:tab w:val="clear" w:pos="927"/>
                <w:tab w:val="clear" w:pos="1418"/>
              </w:tabs>
              <w:ind w:left="1134" w:hanging="567"/>
            </w:pPr>
            <w:r>
              <w:t xml:space="preserve">not make any adjustments for the transfer of the asset valued </w:t>
            </w:r>
            <w:r w:rsidR="000940AC">
              <w:t>at</w:t>
            </w:r>
            <w:r>
              <w:t xml:space="preserve"> $10 million</w:t>
            </w:r>
          </w:p>
          <w:p w:rsidR="001364C8" w:rsidRDefault="0039458B" w:rsidP="0039458B">
            <w:pPr>
              <w:pStyle w:val="CGCBulletlist"/>
              <w:tabs>
                <w:tab w:val="clear" w:pos="927"/>
              </w:tabs>
              <w:ind w:left="1134" w:hanging="567"/>
            </w:pPr>
            <w:proofErr w:type="gramStart"/>
            <w:r>
              <w:t>allow</w:t>
            </w:r>
            <w:proofErr w:type="gramEnd"/>
            <w:r>
              <w:t xml:space="preserve"> the payment for </w:t>
            </w:r>
            <w:r w:rsidRPr="00866B48">
              <w:t>the delivery of rehabilitation and palliative care services</w:t>
            </w:r>
            <w:r>
              <w:t xml:space="preserve"> to affect the GST distribution because it is for normal State services and needs are assessed in the Health category.</w:t>
            </w:r>
          </w:p>
        </w:tc>
      </w:tr>
    </w:tbl>
    <w:p w:rsidR="001364C8" w:rsidRPr="005C4F81" w:rsidRDefault="007B5656" w:rsidP="007B5656">
      <w:pPr>
        <w:pStyle w:val="Heading3"/>
      </w:pPr>
      <w:bookmarkStart w:id="288" w:name="_Toc489877491"/>
      <w:bookmarkStart w:id="289" w:name="_Toc489877546"/>
      <w:bookmarkStart w:id="290" w:name="_Toc489878089"/>
      <w:bookmarkStart w:id="291" w:name="_Toc489878465"/>
      <w:bookmarkStart w:id="292" w:name="_Toc490138819"/>
      <w:bookmarkStart w:id="293" w:name="_Toc490224756"/>
      <w:bookmarkStart w:id="294" w:name="_Toc490228118"/>
      <w:bookmarkStart w:id="295" w:name="_Toc490228680"/>
      <w:bookmarkStart w:id="296" w:name="_Toc490556269"/>
      <w:bookmarkStart w:id="297" w:name="_Toc490659150"/>
      <w:bookmarkStart w:id="298" w:name="_Toc490659339"/>
      <w:bookmarkStart w:id="299" w:name="_Toc490659543"/>
      <w:r w:rsidRPr="005C4F81">
        <w:lastRenderedPageBreak/>
        <w:t xml:space="preserve">Quality </w:t>
      </w:r>
      <w:r>
        <w:t>S</w:t>
      </w:r>
      <w:r w:rsidRPr="005C4F81">
        <w:t xml:space="preserve">chools payment and </w:t>
      </w:r>
      <w:r>
        <w:t>the S</w:t>
      </w:r>
      <w:r w:rsidRPr="005C4F81">
        <w:t>chools assessment</w:t>
      </w:r>
      <w:bookmarkEnd w:id="288"/>
      <w:bookmarkEnd w:id="289"/>
      <w:bookmarkEnd w:id="290"/>
      <w:bookmarkEnd w:id="291"/>
      <w:bookmarkEnd w:id="292"/>
      <w:bookmarkEnd w:id="293"/>
      <w:bookmarkEnd w:id="294"/>
      <w:bookmarkEnd w:id="295"/>
      <w:bookmarkEnd w:id="296"/>
      <w:bookmarkEnd w:id="297"/>
      <w:bookmarkEnd w:id="298"/>
      <w:bookmarkEnd w:id="299"/>
      <w:r w:rsidRPr="005C4F81">
        <w:t xml:space="preserve"> </w:t>
      </w:r>
    </w:p>
    <w:p w:rsidR="002F73CE" w:rsidRDefault="0054084D" w:rsidP="002F73CE">
      <w:pPr>
        <w:pStyle w:val="CGCNumberedPara"/>
      </w:pPr>
      <w:r>
        <w:t xml:space="preserve">On 23 June </w:t>
      </w:r>
      <w:r w:rsidR="002F73CE">
        <w:t xml:space="preserve">2017, the Australian </w:t>
      </w:r>
      <w:r w:rsidR="00DE393F">
        <w:t>P</w:t>
      </w:r>
      <w:r w:rsidR="002F73CE">
        <w:t xml:space="preserve">arliament passed the Australian Education Amendment Bill 2017. This legislation changes the way the Commonwealth funds Australian schools. By 2027, comparable schools in different States will receive the same Commonwealth funding. The actual funding formula is broadly based on the model recommended in the </w:t>
      </w:r>
      <w:proofErr w:type="spellStart"/>
      <w:r w:rsidR="002F73CE">
        <w:t>Gonski</w:t>
      </w:r>
      <w:proofErr w:type="spellEnd"/>
      <w:r w:rsidR="002F73CE">
        <w:t xml:space="preserve"> report of 2013 although its final form will be determined by a newly established National Schools Resourcing Board, which will review various elements including:</w:t>
      </w:r>
    </w:p>
    <w:p w:rsidR="002F73CE" w:rsidRDefault="0054084D" w:rsidP="002F73CE">
      <w:pPr>
        <w:pStyle w:val="CGCBulletlist"/>
        <w:tabs>
          <w:tab w:val="clear" w:pos="927"/>
        </w:tabs>
        <w:ind w:left="1134" w:hanging="567"/>
      </w:pPr>
      <w:r>
        <w:t>s</w:t>
      </w:r>
      <w:r w:rsidR="002F73CE">
        <w:t>ocio-economic standard calculations to best reflect parents</w:t>
      </w:r>
      <w:r w:rsidR="00E600A7">
        <w:t>’</w:t>
      </w:r>
      <w:r w:rsidR="002F73CE">
        <w:t xml:space="preserve"> capacity to pay</w:t>
      </w:r>
    </w:p>
    <w:p w:rsidR="002F73CE" w:rsidRDefault="0054084D" w:rsidP="002F73CE">
      <w:pPr>
        <w:pStyle w:val="CGCBulletlist"/>
        <w:tabs>
          <w:tab w:val="clear" w:pos="927"/>
        </w:tabs>
        <w:ind w:left="1134" w:hanging="567"/>
      </w:pPr>
      <w:r>
        <w:t>t</w:t>
      </w:r>
      <w:r w:rsidR="002F73CE">
        <w:t>he cost loading</w:t>
      </w:r>
      <w:r>
        <w:t xml:space="preserve">s </w:t>
      </w:r>
      <w:r w:rsidR="00420700">
        <w:t>for</w:t>
      </w:r>
      <w:r>
        <w:t xml:space="preserve"> students with disabilities</w:t>
      </w:r>
    </w:p>
    <w:p w:rsidR="002F73CE" w:rsidRDefault="0054084D" w:rsidP="002F73CE">
      <w:pPr>
        <w:pStyle w:val="CGCBulletlist"/>
        <w:tabs>
          <w:tab w:val="clear" w:pos="927"/>
        </w:tabs>
        <w:ind w:left="1134" w:hanging="567"/>
      </w:pPr>
      <w:proofErr w:type="gramStart"/>
      <w:r>
        <w:t>f</w:t>
      </w:r>
      <w:r w:rsidR="002F73CE">
        <w:t>unding</w:t>
      </w:r>
      <w:proofErr w:type="gramEnd"/>
      <w:r w:rsidR="002F73CE">
        <w:t xml:space="preserve"> for Year 7 students as primary school students in South Australia</w:t>
      </w:r>
      <w:r>
        <w:t>.</w:t>
      </w:r>
    </w:p>
    <w:p w:rsidR="002F73CE" w:rsidRDefault="002F73CE" w:rsidP="002F73CE">
      <w:pPr>
        <w:pStyle w:val="CGCNumberedPara"/>
      </w:pPr>
      <w:r>
        <w:t>This funding formula calculates a Student Resource Standard (SRS), which is the amount each State requires to provide the national standard of schooling, given the socio-economic profile of their student</w:t>
      </w:r>
      <w:r w:rsidR="003543E4">
        <w:t>s</w:t>
      </w:r>
      <w:r>
        <w:t>.</w:t>
      </w:r>
    </w:p>
    <w:p w:rsidR="002F73CE" w:rsidRDefault="002F73CE" w:rsidP="002F73CE">
      <w:pPr>
        <w:pStyle w:val="CGCNumberedPara"/>
        <w:rPr>
          <w:lang w:eastAsia="en-AU"/>
        </w:rPr>
      </w:pPr>
      <w:r w:rsidRPr="004016B0">
        <w:rPr>
          <w:lang w:eastAsia="en-AU"/>
        </w:rPr>
        <w:t xml:space="preserve">State government funding </w:t>
      </w:r>
      <w:r>
        <w:rPr>
          <w:lang w:eastAsia="en-AU"/>
        </w:rPr>
        <w:t xml:space="preserve">will be </w:t>
      </w:r>
      <w:r w:rsidRPr="004016B0">
        <w:rPr>
          <w:lang w:eastAsia="en-AU"/>
        </w:rPr>
        <w:t xml:space="preserve">subject to a </w:t>
      </w:r>
      <w:r>
        <w:rPr>
          <w:lang w:eastAsia="en-AU"/>
        </w:rPr>
        <w:t>‘</w:t>
      </w:r>
      <w:r w:rsidRPr="004016B0">
        <w:rPr>
          <w:lang w:eastAsia="en-AU"/>
        </w:rPr>
        <w:t>clawback</w:t>
      </w:r>
      <w:r>
        <w:rPr>
          <w:lang w:eastAsia="en-AU"/>
        </w:rPr>
        <w:t>’</w:t>
      </w:r>
      <w:r w:rsidRPr="004016B0">
        <w:rPr>
          <w:lang w:eastAsia="en-AU"/>
        </w:rPr>
        <w:t xml:space="preserve"> mechanism, designed to ensure </w:t>
      </w:r>
      <w:r w:rsidR="0054084D">
        <w:rPr>
          <w:lang w:eastAsia="en-AU"/>
        </w:rPr>
        <w:t>S</w:t>
      </w:r>
      <w:r w:rsidRPr="004016B0">
        <w:rPr>
          <w:lang w:eastAsia="en-AU"/>
        </w:rPr>
        <w:t xml:space="preserve">tate governments step up. It is not clear exactly how it will work, but if a </w:t>
      </w:r>
      <w:r w:rsidR="0054084D">
        <w:rPr>
          <w:lang w:eastAsia="en-AU"/>
        </w:rPr>
        <w:t>S</w:t>
      </w:r>
      <w:r w:rsidRPr="004016B0">
        <w:rPr>
          <w:lang w:eastAsia="en-AU"/>
        </w:rPr>
        <w:t>tate fails to provide at least 75% of the target funding to government schools, or 15% of the target</w:t>
      </w:r>
      <w:r w:rsidR="0054084D">
        <w:rPr>
          <w:lang w:eastAsia="en-AU"/>
        </w:rPr>
        <w:t xml:space="preserve"> funding</w:t>
      </w:r>
      <w:r w:rsidRPr="004016B0">
        <w:rPr>
          <w:lang w:eastAsia="en-AU"/>
        </w:rPr>
        <w:t xml:space="preserve"> for non-government schools, the federal government will withhold some funding to that </w:t>
      </w:r>
      <w:r>
        <w:rPr>
          <w:lang w:eastAsia="en-AU"/>
        </w:rPr>
        <w:t>S</w:t>
      </w:r>
      <w:r w:rsidRPr="004016B0">
        <w:rPr>
          <w:lang w:eastAsia="en-AU"/>
        </w:rPr>
        <w:t>tate.</w:t>
      </w:r>
      <w:r>
        <w:rPr>
          <w:lang w:eastAsia="en-AU"/>
        </w:rPr>
        <w:t xml:space="preserve"> By 2023, this condition will be imposed uniformly across all States. However the minimum funding required by each State will transition from their current levels to a universal common level over this period. So between 2018 and 2023</w:t>
      </w:r>
      <w:r w:rsidR="00420700">
        <w:rPr>
          <w:lang w:eastAsia="en-AU"/>
        </w:rPr>
        <w:t>,</w:t>
      </w:r>
      <w:r>
        <w:rPr>
          <w:lang w:eastAsia="en-AU"/>
        </w:rPr>
        <w:t xml:space="preserve"> </w:t>
      </w:r>
      <w:r w:rsidR="0054084D">
        <w:rPr>
          <w:lang w:eastAsia="en-AU"/>
        </w:rPr>
        <w:t>S</w:t>
      </w:r>
      <w:r>
        <w:rPr>
          <w:lang w:eastAsia="en-AU"/>
        </w:rPr>
        <w:t xml:space="preserve">tates such as Western Australia and the ACT which currently fund more than 75% of the SRS amounts for their States will be able to reduce their funding, while New South Wales, Victoria and Queensland which fund well below 75% of the SRS amounts will be required to increase their funding. </w:t>
      </w:r>
    </w:p>
    <w:p w:rsidR="002F73CE" w:rsidRDefault="003543E4" w:rsidP="002F73CE">
      <w:pPr>
        <w:pStyle w:val="Heading4"/>
        <w:rPr>
          <w:lang w:eastAsia="en-AU"/>
        </w:rPr>
      </w:pPr>
      <w:bookmarkStart w:id="300" w:name="_Toc489877492"/>
      <w:bookmarkStart w:id="301" w:name="_Toc489877547"/>
      <w:bookmarkStart w:id="302" w:name="_Toc489878090"/>
      <w:bookmarkStart w:id="303" w:name="_Toc489878466"/>
      <w:bookmarkStart w:id="304" w:name="_Toc490138820"/>
      <w:bookmarkStart w:id="305" w:name="_Toc490139350"/>
      <w:bookmarkStart w:id="306" w:name="_Toc490224757"/>
      <w:bookmarkStart w:id="307" w:name="_Toc490228119"/>
      <w:bookmarkStart w:id="308" w:name="_Toc490228681"/>
      <w:bookmarkStart w:id="309" w:name="_Toc490556270"/>
      <w:bookmarkStart w:id="310" w:name="_Toc490659151"/>
      <w:bookmarkStart w:id="311" w:name="_Toc490659340"/>
      <w:bookmarkStart w:id="312" w:name="_Toc490659544"/>
      <w:r>
        <w:rPr>
          <w:lang w:eastAsia="en-AU"/>
        </w:rPr>
        <w:lastRenderedPageBreak/>
        <w:t>Assessment options</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2F73CE" w:rsidRDefault="002F73CE" w:rsidP="002F73CE">
      <w:pPr>
        <w:pStyle w:val="CGCNumberedPara"/>
        <w:rPr>
          <w:lang w:eastAsia="en-AU"/>
        </w:rPr>
      </w:pPr>
      <w:proofErr w:type="gramStart"/>
      <w:r>
        <w:rPr>
          <w:lang w:eastAsia="en-AU"/>
        </w:rPr>
        <w:t>Staff consider</w:t>
      </w:r>
      <w:proofErr w:type="gramEnd"/>
      <w:r>
        <w:rPr>
          <w:lang w:eastAsia="en-AU"/>
        </w:rPr>
        <w:t xml:space="preserve"> that the options available to the Commission are determined by answers to various questions about how it perceives the </w:t>
      </w:r>
      <w:r w:rsidR="00983A0E">
        <w:rPr>
          <w:lang w:eastAsia="en-AU"/>
        </w:rPr>
        <w:t>Q</w:t>
      </w:r>
      <w:r>
        <w:rPr>
          <w:lang w:eastAsia="en-AU"/>
        </w:rPr>
        <w:t xml:space="preserve">uality </w:t>
      </w:r>
      <w:r w:rsidR="00983A0E">
        <w:rPr>
          <w:lang w:eastAsia="en-AU"/>
        </w:rPr>
        <w:t>S</w:t>
      </w:r>
      <w:r>
        <w:rPr>
          <w:lang w:eastAsia="en-AU"/>
        </w:rPr>
        <w:t xml:space="preserve">chools funding arrangements. A decision tree reflecting these issues is shown in </w:t>
      </w:r>
      <w:r>
        <w:rPr>
          <w:lang w:eastAsia="en-AU"/>
        </w:rPr>
        <w:fldChar w:fldCharType="begin"/>
      </w:r>
      <w:r>
        <w:rPr>
          <w:lang w:eastAsia="en-AU"/>
        </w:rPr>
        <w:instrText xml:space="preserve"> REF _Ref486578183 \h </w:instrText>
      </w:r>
      <w:r>
        <w:rPr>
          <w:lang w:eastAsia="en-AU"/>
        </w:rPr>
      </w:r>
      <w:r>
        <w:rPr>
          <w:lang w:eastAsia="en-AU"/>
        </w:rPr>
        <w:fldChar w:fldCharType="separate"/>
      </w:r>
      <w:r w:rsidR="00500132">
        <w:t xml:space="preserve">Figure </w:t>
      </w:r>
      <w:r w:rsidR="00500132">
        <w:rPr>
          <w:noProof/>
        </w:rPr>
        <w:t>1</w:t>
      </w:r>
      <w:r>
        <w:rPr>
          <w:lang w:eastAsia="en-AU"/>
        </w:rPr>
        <w:fldChar w:fldCharType="end"/>
      </w:r>
      <w:r>
        <w:rPr>
          <w:lang w:eastAsia="en-AU"/>
        </w:rPr>
        <w:t xml:space="preserve">, along with </w:t>
      </w:r>
      <w:r w:rsidR="00FB4C13">
        <w:rPr>
          <w:lang w:eastAsia="en-AU"/>
        </w:rPr>
        <w:t>s</w:t>
      </w:r>
      <w:r>
        <w:rPr>
          <w:lang w:eastAsia="en-AU"/>
        </w:rPr>
        <w:t xml:space="preserve">taff inclinations. </w:t>
      </w:r>
    </w:p>
    <w:p w:rsidR="002F73CE" w:rsidRDefault="002F73CE" w:rsidP="002F73CE">
      <w:pPr>
        <w:pStyle w:val="Caption"/>
        <w:rPr>
          <w:lang w:eastAsia="en-AU"/>
        </w:rPr>
      </w:pPr>
      <w:bookmarkStart w:id="313" w:name="_Ref486578183"/>
      <w:r>
        <w:t xml:space="preserve">Figure </w:t>
      </w:r>
      <w:fldSimple w:instr=" SEQ Figure \* ARABIC ">
        <w:r w:rsidR="00500132">
          <w:rPr>
            <w:noProof/>
          </w:rPr>
          <w:t>1</w:t>
        </w:r>
      </w:fldSimple>
      <w:bookmarkEnd w:id="313"/>
      <w:r>
        <w:tab/>
      </w:r>
      <w:proofErr w:type="gramStart"/>
      <w:r>
        <w:t xml:space="preserve">Quality </w:t>
      </w:r>
      <w:r w:rsidR="00FA7262">
        <w:t>S</w:t>
      </w:r>
      <w:r>
        <w:t>chools</w:t>
      </w:r>
      <w:proofErr w:type="gramEnd"/>
      <w:r>
        <w:t xml:space="preserve"> decision tree</w:t>
      </w:r>
    </w:p>
    <w:p w:rsidR="00983A0E" w:rsidRDefault="002C5E1C" w:rsidP="00983A0E">
      <w:pPr>
        <w:pStyle w:val="CGCNumberedPara"/>
        <w:numPr>
          <w:ilvl w:val="0"/>
          <w:numId w:val="0"/>
        </w:numPr>
        <w:ind w:left="567" w:hanging="567"/>
        <w:rPr>
          <w:lang w:eastAsia="en-AU"/>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ality Schools decision tree" style="width:426.75pt;height:345pt">
            <v:imagedata r:id="rId21" o:title=""/>
          </v:shape>
        </w:pict>
      </w:r>
    </w:p>
    <w:p w:rsidR="00983A0E" w:rsidRDefault="00983A0E" w:rsidP="00983A0E">
      <w:pPr>
        <w:pStyle w:val="CGCTableFootnote"/>
        <w:rPr>
          <w:lang w:eastAsia="en-AU"/>
        </w:rPr>
      </w:pPr>
      <w:r>
        <w:rPr>
          <w:lang w:eastAsia="en-AU"/>
        </w:rPr>
        <w:t>Note:</w:t>
      </w:r>
      <w:r>
        <w:rPr>
          <w:lang w:eastAsia="en-AU"/>
        </w:rPr>
        <w:tab/>
        <w:t>1. NERA stands for National Education Reform Agreement.</w:t>
      </w:r>
    </w:p>
    <w:p w:rsidR="00983A0E" w:rsidRPr="00983A0E" w:rsidRDefault="00983A0E" w:rsidP="00983A0E">
      <w:pPr>
        <w:pStyle w:val="CGCTableFootnote"/>
        <w:rPr>
          <w:lang w:eastAsia="en-AU"/>
        </w:rPr>
      </w:pPr>
      <w:r>
        <w:rPr>
          <w:lang w:eastAsia="en-AU"/>
        </w:rPr>
        <w:tab/>
        <w:t xml:space="preserve">2. </w:t>
      </w:r>
      <w:proofErr w:type="spellStart"/>
      <w:r>
        <w:rPr>
          <w:lang w:eastAsia="en-AU"/>
        </w:rPr>
        <w:t>MYEFO</w:t>
      </w:r>
      <w:proofErr w:type="spellEnd"/>
      <w:r>
        <w:rPr>
          <w:lang w:eastAsia="en-AU"/>
        </w:rPr>
        <w:t xml:space="preserve"> stands for </w:t>
      </w:r>
      <w:r w:rsidR="00FA7262">
        <w:rPr>
          <w:lang w:eastAsia="en-AU"/>
        </w:rPr>
        <w:t>M</w:t>
      </w:r>
      <w:r>
        <w:rPr>
          <w:lang w:eastAsia="en-AU"/>
        </w:rPr>
        <w:t>id-</w:t>
      </w:r>
      <w:r w:rsidR="00FA7262">
        <w:rPr>
          <w:lang w:eastAsia="en-AU"/>
        </w:rPr>
        <w:t>Y</w:t>
      </w:r>
      <w:r>
        <w:rPr>
          <w:lang w:eastAsia="en-AU"/>
        </w:rPr>
        <w:t>ear Economic and Fiscal Outlook.</w:t>
      </w:r>
    </w:p>
    <w:p w:rsidR="002F73CE" w:rsidRDefault="002F73CE" w:rsidP="002F73CE">
      <w:pPr>
        <w:pStyle w:val="Heading5"/>
        <w:rPr>
          <w:lang w:eastAsia="en-AU"/>
        </w:rPr>
      </w:pPr>
      <w:r>
        <w:rPr>
          <w:lang w:eastAsia="en-AU"/>
        </w:rPr>
        <w:t xml:space="preserve">Do the NERA </w:t>
      </w:r>
      <w:r w:rsidR="00E61CE1">
        <w:rPr>
          <w:lang w:eastAsia="en-AU"/>
        </w:rPr>
        <w:t>t</w:t>
      </w:r>
      <w:r>
        <w:rPr>
          <w:lang w:eastAsia="en-AU"/>
        </w:rPr>
        <w:t xml:space="preserve">erms of </w:t>
      </w:r>
      <w:r w:rsidR="00E61CE1">
        <w:rPr>
          <w:lang w:eastAsia="en-AU"/>
        </w:rPr>
        <w:t>r</w:t>
      </w:r>
      <w:r>
        <w:rPr>
          <w:lang w:eastAsia="en-AU"/>
        </w:rPr>
        <w:t xml:space="preserve">eference apply to </w:t>
      </w:r>
      <w:r w:rsidR="00420700">
        <w:rPr>
          <w:lang w:eastAsia="en-AU"/>
        </w:rPr>
        <w:t xml:space="preserve">the </w:t>
      </w:r>
      <w:r>
        <w:rPr>
          <w:lang w:eastAsia="en-AU"/>
        </w:rPr>
        <w:t>treatment of Quality Schools funding?</w:t>
      </w:r>
    </w:p>
    <w:p w:rsidR="002F73CE" w:rsidRDefault="002F73CE" w:rsidP="002F73CE">
      <w:pPr>
        <w:pStyle w:val="CGCNumberedPara"/>
        <w:rPr>
          <w:lang w:eastAsia="en-AU"/>
        </w:rPr>
      </w:pPr>
      <w:r>
        <w:t xml:space="preserve">National Education Reform funding was to commence from 1 January 2014, with the Commonwealth's offer to States </w:t>
      </w:r>
      <w:r w:rsidRPr="000A17C3">
        <w:t xml:space="preserve">under the National Education Reform Agreement </w:t>
      </w:r>
      <w:r>
        <w:t xml:space="preserve">(NERA) </w:t>
      </w:r>
      <w:r w:rsidRPr="000A17C3">
        <w:t>open until 30 June 2013. In this context, the Commission</w:t>
      </w:r>
      <w:r>
        <w:t xml:space="preserve"> received </w:t>
      </w:r>
      <w:r>
        <w:rPr>
          <w:lang w:eastAsia="en-AU"/>
        </w:rPr>
        <w:t xml:space="preserve">terms of reference </w:t>
      </w:r>
      <w:r w:rsidR="00E61CE1">
        <w:rPr>
          <w:lang w:eastAsia="en-AU"/>
        </w:rPr>
        <w:t>for</w:t>
      </w:r>
      <w:r>
        <w:rPr>
          <w:lang w:eastAsia="en-AU"/>
        </w:rPr>
        <w:t xml:space="preserve"> the 2015 Review requiring it:</w:t>
      </w:r>
    </w:p>
    <w:p w:rsidR="002F73CE" w:rsidRDefault="0054084D" w:rsidP="002F73CE">
      <w:pPr>
        <w:pStyle w:val="CGCBulletlist"/>
        <w:tabs>
          <w:tab w:val="clear" w:pos="927"/>
        </w:tabs>
        <w:ind w:left="1134" w:hanging="567"/>
        <w:rPr>
          <w:lang w:eastAsia="en-AU"/>
        </w:rPr>
      </w:pPr>
      <w:r>
        <w:rPr>
          <w:lang w:eastAsia="en-AU"/>
        </w:rPr>
        <w:t>n</w:t>
      </w:r>
      <w:r w:rsidR="00E61CE1">
        <w:rPr>
          <w:lang w:eastAsia="en-AU"/>
        </w:rPr>
        <w:t xml:space="preserve">ot </w:t>
      </w:r>
      <w:r w:rsidR="00FA2755">
        <w:rPr>
          <w:lang w:eastAsia="en-AU"/>
        </w:rPr>
        <w:t xml:space="preserve">to </w:t>
      </w:r>
      <w:r w:rsidR="00E61CE1">
        <w:rPr>
          <w:lang w:eastAsia="en-AU"/>
        </w:rPr>
        <w:t>unwind</w:t>
      </w:r>
      <w:r w:rsidR="002F73CE">
        <w:rPr>
          <w:lang w:eastAsia="en-AU"/>
        </w:rPr>
        <w:t xml:space="preserve"> the recognition of education disadvantage embedded in the funding arrangements</w:t>
      </w:r>
    </w:p>
    <w:p w:rsidR="002F73CE" w:rsidRDefault="00E61CE1" w:rsidP="002F73CE">
      <w:pPr>
        <w:pStyle w:val="CGCBulletlist"/>
        <w:tabs>
          <w:tab w:val="clear" w:pos="927"/>
        </w:tabs>
        <w:ind w:left="1134" w:hanging="567"/>
        <w:rPr>
          <w:lang w:eastAsia="en-AU"/>
        </w:rPr>
      </w:pPr>
      <w:proofErr w:type="gramStart"/>
      <w:r>
        <w:rPr>
          <w:lang w:eastAsia="en-AU"/>
        </w:rPr>
        <w:lastRenderedPageBreak/>
        <w:t>to</w:t>
      </w:r>
      <w:proofErr w:type="gramEnd"/>
      <w:r>
        <w:rPr>
          <w:lang w:eastAsia="en-AU"/>
        </w:rPr>
        <w:t xml:space="preserve"> </w:t>
      </w:r>
      <w:r w:rsidR="0054084D">
        <w:rPr>
          <w:lang w:eastAsia="en-AU"/>
        </w:rPr>
        <w:t>e</w:t>
      </w:r>
      <w:r w:rsidR="002F73CE">
        <w:rPr>
          <w:lang w:eastAsia="en-AU"/>
        </w:rPr>
        <w:t>nsure no State or Territory receive</w:t>
      </w:r>
      <w:r>
        <w:rPr>
          <w:lang w:eastAsia="en-AU"/>
        </w:rPr>
        <w:t>d</w:t>
      </w:r>
      <w:r w:rsidR="002F73CE">
        <w:rPr>
          <w:lang w:eastAsia="en-AU"/>
        </w:rPr>
        <w:t xml:space="preserve"> a windfall gain from non-participation.</w:t>
      </w:r>
    </w:p>
    <w:p w:rsidR="002F73CE" w:rsidRDefault="002F73CE" w:rsidP="002F73CE">
      <w:pPr>
        <w:pStyle w:val="CGCNumberedPara"/>
        <w:rPr>
          <w:lang w:eastAsia="en-AU"/>
        </w:rPr>
      </w:pPr>
      <w:r>
        <w:rPr>
          <w:lang w:eastAsia="en-AU"/>
        </w:rPr>
        <w:t xml:space="preserve">With the election of the Abbott government in September 2013, NERA funding was rebadged as Students First funding. In May 2016, the government released Quality Schools Quality Outcomes policy plan, and in the 2017-18 budget the Students </w:t>
      </w:r>
      <w:r w:rsidR="0054084D">
        <w:rPr>
          <w:lang w:eastAsia="en-AU"/>
        </w:rPr>
        <w:t>F</w:t>
      </w:r>
      <w:r>
        <w:rPr>
          <w:lang w:eastAsia="en-AU"/>
        </w:rPr>
        <w:t xml:space="preserve">irst funding was replaced with Quality </w:t>
      </w:r>
      <w:r w:rsidR="0054084D">
        <w:rPr>
          <w:lang w:eastAsia="en-AU"/>
        </w:rPr>
        <w:t>S</w:t>
      </w:r>
      <w:r>
        <w:rPr>
          <w:lang w:eastAsia="en-AU"/>
        </w:rPr>
        <w:t xml:space="preserve">chools funding. </w:t>
      </w:r>
    </w:p>
    <w:p w:rsidR="002F73CE" w:rsidRPr="00E730A5" w:rsidRDefault="002F73CE" w:rsidP="002F73CE">
      <w:pPr>
        <w:pStyle w:val="CGCNumberedPara"/>
      </w:pPr>
      <w:r>
        <w:t>NERA, S</w:t>
      </w:r>
      <w:r w:rsidRPr="00E730A5">
        <w:t xml:space="preserve">tudents </w:t>
      </w:r>
      <w:r w:rsidR="0054084D">
        <w:t>F</w:t>
      </w:r>
      <w:r w:rsidRPr="00E730A5">
        <w:t xml:space="preserve">irst and </w:t>
      </w:r>
      <w:r>
        <w:t>Q</w:t>
      </w:r>
      <w:r w:rsidRPr="00E730A5">
        <w:t xml:space="preserve">uality </w:t>
      </w:r>
      <w:r w:rsidR="0054084D">
        <w:t>S</w:t>
      </w:r>
      <w:r w:rsidRPr="00E730A5">
        <w:t xml:space="preserve">chools are Commonwealth programs for distributing funds to States </w:t>
      </w:r>
      <w:r w:rsidR="00E61CE1">
        <w:t xml:space="preserve">for </w:t>
      </w:r>
      <w:r w:rsidRPr="00E730A5">
        <w:t xml:space="preserve">government and non-government schools. </w:t>
      </w:r>
      <w:r>
        <w:t xml:space="preserve">They </w:t>
      </w:r>
      <w:r w:rsidRPr="00E730A5">
        <w:t xml:space="preserve">incorporate an ‘ideal’ distribution of funds based on the SRS, and an actual distribution based on a transition period to reach that ideal. The only substantive difference between the programs is the nature of the relationship between the Commonwealth and the States. </w:t>
      </w:r>
    </w:p>
    <w:p w:rsidR="002F73CE" w:rsidRPr="007876D9" w:rsidRDefault="002F73CE" w:rsidP="007876D9">
      <w:pPr>
        <w:pStyle w:val="CGCQuotation"/>
        <w:rPr>
          <w:shd w:val="clear" w:color="auto" w:fill="FFFFFF"/>
        </w:rPr>
      </w:pPr>
      <w:r w:rsidRPr="007876D9">
        <w:rPr>
          <w:rStyle w:val="DataCaptionChar"/>
        </w:rPr>
        <w:t xml:space="preserve">The bill stipulates that </w:t>
      </w:r>
      <w:r w:rsidR="007876D9">
        <w:rPr>
          <w:rStyle w:val="DataCaptionChar"/>
        </w:rPr>
        <w:t>S</w:t>
      </w:r>
      <w:r w:rsidRPr="007876D9">
        <w:rPr>
          <w:rStyle w:val="DataCaptionChar"/>
        </w:rPr>
        <w:t xml:space="preserve">tates and </w:t>
      </w:r>
      <w:r w:rsidR="007876D9">
        <w:rPr>
          <w:rStyle w:val="DataCaptionChar"/>
        </w:rPr>
        <w:t>T</w:t>
      </w:r>
      <w:r w:rsidRPr="007876D9">
        <w:rPr>
          <w:rStyle w:val="DataCaptionChar"/>
        </w:rPr>
        <w:t>erritories will be required to be part</w:t>
      </w:r>
      <w:r w:rsidR="0046768B">
        <w:rPr>
          <w:rStyle w:val="DataCaptionChar"/>
        </w:rPr>
        <w:t>y</w:t>
      </w:r>
      <w:r w:rsidRPr="007876D9">
        <w:rPr>
          <w:rStyle w:val="DataCaptionChar"/>
        </w:rPr>
        <w:t xml:space="preserve"> to a new national agreement to receive Commonwealth funding. This is to avoid a situation like we have now with this notion of 'participating' and 'non-participating' </w:t>
      </w:r>
      <w:r w:rsidR="007876D9">
        <w:rPr>
          <w:rStyle w:val="DataCaptionChar"/>
        </w:rPr>
        <w:t>S</w:t>
      </w:r>
      <w:r w:rsidRPr="007876D9">
        <w:rPr>
          <w:rStyle w:val="DataCaptionChar"/>
        </w:rPr>
        <w:t>tates with differences in entitlements and expectations for achieving national goals</w:t>
      </w:r>
      <w:r w:rsidRPr="00E730A5">
        <w:rPr>
          <w:i/>
          <w:shd w:val="clear" w:color="auto" w:fill="FFFFFF"/>
        </w:rPr>
        <w:t>.</w:t>
      </w:r>
      <w:r w:rsidR="0046768B" w:rsidRPr="009342FF">
        <w:rPr>
          <w:rStyle w:val="FootnoteReference"/>
          <w:shd w:val="clear" w:color="auto" w:fill="FFFFFF"/>
        </w:rPr>
        <w:footnoteReference w:id="6"/>
      </w:r>
    </w:p>
    <w:p w:rsidR="002F73CE" w:rsidRDefault="002F73CE" w:rsidP="002F73CE">
      <w:pPr>
        <w:pStyle w:val="CGCNumberedPara"/>
        <w:rPr>
          <w:lang w:eastAsia="en-AU"/>
        </w:rPr>
      </w:pPr>
      <w:r>
        <w:rPr>
          <w:lang w:eastAsia="en-AU"/>
        </w:rPr>
        <w:t xml:space="preserve">The Students </w:t>
      </w:r>
      <w:r w:rsidR="0054084D">
        <w:rPr>
          <w:lang w:eastAsia="en-AU"/>
        </w:rPr>
        <w:t>F</w:t>
      </w:r>
      <w:r>
        <w:rPr>
          <w:lang w:eastAsia="en-AU"/>
        </w:rPr>
        <w:t xml:space="preserve">irst agreement operated as an agreement, and States were offered special inducements to sign up. Quality </w:t>
      </w:r>
      <w:r w:rsidR="0054084D">
        <w:rPr>
          <w:lang w:eastAsia="en-AU"/>
        </w:rPr>
        <w:t>S</w:t>
      </w:r>
      <w:r>
        <w:rPr>
          <w:lang w:eastAsia="en-AU"/>
        </w:rPr>
        <w:t>chools is more of a unilateral process run by the Commonwealth. The Commonwealth calculates and allocates funds to the States based on its formula, and no consultation or negotiation is required. The Commonwealth’s formula could include a test based on State own source funding, to impose penalties.</w:t>
      </w:r>
    </w:p>
    <w:p w:rsidR="002F73CE" w:rsidRDefault="002F73CE" w:rsidP="002F73CE">
      <w:pPr>
        <w:pStyle w:val="CGCNumberedPara"/>
        <w:rPr>
          <w:lang w:eastAsia="en-AU"/>
        </w:rPr>
      </w:pPr>
      <w:r>
        <w:rPr>
          <w:lang w:eastAsia="en-AU"/>
        </w:rPr>
        <w:t xml:space="preserve">The Students </w:t>
      </w:r>
      <w:r w:rsidR="0054084D">
        <w:rPr>
          <w:lang w:eastAsia="en-AU"/>
        </w:rPr>
        <w:t>F</w:t>
      </w:r>
      <w:r>
        <w:rPr>
          <w:lang w:eastAsia="en-AU"/>
        </w:rPr>
        <w:t xml:space="preserve">irst agreement did not have any penalties applying to States. States could, and did, reduce their funding </w:t>
      </w:r>
      <w:r w:rsidR="00420700">
        <w:rPr>
          <w:lang w:eastAsia="en-AU"/>
        </w:rPr>
        <w:t>for</w:t>
      </w:r>
      <w:r>
        <w:rPr>
          <w:lang w:eastAsia="en-AU"/>
        </w:rPr>
        <w:t xml:space="preserve"> schools. The Quality </w:t>
      </w:r>
      <w:r w:rsidR="0054084D">
        <w:rPr>
          <w:lang w:eastAsia="en-AU"/>
        </w:rPr>
        <w:t>S</w:t>
      </w:r>
      <w:r>
        <w:rPr>
          <w:lang w:eastAsia="en-AU"/>
        </w:rPr>
        <w:t>chool</w:t>
      </w:r>
      <w:r w:rsidR="0054084D">
        <w:rPr>
          <w:lang w:eastAsia="en-AU"/>
        </w:rPr>
        <w:t>s</w:t>
      </w:r>
      <w:r>
        <w:rPr>
          <w:lang w:eastAsia="en-AU"/>
        </w:rPr>
        <w:t xml:space="preserve"> program attempts to close this option </w:t>
      </w:r>
      <w:r w:rsidR="00E61CE1">
        <w:rPr>
          <w:lang w:eastAsia="en-AU"/>
        </w:rPr>
        <w:t xml:space="preserve">for </w:t>
      </w:r>
      <w:r>
        <w:rPr>
          <w:lang w:eastAsia="en-AU"/>
        </w:rPr>
        <w:t xml:space="preserve">the States. </w:t>
      </w:r>
    </w:p>
    <w:p w:rsidR="00FB4C13" w:rsidRDefault="00FB4C13" w:rsidP="002F73CE">
      <w:pPr>
        <w:pStyle w:val="CGCNumberedPara"/>
        <w:rPr>
          <w:lang w:eastAsia="en-AU"/>
        </w:rPr>
      </w:pPr>
      <w:bookmarkStart w:id="314" w:name="_Ref490062343"/>
      <w:r>
        <w:rPr>
          <w:lang w:eastAsia="en-AU"/>
        </w:rPr>
        <w:t xml:space="preserve">On balance, </w:t>
      </w:r>
      <w:proofErr w:type="gramStart"/>
      <w:r>
        <w:rPr>
          <w:lang w:eastAsia="en-AU"/>
        </w:rPr>
        <w:t>staff conclude</w:t>
      </w:r>
      <w:proofErr w:type="gramEnd"/>
      <w:r>
        <w:rPr>
          <w:lang w:eastAsia="en-AU"/>
        </w:rPr>
        <w:t xml:space="preserve"> that the differences between the different funding programs are minor, and that the Commission should treat the NERA terms of reference as affecting the Quality </w:t>
      </w:r>
      <w:r w:rsidR="00420700">
        <w:rPr>
          <w:lang w:eastAsia="en-AU"/>
        </w:rPr>
        <w:t>S</w:t>
      </w:r>
      <w:r>
        <w:rPr>
          <w:lang w:eastAsia="en-AU"/>
        </w:rPr>
        <w:t>chools funding.</w:t>
      </w:r>
      <w:bookmarkEnd w:id="314"/>
    </w:p>
    <w:p w:rsidR="002F73CE" w:rsidRDefault="002F73CE" w:rsidP="002F73CE">
      <w:pPr>
        <w:pStyle w:val="Heading5"/>
        <w:rPr>
          <w:lang w:eastAsia="en-AU"/>
        </w:rPr>
      </w:pPr>
      <w:r>
        <w:rPr>
          <w:lang w:eastAsia="en-AU"/>
        </w:rPr>
        <w:t xml:space="preserve">Without </w:t>
      </w:r>
      <w:proofErr w:type="spellStart"/>
      <w:r>
        <w:rPr>
          <w:lang w:eastAsia="en-AU"/>
        </w:rPr>
        <w:t>ToR</w:t>
      </w:r>
      <w:proofErr w:type="spellEnd"/>
      <w:r>
        <w:rPr>
          <w:lang w:eastAsia="en-AU"/>
        </w:rPr>
        <w:t xml:space="preserve"> guidance how should Commonwealth funded school expen</w:t>
      </w:r>
      <w:r w:rsidR="00E61CE1">
        <w:rPr>
          <w:lang w:eastAsia="en-AU"/>
        </w:rPr>
        <w:t xml:space="preserve">ses </w:t>
      </w:r>
      <w:proofErr w:type="gramStart"/>
      <w:r>
        <w:rPr>
          <w:lang w:eastAsia="en-AU"/>
        </w:rPr>
        <w:t>be</w:t>
      </w:r>
      <w:proofErr w:type="gramEnd"/>
      <w:r>
        <w:rPr>
          <w:lang w:eastAsia="en-AU"/>
        </w:rPr>
        <w:t xml:space="preserve"> assessed?</w:t>
      </w:r>
    </w:p>
    <w:p w:rsidR="002F73CE" w:rsidRDefault="002F73CE" w:rsidP="002F73CE">
      <w:pPr>
        <w:pStyle w:val="CGCNumberedPara"/>
        <w:rPr>
          <w:lang w:eastAsia="en-AU"/>
        </w:rPr>
      </w:pPr>
      <w:r>
        <w:rPr>
          <w:lang w:eastAsia="en-AU"/>
        </w:rPr>
        <w:t xml:space="preserve">If the Commission were </w:t>
      </w:r>
      <w:r w:rsidR="00FB4C13">
        <w:rPr>
          <w:lang w:eastAsia="en-AU"/>
        </w:rPr>
        <w:t>not to accept the staff conclusion in paragraph</w:t>
      </w:r>
      <w:r w:rsidR="000A0A7F">
        <w:rPr>
          <w:lang w:eastAsia="en-AU"/>
        </w:rPr>
        <w:t xml:space="preserve"> </w:t>
      </w:r>
      <w:r w:rsidR="000A0A7F">
        <w:rPr>
          <w:lang w:eastAsia="en-AU"/>
        </w:rPr>
        <w:fldChar w:fldCharType="begin"/>
      </w:r>
      <w:r w:rsidR="000A0A7F">
        <w:rPr>
          <w:lang w:eastAsia="en-AU"/>
        </w:rPr>
        <w:instrText xml:space="preserve"> REF _Ref490062343 \r \h </w:instrText>
      </w:r>
      <w:r w:rsidR="000A0A7F">
        <w:rPr>
          <w:lang w:eastAsia="en-AU"/>
        </w:rPr>
      </w:r>
      <w:r w:rsidR="000A0A7F">
        <w:rPr>
          <w:lang w:eastAsia="en-AU"/>
        </w:rPr>
        <w:fldChar w:fldCharType="separate"/>
      </w:r>
      <w:r w:rsidR="00500132">
        <w:rPr>
          <w:lang w:eastAsia="en-AU"/>
        </w:rPr>
        <w:t>77</w:t>
      </w:r>
      <w:r w:rsidR="000A0A7F">
        <w:rPr>
          <w:lang w:eastAsia="en-AU"/>
        </w:rPr>
        <w:fldChar w:fldCharType="end"/>
      </w:r>
      <w:r w:rsidR="00AF44D8">
        <w:rPr>
          <w:lang w:eastAsia="en-AU"/>
        </w:rPr>
        <w:t xml:space="preserve">, and </w:t>
      </w:r>
      <w:r>
        <w:rPr>
          <w:lang w:eastAsia="en-AU"/>
        </w:rPr>
        <w:t xml:space="preserve">to consider that the </w:t>
      </w:r>
      <w:r w:rsidR="00E61CE1">
        <w:rPr>
          <w:lang w:eastAsia="en-AU"/>
        </w:rPr>
        <w:t xml:space="preserve">terms of reference </w:t>
      </w:r>
      <w:r>
        <w:rPr>
          <w:lang w:eastAsia="en-AU"/>
        </w:rPr>
        <w:t xml:space="preserve">did not apply to Quality </w:t>
      </w:r>
      <w:r w:rsidR="0054084D">
        <w:rPr>
          <w:lang w:eastAsia="en-AU"/>
        </w:rPr>
        <w:t>S</w:t>
      </w:r>
      <w:r>
        <w:rPr>
          <w:lang w:eastAsia="en-AU"/>
        </w:rPr>
        <w:t>chools funding</w:t>
      </w:r>
      <w:r w:rsidR="00E61CE1">
        <w:rPr>
          <w:lang w:eastAsia="en-AU"/>
        </w:rPr>
        <w:t xml:space="preserve"> and there are no special requests in the 2018 Update terms of reference</w:t>
      </w:r>
      <w:r>
        <w:rPr>
          <w:lang w:eastAsia="en-AU"/>
        </w:rPr>
        <w:t>, it would have no established method for assessing the spending of this payment. It could:</w:t>
      </w:r>
    </w:p>
    <w:p w:rsidR="002F73CE" w:rsidRDefault="0046768B" w:rsidP="002F73CE">
      <w:pPr>
        <w:pStyle w:val="CGCBulletlist"/>
        <w:tabs>
          <w:tab w:val="clear" w:pos="927"/>
        </w:tabs>
        <w:ind w:left="1134" w:hanging="567"/>
        <w:rPr>
          <w:lang w:eastAsia="en-AU"/>
        </w:rPr>
      </w:pPr>
      <w:r>
        <w:rPr>
          <w:lang w:eastAsia="en-AU"/>
        </w:rPr>
        <w:t>e</w:t>
      </w:r>
      <w:r w:rsidR="002F73CE">
        <w:rPr>
          <w:lang w:eastAsia="en-AU"/>
        </w:rPr>
        <w:t>xpand the State funded schools education to include the Commonwealth funded government schools education, and recalculate the ACARA regression including spending on government schools attributed to the Commonwealth</w:t>
      </w:r>
    </w:p>
    <w:p w:rsidR="002F73CE" w:rsidRDefault="00E61CE1" w:rsidP="002F73CE">
      <w:pPr>
        <w:pStyle w:val="CGCBulletlist"/>
        <w:tabs>
          <w:tab w:val="clear" w:pos="927"/>
        </w:tabs>
        <w:ind w:left="1134" w:hanging="567"/>
        <w:rPr>
          <w:lang w:eastAsia="en-AU"/>
        </w:rPr>
      </w:pPr>
      <w:r>
        <w:rPr>
          <w:lang w:eastAsia="en-AU"/>
        </w:rPr>
        <w:lastRenderedPageBreak/>
        <w:t>estimate</w:t>
      </w:r>
      <w:r w:rsidR="002F73CE">
        <w:rPr>
          <w:lang w:eastAsia="en-AU"/>
        </w:rPr>
        <w:t xml:space="preserve"> a separate regression using ACARA data to predict spending on government schools attributed to the Commonwealth</w:t>
      </w:r>
    </w:p>
    <w:p w:rsidR="002F73CE" w:rsidRDefault="0046768B" w:rsidP="002F73CE">
      <w:pPr>
        <w:pStyle w:val="CGCBulletlist"/>
        <w:tabs>
          <w:tab w:val="clear" w:pos="927"/>
        </w:tabs>
        <w:ind w:left="1134" w:hanging="567"/>
        <w:rPr>
          <w:lang w:eastAsia="en-AU"/>
        </w:rPr>
      </w:pPr>
      <w:proofErr w:type="gramStart"/>
      <w:r>
        <w:rPr>
          <w:lang w:eastAsia="en-AU"/>
        </w:rPr>
        <w:t>u</w:t>
      </w:r>
      <w:r w:rsidR="002F73CE">
        <w:rPr>
          <w:lang w:eastAsia="en-AU"/>
        </w:rPr>
        <w:t>se</w:t>
      </w:r>
      <w:proofErr w:type="gramEnd"/>
      <w:r w:rsidR="002F73CE">
        <w:rPr>
          <w:lang w:eastAsia="en-AU"/>
        </w:rPr>
        <w:t xml:space="preserve"> SRS amounts for each assessment year as a policy neutral measure of State spending.</w:t>
      </w:r>
    </w:p>
    <w:p w:rsidR="002F73CE" w:rsidRPr="00023E8A" w:rsidRDefault="002F73CE" w:rsidP="002F73CE">
      <w:pPr>
        <w:pStyle w:val="CGCNumberedPara"/>
        <w:rPr>
          <w:lang w:eastAsia="en-AU"/>
        </w:rPr>
      </w:pPr>
      <w:r>
        <w:rPr>
          <w:lang w:eastAsia="en-AU"/>
        </w:rPr>
        <w:t xml:space="preserve">The third </w:t>
      </w:r>
      <w:r w:rsidRPr="00023E8A">
        <w:rPr>
          <w:lang w:eastAsia="en-AU"/>
        </w:rPr>
        <w:t>option could be seen as using external standards. The first and second option</w:t>
      </w:r>
      <w:r w:rsidR="000940AC">
        <w:rPr>
          <w:lang w:eastAsia="en-AU"/>
        </w:rPr>
        <w:t>s</w:t>
      </w:r>
      <w:r w:rsidRPr="00023E8A">
        <w:rPr>
          <w:lang w:eastAsia="en-AU"/>
        </w:rPr>
        <w:t xml:space="preserve"> are expected to produce very similar results. </w:t>
      </w:r>
      <w:proofErr w:type="gramStart"/>
      <w:r w:rsidRPr="00023E8A">
        <w:rPr>
          <w:lang w:eastAsia="en-AU"/>
        </w:rPr>
        <w:t>Staff consider</w:t>
      </w:r>
      <w:proofErr w:type="gramEnd"/>
      <w:r w:rsidRPr="00023E8A">
        <w:rPr>
          <w:lang w:eastAsia="en-AU"/>
        </w:rPr>
        <w:t xml:space="preserve"> the second option to be the least change option. </w:t>
      </w:r>
    </w:p>
    <w:p w:rsidR="002F73CE" w:rsidRPr="00023E8A" w:rsidRDefault="002F73CE" w:rsidP="002F73CE">
      <w:pPr>
        <w:pStyle w:val="Heading5"/>
      </w:pPr>
      <w:r w:rsidRPr="00023E8A">
        <w:t xml:space="preserve">Does </w:t>
      </w:r>
      <w:proofErr w:type="spellStart"/>
      <w:r w:rsidRPr="00023E8A">
        <w:t>MYEFO</w:t>
      </w:r>
      <w:proofErr w:type="spellEnd"/>
      <w:r w:rsidRPr="00023E8A">
        <w:t xml:space="preserve"> reliably measure application year entitlements</w:t>
      </w:r>
      <w:r>
        <w:t>?</w:t>
      </w:r>
    </w:p>
    <w:p w:rsidR="002F73CE" w:rsidRDefault="002F73CE" w:rsidP="002F73CE">
      <w:pPr>
        <w:pStyle w:val="CGCNumberedPara"/>
        <w:rPr>
          <w:lang w:eastAsia="en-AU"/>
        </w:rPr>
      </w:pPr>
      <w:r w:rsidRPr="00023E8A">
        <w:rPr>
          <w:lang w:eastAsia="en-AU"/>
        </w:rPr>
        <w:t>In the 2015 Review, to avoid unwinding recognition of educational disadvantage embedded in the funding arrangements</w:t>
      </w:r>
      <w:r>
        <w:rPr>
          <w:lang w:eastAsia="en-AU"/>
        </w:rPr>
        <w:t>, the Commission used the application year distribution of the payment and the application year distribution of the needs based funding</w:t>
      </w:r>
      <w:r w:rsidR="00E61CE1">
        <w:rPr>
          <w:lang w:eastAsia="en-AU"/>
        </w:rPr>
        <w:t xml:space="preserve"> (SRS)</w:t>
      </w:r>
      <w:r>
        <w:rPr>
          <w:lang w:eastAsia="en-AU"/>
        </w:rPr>
        <w:t xml:space="preserve">. </w:t>
      </w:r>
    </w:p>
    <w:p w:rsidR="002F73CE" w:rsidRDefault="002F73CE" w:rsidP="002F73CE">
      <w:pPr>
        <w:pStyle w:val="CGCNumberedPara"/>
        <w:rPr>
          <w:lang w:eastAsia="en-AU"/>
        </w:rPr>
      </w:pPr>
      <w:r>
        <w:rPr>
          <w:lang w:eastAsia="en-AU"/>
        </w:rPr>
        <w:t xml:space="preserve">In the 2016 and 2017 Updates the Commission continued this method. However, the distribution of funding presented in </w:t>
      </w:r>
      <w:proofErr w:type="spellStart"/>
      <w:r>
        <w:rPr>
          <w:lang w:eastAsia="en-AU"/>
        </w:rPr>
        <w:t>MYEFO</w:t>
      </w:r>
      <w:proofErr w:type="spellEnd"/>
      <w:r>
        <w:rPr>
          <w:lang w:eastAsia="en-AU"/>
        </w:rPr>
        <w:t xml:space="preserve"> for 2018 </w:t>
      </w:r>
      <w:r w:rsidR="00E61CE1">
        <w:rPr>
          <w:lang w:eastAsia="en-AU"/>
        </w:rPr>
        <w:t>c</w:t>
      </w:r>
      <w:r>
        <w:rPr>
          <w:lang w:eastAsia="en-AU"/>
        </w:rPr>
        <w:t>alendar year and used in the 2017 Update was illustrative only, and did not represent the actual distribution that will be used in 2018. This was b</w:t>
      </w:r>
      <w:r w:rsidR="0054084D">
        <w:rPr>
          <w:lang w:eastAsia="en-AU"/>
        </w:rPr>
        <w:t>r</w:t>
      </w:r>
      <w:r>
        <w:rPr>
          <w:lang w:eastAsia="en-AU"/>
        </w:rPr>
        <w:t xml:space="preserve">ought to the Commission’s attention by Western Australia after the release of the 2017 Inquiry report. </w:t>
      </w:r>
    </w:p>
    <w:p w:rsidR="002F73CE" w:rsidRDefault="002F73CE" w:rsidP="002F73CE">
      <w:pPr>
        <w:pStyle w:val="CGCNumberedPara"/>
        <w:rPr>
          <w:lang w:eastAsia="en-AU"/>
        </w:rPr>
      </w:pPr>
      <w:r>
        <w:rPr>
          <w:lang w:eastAsia="en-AU"/>
        </w:rPr>
        <w:t xml:space="preserve">The scenario where </w:t>
      </w:r>
      <w:proofErr w:type="spellStart"/>
      <w:r>
        <w:rPr>
          <w:lang w:eastAsia="en-AU"/>
        </w:rPr>
        <w:t>MYEFO</w:t>
      </w:r>
      <w:proofErr w:type="spellEnd"/>
      <w:r>
        <w:rPr>
          <w:lang w:eastAsia="en-AU"/>
        </w:rPr>
        <w:t xml:space="preserve"> did not have an accurate measure of the actual distribution occurred because funding arrangements were being renegotiated. It is worth considering whether this is likely to occur again. </w:t>
      </w:r>
    </w:p>
    <w:p w:rsidR="002F73CE" w:rsidRDefault="002F73CE" w:rsidP="002F73CE">
      <w:pPr>
        <w:pStyle w:val="CGCNumberedPara"/>
        <w:rPr>
          <w:lang w:eastAsia="en-AU"/>
        </w:rPr>
      </w:pPr>
      <w:r>
        <w:rPr>
          <w:lang w:eastAsia="en-AU"/>
        </w:rPr>
        <w:t>The 2018 and 2019 distribution</w:t>
      </w:r>
      <w:r w:rsidR="0054084D">
        <w:rPr>
          <w:lang w:eastAsia="en-AU"/>
        </w:rPr>
        <w:t>s</w:t>
      </w:r>
      <w:r>
        <w:rPr>
          <w:lang w:eastAsia="en-AU"/>
        </w:rPr>
        <w:t xml:space="preserve"> </w:t>
      </w:r>
      <w:r w:rsidR="0054084D">
        <w:rPr>
          <w:lang w:eastAsia="en-AU"/>
        </w:rPr>
        <w:t>are</w:t>
      </w:r>
      <w:r>
        <w:rPr>
          <w:lang w:eastAsia="en-AU"/>
        </w:rPr>
        <w:t xml:space="preserve"> not yet known, for both the actual distribution of Commonwealth funds and the SRS amounts, as the National Schools Resourcing Board are still to finalise the socio-demographic formula. It is not yet clear whether these distributions will be finalised in time for </w:t>
      </w:r>
      <w:proofErr w:type="spellStart"/>
      <w:r>
        <w:rPr>
          <w:lang w:eastAsia="en-AU"/>
        </w:rPr>
        <w:t>MYEFO</w:t>
      </w:r>
      <w:proofErr w:type="spellEnd"/>
      <w:r>
        <w:rPr>
          <w:lang w:eastAsia="en-AU"/>
        </w:rPr>
        <w:t>, although the 2018 distribution at least would have to be known soon after that.</w:t>
      </w:r>
    </w:p>
    <w:p w:rsidR="002F73CE" w:rsidRDefault="002F73CE" w:rsidP="002F73CE">
      <w:pPr>
        <w:pStyle w:val="CGCNumberedPara"/>
        <w:rPr>
          <w:lang w:eastAsia="en-AU"/>
        </w:rPr>
      </w:pPr>
      <w:r>
        <w:rPr>
          <w:lang w:eastAsia="en-AU"/>
        </w:rPr>
        <w:t xml:space="preserve">The federal Labour opposition has committed to change the funding model if it wins the next election. The next election, barring a double dissolution, is likely to be held between August 2018 and May 2019. </w:t>
      </w:r>
    </w:p>
    <w:p w:rsidR="002F73CE" w:rsidRDefault="002F73CE" w:rsidP="002F73CE">
      <w:pPr>
        <w:pStyle w:val="CGCNumberedPara"/>
        <w:rPr>
          <w:lang w:eastAsia="en-AU"/>
        </w:rPr>
      </w:pPr>
      <w:r>
        <w:rPr>
          <w:lang w:eastAsia="en-AU"/>
        </w:rPr>
        <w:t xml:space="preserve">While the amount available to States may be known in advance, if penalties are ever imposed on any State, those penalties would be imposed as soon as they could be calculated. This means that we would never have advanced knowledge of the actual payment provided to each State, just to the entitled amount. </w:t>
      </w:r>
    </w:p>
    <w:p w:rsidR="002F73CE" w:rsidRDefault="002F73CE" w:rsidP="002F73CE">
      <w:pPr>
        <w:pStyle w:val="CGCNumberedPara"/>
        <w:rPr>
          <w:lang w:eastAsia="en-AU"/>
        </w:rPr>
      </w:pPr>
      <w:r>
        <w:rPr>
          <w:lang w:eastAsia="en-AU"/>
        </w:rPr>
        <w:t xml:space="preserve">The Commission could determine that the entitled shares were the relevant distribution, either because it was bound by the ‘no windfall gains’ clause of the 2015 </w:t>
      </w:r>
      <w:proofErr w:type="spellStart"/>
      <w:r>
        <w:rPr>
          <w:lang w:eastAsia="en-AU"/>
        </w:rPr>
        <w:t>ToR</w:t>
      </w:r>
      <w:proofErr w:type="spellEnd"/>
      <w:r>
        <w:rPr>
          <w:lang w:eastAsia="en-AU"/>
        </w:rPr>
        <w:t xml:space="preserve">, or because a State’s decision to not meet the criteria was purely a policy choice. If the Commission did follow this path, then the timing of penalties is not of concern. However, the Commission could decide that it was not bound by the </w:t>
      </w:r>
      <w:proofErr w:type="spellStart"/>
      <w:r>
        <w:rPr>
          <w:lang w:eastAsia="en-AU"/>
        </w:rPr>
        <w:t>ToR</w:t>
      </w:r>
      <w:proofErr w:type="spellEnd"/>
      <w:r>
        <w:rPr>
          <w:lang w:eastAsia="en-AU"/>
        </w:rPr>
        <w:t xml:space="preserve">, and that </w:t>
      </w:r>
      <w:r>
        <w:rPr>
          <w:lang w:eastAsia="en-AU"/>
        </w:rPr>
        <w:lastRenderedPageBreak/>
        <w:t>different States had different conditions imposed on them</w:t>
      </w:r>
      <w:r w:rsidR="00E61CE1">
        <w:rPr>
          <w:lang w:eastAsia="en-AU"/>
        </w:rPr>
        <w:t>. T</w:t>
      </w:r>
      <w:r>
        <w:rPr>
          <w:lang w:eastAsia="en-AU"/>
        </w:rPr>
        <w:t xml:space="preserve">herefore a State with more onerous conditions may be exerting average effort, but still have penalties imposed on it. Under this interpretation, </w:t>
      </w:r>
      <w:r w:rsidR="00E61CE1">
        <w:rPr>
          <w:lang w:eastAsia="en-AU"/>
        </w:rPr>
        <w:t xml:space="preserve">the Commission would </w:t>
      </w:r>
      <w:r>
        <w:rPr>
          <w:lang w:eastAsia="en-AU"/>
        </w:rPr>
        <w:t>not have sufficient information about the application year funding, and so could not reliably backcast the assessment.</w:t>
      </w:r>
    </w:p>
    <w:p w:rsidR="00E61CE1" w:rsidRPr="000A0A7F" w:rsidRDefault="00E61CE1" w:rsidP="002F73CE">
      <w:pPr>
        <w:pStyle w:val="CGCNumberedPara"/>
        <w:rPr>
          <w:lang w:eastAsia="en-AU"/>
        </w:rPr>
      </w:pPr>
      <w:proofErr w:type="gramStart"/>
      <w:r w:rsidRPr="007D4D6B">
        <w:rPr>
          <w:lang w:eastAsia="en-AU"/>
        </w:rPr>
        <w:t>Staff consider</w:t>
      </w:r>
      <w:proofErr w:type="gramEnd"/>
      <w:r w:rsidRPr="007D4D6B">
        <w:rPr>
          <w:lang w:eastAsia="en-AU"/>
        </w:rPr>
        <w:t xml:space="preserve"> that </w:t>
      </w:r>
      <w:r w:rsidR="00AF44D8" w:rsidRPr="007D4D6B">
        <w:rPr>
          <w:lang w:eastAsia="en-AU"/>
        </w:rPr>
        <w:t xml:space="preserve">there is sufficient uncertainty about future payments that </w:t>
      </w:r>
      <w:proofErr w:type="spellStart"/>
      <w:r w:rsidRPr="007D4D6B">
        <w:rPr>
          <w:lang w:eastAsia="en-AU"/>
        </w:rPr>
        <w:t>MYEFO</w:t>
      </w:r>
      <w:proofErr w:type="spellEnd"/>
      <w:r w:rsidRPr="007D4D6B">
        <w:rPr>
          <w:lang w:eastAsia="en-AU"/>
        </w:rPr>
        <w:t xml:space="preserve"> </w:t>
      </w:r>
      <w:r w:rsidR="00AF44D8" w:rsidRPr="007D4D6B">
        <w:rPr>
          <w:lang w:eastAsia="en-AU"/>
        </w:rPr>
        <w:t xml:space="preserve">cannot be relied upon as a </w:t>
      </w:r>
      <w:r w:rsidRPr="007D4D6B">
        <w:rPr>
          <w:lang w:eastAsia="en-AU"/>
        </w:rPr>
        <w:t xml:space="preserve">measure </w:t>
      </w:r>
      <w:r w:rsidR="00AF44D8" w:rsidRPr="007D4D6B">
        <w:rPr>
          <w:lang w:eastAsia="en-AU"/>
        </w:rPr>
        <w:t xml:space="preserve">of the </w:t>
      </w:r>
      <w:r w:rsidRPr="007D4D6B">
        <w:rPr>
          <w:lang w:eastAsia="en-AU"/>
        </w:rPr>
        <w:t xml:space="preserve">application year </w:t>
      </w:r>
      <w:r w:rsidR="00AF44D8" w:rsidRPr="007D4D6B">
        <w:rPr>
          <w:lang w:eastAsia="en-AU"/>
        </w:rPr>
        <w:t>funding distribution</w:t>
      </w:r>
      <w:r w:rsidRPr="000A0A7F">
        <w:rPr>
          <w:lang w:eastAsia="en-AU"/>
        </w:rPr>
        <w:t>.</w:t>
      </w:r>
    </w:p>
    <w:p w:rsidR="002F73CE" w:rsidRDefault="002F73CE" w:rsidP="002F73CE">
      <w:pPr>
        <w:pStyle w:val="Heading5"/>
        <w:rPr>
          <w:lang w:eastAsia="en-AU"/>
        </w:rPr>
      </w:pPr>
      <w:r>
        <w:rPr>
          <w:lang w:eastAsia="en-AU"/>
        </w:rPr>
        <w:t>Does using historical SRS unwind educational disadvantage?</w:t>
      </w:r>
    </w:p>
    <w:p w:rsidR="002F73CE" w:rsidRDefault="002F73CE" w:rsidP="002F73CE">
      <w:pPr>
        <w:pStyle w:val="CGCNumberedPara"/>
        <w:rPr>
          <w:lang w:eastAsia="en-AU"/>
        </w:rPr>
      </w:pPr>
      <w:r>
        <w:rPr>
          <w:lang w:eastAsia="en-AU"/>
        </w:rPr>
        <w:t xml:space="preserve">In the 2015 Review, if the Commission had not backcast the revenue and assessed </w:t>
      </w:r>
      <w:r w:rsidR="00E61CE1">
        <w:rPr>
          <w:lang w:eastAsia="en-AU"/>
        </w:rPr>
        <w:t xml:space="preserve">expenses </w:t>
      </w:r>
      <w:r>
        <w:rPr>
          <w:lang w:eastAsia="en-AU"/>
        </w:rPr>
        <w:t>related to the Commonwealth funding of government schools, it would have arguably unwound the recognition of educational disadvantage embedded in the NERA funding arrangements, and instead recognised the educational disadvantage embedded in what States had actually done in the assessment years.</w:t>
      </w:r>
    </w:p>
    <w:p w:rsidR="00E61CE1" w:rsidRDefault="002F73CE" w:rsidP="002F73CE">
      <w:pPr>
        <w:pStyle w:val="CGCNumberedPara"/>
        <w:rPr>
          <w:lang w:eastAsia="en-AU"/>
        </w:rPr>
      </w:pPr>
      <w:r>
        <w:rPr>
          <w:lang w:eastAsia="en-AU"/>
        </w:rPr>
        <w:t xml:space="preserve">As NERA was introduced on </w:t>
      </w:r>
      <w:r w:rsidR="0054084D">
        <w:rPr>
          <w:lang w:eastAsia="en-AU"/>
        </w:rPr>
        <w:t xml:space="preserve">1 </w:t>
      </w:r>
      <w:r>
        <w:rPr>
          <w:lang w:eastAsia="en-AU"/>
        </w:rPr>
        <w:t xml:space="preserve">January 2014, SRS amounts have been calculated for all years from 2014-15. This is the first update for which all assessment years have SRS amounts calculated. </w:t>
      </w:r>
      <w:r w:rsidR="00E61CE1">
        <w:rPr>
          <w:lang w:eastAsia="en-AU"/>
        </w:rPr>
        <w:t xml:space="preserve">Using them would not unwind educational disadvantage embedded in them, </w:t>
      </w:r>
      <w:r w:rsidR="00925E03">
        <w:rPr>
          <w:lang w:eastAsia="en-AU"/>
        </w:rPr>
        <w:t>except</w:t>
      </w:r>
      <w:r w:rsidR="00E61CE1">
        <w:rPr>
          <w:lang w:eastAsia="en-AU"/>
        </w:rPr>
        <w:t xml:space="preserve"> t</w:t>
      </w:r>
      <w:r>
        <w:rPr>
          <w:lang w:eastAsia="en-AU"/>
        </w:rPr>
        <w:t xml:space="preserve">he SRS amounts and calculations have changed. For example, 2018 will be the first year for which students with disabilities have a weight in the SRS calculations. </w:t>
      </w:r>
    </w:p>
    <w:p w:rsidR="00E61CE1" w:rsidRPr="000A0A7F" w:rsidRDefault="002F73CE" w:rsidP="002F73CE">
      <w:pPr>
        <w:pStyle w:val="CGCNumberedPara"/>
        <w:rPr>
          <w:lang w:eastAsia="en-AU"/>
        </w:rPr>
      </w:pPr>
      <w:r w:rsidRPr="007D4D6B">
        <w:rPr>
          <w:lang w:eastAsia="en-AU"/>
        </w:rPr>
        <w:t xml:space="preserve">If the Commission were to use the SRS amounts as recorded in the assessment years it could </w:t>
      </w:r>
      <w:r w:rsidR="00E61CE1" w:rsidRPr="007D4D6B">
        <w:rPr>
          <w:lang w:eastAsia="en-AU"/>
        </w:rPr>
        <w:t xml:space="preserve">arguably </w:t>
      </w:r>
      <w:r w:rsidRPr="007D4D6B">
        <w:rPr>
          <w:lang w:eastAsia="en-AU"/>
        </w:rPr>
        <w:t xml:space="preserve">be seen as </w:t>
      </w:r>
      <w:r w:rsidR="00E61CE1" w:rsidRPr="007D4D6B">
        <w:rPr>
          <w:lang w:eastAsia="en-AU"/>
        </w:rPr>
        <w:t xml:space="preserve">technically </w:t>
      </w:r>
      <w:r w:rsidRPr="007D4D6B">
        <w:rPr>
          <w:lang w:eastAsia="en-AU"/>
        </w:rPr>
        <w:t xml:space="preserve">unwinding the measures of disabilities embedded in the 2018 funding. </w:t>
      </w:r>
      <w:r w:rsidR="00E61CE1" w:rsidRPr="007D4D6B">
        <w:rPr>
          <w:lang w:eastAsia="en-AU"/>
        </w:rPr>
        <w:t xml:space="preserve">However, </w:t>
      </w:r>
      <w:proofErr w:type="gramStart"/>
      <w:r w:rsidR="00E61CE1" w:rsidRPr="007D4D6B">
        <w:rPr>
          <w:lang w:eastAsia="en-AU"/>
        </w:rPr>
        <w:t>staff consider</w:t>
      </w:r>
      <w:proofErr w:type="gramEnd"/>
      <w:r w:rsidR="00E61CE1" w:rsidRPr="007D4D6B">
        <w:rPr>
          <w:lang w:eastAsia="en-AU"/>
        </w:rPr>
        <w:t xml:space="preserve"> that using historical SRS </w:t>
      </w:r>
      <w:r w:rsidR="00AF44D8" w:rsidRPr="007D4D6B">
        <w:rPr>
          <w:lang w:eastAsia="en-AU"/>
        </w:rPr>
        <w:t xml:space="preserve">uses a measure of </w:t>
      </w:r>
      <w:r w:rsidR="00E61CE1" w:rsidRPr="007D4D6B">
        <w:rPr>
          <w:lang w:eastAsia="en-AU"/>
        </w:rPr>
        <w:t>educational disadvantage embedded in the SRS</w:t>
      </w:r>
      <w:r w:rsidR="00AF44D8" w:rsidRPr="007D4D6B">
        <w:rPr>
          <w:lang w:eastAsia="en-AU"/>
        </w:rPr>
        <w:t xml:space="preserve"> and as such does not unwind. </w:t>
      </w:r>
      <w:proofErr w:type="gramStart"/>
      <w:r w:rsidR="00AF44D8" w:rsidRPr="007D4D6B">
        <w:rPr>
          <w:lang w:eastAsia="en-AU"/>
        </w:rPr>
        <w:t>Staff consider</w:t>
      </w:r>
      <w:proofErr w:type="gramEnd"/>
      <w:r w:rsidR="00AF44D8" w:rsidRPr="007D4D6B">
        <w:rPr>
          <w:lang w:eastAsia="en-AU"/>
        </w:rPr>
        <w:t xml:space="preserve"> the differences between the two measures is likely to be relatively minor</w:t>
      </w:r>
      <w:r w:rsidR="00E61CE1" w:rsidRPr="000A0A7F">
        <w:rPr>
          <w:lang w:eastAsia="en-AU"/>
        </w:rPr>
        <w:t>.</w:t>
      </w:r>
    </w:p>
    <w:p w:rsidR="002F73CE" w:rsidRPr="00023E8A" w:rsidRDefault="002F73CE" w:rsidP="002F73CE">
      <w:pPr>
        <w:pStyle w:val="Heading5"/>
      </w:pPr>
      <w:r w:rsidRPr="00023E8A">
        <w:t>Are criteria for penalties consistent between States?</w:t>
      </w:r>
    </w:p>
    <w:p w:rsidR="002F73CE" w:rsidRPr="00023E8A" w:rsidRDefault="002F73CE" w:rsidP="002F73CE">
      <w:pPr>
        <w:pStyle w:val="CGCNumberedPara"/>
        <w:rPr>
          <w:lang w:eastAsia="en-AU"/>
        </w:rPr>
      </w:pPr>
      <w:r w:rsidRPr="00023E8A">
        <w:rPr>
          <w:lang w:eastAsia="en-AU"/>
        </w:rPr>
        <w:t>The Commonwealth funding to the States is conditional on States</w:t>
      </w:r>
      <w:r w:rsidR="0054084D">
        <w:rPr>
          <w:lang w:eastAsia="en-AU"/>
        </w:rPr>
        <w:t>’</w:t>
      </w:r>
      <w:r w:rsidRPr="00023E8A">
        <w:rPr>
          <w:lang w:eastAsia="en-AU"/>
        </w:rPr>
        <w:t xml:space="preserve"> own funding of government and non-government schools. If States do not spend as much as required on either sector, the payment they receive for government schools will be reduced. </w:t>
      </w:r>
    </w:p>
    <w:p w:rsidR="002F73CE" w:rsidRDefault="002F73CE" w:rsidP="002F73CE">
      <w:pPr>
        <w:pStyle w:val="CGCNumberedPara"/>
        <w:rPr>
          <w:lang w:eastAsia="en-AU"/>
        </w:rPr>
      </w:pPr>
      <w:r w:rsidRPr="00023E8A">
        <w:rPr>
          <w:lang w:eastAsia="en-AU"/>
        </w:rPr>
        <w:t xml:space="preserve">The conditions set for all States will be comparable from 2023. All States will have to spend 75% of the SRS for their government schools to qualify for the full Commonwealth payment. However until 2023, the proportion each State needs to pay to meet the criteria differs, as States transition from their current funding level to a universal funding level. </w:t>
      </w:r>
    </w:p>
    <w:p w:rsidR="00D0575D" w:rsidRDefault="0046768B" w:rsidP="0046768B">
      <w:pPr>
        <w:pStyle w:val="CGCNumberedPara"/>
        <w:rPr>
          <w:lang w:eastAsia="en-AU"/>
        </w:rPr>
      </w:pPr>
      <w:r>
        <w:rPr>
          <w:lang w:eastAsia="en-AU"/>
        </w:rPr>
        <w:t xml:space="preserve">Staff </w:t>
      </w:r>
      <w:r w:rsidR="00D0575D">
        <w:rPr>
          <w:lang w:eastAsia="en-AU"/>
        </w:rPr>
        <w:t xml:space="preserve">note that if NERA </w:t>
      </w:r>
      <w:proofErr w:type="spellStart"/>
      <w:r w:rsidR="00D0575D">
        <w:rPr>
          <w:lang w:eastAsia="en-AU"/>
        </w:rPr>
        <w:t>ToR</w:t>
      </w:r>
      <w:proofErr w:type="spellEnd"/>
      <w:r w:rsidR="00D0575D">
        <w:rPr>
          <w:lang w:eastAsia="en-AU"/>
        </w:rPr>
        <w:t xml:space="preserve"> are deemed to apply, </w:t>
      </w:r>
      <w:r>
        <w:rPr>
          <w:lang w:eastAsia="en-AU"/>
        </w:rPr>
        <w:t xml:space="preserve">revenue from Commonwealth payments </w:t>
      </w:r>
      <w:r w:rsidR="00D0575D">
        <w:rPr>
          <w:lang w:eastAsia="en-AU"/>
        </w:rPr>
        <w:t>will be</w:t>
      </w:r>
      <w:r>
        <w:rPr>
          <w:lang w:eastAsia="en-AU"/>
        </w:rPr>
        <w:t xml:space="preserve"> assessed using the </w:t>
      </w:r>
      <w:r w:rsidR="00D0575D">
        <w:rPr>
          <w:lang w:eastAsia="en-AU"/>
        </w:rPr>
        <w:t xml:space="preserve">shares of </w:t>
      </w:r>
      <w:r>
        <w:rPr>
          <w:lang w:eastAsia="en-AU"/>
        </w:rPr>
        <w:t xml:space="preserve">payments States were entitled to (but </w:t>
      </w:r>
      <w:r w:rsidR="00F94A9C">
        <w:rPr>
          <w:lang w:eastAsia="en-AU"/>
        </w:rPr>
        <w:lastRenderedPageBreak/>
        <w:t xml:space="preserve">did </w:t>
      </w:r>
      <w:r>
        <w:rPr>
          <w:lang w:eastAsia="en-AU"/>
        </w:rPr>
        <w:t xml:space="preserve">not necessarily receive). We do note that no penalties have yet been applied, and so the amounts States were entitled to </w:t>
      </w:r>
      <w:proofErr w:type="gramStart"/>
      <w:r>
        <w:rPr>
          <w:lang w:eastAsia="en-AU"/>
        </w:rPr>
        <w:t>are</w:t>
      </w:r>
      <w:proofErr w:type="gramEnd"/>
      <w:r>
        <w:rPr>
          <w:lang w:eastAsia="en-AU"/>
        </w:rPr>
        <w:t xml:space="preserve"> the amounts they received up until at least 2016-17. In the (unlikely) event that penalties are imposed in 2017-18 a difference could eventuate in the 2019 Update.</w:t>
      </w:r>
    </w:p>
    <w:p w:rsidR="0046768B" w:rsidRDefault="00D0575D" w:rsidP="0046768B">
      <w:pPr>
        <w:pStyle w:val="CGCNumberedPara"/>
        <w:rPr>
          <w:lang w:eastAsia="en-AU"/>
        </w:rPr>
      </w:pPr>
      <w:r>
        <w:rPr>
          <w:lang w:eastAsia="en-AU"/>
        </w:rPr>
        <w:t xml:space="preserve">If NERA </w:t>
      </w:r>
      <w:proofErr w:type="spellStart"/>
      <w:r>
        <w:rPr>
          <w:lang w:eastAsia="en-AU"/>
        </w:rPr>
        <w:t>ToR</w:t>
      </w:r>
      <w:proofErr w:type="spellEnd"/>
      <w:r>
        <w:rPr>
          <w:lang w:eastAsia="en-AU"/>
        </w:rPr>
        <w:t xml:space="preserve"> </w:t>
      </w:r>
      <w:proofErr w:type="gramStart"/>
      <w:r>
        <w:rPr>
          <w:lang w:eastAsia="en-AU"/>
        </w:rPr>
        <w:t>are</w:t>
      </w:r>
      <w:proofErr w:type="gramEnd"/>
      <w:r>
        <w:rPr>
          <w:lang w:eastAsia="en-AU"/>
        </w:rPr>
        <w:t xml:space="preserve"> deemed not to apply, </w:t>
      </w:r>
      <w:r w:rsidR="00E61CE1">
        <w:rPr>
          <w:lang w:eastAsia="en-AU"/>
        </w:rPr>
        <w:t>s</w:t>
      </w:r>
      <w:r>
        <w:rPr>
          <w:lang w:eastAsia="en-AU"/>
        </w:rPr>
        <w:t>taff are inclined to recommend assessing revenue from Commonwealth payments using the amount actually received</w:t>
      </w:r>
      <w:r w:rsidR="00925E03">
        <w:rPr>
          <w:lang w:eastAsia="en-AU"/>
        </w:rPr>
        <w:t>, as the conditions set for States are not comparable</w:t>
      </w:r>
      <w:r>
        <w:rPr>
          <w:lang w:eastAsia="en-AU"/>
        </w:rPr>
        <w:t>.</w:t>
      </w:r>
    </w:p>
    <w:p w:rsidR="0046768B" w:rsidRDefault="0046768B" w:rsidP="0046768B">
      <w:pPr>
        <w:pStyle w:val="Heading4"/>
        <w:rPr>
          <w:lang w:eastAsia="en-AU"/>
        </w:rPr>
      </w:pPr>
      <w:bookmarkStart w:id="315" w:name="_Toc489877493"/>
      <w:bookmarkStart w:id="316" w:name="_Toc489877548"/>
      <w:bookmarkStart w:id="317" w:name="_Toc489878091"/>
      <w:bookmarkStart w:id="318" w:name="_Toc489878467"/>
      <w:bookmarkStart w:id="319" w:name="_Toc490138821"/>
      <w:bookmarkStart w:id="320" w:name="_Toc490139351"/>
      <w:bookmarkStart w:id="321" w:name="_Toc490224758"/>
      <w:bookmarkStart w:id="322" w:name="_Toc490228120"/>
      <w:bookmarkStart w:id="323" w:name="_Toc490228682"/>
      <w:bookmarkStart w:id="324" w:name="_Toc490556271"/>
      <w:bookmarkStart w:id="325" w:name="_Toc490659152"/>
      <w:bookmarkStart w:id="326" w:name="_Toc490659341"/>
      <w:bookmarkStart w:id="327" w:name="_Toc490659545"/>
      <w:r>
        <w:rPr>
          <w:lang w:eastAsia="en-AU"/>
        </w:rPr>
        <w:t>Conditional payments</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737C8C" w:rsidRDefault="0046768B" w:rsidP="00737C8C">
      <w:pPr>
        <w:pStyle w:val="CGCNumberedPara"/>
        <w:rPr>
          <w:lang w:eastAsia="en-AU"/>
        </w:rPr>
      </w:pPr>
      <w:r>
        <w:rPr>
          <w:lang w:eastAsia="en-AU"/>
        </w:rPr>
        <w:t>We note that the Commonwealth is providing a number of other payments to States which are conditional on the States matching Commonwealth funding and meeting certain outcomes</w:t>
      </w:r>
      <w:r w:rsidR="00E61CE1">
        <w:rPr>
          <w:lang w:eastAsia="en-AU"/>
        </w:rPr>
        <w:t xml:space="preserve">. These payments do not have specific </w:t>
      </w:r>
      <w:r>
        <w:rPr>
          <w:lang w:eastAsia="en-AU"/>
        </w:rPr>
        <w:t xml:space="preserve">terms of reference directing the Commission. </w:t>
      </w:r>
      <w:r w:rsidR="00737C8C">
        <w:rPr>
          <w:lang w:eastAsia="en-AU"/>
        </w:rPr>
        <w:t>The payments that we are aware of with such conditions are:</w:t>
      </w:r>
    </w:p>
    <w:p w:rsidR="00737C8C" w:rsidRDefault="00737C8C" w:rsidP="00737C8C">
      <w:pPr>
        <w:pStyle w:val="CGCBulletlist"/>
        <w:tabs>
          <w:tab w:val="clear" w:pos="927"/>
        </w:tabs>
        <w:ind w:left="1134" w:hanging="567"/>
        <w:rPr>
          <w:lang w:eastAsia="en-AU"/>
        </w:rPr>
      </w:pPr>
      <w:r>
        <w:rPr>
          <w:lang w:eastAsia="en-AU"/>
        </w:rPr>
        <w:t>National Partnership on skilling Australians fund</w:t>
      </w:r>
    </w:p>
    <w:p w:rsidR="00E61CE1" w:rsidRDefault="00737C8C" w:rsidP="00F94A9C">
      <w:pPr>
        <w:pStyle w:val="CGCBulletlist"/>
        <w:tabs>
          <w:tab w:val="clear" w:pos="927"/>
          <w:tab w:val="num" w:pos="1134"/>
        </w:tabs>
        <w:ind w:left="1134" w:hanging="567"/>
        <w:rPr>
          <w:lang w:eastAsia="en-AU"/>
        </w:rPr>
      </w:pPr>
      <w:r>
        <w:rPr>
          <w:lang w:eastAsia="en-AU"/>
        </w:rPr>
        <w:t>National Partnership on essential vaccines.</w:t>
      </w:r>
    </w:p>
    <w:p w:rsidR="00737C8C" w:rsidRPr="007D4D6B" w:rsidRDefault="00737C8C" w:rsidP="0046768B">
      <w:pPr>
        <w:pStyle w:val="CGCNumberedPara"/>
        <w:rPr>
          <w:lang w:eastAsia="en-AU"/>
        </w:rPr>
      </w:pPr>
      <w:r w:rsidRPr="007D4D6B">
        <w:rPr>
          <w:lang w:eastAsia="en-AU"/>
        </w:rPr>
        <w:t xml:space="preserve">Just as the conditions imposed on Quality </w:t>
      </w:r>
      <w:r w:rsidR="007D4D6B" w:rsidRPr="007D4D6B">
        <w:rPr>
          <w:lang w:eastAsia="en-AU"/>
        </w:rPr>
        <w:t>S</w:t>
      </w:r>
      <w:r w:rsidRPr="007D4D6B">
        <w:rPr>
          <w:lang w:eastAsia="en-AU"/>
        </w:rPr>
        <w:t xml:space="preserve">chools payments differ between States, </w:t>
      </w:r>
      <w:r w:rsidRPr="007D4D6B">
        <w:t>the</w:t>
      </w:r>
      <w:r w:rsidRPr="007D4D6B">
        <w:rPr>
          <w:lang w:eastAsia="en-AU"/>
        </w:rPr>
        <w:t xml:space="preserve"> conditions on other payments could differ</w:t>
      </w:r>
      <w:r w:rsidR="007D4D6B" w:rsidRPr="007D4D6B">
        <w:rPr>
          <w:lang w:eastAsia="en-AU"/>
        </w:rPr>
        <w:t>. F</w:t>
      </w:r>
      <w:r w:rsidRPr="007D4D6B">
        <w:rPr>
          <w:lang w:eastAsia="en-AU"/>
        </w:rPr>
        <w:t>or example</w:t>
      </w:r>
      <w:r w:rsidR="007D4D6B" w:rsidRPr="007D4D6B">
        <w:rPr>
          <w:lang w:eastAsia="en-AU"/>
        </w:rPr>
        <w:t>,</w:t>
      </w:r>
      <w:r w:rsidRPr="007D4D6B">
        <w:rPr>
          <w:lang w:eastAsia="en-AU"/>
        </w:rPr>
        <w:t xml:space="preserve"> different starting positions and different socio-demographics could make achieving required levels of vaccinations more difficult for some States than others. The Commission is not in a position to determine whether the conditions imposed on all States are equivalent given the different circumstances of the States.</w:t>
      </w:r>
    </w:p>
    <w:p w:rsidR="0046768B" w:rsidRDefault="0046768B" w:rsidP="00737C8C">
      <w:pPr>
        <w:pStyle w:val="CGCNumberedPara"/>
        <w:rPr>
          <w:lang w:eastAsia="en-AU"/>
        </w:rPr>
      </w:pPr>
      <w:r>
        <w:rPr>
          <w:lang w:eastAsia="en-AU"/>
        </w:rPr>
        <w:t xml:space="preserve">Staff intend recommending the Commission assess the payment received using the actual payment, not the payment the State was offered, unless otherwise directed by the terms of reference. That is, if a State receives a below average payment because it does not meet the conditions associated with that payment, it would receive above average GST. </w:t>
      </w:r>
    </w:p>
    <w:p w:rsidR="002F73CE" w:rsidRPr="00023E8A" w:rsidRDefault="002F73CE" w:rsidP="003215B5">
      <w:pPr>
        <w:pStyle w:val="Heading4"/>
      </w:pPr>
      <w:bookmarkStart w:id="328" w:name="_Toc489877494"/>
      <w:bookmarkStart w:id="329" w:name="_Toc489877549"/>
      <w:bookmarkStart w:id="330" w:name="_Toc489878092"/>
      <w:bookmarkStart w:id="331" w:name="_Toc489878468"/>
      <w:bookmarkStart w:id="332" w:name="_Toc490138822"/>
      <w:bookmarkStart w:id="333" w:name="_Toc490139352"/>
      <w:bookmarkStart w:id="334" w:name="_Toc490224759"/>
      <w:bookmarkStart w:id="335" w:name="_Toc490228121"/>
      <w:bookmarkStart w:id="336" w:name="_Toc490228683"/>
      <w:bookmarkStart w:id="337" w:name="_Toc490556272"/>
      <w:bookmarkStart w:id="338" w:name="_Toc490659153"/>
      <w:bookmarkStart w:id="339" w:name="_Toc490659342"/>
      <w:bookmarkStart w:id="340" w:name="_Toc490659546"/>
      <w:r w:rsidRPr="00E674AF">
        <w:t>Recommendation</w:t>
      </w:r>
      <w:r w:rsidR="000940AC">
        <w:t>s</w:t>
      </w:r>
      <w:bookmarkEnd w:id="328"/>
      <w:bookmarkEnd w:id="329"/>
      <w:bookmarkEnd w:id="330"/>
      <w:bookmarkEnd w:id="331"/>
      <w:bookmarkEnd w:id="332"/>
      <w:bookmarkEnd w:id="333"/>
      <w:bookmarkEnd w:id="334"/>
      <w:bookmarkEnd w:id="335"/>
      <w:bookmarkEnd w:id="336"/>
      <w:bookmarkEnd w:id="337"/>
      <w:bookmarkEnd w:id="338"/>
      <w:bookmarkEnd w:id="339"/>
      <w:bookmarkEnd w:id="340"/>
    </w:p>
    <w:tbl>
      <w:tblPr>
        <w:tblStyle w:val="TableGrid"/>
        <w:tblW w:w="0" w:type="auto"/>
        <w:tblLook w:val="04A0" w:firstRow="1" w:lastRow="0" w:firstColumn="1" w:lastColumn="0" w:noHBand="0" w:noVBand="1"/>
      </w:tblPr>
      <w:tblGrid>
        <w:gridCol w:w="9167"/>
      </w:tblGrid>
      <w:tr w:rsidR="002F73CE" w:rsidTr="00386180">
        <w:tc>
          <w:tcPr>
            <w:tcW w:w="9167" w:type="dxa"/>
            <w:tcBorders>
              <w:top w:val="nil"/>
              <w:left w:val="nil"/>
              <w:bottom w:val="nil"/>
              <w:right w:val="nil"/>
            </w:tcBorders>
            <w:shd w:val="clear" w:color="auto" w:fill="D9F3E6"/>
          </w:tcPr>
          <w:p w:rsidR="002F73CE" w:rsidRDefault="002F73CE" w:rsidP="00386180">
            <w:pPr>
              <w:pStyle w:val="ListParagraph"/>
              <w:ind w:left="0"/>
              <w:rPr>
                <w:lang w:eastAsia="en-AU"/>
              </w:rPr>
            </w:pPr>
            <w:r>
              <w:rPr>
                <w:lang w:eastAsia="en-AU"/>
              </w:rPr>
              <w:t>Staff propose to recommend that the Commission:</w:t>
            </w:r>
          </w:p>
          <w:p w:rsidR="002F73CE" w:rsidRDefault="002F73CE" w:rsidP="002F73CE">
            <w:pPr>
              <w:pStyle w:val="CGCBulletlist"/>
              <w:tabs>
                <w:tab w:val="clear" w:pos="927"/>
              </w:tabs>
              <w:ind w:left="1134" w:hanging="567"/>
              <w:rPr>
                <w:lang w:eastAsia="en-AU"/>
              </w:rPr>
            </w:pPr>
            <w:r>
              <w:rPr>
                <w:lang w:eastAsia="en-AU"/>
              </w:rPr>
              <w:t>determine that Quality Schools is sufficiently NERA</w:t>
            </w:r>
            <w:r w:rsidR="0046768B">
              <w:rPr>
                <w:lang w:eastAsia="en-AU"/>
              </w:rPr>
              <w:t>-</w:t>
            </w:r>
            <w:r>
              <w:rPr>
                <w:lang w:eastAsia="en-AU"/>
              </w:rPr>
              <w:t xml:space="preserve">like that the </w:t>
            </w:r>
            <w:r w:rsidR="00DE393F">
              <w:rPr>
                <w:lang w:eastAsia="en-AU"/>
              </w:rPr>
              <w:t>t</w:t>
            </w:r>
            <w:r>
              <w:rPr>
                <w:lang w:eastAsia="en-AU"/>
              </w:rPr>
              <w:t xml:space="preserve">erms of </w:t>
            </w:r>
            <w:r w:rsidR="00DE393F">
              <w:rPr>
                <w:lang w:eastAsia="en-AU"/>
              </w:rPr>
              <w:t>r</w:t>
            </w:r>
            <w:r>
              <w:rPr>
                <w:lang w:eastAsia="en-AU"/>
              </w:rPr>
              <w:t>eference continue to apply on the basis that having a nationally consistent needs based formula is the defining criteria that defines a Commonwealth school funding program as NERA-like</w:t>
            </w:r>
          </w:p>
          <w:p w:rsidR="002F73CE" w:rsidRDefault="002F73CE" w:rsidP="002F73CE">
            <w:pPr>
              <w:pStyle w:val="CGCBulletlist"/>
              <w:tabs>
                <w:tab w:val="clear" w:pos="927"/>
              </w:tabs>
              <w:ind w:left="1134" w:hanging="567"/>
              <w:rPr>
                <w:lang w:eastAsia="en-AU"/>
              </w:rPr>
            </w:pPr>
            <w:r>
              <w:rPr>
                <w:lang w:eastAsia="en-AU"/>
              </w:rPr>
              <w:t>conclude that it cannot reliably measure the distribution of entitled payments in the application year in advance, and therefore should use historical payment distributions</w:t>
            </w:r>
          </w:p>
          <w:p w:rsidR="002F73CE" w:rsidRDefault="002F73CE" w:rsidP="002F73CE">
            <w:pPr>
              <w:pStyle w:val="CGCBulletlist"/>
              <w:tabs>
                <w:tab w:val="clear" w:pos="927"/>
              </w:tabs>
              <w:ind w:left="1134" w:hanging="567"/>
              <w:rPr>
                <w:lang w:eastAsia="en-AU"/>
              </w:rPr>
            </w:pPr>
            <w:r>
              <w:rPr>
                <w:lang w:eastAsia="en-AU"/>
              </w:rPr>
              <w:t xml:space="preserve">decide that using historic SRS patterns is consistent with the </w:t>
            </w:r>
            <w:proofErr w:type="spellStart"/>
            <w:r>
              <w:rPr>
                <w:lang w:eastAsia="en-AU"/>
              </w:rPr>
              <w:t>ToR</w:t>
            </w:r>
            <w:proofErr w:type="spellEnd"/>
            <w:r>
              <w:rPr>
                <w:lang w:eastAsia="en-AU"/>
              </w:rPr>
              <w:t xml:space="preserve"> requirement not to unwind measures of educational disadvantage</w:t>
            </w:r>
          </w:p>
          <w:p w:rsidR="002F73CE" w:rsidRDefault="002F73CE" w:rsidP="002F73CE">
            <w:pPr>
              <w:pStyle w:val="CGCBulletlist"/>
              <w:tabs>
                <w:tab w:val="clear" w:pos="927"/>
              </w:tabs>
              <w:ind w:left="1134" w:hanging="567"/>
              <w:rPr>
                <w:lang w:eastAsia="en-AU"/>
              </w:rPr>
            </w:pPr>
            <w:r>
              <w:rPr>
                <w:lang w:eastAsia="en-AU"/>
              </w:rPr>
              <w:lastRenderedPageBreak/>
              <w:t>decide that the criteria States must meet to avoid penalties varies between States based on their current effort levels, and that as such in the absence of terms of reference</w:t>
            </w:r>
            <w:r w:rsidR="007C382D">
              <w:rPr>
                <w:lang w:eastAsia="en-AU"/>
              </w:rPr>
              <w:t>,</w:t>
            </w:r>
            <w:r>
              <w:rPr>
                <w:lang w:eastAsia="en-AU"/>
              </w:rPr>
              <w:t xml:space="preserve"> penalties should be unwound</w:t>
            </w:r>
          </w:p>
          <w:p w:rsidR="002F73CE" w:rsidRDefault="0054084D" w:rsidP="002F73CE">
            <w:pPr>
              <w:pStyle w:val="CGCBulletlist"/>
              <w:tabs>
                <w:tab w:val="clear" w:pos="927"/>
              </w:tabs>
              <w:ind w:left="1134" w:hanging="567"/>
              <w:rPr>
                <w:lang w:eastAsia="en-AU"/>
              </w:rPr>
            </w:pPr>
            <w:r>
              <w:rPr>
                <w:lang w:eastAsia="en-AU"/>
              </w:rPr>
              <w:t>o</w:t>
            </w:r>
            <w:r w:rsidR="002F73CE">
              <w:rPr>
                <w:lang w:eastAsia="en-AU"/>
              </w:rPr>
              <w:t>n the basis of these decisions, assess</w:t>
            </w:r>
            <w:r w:rsidR="007C382D">
              <w:rPr>
                <w:lang w:eastAsia="en-AU"/>
              </w:rPr>
              <w:t>:</w:t>
            </w:r>
            <w:r w:rsidR="002F73CE">
              <w:rPr>
                <w:lang w:eastAsia="en-AU"/>
              </w:rPr>
              <w:t xml:space="preserve"> </w:t>
            </w:r>
          </w:p>
          <w:p w:rsidR="002F73CE" w:rsidRDefault="002F73CE" w:rsidP="004F7D82">
            <w:pPr>
              <w:pStyle w:val="CGCSubbulletlist"/>
              <w:tabs>
                <w:tab w:val="clear" w:pos="927"/>
                <w:tab w:val="clear" w:pos="1418"/>
              </w:tabs>
              <w:ind w:left="1701" w:hanging="567"/>
              <w:rPr>
                <w:lang w:eastAsia="en-AU"/>
              </w:rPr>
            </w:pPr>
            <w:r>
              <w:rPr>
                <w:lang w:eastAsia="en-AU"/>
              </w:rPr>
              <w:t>Commonwealth funded school expenditure using SRS weights and student numbers from the assessment years</w:t>
            </w:r>
          </w:p>
          <w:p w:rsidR="002F73CE" w:rsidRDefault="002F73CE" w:rsidP="004F7D82">
            <w:pPr>
              <w:pStyle w:val="CGCSubbulletlist"/>
              <w:tabs>
                <w:tab w:val="clear" w:pos="927"/>
                <w:tab w:val="clear" w:pos="1418"/>
              </w:tabs>
              <w:ind w:left="1701" w:hanging="567"/>
              <w:rPr>
                <w:lang w:eastAsia="en-AU"/>
              </w:rPr>
            </w:pPr>
            <w:r>
              <w:rPr>
                <w:lang w:eastAsia="en-AU"/>
              </w:rPr>
              <w:t>revenue from Commonwealth payment using the</w:t>
            </w:r>
            <w:r w:rsidR="007A6A8B">
              <w:rPr>
                <w:lang w:eastAsia="en-AU"/>
              </w:rPr>
              <w:t xml:space="preserve"> share of</w:t>
            </w:r>
            <w:r>
              <w:rPr>
                <w:lang w:eastAsia="en-AU"/>
              </w:rPr>
              <w:t xml:space="preserve"> payments States were entitled to (but not necessarily re</w:t>
            </w:r>
            <w:r w:rsidR="007A6A8B">
              <w:rPr>
                <w:lang w:eastAsia="en-AU"/>
              </w:rPr>
              <w:t>ceived) in the asses</w:t>
            </w:r>
            <w:r w:rsidR="002E2732">
              <w:rPr>
                <w:lang w:eastAsia="en-AU"/>
              </w:rPr>
              <w:t xml:space="preserve">sment years, as directed by </w:t>
            </w:r>
            <w:proofErr w:type="spellStart"/>
            <w:r w:rsidR="002E2732">
              <w:rPr>
                <w:lang w:eastAsia="en-AU"/>
              </w:rPr>
              <w:t>ToR</w:t>
            </w:r>
            <w:proofErr w:type="spellEnd"/>
          </w:p>
          <w:p w:rsidR="007C382D" w:rsidRPr="000A17C3" w:rsidRDefault="007C382D" w:rsidP="002E2732">
            <w:pPr>
              <w:pStyle w:val="CGCBulletlist"/>
              <w:tabs>
                <w:tab w:val="clear" w:pos="927"/>
                <w:tab w:val="num" w:pos="1134"/>
              </w:tabs>
              <w:ind w:left="1134" w:hanging="567"/>
              <w:rPr>
                <w:lang w:eastAsia="en-AU"/>
              </w:rPr>
            </w:pPr>
            <w:proofErr w:type="gramStart"/>
            <w:r>
              <w:rPr>
                <w:lang w:eastAsia="en-AU"/>
              </w:rPr>
              <w:t>assess</w:t>
            </w:r>
            <w:proofErr w:type="gramEnd"/>
            <w:r>
              <w:rPr>
                <w:lang w:eastAsia="en-AU"/>
              </w:rPr>
              <w:t xml:space="preserve"> other conditional payments using the actual payment received, not the payment the State was offered</w:t>
            </w:r>
            <w:r w:rsidR="002E2732">
              <w:rPr>
                <w:lang w:eastAsia="en-AU"/>
              </w:rPr>
              <w:t>.</w:t>
            </w:r>
          </w:p>
        </w:tc>
      </w:tr>
    </w:tbl>
    <w:p w:rsidR="001364C8" w:rsidRPr="005C4F81" w:rsidRDefault="007B5656" w:rsidP="007B5656">
      <w:pPr>
        <w:pStyle w:val="Heading3"/>
      </w:pPr>
      <w:bookmarkStart w:id="341" w:name="_Toc489877495"/>
      <w:bookmarkStart w:id="342" w:name="_Toc489877550"/>
      <w:bookmarkStart w:id="343" w:name="_Toc489878093"/>
      <w:bookmarkStart w:id="344" w:name="_Toc489878469"/>
      <w:bookmarkStart w:id="345" w:name="_Toc490138823"/>
      <w:bookmarkStart w:id="346" w:name="_Toc490224760"/>
      <w:bookmarkStart w:id="347" w:name="_Toc490228122"/>
      <w:bookmarkStart w:id="348" w:name="_Toc490228684"/>
      <w:bookmarkStart w:id="349" w:name="_Toc490556273"/>
      <w:bookmarkStart w:id="350" w:name="_Toc490659154"/>
      <w:bookmarkStart w:id="351" w:name="_Toc490659343"/>
      <w:bookmarkStart w:id="352" w:name="_Toc490659547"/>
      <w:r w:rsidRPr="007B5656">
        <w:lastRenderedPageBreak/>
        <w:t>Rescaling</w:t>
      </w:r>
      <w:r w:rsidRPr="005C4F81">
        <w:t xml:space="preserve"> in </w:t>
      </w:r>
      <w:r>
        <w:t>the I</w:t>
      </w:r>
      <w:r w:rsidRPr="005C4F81">
        <w:t>nvestment assessment</w:t>
      </w:r>
      <w:bookmarkEnd w:id="341"/>
      <w:bookmarkEnd w:id="342"/>
      <w:bookmarkEnd w:id="343"/>
      <w:bookmarkEnd w:id="344"/>
      <w:bookmarkEnd w:id="345"/>
      <w:bookmarkEnd w:id="346"/>
      <w:bookmarkEnd w:id="347"/>
      <w:bookmarkEnd w:id="348"/>
      <w:bookmarkEnd w:id="349"/>
      <w:bookmarkEnd w:id="350"/>
      <w:bookmarkEnd w:id="351"/>
      <w:bookmarkEnd w:id="352"/>
      <w:r w:rsidRPr="005C4F81">
        <w:t xml:space="preserve"> </w:t>
      </w:r>
    </w:p>
    <w:p w:rsidR="009342FF" w:rsidRDefault="002E2732" w:rsidP="009342FF">
      <w:pPr>
        <w:pStyle w:val="CGCNumberedPara"/>
      </w:pPr>
      <w:r>
        <w:t xml:space="preserve">Following </w:t>
      </w:r>
      <w:r w:rsidR="009342FF">
        <w:t>the 2017 Update, staff identified an issue with rescaling in the Investment assessment.</w:t>
      </w:r>
    </w:p>
    <w:p w:rsidR="009342FF" w:rsidRDefault="009342FF" w:rsidP="009342FF">
      <w:pPr>
        <w:pStyle w:val="CGCNumberedPara"/>
      </w:pPr>
      <w:r>
        <w:t>When the Commission multiplies two disabilities, the sum of the States</w:t>
      </w:r>
      <w:r w:rsidR="002E2732">
        <w:t>’</w:t>
      </w:r>
      <w:r>
        <w:t xml:space="preserve"> expenditure is no longer the national total, and so the Commission ‘rescales’ or shares the total expenditure in proportion to the States’ shares of the unscaled expenditure. This is illustrated in </w:t>
      </w:r>
      <w:r>
        <w:fldChar w:fldCharType="begin"/>
      </w:r>
      <w:r>
        <w:instrText xml:space="preserve"> REF _Ref484529008 \h </w:instrText>
      </w:r>
      <w:r>
        <w:fldChar w:fldCharType="separate"/>
      </w:r>
      <w:r w:rsidR="00500132">
        <w:t xml:space="preserve">Table </w:t>
      </w:r>
      <w:r w:rsidR="00500132">
        <w:rPr>
          <w:noProof/>
        </w:rPr>
        <w:t>7</w:t>
      </w:r>
      <w:r>
        <w:fldChar w:fldCharType="end"/>
      </w:r>
      <w:r>
        <w:t xml:space="preserve">. </w:t>
      </w:r>
    </w:p>
    <w:p w:rsidR="009342FF" w:rsidRDefault="009342FF" w:rsidP="009342FF">
      <w:pPr>
        <w:pStyle w:val="CGCNumberedPara"/>
      </w:pPr>
      <w:r>
        <w:t>States spend $33 099 million on State funded school</w:t>
      </w:r>
      <w:r w:rsidR="00DE393F">
        <w:t>s</w:t>
      </w:r>
      <w:r>
        <w:t xml:space="preserve"> education. We calculate an amount per student for different students of different socio</w:t>
      </w:r>
      <w:r>
        <w:noBreakHyphen/>
        <w:t>demographic profile, and allocate this to each State. This enables us to allocate the $33 099 million between the States. We then multiply each State’s Socio-demographic composition (</w:t>
      </w:r>
      <w:proofErr w:type="spellStart"/>
      <w:r>
        <w:t>SDC</w:t>
      </w:r>
      <w:proofErr w:type="spellEnd"/>
      <w:r>
        <w:t>) based assessed expenses by a factor depending on whether teacher wages are assessed to be above or below average, and whether average school size is assessed to be above or below average. The sum of all States’ new assessed expenses (unscaled expenses) is no longer $33 099 million, but is now 0.05% higher.</w:t>
      </w:r>
      <w:r>
        <w:rPr>
          <w:rStyle w:val="FootnoteReference"/>
        </w:rPr>
        <w:footnoteReference w:id="7"/>
      </w:r>
      <w:r>
        <w:t xml:space="preserve"> To ensure we allocate the appropriate amount to schools, we remove this additional $17 million from States in proportion to their unscaled expenses. </w:t>
      </w:r>
    </w:p>
    <w:p w:rsidR="009342FF" w:rsidRDefault="009342FF" w:rsidP="009342FF">
      <w:pPr>
        <w:pStyle w:val="CGCNumberedPara"/>
      </w:pPr>
      <w:r>
        <w:t xml:space="preserve">We have undertaken this approach since the early 1990s, and successive Commissions have taken the view that this is the appropriate approach. Staff remain convinced this is the appropriate approach, in most circumstances. </w:t>
      </w:r>
    </w:p>
    <w:p w:rsidR="009342FF" w:rsidRDefault="009342FF" w:rsidP="009342FF">
      <w:pPr>
        <w:pStyle w:val="Caption"/>
      </w:pPr>
      <w:bookmarkStart w:id="353" w:name="_Ref484529008"/>
      <w:r>
        <w:lastRenderedPageBreak/>
        <w:t xml:space="preserve">Table </w:t>
      </w:r>
      <w:fldSimple w:instr=" SEQ Table \* ARABIC ">
        <w:r w:rsidR="00500132">
          <w:rPr>
            <w:noProof/>
          </w:rPr>
          <w:t>7</w:t>
        </w:r>
      </w:fldSimple>
      <w:bookmarkEnd w:id="353"/>
      <w:r>
        <w:tab/>
        <w:t>Calculation of assessed State funded school</w:t>
      </w:r>
      <w:r w:rsidR="00DE393F">
        <w:t>s</w:t>
      </w:r>
      <w:r>
        <w:t xml:space="preserve"> education, 2015-16</w:t>
      </w:r>
    </w:p>
    <w:tbl>
      <w:tblPr>
        <w:tblW w:w="9148" w:type="dxa"/>
        <w:tblLayout w:type="fixed"/>
        <w:tblCellMar>
          <w:left w:w="0" w:type="dxa"/>
          <w:right w:w="0" w:type="dxa"/>
        </w:tblCellMar>
        <w:tblLook w:val="04A0" w:firstRow="1" w:lastRow="0" w:firstColumn="1" w:lastColumn="0" w:noHBand="0" w:noVBand="1"/>
      </w:tblPr>
      <w:tblGrid>
        <w:gridCol w:w="2276"/>
        <w:gridCol w:w="876"/>
        <w:gridCol w:w="776"/>
        <w:gridCol w:w="776"/>
        <w:gridCol w:w="776"/>
        <w:gridCol w:w="776"/>
        <w:gridCol w:w="672"/>
        <w:gridCol w:w="672"/>
        <w:gridCol w:w="672"/>
        <w:gridCol w:w="876"/>
      </w:tblGrid>
      <w:tr w:rsidR="009342FF" w:rsidRPr="00620C18" w:rsidTr="00A95069">
        <w:trPr>
          <w:trHeight w:val="379"/>
        </w:trPr>
        <w:tc>
          <w:tcPr>
            <w:tcW w:w="22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354" w:name="RANGE!A2:J7"/>
            <w:r w:rsidRPr="00620C18">
              <w:rPr>
                <w:rFonts w:ascii="Calibri" w:eastAsia="Times New Roman" w:hAnsi="Calibri" w:cs="Times New Roman"/>
                <w:sz w:val="20"/>
                <w:szCs w:val="20"/>
                <w:lang w:eastAsia="en-AU"/>
              </w:rPr>
              <w:t> </w:t>
            </w:r>
            <w:bookmarkEnd w:id="354"/>
          </w:p>
        </w:tc>
        <w:tc>
          <w:tcPr>
            <w:tcW w:w="8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NSW</w:t>
            </w:r>
          </w:p>
        </w:tc>
        <w:tc>
          <w:tcPr>
            <w:tcW w:w="7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Vic</w:t>
            </w:r>
          </w:p>
        </w:tc>
        <w:tc>
          <w:tcPr>
            <w:tcW w:w="7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Qld</w:t>
            </w:r>
          </w:p>
        </w:tc>
        <w:tc>
          <w:tcPr>
            <w:tcW w:w="7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WA</w:t>
            </w:r>
          </w:p>
        </w:tc>
        <w:tc>
          <w:tcPr>
            <w:tcW w:w="7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SA</w:t>
            </w:r>
          </w:p>
        </w:tc>
        <w:tc>
          <w:tcPr>
            <w:tcW w:w="672"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20C18">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ACT</w:t>
            </w:r>
          </w:p>
        </w:tc>
        <w:tc>
          <w:tcPr>
            <w:tcW w:w="672"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NT</w:t>
            </w:r>
          </w:p>
        </w:tc>
        <w:tc>
          <w:tcPr>
            <w:tcW w:w="87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Total</w:t>
            </w:r>
          </w:p>
        </w:tc>
      </w:tr>
      <w:tr w:rsidR="007C2EC2" w:rsidRPr="00620C18" w:rsidTr="004E56AA">
        <w:trPr>
          <w:trHeight w:val="315"/>
        </w:trPr>
        <w:tc>
          <w:tcPr>
            <w:tcW w:w="2276" w:type="dxa"/>
            <w:tcBorders>
              <w:top w:val="single" w:sz="4" w:space="0" w:color="auto"/>
              <w:left w:val="nil"/>
              <w:bottom w:val="nil"/>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sz w:val="20"/>
                <w:szCs w:val="20"/>
                <w:lang w:eastAsia="en-AU"/>
              </w:rPr>
            </w:pPr>
            <w:proofErr w:type="spellStart"/>
            <w:r w:rsidRPr="00620C18">
              <w:rPr>
                <w:rFonts w:ascii="Calibri" w:eastAsia="Times New Roman" w:hAnsi="Calibri" w:cs="Times New Roman"/>
                <w:sz w:val="20"/>
                <w:szCs w:val="20"/>
                <w:lang w:eastAsia="en-AU"/>
              </w:rPr>
              <w:t>SDC</w:t>
            </w:r>
            <w:proofErr w:type="spellEnd"/>
            <w:r>
              <w:rPr>
                <w:rFonts w:ascii="Calibri" w:eastAsia="Times New Roman" w:hAnsi="Calibri" w:cs="Times New Roman"/>
                <w:sz w:val="20"/>
                <w:szCs w:val="20"/>
                <w:lang w:eastAsia="en-AU"/>
              </w:rPr>
              <w:t xml:space="preserve"> based assessed expenses</w:t>
            </w:r>
            <w:r w:rsidRPr="00620C18">
              <w:rPr>
                <w:rFonts w:ascii="Calibri" w:eastAsia="Times New Roman" w:hAnsi="Calibri" w:cs="Times New Roman"/>
                <w:sz w:val="20"/>
                <w:szCs w:val="20"/>
                <w:lang w:eastAsia="en-AU"/>
              </w:rPr>
              <w:t xml:space="preserve"> ($m)</w:t>
            </w:r>
          </w:p>
        </w:tc>
        <w:tc>
          <w:tcPr>
            <w:tcW w:w="8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10 370</w:t>
            </w:r>
          </w:p>
        </w:tc>
        <w:tc>
          <w:tcPr>
            <w:tcW w:w="7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7 657</w:t>
            </w:r>
          </w:p>
        </w:tc>
        <w:tc>
          <w:tcPr>
            <w:tcW w:w="7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7 188</w:t>
            </w:r>
          </w:p>
        </w:tc>
        <w:tc>
          <w:tcPr>
            <w:tcW w:w="7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3 669</w:t>
            </w:r>
          </w:p>
        </w:tc>
        <w:tc>
          <w:tcPr>
            <w:tcW w:w="7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2 391</w:t>
            </w:r>
          </w:p>
        </w:tc>
        <w:tc>
          <w:tcPr>
            <w:tcW w:w="672"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807</w:t>
            </w:r>
          </w:p>
        </w:tc>
        <w:tc>
          <w:tcPr>
            <w:tcW w:w="672"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486</w:t>
            </w:r>
          </w:p>
        </w:tc>
        <w:tc>
          <w:tcPr>
            <w:tcW w:w="672"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531</w:t>
            </w:r>
          </w:p>
        </w:tc>
        <w:tc>
          <w:tcPr>
            <w:tcW w:w="876" w:type="dxa"/>
            <w:tcBorders>
              <w:top w:val="single" w:sz="4" w:space="0" w:color="auto"/>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33 099</w:t>
            </w:r>
          </w:p>
        </w:tc>
      </w:tr>
      <w:tr w:rsidR="007C2EC2" w:rsidRPr="00620C18" w:rsidTr="004E56AA">
        <w:trPr>
          <w:trHeight w:val="315"/>
        </w:trPr>
        <w:tc>
          <w:tcPr>
            <w:tcW w:w="2276" w:type="dxa"/>
            <w:tcBorders>
              <w:top w:val="nil"/>
              <w:left w:val="nil"/>
              <w:bottom w:val="nil"/>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S</w:t>
            </w:r>
            <w:r>
              <w:rPr>
                <w:rFonts w:ascii="Calibri" w:eastAsia="Times New Roman" w:hAnsi="Calibri" w:cs="Times New Roman"/>
                <w:sz w:val="20"/>
                <w:szCs w:val="20"/>
                <w:lang w:eastAsia="en-AU"/>
              </w:rPr>
              <w:t>ervice delivery Scale</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0.999</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0.998</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1.000</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1.003</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1.006</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1.002</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0.996</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1.027</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1.000</w:t>
            </w:r>
          </w:p>
        </w:tc>
      </w:tr>
      <w:tr w:rsidR="007C2EC2" w:rsidRPr="00620C18" w:rsidTr="004E56AA">
        <w:trPr>
          <w:trHeight w:val="315"/>
        </w:trPr>
        <w:tc>
          <w:tcPr>
            <w:tcW w:w="2276" w:type="dxa"/>
            <w:tcBorders>
              <w:top w:val="nil"/>
              <w:left w:val="nil"/>
              <w:bottom w:val="nil"/>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Wages</w:t>
            </w:r>
          </w:p>
        </w:tc>
        <w:tc>
          <w:tcPr>
            <w:tcW w:w="8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1.001</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0.989</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0.998</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1.036</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0.984</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0.954</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1.036</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1.039</w:t>
            </w:r>
          </w:p>
        </w:tc>
        <w:tc>
          <w:tcPr>
            <w:tcW w:w="8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1.000</w:t>
            </w:r>
          </w:p>
        </w:tc>
      </w:tr>
      <w:tr w:rsidR="007C2EC2" w:rsidRPr="00620C18" w:rsidTr="004E56AA">
        <w:trPr>
          <w:trHeight w:val="315"/>
        </w:trPr>
        <w:tc>
          <w:tcPr>
            <w:tcW w:w="2276" w:type="dxa"/>
            <w:tcBorders>
              <w:top w:val="nil"/>
              <w:left w:val="nil"/>
              <w:bottom w:val="nil"/>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Unscaled expenses ($m)</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10 365</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7 557</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7 177</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3 810</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2 366</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772</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501</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567</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33 116</w:t>
            </w:r>
          </w:p>
        </w:tc>
      </w:tr>
      <w:tr w:rsidR="007C2EC2" w:rsidRPr="00620C18" w:rsidTr="004E56AA">
        <w:trPr>
          <w:trHeight w:val="315"/>
        </w:trPr>
        <w:tc>
          <w:tcPr>
            <w:tcW w:w="2276" w:type="dxa"/>
            <w:tcBorders>
              <w:top w:val="nil"/>
              <w:left w:val="nil"/>
              <w:bottom w:val="nil"/>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Assessed expenses ($m)</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10 360</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7 553</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7 174</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3 808</w:t>
            </w:r>
          </w:p>
        </w:tc>
        <w:tc>
          <w:tcPr>
            <w:tcW w:w="7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2 365</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771</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501</w:t>
            </w:r>
          </w:p>
        </w:tc>
        <w:tc>
          <w:tcPr>
            <w:tcW w:w="672"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566</w:t>
            </w:r>
          </w:p>
        </w:tc>
        <w:tc>
          <w:tcPr>
            <w:tcW w:w="876" w:type="dxa"/>
            <w:tcBorders>
              <w:top w:val="nil"/>
              <w:left w:val="nil"/>
              <w:bottom w:val="nil"/>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 xml:space="preserve"> 33 099</w:t>
            </w:r>
          </w:p>
        </w:tc>
      </w:tr>
      <w:tr w:rsidR="007C2EC2" w:rsidRPr="00620C18" w:rsidTr="004E56AA">
        <w:trPr>
          <w:trHeight w:val="315"/>
        </w:trPr>
        <w:tc>
          <w:tcPr>
            <w:tcW w:w="2276" w:type="dxa"/>
            <w:tcBorders>
              <w:top w:val="nil"/>
              <w:left w:val="nil"/>
              <w:bottom w:val="single" w:sz="4" w:space="0" w:color="auto"/>
              <w:right w:val="nil"/>
            </w:tcBorders>
            <w:shd w:val="clear" w:color="auto" w:fill="auto"/>
            <w:noWrap/>
            <w:vAlign w:val="bottom"/>
            <w:hideMark/>
          </w:tcPr>
          <w:p w:rsidR="007C2EC2" w:rsidRPr="00620C18" w:rsidRDefault="007C2EC2" w:rsidP="007C2EC2">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Effect of rescaling ($m)</w:t>
            </w:r>
          </w:p>
        </w:tc>
        <w:tc>
          <w:tcPr>
            <w:tcW w:w="8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-5</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-4</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-4</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-2</w:t>
            </w:r>
          </w:p>
        </w:tc>
        <w:tc>
          <w:tcPr>
            <w:tcW w:w="7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w:t>
            </w:r>
          </w:p>
        </w:tc>
        <w:tc>
          <w:tcPr>
            <w:tcW w:w="672"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rsidR="007C2EC2" w:rsidRDefault="007C2EC2" w:rsidP="007C2EC2">
            <w:pPr>
              <w:spacing w:after="0"/>
              <w:jc w:val="right"/>
              <w:rPr>
                <w:rFonts w:ascii="Calibri" w:hAnsi="Calibri"/>
                <w:color w:val="000000"/>
                <w:sz w:val="20"/>
                <w:szCs w:val="20"/>
              </w:rPr>
            </w:pPr>
            <w:r>
              <w:rPr>
                <w:rFonts w:ascii="Calibri" w:hAnsi="Calibri"/>
                <w:color w:val="000000"/>
                <w:sz w:val="20"/>
                <w:szCs w:val="20"/>
              </w:rPr>
              <w:t>-17</w:t>
            </w:r>
          </w:p>
        </w:tc>
      </w:tr>
    </w:tbl>
    <w:p w:rsidR="009342FF" w:rsidRPr="00DA54EC" w:rsidRDefault="009342FF" w:rsidP="009342FF">
      <w:pPr>
        <w:pStyle w:val="CGCTableFootnote"/>
        <w:ind w:left="0" w:firstLine="0"/>
      </w:pPr>
      <w:r>
        <w:t>Source:</w:t>
      </w:r>
      <w:r>
        <w:tab/>
        <w:t>Commission calculation.</w:t>
      </w:r>
    </w:p>
    <w:p w:rsidR="009342FF" w:rsidRDefault="009342FF" w:rsidP="009342FF">
      <w:pPr>
        <w:pStyle w:val="CGCNumberedPara"/>
      </w:pPr>
      <w:r>
        <w:t xml:space="preserve">However, in the </w:t>
      </w:r>
      <w:r w:rsidR="00E201C3">
        <w:t>I</w:t>
      </w:r>
      <w:r>
        <w:t xml:space="preserve">nvestment assessment (due to it being possible for different States to require either positive or negative assessed investment), this approach can create unintended outcomes. As shown in </w:t>
      </w:r>
      <w:r>
        <w:fldChar w:fldCharType="begin"/>
      </w:r>
      <w:r>
        <w:instrText xml:space="preserve"> REF _Ref485644277 \h </w:instrText>
      </w:r>
      <w:r>
        <w:fldChar w:fldCharType="separate"/>
      </w:r>
      <w:r w:rsidR="00500132">
        <w:t xml:space="preserve">Table </w:t>
      </w:r>
      <w:r w:rsidR="00500132">
        <w:rPr>
          <w:noProof/>
        </w:rPr>
        <w:t>8</w:t>
      </w:r>
      <w:r>
        <w:fldChar w:fldCharType="end"/>
      </w:r>
      <w:r>
        <w:t xml:space="preserve"> in the 2017 Update, for the 2014-15 assessment </w:t>
      </w:r>
      <w:proofErr w:type="gramStart"/>
      <w:r>
        <w:t>year</w:t>
      </w:r>
      <w:proofErr w:type="gramEnd"/>
      <w:r>
        <w:t>, net</w:t>
      </w:r>
      <w:r w:rsidR="002E2732">
        <w:t xml:space="preserve"> Other</w:t>
      </w:r>
      <w:r>
        <w:t xml:space="preserve"> investment was $183 million (that is, excluding transport and roads). New South Wales, Victoria and Western Australia were assessed as needing to spend $397 million, and the other States with slower population growth were assessed as needing to run down or dispose of $214 million in assets to retain the adjusted national average asset stock per capita. </w:t>
      </w:r>
    </w:p>
    <w:p w:rsidR="009342FF" w:rsidRDefault="009342FF" w:rsidP="009342FF">
      <w:pPr>
        <w:pStyle w:val="CGCNumberedPara"/>
      </w:pPr>
      <w:r>
        <w:t xml:space="preserve">The Northern Territory </w:t>
      </w:r>
      <w:r w:rsidR="002E2732">
        <w:t>was</w:t>
      </w:r>
      <w:r>
        <w:t xml:space="preserve"> assessed to have high construction costs: 21.9% above average. With the symmetrical assessment, it is assumed that it can sell assets at 21.9% above average, or run down assets and therefore not incur the 21.9% cost on replacing its depreciated assets. The Northern Territory would need $23 million less GST, because of the construction costs. </w:t>
      </w:r>
    </w:p>
    <w:p w:rsidR="009342FF" w:rsidRDefault="009342FF" w:rsidP="009342FF">
      <w:pPr>
        <w:pStyle w:val="CGCNumberedPara"/>
      </w:pPr>
      <w:r>
        <w:t>The sum of the adjusted (unscaled) expenses is only $158 million, and so in undertaking the usual exercise of rescaling, all costs are increased by 14%. The effect here is much larger than the 0.05% in schools, because we are applying cost factors to relatively large positive ($26</w:t>
      </w:r>
      <w:r w:rsidR="007A6A8B">
        <w:t>8</w:t>
      </w:r>
      <w:r>
        <w:t xml:space="preserve"> million in Victoria) and negative ($103</w:t>
      </w:r>
      <w:r w:rsidR="00DE393F">
        <w:t xml:space="preserve"> million</w:t>
      </w:r>
      <w:r>
        <w:t xml:space="preserve"> in the Northern Territory) amounts and calculating the rescaling factor on the relatively small net outcome ($183 million). In this example, the Northern Territory was assessed as needing $20 million less GST because of rescaling (for this assessment year only), and Victoria </w:t>
      </w:r>
      <w:r w:rsidR="00DE393F">
        <w:t xml:space="preserve">was </w:t>
      </w:r>
      <w:r>
        <w:t xml:space="preserve">assessed to need $42 million </w:t>
      </w:r>
      <w:r w:rsidR="00FA2755">
        <w:t xml:space="preserve">more GST </w:t>
      </w:r>
      <w:r>
        <w:t xml:space="preserve">due to the effects of rescaling. </w:t>
      </w:r>
    </w:p>
    <w:p w:rsidR="009342FF" w:rsidRDefault="009342FF" w:rsidP="009342FF">
      <w:pPr>
        <w:pStyle w:val="Caption"/>
      </w:pPr>
      <w:bookmarkStart w:id="355" w:name="_Ref485644277"/>
      <w:r>
        <w:lastRenderedPageBreak/>
        <w:t xml:space="preserve">Table </w:t>
      </w:r>
      <w:fldSimple w:instr=" SEQ Table \* ARABIC ">
        <w:r w:rsidR="00500132">
          <w:rPr>
            <w:noProof/>
          </w:rPr>
          <w:t>8</w:t>
        </w:r>
      </w:fldSimple>
      <w:bookmarkEnd w:id="355"/>
      <w:r>
        <w:tab/>
        <w:t>Calculation of assessed other investment, 2014-15</w:t>
      </w:r>
    </w:p>
    <w:tbl>
      <w:tblPr>
        <w:tblW w:w="9020" w:type="dxa"/>
        <w:tblLayout w:type="fixed"/>
        <w:tblCellMar>
          <w:left w:w="0" w:type="dxa"/>
          <w:right w:w="0" w:type="dxa"/>
        </w:tblCellMar>
        <w:tblLook w:val="04A0" w:firstRow="1" w:lastRow="0" w:firstColumn="1" w:lastColumn="0" w:noHBand="0" w:noVBand="1"/>
      </w:tblPr>
      <w:tblGrid>
        <w:gridCol w:w="2756"/>
        <w:gridCol w:w="696"/>
        <w:gridCol w:w="696"/>
        <w:gridCol w:w="696"/>
        <w:gridCol w:w="696"/>
        <w:gridCol w:w="696"/>
        <w:gridCol w:w="696"/>
        <w:gridCol w:w="696"/>
        <w:gridCol w:w="696"/>
        <w:gridCol w:w="696"/>
      </w:tblGrid>
      <w:tr w:rsidR="009342FF" w:rsidRPr="00620C18" w:rsidTr="00A95069">
        <w:trPr>
          <w:trHeight w:val="315"/>
        </w:trPr>
        <w:tc>
          <w:tcPr>
            <w:tcW w:w="275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 </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NSW</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Vic</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Qld</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WA</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SA</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20C18">
              <w:rPr>
                <w:rFonts w:ascii="Calibri" w:eastAsia="Times New Roman" w:hAnsi="Calibri" w:cs="Times New Roman"/>
                <w:sz w:val="20"/>
                <w:szCs w:val="20"/>
                <w:lang w:eastAsia="en-AU"/>
              </w:rPr>
              <w:t>Tas</w:t>
            </w:r>
            <w:proofErr w:type="spellEnd"/>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ACT</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NT</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Total</w:t>
            </w:r>
          </w:p>
        </w:tc>
      </w:tr>
      <w:tr w:rsidR="009342FF" w:rsidRPr="00620C18" w:rsidTr="00A95069">
        <w:trPr>
          <w:trHeight w:val="315"/>
        </w:trPr>
        <w:tc>
          <w:tcPr>
            <w:tcW w:w="275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Assessed change in stock ($m)</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102</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268</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-11</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27</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-45</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-49</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-6</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-103</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183</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Cost factor</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1.003</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1.071</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0.994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0.970</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1.028</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1.219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1.000</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Unscaled expenses ($m)</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103</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261</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-11</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-45</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-47</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-126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158</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Assessed expenses ($m)</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119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303</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-13</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34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-52</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-55</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-7</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-146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183</w:t>
            </w:r>
          </w:p>
        </w:tc>
      </w:tr>
      <w:tr w:rsidR="009342FF" w:rsidRPr="00620C18" w:rsidTr="00A95069">
        <w:trPr>
          <w:trHeight w:val="315"/>
        </w:trPr>
        <w:tc>
          <w:tcPr>
            <w:tcW w:w="275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Effect of rescaling</w:t>
            </w:r>
            <w:r>
              <w:rPr>
                <w:rFonts w:ascii="Calibri" w:eastAsia="Times New Roman" w:hAnsi="Calibri" w:cs="Times New Roman"/>
                <w:sz w:val="20"/>
                <w:szCs w:val="20"/>
                <w:lang w:eastAsia="en-AU"/>
              </w:rPr>
              <w:t xml:space="preserve"> ($m)</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16</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42</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-2</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5</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-7</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-8</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-1</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-20</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25</w:t>
            </w:r>
          </w:p>
        </w:tc>
      </w:tr>
    </w:tbl>
    <w:p w:rsidR="009342FF" w:rsidRPr="00DA54EC" w:rsidRDefault="00E201C3" w:rsidP="009342FF">
      <w:pPr>
        <w:pStyle w:val="CGCTableFootnote"/>
        <w:ind w:left="0" w:firstLine="0"/>
      </w:pPr>
      <w:r>
        <w:t>Source:</w:t>
      </w:r>
      <w:r>
        <w:tab/>
        <w:t>Commission calculation.</w:t>
      </w:r>
    </w:p>
    <w:p w:rsidR="009342FF" w:rsidRDefault="009342FF" w:rsidP="009342FF">
      <w:pPr>
        <w:pStyle w:val="CGCNumberedPara"/>
      </w:pPr>
      <w:r>
        <w:t xml:space="preserve">It is easier to see the potential problem with this assessment if we imagine that in 2014-15, net </w:t>
      </w:r>
      <w:proofErr w:type="gramStart"/>
      <w:r w:rsidR="002E2732">
        <w:t>O</w:t>
      </w:r>
      <w:r>
        <w:t>ther</w:t>
      </w:r>
      <w:proofErr w:type="gramEnd"/>
      <w:r>
        <w:t xml:space="preserve"> investment had been $160 million less, as shown in </w:t>
      </w:r>
      <w:r>
        <w:fldChar w:fldCharType="begin"/>
      </w:r>
      <w:r>
        <w:instrText xml:space="preserve"> REF _Ref484440961 \h </w:instrText>
      </w:r>
      <w:r>
        <w:fldChar w:fldCharType="separate"/>
      </w:r>
      <w:r w:rsidR="00500132">
        <w:t xml:space="preserve">Table </w:t>
      </w:r>
      <w:r w:rsidR="00500132">
        <w:rPr>
          <w:noProof/>
        </w:rPr>
        <w:t>9</w:t>
      </w:r>
      <w:r>
        <w:fldChar w:fldCharType="end"/>
      </w:r>
      <w:r>
        <w:t xml:space="preserve">. In this scenario, net investment would be $23 million. After applying the cost weights to the assessed change in stock, the unscaled assessed State expenses sum to -$3 million. However, resolving this $26 million discrepancy involves multiplying each State’s unscaled investment needs by </w:t>
      </w:r>
      <w:r w:rsidRPr="0029387C">
        <w:noBreakHyphen/>
        <w:t>8</w:t>
      </w:r>
      <w:r>
        <w:t>. After this rescaling Victoria, instead of needing $225 million, needs to disinvest nearly $2 billion, while the Northern Territory, instead of needing to disinvest $130 million, suddenly receives a gain of over $1 billion.</w:t>
      </w:r>
    </w:p>
    <w:p w:rsidR="009342FF" w:rsidRDefault="009342FF" w:rsidP="009342FF">
      <w:pPr>
        <w:pStyle w:val="Caption"/>
        <w:ind w:left="0" w:firstLine="0"/>
      </w:pPr>
      <w:bookmarkStart w:id="356" w:name="_Ref484440961"/>
      <w:r>
        <w:t xml:space="preserve">Table </w:t>
      </w:r>
      <w:fldSimple w:instr=" SEQ Table \* ARABIC ">
        <w:r w:rsidR="00500132">
          <w:rPr>
            <w:noProof/>
          </w:rPr>
          <w:t>9</w:t>
        </w:r>
      </w:fldSimple>
      <w:bookmarkEnd w:id="356"/>
      <w:r>
        <w:tab/>
        <w:t>Hypothetical calculation of assessed other investment, 2014-15</w:t>
      </w:r>
    </w:p>
    <w:tbl>
      <w:tblPr>
        <w:tblW w:w="9020" w:type="dxa"/>
        <w:tblLayout w:type="fixed"/>
        <w:tblCellMar>
          <w:left w:w="0" w:type="dxa"/>
          <w:right w:w="0" w:type="dxa"/>
        </w:tblCellMar>
        <w:tblLook w:val="04A0" w:firstRow="1" w:lastRow="0" w:firstColumn="1" w:lastColumn="0" w:noHBand="0" w:noVBand="1"/>
      </w:tblPr>
      <w:tblGrid>
        <w:gridCol w:w="2756"/>
        <w:gridCol w:w="696"/>
        <w:gridCol w:w="696"/>
        <w:gridCol w:w="696"/>
        <w:gridCol w:w="696"/>
        <w:gridCol w:w="696"/>
        <w:gridCol w:w="696"/>
        <w:gridCol w:w="696"/>
        <w:gridCol w:w="696"/>
        <w:gridCol w:w="696"/>
      </w:tblGrid>
      <w:tr w:rsidR="009342FF" w:rsidRPr="00620C18" w:rsidTr="00A95069">
        <w:trPr>
          <w:trHeight w:val="315"/>
        </w:trPr>
        <w:tc>
          <w:tcPr>
            <w:tcW w:w="275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 </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NSW</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Vic</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Qld</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WA</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SA</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20C18">
              <w:rPr>
                <w:rFonts w:ascii="Calibri" w:eastAsia="Times New Roman" w:hAnsi="Calibri" w:cs="Times New Roman"/>
                <w:sz w:val="20"/>
                <w:szCs w:val="20"/>
                <w:lang w:eastAsia="en-AU"/>
              </w:rPr>
              <w:t>Tas</w:t>
            </w:r>
            <w:proofErr w:type="spellEnd"/>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ACT</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NT</w:t>
            </w:r>
          </w:p>
        </w:tc>
        <w:tc>
          <w:tcPr>
            <w:tcW w:w="696" w:type="dxa"/>
            <w:tcBorders>
              <w:top w:val="single" w:sz="4" w:space="0" w:color="auto"/>
              <w:left w:val="nil"/>
              <w:bottom w:val="nil"/>
              <w:right w:val="nil"/>
            </w:tcBorders>
            <w:shd w:val="clear" w:color="auto" w:fill="auto"/>
            <w:noWrap/>
            <w:vAlign w:val="center"/>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Total</w:t>
            </w:r>
          </w:p>
        </w:tc>
      </w:tr>
      <w:tr w:rsidR="009342FF" w:rsidRPr="00620C18" w:rsidTr="00A95069">
        <w:trPr>
          <w:trHeight w:val="315"/>
        </w:trPr>
        <w:tc>
          <w:tcPr>
            <w:tcW w:w="275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Assessed change in stock ($m)</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52</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231</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-45</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9</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-57</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-53</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-8</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-106</w:t>
            </w:r>
          </w:p>
        </w:tc>
        <w:tc>
          <w:tcPr>
            <w:tcW w:w="696" w:type="dxa"/>
            <w:tcBorders>
              <w:top w:val="single" w:sz="4" w:space="0" w:color="auto"/>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23</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Cost factor</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1.003</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1.071</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0.994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0.970</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1.028</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1.219</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1.000</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Pr>
                <w:rFonts w:ascii="Calibri" w:eastAsia="Times New Roman" w:hAnsi="Calibri" w:cs="Times New Roman"/>
                <w:sz w:val="20"/>
                <w:szCs w:val="20"/>
                <w:lang w:eastAsia="en-AU"/>
              </w:rPr>
              <w:t>U</w:t>
            </w:r>
            <w:r w:rsidRPr="00620C18">
              <w:rPr>
                <w:rFonts w:ascii="Calibri" w:eastAsia="Times New Roman" w:hAnsi="Calibri" w:cs="Times New Roman"/>
                <w:sz w:val="20"/>
                <w:szCs w:val="20"/>
                <w:lang w:eastAsia="en-AU"/>
              </w:rPr>
              <w:t>nscaled expenses ($m)</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52</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225</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10</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-57</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-51</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-8</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-130</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-3</w:t>
            </w:r>
          </w:p>
        </w:tc>
      </w:tr>
      <w:tr w:rsidR="009342FF" w:rsidRPr="00620C18" w:rsidTr="00A95069">
        <w:trPr>
          <w:trHeight w:val="315"/>
        </w:trPr>
        <w:tc>
          <w:tcPr>
            <w:tcW w:w="275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Assessed expenses ($m)</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-436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-1 884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366</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-84</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477</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428</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70</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1 087</w:t>
            </w:r>
          </w:p>
        </w:tc>
        <w:tc>
          <w:tcPr>
            <w:tcW w:w="696" w:type="dxa"/>
            <w:tcBorders>
              <w:top w:val="nil"/>
              <w:left w:val="nil"/>
              <w:bottom w:val="nil"/>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620C18">
              <w:rPr>
                <w:rFonts w:ascii="Calibri" w:eastAsia="Times New Roman" w:hAnsi="Calibri" w:cs="Times New Roman"/>
                <w:color w:val="000000"/>
                <w:sz w:val="20"/>
                <w:szCs w:val="20"/>
                <w:lang w:eastAsia="en-AU"/>
              </w:rPr>
              <w:t>23</w:t>
            </w:r>
          </w:p>
        </w:tc>
      </w:tr>
      <w:tr w:rsidR="009342FF" w:rsidRPr="00620C18" w:rsidTr="00A95069">
        <w:trPr>
          <w:trHeight w:val="315"/>
        </w:trPr>
        <w:tc>
          <w:tcPr>
            <w:tcW w:w="275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Effect of rescaling</w:t>
            </w:r>
            <w:r>
              <w:rPr>
                <w:rFonts w:ascii="Calibri" w:eastAsia="Times New Roman" w:hAnsi="Calibri" w:cs="Times New Roman"/>
                <w:sz w:val="20"/>
                <w:szCs w:val="20"/>
                <w:lang w:eastAsia="en-AU"/>
              </w:rPr>
              <w:t xml:space="preserve"> ($m)</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-489</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-2 109</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409</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-95</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534</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479</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78</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1 216</w:t>
            </w:r>
          </w:p>
        </w:tc>
        <w:tc>
          <w:tcPr>
            <w:tcW w:w="696" w:type="dxa"/>
            <w:tcBorders>
              <w:top w:val="nil"/>
              <w:left w:val="nil"/>
              <w:bottom w:val="single" w:sz="4" w:space="0" w:color="auto"/>
              <w:right w:val="nil"/>
            </w:tcBorders>
            <w:shd w:val="clear" w:color="auto" w:fill="auto"/>
            <w:noWrap/>
            <w:vAlign w:val="bottom"/>
            <w:hideMark/>
          </w:tcPr>
          <w:p w:rsidR="009342FF" w:rsidRPr="00620C18"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620C18">
              <w:rPr>
                <w:rFonts w:ascii="Calibri" w:eastAsia="Times New Roman" w:hAnsi="Calibri" w:cs="Times New Roman"/>
                <w:sz w:val="20"/>
                <w:szCs w:val="20"/>
                <w:lang w:eastAsia="en-AU"/>
              </w:rPr>
              <w:t>26</w:t>
            </w:r>
          </w:p>
        </w:tc>
      </w:tr>
    </w:tbl>
    <w:p w:rsidR="009342FF" w:rsidRPr="00DA54EC" w:rsidRDefault="009342FF" w:rsidP="009342FF">
      <w:pPr>
        <w:pStyle w:val="CGCTableFootnote"/>
        <w:ind w:left="0" w:firstLine="0"/>
      </w:pPr>
      <w:r>
        <w:t>Source:</w:t>
      </w:r>
      <w:r>
        <w:tab/>
        <w:t>Commission calculation.</w:t>
      </w:r>
    </w:p>
    <w:p w:rsidR="009342FF" w:rsidRDefault="009342FF" w:rsidP="009342FF">
      <w:pPr>
        <w:pStyle w:val="CGCNumberedPara"/>
      </w:pPr>
      <w:r>
        <w:t xml:space="preserve">To address this problem, </w:t>
      </w:r>
      <w:proofErr w:type="gramStart"/>
      <w:r>
        <w:t>staff intend</w:t>
      </w:r>
      <w:proofErr w:type="gramEnd"/>
      <w:r>
        <w:t xml:space="preserve"> to recommend the Commission calculate the difference between the assessed change in stock, and the unscaled expenses ($25 million in </w:t>
      </w:r>
      <w:r>
        <w:fldChar w:fldCharType="begin"/>
      </w:r>
      <w:r>
        <w:instrText xml:space="preserve"> REF _Ref485644277 \h </w:instrText>
      </w:r>
      <w:r>
        <w:fldChar w:fldCharType="separate"/>
      </w:r>
      <w:r w:rsidR="00500132">
        <w:t xml:space="preserve">Table </w:t>
      </w:r>
      <w:r w:rsidR="00500132">
        <w:rPr>
          <w:noProof/>
        </w:rPr>
        <w:t>8</w:t>
      </w:r>
      <w:r>
        <w:fldChar w:fldCharType="end"/>
      </w:r>
      <w:r>
        <w:t xml:space="preserve">) and distribute that EPC. As shown in </w:t>
      </w:r>
      <w:r>
        <w:fldChar w:fldCharType="begin"/>
      </w:r>
      <w:r>
        <w:instrText xml:space="preserve"> REF _Ref485647924 \h </w:instrText>
      </w:r>
      <w:r>
        <w:fldChar w:fldCharType="separate"/>
      </w:r>
      <w:r w:rsidR="00500132">
        <w:t xml:space="preserve">Table </w:t>
      </w:r>
      <w:r w:rsidR="00500132">
        <w:rPr>
          <w:noProof/>
        </w:rPr>
        <w:t>10</w:t>
      </w:r>
      <w:r>
        <w:fldChar w:fldCharType="end"/>
      </w:r>
      <w:r>
        <w:t xml:space="preserve">, this reduces the impact of rescaling significantly. </w:t>
      </w:r>
      <w:proofErr w:type="gramStart"/>
      <w:r>
        <w:t>Staff consider</w:t>
      </w:r>
      <w:proofErr w:type="gramEnd"/>
      <w:r>
        <w:t xml:space="preserve"> this approach should be taken in any assessment where there is a risk of different States having different signs on their assessed expenses. This</w:t>
      </w:r>
      <w:r w:rsidR="00A95069">
        <w:t xml:space="preserve"> is only the case in investment</w:t>
      </w:r>
      <w:r>
        <w:t xml:space="preserve"> (Net lending can have different signs, but there is no cost disability, and so the issue does not arise)</w:t>
      </w:r>
      <w:r w:rsidR="00A95069">
        <w:t>.</w:t>
      </w:r>
    </w:p>
    <w:p w:rsidR="009342FF" w:rsidRDefault="009342FF" w:rsidP="009342FF">
      <w:pPr>
        <w:pStyle w:val="Caption"/>
        <w:ind w:left="0" w:firstLine="0"/>
      </w:pPr>
      <w:bookmarkStart w:id="357" w:name="_Ref485647924"/>
      <w:r>
        <w:lastRenderedPageBreak/>
        <w:t xml:space="preserve">Table </w:t>
      </w:r>
      <w:fldSimple w:instr=" SEQ Table \* ARABIC ">
        <w:r w:rsidR="00500132">
          <w:rPr>
            <w:noProof/>
          </w:rPr>
          <w:t>10</w:t>
        </w:r>
      </w:fldSimple>
      <w:bookmarkEnd w:id="357"/>
      <w:r>
        <w:tab/>
      </w:r>
      <w:r>
        <w:tab/>
        <w:t>Proposed calculation of assessed other investment, 2014-15</w:t>
      </w:r>
    </w:p>
    <w:tbl>
      <w:tblPr>
        <w:tblW w:w="9020" w:type="dxa"/>
        <w:tblLayout w:type="fixed"/>
        <w:tblCellMar>
          <w:left w:w="0" w:type="dxa"/>
          <w:right w:w="0" w:type="dxa"/>
        </w:tblCellMar>
        <w:tblLook w:val="04A0" w:firstRow="1" w:lastRow="0" w:firstColumn="1" w:lastColumn="0" w:noHBand="0" w:noVBand="1"/>
      </w:tblPr>
      <w:tblGrid>
        <w:gridCol w:w="2756"/>
        <w:gridCol w:w="696"/>
        <w:gridCol w:w="696"/>
        <w:gridCol w:w="696"/>
        <w:gridCol w:w="696"/>
        <w:gridCol w:w="696"/>
        <w:gridCol w:w="696"/>
        <w:gridCol w:w="696"/>
        <w:gridCol w:w="696"/>
        <w:gridCol w:w="696"/>
      </w:tblGrid>
      <w:tr w:rsidR="009342FF" w:rsidRPr="00B418C2" w:rsidTr="00A95069">
        <w:trPr>
          <w:trHeight w:val="315"/>
        </w:trPr>
        <w:tc>
          <w:tcPr>
            <w:tcW w:w="275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 </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NSW</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Vic</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Qld</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WA</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SA</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B418C2">
              <w:rPr>
                <w:rFonts w:ascii="Calibri" w:eastAsia="Times New Roman" w:hAnsi="Calibri" w:cs="Times New Roman"/>
                <w:sz w:val="20"/>
                <w:szCs w:val="20"/>
                <w:lang w:eastAsia="en-AU"/>
              </w:rPr>
              <w:t>Tas</w:t>
            </w:r>
            <w:proofErr w:type="spellEnd"/>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ACT</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NT</w:t>
            </w:r>
          </w:p>
        </w:tc>
        <w:tc>
          <w:tcPr>
            <w:tcW w:w="696" w:type="dxa"/>
            <w:tcBorders>
              <w:top w:val="single" w:sz="4" w:space="0" w:color="auto"/>
              <w:left w:val="nil"/>
              <w:bottom w:val="nil"/>
              <w:right w:val="nil"/>
            </w:tcBorders>
            <w:shd w:val="clear" w:color="auto" w:fill="auto"/>
            <w:noWrap/>
            <w:vAlign w:val="center"/>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Total</w:t>
            </w:r>
          </w:p>
        </w:tc>
      </w:tr>
      <w:tr w:rsidR="009342FF" w:rsidRPr="00B418C2" w:rsidTr="00A95069">
        <w:trPr>
          <w:trHeight w:val="315"/>
        </w:trPr>
        <w:tc>
          <w:tcPr>
            <w:tcW w:w="275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Assessed change in stock ($m)</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102</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268</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-11</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27</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-45</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-49</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-6</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-103</w:t>
            </w:r>
          </w:p>
        </w:tc>
        <w:tc>
          <w:tcPr>
            <w:tcW w:w="696" w:type="dxa"/>
            <w:tcBorders>
              <w:top w:val="single" w:sz="4" w:space="0" w:color="auto"/>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183</w:t>
            </w:r>
          </w:p>
        </w:tc>
      </w:tr>
      <w:tr w:rsidR="009342FF" w:rsidRPr="00B418C2" w:rsidTr="00A95069">
        <w:trPr>
          <w:trHeight w:val="315"/>
        </w:trPr>
        <w:tc>
          <w:tcPr>
            <w:tcW w:w="275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Cost factor</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1.003</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0.976</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0.979</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1.071</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0.994</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0.970</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1.028</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1.219</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1.000</w:t>
            </w:r>
          </w:p>
        </w:tc>
      </w:tr>
      <w:tr w:rsidR="009342FF" w:rsidRPr="00B418C2" w:rsidTr="00A95069">
        <w:trPr>
          <w:trHeight w:val="315"/>
        </w:trPr>
        <w:tc>
          <w:tcPr>
            <w:tcW w:w="275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Unscaled expenses ($m)</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103</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261</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-11</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29</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-45</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-47</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-6</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-126</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158</w:t>
            </w:r>
          </w:p>
        </w:tc>
      </w:tr>
      <w:tr w:rsidR="009342FF" w:rsidRPr="00B418C2" w:rsidTr="00A95069">
        <w:trPr>
          <w:trHeight w:val="315"/>
        </w:trPr>
        <w:tc>
          <w:tcPr>
            <w:tcW w:w="2756" w:type="dxa"/>
            <w:tcBorders>
              <w:top w:val="nil"/>
              <w:left w:val="nil"/>
              <w:bottom w:val="nil"/>
              <w:right w:val="nil"/>
            </w:tcBorders>
            <w:shd w:val="clear" w:color="auto" w:fill="auto"/>
            <w:noWrap/>
            <w:vAlign w:val="bottom"/>
            <w:hideMark/>
          </w:tcPr>
          <w:p w:rsidR="009342FF" w:rsidRPr="00B418C2" w:rsidRDefault="009342FF" w:rsidP="007A6A8B">
            <w:pPr>
              <w:keepNext/>
              <w:keepLines/>
              <w:tabs>
                <w:tab w:val="clear" w:pos="567"/>
              </w:tabs>
              <w:spacing w:after="0" w:line="240" w:lineRule="auto"/>
              <w:ind w:left="193" w:hanging="142"/>
              <w:rPr>
                <w:rFonts w:ascii="Calibri" w:eastAsia="Times New Roman" w:hAnsi="Calibri" w:cs="Times New Roman"/>
                <w:sz w:val="20"/>
                <w:szCs w:val="20"/>
                <w:lang w:eastAsia="en-AU"/>
              </w:rPr>
            </w:pPr>
            <w:r>
              <w:rPr>
                <w:rFonts w:ascii="Calibri" w:eastAsia="Times New Roman" w:hAnsi="Calibri" w:cs="Times New Roman"/>
                <w:sz w:val="20"/>
                <w:szCs w:val="20"/>
                <w:lang w:eastAsia="en-AU"/>
              </w:rPr>
              <w:t>Diff</w:t>
            </w:r>
            <w:r w:rsidR="007A6A8B">
              <w:rPr>
                <w:rFonts w:ascii="Calibri" w:eastAsia="Times New Roman" w:hAnsi="Calibri" w:cs="Times New Roman"/>
                <w:sz w:val="20"/>
                <w:szCs w:val="20"/>
                <w:lang w:eastAsia="en-AU"/>
              </w:rPr>
              <w:t>erence</w:t>
            </w:r>
            <w:r>
              <w:rPr>
                <w:rFonts w:ascii="Calibri" w:eastAsia="Times New Roman" w:hAnsi="Calibri" w:cs="Times New Roman"/>
                <w:sz w:val="20"/>
                <w:szCs w:val="20"/>
                <w:lang w:eastAsia="en-AU"/>
              </w:rPr>
              <w:t xml:space="preserve"> </w:t>
            </w:r>
            <w:r w:rsidRPr="00B418C2">
              <w:rPr>
                <w:rFonts w:ascii="Calibri" w:eastAsia="Times New Roman" w:hAnsi="Calibri" w:cs="Times New Roman"/>
                <w:sz w:val="20"/>
                <w:szCs w:val="20"/>
                <w:lang w:eastAsia="en-AU"/>
              </w:rPr>
              <w:t>in total expenses</w:t>
            </w:r>
            <w:r>
              <w:rPr>
                <w:rFonts w:ascii="Calibri" w:eastAsia="Times New Roman" w:hAnsi="Calibri" w:cs="Times New Roman"/>
                <w:sz w:val="20"/>
                <w:szCs w:val="20"/>
                <w:lang w:eastAsia="en-AU"/>
              </w:rPr>
              <w:t xml:space="preserve"> ($m)</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rPr>
                <w:rFonts w:ascii="Calibri" w:eastAsia="Times New Roman" w:hAnsi="Calibri" w:cs="Times New Roman"/>
                <w:sz w:val="20"/>
                <w:szCs w:val="20"/>
                <w:lang w:eastAsia="en-AU"/>
              </w:rPr>
            </w:pP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25</w:t>
            </w:r>
          </w:p>
        </w:tc>
      </w:tr>
      <w:tr w:rsidR="009342FF" w:rsidRPr="00B418C2" w:rsidTr="00A95069">
        <w:trPr>
          <w:trHeight w:val="315"/>
        </w:trPr>
        <w:tc>
          <w:tcPr>
            <w:tcW w:w="275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Assessed expenses ($m)</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111</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268</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-6</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32</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-43</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-47</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-5</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-126</w:t>
            </w:r>
          </w:p>
        </w:tc>
        <w:tc>
          <w:tcPr>
            <w:tcW w:w="696" w:type="dxa"/>
            <w:tcBorders>
              <w:top w:val="nil"/>
              <w:left w:val="nil"/>
              <w:bottom w:val="nil"/>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418C2">
              <w:rPr>
                <w:rFonts w:ascii="Calibri" w:eastAsia="Times New Roman" w:hAnsi="Calibri" w:cs="Times New Roman"/>
                <w:color w:val="000000"/>
                <w:sz w:val="20"/>
                <w:szCs w:val="20"/>
                <w:lang w:eastAsia="en-AU"/>
              </w:rPr>
              <w:t>183</w:t>
            </w:r>
          </w:p>
        </w:tc>
      </w:tr>
      <w:tr w:rsidR="009342FF" w:rsidRPr="00B418C2" w:rsidTr="00A95069">
        <w:trPr>
          <w:trHeight w:val="315"/>
        </w:trPr>
        <w:tc>
          <w:tcPr>
            <w:tcW w:w="275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Effect of rescaling</w:t>
            </w:r>
            <w:r>
              <w:rPr>
                <w:rFonts w:ascii="Calibri" w:eastAsia="Times New Roman" w:hAnsi="Calibri" w:cs="Times New Roman"/>
                <w:sz w:val="20"/>
                <w:szCs w:val="20"/>
                <w:lang w:eastAsia="en-AU"/>
              </w:rPr>
              <w:t xml:space="preserve"> ($m)</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8</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6</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5</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3</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2</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1</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0</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0</w:t>
            </w:r>
          </w:p>
        </w:tc>
        <w:tc>
          <w:tcPr>
            <w:tcW w:w="696" w:type="dxa"/>
            <w:tcBorders>
              <w:top w:val="nil"/>
              <w:left w:val="nil"/>
              <w:bottom w:val="single" w:sz="4" w:space="0" w:color="auto"/>
              <w:right w:val="nil"/>
            </w:tcBorders>
            <w:shd w:val="clear" w:color="auto" w:fill="auto"/>
            <w:noWrap/>
            <w:vAlign w:val="bottom"/>
            <w:hideMark/>
          </w:tcPr>
          <w:p w:rsidR="009342FF" w:rsidRPr="00B418C2"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B418C2">
              <w:rPr>
                <w:rFonts w:ascii="Calibri" w:eastAsia="Times New Roman" w:hAnsi="Calibri" w:cs="Times New Roman"/>
                <w:sz w:val="20"/>
                <w:szCs w:val="20"/>
                <w:lang w:eastAsia="en-AU"/>
              </w:rPr>
              <w:t>25</w:t>
            </w:r>
          </w:p>
        </w:tc>
      </w:tr>
    </w:tbl>
    <w:p w:rsidR="009342FF" w:rsidRPr="00DA54EC" w:rsidRDefault="009342FF" w:rsidP="002B7E99">
      <w:pPr>
        <w:pStyle w:val="CGCTableFootnote"/>
        <w:spacing w:after="240"/>
        <w:ind w:left="0" w:firstLine="0"/>
      </w:pPr>
      <w:r>
        <w:t>Source:</w:t>
      </w:r>
      <w:r>
        <w:tab/>
        <w:t>Commission calculation.</w:t>
      </w:r>
    </w:p>
    <w:p w:rsidR="009342FF" w:rsidRDefault="009342FF" w:rsidP="009342FF">
      <w:pPr>
        <w:pStyle w:val="CGCNumberedPara"/>
      </w:pPr>
      <w:r>
        <w:fldChar w:fldCharType="begin"/>
      </w:r>
      <w:r>
        <w:instrText xml:space="preserve"> REF _Ref484441610 \h </w:instrText>
      </w:r>
      <w:r>
        <w:fldChar w:fldCharType="separate"/>
      </w:r>
      <w:r w:rsidR="00500132">
        <w:t xml:space="preserve">Table </w:t>
      </w:r>
      <w:r w:rsidR="00500132">
        <w:rPr>
          <w:noProof/>
        </w:rPr>
        <w:t>11</w:t>
      </w:r>
      <w:r>
        <w:fldChar w:fldCharType="end"/>
      </w:r>
      <w:r>
        <w:t xml:space="preserve"> shows that in the 2017 Update making this change would have been material for the Northern Territory. We consider that in most years this adjustment will not be material. However there is a risk that in some years it could be highly material, as shown in </w:t>
      </w:r>
      <w:r>
        <w:fldChar w:fldCharType="begin"/>
      </w:r>
      <w:r>
        <w:instrText xml:space="preserve"> REF _Ref484440961 \h </w:instrText>
      </w:r>
      <w:r>
        <w:fldChar w:fldCharType="separate"/>
      </w:r>
      <w:r w:rsidR="00500132">
        <w:t xml:space="preserve">Table </w:t>
      </w:r>
      <w:r w:rsidR="00500132">
        <w:rPr>
          <w:noProof/>
        </w:rPr>
        <w:t>9</w:t>
      </w:r>
      <w:r>
        <w:fldChar w:fldCharType="end"/>
      </w:r>
      <w:r>
        <w:t>. This effect is virtually restricted to changes in the other investment component. In roads, where all States had positive investment need</w:t>
      </w:r>
      <w:r w:rsidR="00E600A7">
        <w:t>s</w:t>
      </w:r>
      <w:r>
        <w:t xml:space="preserve">, the effect of the change was less than 20 cents per capita for most </w:t>
      </w:r>
      <w:proofErr w:type="gramStart"/>
      <w:r>
        <w:t>States,</w:t>
      </w:r>
      <w:proofErr w:type="gramEnd"/>
      <w:r>
        <w:t xml:space="preserve"> and $1.40 per capita for the Northern Territory. </w:t>
      </w:r>
      <w:r w:rsidR="007A6A8B">
        <w:t xml:space="preserve">However, all investment components could, at some stage, have positive and negative investment needs. Therefore, while the impact will be negligible in most years, </w:t>
      </w:r>
      <w:proofErr w:type="gramStart"/>
      <w:r w:rsidR="007A6A8B">
        <w:t>staff are</w:t>
      </w:r>
      <w:proofErr w:type="gramEnd"/>
      <w:r w:rsidR="007A6A8B">
        <w:t xml:space="preserve"> incl</w:t>
      </w:r>
      <w:r w:rsidR="0020045B">
        <w:t>ine</w:t>
      </w:r>
      <w:r w:rsidR="007A6A8B">
        <w:t>d to recommend the change to all investment components.</w:t>
      </w:r>
    </w:p>
    <w:p w:rsidR="009342FF" w:rsidRPr="009A6258" w:rsidRDefault="009342FF" w:rsidP="009342FF">
      <w:pPr>
        <w:pStyle w:val="Caption"/>
      </w:pPr>
      <w:bookmarkStart w:id="358" w:name="_Ref484441610"/>
      <w:r>
        <w:t xml:space="preserve">Table </w:t>
      </w:r>
      <w:fldSimple w:instr=" SEQ Table \* ARABIC ">
        <w:r w:rsidR="00500132">
          <w:rPr>
            <w:noProof/>
          </w:rPr>
          <w:t>11</w:t>
        </w:r>
      </w:fldSimple>
      <w:bookmarkEnd w:id="358"/>
      <w:proofErr w:type="gramStart"/>
      <w:r>
        <w:tab/>
        <w:t>Redistribution from EPC, Investment,</w:t>
      </w:r>
      <w:proofErr w:type="gramEnd"/>
      <w:r>
        <w:t xml:space="preserve"> 2017-18</w:t>
      </w:r>
    </w:p>
    <w:tbl>
      <w:tblPr>
        <w:tblW w:w="9200" w:type="dxa"/>
        <w:tblLayout w:type="fixed"/>
        <w:tblCellMar>
          <w:left w:w="0" w:type="dxa"/>
          <w:right w:w="0" w:type="dxa"/>
        </w:tblCellMar>
        <w:tblLook w:val="04A0" w:firstRow="1" w:lastRow="0" w:firstColumn="1" w:lastColumn="0" w:noHBand="0" w:noVBand="1"/>
      </w:tblPr>
      <w:tblGrid>
        <w:gridCol w:w="1556"/>
        <w:gridCol w:w="896"/>
        <w:gridCol w:w="816"/>
        <w:gridCol w:w="876"/>
        <w:gridCol w:w="816"/>
        <w:gridCol w:w="876"/>
        <w:gridCol w:w="876"/>
        <w:gridCol w:w="796"/>
        <w:gridCol w:w="776"/>
        <w:gridCol w:w="916"/>
      </w:tblGrid>
      <w:tr w:rsidR="009342FF" w:rsidRPr="0014182A" w:rsidTr="00A95069">
        <w:trPr>
          <w:trHeight w:val="379"/>
        </w:trPr>
        <w:tc>
          <w:tcPr>
            <w:tcW w:w="155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359" w:name="RANGE!A41:J45"/>
            <w:r w:rsidRPr="0014182A">
              <w:rPr>
                <w:rFonts w:ascii="Calibri" w:eastAsia="Times New Roman" w:hAnsi="Calibri" w:cs="Times New Roman"/>
                <w:sz w:val="20"/>
                <w:szCs w:val="20"/>
                <w:lang w:eastAsia="en-AU"/>
              </w:rPr>
              <w:t> </w:t>
            </w:r>
            <w:bookmarkEnd w:id="359"/>
          </w:p>
        </w:tc>
        <w:tc>
          <w:tcPr>
            <w:tcW w:w="89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NSW</w:t>
            </w:r>
          </w:p>
        </w:tc>
        <w:tc>
          <w:tcPr>
            <w:tcW w:w="81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Vic</w:t>
            </w:r>
          </w:p>
        </w:tc>
        <w:tc>
          <w:tcPr>
            <w:tcW w:w="87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Qld</w:t>
            </w:r>
          </w:p>
        </w:tc>
        <w:tc>
          <w:tcPr>
            <w:tcW w:w="81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WA</w:t>
            </w:r>
          </w:p>
        </w:tc>
        <w:tc>
          <w:tcPr>
            <w:tcW w:w="87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SA</w:t>
            </w:r>
          </w:p>
        </w:tc>
        <w:tc>
          <w:tcPr>
            <w:tcW w:w="87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14182A">
              <w:rPr>
                <w:rFonts w:ascii="Calibri" w:eastAsia="Times New Roman" w:hAnsi="Calibri" w:cs="Times New Roman"/>
                <w:sz w:val="20"/>
                <w:szCs w:val="20"/>
                <w:lang w:eastAsia="en-AU"/>
              </w:rPr>
              <w:t>Tas</w:t>
            </w:r>
            <w:proofErr w:type="spellEnd"/>
          </w:p>
        </w:tc>
        <w:tc>
          <w:tcPr>
            <w:tcW w:w="79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ACT</w:t>
            </w:r>
          </w:p>
        </w:tc>
        <w:tc>
          <w:tcPr>
            <w:tcW w:w="77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NT</w:t>
            </w:r>
          </w:p>
        </w:tc>
        <w:tc>
          <w:tcPr>
            <w:tcW w:w="916" w:type="dxa"/>
            <w:tcBorders>
              <w:top w:val="single" w:sz="4" w:space="0" w:color="auto"/>
              <w:left w:val="nil"/>
              <w:bottom w:val="single" w:sz="4" w:space="0" w:color="auto"/>
              <w:right w:val="nil"/>
            </w:tcBorders>
            <w:shd w:val="clear" w:color="auto" w:fill="auto"/>
            <w:noWrap/>
            <w:vAlign w:val="center"/>
            <w:hideMark/>
          </w:tcPr>
          <w:p w:rsidR="009342FF" w:rsidRPr="0014182A" w:rsidRDefault="009342FF" w:rsidP="00A95069">
            <w:pPr>
              <w:keepNext/>
              <w:keepLines/>
              <w:tabs>
                <w:tab w:val="clear" w:pos="567"/>
              </w:tabs>
              <w:spacing w:after="0"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Total</w:t>
            </w:r>
          </w:p>
        </w:tc>
      </w:tr>
      <w:tr w:rsidR="009342FF" w:rsidRPr="0014182A" w:rsidTr="00604916">
        <w:trPr>
          <w:trHeight w:val="412"/>
        </w:trPr>
        <w:tc>
          <w:tcPr>
            <w:tcW w:w="155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ind w:left="193" w:hanging="142"/>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U2017</w:t>
            </w:r>
          </w:p>
        </w:tc>
        <w:tc>
          <w:tcPr>
            <w:tcW w:w="8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51</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591</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-192</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139</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-260</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-162</w:t>
            </w:r>
          </w:p>
        </w:tc>
        <w:tc>
          <w:tcPr>
            <w:tcW w:w="7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-51</w:t>
            </w:r>
          </w:p>
        </w:tc>
        <w:tc>
          <w:tcPr>
            <w:tcW w:w="7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-95</w:t>
            </w:r>
          </w:p>
        </w:tc>
        <w:tc>
          <w:tcPr>
            <w:tcW w:w="9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771</w:t>
            </w:r>
          </w:p>
        </w:tc>
      </w:tr>
      <w:tr w:rsidR="009342FF" w:rsidRPr="0014182A" w:rsidTr="00604916">
        <w:trPr>
          <w:trHeight w:val="427"/>
        </w:trPr>
        <w:tc>
          <w:tcPr>
            <w:tcW w:w="155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ind w:left="193" w:hanging="142"/>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Proposed</w:t>
            </w:r>
          </w:p>
        </w:tc>
        <w:tc>
          <w:tcPr>
            <w:tcW w:w="8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46</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574</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-188</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139</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-256</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-159</w:t>
            </w:r>
          </w:p>
        </w:tc>
        <w:tc>
          <w:tcPr>
            <w:tcW w:w="7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-51</w:t>
            </w:r>
          </w:p>
        </w:tc>
        <w:tc>
          <w:tcPr>
            <w:tcW w:w="7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-86</w:t>
            </w:r>
          </w:p>
        </w:tc>
        <w:tc>
          <w:tcPr>
            <w:tcW w:w="9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749</w:t>
            </w:r>
          </w:p>
        </w:tc>
      </w:tr>
      <w:tr w:rsidR="009342FF" w:rsidRPr="0014182A" w:rsidTr="00604916">
        <w:trPr>
          <w:trHeight w:val="433"/>
        </w:trPr>
        <w:tc>
          <w:tcPr>
            <w:tcW w:w="155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ind w:left="193" w:hanging="142"/>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Change ($m)</w:t>
            </w:r>
          </w:p>
        </w:tc>
        <w:tc>
          <w:tcPr>
            <w:tcW w:w="8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-5</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-17</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4</w:t>
            </w:r>
          </w:p>
        </w:tc>
        <w:tc>
          <w:tcPr>
            <w:tcW w:w="8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4</w:t>
            </w:r>
          </w:p>
        </w:tc>
        <w:tc>
          <w:tcPr>
            <w:tcW w:w="8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3</w:t>
            </w:r>
          </w:p>
        </w:tc>
        <w:tc>
          <w:tcPr>
            <w:tcW w:w="79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0</w:t>
            </w:r>
          </w:p>
        </w:tc>
        <w:tc>
          <w:tcPr>
            <w:tcW w:w="77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9</w:t>
            </w:r>
          </w:p>
        </w:tc>
        <w:tc>
          <w:tcPr>
            <w:tcW w:w="916" w:type="dxa"/>
            <w:tcBorders>
              <w:top w:val="nil"/>
              <w:left w:val="nil"/>
              <w:bottom w:val="nil"/>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22</w:t>
            </w:r>
          </w:p>
        </w:tc>
      </w:tr>
      <w:tr w:rsidR="009342FF" w:rsidRPr="0014182A" w:rsidTr="00604916">
        <w:trPr>
          <w:trHeight w:val="425"/>
        </w:trPr>
        <w:tc>
          <w:tcPr>
            <w:tcW w:w="155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ind w:left="193" w:hanging="142"/>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Change ($pc)</w:t>
            </w:r>
          </w:p>
        </w:tc>
        <w:tc>
          <w:tcPr>
            <w:tcW w:w="89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w:t>
            </w:r>
          </w:p>
        </w:tc>
        <w:tc>
          <w:tcPr>
            <w:tcW w:w="81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-3</w:t>
            </w:r>
          </w:p>
        </w:tc>
        <w:tc>
          <w:tcPr>
            <w:tcW w:w="87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w:t>
            </w:r>
          </w:p>
        </w:tc>
        <w:tc>
          <w:tcPr>
            <w:tcW w:w="81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0</w:t>
            </w:r>
          </w:p>
        </w:tc>
        <w:tc>
          <w:tcPr>
            <w:tcW w:w="87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2</w:t>
            </w:r>
          </w:p>
        </w:tc>
        <w:tc>
          <w:tcPr>
            <w:tcW w:w="87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6</w:t>
            </w:r>
          </w:p>
        </w:tc>
        <w:tc>
          <w:tcPr>
            <w:tcW w:w="79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w:t>
            </w:r>
          </w:p>
        </w:tc>
        <w:tc>
          <w:tcPr>
            <w:tcW w:w="77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37</w:t>
            </w:r>
          </w:p>
        </w:tc>
        <w:tc>
          <w:tcPr>
            <w:tcW w:w="916" w:type="dxa"/>
            <w:tcBorders>
              <w:top w:val="nil"/>
              <w:left w:val="nil"/>
              <w:bottom w:val="single" w:sz="4" w:space="0" w:color="auto"/>
              <w:right w:val="nil"/>
            </w:tcBorders>
            <w:shd w:val="clear" w:color="auto" w:fill="auto"/>
            <w:noWrap/>
            <w:vAlign w:val="bottom"/>
            <w:hideMark/>
          </w:tcPr>
          <w:p w:rsidR="009342FF" w:rsidRPr="0014182A" w:rsidRDefault="009342FF" w:rsidP="00A135CB">
            <w:pPr>
              <w:keepNext/>
              <w:keepLines/>
              <w:tabs>
                <w:tab w:val="clear" w:pos="567"/>
              </w:tabs>
              <w:spacing w:line="240" w:lineRule="auto"/>
              <w:jc w:val="right"/>
              <w:rPr>
                <w:rFonts w:ascii="Calibri" w:eastAsia="Times New Roman" w:hAnsi="Calibri" w:cs="Times New Roman"/>
                <w:sz w:val="20"/>
                <w:szCs w:val="20"/>
                <w:lang w:eastAsia="en-AU"/>
              </w:rPr>
            </w:pPr>
            <w:r w:rsidRPr="0014182A">
              <w:rPr>
                <w:rFonts w:ascii="Calibri" w:eastAsia="Times New Roman" w:hAnsi="Calibri" w:cs="Times New Roman"/>
                <w:sz w:val="20"/>
                <w:szCs w:val="20"/>
                <w:lang w:eastAsia="en-AU"/>
              </w:rPr>
              <w:t>1</w:t>
            </w:r>
          </w:p>
        </w:tc>
      </w:tr>
    </w:tbl>
    <w:p w:rsidR="009342FF" w:rsidRPr="00DA54EC" w:rsidRDefault="009342FF" w:rsidP="00A135CB">
      <w:pPr>
        <w:pStyle w:val="CGCTableFootnote"/>
        <w:spacing w:after="240"/>
        <w:ind w:left="0" w:firstLine="0"/>
      </w:pPr>
      <w:r>
        <w:t>Source:</w:t>
      </w:r>
      <w:r>
        <w:tab/>
        <w:t>Commission calculation.</w:t>
      </w:r>
    </w:p>
    <w:p w:rsidR="001364C8" w:rsidRDefault="001364C8" w:rsidP="003215B5">
      <w:pPr>
        <w:pStyle w:val="Heading4"/>
      </w:pPr>
      <w:bookmarkStart w:id="360" w:name="_Toc489877496"/>
      <w:bookmarkStart w:id="361" w:name="_Toc489877551"/>
      <w:bookmarkStart w:id="362" w:name="_Toc489878094"/>
      <w:bookmarkStart w:id="363" w:name="_Toc489878470"/>
      <w:bookmarkStart w:id="364" w:name="_Toc490138824"/>
      <w:bookmarkStart w:id="365" w:name="_Toc490139354"/>
      <w:bookmarkStart w:id="366" w:name="_Toc490224761"/>
      <w:bookmarkStart w:id="367" w:name="_Toc490228123"/>
      <w:bookmarkStart w:id="368" w:name="_Toc490228685"/>
      <w:bookmarkStart w:id="369" w:name="_Toc490556274"/>
      <w:bookmarkStart w:id="370" w:name="_Toc490659155"/>
      <w:bookmarkStart w:id="371" w:name="_Toc490659344"/>
      <w:bookmarkStart w:id="372" w:name="_Toc490659548"/>
      <w:r w:rsidRPr="00E674AF">
        <w:t>Recommendation</w:t>
      </w:r>
      <w:bookmarkEnd w:id="360"/>
      <w:bookmarkEnd w:id="361"/>
      <w:bookmarkEnd w:id="362"/>
      <w:bookmarkEnd w:id="363"/>
      <w:bookmarkEnd w:id="364"/>
      <w:bookmarkEnd w:id="365"/>
      <w:bookmarkEnd w:id="366"/>
      <w:bookmarkEnd w:id="367"/>
      <w:bookmarkEnd w:id="368"/>
      <w:bookmarkEnd w:id="369"/>
      <w:bookmarkEnd w:id="370"/>
      <w:bookmarkEnd w:id="371"/>
      <w:bookmarkEnd w:id="372"/>
    </w:p>
    <w:tbl>
      <w:tblPr>
        <w:tblStyle w:val="TableGrid"/>
        <w:tblW w:w="0" w:type="auto"/>
        <w:tblLook w:val="04A0" w:firstRow="1" w:lastRow="0" w:firstColumn="1" w:lastColumn="0" w:noHBand="0" w:noVBand="1"/>
      </w:tblPr>
      <w:tblGrid>
        <w:gridCol w:w="9167"/>
      </w:tblGrid>
      <w:tr w:rsidR="001364C8" w:rsidTr="00E32ADF">
        <w:tc>
          <w:tcPr>
            <w:tcW w:w="9167" w:type="dxa"/>
            <w:tcBorders>
              <w:top w:val="nil"/>
              <w:left w:val="nil"/>
              <w:bottom w:val="nil"/>
              <w:right w:val="nil"/>
            </w:tcBorders>
            <w:shd w:val="clear" w:color="auto" w:fill="D9F3E6"/>
          </w:tcPr>
          <w:p w:rsidR="001364C8" w:rsidRPr="00163FB0" w:rsidRDefault="001364C8" w:rsidP="00E32ADF">
            <w:pPr>
              <w:tabs>
                <w:tab w:val="clear" w:pos="567"/>
              </w:tabs>
            </w:pPr>
            <w:r w:rsidRPr="00163FB0">
              <w:t xml:space="preserve">Staff propose to recommend </w:t>
            </w:r>
            <w:r w:rsidR="00DA66D5" w:rsidRPr="00163FB0">
              <w:t xml:space="preserve">that </w:t>
            </w:r>
            <w:r w:rsidRPr="00163FB0">
              <w:t>the Commission</w:t>
            </w:r>
            <w:r w:rsidR="00DA66D5">
              <w:t>:</w:t>
            </w:r>
          </w:p>
          <w:p w:rsidR="001364C8" w:rsidRDefault="00DA66D5" w:rsidP="002E2732">
            <w:pPr>
              <w:pStyle w:val="CGCBulletlist"/>
              <w:tabs>
                <w:tab w:val="clear" w:pos="927"/>
              </w:tabs>
              <w:ind w:left="1134" w:hanging="567"/>
            </w:pPr>
            <w:proofErr w:type="gramStart"/>
            <w:r>
              <w:rPr>
                <w:lang w:eastAsia="en-AU"/>
              </w:rPr>
              <w:t>rescaling</w:t>
            </w:r>
            <w:proofErr w:type="gramEnd"/>
            <w:r>
              <w:rPr>
                <w:lang w:eastAsia="en-AU"/>
              </w:rPr>
              <w:t xml:space="preserve"> in the Investment assessment be </w:t>
            </w:r>
            <w:r w:rsidR="002E2732">
              <w:rPr>
                <w:lang w:eastAsia="en-AU"/>
              </w:rPr>
              <w:t>undertaken</w:t>
            </w:r>
            <w:r>
              <w:rPr>
                <w:lang w:eastAsia="en-AU"/>
              </w:rPr>
              <w:t xml:space="preserve"> by distributing the difference between the assessed change in stock, and the unscaled expenses on an equal per capita basis.</w:t>
            </w:r>
          </w:p>
        </w:tc>
      </w:tr>
    </w:tbl>
    <w:p w:rsidR="001364C8" w:rsidRPr="005C4F81" w:rsidRDefault="007B5656" w:rsidP="00604916">
      <w:pPr>
        <w:pStyle w:val="Heading3"/>
      </w:pPr>
      <w:bookmarkStart w:id="373" w:name="_Toc489877497"/>
      <w:bookmarkStart w:id="374" w:name="_Toc489877552"/>
      <w:bookmarkStart w:id="375" w:name="_Toc489878095"/>
      <w:bookmarkStart w:id="376" w:name="_Toc489878471"/>
      <w:bookmarkStart w:id="377" w:name="_Toc490138825"/>
      <w:bookmarkStart w:id="378" w:name="_Toc490224762"/>
      <w:bookmarkStart w:id="379" w:name="_Toc490228124"/>
      <w:bookmarkStart w:id="380" w:name="_Toc490228686"/>
      <w:bookmarkStart w:id="381" w:name="_Toc490556275"/>
      <w:bookmarkStart w:id="382" w:name="_Toc490659156"/>
      <w:bookmarkStart w:id="383" w:name="_Toc490659345"/>
      <w:bookmarkStart w:id="384" w:name="_Toc490659549"/>
      <w:r w:rsidRPr="005C4F81">
        <w:lastRenderedPageBreak/>
        <w:t xml:space="preserve">Treatment of </w:t>
      </w:r>
      <w:r>
        <w:t>mining royalties</w:t>
      </w:r>
      <w:r w:rsidRPr="005C4F81">
        <w:t xml:space="preserve"> where bans have been introduced</w:t>
      </w:r>
      <w:bookmarkEnd w:id="373"/>
      <w:bookmarkEnd w:id="374"/>
      <w:bookmarkEnd w:id="375"/>
      <w:bookmarkEnd w:id="376"/>
      <w:bookmarkEnd w:id="377"/>
      <w:bookmarkEnd w:id="378"/>
      <w:bookmarkEnd w:id="379"/>
      <w:bookmarkEnd w:id="380"/>
      <w:bookmarkEnd w:id="381"/>
      <w:bookmarkEnd w:id="382"/>
      <w:bookmarkEnd w:id="383"/>
      <w:bookmarkEnd w:id="384"/>
      <w:r w:rsidRPr="005C4F81">
        <w:t xml:space="preserve"> </w:t>
      </w:r>
    </w:p>
    <w:p w:rsidR="002C2903" w:rsidRDefault="002C2903" w:rsidP="002C2903">
      <w:pPr>
        <w:pStyle w:val="CGCNumberedPara"/>
      </w:pPr>
      <w:r>
        <w:t>In its 2015 Review report, the Commission said it would monitor developments in State mining policies to:</w:t>
      </w:r>
    </w:p>
    <w:p w:rsidR="002C2903" w:rsidRDefault="002C2903" w:rsidP="002C2903">
      <w:pPr>
        <w:pStyle w:val="CGCBulletlist"/>
        <w:tabs>
          <w:tab w:val="clear" w:pos="927"/>
        </w:tabs>
        <w:ind w:left="1134" w:hanging="567"/>
      </w:pPr>
      <w:r>
        <w:t>ensure its mineral by mineral assessment was not influencing State behaviour</w:t>
      </w:r>
    </w:p>
    <w:p w:rsidR="002C2903" w:rsidRDefault="002C2903" w:rsidP="002C2903">
      <w:pPr>
        <w:pStyle w:val="CGCBulletlist"/>
        <w:tabs>
          <w:tab w:val="clear" w:pos="927"/>
        </w:tabs>
        <w:ind w:left="1134" w:hanging="567"/>
      </w:pPr>
      <w:r>
        <w:t>check whether other minerals had become material</w:t>
      </w:r>
    </w:p>
    <w:p w:rsidR="002C2903" w:rsidRDefault="002C2903" w:rsidP="002C2903">
      <w:pPr>
        <w:pStyle w:val="CGCBulletlist"/>
        <w:tabs>
          <w:tab w:val="clear" w:pos="927"/>
        </w:tabs>
        <w:ind w:left="1134" w:hanging="567"/>
      </w:pPr>
      <w:proofErr w:type="gramStart"/>
      <w:r>
        <w:t>ensure</w:t>
      </w:r>
      <w:proofErr w:type="gramEnd"/>
      <w:r>
        <w:t xml:space="preserve"> the mining revenue base it observed was consistent with average policy.</w:t>
      </w:r>
    </w:p>
    <w:p w:rsidR="002C2903" w:rsidRDefault="002C2903" w:rsidP="002C2903">
      <w:pPr>
        <w:pStyle w:val="CGCNumberedPara"/>
      </w:pPr>
      <w:r>
        <w:t>The Commission will continue to monitor developments in State mining policies in the lead up to the 2020 Review.</w:t>
      </w:r>
    </w:p>
    <w:p w:rsidR="002C2903" w:rsidRDefault="002C2903" w:rsidP="002C2903">
      <w:pPr>
        <w:pStyle w:val="CGCNumberedPara"/>
      </w:pPr>
      <w:r>
        <w:t>In the 2015 Review, the Commission assessed mining revenue capacity using a mineral by mineral approach. It included Coal Seam Gas (</w:t>
      </w:r>
      <w:proofErr w:type="spellStart"/>
      <w:r>
        <w:t>CSG</w:t>
      </w:r>
      <w:proofErr w:type="spellEnd"/>
      <w:r>
        <w:t xml:space="preserve">) in the </w:t>
      </w:r>
      <w:proofErr w:type="gramStart"/>
      <w:r>
        <w:t>Onshore</w:t>
      </w:r>
      <w:proofErr w:type="gramEnd"/>
      <w:r>
        <w:t xml:space="preserve"> oil and gas component and uranium in the Other minerals component. Value of production was used as the capacity measure for both components. States that banned the exploitation of certain minerals were, therefore, assessed to have zero revenue capacity because they had zero production. This was consistent with treating ‘bans on environmental grounds’ as average policy.</w:t>
      </w:r>
    </w:p>
    <w:p w:rsidR="002C2903" w:rsidRDefault="002C2903" w:rsidP="002C2903">
      <w:pPr>
        <w:pStyle w:val="CGCNumberedPara"/>
      </w:pPr>
      <w:r>
        <w:t xml:space="preserve">Since the Review, a number of States have reinstated bans on </w:t>
      </w:r>
      <w:proofErr w:type="spellStart"/>
      <w:r>
        <w:t>CSG</w:t>
      </w:r>
      <w:proofErr w:type="spellEnd"/>
      <w:r>
        <w:t xml:space="preserve"> and uranium.</w:t>
      </w:r>
      <w:r>
        <w:rPr>
          <w:rStyle w:val="FootnoteReference"/>
        </w:rPr>
        <w:footnoteReference w:id="8"/>
      </w:r>
      <w:r>
        <w:t xml:space="preserve"> These minerals are now banned in a majority of States. It is difficult to conclude that State-wide bans are all environment-related when two States have no such bans. Commission </w:t>
      </w:r>
      <w:proofErr w:type="gramStart"/>
      <w:r>
        <w:t>staff are</w:t>
      </w:r>
      <w:proofErr w:type="gramEnd"/>
      <w:r>
        <w:t xml:space="preserve"> seeking State views on whether this development warrants a review of the treatment of </w:t>
      </w:r>
      <w:proofErr w:type="spellStart"/>
      <w:r>
        <w:t>CSG</w:t>
      </w:r>
      <w:proofErr w:type="spellEnd"/>
      <w:r>
        <w:t xml:space="preserve"> and uranium.</w:t>
      </w:r>
      <w:r>
        <w:rPr>
          <w:rStyle w:val="FootnoteReference"/>
        </w:rPr>
        <w:footnoteReference w:id="9"/>
      </w:r>
    </w:p>
    <w:p w:rsidR="002C2903" w:rsidRDefault="002C2903" w:rsidP="002C2903">
      <w:pPr>
        <w:pStyle w:val="Heading4"/>
      </w:pPr>
      <w:bookmarkStart w:id="385" w:name="_Toc490224763"/>
      <w:bookmarkStart w:id="386" w:name="_Toc490228125"/>
      <w:bookmarkStart w:id="387" w:name="_Toc490228687"/>
      <w:bookmarkStart w:id="388" w:name="_Toc490556276"/>
      <w:bookmarkStart w:id="389" w:name="_Toc490659157"/>
      <w:bookmarkStart w:id="390" w:name="_Toc490659346"/>
      <w:bookmarkStart w:id="391" w:name="_Toc490659550"/>
      <w:r>
        <w:t>Should the Commission change its treatment in the 2018 Update?</w:t>
      </w:r>
      <w:bookmarkEnd w:id="385"/>
      <w:bookmarkEnd w:id="386"/>
      <w:bookmarkEnd w:id="387"/>
      <w:bookmarkEnd w:id="388"/>
      <w:bookmarkEnd w:id="389"/>
      <w:bookmarkEnd w:id="390"/>
      <w:bookmarkEnd w:id="391"/>
    </w:p>
    <w:p w:rsidR="002C2903" w:rsidRPr="008A6ECB" w:rsidRDefault="002C2903" w:rsidP="002C2903">
      <w:pPr>
        <w:pStyle w:val="CGCNumberedPara"/>
      </w:pPr>
      <w:r>
        <w:t xml:space="preserve">Staff Research Paper 2017-04-S </w:t>
      </w:r>
      <w:r>
        <w:rPr>
          <w:szCs w:val="22"/>
        </w:rPr>
        <w:t xml:space="preserve">said </w:t>
      </w:r>
      <w:r w:rsidRPr="006C6C08">
        <w:rPr>
          <w:szCs w:val="22"/>
        </w:rPr>
        <w:t xml:space="preserve">the Commission </w:t>
      </w:r>
      <w:r>
        <w:rPr>
          <w:szCs w:val="22"/>
        </w:rPr>
        <w:t>would</w:t>
      </w:r>
      <w:r w:rsidRPr="006C6C08">
        <w:rPr>
          <w:szCs w:val="22"/>
        </w:rPr>
        <w:t xml:space="preserve"> </w:t>
      </w:r>
      <w:r>
        <w:rPr>
          <w:szCs w:val="22"/>
        </w:rPr>
        <w:t>review</w:t>
      </w:r>
      <w:r w:rsidRPr="006C6C08">
        <w:rPr>
          <w:szCs w:val="22"/>
        </w:rPr>
        <w:t xml:space="preserve"> what average policy </w:t>
      </w:r>
      <w:r>
        <w:rPr>
          <w:szCs w:val="22"/>
        </w:rPr>
        <w:t xml:space="preserve">was in </w:t>
      </w:r>
      <w:r w:rsidRPr="006C6C08">
        <w:rPr>
          <w:szCs w:val="22"/>
        </w:rPr>
        <w:t>the 2020</w:t>
      </w:r>
      <w:r>
        <w:rPr>
          <w:szCs w:val="22"/>
        </w:rPr>
        <w:t> </w:t>
      </w:r>
      <w:r w:rsidRPr="006C6C08">
        <w:rPr>
          <w:szCs w:val="22"/>
        </w:rPr>
        <w:t>Review</w:t>
      </w:r>
      <w:r>
        <w:rPr>
          <w:szCs w:val="22"/>
        </w:rPr>
        <w:t>. This would include what average policy meant</w:t>
      </w:r>
      <w:r w:rsidRPr="006C6C08">
        <w:rPr>
          <w:szCs w:val="22"/>
        </w:rPr>
        <w:t xml:space="preserve"> in </w:t>
      </w:r>
      <w:r>
        <w:rPr>
          <w:szCs w:val="22"/>
        </w:rPr>
        <w:t>c</w:t>
      </w:r>
      <w:r w:rsidRPr="006C6C08">
        <w:rPr>
          <w:szCs w:val="22"/>
        </w:rPr>
        <w:t>ase</w:t>
      </w:r>
      <w:r>
        <w:rPr>
          <w:szCs w:val="22"/>
        </w:rPr>
        <w:t>s</w:t>
      </w:r>
      <w:r w:rsidRPr="006C6C08">
        <w:rPr>
          <w:szCs w:val="22"/>
        </w:rPr>
        <w:t xml:space="preserve"> where </w:t>
      </w:r>
      <w:r>
        <w:rPr>
          <w:szCs w:val="22"/>
        </w:rPr>
        <w:t>States banned an activity</w:t>
      </w:r>
      <w:r w:rsidRPr="006C6C08">
        <w:rPr>
          <w:szCs w:val="22"/>
        </w:rPr>
        <w:t xml:space="preserve">. The </w:t>
      </w:r>
      <w:r>
        <w:rPr>
          <w:szCs w:val="22"/>
        </w:rPr>
        <w:t>paper foreshadowed the Commission could:</w:t>
      </w:r>
    </w:p>
    <w:p w:rsidR="002C2903" w:rsidRDefault="002C2903" w:rsidP="002C2903">
      <w:pPr>
        <w:pStyle w:val="CGCBulletlist"/>
        <w:tabs>
          <w:tab w:val="clear" w:pos="927"/>
        </w:tabs>
        <w:ind w:left="1134" w:hanging="567"/>
      </w:pPr>
      <w:r w:rsidRPr="006C6C08">
        <w:t>estimat</w:t>
      </w:r>
      <w:r>
        <w:t>e</w:t>
      </w:r>
      <w:r w:rsidRPr="006C6C08">
        <w:t xml:space="preserve"> the missing </w:t>
      </w:r>
      <w:r>
        <w:t>value of production for those States that ban a mineral</w:t>
      </w:r>
    </w:p>
    <w:p w:rsidR="002C2903" w:rsidRDefault="002C2903" w:rsidP="002C2903">
      <w:pPr>
        <w:pStyle w:val="CGCBulletlist"/>
        <w:tabs>
          <w:tab w:val="clear" w:pos="927"/>
        </w:tabs>
        <w:ind w:left="1134" w:hanging="567"/>
      </w:pPr>
      <w:r w:rsidRPr="006C6C08">
        <w:t xml:space="preserve">assess </w:t>
      </w:r>
      <w:r>
        <w:t>zero</w:t>
      </w:r>
      <w:r w:rsidRPr="006C6C08">
        <w:t xml:space="preserve"> capacity for State</w:t>
      </w:r>
      <w:r>
        <w:t>s</w:t>
      </w:r>
      <w:r w:rsidRPr="006C6C08">
        <w:t xml:space="preserve"> that ban a mineral (the current approach)</w:t>
      </w:r>
      <w:r>
        <w:t>, or</w:t>
      </w:r>
    </w:p>
    <w:p w:rsidR="002C2903" w:rsidRPr="008A6ECB" w:rsidRDefault="002C2903" w:rsidP="002C2903">
      <w:pPr>
        <w:pStyle w:val="CGCBulletlist"/>
        <w:tabs>
          <w:tab w:val="clear" w:pos="927"/>
        </w:tabs>
        <w:ind w:left="1134" w:hanging="567"/>
      </w:pPr>
      <w:proofErr w:type="gramStart"/>
      <w:r>
        <w:lastRenderedPageBreak/>
        <w:t>assess</w:t>
      </w:r>
      <w:proofErr w:type="gramEnd"/>
      <w:r w:rsidRPr="006C6C08">
        <w:t xml:space="preserve"> State</w:t>
      </w:r>
      <w:r>
        <w:t xml:space="preserve">s to have equal capacity in relation to the </w:t>
      </w:r>
      <w:r w:rsidRPr="006C6C08">
        <w:t>banned mineral</w:t>
      </w:r>
      <w:r>
        <w:t>. This could be implemented by applying an equal per capita (EPC) assessment.</w:t>
      </w:r>
      <w:r>
        <w:rPr>
          <w:rStyle w:val="FootnoteReference"/>
        </w:rPr>
        <w:footnoteReference w:id="10"/>
      </w:r>
    </w:p>
    <w:p w:rsidR="002C2903" w:rsidRPr="00E0065E" w:rsidRDefault="002C2903" w:rsidP="002C2903">
      <w:pPr>
        <w:pStyle w:val="CGCNumberedPara"/>
      </w:pPr>
      <w:r>
        <w:rPr>
          <w:szCs w:val="22"/>
        </w:rPr>
        <w:t>The difficulty of making an assessment of the missing production is that there is no policy neutral measure of State capacity. States that ban mining have no revenue or production. The Commission could use the value of known reserves, but that is not what States tax.</w:t>
      </w:r>
    </w:p>
    <w:p w:rsidR="002C2903" w:rsidRDefault="002C2903" w:rsidP="002C2903">
      <w:pPr>
        <w:pStyle w:val="Heading4"/>
      </w:pPr>
      <w:bookmarkStart w:id="392" w:name="_Toc490224764"/>
      <w:bookmarkStart w:id="393" w:name="_Toc490228126"/>
      <w:bookmarkStart w:id="394" w:name="_Toc490228688"/>
      <w:bookmarkStart w:id="395" w:name="_Toc490556277"/>
      <w:bookmarkStart w:id="396" w:name="_Toc490659158"/>
      <w:bookmarkStart w:id="397" w:name="_Toc490659347"/>
      <w:bookmarkStart w:id="398" w:name="_Toc490659551"/>
      <w:r>
        <w:t>Would a change be material?</w:t>
      </w:r>
      <w:bookmarkEnd w:id="392"/>
      <w:bookmarkEnd w:id="393"/>
      <w:bookmarkEnd w:id="394"/>
      <w:bookmarkEnd w:id="395"/>
      <w:bookmarkEnd w:id="396"/>
      <w:bookmarkEnd w:id="397"/>
      <w:bookmarkEnd w:id="398"/>
    </w:p>
    <w:p w:rsidR="002C2903" w:rsidRDefault="002C2903" w:rsidP="002C2903">
      <w:pPr>
        <w:pStyle w:val="CGCNumberedPara"/>
      </w:pPr>
      <w:r>
        <w:t xml:space="preserve">In 2015-16, States raised $22.5 million in </w:t>
      </w:r>
      <w:proofErr w:type="spellStart"/>
      <w:r>
        <w:t>CSG</w:t>
      </w:r>
      <w:proofErr w:type="spellEnd"/>
      <w:r>
        <w:t xml:space="preserve"> royalties and $27.8 million in uranium royalties. The level of royalties was insufficient for a separate assessment of either mineral to be material.</w:t>
      </w:r>
    </w:p>
    <w:p w:rsidR="002C2903" w:rsidRPr="006E66AE" w:rsidRDefault="002C2903" w:rsidP="002C2903">
      <w:pPr>
        <w:pStyle w:val="CGCNumberedPara"/>
      </w:pPr>
      <w:r>
        <w:rPr>
          <w:szCs w:val="22"/>
        </w:rPr>
        <w:fldChar w:fldCharType="begin"/>
      </w:r>
      <w:r>
        <w:rPr>
          <w:szCs w:val="22"/>
        </w:rPr>
        <w:instrText xml:space="preserve"> REF _Ref489005275 \h </w:instrText>
      </w:r>
      <w:r>
        <w:rPr>
          <w:szCs w:val="22"/>
        </w:rPr>
      </w:r>
      <w:r>
        <w:rPr>
          <w:szCs w:val="22"/>
        </w:rPr>
        <w:fldChar w:fldCharType="separate"/>
      </w:r>
      <w:r w:rsidR="00500132">
        <w:t xml:space="preserve">Table </w:t>
      </w:r>
      <w:r w:rsidR="00500132">
        <w:rPr>
          <w:noProof/>
        </w:rPr>
        <w:t>12</w:t>
      </w:r>
      <w:r>
        <w:rPr>
          <w:szCs w:val="22"/>
        </w:rPr>
        <w:fldChar w:fldCharType="end"/>
      </w:r>
      <w:r>
        <w:rPr>
          <w:szCs w:val="22"/>
        </w:rPr>
        <w:t xml:space="preserve"> shows the change in GST shares if a different capacity measure had been applied to </w:t>
      </w:r>
      <w:proofErr w:type="spellStart"/>
      <w:r>
        <w:rPr>
          <w:szCs w:val="22"/>
        </w:rPr>
        <w:t>CSG</w:t>
      </w:r>
      <w:proofErr w:type="spellEnd"/>
      <w:r>
        <w:rPr>
          <w:szCs w:val="22"/>
        </w:rPr>
        <w:t xml:space="preserve"> royalties in the 2017 Update. None of the measures would have produced a GST outcome materially different from the current assessment (of including </w:t>
      </w:r>
      <w:proofErr w:type="spellStart"/>
      <w:r>
        <w:rPr>
          <w:szCs w:val="22"/>
        </w:rPr>
        <w:t>CSG</w:t>
      </w:r>
      <w:proofErr w:type="spellEnd"/>
      <w:r>
        <w:rPr>
          <w:szCs w:val="22"/>
        </w:rPr>
        <w:t xml:space="preserve"> value of production in the </w:t>
      </w:r>
      <w:proofErr w:type="gramStart"/>
      <w:r>
        <w:rPr>
          <w:szCs w:val="22"/>
        </w:rPr>
        <w:t>Onshore</w:t>
      </w:r>
      <w:proofErr w:type="gramEnd"/>
      <w:r>
        <w:rPr>
          <w:szCs w:val="22"/>
        </w:rPr>
        <w:t xml:space="preserve"> oil and gas component).</w:t>
      </w:r>
    </w:p>
    <w:p w:rsidR="002C2903" w:rsidRDefault="002C2903" w:rsidP="002C2903">
      <w:pPr>
        <w:pStyle w:val="CGCTableHeading"/>
      </w:pPr>
      <w:bookmarkStart w:id="399" w:name="_Ref489005275"/>
      <w:r>
        <w:t xml:space="preserve">Table </w:t>
      </w:r>
      <w:fldSimple w:instr=" SEQ Table \* ARABIC ">
        <w:r w:rsidR="00500132">
          <w:rPr>
            <w:noProof/>
          </w:rPr>
          <w:t>12</w:t>
        </w:r>
      </w:fldSimple>
      <w:bookmarkEnd w:id="399"/>
      <w:r>
        <w:tab/>
        <w:t xml:space="preserve">GST effect of changing the capacity measure for </w:t>
      </w:r>
      <w:proofErr w:type="spellStart"/>
      <w:r>
        <w:t>CSG</w:t>
      </w:r>
      <w:proofErr w:type="spellEnd"/>
      <w:r>
        <w:t>, 2017 Update</w:t>
      </w:r>
    </w:p>
    <w:tbl>
      <w:tblPr>
        <w:tblW w:w="5000" w:type="pct"/>
        <w:tblCellMar>
          <w:left w:w="85" w:type="dxa"/>
          <w:right w:w="85" w:type="dxa"/>
        </w:tblCellMar>
        <w:tblLook w:val="0000" w:firstRow="0" w:lastRow="0" w:firstColumn="0" w:lastColumn="0" w:noHBand="0" w:noVBand="0"/>
      </w:tblPr>
      <w:tblGrid>
        <w:gridCol w:w="2637"/>
        <w:gridCol w:w="720"/>
        <w:gridCol w:w="720"/>
        <w:gridCol w:w="720"/>
        <w:gridCol w:w="721"/>
        <w:gridCol w:w="721"/>
        <w:gridCol w:w="721"/>
        <w:gridCol w:w="721"/>
        <w:gridCol w:w="721"/>
        <w:gridCol w:w="719"/>
      </w:tblGrid>
      <w:tr w:rsidR="002C2903" w:rsidRPr="00FE3F73" w:rsidTr="000E3F26">
        <w:tc>
          <w:tcPr>
            <w:tcW w:w="1446" w:type="pct"/>
            <w:tcBorders>
              <w:top w:val="single" w:sz="4" w:space="0" w:color="auto"/>
              <w:bottom w:val="single" w:sz="4" w:space="0" w:color="auto"/>
            </w:tcBorders>
            <w:vAlign w:val="bottom"/>
          </w:tcPr>
          <w:p w:rsidR="002C2903" w:rsidRPr="00FE3F73" w:rsidRDefault="002C2903" w:rsidP="002C2903">
            <w:pPr>
              <w:pStyle w:val="CGCTableStub"/>
              <w:spacing w:line="240" w:lineRule="auto"/>
              <w:ind w:left="142" w:hanging="142"/>
              <w:rPr>
                <w:rFonts w:cstheme="minorHAnsi"/>
              </w:rPr>
            </w:pPr>
            <w:r>
              <w:rPr>
                <w:rFonts w:cstheme="minorHAnsi"/>
              </w:rPr>
              <w:t>Based on</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NSW</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Vic</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Qld</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WA</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SA</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proofErr w:type="spellStart"/>
            <w:r w:rsidRPr="002C2903">
              <w:rPr>
                <w:rFonts w:asciiTheme="minorHAnsi" w:hAnsiTheme="minorHAnsi" w:cstheme="minorHAnsi"/>
              </w:rPr>
              <w:t>Tas</w:t>
            </w:r>
            <w:proofErr w:type="spellEnd"/>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ACT</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NT</w:t>
            </w:r>
          </w:p>
        </w:tc>
        <w:tc>
          <w:tcPr>
            <w:tcW w:w="39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Ave</w:t>
            </w:r>
          </w:p>
        </w:tc>
      </w:tr>
      <w:tr w:rsidR="002C2903" w:rsidRPr="00FE3F73" w:rsidTr="000E3F26">
        <w:tc>
          <w:tcPr>
            <w:tcW w:w="1446" w:type="pct"/>
            <w:tcBorders>
              <w:top w:val="single" w:sz="4" w:space="0" w:color="auto"/>
            </w:tcBorders>
            <w:tcMar>
              <w:top w:w="0" w:type="dxa"/>
              <w:bottom w:w="0" w:type="dxa"/>
            </w:tcMar>
            <w:vAlign w:val="bottom"/>
          </w:tcPr>
          <w:p w:rsidR="002C2903" w:rsidRPr="00FE3F73" w:rsidRDefault="002C2903" w:rsidP="002C2903">
            <w:pPr>
              <w:pStyle w:val="CGCTableStub"/>
              <w:spacing w:before="0" w:after="0" w:line="240" w:lineRule="auto"/>
              <w:jc w:val="right"/>
              <w:rPr>
                <w:rFonts w:cstheme="minorHAnsi"/>
              </w:rPr>
            </w:pP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39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r>
      <w:tr w:rsidR="002C2903" w:rsidRPr="00FE3F73" w:rsidTr="002C2903">
        <w:tc>
          <w:tcPr>
            <w:tcW w:w="1446" w:type="pct"/>
            <w:vAlign w:val="bottom"/>
          </w:tcPr>
          <w:p w:rsidR="002C2903" w:rsidRDefault="002C2903" w:rsidP="002C2903">
            <w:pPr>
              <w:pStyle w:val="CGCTableStub"/>
              <w:tabs>
                <w:tab w:val="left" w:pos="142"/>
                <w:tab w:val="left" w:pos="425"/>
                <w:tab w:val="left" w:pos="709"/>
                <w:tab w:val="left" w:pos="851"/>
              </w:tabs>
              <w:ind w:left="142" w:hanging="142"/>
              <w:rPr>
                <w:rFonts w:cstheme="minorHAnsi"/>
              </w:rPr>
            </w:pPr>
            <w:r>
              <w:rPr>
                <w:rFonts w:cstheme="minorHAnsi"/>
              </w:rPr>
              <w:t xml:space="preserve">Value of production - </w:t>
            </w:r>
            <w:proofErr w:type="spellStart"/>
            <w:r>
              <w:rPr>
                <w:rFonts w:cstheme="minorHAnsi"/>
              </w:rPr>
              <w:t>CSG</w:t>
            </w:r>
            <w:proofErr w:type="spellEnd"/>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r w:rsidR="002C2903" w:rsidRPr="00FE3F73" w:rsidTr="002C2903">
        <w:tc>
          <w:tcPr>
            <w:tcW w:w="1446" w:type="pct"/>
            <w:vAlign w:val="bottom"/>
          </w:tcPr>
          <w:p w:rsidR="002C2903" w:rsidRPr="00FE3F73" w:rsidRDefault="002C2903" w:rsidP="002C2903">
            <w:pPr>
              <w:pStyle w:val="CGCTableStub"/>
              <w:tabs>
                <w:tab w:val="left" w:pos="142"/>
                <w:tab w:val="left" w:pos="425"/>
                <w:tab w:val="left" w:pos="709"/>
                <w:tab w:val="left" w:pos="851"/>
              </w:tabs>
              <w:ind w:left="142" w:hanging="142"/>
              <w:rPr>
                <w:rFonts w:cstheme="minorHAnsi"/>
              </w:rPr>
            </w:pPr>
            <w:r>
              <w:rPr>
                <w:rFonts w:cstheme="minorHAnsi"/>
              </w:rPr>
              <w:t>Value of production - Coal (a)</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2</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r w:rsidR="002C2903" w:rsidRPr="00FE3F73" w:rsidTr="002C2903">
        <w:tc>
          <w:tcPr>
            <w:tcW w:w="1446" w:type="pct"/>
            <w:vAlign w:val="bottom"/>
          </w:tcPr>
          <w:p w:rsidR="002C2903" w:rsidRPr="00FE3F73" w:rsidRDefault="002C2903" w:rsidP="002C2903">
            <w:pPr>
              <w:pStyle w:val="CGCTableStub"/>
              <w:tabs>
                <w:tab w:val="left" w:pos="142"/>
                <w:tab w:val="left" w:pos="425"/>
                <w:tab w:val="left" w:pos="709"/>
                <w:tab w:val="left" w:pos="851"/>
              </w:tabs>
              <w:ind w:left="142" w:hanging="142"/>
              <w:rPr>
                <w:rFonts w:cstheme="minorHAnsi"/>
              </w:rPr>
            </w:pPr>
            <w:r>
              <w:rPr>
                <w:rFonts w:cstheme="minorHAnsi"/>
              </w:rPr>
              <w:t>Known reserves (b)</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r w:rsidR="002C2903" w:rsidRPr="00FE3F73" w:rsidTr="002C2903">
        <w:tc>
          <w:tcPr>
            <w:tcW w:w="1446" w:type="pct"/>
            <w:tcBorders>
              <w:bottom w:val="single" w:sz="4" w:space="0" w:color="auto"/>
            </w:tcBorders>
            <w:vAlign w:val="bottom"/>
          </w:tcPr>
          <w:p w:rsidR="002C2903" w:rsidRDefault="002C2903" w:rsidP="002C2903">
            <w:pPr>
              <w:pStyle w:val="CGCTableStub"/>
              <w:tabs>
                <w:tab w:val="left" w:pos="142"/>
                <w:tab w:val="left" w:pos="425"/>
                <w:tab w:val="left" w:pos="709"/>
                <w:tab w:val="left" w:pos="851"/>
              </w:tabs>
              <w:ind w:left="142" w:hanging="142"/>
              <w:rPr>
                <w:rFonts w:cstheme="minorHAnsi"/>
              </w:rPr>
            </w:pPr>
            <w:r>
              <w:rPr>
                <w:rFonts w:cstheme="minorHAnsi"/>
              </w:rPr>
              <w:t>Actual per capita</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39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bl>
    <w:p w:rsidR="002C2903" w:rsidRDefault="002C2903" w:rsidP="002C2903">
      <w:pPr>
        <w:pStyle w:val="CGCTableFootnote"/>
      </w:pPr>
      <w:r>
        <w:t>(a)</w:t>
      </w:r>
      <w:r>
        <w:tab/>
        <w:t xml:space="preserve">The value of coal production was included as capacity measure since </w:t>
      </w:r>
      <w:proofErr w:type="spellStart"/>
      <w:r>
        <w:t>CSG</w:t>
      </w:r>
      <w:proofErr w:type="spellEnd"/>
      <w:r>
        <w:t xml:space="preserve"> occurs in underground coal seams.</w:t>
      </w:r>
    </w:p>
    <w:p w:rsidR="002C2903" w:rsidRDefault="002C2903" w:rsidP="002C2903">
      <w:pPr>
        <w:pStyle w:val="CGCTableFootnote"/>
      </w:pPr>
      <w:r>
        <w:t>(b)</w:t>
      </w:r>
      <w:r>
        <w:tab/>
      </w:r>
      <w:r w:rsidRPr="00935A11">
        <w:t>Geoscience Australia (GA), Australia’s identified mineral resources 2009, GA, Canberra, p</w:t>
      </w:r>
      <w:r w:rsidR="003B5F3A">
        <w:t>age</w:t>
      </w:r>
      <w:r w:rsidRPr="00935A11">
        <w:t xml:space="preserve"> 2</w:t>
      </w:r>
      <w:r w:rsidR="003B5F3A">
        <w:t xml:space="preserve">3. This publication can be viewed on </w:t>
      </w:r>
      <w:hyperlink r:id="rId22" w:history="1">
        <w:r w:rsidR="003B5F3A" w:rsidRPr="003B5F3A">
          <w:rPr>
            <w:rStyle w:val="Hyperlink"/>
          </w:rPr>
          <w:t>Geoscience Australia’s website</w:t>
        </w:r>
      </w:hyperlink>
      <w:r w:rsidR="003B5F3A">
        <w:t xml:space="preserve"> (www.ga.gov.au).</w:t>
      </w:r>
    </w:p>
    <w:p w:rsidR="002C2903" w:rsidRDefault="002C2903" w:rsidP="002B7E99">
      <w:pPr>
        <w:pStyle w:val="CGCTableFootnote"/>
        <w:spacing w:after="240"/>
      </w:pPr>
      <w:r>
        <w:t>Source:</w:t>
      </w:r>
      <w:r>
        <w:tab/>
        <w:t>Commission simulations.</w:t>
      </w:r>
    </w:p>
    <w:p w:rsidR="002C2903" w:rsidRPr="006E66AE" w:rsidRDefault="002C2903" w:rsidP="002C2903">
      <w:pPr>
        <w:pStyle w:val="CGCNumberedPara"/>
      </w:pPr>
      <w:r>
        <w:rPr>
          <w:szCs w:val="22"/>
        </w:rPr>
        <w:fldChar w:fldCharType="begin"/>
      </w:r>
      <w:r>
        <w:rPr>
          <w:szCs w:val="22"/>
        </w:rPr>
        <w:instrText xml:space="preserve"> REF _Ref488992757 \h </w:instrText>
      </w:r>
      <w:r>
        <w:rPr>
          <w:szCs w:val="22"/>
        </w:rPr>
      </w:r>
      <w:r>
        <w:rPr>
          <w:szCs w:val="22"/>
        </w:rPr>
        <w:fldChar w:fldCharType="separate"/>
      </w:r>
      <w:r w:rsidR="00500132">
        <w:t xml:space="preserve">Table </w:t>
      </w:r>
      <w:r w:rsidR="00500132">
        <w:rPr>
          <w:noProof/>
        </w:rPr>
        <w:t>13</w:t>
      </w:r>
      <w:r>
        <w:rPr>
          <w:szCs w:val="22"/>
        </w:rPr>
        <w:fldChar w:fldCharType="end"/>
      </w:r>
      <w:r>
        <w:rPr>
          <w:szCs w:val="22"/>
        </w:rPr>
        <w:t xml:space="preserve"> shows the change in GST shares if a different capacity measure had been applied to uranium royalties in the 2017 Update. None of the measures would have produced a GST outcome materially different from the current assessment approach (of including uranium value of production in the </w:t>
      </w:r>
      <w:proofErr w:type="gramStart"/>
      <w:r>
        <w:rPr>
          <w:szCs w:val="22"/>
        </w:rPr>
        <w:t>Other</w:t>
      </w:r>
      <w:proofErr w:type="gramEnd"/>
      <w:r>
        <w:rPr>
          <w:szCs w:val="22"/>
        </w:rPr>
        <w:t xml:space="preserve"> minerals component).</w:t>
      </w:r>
    </w:p>
    <w:p w:rsidR="002C2903" w:rsidRDefault="002C2903" w:rsidP="002C2903">
      <w:pPr>
        <w:pStyle w:val="CGCTableHeading"/>
      </w:pPr>
      <w:bookmarkStart w:id="400" w:name="_Ref488992757"/>
      <w:r>
        <w:lastRenderedPageBreak/>
        <w:t xml:space="preserve">Table </w:t>
      </w:r>
      <w:fldSimple w:instr=" SEQ Table \* ARABIC ">
        <w:r w:rsidR="00500132">
          <w:rPr>
            <w:noProof/>
          </w:rPr>
          <w:t>13</w:t>
        </w:r>
      </w:fldSimple>
      <w:bookmarkEnd w:id="400"/>
      <w:r>
        <w:tab/>
        <w:t>GST effect of changing the capacity measure for uranium, 2017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2C2903" w:rsidRPr="00FE3F73" w:rsidTr="000E3F26">
        <w:tc>
          <w:tcPr>
            <w:tcW w:w="1354" w:type="pct"/>
            <w:tcBorders>
              <w:top w:val="single" w:sz="4" w:space="0" w:color="auto"/>
              <w:bottom w:val="single" w:sz="4" w:space="0" w:color="auto"/>
            </w:tcBorders>
            <w:vAlign w:val="bottom"/>
          </w:tcPr>
          <w:p w:rsidR="002C2903" w:rsidRPr="00FE3F73" w:rsidRDefault="002C2903" w:rsidP="002C2903">
            <w:pPr>
              <w:pStyle w:val="CGCTableStub"/>
              <w:spacing w:line="240" w:lineRule="auto"/>
              <w:ind w:left="142" w:hanging="142"/>
              <w:rPr>
                <w:rFonts w:cstheme="minorHAnsi"/>
              </w:rPr>
            </w:pPr>
            <w:r>
              <w:rPr>
                <w:rFonts w:cstheme="minorHAnsi"/>
              </w:rPr>
              <w:t>Based on</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NSW</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Vic</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Qld</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WA</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SA</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proofErr w:type="spellStart"/>
            <w:r w:rsidRPr="002C2903">
              <w:rPr>
                <w:rFonts w:asciiTheme="minorHAnsi" w:hAnsiTheme="minorHAnsi" w:cstheme="minorHAnsi"/>
              </w:rPr>
              <w:t>Tas</w:t>
            </w:r>
            <w:proofErr w:type="spellEnd"/>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ACT</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NT</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Ave</w:t>
            </w:r>
          </w:p>
        </w:tc>
      </w:tr>
      <w:tr w:rsidR="002C2903" w:rsidRPr="00FE3F73" w:rsidTr="000E3F26">
        <w:tc>
          <w:tcPr>
            <w:tcW w:w="1354" w:type="pct"/>
            <w:tcBorders>
              <w:top w:val="single" w:sz="4" w:space="0" w:color="auto"/>
            </w:tcBorders>
            <w:tcMar>
              <w:top w:w="0" w:type="dxa"/>
              <w:bottom w:w="0" w:type="dxa"/>
            </w:tcMar>
            <w:vAlign w:val="bottom"/>
          </w:tcPr>
          <w:p w:rsidR="002C2903" w:rsidRPr="00FE3F73" w:rsidRDefault="002C2903" w:rsidP="002C2903">
            <w:pPr>
              <w:pStyle w:val="CGCTableStub"/>
              <w:spacing w:before="0" w:after="0" w:line="240" w:lineRule="auto"/>
              <w:jc w:val="right"/>
              <w:rPr>
                <w:rFonts w:cstheme="minorHAnsi"/>
              </w:rPr>
            </w:pP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r>
      <w:tr w:rsidR="002C2903" w:rsidRPr="00FE3F73" w:rsidTr="002C2903">
        <w:tc>
          <w:tcPr>
            <w:tcW w:w="1354" w:type="pct"/>
            <w:vAlign w:val="bottom"/>
          </w:tcPr>
          <w:p w:rsidR="002C2903" w:rsidRPr="00FE3F73" w:rsidRDefault="002C2903" w:rsidP="002C2903">
            <w:pPr>
              <w:pStyle w:val="CGCTableStub"/>
              <w:tabs>
                <w:tab w:val="left" w:pos="142"/>
                <w:tab w:val="left" w:pos="425"/>
                <w:tab w:val="left" w:pos="709"/>
                <w:tab w:val="left" w:pos="851"/>
              </w:tabs>
              <w:ind w:left="142" w:hanging="142"/>
              <w:rPr>
                <w:rFonts w:cstheme="minorHAnsi"/>
              </w:rPr>
            </w:pPr>
            <w:r>
              <w:rPr>
                <w:rFonts w:cstheme="minorHAnsi"/>
              </w:rPr>
              <w:t>Value of production</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r w:rsidR="002C2903" w:rsidRPr="00FE3F73" w:rsidTr="002C2903">
        <w:tc>
          <w:tcPr>
            <w:tcW w:w="1354" w:type="pct"/>
            <w:vAlign w:val="bottom"/>
          </w:tcPr>
          <w:p w:rsidR="002C2903" w:rsidRDefault="002C2903" w:rsidP="002C2903">
            <w:pPr>
              <w:pStyle w:val="CGCTableStub"/>
              <w:tabs>
                <w:tab w:val="left" w:pos="142"/>
                <w:tab w:val="left" w:pos="425"/>
                <w:tab w:val="left" w:pos="709"/>
                <w:tab w:val="left" w:pos="851"/>
              </w:tabs>
              <w:ind w:left="142" w:hanging="142"/>
              <w:rPr>
                <w:rFonts w:cstheme="minorHAnsi"/>
              </w:rPr>
            </w:pPr>
            <w:r>
              <w:rPr>
                <w:rFonts w:cstheme="minorHAnsi"/>
              </w:rPr>
              <w:t>Known reserves (a)</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2</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-9</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r w:rsidR="002C2903" w:rsidRPr="00FE3F73" w:rsidTr="002C2903">
        <w:tc>
          <w:tcPr>
            <w:tcW w:w="1354" w:type="pct"/>
            <w:tcBorders>
              <w:bottom w:val="single" w:sz="4" w:space="0" w:color="auto"/>
            </w:tcBorders>
            <w:vAlign w:val="bottom"/>
          </w:tcPr>
          <w:p w:rsidR="002C2903" w:rsidRDefault="002C2903" w:rsidP="002C2903">
            <w:pPr>
              <w:pStyle w:val="CGCTableStub"/>
              <w:tabs>
                <w:tab w:val="left" w:pos="142"/>
                <w:tab w:val="left" w:pos="425"/>
                <w:tab w:val="left" w:pos="709"/>
                <w:tab w:val="left" w:pos="851"/>
              </w:tabs>
              <w:ind w:left="142" w:hanging="142"/>
              <w:rPr>
                <w:rFonts w:cstheme="minorHAnsi"/>
              </w:rPr>
            </w:pPr>
            <w:r>
              <w:rPr>
                <w:rFonts w:cstheme="minorHAnsi"/>
              </w:rPr>
              <w:t>Actual per capita</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r>
    </w:tbl>
    <w:p w:rsidR="002C2903" w:rsidRDefault="002C2903" w:rsidP="002C2903">
      <w:pPr>
        <w:pStyle w:val="CGCTableFootnote"/>
      </w:pPr>
      <w:r>
        <w:t>(a)</w:t>
      </w:r>
      <w:r>
        <w:tab/>
      </w:r>
      <w:r w:rsidR="00730922">
        <w:t xml:space="preserve">This information was extracted from the </w:t>
      </w:r>
      <w:hyperlink r:id="rId23" w:history="1">
        <w:r w:rsidRPr="0098403F">
          <w:rPr>
            <w:rStyle w:val="Hyperlink"/>
          </w:rPr>
          <w:t>Geoscience Australia</w:t>
        </w:r>
      </w:hyperlink>
      <w:r w:rsidR="0098403F">
        <w:t xml:space="preserve"> </w:t>
      </w:r>
      <w:r w:rsidR="00730922">
        <w:t>website</w:t>
      </w:r>
      <w:r w:rsidRPr="00935A11">
        <w:t>.</w:t>
      </w:r>
    </w:p>
    <w:p w:rsidR="002C2903" w:rsidRDefault="002C2903" w:rsidP="002B7E99">
      <w:pPr>
        <w:pStyle w:val="CGCTableFootnote"/>
        <w:spacing w:after="240"/>
      </w:pPr>
      <w:r>
        <w:t>Source:</w:t>
      </w:r>
      <w:r>
        <w:tab/>
        <w:t>Commission simulations.</w:t>
      </w:r>
    </w:p>
    <w:p w:rsidR="002C2903" w:rsidRDefault="002C2903" w:rsidP="002C2903">
      <w:pPr>
        <w:pStyle w:val="CGCNumberedPara"/>
      </w:pPr>
      <w:r>
        <w:t>At some stage the royalties raised could become large enough for mineral bans to materially affect States’ GST shares. They are not at that level yet. The Commission will continue to monitor the level of royalties and to test the materiality of these bans in the lead up to the 2020 Review.</w:t>
      </w:r>
    </w:p>
    <w:p w:rsidR="002C2903" w:rsidRDefault="002C2903" w:rsidP="002C2903">
      <w:pPr>
        <w:pStyle w:val="CGCNumberedPara"/>
      </w:pPr>
      <w:r>
        <w:fldChar w:fldCharType="begin"/>
      </w:r>
      <w:r>
        <w:instrText xml:space="preserve"> REF _Ref489429603 \h </w:instrText>
      </w:r>
      <w:r>
        <w:fldChar w:fldCharType="separate"/>
      </w:r>
      <w:r w:rsidR="00500132">
        <w:t xml:space="preserve">Table </w:t>
      </w:r>
      <w:r w:rsidR="00500132">
        <w:rPr>
          <w:noProof/>
        </w:rPr>
        <w:t>14</w:t>
      </w:r>
      <w:r>
        <w:fldChar w:fldCharType="end"/>
      </w:r>
      <w:r>
        <w:t xml:space="preserve"> shows the </w:t>
      </w:r>
      <w:r>
        <w:rPr>
          <w:szCs w:val="22"/>
        </w:rPr>
        <w:t xml:space="preserve">change in GST shares had States been assessed to have equal per capita revenue capacity to raise royalties from </w:t>
      </w:r>
      <w:proofErr w:type="spellStart"/>
      <w:r>
        <w:rPr>
          <w:szCs w:val="22"/>
        </w:rPr>
        <w:t>CSG</w:t>
      </w:r>
      <w:proofErr w:type="spellEnd"/>
      <w:r>
        <w:rPr>
          <w:szCs w:val="22"/>
        </w:rPr>
        <w:t xml:space="preserve"> and uranium in the 2017 Update.</w:t>
      </w:r>
    </w:p>
    <w:p w:rsidR="002C2903" w:rsidRDefault="002C2903" w:rsidP="002C2903">
      <w:pPr>
        <w:pStyle w:val="CGCTableHeading"/>
      </w:pPr>
      <w:bookmarkStart w:id="401" w:name="_Ref489429603"/>
      <w:r>
        <w:t xml:space="preserve">Table </w:t>
      </w:r>
      <w:fldSimple w:instr=" SEQ Table \* ARABIC ">
        <w:r w:rsidR="00500132">
          <w:rPr>
            <w:noProof/>
          </w:rPr>
          <w:t>14</w:t>
        </w:r>
      </w:fldSimple>
      <w:bookmarkEnd w:id="401"/>
      <w:r>
        <w:tab/>
        <w:t>GST effect of assessing States to have equal per capita revenue capacity, 2017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2C2903" w:rsidRPr="00FE3F73" w:rsidTr="000E3F26">
        <w:tc>
          <w:tcPr>
            <w:tcW w:w="1354" w:type="pct"/>
            <w:tcBorders>
              <w:top w:val="single" w:sz="4" w:space="0" w:color="auto"/>
              <w:bottom w:val="single" w:sz="4" w:space="0" w:color="auto"/>
            </w:tcBorders>
            <w:vAlign w:val="bottom"/>
          </w:tcPr>
          <w:p w:rsidR="002C2903" w:rsidRPr="00FE3F73" w:rsidRDefault="002C2903" w:rsidP="002C2903">
            <w:pPr>
              <w:pStyle w:val="CGCTableStub"/>
              <w:spacing w:line="240" w:lineRule="auto"/>
              <w:ind w:left="142" w:hanging="142"/>
              <w:rPr>
                <w:rFonts w:cstheme="minorHAnsi"/>
              </w:rPr>
            </w:pPr>
            <w:r>
              <w:rPr>
                <w:rFonts w:cstheme="minorHAnsi"/>
              </w:rPr>
              <w:t>Based on</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NSW</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Vic</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Qld</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WA</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SA</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proofErr w:type="spellStart"/>
            <w:r w:rsidRPr="002C2903">
              <w:rPr>
                <w:rFonts w:asciiTheme="minorHAnsi" w:hAnsiTheme="minorHAnsi" w:cstheme="minorHAnsi"/>
              </w:rPr>
              <w:t>Tas</w:t>
            </w:r>
            <w:proofErr w:type="spellEnd"/>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ACT</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NT</w:t>
            </w:r>
          </w:p>
        </w:tc>
        <w:tc>
          <w:tcPr>
            <w:tcW w:w="405" w:type="pct"/>
            <w:tcBorders>
              <w:top w:val="single" w:sz="4" w:space="0" w:color="auto"/>
              <w:bottom w:val="single" w:sz="4" w:space="0" w:color="auto"/>
            </w:tcBorders>
            <w:vAlign w:val="bottom"/>
          </w:tcPr>
          <w:p w:rsidR="002C2903" w:rsidRPr="002C2903" w:rsidRDefault="002C2903" w:rsidP="002C2903">
            <w:pPr>
              <w:pStyle w:val="TableColHeadings"/>
              <w:rPr>
                <w:rFonts w:asciiTheme="minorHAnsi" w:hAnsiTheme="minorHAnsi" w:cstheme="minorHAnsi"/>
              </w:rPr>
            </w:pPr>
            <w:r w:rsidRPr="002C2903">
              <w:rPr>
                <w:rFonts w:asciiTheme="minorHAnsi" w:hAnsiTheme="minorHAnsi" w:cstheme="minorHAnsi"/>
              </w:rPr>
              <w:t>Ave</w:t>
            </w:r>
          </w:p>
        </w:tc>
      </w:tr>
      <w:tr w:rsidR="002C2903" w:rsidRPr="00FE3F73" w:rsidTr="000E3F26">
        <w:tc>
          <w:tcPr>
            <w:tcW w:w="1354" w:type="pct"/>
            <w:tcBorders>
              <w:top w:val="single" w:sz="4" w:space="0" w:color="auto"/>
            </w:tcBorders>
            <w:tcMar>
              <w:top w:w="0" w:type="dxa"/>
              <w:bottom w:w="0" w:type="dxa"/>
            </w:tcMar>
            <w:vAlign w:val="bottom"/>
          </w:tcPr>
          <w:p w:rsidR="002C2903" w:rsidRPr="00FE3F73" w:rsidRDefault="002C2903" w:rsidP="002C2903">
            <w:pPr>
              <w:pStyle w:val="CGCTableStub"/>
              <w:spacing w:before="0" w:after="0" w:line="240" w:lineRule="auto"/>
              <w:jc w:val="right"/>
              <w:rPr>
                <w:rFonts w:cstheme="minorHAnsi"/>
              </w:rPr>
            </w:pP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c>
          <w:tcPr>
            <w:tcW w:w="405" w:type="pct"/>
            <w:tcBorders>
              <w:top w:val="single" w:sz="4" w:space="0" w:color="auto"/>
            </w:tcBorders>
            <w:tcMar>
              <w:top w:w="0" w:type="dxa"/>
              <w:bottom w:w="0" w:type="dxa"/>
            </w:tcMar>
            <w:vAlign w:val="bottom"/>
          </w:tcPr>
          <w:p w:rsidR="002C2903" w:rsidRPr="002C2903" w:rsidRDefault="002C2903" w:rsidP="002C2903">
            <w:pPr>
              <w:pStyle w:val="TableRowNormal"/>
              <w:spacing w:before="0" w:after="0" w:line="240" w:lineRule="auto"/>
              <w:ind w:left="0" w:firstLine="0"/>
              <w:rPr>
                <w:rFonts w:asciiTheme="minorHAnsi" w:hAnsiTheme="minorHAnsi" w:cstheme="minorHAnsi"/>
              </w:rPr>
            </w:pPr>
            <w:r w:rsidRPr="002C2903">
              <w:rPr>
                <w:rFonts w:asciiTheme="minorHAnsi" w:hAnsiTheme="minorHAnsi" w:cstheme="minorHAnsi"/>
              </w:rPr>
              <w:t>$pc</w:t>
            </w:r>
          </w:p>
        </w:tc>
      </w:tr>
      <w:tr w:rsidR="002C2903" w:rsidRPr="00FE3F73" w:rsidTr="002C2903">
        <w:tc>
          <w:tcPr>
            <w:tcW w:w="1354" w:type="pct"/>
            <w:vAlign w:val="bottom"/>
          </w:tcPr>
          <w:p w:rsidR="002C2903" w:rsidRDefault="002C2903" w:rsidP="002C2903">
            <w:pPr>
              <w:pStyle w:val="CGCTableStub"/>
              <w:tabs>
                <w:tab w:val="left" w:pos="142"/>
                <w:tab w:val="left" w:pos="425"/>
                <w:tab w:val="left" w:pos="709"/>
                <w:tab w:val="left" w:pos="851"/>
              </w:tabs>
              <w:ind w:left="142" w:hanging="142"/>
              <w:rPr>
                <w:rFonts w:cstheme="minorHAnsi"/>
              </w:rPr>
            </w:pPr>
            <w:proofErr w:type="spellStart"/>
            <w:r>
              <w:rPr>
                <w:rFonts w:cstheme="minorHAnsi"/>
              </w:rPr>
              <w:t>CSG</w:t>
            </w:r>
            <w:proofErr w:type="spellEnd"/>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5</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r>
      <w:tr w:rsidR="002C2903" w:rsidRPr="00FE3F73" w:rsidTr="002C2903">
        <w:tc>
          <w:tcPr>
            <w:tcW w:w="1354" w:type="pct"/>
            <w:tcBorders>
              <w:bottom w:val="single" w:sz="4" w:space="0" w:color="auto"/>
            </w:tcBorders>
            <w:vAlign w:val="bottom"/>
          </w:tcPr>
          <w:p w:rsidR="002C2903" w:rsidRPr="00FE3F73" w:rsidRDefault="002C2903" w:rsidP="002C2903">
            <w:pPr>
              <w:pStyle w:val="CGCTableStub"/>
              <w:tabs>
                <w:tab w:val="left" w:pos="142"/>
                <w:tab w:val="left" w:pos="425"/>
                <w:tab w:val="left" w:pos="709"/>
                <w:tab w:val="left" w:pos="851"/>
              </w:tabs>
              <w:ind w:left="142" w:hanging="142"/>
              <w:rPr>
                <w:rFonts w:cstheme="minorHAnsi"/>
              </w:rPr>
            </w:pPr>
            <w:r>
              <w:rPr>
                <w:rFonts w:cstheme="minorHAnsi"/>
              </w:rPr>
              <w:t>Uranium</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12</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0</w:t>
            </w:r>
          </w:p>
        </w:tc>
        <w:tc>
          <w:tcPr>
            <w:tcW w:w="405" w:type="pct"/>
            <w:tcBorders>
              <w:bottom w:val="single" w:sz="4" w:space="0" w:color="auto"/>
            </w:tcBorders>
            <w:vAlign w:val="bottom"/>
          </w:tcPr>
          <w:p w:rsidR="002C2903" w:rsidRPr="002C2903" w:rsidRDefault="002C2903" w:rsidP="002C2903">
            <w:pPr>
              <w:pStyle w:val="TableRowNormal"/>
              <w:ind w:left="0" w:firstLine="0"/>
              <w:rPr>
                <w:rFonts w:asciiTheme="minorHAnsi" w:hAnsiTheme="minorHAnsi" w:cstheme="minorHAnsi"/>
              </w:rPr>
            </w:pPr>
            <w:r w:rsidRPr="002C2903">
              <w:rPr>
                <w:rFonts w:asciiTheme="minorHAnsi" w:hAnsiTheme="minorHAnsi" w:cstheme="minorHAnsi"/>
              </w:rPr>
              <w:t>1</w:t>
            </w:r>
          </w:p>
        </w:tc>
      </w:tr>
    </w:tbl>
    <w:p w:rsidR="002C2903" w:rsidRDefault="002C2903" w:rsidP="002B7E99">
      <w:pPr>
        <w:pStyle w:val="CGCTableFootnote"/>
        <w:spacing w:after="240"/>
      </w:pPr>
      <w:r>
        <w:t>Source:</w:t>
      </w:r>
      <w:r>
        <w:tab/>
        <w:t>Commission simulations.</w:t>
      </w:r>
    </w:p>
    <w:p w:rsidR="002C2903" w:rsidRDefault="002C2903" w:rsidP="002C2903">
      <w:pPr>
        <w:pStyle w:val="CGCNumberedPara"/>
      </w:pPr>
      <w:r>
        <w:t xml:space="preserve">Commission </w:t>
      </w:r>
      <w:proofErr w:type="gramStart"/>
      <w:r>
        <w:t>staff are</w:t>
      </w:r>
      <w:proofErr w:type="gramEnd"/>
      <w:r>
        <w:t xml:space="preserve"> s</w:t>
      </w:r>
      <w:proofErr w:type="spellStart"/>
      <w:r w:rsidRPr="00144CF2">
        <w:rPr>
          <w:lang w:val="en"/>
        </w:rPr>
        <w:t>eeking</w:t>
      </w:r>
      <w:proofErr w:type="spellEnd"/>
      <w:r w:rsidRPr="00144CF2">
        <w:rPr>
          <w:lang w:val="en"/>
        </w:rPr>
        <w:t xml:space="preserve"> State views</w:t>
      </w:r>
      <w:r>
        <w:t xml:space="preserve"> on whether the Commission should change its treatment of </w:t>
      </w:r>
      <w:proofErr w:type="spellStart"/>
      <w:r>
        <w:t>CSG</w:t>
      </w:r>
      <w:proofErr w:type="spellEnd"/>
      <w:r>
        <w:t xml:space="preserve"> and uranium and, if it should change, what that change should be.</w:t>
      </w:r>
    </w:p>
    <w:p w:rsidR="001364C8" w:rsidRDefault="002C2903" w:rsidP="002C2903">
      <w:pPr>
        <w:pStyle w:val="CGCNumberedPara"/>
      </w:pPr>
      <w:r>
        <w:t xml:space="preserve">Commission </w:t>
      </w:r>
      <w:proofErr w:type="gramStart"/>
      <w:r>
        <w:t>staff propose</w:t>
      </w:r>
      <w:proofErr w:type="gramEnd"/>
      <w:r>
        <w:t xml:space="preserve"> to recommend to the Commission that it not change its treatment of mineral bans as it is not material to do so.</w:t>
      </w:r>
    </w:p>
    <w:p w:rsidR="001364C8" w:rsidRDefault="001364C8" w:rsidP="003215B5">
      <w:pPr>
        <w:pStyle w:val="Heading4"/>
      </w:pPr>
      <w:bookmarkStart w:id="402" w:name="_Toc489877498"/>
      <w:bookmarkStart w:id="403" w:name="_Toc489877553"/>
      <w:bookmarkStart w:id="404" w:name="_Toc489878096"/>
      <w:bookmarkStart w:id="405" w:name="_Toc489878472"/>
      <w:bookmarkStart w:id="406" w:name="_Toc490138826"/>
      <w:bookmarkStart w:id="407" w:name="_Toc490139356"/>
      <w:bookmarkStart w:id="408" w:name="_Toc490224765"/>
      <w:bookmarkStart w:id="409" w:name="_Toc490228127"/>
      <w:bookmarkStart w:id="410" w:name="_Toc490228689"/>
      <w:bookmarkStart w:id="411" w:name="_Toc490556278"/>
      <w:bookmarkStart w:id="412" w:name="_Toc490659159"/>
      <w:bookmarkStart w:id="413" w:name="_Toc490659348"/>
      <w:bookmarkStart w:id="414" w:name="_Toc490659552"/>
      <w:r w:rsidRPr="00E674AF">
        <w:t>Recommendation</w:t>
      </w:r>
      <w:bookmarkEnd w:id="402"/>
      <w:bookmarkEnd w:id="403"/>
      <w:bookmarkEnd w:id="404"/>
      <w:bookmarkEnd w:id="405"/>
      <w:bookmarkEnd w:id="406"/>
      <w:bookmarkEnd w:id="407"/>
      <w:bookmarkEnd w:id="408"/>
      <w:r w:rsidR="002C2903">
        <w:t>s</w:t>
      </w:r>
      <w:bookmarkEnd w:id="409"/>
      <w:bookmarkEnd w:id="410"/>
      <w:bookmarkEnd w:id="411"/>
      <w:bookmarkEnd w:id="412"/>
      <w:bookmarkEnd w:id="413"/>
      <w:bookmarkEnd w:id="414"/>
    </w:p>
    <w:tbl>
      <w:tblPr>
        <w:tblStyle w:val="TableGrid"/>
        <w:tblW w:w="0" w:type="auto"/>
        <w:tblLook w:val="04A0" w:firstRow="1" w:lastRow="0" w:firstColumn="1" w:lastColumn="0" w:noHBand="0" w:noVBand="1"/>
      </w:tblPr>
      <w:tblGrid>
        <w:gridCol w:w="9167"/>
      </w:tblGrid>
      <w:tr w:rsidR="001364C8" w:rsidTr="00E32ADF">
        <w:tc>
          <w:tcPr>
            <w:tcW w:w="9167" w:type="dxa"/>
            <w:tcBorders>
              <w:top w:val="nil"/>
              <w:left w:val="nil"/>
              <w:bottom w:val="nil"/>
              <w:right w:val="nil"/>
            </w:tcBorders>
            <w:shd w:val="clear" w:color="auto" w:fill="D9F3E6"/>
          </w:tcPr>
          <w:p w:rsidR="001364C8" w:rsidRPr="00163FB0" w:rsidRDefault="001364C8" w:rsidP="00E32ADF">
            <w:pPr>
              <w:tabs>
                <w:tab w:val="clear" w:pos="567"/>
              </w:tabs>
            </w:pPr>
            <w:r w:rsidRPr="00163FB0">
              <w:t xml:space="preserve">Staff propose to recommend </w:t>
            </w:r>
            <w:r w:rsidR="00DA66D5">
              <w:t>that</w:t>
            </w:r>
            <w:r w:rsidR="002E2732">
              <w:t xml:space="preserve"> the Commission:</w:t>
            </w:r>
          </w:p>
          <w:p w:rsidR="002C2903" w:rsidRDefault="002C2903" w:rsidP="002C2903">
            <w:pPr>
              <w:pStyle w:val="CGCBulletlist"/>
            </w:pPr>
            <w:r>
              <w:t>not change its treatment of royalties where bans on extraction are in place in most States in the 2018 Update, as it is not material to do so</w:t>
            </w:r>
          </w:p>
          <w:p w:rsidR="001364C8" w:rsidRDefault="002C2903" w:rsidP="002C2903">
            <w:pPr>
              <w:pStyle w:val="CGCBulletlist"/>
            </w:pPr>
            <w:proofErr w:type="gramStart"/>
            <w:r>
              <w:t>consider</w:t>
            </w:r>
            <w:proofErr w:type="gramEnd"/>
            <w:r>
              <w:t xml:space="preserve"> the treatment of State mineral bans as part of its 2020 Review.</w:t>
            </w:r>
          </w:p>
        </w:tc>
      </w:tr>
    </w:tbl>
    <w:p w:rsidR="00596EF8" w:rsidRPr="005C4F81" w:rsidRDefault="007B5656" w:rsidP="007B5656">
      <w:pPr>
        <w:pStyle w:val="Heading3"/>
      </w:pPr>
      <w:bookmarkStart w:id="415" w:name="_Toc489877499"/>
      <w:bookmarkStart w:id="416" w:name="_Toc489877554"/>
      <w:bookmarkStart w:id="417" w:name="_Toc489878097"/>
      <w:bookmarkStart w:id="418" w:name="_Toc489878473"/>
      <w:bookmarkStart w:id="419" w:name="_Toc490138827"/>
      <w:bookmarkStart w:id="420" w:name="_Toc490224766"/>
      <w:bookmarkStart w:id="421" w:name="_Toc490228128"/>
      <w:bookmarkStart w:id="422" w:name="_Toc490228690"/>
      <w:bookmarkStart w:id="423" w:name="_Toc490556279"/>
      <w:bookmarkStart w:id="424" w:name="_Toc490659160"/>
      <w:bookmarkStart w:id="425" w:name="_Toc490659349"/>
      <w:bookmarkStart w:id="426" w:name="_Toc490659553"/>
      <w:r w:rsidRPr="005C4F81">
        <w:lastRenderedPageBreak/>
        <w:t xml:space="preserve">Treatment of </w:t>
      </w:r>
      <w:r>
        <w:t xml:space="preserve">the </w:t>
      </w:r>
      <w:r w:rsidRPr="005C4F81">
        <w:t xml:space="preserve">new </w:t>
      </w:r>
      <w:r>
        <w:t>C</w:t>
      </w:r>
      <w:r w:rsidRPr="005C4F81">
        <w:t>ommonwealth payments commencing in 2016-17</w:t>
      </w:r>
      <w:bookmarkEnd w:id="415"/>
      <w:bookmarkEnd w:id="416"/>
      <w:bookmarkEnd w:id="417"/>
      <w:bookmarkEnd w:id="418"/>
      <w:bookmarkEnd w:id="419"/>
      <w:bookmarkEnd w:id="420"/>
      <w:bookmarkEnd w:id="421"/>
      <w:bookmarkEnd w:id="422"/>
      <w:bookmarkEnd w:id="423"/>
      <w:bookmarkEnd w:id="424"/>
      <w:bookmarkEnd w:id="425"/>
      <w:bookmarkEnd w:id="426"/>
      <w:r w:rsidRPr="005C4F81">
        <w:t xml:space="preserve"> </w:t>
      </w:r>
    </w:p>
    <w:p w:rsidR="00596EF8" w:rsidRDefault="00596EF8" w:rsidP="00596EF8">
      <w:pPr>
        <w:pStyle w:val="CGCNumberedPara"/>
      </w:pPr>
      <w:r>
        <w:t xml:space="preserve">Staff have examined the Commonwealth payments that commenced in 2016-17, as listed in </w:t>
      </w:r>
      <w:r w:rsidRPr="00EE4FBC">
        <w:rPr>
          <w:i/>
        </w:rPr>
        <w:t>Australia’s Federal Relations, Budget Paper No.3, 2017-18</w:t>
      </w:r>
      <w:r w:rsidR="00F548E6">
        <w:rPr>
          <w:i/>
        </w:rPr>
        <w:t>,</w:t>
      </w:r>
      <w:r>
        <w:t xml:space="preserve"> and propose they be treated as set out in Attachment A,</w:t>
      </w:r>
      <w:r w:rsidR="008944AE">
        <w:t xml:space="preserve"> Table A-1</w:t>
      </w:r>
      <w:r>
        <w:t>. The proposals are based on the following guideline developed in the 2015 Review:</w:t>
      </w:r>
    </w:p>
    <w:p w:rsidR="00B31CDD" w:rsidRPr="009B0FEF" w:rsidRDefault="00B31CDD" w:rsidP="00B31CDD">
      <w:pPr>
        <w:pStyle w:val="CGCQuotation"/>
        <w:ind w:left="1276" w:right="871"/>
        <w:rPr>
          <w:sz w:val="24"/>
        </w:rPr>
      </w:pPr>
      <w:proofErr w:type="gramStart"/>
      <w:r w:rsidRPr="009B0FEF">
        <w:rPr>
          <w:sz w:val="24"/>
        </w:rPr>
        <w:t>payments</w:t>
      </w:r>
      <w:proofErr w:type="gramEnd"/>
      <w:r w:rsidRPr="009B0FEF">
        <w:rPr>
          <w:sz w:val="24"/>
        </w:rPr>
        <w:t xml:space="preserve"> which support State services, and for which expenditure needs (including a deliberative equal per capita assessment) are assessed, will impact</w:t>
      </w:r>
      <w:r w:rsidR="002E2732">
        <w:rPr>
          <w:sz w:val="24"/>
        </w:rPr>
        <w:t xml:space="preserve"> on</w:t>
      </w:r>
      <w:r w:rsidRPr="009B0FEF">
        <w:rPr>
          <w:sz w:val="24"/>
        </w:rPr>
        <w:t xml:space="preserve"> the relativities.</w:t>
      </w:r>
    </w:p>
    <w:p w:rsidR="00B31CDD" w:rsidRPr="00970E6D" w:rsidRDefault="004827CC" w:rsidP="003215B5">
      <w:pPr>
        <w:pStyle w:val="Heading4"/>
      </w:pPr>
      <w:bookmarkStart w:id="427" w:name="_Toc489877500"/>
      <w:bookmarkStart w:id="428" w:name="_Toc489877555"/>
      <w:bookmarkStart w:id="429" w:name="_Toc489878098"/>
      <w:bookmarkStart w:id="430" w:name="_Toc489878474"/>
      <w:bookmarkStart w:id="431" w:name="_Toc490138828"/>
      <w:bookmarkStart w:id="432" w:name="_Toc490139358"/>
      <w:bookmarkStart w:id="433" w:name="_Toc490224767"/>
      <w:bookmarkStart w:id="434" w:name="_Toc490228129"/>
      <w:bookmarkStart w:id="435" w:name="_Toc490228691"/>
      <w:bookmarkStart w:id="436" w:name="_Toc490556280"/>
      <w:bookmarkStart w:id="437" w:name="_Toc490659161"/>
      <w:bookmarkStart w:id="438" w:name="_Toc490659350"/>
      <w:bookmarkStart w:id="439" w:name="_Toc490659554"/>
      <w:r>
        <w:t>Recommendation</w:t>
      </w:r>
      <w:bookmarkEnd w:id="427"/>
      <w:bookmarkEnd w:id="428"/>
      <w:bookmarkEnd w:id="429"/>
      <w:bookmarkEnd w:id="430"/>
      <w:bookmarkEnd w:id="431"/>
      <w:bookmarkEnd w:id="432"/>
      <w:bookmarkEnd w:id="433"/>
      <w:bookmarkEnd w:id="434"/>
      <w:bookmarkEnd w:id="435"/>
      <w:bookmarkEnd w:id="436"/>
      <w:bookmarkEnd w:id="437"/>
      <w:bookmarkEnd w:id="438"/>
      <w:bookmarkEnd w:id="439"/>
    </w:p>
    <w:tbl>
      <w:tblPr>
        <w:tblW w:w="0" w:type="auto"/>
        <w:tblInd w:w="108" w:type="dxa"/>
        <w:shd w:val="clear" w:color="auto" w:fill="D9F3E6"/>
        <w:tblLook w:val="04A0" w:firstRow="1" w:lastRow="0" w:firstColumn="1" w:lastColumn="0" w:noHBand="0" w:noVBand="1"/>
      </w:tblPr>
      <w:tblGrid>
        <w:gridCol w:w="8931"/>
      </w:tblGrid>
      <w:tr w:rsidR="00B31CDD" w:rsidRPr="00970E6D" w:rsidTr="00E32ADF">
        <w:tc>
          <w:tcPr>
            <w:tcW w:w="8931" w:type="dxa"/>
            <w:shd w:val="clear" w:color="auto" w:fill="D9F3E6"/>
          </w:tcPr>
          <w:p w:rsidR="00B31CDD" w:rsidRPr="00970E6D" w:rsidRDefault="00B31CDD" w:rsidP="00E32ADF">
            <w:pPr>
              <w:tabs>
                <w:tab w:val="clear" w:pos="567"/>
              </w:tabs>
            </w:pPr>
            <w:r w:rsidRPr="00970E6D">
              <w:t xml:space="preserve">Staff propose to recommend </w:t>
            </w:r>
            <w:r>
              <w:t>that</w:t>
            </w:r>
            <w:r w:rsidRPr="00970E6D">
              <w:t xml:space="preserve"> the </w:t>
            </w:r>
            <w:r w:rsidR="004827CC">
              <w:t>C</w:t>
            </w:r>
            <w:r>
              <w:t>ommission</w:t>
            </w:r>
            <w:r w:rsidRPr="00970E6D">
              <w:t>:</w:t>
            </w:r>
          </w:p>
          <w:p w:rsidR="00B31CDD" w:rsidRPr="00970E6D" w:rsidRDefault="00B31CDD" w:rsidP="00B31CDD">
            <w:pPr>
              <w:pStyle w:val="CGCBulletlist"/>
              <w:tabs>
                <w:tab w:val="clear" w:pos="927"/>
              </w:tabs>
              <w:ind w:left="1134" w:hanging="567"/>
            </w:pPr>
            <w:r>
              <w:t>approve staff proposals on the treatment of each of the Commonwealth payment</w:t>
            </w:r>
            <w:r w:rsidR="00B40E8E">
              <w:t>s</w:t>
            </w:r>
            <w:r>
              <w:t xml:space="preserve"> commenced in 2016-17 listed in</w:t>
            </w:r>
            <w:r w:rsidR="008944AE">
              <w:t xml:space="preserve"> Table A-1 </w:t>
            </w:r>
            <w:r>
              <w:t>of Attachment A</w:t>
            </w:r>
          </w:p>
        </w:tc>
      </w:tr>
    </w:tbl>
    <w:p w:rsidR="00076CDC" w:rsidRPr="005C4F81" w:rsidRDefault="005C4F81" w:rsidP="005C4F81">
      <w:pPr>
        <w:pStyle w:val="Heading3"/>
      </w:pPr>
      <w:bookmarkStart w:id="440" w:name="_Toc489877501"/>
      <w:bookmarkStart w:id="441" w:name="_Toc489877556"/>
      <w:bookmarkStart w:id="442" w:name="_Toc489878099"/>
      <w:bookmarkStart w:id="443" w:name="_Toc489878475"/>
      <w:bookmarkStart w:id="444" w:name="_Toc490138829"/>
      <w:bookmarkStart w:id="445" w:name="_Toc490224768"/>
      <w:bookmarkStart w:id="446" w:name="_Toc490228130"/>
      <w:bookmarkStart w:id="447" w:name="_Toc490228692"/>
      <w:bookmarkStart w:id="448" w:name="_Toc490556281"/>
      <w:bookmarkStart w:id="449" w:name="_Toc490659162"/>
      <w:bookmarkStart w:id="450" w:name="_Toc490659351"/>
      <w:bookmarkStart w:id="451" w:name="_Toc490659555"/>
      <w:r w:rsidRPr="005C4F81">
        <w:t>Commonwealth payments commencing in 2017-18 or 2018</w:t>
      </w:r>
      <w:r w:rsidRPr="005C4F81">
        <w:noBreakHyphen/>
        <w:t>19</w:t>
      </w:r>
      <w:bookmarkEnd w:id="440"/>
      <w:bookmarkEnd w:id="441"/>
      <w:bookmarkEnd w:id="442"/>
      <w:bookmarkEnd w:id="443"/>
      <w:bookmarkEnd w:id="444"/>
      <w:bookmarkEnd w:id="445"/>
      <w:bookmarkEnd w:id="446"/>
      <w:bookmarkEnd w:id="447"/>
      <w:bookmarkEnd w:id="448"/>
      <w:bookmarkEnd w:id="449"/>
      <w:bookmarkEnd w:id="450"/>
      <w:bookmarkEnd w:id="451"/>
    </w:p>
    <w:p w:rsidR="00596EF8" w:rsidRPr="00596EF8" w:rsidRDefault="00076CDC" w:rsidP="00076CDC">
      <w:pPr>
        <w:pStyle w:val="CGCNumberedPara"/>
      </w:pPr>
      <w:r>
        <w:t>Table A-2 of Attachment A provides a list of new payments that will commence in 2017-18 or 2018-19. Although the payments shown will affect the year in which the 2018 Upda</w:t>
      </w:r>
      <w:r w:rsidR="004827CC">
        <w:t xml:space="preserve">te relativities will be applied, </w:t>
      </w:r>
      <w:r w:rsidR="004827CC" w:rsidRPr="008944AE">
        <w:t>Commission staff do not propose to backcast any of them because they are the result of major change in federal financial arrangements</w:t>
      </w:r>
      <w:r w:rsidR="004827CC">
        <w:t>. The new payments will be reflected in the relativities when they appear in the data for the assessment period.</w:t>
      </w:r>
    </w:p>
    <w:p w:rsidR="004827CC" w:rsidRPr="00970E6D" w:rsidRDefault="004827CC" w:rsidP="003215B5">
      <w:pPr>
        <w:pStyle w:val="Heading4"/>
      </w:pPr>
      <w:bookmarkStart w:id="452" w:name="_Toc489877502"/>
      <w:bookmarkStart w:id="453" w:name="_Toc489877557"/>
      <w:bookmarkStart w:id="454" w:name="_Toc489878100"/>
      <w:bookmarkStart w:id="455" w:name="_Toc489878476"/>
      <w:bookmarkStart w:id="456" w:name="_Toc490138830"/>
      <w:bookmarkStart w:id="457" w:name="_Toc490139360"/>
      <w:bookmarkStart w:id="458" w:name="_Toc490224769"/>
      <w:bookmarkStart w:id="459" w:name="_Toc490228131"/>
      <w:bookmarkStart w:id="460" w:name="_Toc490228693"/>
      <w:bookmarkStart w:id="461" w:name="_Toc490556282"/>
      <w:bookmarkStart w:id="462" w:name="_Toc490659163"/>
      <w:bookmarkStart w:id="463" w:name="_Toc490659352"/>
      <w:bookmarkStart w:id="464" w:name="_Toc490659556"/>
      <w:r>
        <w:t>Recommendation</w:t>
      </w:r>
      <w:bookmarkEnd w:id="452"/>
      <w:bookmarkEnd w:id="453"/>
      <w:bookmarkEnd w:id="454"/>
      <w:bookmarkEnd w:id="455"/>
      <w:bookmarkEnd w:id="456"/>
      <w:bookmarkEnd w:id="457"/>
      <w:bookmarkEnd w:id="458"/>
      <w:bookmarkEnd w:id="459"/>
      <w:bookmarkEnd w:id="460"/>
      <w:bookmarkEnd w:id="461"/>
      <w:bookmarkEnd w:id="462"/>
      <w:bookmarkEnd w:id="463"/>
      <w:bookmarkEnd w:id="464"/>
    </w:p>
    <w:tbl>
      <w:tblPr>
        <w:tblW w:w="0" w:type="auto"/>
        <w:tblInd w:w="108" w:type="dxa"/>
        <w:shd w:val="clear" w:color="auto" w:fill="D9F3E6"/>
        <w:tblLook w:val="04A0" w:firstRow="1" w:lastRow="0" w:firstColumn="1" w:lastColumn="0" w:noHBand="0" w:noVBand="1"/>
      </w:tblPr>
      <w:tblGrid>
        <w:gridCol w:w="8931"/>
      </w:tblGrid>
      <w:tr w:rsidR="004827CC" w:rsidRPr="00970E6D" w:rsidTr="00E32ADF">
        <w:tc>
          <w:tcPr>
            <w:tcW w:w="8931" w:type="dxa"/>
            <w:shd w:val="clear" w:color="auto" w:fill="D9F3E6"/>
          </w:tcPr>
          <w:p w:rsidR="004827CC" w:rsidRPr="00970E6D" w:rsidRDefault="004827CC" w:rsidP="00E32ADF">
            <w:pPr>
              <w:tabs>
                <w:tab w:val="clear" w:pos="567"/>
              </w:tabs>
            </w:pPr>
            <w:r w:rsidRPr="00970E6D">
              <w:t xml:space="preserve">Staff propose to recommend </w:t>
            </w:r>
            <w:r>
              <w:t>that</w:t>
            </w:r>
            <w:r w:rsidRPr="00970E6D">
              <w:t xml:space="preserve"> the </w:t>
            </w:r>
            <w:r>
              <w:t>Commission</w:t>
            </w:r>
            <w:r w:rsidRPr="00970E6D">
              <w:t>:</w:t>
            </w:r>
          </w:p>
          <w:p w:rsidR="004827CC" w:rsidRPr="00970E6D" w:rsidRDefault="004827CC" w:rsidP="008944AE">
            <w:pPr>
              <w:pStyle w:val="CGCBulletlist"/>
              <w:tabs>
                <w:tab w:val="clear" w:pos="927"/>
              </w:tabs>
              <w:ind w:left="1134" w:hanging="567"/>
            </w:pPr>
            <w:r>
              <w:t>not backcast the Commonwealth payments commencing in 2017-18 or 2018</w:t>
            </w:r>
            <w:r>
              <w:noBreakHyphen/>
              <w:t xml:space="preserve">19 listed in </w:t>
            </w:r>
            <w:r w:rsidR="008944AE">
              <w:t>Table A-2</w:t>
            </w:r>
            <w:r>
              <w:t xml:space="preserve"> of Attachment A</w:t>
            </w:r>
          </w:p>
        </w:tc>
      </w:tr>
      <w:bookmarkEnd w:id="57"/>
      <w:bookmarkEnd w:id="58"/>
      <w:bookmarkEnd w:id="59"/>
      <w:bookmarkEnd w:id="60"/>
      <w:bookmarkEnd w:id="61"/>
      <w:bookmarkEnd w:id="62"/>
      <w:bookmarkEnd w:id="63"/>
      <w:bookmarkEnd w:id="64"/>
    </w:tbl>
    <w:p w:rsidR="00BE794D" w:rsidRPr="00970E6D" w:rsidRDefault="00BE794D" w:rsidP="007F1986">
      <w:pPr>
        <w:pStyle w:val="CGCNumberedPara"/>
        <w:numPr>
          <w:ilvl w:val="0"/>
          <w:numId w:val="0"/>
        </w:numPr>
      </w:pP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3206F6">
          <w:headerReference w:type="default" r:id="rId24"/>
          <w:footerReference w:type="default" r:id="rId25"/>
          <w:headerReference w:type="first" r:id="rId26"/>
          <w:footerReference w:type="first" r:id="rId27"/>
          <w:pgSz w:w="11899" w:h="16838" w:code="9"/>
          <w:pgMar w:top="1701" w:right="1474" w:bottom="1843" w:left="1474" w:header="709" w:footer="709" w:gutter="0"/>
          <w:pgNumType w:start="1"/>
          <w:cols w:space="708"/>
          <w:titlePg/>
          <w:docGrid w:linePitch="299"/>
        </w:sectPr>
      </w:pPr>
    </w:p>
    <w:p w:rsidR="0044559E" w:rsidRDefault="0044559E" w:rsidP="0044559E">
      <w:pPr>
        <w:pStyle w:val="Heading3"/>
      </w:pPr>
      <w:bookmarkStart w:id="465" w:name="_Toc490228694"/>
      <w:bookmarkStart w:id="466" w:name="_Toc490556283"/>
      <w:bookmarkStart w:id="467" w:name="_Toc490659164"/>
      <w:bookmarkStart w:id="468" w:name="_Toc490659353"/>
      <w:bookmarkStart w:id="469" w:name="_Toc490659557"/>
      <w:r>
        <w:lastRenderedPageBreak/>
        <w:t>Attachment A</w:t>
      </w:r>
      <w:bookmarkEnd w:id="465"/>
      <w:bookmarkEnd w:id="466"/>
      <w:bookmarkEnd w:id="467"/>
      <w:bookmarkEnd w:id="468"/>
      <w:bookmarkEnd w:id="469"/>
    </w:p>
    <w:p w:rsidR="00EE4FBC" w:rsidRPr="00F369A6" w:rsidRDefault="00EE4FBC" w:rsidP="0072187F">
      <w:pPr>
        <w:pStyle w:val="CGCTableHeading"/>
      </w:pPr>
      <w:r w:rsidRPr="0072187F">
        <w:rPr>
          <w:noProof/>
          <w:sz w:val="22"/>
          <w:szCs w:val="22"/>
          <w:lang w:eastAsia="en-AU"/>
        </w:rPr>
        <mc:AlternateContent>
          <mc:Choice Requires="wps">
            <w:drawing>
              <wp:anchor distT="0" distB="0" distL="114300" distR="114300" simplePos="0" relativeHeight="251659264" behindDoc="0" locked="0" layoutInCell="1" allowOverlap="1" wp14:anchorId="003B2369" wp14:editId="77CA178E">
                <wp:simplePos x="0" y="0"/>
                <wp:positionH relativeFrom="column">
                  <wp:posOffset>-632460</wp:posOffset>
                </wp:positionH>
                <wp:positionV relativeFrom="paragraph">
                  <wp:posOffset>187325</wp:posOffset>
                </wp:positionV>
                <wp:extent cx="430530" cy="4962525"/>
                <wp:effectExtent l="0" t="0" r="762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EE4FBC">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500132">
                              <w:rPr>
                                <w:noProof/>
                              </w:rPr>
                              <w:t>30</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9.8pt;margin-top:14.75pt;width:33.9pt;height:3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WhfwIAABE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" stroked="f">
                <v:textbox style="layout-flow:vertical">
                  <w:txbxContent>
                    <w:p w:rsidR="004E56AA" w:rsidRPr="004C6DAD" w:rsidRDefault="004E56AA" w:rsidP="00EE4FBC">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500132">
                        <w:rPr>
                          <w:noProof/>
                        </w:rPr>
                        <w:t>30</w:t>
                      </w:r>
                      <w:r>
                        <w:rPr>
                          <w:noProof/>
                        </w:rPr>
                        <w:fldChar w:fldCharType="end"/>
                      </w:r>
                    </w:p>
                  </w:txbxContent>
                </v:textbox>
              </v:shape>
            </w:pict>
          </mc:Fallback>
        </mc:AlternateContent>
      </w:r>
      <w:r w:rsidR="0072187F" w:rsidRPr="0072187F">
        <w:rPr>
          <w:sz w:val="22"/>
          <w:szCs w:val="22"/>
        </w:rPr>
        <w:t xml:space="preserve">Table A- </w:t>
      </w:r>
      <w:r w:rsidR="0072187F" w:rsidRPr="0072187F">
        <w:rPr>
          <w:sz w:val="22"/>
          <w:szCs w:val="22"/>
        </w:rPr>
        <w:fldChar w:fldCharType="begin"/>
      </w:r>
      <w:r w:rsidR="0072187F" w:rsidRPr="0072187F">
        <w:rPr>
          <w:sz w:val="22"/>
          <w:szCs w:val="22"/>
        </w:rPr>
        <w:instrText xml:space="preserve"> SEQ Table_A- \* ARABIC </w:instrText>
      </w:r>
      <w:r w:rsidR="0072187F" w:rsidRPr="0072187F">
        <w:rPr>
          <w:sz w:val="22"/>
          <w:szCs w:val="22"/>
        </w:rPr>
        <w:fldChar w:fldCharType="separate"/>
      </w:r>
      <w:r w:rsidR="00500132">
        <w:rPr>
          <w:noProof/>
          <w:sz w:val="22"/>
          <w:szCs w:val="22"/>
        </w:rPr>
        <w:t>1</w:t>
      </w:r>
      <w:r w:rsidR="0072187F" w:rsidRPr="0072187F">
        <w:rPr>
          <w:sz w:val="22"/>
          <w:szCs w:val="22"/>
        </w:rPr>
        <w:fldChar w:fldCharType="end"/>
      </w:r>
      <w:r w:rsidR="0072187F" w:rsidRPr="0072187F">
        <w:rPr>
          <w:sz w:val="22"/>
          <w:szCs w:val="22"/>
        </w:rPr>
        <w:t xml:space="preserve"> </w:t>
      </w:r>
      <w:r w:rsidR="0072187F" w:rsidRPr="0072187F">
        <w:rPr>
          <w:sz w:val="22"/>
          <w:szCs w:val="22"/>
        </w:rPr>
        <w:tab/>
      </w:r>
      <w:r w:rsidRPr="0072187F">
        <w:rPr>
          <w:sz w:val="22"/>
          <w:szCs w:val="22"/>
        </w:rPr>
        <w:t xml:space="preserve">Proposed treatment of Commonwealth payments commenced in 2016-17, </w:t>
      </w:r>
      <w:r w:rsidRPr="0072187F">
        <w:rPr>
          <w:i/>
          <w:sz w:val="22"/>
          <w:szCs w:val="22"/>
        </w:rPr>
        <w:t>Federal Financial Relations, Budget Paper No. 3, 2017-18</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6"/>
        <w:gridCol w:w="5810"/>
        <w:gridCol w:w="1136"/>
        <w:gridCol w:w="1417"/>
        <w:gridCol w:w="2203"/>
      </w:tblGrid>
      <w:tr w:rsidR="00EE4FBC" w:rsidRPr="00533864" w:rsidTr="006E43BB">
        <w:tc>
          <w:tcPr>
            <w:tcW w:w="1130" w:type="pct"/>
            <w:vAlign w:val="center"/>
          </w:tcPr>
          <w:p w:rsidR="00EE4FBC" w:rsidRPr="00533864" w:rsidRDefault="00EE4FB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128" w:type="pct"/>
            <w:vAlign w:val="center"/>
          </w:tcPr>
          <w:p w:rsidR="00EE4FBC" w:rsidRPr="00533864" w:rsidRDefault="00EE4FB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16" w:type="pct"/>
            <w:vAlign w:val="center"/>
          </w:tcPr>
          <w:p w:rsidR="00EE4FBC" w:rsidRPr="00533864" w:rsidRDefault="00EE4FBC"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2016-17 </w:t>
            </w:r>
            <w:r w:rsidRPr="00533864">
              <w:rPr>
                <w:rFonts w:ascii="Calibri" w:eastAsia="Calibri" w:hAnsi="Calibri" w:cs="Times New Roman"/>
                <w:sz w:val="20"/>
                <w:szCs w:val="20"/>
              </w:rPr>
              <w:t>$m</w:t>
            </w:r>
          </w:p>
        </w:tc>
        <w:tc>
          <w:tcPr>
            <w:tcW w:w="519" w:type="pct"/>
            <w:vAlign w:val="center"/>
          </w:tcPr>
          <w:p w:rsidR="00EE4FBC" w:rsidRPr="00533864" w:rsidRDefault="00EE4FBC" w:rsidP="00E32ADF">
            <w:pPr>
              <w:spacing w:before="40" w:after="40"/>
              <w:ind w:left="-30"/>
              <w:rPr>
                <w:rFonts w:ascii="Calibri" w:eastAsia="Calibri" w:hAnsi="Calibri" w:cs="Times New Roman"/>
                <w:sz w:val="20"/>
                <w:szCs w:val="20"/>
              </w:rPr>
            </w:pPr>
            <w:r w:rsidRPr="00533864">
              <w:rPr>
                <w:rFonts w:ascii="Calibri" w:eastAsia="Calibri" w:hAnsi="Calibri" w:cs="Times New Roman"/>
                <w:sz w:val="20"/>
                <w:szCs w:val="20"/>
              </w:rPr>
              <w:t>Proposed treatment</w:t>
            </w:r>
          </w:p>
        </w:tc>
        <w:tc>
          <w:tcPr>
            <w:tcW w:w="807" w:type="pct"/>
            <w:tcBorders>
              <w:bottom w:val="single" w:sz="4" w:space="0" w:color="auto"/>
            </w:tcBorders>
            <w:vAlign w:val="center"/>
          </w:tcPr>
          <w:p w:rsidR="00EE4FBC" w:rsidRPr="00533864" w:rsidRDefault="00EE4FB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Reason for No impact treatment</w:t>
            </w:r>
          </w:p>
        </w:tc>
      </w:tr>
      <w:tr w:rsidR="00EE4FBC" w:rsidRPr="00732D02" w:rsidTr="006E43BB">
        <w:tc>
          <w:tcPr>
            <w:tcW w:w="5000" w:type="pct"/>
            <w:gridSpan w:val="5"/>
            <w:tcBorders>
              <w:bottom w:val="single" w:sz="4" w:space="0" w:color="auto"/>
            </w:tcBorders>
          </w:tcPr>
          <w:p w:rsidR="00EE4FBC" w:rsidRPr="00732D02" w:rsidRDefault="00EE4FBC" w:rsidP="00E32ADF">
            <w:pPr>
              <w:spacing w:before="40" w:after="40"/>
              <w:rPr>
                <w:rFonts w:ascii="Calibri" w:eastAsia="Calibri" w:hAnsi="Calibri" w:cs="Times New Roman"/>
                <w:b/>
                <w:sz w:val="20"/>
                <w:szCs w:val="20"/>
              </w:rPr>
            </w:pPr>
            <w:r>
              <w:rPr>
                <w:rFonts w:ascii="Calibri" w:eastAsia="Calibri" w:hAnsi="Calibri" w:cs="Times New Roman"/>
                <w:b/>
                <w:sz w:val="20"/>
                <w:szCs w:val="20"/>
              </w:rPr>
              <w:t>HEALTH</w:t>
            </w:r>
          </w:p>
        </w:tc>
      </w:tr>
      <w:tr w:rsidR="00EE4FBC" w:rsidRPr="00732D02" w:rsidTr="006E43BB">
        <w:tc>
          <w:tcPr>
            <w:tcW w:w="5000" w:type="pct"/>
            <w:gridSpan w:val="5"/>
            <w:tcBorders>
              <w:bottom w:val="single" w:sz="4" w:space="0" w:color="auto"/>
            </w:tcBorders>
          </w:tcPr>
          <w:p w:rsidR="00EE4FBC" w:rsidRPr="00674C75" w:rsidRDefault="00EE4FBC" w:rsidP="00EE4FBC">
            <w:pPr>
              <w:spacing w:before="40" w:after="40"/>
              <w:rPr>
                <w:rFonts w:ascii="Calibri" w:eastAsia="Calibri" w:hAnsi="Calibri" w:cs="Times New Roman"/>
                <w:b/>
                <w:sz w:val="20"/>
                <w:szCs w:val="20"/>
                <w:highlight w:val="yellow"/>
              </w:rPr>
            </w:pPr>
            <w:r>
              <w:rPr>
                <w:rFonts w:ascii="Calibri" w:eastAsia="Calibri" w:hAnsi="Calibri" w:cs="Times New Roman"/>
                <w:b/>
                <w:sz w:val="20"/>
                <w:szCs w:val="20"/>
              </w:rPr>
              <w:t>Health services</w:t>
            </w:r>
          </w:p>
        </w:tc>
      </w:tr>
      <w:tr w:rsidR="00EE4FBC" w:rsidRPr="00732D02" w:rsidTr="006E43BB">
        <w:tc>
          <w:tcPr>
            <w:tcW w:w="1130" w:type="pct"/>
            <w:tcBorders>
              <w:top w:val="single" w:sz="4" w:space="0" w:color="auto"/>
              <w:bottom w:val="single" w:sz="4" w:space="0" w:color="auto"/>
            </w:tcBorders>
          </w:tcPr>
          <w:p w:rsidR="00EE4FBC" w:rsidRPr="00732D02" w:rsidRDefault="00EE4FBC" w:rsidP="00E32ADF">
            <w:pPr>
              <w:spacing w:before="40" w:after="40"/>
              <w:rPr>
                <w:rFonts w:ascii="Calibri" w:eastAsia="Calibri" w:hAnsi="Calibri" w:cs="Times New Roman"/>
                <w:sz w:val="20"/>
                <w:szCs w:val="20"/>
              </w:rPr>
            </w:pPr>
            <w:r>
              <w:rPr>
                <w:rFonts w:ascii="Calibri" w:hAnsi="Calibri"/>
                <w:color w:val="000000"/>
                <w:sz w:val="20"/>
                <w:szCs w:val="20"/>
              </w:rPr>
              <w:t xml:space="preserve">Mersey community hospital </w:t>
            </w:r>
          </w:p>
        </w:tc>
        <w:tc>
          <w:tcPr>
            <w:tcW w:w="2128" w:type="pct"/>
            <w:tcBorders>
              <w:top w:val="single" w:sz="4" w:space="0" w:color="auto"/>
              <w:bottom w:val="single" w:sz="4" w:space="0" w:color="auto"/>
            </w:tcBorders>
          </w:tcPr>
          <w:p w:rsidR="00EE4FBC" w:rsidRPr="00732D02" w:rsidRDefault="00F10B3C" w:rsidP="005D24C0">
            <w:pPr>
              <w:spacing w:before="40" w:after="40"/>
              <w:rPr>
                <w:rFonts w:ascii="Calibri" w:eastAsia="Calibri" w:hAnsi="Calibri" w:cs="Times New Roman"/>
                <w:sz w:val="20"/>
                <w:szCs w:val="20"/>
              </w:rPr>
            </w:pPr>
            <w:r w:rsidRPr="00F10B3C">
              <w:rPr>
                <w:rFonts w:ascii="Calibri" w:eastAsia="Calibri" w:hAnsi="Calibri" w:cs="Times New Roman"/>
                <w:sz w:val="20"/>
                <w:szCs w:val="20"/>
              </w:rPr>
              <w:t xml:space="preserve">The Commonwealth will provide funding to support the transfer and operation of the Mersey Community Hospital for the next </w:t>
            </w:r>
            <w:r w:rsidR="008944AE">
              <w:rPr>
                <w:rFonts w:ascii="Calibri" w:eastAsia="Calibri" w:hAnsi="Calibri" w:cs="Times New Roman"/>
                <w:sz w:val="20"/>
                <w:szCs w:val="20"/>
              </w:rPr>
              <w:t>10</w:t>
            </w:r>
            <w:r w:rsidRPr="00F10B3C">
              <w:rPr>
                <w:rFonts w:ascii="Calibri" w:eastAsia="Calibri" w:hAnsi="Calibri" w:cs="Times New Roman"/>
                <w:sz w:val="20"/>
                <w:szCs w:val="20"/>
              </w:rPr>
              <w:t xml:space="preserve"> years. Funding will also support the delivery of rehabilitation and palliative care services.</w:t>
            </w:r>
            <w:r w:rsidR="00ED0905">
              <w:rPr>
                <w:rFonts w:ascii="Calibri" w:eastAsia="Calibri" w:hAnsi="Calibri" w:cs="Times New Roman"/>
                <w:sz w:val="20"/>
                <w:szCs w:val="20"/>
              </w:rPr>
              <w:t xml:space="preserve"> </w:t>
            </w:r>
            <w:r w:rsidR="00ED0905" w:rsidRPr="00ED0905">
              <w:rPr>
                <w:rFonts w:ascii="Calibri" w:eastAsia="Calibri" w:hAnsi="Calibri" w:cs="Times New Roman"/>
                <w:sz w:val="20"/>
                <w:szCs w:val="20"/>
              </w:rPr>
              <w:t>The Nationa</w:t>
            </w:r>
            <w:r w:rsidR="008B46E3">
              <w:rPr>
                <w:rFonts w:ascii="Calibri" w:eastAsia="Calibri" w:hAnsi="Calibri" w:cs="Times New Roman"/>
                <w:sz w:val="20"/>
                <w:szCs w:val="20"/>
              </w:rPr>
              <w:t>l partnership payment of $730.4 million</w:t>
            </w:r>
            <w:r w:rsidR="00ED0905" w:rsidRPr="00ED0905">
              <w:rPr>
                <w:rFonts w:ascii="Calibri" w:eastAsia="Calibri" w:hAnsi="Calibri" w:cs="Times New Roman"/>
                <w:sz w:val="20"/>
                <w:szCs w:val="20"/>
              </w:rPr>
              <w:t xml:space="preserve"> </w:t>
            </w:r>
            <w:r w:rsidR="005D24C0">
              <w:rPr>
                <w:rFonts w:ascii="Calibri" w:eastAsia="Calibri" w:hAnsi="Calibri" w:cs="Times New Roman"/>
                <w:sz w:val="20"/>
                <w:szCs w:val="20"/>
              </w:rPr>
              <w:t xml:space="preserve">made in 2016-17 </w:t>
            </w:r>
            <w:r w:rsidR="00ED0905">
              <w:rPr>
                <w:rFonts w:ascii="Calibri" w:eastAsia="Calibri" w:hAnsi="Calibri" w:cs="Times New Roman"/>
                <w:sz w:val="20"/>
                <w:szCs w:val="20"/>
              </w:rPr>
              <w:t xml:space="preserve">will </w:t>
            </w:r>
            <w:r w:rsidR="00ED0905" w:rsidRPr="00ED0905">
              <w:rPr>
                <w:rFonts w:ascii="Calibri" w:eastAsia="Calibri" w:hAnsi="Calibri" w:cs="Times New Roman"/>
                <w:sz w:val="20"/>
                <w:szCs w:val="20"/>
              </w:rPr>
              <w:t>cover the operating costs of the hospital for 10 years. The funds will be provided to the Tasmania</w:t>
            </w:r>
            <w:r w:rsidR="008944AE">
              <w:rPr>
                <w:rFonts w:ascii="Calibri" w:eastAsia="Calibri" w:hAnsi="Calibri" w:cs="Times New Roman"/>
                <w:sz w:val="20"/>
                <w:szCs w:val="20"/>
              </w:rPr>
              <w:t>n</w:t>
            </w:r>
            <w:r w:rsidR="00ED0905" w:rsidRPr="00ED0905">
              <w:rPr>
                <w:rFonts w:ascii="Calibri" w:eastAsia="Calibri" w:hAnsi="Calibri" w:cs="Times New Roman"/>
                <w:sz w:val="20"/>
                <w:szCs w:val="20"/>
              </w:rPr>
              <w:t xml:space="preserve"> government which will transfer the full amount to the Tasmania Public Finance Corporation (</w:t>
            </w:r>
            <w:proofErr w:type="spellStart"/>
            <w:r w:rsidR="00ED0905" w:rsidRPr="00ED0905">
              <w:rPr>
                <w:rFonts w:ascii="Calibri" w:eastAsia="Calibri" w:hAnsi="Calibri" w:cs="Times New Roman"/>
                <w:sz w:val="20"/>
                <w:szCs w:val="20"/>
              </w:rPr>
              <w:t>TasCorp</w:t>
            </w:r>
            <w:proofErr w:type="spellEnd"/>
            <w:r w:rsidR="00ED0905" w:rsidRPr="00ED0905">
              <w:rPr>
                <w:rFonts w:ascii="Calibri" w:eastAsia="Calibri" w:hAnsi="Calibri" w:cs="Times New Roman"/>
                <w:sz w:val="20"/>
                <w:szCs w:val="20"/>
              </w:rPr>
              <w:t xml:space="preserve">) as </w:t>
            </w:r>
            <w:r w:rsidR="005D24C0">
              <w:rPr>
                <w:rFonts w:ascii="Calibri" w:eastAsia="Calibri" w:hAnsi="Calibri" w:cs="Times New Roman"/>
                <w:sz w:val="20"/>
                <w:szCs w:val="20"/>
              </w:rPr>
              <w:t xml:space="preserve">a </w:t>
            </w:r>
            <w:r w:rsidR="00ED0905" w:rsidRPr="00ED0905">
              <w:rPr>
                <w:rFonts w:ascii="Calibri" w:eastAsia="Calibri" w:hAnsi="Calibri" w:cs="Times New Roman"/>
                <w:sz w:val="20"/>
                <w:szCs w:val="20"/>
              </w:rPr>
              <w:t>one</w:t>
            </w:r>
            <w:r w:rsidR="005D24C0">
              <w:rPr>
                <w:rFonts w:ascii="Calibri" w:eastAsia="Calibri" w:hAnsi="Calibri" w:cs="Times New Roman"/>
                <w:sz w:val="20"/>
                <w:szCs w:val="20"/>
              </w:rPr>
              <w:t>-</w:t>
            </w:r>
            <w:r w:rsidR="00ED0905" w:rsidRPr="00ED0905">
              <w:rPr>
                <w:rFonts w:ascii="Calibri" w:eastAsia="Calibri" w:hAnsi="Calibri" w:cs="Times New Roman"/>
                <w:sz w:val="20"/>
                <w:szCs w:val="20"/>
              </w:rPr>
              <w:t xml:space="preserve">off equity contribution to the Mersey Community Hospital Fund. </w:t>
            </w:r>
            <w:proofErr w:type="spellStart"/>
            <w:r w:rsidR="00ED0905" w:rsidRPr="00ED0905">
              <w:rPr>
                <w:rFonts w:ascii="Calibri" w:eastAsia="Calibri" w:hAnsi="Calibri" w:cs="Times New Roman"/>
                <w:sz w:val="20"/>
                <w:szCs w:val="20"/>
              </w:rPr>
              <w:t>TasCorp</w:t>
            </w:r>
            <w:proofErr w:type="spellEnd"/>
            <w:r w:rsidR="00ED0905" w:rsidRPr="00ED0905">
              <w:rPr>
                <w:rFonts w:ascii="Calibri" w:eastAsia="Calibri" w:hAnsi="Calibri" w:cs="Times New Roman"/>
                <w:sz w:val="20"/>
                <w:szCs w:val="20"/>
              </w:rPr>
              <w:t xml:space="preserve"> will make annual dividend payments to the Tasmanian government equivalent to the indexed operating </w:t>
            </w:r>
            <w:r w:rsidR="00ED0905">
              <w:rPr>
                <w:rFonts w:ascii="Calibri" w:eastAsia="Calibri" w:hAnsi="Calibri" w:cs="Times New Roman"/>
                <w:sz w:val="20"/>
                <w:szCs w:val="20"/>
              </w:rPr>
              <w:t>costs of the hospital from 2017-</w:t>
            </w:r>
            <w:r w:rsidR="00ED0905" w:rsidRPr="00ED0905">
              <w:rPr>
                <w:rFonts w:ascii="Calibri" w:eastAsia="Calibri" w:hAnsi="Calibri" w:cs="Times New Roman"/>
                <w:sz w:val="20"/>
                <w:szCs w:val="20"/>
              </w:rPr>
              <w:t>18 until the Fund ceases.</w:t>
            </w:r>
            <w:r w:rsidR="005D24C0">
              <w:rPr>
                <w:rFonts w:ascii="Calibri" w:eastAsia="Calibri" w:hAnsi="Calibri" w:cs="Times New Roman"/>
                <w:sz w:val="20"/>
                <w:szCs w:val="20"/>
              </w:rPr>
              <w:t xml:space="preserve"> (See discussions earlier in this paper.)</w:t>
            </w:r>
          </w:p>
        </w:tc>
        <w:tc>
          <w:tcPr>
            <w:tcW w:w="416" w:type="pct"/>
            <w:tcBorders>
              <w:top w:val="single" w:sz="4" w:space="0" w:color="auto"/>
              <w:bottom w:val="single" w:sz="4" w:space="0" w:color="auto"/>
            </w:tcBorders>
          </w:tcPr>
          <w:p w:rsidR="00EE4FBC" w:rsidRPr="00732D02" w:rsidRDefault="00EE4FBC" w:rsidP="00ED0905">
            <w:pPr>
              <w:spacing w:before="40" w:after="40"/>
              <w:jc w:val="right"/>
              <w:rPr>
                <w:rFonts w:ascii="Calibri" w:eastAsia="Calibri" w:hAnsi="Calibri" w:cs="Times New Roman"/>
                <w:sz w:val="20"/>
                <w:szCs w:val="20"/>
              </w:rPr>
            </w:pPr>
            <w:r>
              <w:rPr>
                <w:rFonts w:ascii="Calibri" w:eastAsia="Calibri" w:hAnsi="Calibri" w:cs="Times New Roman"/>
                <w:sz w:val="20"/>
                <w:szCs w:val="20"/>
              </w:rPr>
              <w:t>73</w:t>
            </w:r>
            <w:r w:rsidR="002931BA">
              <w:rPr>
                <w:rFonts w:ascii="Calibri" w:eastAsia="Calibri" w:hAnsi="Calibri" w:cs="Times New Roman"/>
                <w:sz w:val="20"/>
                <w:szCs w:val="20"/>
              </w:rPr>
              <w:t>0</w:t>
            </w:r>
            <w:r w:rsidR="00ED0905">
              <w:rPr>
                <w:rFonts w:ascii="Calibri" w:eastAsia="Calibri" w:hAnsi="Calibri" w:cs="Times New Roman"/>
                <w:sz w:val="20"/>
                <w:szCs w:val="20"/>
              </w:rPr>
              <w:t>.4</w:t>
            </w:r>
          </w:p>
        </w:tc>
        <w:tc>
          <w:tcPr>
            <w:tcW w:w="519" w:type="pct"/>
            <w:tcBorders>
              <w:top w:val="single" w:sz="4" w:space="0" w:color="auto"/>
              <w:bottom w:val="single" w:sz="4" w:space="0" w:color="auto"/>
            </w:tcBorders>
          </w:tcPr>
          <w:p w:rsidR="00EE4FBC" w:rsidRPr="00732D02" w:rsidRDefault="00ED0905" w:rsidP="00E32ADF">
            <w:pPr>
              <w:spacing w:before="40" w:after="40"/>
              <w:rPr>
                <w:rFonts w:ascii="Calibri" w:eastAsia="Calibri" w:hAnsi="Calibri" w:cs="Times New Roman"/>
                <w:sz w:val="20"/>
                <w:szCs w:val="20"/>
              </w:rPr>
            </w:pPr>
            <w:r>
              <w:rPr>
                <w:rFonts w:ascii="Calibri" w:eastAsia="Calibri" w:hAnsi="Calibri" w:cs="Times New Roman"/>
                <w:sz w:val="20"/>
                <w:szCs w:val="20"/>
              </w:rPr>
              <w:t>No i</w:t>
            </w:r>
            <w:r w:rsidR="00EE4FBC">
              <w:rPr>
                <w:rFonts w:ascii="Calibri" w:eastAsia="Calibri" w:hAnsi="Calibri" w:cs="Times New Roman"/>
                <w:sz w:val="20"/>
                <w:szCs w:val="20"/>
              </w:rPr>
              <w:t>mpact</w:t>
            </w:r>
          </w:p>
        </w:tc>
        <w:tc>
          <w:tcPr>
            <w:tcW w:w="807" w:type="pct"/>
            <w:tcBorders>
              <w:top w:val="single" w:sz="4" w:space="0" w:color="auto"/>
              <w:bottom w:val="single" w:sz="4" w:space="0" w:color="auto"/>
            </w:tcBorders>
          </w:tcPr>
          <w:p w:rsidR="00EE4FBC" w:rsidRPr="00732D02" w:rsidRDefault="005D24C0" w:rsidP="005D24C0">
            <w:pPr>
              <w:spacing w:before="40" w:after="40"/>
              <w:rPr>
                <w:rFonts w:ascii="Calibri" w:eastAsia="Calibri" w:hAnsi="Calibri" w:cs="Times New Roman"/>
                <w:sz w:val="20"/>
                <w:szCs w:val="20"/>
              </w:rPr>
            </w:pPr>
            <w:r>
              <w:rPr>
                <w:rFonts w:ascii="Calibri" w:eastAsia="Calibri" w:hAnsi="Calibri" w:cs="Times New Roman"/>
                <w:sz w:val="20"/>
                <w:szCs w:val="20"/>
              </w:rPr>
              <w:t xml:space="preserve">Expected </w:t>
            </w:r>
            <w:r w:rsidR="00F10B3C">
              <w:rPr>
                <w:rFonts w:ascii="Calibri" w:eastAsia="Calibri" w:hAnsi="Calibri" w:cs="Times New Roman"/>
                <w:sz w:val="20"/>
                <w:szCs w:val="20"/>
              </w:rPr>
              <w:t xml:space="preserve">U2018 </w:t>
            </w:r>
            <w:r>
              <w:rPr>
                <w:rFonts w:ascii="Calibri" w:eastAsia="Calibri" w:hAnsi="Calibri" w:cs="Times New Roman"/>
                <w:sz w:val="20"/>
                <w:szCs w:val="20"/>
              </w:rPr>
              <w:t>t</w:t>
            </w:r>
            <w:r w:rsidR="00F10B3C">
              <w:rPr>
                <w:rFonts w:ascii="Calibri" w:eastAsia="Calibri" w:hAnsi="Calibri" w:cs="Times New Roman"/>
                <w:sz w:val="20"/>
                <w:szCs w:val="20"/>
              </w:rPr>
              <w:t>erms of reference requirement</w:t>
            </w:r>
            <w:r w:rsidR="00F10B3C">
              <w:rPr>
                <w:rStyle w:val="FootnoteReference"/>
                <w:rFonts w:ascii="Calibri" w:eastAsia="Calibri" w:hAnsi="Calibri" w:cs="Times New Roman"/>
                <w:sz w:val="20"/>
                <w:szCs w:val="20"/>
              </w:rPr>
              <w:footnoteReference w:id="11"/>
            </w:r>
          </w:p>
        </w:tc>
      </w:tr>
      <w:tr w:rsidR="00DF1481" w:rsidRPr="00732D02" w:rsidTr="00DF1481">
        <w:tc>
          <w:tcPr>
            <w:tcW w:w="5000" w:type="pct"/>
            <w:gridSpan w:val="5"/>
            <w:tcBorders>
              <w:top w:val="single" w:sz="4" w:space="0" w:color="auto"/>
              <w:bottom w:val="single" w:sz="4" w:space="0" w:color="auto"/>
            </w:tcBorders>
          </w:tcPr>
          <w:p w:rsidR="00DF1481" w:rsidRPr="00DF1481" w:rsidRDefault="00DF1481" w:rsidP="00E32ADF">
            <w:pPr>
              <w:spacing w:before="40" w:after="40"/>
              <w:rPr>
                <w:rFonts w:ascii="Calibri" w:eastAsia="Calibri" w:hAnsi="Calibri" w:cs="Times New Roman"/>
                <w:b/>
                <w:sz w:val="20"/>
                <w:szCs w:val="20"/>
              </w:rPr>
            </w:pPr>
            <w:r w:rsidRPr="00DF1481">
              <w:rPr>
                <w:rFonts w:ascii="Calibri" w:eastAsia="Calibri" w:hAnsi="Calibri" w:cs="Times New Roman"/>
                <w:b/>
                <w:sz w:val="20"/>
                <w:szCs w:val="20"/>
              </w:rPr>
              <w:t>Indigenous health</w:t>
            </w:r>
          </w:p>
        </w:tc>
      </w:tr>
      <w:tr w:rsidR="00DF1481" w:rsidRPr="00732D02" w:rsidTr="006E43BB">
        <w:tc>
          <w:tcPr>
            <w:tcW w:w="1130" w:type="pct"/>
            <w:tcBorders>
              <w:top w:val="single" w:sz="4" w:space="0" w:color="auto"/>
              <w:bottom w:val="single" w:sz="4" w:space="0" w:color="auto"/>
            </w:tcBorders>
          </w:tcPr>
          <w:p w:rsidR="00DF1481" w:rsidRPr="00732D02" w:rsidRDefault="00DF1481" w:rsidP="00E32ADF">
            <w:pPr>
              <w:spacing w:before="40" w:after="40"/>
              <w:rPr>
                <w:rFonts w:ascii="Calibri" w:eastAsia="Calibri" w:hAnsi="Calibri" w:cs="Times New Roman"/>
                <w:sz w:val="20"/>
                <w:szCs w:val="20"/>
              </w:rPr>
            </w:pPr>
            <w:r w:rsidRPr="00D708B3">
              <w:rPr>
                <w:rFonts w:ascii="Calibri" w:eastAsia="Calibri" w:hAnsi="Calibri" w:cs="Times New Roman"/>
                <w:sz w:val="20"/>
                <w:szCs w:val="20"/>
              </w:rPr>
              <w:t>Addressing blood borne viruses and sexually transmitted infecti</w:t>
            </w:r>
            <w:r>
              <w:rPr>
                <w:rFonts w:ascii="Calibri" w:eastAsia="Calibri" w:hAnsi="Calibri" w:cs="Times New Roman"/>
                <w:sz w:val="20"/>
                <w:szCs w:val="20"/>
              </w:rPr>
              <w:t>ons in the Torres Strait</w:t>
            </w:r>
          </w:p>
        </w:tc>
        <w:tc>
          <w:tcPr>
            <w:tcW w:w="2128" w:type="pct"/>
            <w:tcBorders>
              <w:top w:val="single" w:sz="4" w:space="0" w:color="auto"/>
              <w:bottom w:val="single" w:sz="4" w:space="0" w:color="auto"/>
            </w:tcBorders>
          </w:tcPr>
          <w:p w:rsidR="00DF1481" w:rsidRPr="00732D02" w:rsidRDefault="00DF1481" w:rsidP="005D24C0">
            <w:pPr>
              <w:spacing w:before="40" w:after="40"/>
              <w:rPr>
                <w:rFonts w:ascii="Calibri" w:eastAsia="Calibri" w:hAnsi="Calibri" w:cs="Times New Roman"/>
                <w:sz w:val="20"/>
                <w:szCs w:val="20"/>
              </w:rPr>
            </w:pPr>
            <w:r>
              <w:rPr>
                <w:rFonts w:ascii="Calibri" w:eastAsia="Calibri" w:hAnsi="Calibri" w:cs="Times New Roman"/>
                <w:sz w:val="20"/>
                <w:szCs w:val="20"/>
              </w:rPr>
              <w:t xml:space="preserve">Funding </w:t>
            </w:r>
            <w:r w:rsidR="005D24C0">
              <w:rPr>
                <w:rFonts w:ascii="Calibri" w:eastAsia="Calibri" w:hAnsi="Calibri" w:cs="Times New Roman"/>
                <w:sz w:val="20"/>
                <w:szCs w:val="20"/>
              </w:rPr>
              <w:t>for</w:t>
            </w:r>
            <w:r w:rsidRPr="00DF1481">
              <w:rPr>
                <w:rFonts w:ascii="Calibri" w:eastAsia="Calibri" w:hAnsi="Calibri" w:cs="Times New Roman"/>
                <w:sz w:val="20"/>
                <w:szCs w:val="20"/>
              </w:rPr>
              <w:t xml:space="preserve"> addressing blood borne virus and sexually transmissible infections</w:t>
            </w:r>
            <w:r w:rsidRPr="00D708B3">
              <w:rPr>
                <w:rFonts w:ascii="Calibri" w:eastAsia="Calibri" w:hAnsi="Calibri" w:cs="Times New Roman"/>
                <w:sz w:val="20"/>
                <w:szCs w:val="20"/>
              </w:rPr>
              <w:t xml:space="preserve"> to increase the number of ongoing primary health care staff in the Torres Strait to </w:t>
            </w:r>
            <w:r w:rsidRPr="00DF1481">
              <w:rPr>
                <w:rFonts w:ascii="Calibri" w:eastAsia="Calibri" w:hAnsi="Calibri" w:cs="Times New Roman"/>
                <w:sz w:val="20"/>
                <w:szCs w:val="20"/>
              </w:rPr>
              <w:t>undertake disease prevention activities, surveillance, testing and treatment, sexual health checks, and to deliver a culturally appropriate sexual health education campaign</w:t>
            </w:r>
            <w:r>
              <w:rPr>
                <w:rFonts w:ascii="Calibri" w:eastAsia="Calibri" w:hAnsi="Calibri" w:cs="Times New Roman"/>
                <w:sz w:val="20"/>
                <w:szCs w:val="20"/>
              </w:rPr>
              <w:t>.</w:t>
            </w:r>
          </w:p>
        </w:tc>
        <w:tc>
          <w:tcPr>
            <w:tcW w:w="416" w:type="pct"/>
            <w:tcBorders>
              <w:top w:val="single" w:sz="4" w:space="0" w:color="auto"/>
              <w:bottom w:val="single" w:sz="4" w:space="0" w:color="auto"/>
            </w:tcBorders>
          </w:tcPr>
          <w:p w:rsidR="00DF1481" w:rsidRDefault="00DF1481"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1.1</w:t>
            </w:r>
          </w:p>
        </w:tc>
        <w:tc>
          <w:tcPr>
            <w:tcW w:w="519" w:type="pct"/>
            <w:tcBorders>
              <w:top w:val="single" w:sz="4" w:space="0" w:color="auto"/>
              <w:bottom w:val="single" w:sz="4" w:space="0" w:color="auto"/>
            </w:tcBorders>
          </w:tcPr>
          <w:p w:rsidR="00DF1481" w:rsidRDefault="00DF1481"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Impact </w:t>
            </w:r>
          </w:p>
        </w:tc>
        <w:tc>
          <w:tcPr>
            <w:tcW w:w="807" w:type="pct"/>
            <w:tcBorders>
              <w:top w:val="single" w:sz="4" w:space="0" w:color="auto"/>
              <w:bottom w:val="single" w:sz="4" w:space="0" w:color="auto"/>
            </w:tcBorders>
          </w:tcPr>
          <w:p w:rsidR="00DF1481" w:rsidRPr="00732D02" w:rsidRDefault="00DF1481" w:rsidP="00E32ADF">
            <w:pPr>
              <w:spacing w:before="40" w:after="40"/>
              <w:rPr>
                <w:rFonts w:ascii="Calibri" w:eastAsia="Calibri" w:hAnsi="Calibri" w:cs="Times New Roman"/>
                <w:sz w:val="20"/>
                <w:szCs w:val="20"/>
              </w:rPr>
            </w:pPr>
          </w:p>
        </w:tc>
      </w:tr>
    </w:tbl>
    <w:p w:rsidR="00B267D3" w:rsidRDefault="00B267D3"/>
    <w:p w:rsidR="00B267D3" w:rsidRPr="00F369A6" w:rsidRDefault="00B267D3" w:rsidP="00B267D3">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75648" behindDoc="0" locked="0" layoutInCell="1" allowOverlap="1" wp14:anchorId="1593120E" wp14:editId="462860E7">
                <wp:simplePos x="0" y="0"/>
                <wp:positionH relativeFrom="column">
                  <wp:posOffset>-631825</wp:posOffset>
                </wp:positionH>
                <wp:positionV relativeFrom="paragraph">
                  <wp:posOffset>187960</wp:posOffset>
                </wp:positionV>
                <wp:extent cx="430530" cy="5648325"/>
                <wp:effectExtent l="0" t="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B267D3">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9.75pt;margin-top:14.8pt;width:33.9pt;height:4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" stroked="f">
                <v:textbox style="layout-flow:vertical">
                  <w:txbxContent>
                    <w:p w:rsidR="004E56AA" w:rsidRPr="004C6DAD" w:rsidRDefault="004E56AA" w:rsidP="00B267D3">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31</w:t>
                      </w:r>
                    </w:p>
                  </w:txbxContent>
                </v:textbox>
              </v:shape>
            </w:pict>
          </mc:Fallback>
        </mc:AlternateContent>
      </w:r>
      <w:r w:rsidRPr="00F369A6">
        <w:rPr>
          <w:rFonts w:ascii="Calibri" w:eastAsia="Calibri" w:hAnsi="Calibri" w:cs="Times New Roman"/>
          <w:b/>
          <w:sz w:val="22"/>
          <w:szCs w:val="22"/>
        </w:rPr>
        <w:t>Table A-1</w:t>
      </w:r>
      <w:r w:rsidRPr="00F369A6">
        <w:rPr>
          <w:rFonts w:ascii="Calibri" w:eastAsia="Calibri" w:hAnsi="Calibri" w:cs="Times New Roman"/>
          <w:b/>
          <w:sz w:val="22"/>
          <w:szCs w:val="22"/>
        </w:rPr>
        <w:tab/>
        <w:t xml:space="preserve">Proposed treatment of Commonwealth payments commenced in </w:t>
      </w:r>
      <w:r>
        <w:rPr>
          <w:rFonts w:ascii="Calibri" w:eastAsia="Calibri" w:hAnsi="Calibri" w:cs="Times New Roman"/>
          <w:b/>
          <w:sz w:val="22"/>
          <w:szCs w:val="22"/>
        </w:rPr>
        <w:t>2016-17</w:t>
      </w:r>
      <w:r w:rsidRPr="00F369A6">
        <w:rPr>
          <w:rFonts w:ascii="Calibri" w:eastAsia="Calibri" w:hAnsi="Calibri" w:cs="Times New Roman"/>
          <w:b/>
          <w:sz w:val="22"/>
          <w:szCs w:val="22"/>
        </w:rPr>
        <w:t xml:space="preserve">, </w:t>
      </w:r>
      <w:r w:rsidRPr="00F369A6">
        <w:rPr>
          <w:rFonts w:ascii="Calibri" w:eastAsia="Calibri" w:hAnsi="Calibri" w:cs="Times New Roman"/>
          <w:b/>
          <w:i/>
          <w:sz w:val="22"/>
          <w:szCs w:val="22"/>
        </w:rPr>
        <w:t xml:space="preserve">Federal Financial Relations, Budget Paper No. 3, </w:t>
      </w:r>
      <w:r>
        <w:rPr>
          <w:rFonts w:ascii="Calibri" w:eastAsia="Calibri" w:hAnsi="Calibri" w:cs="Times New Roman"/>
          <w:b/>
          <w:i/>
          <w:sz w:val="22"/>
          <w:szCs w:val="22"/>
        </w:rPr>
        <w:t>2017-18</w:t>
      </w:r>
      <w:r w:rsidR="0072187F">
        <w:rPr>
          <w:rFonts w:ascii="Calibri" w:eastAsia="Calibri" w:hAnsi="Calibri" w:cs="Times New Roman"/>
          <w:b/>
          <w:i/>
          <w:sz w:val="22"/>
          <w:szCs w:val="22"/>
        </w:rPr>
        <w:t xml:space="preserve"> </w:t>
      </w:r>
      <w:r w:rsidR="0072187F" w:rsidRPr="00E46B1C">
        <w:rPr>
          <w:rFonts w:ascii="Calibri" w:eastAsia="Calibri" w:hAnsi="Calibri" w:cs="Times New Roman"/>
          <w:b/>
          <w:sz w:val="22"/>
          <w:szCs w:val="22"/>
        </w:rPr>
        <w:t>(Continued)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5"/>
        <w:gridCol w:w="5810"/>
        <w:gridCol w:w="1136"/>
        <w:gridCol w:w="1420"/>
        <w:gridCol w:w="2201"/>
      </w:tblGrid>
      <w:tr w:rsidR="00B267D3" w:rsidRPr="00533864" w:rsidTr="00B40E8E">
        <w:tc>
          <w:tcPr>
            <w:tcW w:w="1130" w:type="pct"/>
            <w:vAlign w:val="center"/>
          </w:tcPr>
          <w:p w:rsidR="00B267D3" w:rsidRPr="00533864" w:rsidRDefault="00B267D3" w:rsidP="003C6EA8">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128" w:type="pct"/>
            <w:vAlign w:val="center"/>
          </w:tcPr>
          <w:p w:rsidR="00B267D3" w:rsidRPr="00533864" w:rsidRDefault="00B267D3" w:rsidP="003C6EA8">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16" w:type="pct"/>
            <w:vAlign w:val="center"/>
          </w:tcPr>
          <w:p w:rsidR="00B267D3" w:rsidRPr="00533864" w:rsidRDefault="00B267D3" w:rsidP="003C6EA8">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2016-17 </w:t>
            </w:r>
            <w:r w:rsidRPr="00533864">
              <w:rPr>
                <w:rFonts w:ascii="Calibri" w:eastAsia="Calibri" w:hAnsi="Calibri" w:cs="Times New Roman"/>
                <w:sz w:val="20"/>
                <w:szCs w:val="20"/>
              </w:rPr>
              <w:t>$m</w:t>
            </w:r>
          </w:p>
        </w:tc>
        <w:tc>
          <w:tcPr>
            <w:tcW w:w="520" w:type="pct"/>
            <w:vAlign w:val="center"/>
          </w:tcPr>
          <w:p w:rsidR="00B267D3" w:rsidRPr="00533864" w:rsidRDefault="00B267D3" w:rsidP="003C6EA8">
            <w:pPr>
              <w:spacing w:before="40" w:after="40"/>
              <w:ind w:left="-30"/>
              <w:rPr>
                <w:rFonts w:ascii="Calibri" w:eastAsia="Calibri" w:hAnsi="Calibri" w:cs="Times New Roman"/>
                <w:sz w:val="20"/>
                <w:szCs w:val="20"/>
              </w:rPr>
            </w:pPr>
            <w:r w:rsidRPr="00533864">
              <w:rPr>
                <w:rFonts w:ascii="Calibri" w:eastAsia="Calibri" w:hAnsi="Calibri" w:cs="Times New Roman"/>
                <w:sz w:val="20"/>
                <w:szCs w:val="20"/>
              </w:rPr>
              <w:t>Proposed treatment</w:t>
            </w:r>
          </w:p>
        </w:tc>
        <w:tc>
          <w:tcPr>
            <w:tcW w:w="806" w:type="pct"/>
            <w:tcBorders>
              <w:bottom w:val="single" w:sz="4" w:space="0" w:color="auto"/>
            </w:tcBorders>
            <w:vAlign w:val="center"/>
          </w:tcPr>
          <w:p w:rsidR="00B267D3" w:rsidRPr="00533864" w:rsidRDefault="00B267D3" w:rsidP="003C6EA8">
            <w:pPr>
              <w:spacing w:before="40" w:after="40"/>
              <w:rPr>
                <w:rFonts w:ascii="Calibri" w:eastAsia="Calibri" w:hAnsi="Calibri" w:cs="Times New Roman"/>
                <w:sz w:val="20"/>
                <w:szCs w:val="20"/>
              </w:rPr>
            </w:pPr>
            <w:r w:rsidRPr="00533864">
              <w:rPr>
                <w:rFonts w:ascii="Calibri" w:eastAsia="Calibri" w:hAnsi="Calibri" w:cs="Times New Roman"/>
                <w:sz w:val="20"/>
                <w:szCs w:val="20"/>
              </w:rPr>
              <w:t>Reason for No impact treatment</w:t>
            </w:r>
          </w:p>
        </w:tc>
      </w:tr>
      <w:tr w:rsidR="00386180" w:rsidRPr="00732D02" w:rsidTr="00386180">
        <w:tc>
          <w:tcPr>
            <w:tcW w:w="5000" w:type="pct"/>
            <w:gridSpan w:val="5"/>
            <w:tcBorders>
              <w:top w:val="single" w:sz="4" w:space="0" w:color="auto"/>
              <w:bottom w:val="single" w:sz="4" w:space="0" w:color="auto"/>
            </w:tcBorders>
          </w:tcPr>
          <w:p w:rsidR="00386180" w:rsidRPr="00386180" w:rsidRDefault="00386180" w:rsidP="00E32ADF">
            <w:pPr>
              <w:spacing w:before="40" w:after="40"/>
              <w:rPr>
                <w:rFonts w:ascii="Calibri" w:eastAsia="Calibri" w:hAnsi="Calibri" w:cs="Times New Roman"/>
                <w:b/>
                <w:sz w:val="20"/>
                <w:szCs w:val="20"/>
              </w:rPr>
            </w:pPr>
            <w:r w:rsidRPr="00386180">
              <w:rPr>
                <w:rFonts w:ascii="Calibri" w:eastAsia="Calibri" w:hAnsi="Calibri" w:cs="Times New Roman"/>
                <w:b/>
                <w:sz w:val="20"/>
                <w:szCs w:val="20"/>
              </w:rPr>
              <w:t>EDUCATION</w:t>
            </w:r>
          </w:p>
        </w:tc>
      </w:tr>
      <w:tr w:rsidR="00386180" w:rsidRPr="00732D02" w:rsidTr="00B40E8E">
        <w:tc>
          <w:tcPr>
            <w:tcW w:w="1130" w:type="pct"/>
            <w:tcBorders>
              <w:top w:val="single" w:sz="4" w:space="0" w:color="auto"/>
              <w:bottom w:val="single" w:sz="4" w:space="0" w:color="auto"/>
            </w:tcBorders>
          </w:tcPr>
          <w:p w:rsidR="00386180" w:rsidRPr="00D708B3" w:rsidRDefault="00386180" w:rsidP="00386180">
            <w:pPr>
              <w:spacing w:before="40" w:after="40"/>
              <w:rPr>
                <w:rFonts w:ascii="Calibri" w:eastAsia="Calibri" w:hAnsi="Calibri" w:cs="Times New Roman"/>
                <w:sz w:val="20"/>
                <w:szCs w:val="20"/>
              </w:rPr>
            </w:pPr>
            <w:r>
              <w:rPr>
                <w:rFonts w:ascii="Calibri" w:eastAsia="Calibri" w:hAnsi="Calibri" w:cs="Times New Roman"/>
                <w:sz w:val="20"/>
                <w:szCs w:val="20"/>
              </w:rPr>
              <w:t>Quality Schools</w:t>
            </w:r>
            <w:r w:rsidR="00A46BA2">
              <w:rPr>
                <w:rFonts w:ascii="Calibri" w:eastAsia="Calibri" w:hAnsi="Calibri" w:cs="Times New Roman"/>
                <w:sz w:val="20"/>
                <w:szCs w:val="20"/>
              </w:rPr>
              <w:t xml:space="preserve"> funding</w:t>
            </w:r>
          </w:p>
        </w:tc>
        <w:tc>
          <w:tcPr>
            <w:tcW w:w="2128" w:type="pct"/>
            <w:tcBorders>
              <w:top w:val="single" w:sz="4" w:space="0" w:color="auto"/>
              <w:bottom w:val="single" w:sz="4" w:space="0" w:color="auto"/>
            </w:tcBorders>
          </w:tcPr>
          <w:p w:rsidR="00B267D3" w:rsidRDefault="00B267D3" w:rsidP="00386180">
            <w:pPr>
              <w:spacing w:before="40" w:after="40"/>
              <w:rPr>
                <w:rFonts w:ascii="Calibri" w:eastAsia="Calibri" w:hAnsi="Calibri" w:cs="Times New Roman"/>
                <w:sz w:val="20"/>
                <w:szCs w:val="20"/>
              </w:rPr>
            </w:pPr>
            <w:r>
              <w:rPr>
                <w:rFonts w:ascii="Calibri" w:eastAsia="Calibri" w:hAnsi="Calibri" w:cs="Times New Roman"/>
                <w:sz w:val="20"/>
                <w:szCs w:val="20"/>
              </w:rPr>
              <w:t>T</w:t>
            </w:r>
            <w:r w:rsidR="00386180">
              <w:rPr>
                <w:rFonts w:ascii="Calibri" w:eastAsia="Calibri" w:hAnsi="Calibri" w:cs="Times New Roman"/>
                <w:sz w:val="20"/>
                <w:szCs w:val="20"/>
              </w:rPr>
              <w:t xml:space="preserve">he Commonwealth provides Quality Schools funding to government and non-government schools </w:t>
            </w:r>
            <w:r w:rsidR="00B40E8E">
              <w:rPr>
                <w:rFonts w:ascii="Calibri" w:eastAsia="Calibri" w:hAnsi="Calibri" w:cs="Times New Roman"/>
                <w:sz w:val="20"/>
                <w:szCs w:val="20"/>
              </w:rPr>
              <w:t>through</w:t>
            </w:r>
            <w:r w:rsidR="009E59E7">
              <w:rPr>
                <w:rFonts w:ascii="Calibri" w:eastAsia="Calibri" w:hAnsi="Calibri" w:cs="Times New Roman"/>
                <w:sz w:val="20"/>
                <w:szCs w:val="20"/>
              </w:rPr>
              <w:t xml:space="preserve"> a new needs-based funding model for schools which delivers a consistent Commonwealth approach for all schools in all States and Territories, adjusted on the basis of need</w:t>
            </w:r>
            <w:r w:rsidR="00386180">
              <w:rPr>
                <w:rFonts w:ascii="Calibri" w:eastAsia="Calibri" w:hAnsi="Calibri" w:cs="Times New Roman"/>
                <w:sz w:val="20"/>
                <w:szCs w:val="20"/>
              </w:rPr>
              <w:t>. This includes recurrent funding, capital funding, special circumstances funding for non-government schools, f</w:t>
            </w:r>
            <w:r w:rsidR="00B40E8E">
              <w:rPr>
                <w:rFonts w:ascii="Calibri" w:eastAsia="Calibri" w:hAnsi="Calibri" w:cs="Times New Roman"/>
                <w:sz w:val="20"/>
                <w:szCs w:val="20"/>
              </w:rPr>
              <w:t>u</w:t>
            </w:r>
            <w:r w:rsidR="00386180">
              <w:rPr>
                <w:rFonts w:ascii="Calibri" w:eastAsia="Calibri" w:hAnsi="Calibri" w:cs="Times New Roman"/>
                <w:sz w:val="20"/>
                <w:szCs w:val="20"/>
              </w:rPr>
              <w:t xml:space="preserve">nding for non-government representative bodies, and other prescribed purpose funding. </w:t>
            </w:r>
          </w:p>
          <w:p w:rsidR="00386180" w:rsidRDefault="0053001C" w:rsidP="00F72948">
            <w:pPr>
              <w:spacing w:before="40" w:after="40"/>
              <w:rPr>
                <w:rFonts w:ascii="Calibri" w:eastAsia="Calibri" w:hAnsi="Calibri" w:cs="Times New Roman"/>
                <w:sz w:val="20"/>
                <w:szCs w:val="20"/>
              </w:rPr>
            </w:pPr>
            <w:r w:rsidRPr="0053001C">
              <w:rPr>
                <w:rFonts w:ascii="Calibri" w:eastAsia="Calibri" w:hAnsi="Calibri" w:cs="Times New Roman"/>
                <w:sz w:val="20"/>
                <w:szCs w:val="20"/>
              </w:rPr>
              <w:t xml:space="preserve">The actual </w:t>
            </w:r>
            <w:r>
              <w:rPr>
                <w:rFonts w:ascii="Calibri" w:eastAsia="Calibri" w:hAnsi="Calibri" w:cs="Times New Roman"/>
                <w:sz w:val="20"/>
                <w:szCs w:val="20"/>
              </w:rPr>
              <w:t xml:space="preserve">funding </w:t>
            </w:r>
            <w:r w:rsidRPr="0053001C">
              <w:rPr>
                <w:rFonts w:ascii="Calibri" w:eastAsia="Calibri" w:hAnsi="Calibri" w:cs="Times New Roman"/>
                <w:sz w:val="20"/>
                <w:szCs w:val="20"/>
              </w:rPr>
              <w:t>formula</w:t>
            </w:r>
            <w:r>
              <w:rPr>
                <w:rFonts w:ascii="Calibri" w:eastAsia="Calibri" w:hAnsi="Calibri" w:cs="Times New Roman"/>
                <w:sz w:val="20"/>
                <w:szCs w:val="20"/>
              </w:rPr>
              <w:t xml:space="preserve"> is broadly based on the model recommended in the </w:t>
            </w:r>
            <w:proofErr w:type="spellStart"/>
            <w:r>
              <w:rPr>
                <w:rFonts w:ascii="Calibri" w:eastAsia="Calibri" w:hAnsi="Calibri" w:cs="Times New Roman"/>
                <w:sz w:val="20"/>
                <w:szCs w:val="20"/>
              </w:rPr>
              <w:t>Gonski</w:t>
            </w:r>
            <w:proofErr w:type="spellEnd"/>
            <w:r>
              <w:rPr>
                <w:rFonts w:ascii="Calibri" w:eastAsia="Calibri" w:hAnsi="Calibri" w:cs="Times New Roman"/>
                <w:sz w:val="20"/>
                <w:szCs w:val="20"/>
              </w:rPr>
              <w:t xml:space="preserve"> report of 2013 but its final form will be determined by a newly established National Schools Resourcing Board.</w:t>
            </w:r>
            <w:r>
              <w:t xml:space="preserve"> </w:t>
            </w:r>
            <w:r w:rsidR="00386180">
              <w:rPr>
                <w:rFonts w:ascii="Calibri" w:eastAsia="Calibri" w:hAnsi="Calibri" w:cs="Times New Roman"/>
                <w:sz w:val="20"/>
                <w:szCs w:val="20"/>
              </w:rPr>
              <w:t xml:space="preserve">The measure </w:t>
            </w:r>
            <w:r w:rsidR="00386180" w:rsidRPr="00386180">
              <w:rPr>
                <w:rFonts w:ascii="Calibri" w:eastAsia="Calibri" w:hAnsi="Calibri" w:cs="Times New Roman"/>
                <w:sz w:val="20"/>
                <w:szCs w:val="20"/>
              </w:rPr>
              <w:t xml:space="preserve">ensures Commonwealth funding will be tied to reforms to support better outcomes for </w:t>
            </w:r>
            <w:r w:rsidR="00D07517">
              <w:rPr>
                <w:rFonts w:ascii="Calibri" w:eastAsia="Calibri" w:hAnsi="Calibri" w:cs="Times New Roman"/>
                <w:sz w:val="20"/>
                <w:szCs w:val="20"/>
              </w:rPr>
              <w:t>students. It will also require State and T</w:t>
            </w:r>
            <w:r w:rsidR="00386180" w:rsidRPr="00386180">
              <w:rPr>
                <w:rFonts w:ascii="Calibri" w:eastAsia="Calibri" w:hAnsi="Calibri" w:cs="Times New Roman"/>
                <w:sz w:val="20"/>
                <w:szCs w:val="20"/>
              </w:rPr>
              <w:t>erritory governments to deliver their share of a total publ</w:t>
            </w:r>
            <w:r w:rsidR="00D07517">
              <w:rPr>
                <w:rFonts w:ascii="Calibri" w:eastAsia="Calibri" w:hAnsi="Calibri" w:cs="Times New Roman"/>
                <w:sz w:val="20"/>
                <w:szCs w:val="20"/>
              </w:rPr>
              <w:t xml:space="preserve">ic funding level of at least 95% </w:t>
            </w:r>
            <w:r w:rsidR="00386180" w:rsidRPr="00386180">
              <w:rPr>
                <w:rFonts w:ascii="Calibri" w:eastAsia="Calibri" w:hAnsi="Calibri" w:cs="Times New Roman"/>
                <w:sz w:val="20"/>
                <w:szCs w:val="20"/>
              </w:rPr>
              <w:t>of the Schooling Resource Standard for all schools by 2023</w:t>
            </w:r>
            <w:r w:rsidR="00386180">
              <w:rPr>
                <w:rFonts w:ascii="Calibri" w:eastAsia="Calibri" w:hAnsi="Calibri" w:cs="Times New Roman"/>
                <w:sz w:val="20"/>
                <w:szCs w:val="20"/>
              </w:rPr>
              <w:t>.</w:t>
            </w:r>
            <w:r w:rsidR="00517022">
              <w:rPr>
                <w:rFonts w:ascii="Calibri" w:eastAsia="Calibri" w:hAnsi="Calibri" w:cs="Times New Roman"/>
                <w:sz w:val="20"/>
                <w:szCs w:val="20"/>
              </w:rPr>
              <w:t xml:space="preserve"> (See discussions earlier in this paper.)</w:t>
            </w:r>
          </w:p>
        </w:tc>
        <w:tc>
          <w:tcPr>
            <w:tcW w:w="416" w:type="pct"/>
            <w:tcBorders>
              <w:top w:val="single" w:sz="4" w:space="0" w:color="auto"/>
              <w:bottom w:val="single" w:sz="4" w:space="0" w:color="auto"/>
            </w:tcBorders>
          </w:tcPr>
          <w:p w:rsidR="00386180" w:rsidRDefault="00B267D3" w:rsidP="00B267D3">
            <w:pPr>
              <w:spacing w:before="40" w:after="40"/>
              <w:jc w:val="right"/>
              <w:rPr>
                <w:rFonts w:ascii="Calibri" w:eastAsia="Calibri" w:hAnsi="Calibri" w:cs="Times New Roman"/>
                <w:sz w:val="20"/>
                <w:szCs w:val="20"/>
              </w:rPr>
            </w:pPr>
            <w:r>
              <w:rPr>
                <w:rFonts w:ascii="Calibri" w:eastAsia="Calibri" w:hAnsi="Calibri" w:cs="Times New Roman"/>
                <w:sz w:val="20"/>
                <w:szCs w:val="20"/>
              </w:rPr>
              <w:t>17 094.9</w:t>
            </w:r>
          </w:p>
        </w:tc>
        <w:tc>
          <w:tcPr>
            <w:tcW w:w="520" w:type="pct"/>
            <w:tcBorders>
              <w:top w:val="single" w:sz="4" w:space="0" w:color="auto"/>
              <w:bottom w:val="single" w:sz="4" w:space="0" w:color="auto"/>
            </w:tcBorders>
          </w:tcPr>
          <w:p w:rsidR="00386180" w:rsidRDefault="00D07517" w:rsidP="00E32ADF">
            <w:pPr>
              <w:spacing w:before="40" w:after="40"/>
              <w:rPr>
                <w:rFonts w:ascii="Calibri" w:eastAsia="Calibri" w:hAnsi="Calibri" w:cs="Times New Roman"/>
                <w:sz w:val="20"/>
                <w:szCs w:val="20"/>
              </w:rPr>
            </w:pPr>
            <w:r>
              <w:rPr>
                <w:rFonts w:ascii="Calibri" w:eastAsia="Calibri" w:hAnsi="Calibri" w:cs="Times New Roman"/>
                <w:sz w:val="20"/>
                <w:szCs w:val="20"/>
              </w:rPr>
              <w:t>Impact for government schools;</w:t>
            </w:r>
          </w:p>
          <w:p w:rsidR="00D07517" w:rsidRDefault="00D07517" w:rsidP="00E32ADF">
            <w:pPr>
              <w:spacing w:before="40" w:after="40"/>
              <w:rPr>
                <w:rFonts w:ascii="Calibri" w:eastAsia="Calibri" w:hAnsi="Calibri" w:cs="Times New Roman"/>
                <w:sz w:val="20"/>
                <w:szCs w:val="20"/>
              </w:rPr>
            </w:pPr>
            <w:r>
              <w:rPr>
                <w:rFonts w:ascii="Calibri" w:eastAsia="Calibri" w:hAnsi="Calibri" w:cs="Times New Roman"/>
                <w:sz w:val="20"/>
                <w:szCs w:val="20"/>
              </w:rPr>
              <w:t>No impact for non-government schools</w:t>
            </w:r>
          </w:p>
        </w:tc>
        <w:tc>
          <w:tcPr>
            <w:tcW w:w="806" w:type="pct"/>
            <w:tcBorders>
              <w:top w:val="single" w:sz="4" w:space="0" w:color="auto"/>
              <w:bottom w:val="single" w:sz="4" w:space="0" w:color="auto"/>
            </w:tcBorders>
          </w:tcPr>
          <w:p w:rsidR="00386180" w:rsidRPr="00732D02" w:rsidRDefault="00D07517" w:rsidP="00E32ADF">
            <w:pPr>
              <w:spacing w:before="40" w:after="40"/>
              <w:rPr>
                <w:rFonts w:ascii="Calibri" w:eastAsia="Calibri" w:hAnsi="Calibri" w:cs="Times New Roman"/>
                <w:sz w:val="20"/>
                <w:szCs w:val="20"/>
              </w:rPr>
            </w:pPr>
            <w:r>
              <w:rPr>
                <w:rFonts w:ascii="Calibri" w:eastAsia="Calibri" w:hAnsi="Calibri" w:cs="Times New Roman"/>
                <w:sz w:val="20"/>
                <w:szCs w:val="20"/>
              </w:rPr>
              <w:t>Needs for non-government schools are not assessed</w:t>
            </w:r>
          </w:p>
        </w:tc>
      </w:tr>
      <w:tr w:rsidR="00DF1481" w:rsidRPr="00732D02" w:rsidTr="006E43BB">
        <w:tc>
          <w:tcPr>
            <w:tcW w:w="5000" w:type="pct"/>
            <w:gridSpan w:val="5"/>
            <w:tcBorders>
              <w:top w:val="single" w:sz="4" w:space="0" w:color="auto"/>
              <w:bottom w:val="single" w:sz="4" w:space="0" w:color="auto"/>
            </w:tcBorders>
          </w:tcPr>
          <w:p w:rsidR="00DF1481" w:rsidRPr="00FA5126" w:rsidRDefault="00DF1481" w:rsidP="00E32ADF">
            <w:pPr>
              <w:spacing w:before="40" w:after="40"/>
              <w:rPr>
                <w:rFonts w:ascii="Calibri" w:eastAsia="Calibri" w:hAnsi="Calibri" w:cs="Times New Roman"/>
                <w:b/>
                <w:sz w:val="20"/>
                <w:szCs w:val="20"/>
              </w:rPr>
            </w:pPr>
            <w:r>
              <w:rPr>
                <w:rFonts w:ascii="Calibri" w:eastAsia="Calibri" w:hAnsi="Calibri" w:cs="Times New Roman"/>
                <w:b/>
                <w:sz w:val="20"/>
                <w:szCs w:val="20"/>
              </w:rPr>
              <w:t>COMMUNITY SERVICES</w:t>
            </w:r>
            <w:r w:rsidRPr="00FA5126">
              <w:rPr>
                <w:rFonts w:ascii="Calibri" w:eastAsia="Calibri" w:hAnsi="Calibri" w:cs="Times New Roman"/>
                <w:b/>
                <w:sz w:val="20"/>
                <w:szCs w:val="20"/>
              </w:rPr>
              <w:t xml:space="preserve"> </w:t>
            </w:r>
          </w:p>
        </w:tc>
      </w:tr>
      <w:tr w:rsidR="00DF1481" w:rsidRPr="00732D02" w:rsidTr="00B40E8E">
        <w:tc>
          <w:tcPr>
            <w:tcW w:w="1130" w:type="pct"/>
            <w:tcBorders>
              <w:top w:val="single" w:sz="4" w:space="0" w:color="auto"/>
              <w:bottom w:val="single" w:sz="4" w:space="0" w:color="auto"/>
            </w:tcBorders>
          </w:tcPr>
          <w:p w:rsidR="00DF1481" w:rsidRPr="00732D02" w:rsidRDefault="00DF1481" w:rsidP="00E32ADF">
            <w:pPr>
              <w:spacing w:before="40" w:after="40"/>
              <w:rPr>
                <w:rFonts w:ascii="Calibri" w:eastAsia="Calibri" w:hAnsi="Calibri" w:cs="Times New Roman"/>
                <w:sz w:val="20"/>
                <w:szCs w:val="20"/>
              </w:rPr>
            </w:pPr>
            <w:r w:rsidRPr="00347E75">
              <w:rPr>
                <w:rFonts w:ascii="Calibri" w:eastAsia="Calibri" w:hAnsi="Calibri" w:cs="Times New Roman"/>
                <w:sz w:val="20"/>
                <w:szCs w:val="20"/>
              </w:rPr>
              <w:t>Family advocacy and support services</w:t>
            </w:r>
          </w:p>
        </w:tc>
        <w:tc>
          <w:tcPr>
            <w:tcW w:w="2128" w:type="pct"/>
            <w:tcBorders>
              <w:top w:val="single" w:sz="4" w:space="0" w:color="auto"/>
              <w:bottom w:val="single" w:sz="4" w:space="0" w:color="auto"/>
            </w:tcBorders>
          </w:tcPr>
          <w:p w:rsidR="00DF1481" w:rsidRPr="00732D02" w:rsidRDefault="00DF1481" w:rsidP="00B40E8E">
            <w:pPr>
              <w:spacing w:before="40" w:after="40"/>
              <w:rPr>
                <w:rFonts w:ascii="Calibri" w:eastAsia="Calibri" w:hAnsi="Calibri" w:cs="Times New Roman"/>
                <w:sz w:val="20"/>
                <w:szCs w:val="20"/>
              </w:rPr>
            </w:pPr>
            <w:r>
              <w:rPr>
                <w:rFonts w:ascii="Calibri" w:eastAsia="Calibri" w:hAnsi="Calibri" w:cs="Times New Roman"/>
                <w:sz w:val="20"/>
                <w:szCs w:val="20"/>
              </w:rPr>
              <w:t xml:space="preserve">The Commonwealth will support the establishment and the operation of Family Advocacy and Support Services by Legal Aid Commissions. </w:t>
            </w:r>
            <w:r w:rsidR="00B40E8E">
              <w:rPr>
                <w:rFonts w:ascii="Calibri" w:eastAsia="Calibri" w:hAnsi="Calibri" w:cs="Times New Roman"/>
                <w:sz w:val="20"/>
                <w:szCs w:val="20"/>
              </w:rPr>
              <w:t>It</w:t>
            </w:r>
            <w:r>
              <w:rPr>
                <w:rFonts w:ascii="Calibri" w:eastAsia="Calibri" w:hAnsi="Calibri" w:cs="Times New Roman"/>
                <w:sz w:val="20"/>
                <w:szCs w:val="20"/>
              </w:rPr>
              <w:t xml:space="preserve"> will provide integrated duty lawyer and family violence support services at locations across Australia.</w:t>
            </w:r>
          </w:p>
        </w:tc>
        <w:tc>
          <w:tcPr>
            <w:tcW w:w="416" w:type="pct"/>
            <w:tcBorders>
              <w:top w:val="single" w:sz="4" w:space="0" w:color="auto"/>
              <w:bottom w:val="single" w:sz="4" w:space="0" w:color="auto"/>
            </w:tcBorders>
          </w:tcPr>
          <w:p w:rsidR="00DF1481" w:rsidRDefault="00DF1481"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4.2</w:t>
            </w:r>
          </w:p>
        </w:tc>
        <w:tc>
          <w:tcPr>
            <w:tcW w:w="520" w:type="pct"/>
            <w:tcBorders>
              <w:top w:val="single" w:sz="4" w:space="0" w:color="auto"/>
              <w:bottom w:val="single" w:sz="4" w:space="0" w:color="auto"/>
            </w:tcBorders>
          </w:tcPr>
          <w:p w:rsidR="00DF1481" w:rsidRDefault="00EC40A6" w:rsidP="00E32ADF">
            <w:pPr>
              <w:spacing w:before="40" w:after="40"/>
              <w:rPr>
                <w:rFonts w:ascii="Calibri" w:eastAsia="Calibri" w:hAnsi="Calibri" w:cs="Times New Roman"/>
                <w:sz w:val="20"/>
                <w:szCs w:val="20"/>
              </w:rPr>
            </w:pPr>
            <w:r w:rsidRPr="00310D8F">
              <w:rPr>
                <w:rFonts w:ascii="Calibri" w:eastAsia="Calibri" w:hAnsi="Calibri" w:cs="Times New Roman"/>
                <w:sz w:val="20"/>
                <w:szCs w:val="20"/>
              </w:rPr>
              <w:t>No i</w:t>
            </w:r>
            <w:r w:rsidR="00DF1481" w:rsidRPr="00310D8F">
              <w:rPr>
                <w:rFonts w:ascii="Calibri" w:eastAsia="Calibri" w:hAnsi="Calibri" w:cs="Times New Roman"/>
                <w:sz w:val="20"/>
                <w:szCs w:val="20"/>
              </w:rPr>
              <w:t>mpact</w:t>
            </w:r>
          </w:p>
        </w:tc>
        <w:tc>
          <w:tcPr>
            <w:tcW w:w="806" w:type="pct"/>
            <w:tcBorders>
              <w:top w:val="single" w:sz="4" w:space="0" w:color="auto"/>
              <w:bottom w:val="single" w:sz="4" w:space="0" w:color="auto"/>
            </w:tcBorders>
          </w:tcPr>
          <w:p w:rsidR="00DF1481" w:rsidRDefault="00EC40A6" w:rsidP="00E32ADF">
            <w:pPr>
              <w:spacing w:before="40" w:after="40"/>
              <w:rPr>
                <w:rFonts w:ascii="Calibri" w:eastAsia="Calibri" w:hAnsi="Calibri" w:cs="Times New Roman"/>
                <w:sz w:val="20"/>
                <w:szCs w:val="20"/>
              </w:rPr>
            </w:pPr>
            <w:r>
              <w:rPr>
                <w:rFonts w:ascii="Calibri" w:eastAsia="Calibri" w:hAnsi="Calibri" w:cs="Times New Roman"/>
                <w:sz w:val="20"/>
                <w:szCs w:val="20"/>
              </w:rPr>
              <w:t>Needs not assessed.</w:t>
            </w:r>
          </w:p>
          <w:p w:rsidR="00EC40A6" w:rsidRPr="00732D02" w:rsidRDefault="00EC40A6" w:rsidP="00E32ADF">
            <w:pPr>
              <w:spacing w:before="40" w:after="40"/>
              <w:rPr>
                <w:rFonts w:ascii="Calibri" w:eastAsia="Calibri" w:hAnsi="Calibri" w:cs="Times New Roman"/>
                <w:sz w:val="20"/>
                <w:szCs w:val="20"/>
              </w:rPr>
            </w:pPr>
            <w:r>
              <w:rPr>
                <w:rFonts w:ascii="Calibri" w:eastAsia="Calibri" w:hAnsi="Calibri" w:cs="Times New Roman"/>
                <w:sz w:val="20"/>
                <w:szCs w:val="20"/>
              </w:rPr>
              <w:t>Commonwealth purchase of State services</w:t>
            </w:r>
          </w:p>
        </w:tc>
      </w:tr>
      <w:tr w:rsidR="00B40E8E" w:rsidRPr="00732D02" w:rsidTr="002C2903">
        <w:tc>
          <w:tcPr>
            <w:tcW w:w="1130" w:type="pct"/>
            <w:tcBorders>
              <w:top w:val="single" w:sz="4" w:space="0" w:color="auto"/>
              <w:bottom w:val="single" w:sz="4" w:space="0" w:color="auto"/>
            </w:tcBorders>
          </w:tcPr>
          <w:p w:rsidR="00B40E8E" w:rsidRPr="00347E75" w:rsidRDefault="00B40E8E" w:rsidP="00E600A7">
            <w:pPr>
              <w:spacing w:before="40" w:after="40"/>
              <w:rPr>
                <w:rFonts w:ascii="Calibri" w:eastAsia="Calibri" w:hAnsi="Calibri" w:cs="Times New Roman"/>
                <w:sz w:val="20"/>
                <w:szCs w:val="20"/>
              </w:rPr>
            </w:pPr>
            <w:r>
              <w:rPr>
                <w:rFonts w:ascii="Calibri" w:eastAsia="Calibri" w:hAnsi="Calibri" w:cs="Times New Roman"/>
                <w:sz w:val="20"/>
                <w:szCs w:val="20"/>
              </w:rPr>
              <w:t xml:space="preserve">Women's safety package </w:t>
            </w:r>
            <w:r w:rsidR="00E600A7">
              <w:rPr>
                <w:rFonts w:ascii="Calibri" w:eastAsia="Calibri" w:hAnsi="Calibri" w:cs="Times New Roman"/>
                <w:sz w:val="20"/>
                <w:szCs w:val="20"/>
              </w:rPr>
              <w:t>—</w:t>
            </w:r>
            <w:r>
              <w:rPr>
                <w:rFonts w:ascii="Calibri" w:eastAsia="Calibri" w:hAnsi="Calibri" w:cs="Times New Roman"/>
                <w:sz w:val="20"/>
                <w:szCs w:val="20"/>
              </w:rPr>
              <w:t xml:space="preserve"> </w:t>
            </w:r>
            <w:r w:rsidRPr="00347E75">
              <w:rPr>
                <w:rFonts w:ascii="Calibri" w:eastAsia="Calibri" w:hAnsi="Calibri" w:cs="Times New Roman"/>
                <w:sz w:val="20"/>
                <w:szCs w:val="20"/>
              </w:rPr>
              <w:t>Technology trials</w:t>
            </w:r>
          </w:p>
        </w:tc>
        <w:tc>
          <w:tcPr>
            <w:tcW w:w="2128" w:type="pct"/>
            <w:tcBorders>
              <w:top w:val="single" w:sz="4" w:space="0" w:color="auto"/>
              <w:bottom w:val="single" w:sz="4" w:space="0" w:color="auto"/>
            </w:tcBorders>
          </w:tcPr>
          <w:p w:rsidR="00B40E8E" w:rsidRDefault="00B40E8E" w:rsidP="002C2903">
            <w:pPr>
              <w:spacing w:before="40" w:after="40"/>
              <w:rPr>
                <w:rFonts w:ascii="Calibri" w:eastAsia="Calibri" w:hAnsi="Calibri" w:cs="Times New Roman"/>
                <w:sz w:val="20"/>
                <w:szCs w:val="20"/>
              </w:rPr>
            </w:pPr>
            <w:r>
              <w:rPr>
                <w:rFonts w:ascii="Calibri" w:eastAsia="Calibri" w:hAnsi="Calibri" w:cs="Times New Roman"/>
                <w:sz w:val="20"/>
                <w:szCs w:val="20"/>
              </w:rPr>
              <w:t>Funding to support a series of trials to test new technologies or innovative uses of existing technologies to improve the safety of women and children affected by family and domestic violence.</w:t>
            </w:r>
          </w:p>
        </w:tc>
        <w:tc>
          <w:tcPr>
            <w:tcW w:w="416" w:type="pct"/>
            <w:tcBorders>
              <w:top w:val="single" w:sz="4" w:space="0" w:color="auto"/>
              <w:bottom w:val="single" w:sz="4" w:space="0" w:color="auto"/>
            </w:tcBorders>
          </w:tcPr>
          <w:p w:rsidR="00B40E8E" w:rsidRDefault="00B40E8E" w:rsidP="002C2903">
            <w:pPr>
              <w:spacing w:before="40" w:after="40"/>
              <w:jc w:val="right"/>
              <w:rPr>
                <w:rFonts w:ascii="Calibri" w:eastAsia="Calibri" w:hAnsi="Calibri" w:cs="Times New Roman"/>
                <w:sz w:val="20"/>
                <w:szCs w:val="20"/>
              </w:rPr>
            </w:pPr>
            <w:r>
              <w:rPr>
                <w:rFonts w:ascii="Calibri" w:eastAsia="Calibri" w:hAnsi="Calibri" w:cs="Times New Roman"/>
                <w:sz w:val="20"/>
                <w:szCs w:val="20"/>
              </w:rPr>
              <w:t>1.3</w:t>
            </w:r>
          </w:p>
        </w:tc>
        <w:tc>
          <w:tcPr>
            <w:tcW w:w="520" w:type="pct"/>
            <w:tcBorders>
              <w:top w:val="single" w:sz="4" w:space="0" w:color="auto"/>
              <w:bottom w:val="single" w:sz="4" w:space="0" w:color="auto"/>
            </w:tcBorders>
          </w:tcPr>
          <w:p w:rsidR="00B40E8E" w:rsidRDefault="00B40E8E" w:rsidP="002C2903">
            <w:pPr>
              <w:spacing w:before="40" w:after="40"/>
              <w:rPr>
                <w:rFonts w:ascii="Calibri" w:eastAsia="Calibri" w:hAnsi="Calibri" w:cs="Times New Roman"/>
                <w:sz w:val="20"/>
                <w:szCs w:val="20"/>
              </w:rPr>
            </w:pPr>
            <w:r w:rsidRPr="00310D8F">
              <w:rPr>
                <w:rFonts w:ascii="Calibri" w:eastAsia="Calibri" w:hAnsi="Calibri" w:cs="Times New Roman"/>
                <w:sz w:val="20"/>
                <w:szCs w:val="20"/>
              </w:rPr>
              <w:t>Impact</w:t>
            </w:r>
          </w:p>
        </w:tc>
        <w:tc>
          <w:tcPr>
            <w:tcW w:w="806" w:type="pct"/>
            <w:tcBorders>
              <w:top w:val="single" w:sz="4" w:space="0" w:color="auto"/>
              <w:bottom w:val="single" w:sz="4" w:space="0" w:color="auto"/>
            </w:tcBorders>
          </w:tcPr>
          <w:p w:rsidR="00B40E8E" w:rsidRDefault="00B40E8E" w:rsidP="002C2903">
            <w:pPr>
              <w:spacing w:before="40" w:after="40"/>
              <w:rPr>
                <w:rFonts w:ascii="Calibri" w:eastAsia="Calibri" w:hAnsi="Calibri" w:cs="Times New Roman"/>
                <w:sz w:val="20"/>
                <w:szCs w:val="20"/>
              </w:rPr>
            </w:pPr>
          </w:p>
        </w:tc>
      </w:tr>
    </w:tbl>
    <w:p w:rsidR="00E46B1C" w:rsidRDefault="00E46B1C"/>
    <w:p w:rsidR="00E46B1C" w:rsidRPr="00F369A6" w:rsidRDefault="00E46B1C" w:rsidP="00E46B1C">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69504" behindDoc="0" locked="0" layoutInCell="1" allowOverlap="1" wp14:anchorId="4E1CD959" wp14:editId="43CAFDAE">
                <wp:simplePos x="0" y="0"/>
                <wp:positionH relativeFrom="column">
                  <wp:posOffset>-631825</wp:posOffset>
                </wp:positionH>
                <wp:positionV relativeFrom="paragraph">
                  <wp:posOffset>187960</wp:posOffset>
                </wp:positionV>
                <wp:extent cx="430530" cy="5648325"/>
                <wp:effectExtent l="0" t="0" r="762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E46B1C">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9.75pt;margin-top:14.8pt;width:33.9pt;height:4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zkgwIAABY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" stroked="f">
                <v:textbox style="layout-flow:vertical">
                  <w:txbxContent>
                    <w:p w:rsidR="004E56AA" w:rsidRPr="004C6DAD" w:rsidRDefault="004E56AA" w:rsidP="00E46B1C">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32</w:t>
                      </w:r>
                    </w:p>
                  </w:txbxContent>
                </v:textbox>
              </v:shape>
            </w:pict>
          </mc:Fallback>
        </mc:AlternateContent>
      </w:r>
      <w:r w:rsidRPr="00F369A6">
        <w:rPr>
          <w:rFonts w:ascii="Calibri" w:eastAsia="Calibri" w:hAnsi="Calibri" w:cs="Times New Roman"/>
          <w:b/>
          <w:sz w:val="22"/>
          <w:szCs w:val="22"/>
        </w:rPr>
        <w:t>Table A-1</w:t>
      </w:r>
      <w:r w:rsidRPr="00F369A6">
        <w:rPr>
          <w:rFonts w:ascii="Calibri" w:eastAsia="Calibri" w:hAnsi="Calibri" w:cs="Times New Roman"/>
          <w:b/>
          <w:sz w:val="22"/>
          <w:szCs w:val="22"/>
        </w:rPr>
        <w:tab/>
        <w:t xml:space="preserve">Proposed treatment of Commonwealth payments commenced in </w:t>
      </w:r>
      <w:r>
        <w:rPr>
          <w:rFonts w:ascii="Calibri" w:eastAsia="Calibri" w:hAnsi="Calibri" w:cs="Times New Roman"/>
          <w:b/>
          <w:sz w:val="22"/>
          <w:szCs w:val="22"/>
        </w:rPr>
        <w:t>2016-17</w:t>
      </w:r>
      <w:r w:rsidRPr="00F369A6">
        <w:rPr>
          <w:rFonts w:ascii="Calibri" w:eastAsia="Calibri" w:hAnsi="Calibri" w:cs="Times New Roman"/>
          <w:b/>
          <w:sz w:val="22"/>
          <w:szCs w:val="22"/>
        </w:rPr>
        <w:t xml:space="preserve">, </w:t>
      </w:r>
      <w:r w:rsidRPr="00F369A6">
        <w:rPr>
          <w:rFonts w:ascii="Calibri" w:eastAsia="Calibri" w:hAnsi="Calibri" w:cs="Times New Roman"/>
          <w:b/>
          <w:i/>
          <w:sz w:val="22"/>
          <w:szCs w:val="22"/>
        </w:rPr>
        <w:t xml:space="preserve">Federal Financial Relations, Budget Paper No. 3, </w:t>
      </w:r>
      <w:r>
        <w:rPr>
          <w:rFonts w:ascii="Calibri" w:eastAsia="Calibri" w:hAnsi="Calibri" w:cs="Times New Roman"/>
          <w:b/>
          <w:i/>
          <w:sz w:val="22"/>
          <w:szCs w:val="22"/>
        </w:rPr>
        <w:t xml:space="preserve">2017-18 </w:t>
      </w:r>
      <w:r w:rsidRPr="00E46B1C">
        <w:rPr>
          <w:rFonts w:ascii="Calibri" w:eastAsia="Calibri" w:hAnsi="Calibri" w:cs="Times New Roman"/>
          <w:b/>
          <w:sz w:val="22"/>
          <w:szCs w:val="22"/>
        </w:rPr>
        <w:t>(Continued)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5"/>
        <w:gridCol w:w="5810"/>
        <w:gridCol w:w="1136"/>
        <w:gridCol w:w="1420"/>
        <w:gridCol w:w="2201"/>
      </w:tblGrid>
      <w:tr w:rsidR="00E46B1C" w:rsidRPr="00533864" w:rsidTr="00700F60">
        <w:tc>
          <w:tcPr>
            <w:tcW w:w="1130" w:type="pct"/>
          </w:tcPr>
          <w:p w:rsidR="00E46B1C" w:rsidRPr="00533864" w:rsidRDefault="00E46B1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128" w:type="pct"/>
          </w:tcPr>
          <w:p w:rsidR="00E46B1C" w:rsidRPr="00533864" w:rsidRDefault="00E46B1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16" w:type="pct"/>
          </w:tcPr>
          <w:p w:rsidR="00E46B1C" w:rsidRPr="00533864" w:rsidRDefault="00E46B1C"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2016-17 </w:t>
            </w:r>
            <w:r w:rsidRPr="00533864">
              <w:rPr>
                <w:rFonts w:ascii="Calibri" w:eastAsia="Calibri" w:hAnsi="Calibri" w:cs="Times New Roman"/>
                <w:sz w:val="20"/>
                <w:szCs w:val="20"/>
              </w:rPr>
              <w:t>$m</w:t>
            </w:r>
          </w:p>
        </w:tc>
        <w:tc>
          <w:tcPr>
            <w:tcW w:w="520" w:type="pct"/>
          </w:tcPr>
          <w:p w:rsidR="00E46B1C" w:rsidRPr="00533864" w:rsidRDefault="00E46B1C" w:rsidP="00E32ADF">
            <w:pPr>
              <w:spacing w:before="40" w:after="40"/>
              <w:ind w:left="-30"/>
              <w:rPr>
                <w:rFonts w:ascii="Calibri" w:eastAsia="Calibri" w:hAnsi="Calibri" w:cs="Times New Roman"/>
                <w:sz w:val="20"/>
                <w:szCs w:val="20"/>
              </w:rPr>
            </w:pPr>
            <w:r w:rsidRPr="00533864">
              <w:rPr>
                <w:rFonts w:ascii="Calibri" w:eastAsia="Calibri" w:hAnsi="Calibri" w:cs="Times New Roman"/>
                <w:sz w:val="20"/>
                <w:szCs w:val="20"/>
              </w:rPr>
              <w:t>Proposed treatment</w:t>
            </w:r>
          </w:p>
        </w:tc>
        <w:tc>
          <w:tcPr>
            <w:tcW w:w="806" w:type="pct"/>
          </w:tcPr>
          <w:p w:rsidR="00E46B1C" w:rsidRPr="00533864" w:rsidRDefault="00E46B1C"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Reason for No impact treatment</w:t>
            </w:r>
          </w:p>
        </w:tc>
      </w:tr>
      <w:tr w:rsidR="00E46B1C" w:rsidRPr="00732D02" w:rsidTr="00E32ADF">
        <w:tc>
          <w:tcPr>
            <w:tcW w:w="5000" w:type="pct"/>
            <w:gridSpan w:val="5"/>
            <w:tcBorders>
              <w:top w:val="single" w:sz="4" w:space="0" w:color="auto"/>
              <w:bottom w:val="single" w:sz="4" w:space="0" w:color="auto"/>
            </w:tcBorders>
          </w:tcPr>
          <w:p w:rsidR="00E46B1C" w:rsidRPr="000C68DD" w:rsidRDefault="00E46B1C" w:rsidP="00E32ADF">
            <w:pPr>
              <w:spacing w:before="40" w:after="40"/>
              <w:rPr>
                <w:rFonts w:ascii="Calibri" w:eastAsia="Calibri" w:hAnsi="Calibri" w:cs="Times New Roman"/>
                <w:b/>
                <w:sz w:val="20"/>
                <w:szCs w:val="20"/>
              </w:rPr>
            </w:pPr>
            <w:r w:rsidRPr="000C68DD">
              <w:rPr>
                <w:rFonts w:ascii="Calibri" w:eastAsia="Calibri" w:hAnsi="Calibri" w:cs="Times New Roman"/>
                <w:b/>
                <w:sz w:val="20"/>
                <w:szCs w:val="20"/>
              </w:rPr>
              <w:t>INFRASTRUCTURE</w:t>
            </w:r>
          </w:p>
        </w:tc>
      </w:tr>
      <w:tr w:rsidR="00E46B1C" w:rsidRPr="00732D02" w:rsidTr="00E32ADF">
        <w:trPr>
          <w:trHeight w:val="966"/>
        </w:trPr>
        <w:tc>
          <w:tcPr>
            <w:tcW w:w="1130" w:type="pct"/>
            <w:tcBorders>
              <w:top w:val="single" w:sz="4" w:space="0" w:color="auto"/>
              <w:bottom w:val="nil"/>
            </w:tcBorders>
          </w:tcPr>
          <w:p w:rsidR="00E46B1C" w:rsidRPr="002F57F6" w:rsidRDefault="00E46B1C" w:rsidP="00E32ADF">
            <w:pPr>
              <w:spacing w:before="40" w:after="40"/>
              <w:rPr>
                <w:rFonts w:ascii="Calibri" w:eastAsia="Calibri" w:hAnsi="Calibri" w:cs="Times New Roman"/>
                <w:sz w:val="20"/>
                <w:szCs w:val="20"/>
              </w:rPr>
            </w:pPr>
            <w:r w:rsidRPr="002F57F6">
              <w:rPr>
                <w:rFonts w:ascii="Calibri" w:eastAsia="Calibri" w:hAnsi="Calibri" w:cs="Times New Roman"/>
                <w:sz w:val="20"/>
                <w:szCs w:val="20"/>
              </w:rPr>
              <w:t>Developing Northern Australia</w:t>
            </w:r>
          </w:p>
        </w:tc>
        <w:tc>
          <w:tcPr>
            <w:tcW w:w="2128" w:type="pct"/>
            <w:tcBorders>
              <w:top w:val="single" w:sz="4" w:space="0" w:color="auto"/>
              <w:bottom w:val="nil"/>
            </w:tcBorders>
          </w:tcPr>
          <w:p w:rsidR="00E46B1C" w:rsidRPr="002F57F6" w:rsidRDefault="00E46B1C" w:rsidP="00B40E8E">
            <w:pPr>
              <w:spacing w:before="40" w:after="40"/>
              <w:rPr>
                <w:rFonts w:ascii="Calibri" w:eastAsia="Calibri" w:hAnsi="Calibri" w:cs="Times New Roman"/>
                <w:sz w:val="20"/>
                <w:szCs w:val="20"/>
              </w:rPr>
            </w:pPr>
            <w:r w:rsidRPr="002F57F6">
              <w:rPr>
                <w:rFonts w:ascii="Calibri" w:eastAsia="Calibri" w:hAnsi="Calibri" w:cs="Times New Roman"/>
                <w:sz w:val="20"/>
                <w:szCs w:val="20"/>
              </w:rPr>
              <w:t>Fund</w:t>
            </w:r>
            <w:r>
              <w:rPr>
                <w:rFonts w:ascii="Calibri" w:eastAsia="Calibri" w:hAnsi="Calibri" w:cs="Times New Roman"/>
                <w:sz w:val="20"/>
                <w:szCs w:val="20"/>
              </w:rPr>
              <w:t>ing to</w:t>
            </w:r>
            <w:r w:rsidRPr="002F57F6">
              <w:rPr>
                <w:rFonts w:ascii="Calibri" w:eastAsia="Calibri" w:hAnsi="Calibri" w:cs="Times New Roman"/>
                <w:sz w:val="20"/>
                <w:szCs w:val="20"/>
              </w:rPr>
              <w:t xml:space="preserve"> provide incentives for private sector investment to improve the road network and transport logistics in Northern Australia.</w:t>
            </w:r>
          </w:p>
        </w:tc>
        <w:tc>
          <w:tcPr>
            <w:tcW w:w="416" w:type="pct"/>
            <w:tcBorders>
              <w:top w:val="single" w:sz="4" w:space="0" w:color="auto"/>
              <w:bottom w:val="nil"/>
            </w:tcBorders>
          </w:tcPr>
          <w:p w:rsidR="00E46B1C" w:rsidRDefault="00E46B1C" w:rsidP="00E32ADF">
            <w:pPr>
              <w:spacing w:before="40" w:after="40"/>
              <w:jc w:val="right"/>
              <w:rPr>
                <w:rFonts w:ascii="Calibri" w:eastAsia="Calibri" w:hAnsi="Calibri" w:cs="Times New Roman"/>
                <w:sz w:val="20"/>
                <w:szCs w:val="20"/>
              </w:rPr>
            </w:pPr>
          </w:p>
        </w:tc>
        <w:tc>
          <w:tcPr>
            <w:tcW w:w="520" w:type="pct"/>
            <w:tcBorders>
              <w:top w:val="single" w:sz="4" w:space="0" w:color="auto"/>
              <w:bottom w:val="nil"/>
            </w:tcBorders>
          </w:tcPr>
          <w:p w:rsidR="00E46B1C" w:rsidRDefault="00E46B1C" w:rsidP="00E32ADF">
            <w:pPr>
              <w:spacing w:before="40" w:after="40"/>
              <w:rPr>
                <w:rFonts w:ascii="Calibri" w:eastAsia="Calibri" w:hAnsi="Calibri" w:cs="Times New Roman"/>
                <w:sz w:val="20"/>
                <w:szCs w:val="20"/>
              </w:rPr>
            </w:pPr>
          </w:p>
        </w:tc>
        <w:tc>
          <w:tcPr>
            <w:tcW w:w="806" w:type="pct"/>
            <w:tcBorders>
              <w:top w:val="single" w:sz="4" w:space="0" w:color="auto"/>
              <w:bottom w:val="nil"/>
            </w:tcBorders>
          </w:tcPr>
          <w:p w:rsidR="00E46B1C" w:rsidRDefault="00E46B1C" w:rsidP="00E32ADF">
            <w:pPr>
              <w:spacing w:before="40" w:after="40"/>
              <w:rPr>
                <w:rFonts w:ascii="Calibri" w:eastAsia="Calibri" w:hAnsi="Calibri" w:cs="Times New Roman"/>
                <w:sz w:val="20"/>
                <w:szCs w:val="20"/>
              </w:rPr>
            </w:pPr>
          </w:p>
        </w:tc>
      </w:tr>
      <w:tr w:rsidR="00E46B1C" w:rsidRPr="00732D02" w:rsidTr="00E32ADF">
        <w:trPr>
          <w:trHeight w:val="2399"/>
        </w:trPr>
        <w:tc>
          <w:tcPr>
            <w:tcW w:w="1130" w:type="pct"/>
            <w:tcBorders>
              <w:top w:val="nil"/>
              <w:bottom w:val="nil"/>
              <w:right w:val="single" w:sz="4" w:space="0" w:color="auto"/>
            </w:tcBorders>
          </w:tcPr>
          <w:p w:rsidR="00E46B1C" w:rsidRPr="00347E75" w:rsidRDefault="00E46B1C" w:rsidP="00E32ADF">
            <w:pPr>
              <w:spacing w:before="40" w:after="40"/>
              <w:rPr>
                <w:rFonts w:ascii="Calibri" w:eastAsia="Calibri" w:hAnsi="Calibri" w:cs="Times New Roman"/>
                <w:sz w:val="20"/>
                <w:szCs w:val="20"/>
              </w:rPr>
            </w:pPr>
          </w:p>
        </w:tc>
        <w:tc>
          <w:tcPr>
            <w:tcW w:w="2128" w:type="pct"/>
            <w:tcBorders>
              <w:top w:val="nil"/>
              <w:left w:val="single" w:sz="4" w:space="0" w:color="auto"/>
              <w:bottom w:val="nil"/>
              <w:right w:val="single" w:sz="4" w:space="0" w:color="auto"/>
            </w:tcBorders>
          </w:tcPr>
          <w:p w:rsidR="00E46B1C" w:rsidRDefault="00E46B1C" w:rsidP="00E600A7">
            <w:pPr>
              <w:pStyle w:val="CGCBulletlist"/>
              <w:tabs>
                <w:tab w:val="clear" w:pos="927"/>
                <w:tab w:val="num" w:pos="316"/>
              </w:tabs>
              <w:spacing w:line="240" w:lineRule="auto"/>
              <w:ind w:left="316" w:hanging="283"/>
            </w:pPr>
            <w:r w:rsidRPr="007D398B">
              <w:rPr>
                <w:rFonts w:ascii="Calibri" w:eastAsia="Calibri" w:hAnsi="Calibri" w:cs="Times New Roman"/>
                <w:sz w:val="20"/>
              </w:rPr>
              <w:t xml:space="preserve">Improving cattle supply chains </w:t>
            </w:r>
            <w:r w:rsidR="00E600A7">
              <w:rPr>
                <w:rFonts w:ascii="Calibri" w:eastAsia="Calibri" w:hAnsi="Calibri" w:cs="Times New Roman"/>
                <w:sz w:val="20"/>
              </w:rPr>
              <w:t>—</w:t>
            </w:r>
            <w:r w:rsidRPr="007D398B">
              <w:rPr>
                <w:rFonts w:ascii="Calibri" w:eastAsia="Calibri" w:hAnsi="Calibri" w:cs="Times New Roman"/>
                <w:sz w:val="20"/>
              </w:rPr>
              <w:t xml:space="preserve"> </w:t>
            </w:r>
            <w:r w:rsidR="00700F60">
              <w:rPr>
                <w:rFonts w:ascii="Calibri" w:eastAsia="Calibri" w:hAnsi="Calibri" w:cs="Times New Roman"/>
                <w:sz w:val="20"/>
              </w:rPr>
              <w:t xml:space="preserve">the Commonwealth will provide $101.3 million of </w:t>
            </w:r>
            <w:r w:rsidRPr="007D398B">
              <w:rPr>
                <w:rFonts w:ascii="Calibri" w:eastAsia="Calibri" w:hAnsi="Calibri" w:cs="Times New Roman"/>
                <w:sz w:val="20"/>
              </w:rPr>
              <w:t xml:space="preserve">funding over four years to improve cattle supply chains in the </w:t>
            </w:r>
            <w:r w:rsidR="00EE10B5">
              <w:rPr>
                <w:rFonts w:ascii="Calibri" w:eastAsia="Calibri" w:hAnsi="Calibri" w:cs="Times New Roman"/>
                <w:sz w:val="20"/>
              </w:rPr>
              <w:t>N</w:t>
            </w:r>
            <w:r w:rsidRPr="007D398B">
              <w:rPr>
                <w:rFonts w:ascii="Calibri" w:eastAsia="Calibri" w:hAnsi="Calibri" w:cs="Times New Roman"/>
                <w:sz w:val="20"/>
              </w:rPr>
              <w:t xml:space="preserve">orth, with a particular focus on road infrastructure. This funding will seek to improve the productivity and resilience of cattle supply chains in </w:t>
            </w:r>
            <w:r>
              <w:rPr>
                <w:rFonts w:ascii="Calibri" w:eastAsia="Calibri" w:hAnsi="Calibri" w:cs="Times New Roman"/>
                <w:sz w:val="20"/>
              </w:rPr>
              <w:t>N</w:t>
            </w:r>
            <w:r w:rsidRPr="007D398B">
              <w:rPr>
                <w:rFonts w:ascii="Calibri" w:eastAsia="Calibri" w:hAnsi="Calibri" w:cs="Times New Roman"/>
                <w:sz w:val="20"/>
              </w:rPr>
              <w:t>orthern Australia, drawing on the Commonwealth Scientific and Industrial Research Organisation</w:t>
            </w:r>
            <w:r w:rsidR="00700F60" w:rsidRPr="007D398B">
              <w:rPr>
                <w:rFonts w:ascii="Calibri" w:eastAsia="Calibri" w:hAnsi="Calibri" w:cs="Times New Roman"/>
                <w:sz w:val="20"/>
              </w:rPr>
              <w:t>’s</w:t>
            </w:r>
            <w:r w:rsidR="00700F60">
              <w:rPr>
                <w:rFonts w:ascii="Calibri" w:eastAsia="Calibri" w:hAnsi="Calibri" w:cs="Times New Roman"/>
                <w:sz w:val="20"/>
              </w:rPr>
              <w:t xml:space="preserve"> (</w:t>
            </w:r>
            <w:proofErr w:type="spellStart"/>
            <w:r w:rsidR="00700F60">
              <w:rPr>
                <w:rFonts w:ascii="Calibri" w:eastAsia="Calibri" w:hAnsi="Calibri" w:cs="Times New Roman"/>
                <w:sz w:val="20"/>
              </w:rPr>
              <w:t>CSRIO</w:t>
            </w:r>
            <w:proofErr w:type="spellEnd"/>
            <w:r w:rsidR="00700F60">
              <w:rPr>
                <w:rFonts w:ascii="Calibri" w:eastAsia="Calibri" w:hAnsi="Calibri" w:cs="Times New Roman"/>
                <w:sz w:val="20"/>
              </w:rPr>
              <w:t>)</w:t>
            </w:r>
            <w:r w:rsidRPr="007D398B">
              <w:rPr>
                <w:rFonts w:ascii="Calibri" w:eastAsia="Calibri" w:hAnsi="Calibri" w:cs="Times New Roman"/>
                <w:sz w:val="20"/>
              </w:rPr>
              <w:t xml:space="preserve"> state</w:t>
            </w:r>
            <w:r>
              <w:rPr>
                <w:rFonts w:ascii="Calibri" w:eastAsia="Calibri" w:hAnsi="Calibri" w:cs="Times New Roman"/>
                <w:sz w:val="20"/>
              </w:rPr>
              <w:t>-</w:t>
            </w:r>
            <w:r w:rsidRPr="007D398B">
              <w:rPr>
                <w:rFonts w:ascii="Calibri" w:eastAsia="Calibri" w:hAnsi="Calibri" w:cs="Times New Roman"/>
                <w:sz w:val="20"/>
              </w:rPr>
              <w:t>of</w:t>
            </w:r>
            <w:r>
              <w:rPr>
                <w:rFonts w:ascii="Calibri" w:eastAsia="Calibri" w:hAnsi="Calibri" w:cs="Times New Roman"/>
                <w:sz w:val="20"/>
              </w:rPr>
              <w:t>-</w:t>
            </w:r>
            <w:r w:rsidRPr="007D398B">
              <w:rPr>
                <w:rFonts w:ascii="Calibri" w:eastAsia="Calibri" w:hAnsi="Calibri" w:cs="Times New Roman"/>
                <w:sz w:val="20"/>
              </w:rPr>
              <w:t>the</w:t>
            </w:r>
            <w:r>
              <w:rPr>
                <w:rFonts w:ascii="Calibri" w:eastAsia="Calibri" w:hAnsi="Calibri" w:cs="Times New Roman"/>
                <w:sz w:val="20"/>
              </w:rPr>
              <w:t>-</w:t>
            </w:r>
            <w:r w:rsidRPr="007D398B">
              <w:rPr>
                <w:rFonts w:ascii="Calibri" w:eastAsia="Calibri" w:hAnsi="Calibri" w:cs="Times New Roman"/>
                <w:sz w:val="20"/>
              </w:rPr>
              <w:t>art logistics modelling, as well as input from livestock transport and beef industry experts, to identify deregulation opportunities and investment priorities.</w:t>
            </w:r>
          </w:p>
        </w:tc>
        <w:tc>
          <w:tcPr>
            <w:tcW w:w="416" w:type="pct"/>
            <w:tcBorders>
              <w:top w:val="nil"/>
              <w:left w:val="single" w:sz="4" w:space="0" w:color="auto"/>
              <w:bottom w:val="nil"/>
              <w:right w:val="single" w:sz="4" w:space="0" w:color="auto"/>
            </w:tcBorders>
          </w:tcPr>
          <w:p w:rsidR="00E46B1C" w:rsidRDefault="00E46B1C"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1.7</w:t>
            </w:r>
          </w:p>
        </w:tc>
        <w:tc>
          <w:tcPr>
            <w:tcW w:w="520" w:type="pct"/>
            <w:tcBorders>
              <w:top w:val="nil"/>
              <w:left w:val="single" w:sz="4" w:space="0" w:color="auto"/>
              <w:bottom w:val="nil"/>
              <w:right w:val="single" w:sz="4" w:space="0" w:color="auto"/>
            </w:tcBorders>
          </w:tcPr>
          <w:p w:rsidR="00E46B1C" w:rsidRDefault="00E46B1C"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Impact </w:t>
            </w:r>
          </w:p>
        </w:tc>
        <w:tc>
          <w:tcPr>
            <w:tcW w:w="806" w:type="pct"/>
            <w:tcBorders>
              <w:top w:val="nil"/>
              <w:left w:val="single" w:sz="4" w:space="0" w:color="auto"/>
              <w:bottom w:val="nil"/>
            </w:tcBorders>
          </w:tcPr>
          <w:p w:rsidR="00E46B1C" w:rsidRDefault="00E46B1C" w:rsidP="00E32ADF">
            <w:pPr>
              <w:spacing w:before="40" w:after="40"/>
              <w:rPr>
                <w:rFonts w:ascii="Calibri" w:eastAsia="Calibri" w:hAnsi="Calibri" w:cs="Times New Roman"/>
                <w:sz w:val="20"/>
                <w:szCs w:val="20"/>
              </w:rPr>
            </w:pPr>
          </w:p>
        </w:tc>
      </w:tr>
      <w:tr w:rsidR="00E46B1C" w:rsidRPr="00732D02" w:rsidTr="00E32ADF">
        <w:trPr>
          <w:trHeight w:val="1402"/>
        </w:trPr>
        <w:tc>
          <w:tcPr>
            <w:tcW w:w="1130" w:type="pct"/>
            <w:tcBorders>
              <w:top w:val="nil"/>
              <w:right w:val="single" w:sz="4" w:space="0" w:color="auto"/>
            </w:tcBorders>
          </w:tcPr>
          <w:p w:rsidR="00E46B1C" w:rsidRPr="00347E75" w:rsidRDefault="00E46B1C" w:rsidP="00E32ADF">
            <w:pPr>
              <w:spacing w:before="40" w:after="40"/>
              <w:rPr>
                <w:rFonts w:ascii="Calibri" w:eastAsia="Calibri" w:hAnsi="Calibri" w:cs="Times New Roman"/>
                <w:sz w:val="20"/>
                <w:szCs w:val="20"/>
              </w:rPr>
            </w:pPr>
          </w:p>
        </w:tc>
        <w:tc>
          <w:tcPr>
            <w:tcW w:w="2128" w:type="pct"/>
            <w:tcBorders>
              <w:top w:val="nil"/>
              <w:left w:val="single" w:sz="4" w:space="0" w:color="auto"/>
              <w:right w:val="single" w:sz="4" w:space="0" w:color="auto"/>
            </w:tcBorders>
          </w:tcPr>
          <w:p w:rsidR="00E46B1C" w:rsidRPr="003B1508" w:rsidRDefault="00E46B1C" w:rsidP="00E600A7">
            <w:pPr>
              <w:pStyle w:val="CGCBulletlist"/>
              <w:tabs>
                <w:tab w:val="clear" w:pos="927"/>
                <w:tab w:val="num" w:pos="316"/>
              </w:tabs>
              <w:spacing w:line="240" w:lineRule="auto"/>
              <w:ind w:left="316" w:hanging="283"/>
            </w:pPr>
            <w:r w:rsidRPr="007D398B">
              <w:rPr>
                <w:rFonts w:ascii="Calibri" w:eastAsia="Calibri" w:hAnsi="Calibri" w:cs="Times New Roman"/>
                <w:sz w:val="20"/>
              </w:rPr>
              <w:t>Northern Australia Roads</w:t>
            </w:r>
            <w:r w:rsidR="00E600A7">
              <w:rPr>
                <w:rFonts w:ascii="Calibri" w:eastAsia="Calibri" w:hAnsi="Calibri" w:cs="Times New Roman"/>
                <w:sz w:val="20"/>
              </w:rPr>
              <w:t xml:space="preserve"> —</w:t>
            </w:r>
            <w:r w:rsidRPr="007D398B">
              <w:rPr>
                <w:rFonts w:ascii="Calibri" w:eastAsia="Calibri" w:hAnsi="Calibri" w:cs="Times New Roman"/>
                <w:sz w:val="20"/>
              </w:rPr>
              <w:t xml:space="preserve"> funding for the infrastructure projects that are essential to the movement of people and freight, in order to support economic development in the region. Projects include inter-jurisdictional links and roads connecting communities and regional towns to ports and airports.</w:t>
            </w:r>
          </w:p>
        </w:tc>
        <w:tc>
          <w:tcPr>
            <w:tcW w:w="416" w:type="pct"/>
            <w:tcBorders>
              <w:top w:val="nil"/>
              <w:left w:val="single" w:sz="4" w:space="0" w:color="auto"/>
              <w:right w:val="single" w:sz="4" w:space="0" w:color="auto"/>
            </w:tcBorders>
          </w:tcPr>
          <w:p w:rsidR="00E46B1C" w:rsidRDefault="00E46B1C"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12.0</w:t>
            </w:r>
          </w:p>
        </w:tc>
        <w:tc>
          <w:tcPr>
            <w:tcW w:w="520" w:type="pct"/>
            <w:tcBorders>
              <w:top w:val="nil"/>
              <w:left w:val="single" w:sz="4" w:space="0" w:color="auto"/>
              <w:right w:val="single" w:sz="4" w:space="0" w:color="auto"/>
            </w:tcBorders>
          </w:tcPr>
          <w:p w:rsidR="00E46B1C" w:rsidRDefault="00E46B1C"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Impact </w:t>
            </w:r>
          </w:p>
        </w:tc>
        <w:tc>
          <w:tcPr>
            <w:tcW w:w="806" w:type="pct"/>
            <w:tcBorders>
              <w:top w:val="nil"/>
              <w:left w:val="single" w:sz="4" w:space="0" w:color="auto"/>
            </w:tcBorders>
          </w:tcPr>
          <w:p w:rsidR="00E46B1C" w:rsidRDefault="00E46B1C" w:rsidP="00E32ADF">
            <w:pPr>
              <w:spacing w:before="40" w:after="40"/>
              <w:rPr>
                <w:rFonts w:ascii="Calibri" w:eastAsia="Calibri" w:hAnsi="Calibri" w:cs="Times New Roman"/>
                <w:sz w:val="20"/>
                <w:szCs w:val="20"/>
              </w:rPr>
            </w:pPr>
          </w:p>
        </w:tc>
      </w:tr>
    </w:tbl>
    <w:p w:rsidR="003B1508" w:rsidRDefault="003B1508"/>
    <w:p w:rsidR="003B1508" w:rsidRDefault="003B1508">
      <w:pPr>
        <w:tabs>
          <w:tab w:val="clear" w:pos="567"/>
        </w:tabs>
      </w:pPr>
      <w:r>
        <w:br w:type="page"/>
      </w:r>
    </w:p>
    <w:p w:rsidR="002931BA" w:rsidRPr="00F369A6" w:rsidRDefault="002931BA" w:rsidP="002931BA">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65408" behindDoc="0" locked="0" layoutInCell="1" allowOverlap="1" wp14:anchorId="7D97B35E" wp14:editId="3FC9158F">
                <wp:simplePos x="0" y="0"/>
                <wp:positionH relativeFrom="column">
                  <wp:posOffset>-631825</wp:posOffset>
                </wp:positionH>
                <wp:positionV relativeFrom="paragraph">
                  <wp:posOffset>187960</wp:posOffset>
                </wp:positionV>
                <wp:extent cx="430530" cy="5648325"/>
                <wp:effectExtent l="0" t="0"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2931BA">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75pt;margin-top:14.8pt;width:33.9pt;height:4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" stroked="f">
                <v:textbox style="layout-flow:vertical">
                  <w:txbxContent>
                    <w:p w:rsidR="004E56AA" w:rsidRPr="004C6DAD" w:rsidRDefault="004E56AA" w:rsidP="002931BA">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33</w:t>
                      </w:r>
                    </w:p>
                  </w:txbxContent>
                </v:textbox>
              </v:shape>
            </w:pict>
          </mc:Fallback>
        </mc:AlternateContent>
      </w:r>
      <w:r w:rsidRPr="00F369A6">
        <w:rPr>
          <w:rFonts w:ascii="Calibri" w:eastAsia="Calibri" w:hAnsi="Calibri" w:cs="Times New Roman"/>
          <w:b/>
          <w:sz w:val="22"/>
          <w:szCs w:val="22"/>
        </w:rPr>
        <w:t>Table A-1</w:t>
      </w:r>
      <w:r w:rsidRPr="00F369A6">
        <w:rPr>
          <w:rFonts w:ascii="Calibri" w:eastAsia="Calibri" w:hAnsi="Calibri" w:cs="Times New Roman"/>
          <w:b/>
          <w:sz w:val="22"/>
          <w:szCs w:val="22"/>
        </w:rPr>
        <w:tab/>
        <w:t xml:space="preserve">Proposed treatment of Commonwealth payments commenced in </w:t>
      </w:r>
      <w:r>
        <w:rPr>
          <w:rFonts w:ascii="Calibri" w:eastAsia="Calibri" w:hAnsi="Calibri" w:cs="Times New Roman"/>
          <w:b/>
          <w:sz w:val="22"/>
          <w:szCs w:val="22"/>
        </w:rPr>
        <w:t>2016-17</w:t>
      </w:r>
      <w:r w:rsidRPr="00F369A6">
        <w:rPr>
          <w:rFonts w:ascii="Calibri" w:eastAsia="Calibri" w:hAnsi="Calibri" w:cs="Times New Roman"/>
          <w:b/>
          <w:sz w:val="22"/>
          <w:szCs w:val="22"/>
        </w:rPr>
        <w:t xml:space="preserve">, </w:t>
      </w:r>
      <w:r w:rsidRPr="00F369A6">
        <w:rPr>
          <w:rFonts w:ascii="Calibri" w:eastAsia="Calibri" w:hAnsi="Calibri" w:cs="Times New Roman"/>
          <w:b/>
          <w:i/>
          <w:sz w:val="22"/>
          <w:szCs w:val="22"/>
        </w:rPr>
        <w:t xml:space="preserve">Federal Financial Relations, Budget Paper No. 3, </w:t>
      </w:r>
      <w:r>
        <w:rPr>
          <w:rFonts w:ascii="Calibri" w:eastAsia="Calibri" w:hAnsi="Calibri" w:cs="Times New Roman"/>
          <w:b/>
          <w:i/>
          <w:sz w:val="22"/>
          <w:szCs w:val="22"/>
        </w:rPr>
        <w:t>2017-18</w:t>
      </w:r>
      <w:r w:rsidR="005E4E28">
        <w:rPr>
          <w:rFonts w:ascii="Calibri" w:eastAsia="Calibri" w:hAnsi="Calibri" w:cs="Times New Roman"/>
          <w:b/>
          <w:i/>
          <w:sz w:val="22"/>
          <w:szCs w:val="22"/>
        </w:rPr>
        <w:t xml:space="preserve"> </w:t>
      </w:r>
      <w:r w:rsidR="005E4E28" w:rsidRPr="00E46B1C">
        <w:rPr>
          <w:rFonts w:ascii="Calibri" w:eastAsia="Calibri" w:hAnsi="Calibri" w:cs="Times New Roman"/>
          <w:b/>
          <w:sz w:val="22"/>
          <w:szCs w:val="22"/>
        </w:rPr>
        <w:t>(Continued)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5"/>
        <w:gridCol w:w="5810"/>
        <w:gridCol w:w="1136"/>
        <w:gridCol w:w="1420"/>
        <w:gridCol w:w="2201"/>
      </w:tblGrid>
      <w:tr w:rsidR="002931BA" w:rsidRPr="00533864" w:rsidTr="00E32ADF">
        <w:tc>
          <w:tcPr>
            <w:tcW w:w="1130" w:type="pct"/>
            <w:vAlign w:val="center"/>
          </w:tcPr>
          <w:p w:rsidR="002931BA" w:rsidRPr="00533864" w:rsidRDefault="002931BA"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128" w:type="pct"/>
            <w:vAlign w:val="center"/>
          </w:tcPr>
          <w:p w:rsidR="002931BA" w:rsidRPr="00533864" w:rsidRDefault="002931BA"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16" w:type="pct"/>
            <w:vAlign w:val="center"/>
          </w:tcPr>
          <w:p w:rsidR="002931BA" w:rsidRPr="00533864" w:rsidRDefault="002931BA"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2016-17 </w:t>
            </w:r>
            <w:r w:rsidRPr="00533864">
              <w:rPr>
                <w:rFonts w:ascii="Calibri" w:eastAsia="Calibri" w:hAnsi="Calibri" w:cs="Times New Roman"/>
                <w:sz w:val="20"/>
                <w:szCs w:val="20"/>
              </w:rPr>
              <w:t>$m</w:t>
            </w:r>
          </w:p>
        </w:tc>
        <w:tc>
          <w:tcPr>
            <w:tcW w:w="520" w:type="pct"/>
            <w:vAlign w:val="center"/>
          </w:tcPr>
          <w:p w:rsidR="002931BA" w:rsidRPr="00533864" w:rsidRDefault="002931BA" w:rsidP="00E32ADF">
            <w:pPr>
              <w:spacing w:before="40" w:after="40"/>
              <w:ind w:left="-30"/>
              <w:rPr>
                <w:rFonts w:ascii="Calibri" w:eastAsia="Calibri" w:hAnsi="Calibri" w:cs="Times New Roman"/>
                <w:sz w:val="20"/>
                <w:szCs w:val="20"/>
              </w:rPr>
            </w:pPr>
            <w:r w:rsidRPr="00533864">
              <w:rPr>
                <w:rFonts w:ascii="Calibri" w:eastAsia="Calibri" w:hAnsi="Calibri" w:cs="Times New Roman"/>
                <w:sz w:val="20"/>
                <w:szCs w:val="20"/>
              </w:rPr>
              <w:t>Proposed treatment</w:t>
            </w:r>
          </w:p>
        </w:tc>
        <w:tc>
          <w:tcPr>
            <w:tcW w:w="806" w:type="pct"/>
            <w:tcBorders>
              <w:bottom w:val="single" w:sz="4" w:space="0" w:color="auto"/>
            </w:tcBorders>
            <w:vAlign w:val="center"/>
          </w:tcPr>
          <w:p w:rsidR="002931BA" w:rsidRPr="00533864" w:rsidRDefault="002931BA"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Reason for No impact treatment</w:t>
            </w:r>
          </w:p>
        </w:tc>
      </w:tr>
      <w:tr w:rsidR="009E2B53" w:rsidRPr="00732D02" w:rsidTr="009E2B53">
        <w:tc>
          <w:tcPr>
            <w:tcW w:w="5000" w:type="pct"/>
            <w:gridSpan w:val="5"/>
            <w:tcBorders>
              <w:top w:val="single" w:sz="4" w:space="0" w:color="auto"/>
              <w:bottom w:val="single" w:sz="4" w:space="0" w:color="auto"/>
            </w:tcBorders>
          </w:tcPr>
          <w:p w:rsidR="009E2B53" w:rsidRDefault="009E2B53" w:rsidP="00E32ADF">
            <w:pPr>
              <w:spacing w:before="40" w:after="40"/>
              <w:rPr>
                <w:rFonts w:ascii="Calibri" w:eastAsia="Calibri" w:hAnsi="Calibri" w:cs="Times New Roman"/>
                <w:b/>
                <w:sz w:val="20"/>
                <w:szCs w:val="20"/>
              </w:rPr>
            </w:pPr>
            <w:r>
              <w:rPr>
                <w:rFonts w:ascii="Calibri" w:eastAsia="Calibri" w:hAnsi="Calibri" w:cs="Times New Roman"/>
                <w:b/>
                <w:sz w:val="20"/>
                <w:szCs w:val="20"/>
              </w:rPr>
              <w:t>ENVIRONMENT</w:t>
            </w:r>
          </w:p>
        </w:tc>
      </w:tr>
      <w:tr w:rsidR="009E2B53" w:rsidRPr="00732D02" w:rsidTr="009E2B53">
        <w:tc>
          <w:tcPr>
            <w:tcW w:w="1130" w:type="pct"/>
            <w:tcBorders>
              <w:top w:val="single" w:sz="4" w:space="0" w:color="auto"/>
              <w:bottom w:val="nil"/>
            </w:tcBorders>
          </w:tcPr>
          <w:p w:rsidR="009E2B53" w:rsidRPr="00347E75" w:rsidRDefault="009E2B53" w:rsidP="00D446E3">
            <w:pPr>
              <w:spacing w:before="40" w:after="40"/>
              <w:rPr>
                <w:rFonts w:ascii="Calibri" w:eastAsia="Calibri" w:hAnsi="Calibri" w:cs="Times New Roman"/>
                <w:sz w:val="20"/>
                <w:szCs w:val="20"/>
              </w:rPr>
            </w:pPr>
            <w:r w:rsidRPr="009E43ED">
              <w:rPr>
                <w:rFonts w:ascii="Calibri" w:eastAsia="Calibri" w:hAnsi="Calibri" w:cs="Times New Roman"/>
                <w:sz w:val="20"/>
                <w:szCs w:val="20"/>
              </w:rPr>
              <w:t>Water Infrastructure Development Fund</w:t>
            </w:r>
            <w:r>
              <w:rPr>
                <w:rFonts w:ascii="Calibri" w:eastAsia="Calibri" w:hAnsi="Calibri" w:cs="Times New Roman"/>
                <w:sz w:val="20"/>
                <w:szCs w:val="20"/>
              </w:rPr>
              <w:t xml:space="preserve"> — Feasibility studies component</w:t>
            </w:r>
          </w:p>
        </w:tc>
        <w:tc>
          <w:tcPr>
            <w:tcW w:w="2128" w:type="pct"/>
            <w:tcBorders>
              <w:top w:val="single" w:sz="4" w:space="0" w:color="auto"/>
              <w:bottom w:val="nil"/>
            </w:tcBorders>
          </w:tcPr>
          <w:p w:rsidR="009E2B53" w:rsidRDefault="009E2B53" w:rsidP="00D446E3">
            <w:pPr>
              <w:spacing w:before="40" w:after="40"/>
              <w:rPr>
                <w:rFonts w:ascii="Calibri" w:eastAsia="Calibri" w:hAnsi="Calibri" w:cs="Times New Roman"/>
                <w:sz w:val="20"/>
                <w:szCs w:val="20"/>
              </w:rPr>
            </w:pPr>
            <w:r>
              <w:rPr>
                <w:rFonts w:ascii="Calibri" w:eastAsia="Calibri" w:hAnsi="Calibri" w:cs="Times New Roman"/>
                <w:sz w:val="20"/>
                <w:szCs w:val="20"/>
              </w:rPr>
              <w:t xml:space="preserve">Funding </w:t>
            </w:r>
            <w:r w:rsidRPr="005C1BD1">
              <w:rPr>
                <w:rFonts w:ascii="Calibri" w:eastAsia="Calibri" w:hAnsi="Calibri" w:cs="Times New Roman"/>
                <w:sz w:val="20"/>
                <w:szCs w:val="20"/>
              </w:rPr>
              <w:t>to build or augment existing water infrastructure, including dams, pipelines or managed aquifer recharge. This will help secure the nation’s water supplies and deliver regional economic development benefits.</w:t>
            </w:r>
            <w:r>
              <w:rPr>
                <w:rFonts w:ascii="Calibri" w:eastAsia="Calibri" w:hAnsi="Calibri" w:cs="Times New Roman"/>
                <w:sz w:val="20"/>
                <w:szCs w:val="20"/>
              </w:rPr>
              <w:t xml:space="preserve"> There are two components: feasibility studies (commenced in 2015-16) and capital (commences in 2017-18).</w:t>
            </w:r>
          </w:p>
        </w:tc>
        <w:tc>
          <w:tcPr>
            <w:tcW w:w="416" w:type="pct"/>
            <w:tcBorders>
              <w:top w:val="single" w:sz="4" w:space="0" w:color="auto"/>
              <w:bottom w:val="nil"/>
            </w:tcBorders>
          </w:tcPr>
          <w:p w:rsidR="009E2B53" w:rsidRDefault="009E2B53" w:rsidP="00D446E3">
            <w:pPr>
              <w:spacing w:before="40" w:after="40"/>
              <w:jc w:val="right"/>
              <w:rPr>
                <w:rFonts w:ascii="Calibri" w:eastAsia="Calibri" w:hAnsi="Calibri" w:cs="Times New Roman"/>
                <w:sz w:val="20"/>
                <w:szCs w:val="20"/>
              </w:rPr>
            </w:pPr>
          </w:p>
        </w:tc>
        <w:tc>
          <w:tcPr>
            <w:tcW w:w="520" w:type="pct"/>
            <w:tcBorders>
              <w:top w:val="single" w:sz="4" w:space="0" w:color="auto"/>
              <w:bottom w:val="nil"/>
            </w:tcBorders>
          </w:tcPr>
          <w:p w:rsidR="009E2B53" w:rsidRDefault="009E2B53" w:rsidP="00D446E3">
            <w:pPr>
              <w:spacing w:before="40" w:after="40"/>
              <w:rPr>
                <w:rFonts w:ascii="Calibri" w:eastAsia="Calibri" w:hAnsi="Calibri" w:cs="Times New Roman"/>
                <w:sz w:val="20"/>
                <w:szCs w:val="20"/>
              </w:rPr>
            </w:pPr>
          </w:p>
        </w:tc>
        <w:tc>
          <w:tcPr>
            <w:tcW w:w="806" w:type="pct"/>
            <w:tcBorders>
              <w:top w:val="single" w:sz="4" w:space="0" w:color="auto"/>
              <w:bottom w:val="nil"/>
            </w:tcBorders>
          </w:tcPr>
          <w:p w:rsidR="009E2B53" w:rsidRDefault="009E2B53" w:rsidP="00D446E3">
            <w:pPr>
              <w:spacing w:before="40" w:after="40"/>
              <w:rPr>
                <w:rFonts w:ascii="Calibri" w:eastAsia="Calibri" w:hAnsi="Calibri" w:cs="Times New Roman"/>
                <w:sz w:val="20"/>
                <w:szCs w:val="20"/>
              </w:rPr>
            </w:pPr>
          </w:p>
        </w:tc>
      </w:tr>
      <w:tr w:rsidR="009E2B53" w:rsidRPr="00732D02" w:rsidTr="009E2B53">
        <w:tc>
          <w:tcPr>
            <w:tcW w:w="1130" w:type="pct"/>
            <w:tcBorders>
              <w:top w:val="nil"/>
              <w:bottom w:val="single" w:sz="4" w:space="0" w:color="auto"/>
            </w:tcBorders>
          </w:tcPr>
          <w:p w:rsidR="009E2B53" w:rsidRPr="009E43ED" w:rsidRDefault="009E2B53" w:rsidP="00D446E3">
            <w:pPr>
              <w:spacing w:before="40" w:after="40"/>
              <w:rPr>
                <w:rFonts w:ascii="Calibri" w:eastAsia="Calibri" w:hAnsi="Calibri" w:cs="Times New Roman"/>
                <w:sz w:val="20"/>
                <w:szCs w:val="20"/>
              </w:rPr>
            </w:pPr>
          </w:p>
        </w:tc>
        <w:tc>
          <w:tcPr>
            <w:tcW w:w="2128" w:type="pct"/>
            <w:tcBorders>
              <w:top w:val="nil"/>
              <w:bottom w:val="single" w:sz="4" w:space="0" w:color="auto"/>
            </w:tcBorders>
          </w:tcPr>
          <w:p w:rsidR="009E2B53" w:rsidRDefault="009E2B53" w:rsidP="00B40E8E">
            <w:pPr>
              <w:pStyle w:val="CGCBulletlist"/>
              <w:tabs>
                <w:tab w:val="clear" w:pos="927"/>
                <w:tab w:val="num" w:pos="316"/>
              </w:tabs>
              <w:spacing w:before="40" w:after="40" w:line="240" w:lineRule="auto"/>
              <w:ind w:left="316" w:hanging="283"/>
              <w:rPr>
                <w:rFonts w:ascii="Calibri" w:eastAsia="Calibri" w:hAnsi="Calibri" w:cs="Times New Roman"/>
                <w:sz w:val="20"/>
              </w:rPr>
            </w:pPr>
            <w:r w:rsidRPr="005C1BD1">
              <w:rPr>
                <w:sz w:val="20"/>
              </w:rPr>
              <w:t xml:space="preserve">Feasibility </w:t>
            </w:r>
            <w:r>
              <w:rPr>
                <w:sz w:val="20"/>
              </w:rPr>
              <w:t xml:space="preserve">studies </w:t>
            </w:r>
            <w:r w:rsidR="00B40E8E">
              <w:rPr>
                <w:sz w:val="20"/>
              </w:rPr>
              <w:t>—</w:t>
            </w:r>
            <w:r>
              <w:rPr>
                <w:sz w:val="20"/>
              </w:rPr>
              <w:t xml:space="preserve"> f</w:t>
            </w:r>
            <w:r w:rsidRPr="005C1BD1">
              <w:rPr>
                <w:sz w:val="20"/>
              </w:rPr>
              <w:t>unding to support delivery of feasibility studies that inform investment dec</w:t>
            </w:r>
            <w:r>
              <w:rPr>
                <w:sz w:val="20"/>
              </w:rPr>
              <w:t>isions on water infrastructure.</w:t>
            </w:r>
          </w:p>
        </w:tc>
        <w:tc>
          <w:tcPr>
            <w:tcW w:w="416" w:type="pct"/>
            <w:tcBorders>
              <w:top w:val="nil"/>
              <w:bottom w:val="single" w:sz="4" w:space="0" w:color="auto"/>
            </w:tcBorders>
          </w:tcPr>
          <w:p w:rsidR="009E2B53" w:rsidRDefault="009E2B53" w:rsidP="00D446E3">
            <w:pPr>
              <w:spacing w:before="40" w:after="40"/>
              <w:jc w:val="right"/>
              <w:rPr>
                <w:rFonts w:ascii="Calibri" w:eastAsia="Calibri" w:hAnsi="Calibri" w:cs="Times New Roman"/>
                <w:sz w:val="20"/>
                <w:szCs w:val="20"/>
              </w:rPr>
            </w:pPr>
            <w:r>
              <w:rPr>
                <w:rFonts w:ascii="Calibri" w:eastAsia="Calibri" w:hAnsi="Calibri" w:cs="Times New Roman"/>
                <w:sz w:val="20"/>
                <w:szCs w:val="20"/>
              </w:rPr>
              <w:t>13.3</w:t>
            </w:r>
          </w:p>
        </w:tc>
        <w:tc>
          <w:tcPr>
            <w:tcW w:w="520" w:type="pct"/>
            <w:tcBorders>
              <w:top w:val="nil"/>
              <w:bottom w:val="single" w:sz="4" w:space="0" w:color="auto"/>
            </w:tcBorders>
          </w:tcPr>
          <w:p w:rsidR="009E2B53" w:rsidRDefault="009E2B53" w:rsidP="00D446E3">
            <w:pPr>
              <w:spacing w:before="40" w:after="40"/>
              <w:rPr>
                <w:rFonts w:ascii="Calibri" w:eastAsia="Calibri" w:hAnsi="Calibri" w:cs="Times New Roman"/>
                <w:sz w:val="20"/>
                <w:szCs w:val="20"/>
              </w:rPr>
            </w:pPr>
            <w:r>
              <w:rPr>
                <w:rFonts w:ascii="Calibri" w:eastAsia="Calibri" w:hAnsi="Calibri" w:cs="Times New Roman"/>
                <w:sz w:val="20"/>
                <w:szCs w:val="20"/>
              </w:rPr>
              <w:t>Impact</w:t>
            </w:r>
          </w:p>
        </w:tc>
        <w:tc>
          <w:tcPr>
            <w:tcW w:w="806" w:type="pct"/>
            <w:tcBorders>
              <w:top w:val="nil"/>
              <w:bottom w:val="single" w:sz="4" w:space="0" w:color="auto"/>
            </w:tcBorders>
          </w:tcPr>
          <w:p w:rsidR="009E2B53" w:rsidRDefault="009E2B53" w:rsidP="00D446E3">
            <w:pPr>
              <w:spacing w:before="40" w:after="40"/>
              <w:rPr>
                <w:rFonts w:ascii="Calibri" w:eastAsia="Calibri" w:hAnsi="Calibri" w:cs="Times New Roman"/>
                <w:sz w:val="20"/>
                <w:szCs w:val="20"/>
              </w:rPr>
            </w:pPr>
          </w:p>
        </w:tc>
      </w:tr>
      <w:tr w:rsidR="009E2B53" w:rsidRPr="00732D02" w:rsidTr="006E43BB">
        <w:tc>
          <w:tcPr>
            <w:tcW w:w="5000" w:type="pct"/>
            <w:gridSpan w:val="5"/>
            <w:tcBorders>
              <w:top w:val="single" w:sz="4" w:space="0" w:color="auto"/>
              <w:bottom w:val="single" w:sz="4" w:space="0" w:color="auto"/>
            </w:tcBorders>
          </w:tcPr>
          <w:p w:rsidR="009E2B53" w:rsidRDefault="009E2B53" w:rsidP="00E32ADF">
            <w:pPr>
              <w:spacing w:before="40" w:after="40"/>
              <w:rPr>
                <w:rFonts w:ascii="Calibri" w:eastAsia="Calibri" w:hAnsi="Calibri" w:cs="Times New Roman"/>
                <w:sz w:val="20"/>
                <w:szCs w:val="20"/>
              </w:rPr>
            </w:pPr>
            <w:r>
              <w:rPr>
                <w:rFonts w:ascii="Calibri" w:eastAsia="Calibri" w:hAnsi="Calibri" w:cs="Times New Roman"/>
                <w:b/>
                <w:sz w:val="20"/>
                <w:szCs w:val="20"/>
              </w:rPr>
              <w:t>OTHER</w:t>
            </w:r>
          </w:p>
        </w:tc>
      </w:tr>
      <w:tr w:rsidR="009E2B53" w:rsidRPr="00732D02" w:rsidTr="00B32624">
        <w:tc>
          <w:tcPr>
            <w:tcW w:w="1130" w:type="pct"/>
            <w:tcBorders>
              <w:top w:val="single" w:sz="4" w:space="0" w:color="auto"/>
              <w:bottom w:val="single" w:sz="4" w:space="0" w:color="auto"/>
            </w:tcBorders>
          </w:tcPr>
          <w:p w:rsidR="009E2B53" w:rsidRPr="00347E75" w:rsidRDefault="009E2B53" w:rsidP="00E32ADF">
            <w:pPr>
              <w:spacing w:before="40" w:after="40"/>
              <w:rPr>
                <w:rFonts w:ascii="Calibri" w:eastAsia="Calibri" w:hAnsi="Calibri" w:cs="Times New Roman"/>
                <w:sz w:val="20"/>
                <w:szCs w:val="20"/>
              </w:rPr>
            </w:pPr>
            <w:proofErr w:type="spellStart"/>
            <w:r w:rsidRPr="00536BB1">
              <w:rPr>
                <w:rFonts w:ascii="Calibri" w:eastAsia="Calibri" w:hAnsi="Calibri" w:cs="Times New Roman"/>
                <w:sz w:val="20"/>
                <w:szCs w:val="20"/>
              </w:rPr>
              <w:t>Heffron</w:t>
            </w:r>
            <w:proofErr w:type="spellEnd"/>
            <w:r w:rsidRPr="00536BB1">
              <w:rPr>
                <w:rFonts w:ascii="Calibri" w:eastAsia="Calibri" w:hAnsi="Calibri" w:cs="Times New Roman"/>
                <w:sz w:val="20"/>
                <w:szCs w:val="20"/>
              </w:rPr>
              <w:t xml:space="preserve"> Park Centre of Excellence</w:t>
            </w:r>
          </w:p>
        </w:tc>
        <w:tc>
          <w:tcPr>
            <w:tcW w:w="2128" w:type="pct"/>
            <w:tcBorders>
              <w:top w:val="single" w:sz="4" w:space="0" w:color="auto"/>
              <w:bottom w:val="single" w:sz="4" w:space="0" w:color="auto"/>
            </w:tcBorders>
          </w:tcPr>
          <w:p w:rsidR="009E2B53" w:rsidRDefault="009E2B53" w:rsidP="00142744">
            <w:pPr>
              <w:spacing w:before="40" w:after="40"/>
              <w:rPr>
                <w:rFonts w:ascii="Calibri" w:eastAsia="Calibri" w:hAnsi="Calibri" w:cs="Times New Roman"/>
                <w:sz w:val="20"/>
                <w:szCs w:val="20"/>
              </w:rPr>
            </w:pPr>
            <w:r>
              <w:rPr>
                <w:rFonts w:ascii="Calibri" w:eastAsia="Calibri" w:hAnsi="Calibri" w:cs="Times New Roman"/>
                <w:sz w:val="20"/>
                <w:szCs w:val="20"/>
              </w:rPr>
              <w:t xml:space="preserve">Funding for the </w:t>
            </w:r>
            <w:proofErr w:type="spellStart"/>
            <w:r w:rsidRPr="00536BB1">
              <w:rPr>
                <w:rFonts w:ascii="Calibri" w:eastAsia="Calibri" w:hAnsi="Calibri" w:cs="Times New Roman"/>
                <w:sz w:val="20"/>
                <w:szCs w:val="20"/>
              </w:rPr>
              <w:t>Heffron</w:t>
            </w:r>
            <w:proofErr w:type="spellEnd"/>
            <w:r w:rsidRPr="00536BB1">
              <w:rPr>
                <w:rFonts w:ascii="Calibri" w:eastAsia="Calibri" w:hAnsi="Calibri" w:cs="Times New Roman"/>
                <w:sz w:val="20"/>
                <w:szCs w:val="20"/>
              </w:rPr>
              <w:t xml:space="preserve"> Park Centre of Excellence</w:t>
            </w:r>
            <w:r>
              <w:rPr>
                <w:rFonts w:ascii="Calibri" w:eastAsia="Calibri" w:hAnsi="Calibri" w:cs="Times New Roman"/>
                <w:sz w:val="20"/>
                <w:szCs w:val="20"/>
              </w:rPr>
              <w:t xml:space="preserve">, which will house a community and administration centre as well as a football development supported by elite facilities. The centre will include administration facilities and training centre for the South Sydney </w:t>
            </w:r>
            <w:proofErr w:type="spellStart"/>
            <w:r>
              <w:rPr>
                <w:rFonts w:ascii="Calibri" w:eastAsia="Calibri" w:hAnsi="Calibri" w:cs="Times New Roman"/>
                <w:sz w:val="20"/>
                <w:szCs w:val="20"/>
              </w:rPr>
              <w:t>Rabbitohs</w:t>
            </w:r>
            <w:proofErr w:type="spellEnd"/>
            <w:r>
              <w:rPr>
                <w:rFonts w:ascii="Calibri" w:eastAsia="Calibri" w:hAnsi="Calibri" w:cs="Times New Roman"/>
                <w:sz w:val="20"/>
                <w:szCs w:val="20"/>
              </w:rPr>
              <w:t xml:space="preserve">. It will also support </w:t>
            </w:r>
            <w:proofErr w:type="spellStart"/>
            <w:r>
              <w:rPr>
                <w:rFonts w:ascii="Calibri" w:eastAsia="Calibri" w:hAnsi="Calibri" w:cs="Times New Roman"/>
                <w:sz w:val="20"/>
                <w:szCs w:val="20"/>
              </w:rPr>
              <w:t>Rabbitohs</w:t>
            </w:r>
            <w:proofErr w:type="spellEnd"/>
            <w:r>
              <w:rPr>
                <w:rFonts w:ascii="Calibri" w:eastAsia="Calibri" w:hAnsi="Calibri" w:cs="Times New Roman"/>
                <w:sz w:val="20"/>
                <w:szCs w:val="20"/>
              </w:rPr>
              <w:t>’ Souths Cares Program, a community program for young people.</w:t>
            </w:r>
          </w:p>
          <w:p w:rsidR="009E2B53" w:rsidRDefault="009E2B53" w:rsidP="00142744">
            <w:pPr>
              <w:spacing w:before="40" w:after="40"/>
              <w:rPr>
                <w:rFonts w:ascii="Calibri" w:eastAsia="Calibri" w:hAnsi="Calibri" w:cs="Times New Roman"/>
                <w:sz w:val="20"/>
                <w:szCs w:val="20"/>
              </w:rPr>
            </w:pPr>
            <w:r>
              <w:rPr>
                <w:rFonts w:ascii="Calibri" w:eastAsia="Calibri" w:hAnsi="Calibri" w:cs="Times New Roman"/>
                <w:sz w:val="20"/>
                <w:szCs w:val="20"/>
              </w:rPr>
              <w:t xml:space="preserve">Randwick City Council will </w:t>
            </w:r>
            <w:r w:rsidRPr="0081773A">
              <w:rPr>
                <w:rFonts w:ascii="Calibri" w:eastAsia="Calibri" w:hAnsi="Calibri" w:cs="Times New Roman"/>
                <w:sz w:val="20"/>
                <w:szCs w:val="20"/>
              </w:rPr>
              <w:t xml:space="preserve">contribute $3 million towards the construction, the </w:t>
            </w:r>
            <w:proofErr w:type="spellStart"/>
            <w:r w:rsidRPr="0081773A">
              <w:rPr>
                <w:rFonts w:ascii="Calibri" w:eastAsia="Calibri" w:hAnsi="Calibri" w:cs="Times New Roman"/>
                <w:sz w:val="20"/>
                <w:szCs w:val="20"/>
              </w:rPr>
              <w:t>NRL</w:t>
            </w:r>
            <w:proofErr w:type="spellEnd"/>
            <w:r w:rsidRPr="0081773A">
              <w:rPr>
                <w:rFonts w:ascii="Calibri" w:eastAsia="Calibri" w:hAnsi="Calibri" w:cs="Times New Roman"/>
                <w:sz w:val="20"/>
                <w:szCs w:val="20"/>
              </w:rPr>
              <w:t xml:space="preserve"> $3 million and the </w:t>
            </w:r>
            <w:proofErr w:type="spellStart"/>
            <w:r w:rsidRPr="0081773A">
              <w:rPr>
                <w:rFonts w:ascii="Calibri" w:eastAsia="Calibri" w:hAnsi="Calibri" w:cs="Times New Roman"/>
                <w:sz w:val="20"/>
                <w:szCs w:val="20"/>
              </w:rPr>
              <w:t>Rabbitohs</w:t>
            </w:r>
            <w:proofErr w:type="spellEnd"/>
            <w:r w:rsidRPr="0081773A">
              <w:rPr>
                <w:rFonts w:ascii="Calibri" w:eastAsia="Calibri" w:hAnsi="Calibri" w:cs="Times New Roman"/>
                <w:sz w:val="20"/>
                <w:szCs w:val="20"/>
              </w:rPr>
              <w:t xml:space="preserve"> between $2</w:t>
            </w:r>
            <w:r>
              <w:rPr>
                <w:rFonts w:ascii="Calibri" w:eastAsia="Calibri" w:hAnsi="Calibri" w:cs="Times New Roman"/>
                <w:sz w:val="20"/>
                <w:szCs w:val="20"/>
              </w:rPr>
              <w:t xml:space="preserve"> to </w:t>
            </w:r>
            <w:r w:rsidRPr="0081773A">
              <w:rPr>
                <w:rFonts w:ascii="Calibri" w:eastAsia="Calibri" w:hAnsi="Calibri" w:cs="Times New Roman"/>
                <w:sz w:val="20"/>
                <w:szCs w:val="20"/>
              </w:rPr>
              <w:t>7 million.</w:t>
            </w:r>
          </w:p>
        </w:tc>
        <w:tc>
          <w:tcPr>
            <w:tcW w:w="416" w:type="pct"/>
            <w:tcBorders>
              <w:top w:val="single" w:sz="4" w:space="0" w:color="auto"/>
              <w:bottom w:val="single" w:sz="4" w:space="0" w:color="auto"/>
            </w:tcBorders>
          </w:tcPr>
          <w:p w:rsidR="009E2B53" w:rsidRDefault="009E2B53"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1.0</w:t>
            </w:r>
          </w:p>
        </w:tc>
        <w:tc>
          <w:tcPr>
            <w:tcW w:w="520" w:type="pct"/>
            <w:tcBorders>
              <w:top w:val="single" w:sz="4" w:space="0" w:color="auto"/>
              <w:bottom w:val="single" w:sz="4" w:space="0" w:color="auto"/>
            </w:tcBorders>
          </w:tcPr>
          <w:p w:rsidR="009E2B53" w:rsidRDefault="009E2B53" w:rsidP="005209C6">
            <w:pPr>
              <w:spacing w:before="40" w:after="40"/>
              <w:rPr>
                <w:rFonts w:ascii="Calibri" w:eastAsia="Calibri" w:hAnsi="Calibri" w:cs="Times New Roman"/>
                <w:sz w:val="20"/>
                <w:szCs w:val="20"/>
              </w:rPr>
            </w:pPr>
            <w:r>
              <w:rPr>
                <w:rFonts w:ascii="Calibri" w:eastAsia="Calibri" w:hAnsi="Calibri" w:cs="Times New Roman"/>
                <w:sz w:val="20"/>
                <w:szCs w:val="20"/>
              </w:rPr>
              <w:t>Impact</w:t>
            </w:r>
          </w:p>
        </w:tc>
        <w:tc>
          <w:tcPr>
            <w:tcW w:w="806" w:type="pct"/>
            <w:tcBorders>
              <w:top w:val="single" w:sz="4" w:space="0" w:color="auto"/>
              <w:bottom w:val="single" w:sz="4" w:space="0" w:color="auto"/>
            </w:tcBorders>
          </w:tcPr>
          <w:p w:rsidR="009E2B53" w:rsidRDefault="009E2B53" w:rsidP="00E32ADF">
            <w:pPr>
              <w:spacing w:before="40" w:after="40"/>
              <w:rPr>
                <w:rFonts w:ascii="Calibri" w:eastAsia="Calibri" w:hAnsi="Calibri" w:cs="Times New Roman"/>
                <w:sz w:val="20"/>
                <w:szCs w:val="20"/>
              </w:rPr>
            </w:pPr>
          </w:p>
        </w:tc>
      </w:tr>
      <w:tr w:rsidR="009E2B53" w:rsidRPr="00732D02" w:rsidTr="00B32624">
        <w:tc>
          <w:tcPr>
            <w:tcW w:w="1130" w:type="pct"/>
            <w:tcBorders>
              <w:top w:val="single" w:sz="4" w:space="0" w:color="auto"/>
              <w:bottom w:val="single" w:sz="4" w:space="0" w:color="auto"/>
            </w:tcBorders>
          </w:tcPr>
          <w:p w:rsidR="009E2B53" w:rsidRPr="00347E75" w:rsidRDefault="009E2B53" w:rsidP="0039458B">
            <w:pPr>
              <w:spacing w:before="40" w:after="40"/>
              <w:rPr>
                <w:rFonts w:ascii="Calibri" w:eastAsia="Calibri" w:hAnsi="Calibri" w:cs="Times New Roman"/>
                <w:sz w:val="20"/>
                <w:szCs w:val="20"/>
              </w:rPr>
            </w:pPr>
            <w:r w:rsidRPr="00347E75">
              <w:rPr>
                <w:rFonts w:ascii="Calibri" w:eastAsia="Calibri" w:hAnsi="Calibri" w:cs="Times New Roman"/>
                <w:sz w:val="20"/>
                <w:szCs w:val="20"/>
              </w:rPr>
              <w:t>Northern Queensland Stadium</w:t>
            </w:r>
          </w:p>
        </w:tc>
        <w:tc>
          <w:tcPr>
            <w:tcW w:w="2128" w:type="pct"/>
            <w:tcBorders>
              <w:top w:val="single" w:sz="4" w:space="0" w:color="auto"/>
              <w:bottom w:val="single" w:sz="4" w:space="0" w:color="auto"/>
            </w:tcBorders>
          </w:tcPr>
          <w:p w:rsidR="009E2B53" w:rsidRDefault="009E2B53" w:rsidP="0039458B">
            <w:pPr>
              <w:spacing w:before="40" w:after="40"/>
              <w:rPr>
                <w:rFonts w:ascii="Calibri" w:eastAsia="Calibri" w:hAnsi="Calibri" w:cs="Times New Roman"/>
                <w:sz w:val="20"/>
                <w:szCs w:val="20"/>
              </w:rPr>
            </w:pPr>
            <w:r>
              <w:rPr>
                <w:rFonts w:ascii="Calibri" w:eastAsia="Calibri" w:hAnsi="Calibri" w:cs="Times New Roman"/>
                <w:sz w:val="20"/>
                <w:szCs w:val="20"/>
              </w:rPr>
              <w:t xml:space="preserve">Funding to support the delivery of the North Queensland Stadium, including a site master planning and services infrastructure within the stadium site to allow for a future entertainment centre. </w:t>
            </w:r>
            <w:r w:rsidRPr="005209C6">
              <w:rPr>
                <w:rFonts w:ascii="Calibri" w:eastAsia="Calibri" w:hAnsi="Calibri" w:cs="Times New Roman"/>
                <w:sz w:val="20"/>
                <w:szCs w:val="20"/>
              </w:rPr>
              <w:t>The North Queensland Stadium is a joint project of the Queensland Government ($140 million), Australian Government ($100 million) and Townsville City Council (land and enabling infrastructure) and is supported by both the National Rugby League and the North Queensland Cowboys ($10 million). Stadiums Queensland will operate the stadium on behalf of the Queensland Government</w:t>
            </w:r>
            <w:r>
              <w:rPr>
                <w:rFonts w:ascii="Calibri" w:eastAsia="Calibri" w:hAnsi="Calibri" w:cs="Times New Roman"/>
                <w:sz w:val="20"/>
                <w:szCs w:val="20"/>
              </w:rPr>
              <w:t>. The project is included in the Townsville City Deal.</w:t>
            </w:r>
          </w:p>
        </w:tc>
        <w:tc>
          <w:tcPr>
            <w:tcW w:w="416" w:type="pct"/>
            <w:tcBorders>
              <w:top w:val="single" w:sz="4" w:space="0" w:color="auto"/>
              <w:bottom w:val="single" w:sz="4" w:space="0" w:color="auto"/>
            </w:tcBorders>
          </w:tcPr>
          <w:p w:rsidR="009E2B53" w:rsidRDefault="009E2B53" w:rsidP="0039458B">
            <w:pPr>
              <w:spacing w:before="40" w:after="40"/>
              <w:jc w:val="right"/>
              <w:rPr>
                <w:rFonts w:ascii="Calibri" w:eastAsia="Calibri" w:hAnsi="Calibri" w:cs="Times New Roman"/>
                <w:sz w:val="20"/>
                <w:szCs w:val="20"/>
              </w:rPr>
            </w:pPr>
            <w:r>
              <w:rPr>
                <w:rFonts w:ascii="Calibri" w:eastAsia="Calibri" w:hAnsi="Calibri" w:cs="Times New Roman"/>
                <w:sz w:val="20"/>
                <w:szCs w:val="20"/>
              </w:rPr>
              <w:t>10.0</w:t>
            </w:r>
          </w:p>
        </w:tc>
        <w:tc>
          <w:tcPr>
            <w:tcW w:w="520" w:type="pct"/>
            <w:tcBorders>
              <w:top w:val="single" w:sz="4" w:space="0" w:color="auto"/>
              <w:bottom w:val="single" w:sz="4" w:space="0" w:color="auto"/>
            </w:tcBorders>
          </w:tcPr>
          <w:p w:rsidR="009E2B53" w:rsidRDefault="009E2B53" w:rsidP="0039458B">
            <w:pPr>
              <w:spacing w:before="40" w:after="40"/>
              <w:rPr>
                <w:rFonts w:ascii="Calibri" w:eastAsia="Calibri" w:hAnsi="Calibri" w:cs="Times New Roman"/>
                <w:sz w:val="20"/>
                <w:szCs w:val="20"/>
              </w:rPr>
            </w:pPr>
            <w:r>
              <w:rPr>
                <w:rFonts w:ascii="Calibri" w:eastAsia="Calibri" w:hAnsi="Calibri" w:cs="Times New Roman"/>
                <w:sz w:val="20"/>
                <w:szCs w:val="20"/>
              </w:rPr>
              <w:t xml:space="preserve">Impact </w:t>
            </w:r>
          </w:p>
        </w:tc>
        <w:tc>
          <w:tcPr>
            <w:tcW w:w="806" w:type="pct"/>
            <w:tcBorders>
              <w:top w:val="single" w:sz="4" w:space="0" w:color="auto"/>
              <w:bottom w:val="single" w:sz="4" w:space="0" w:color="auto"/>
            </w:tcBorders>
          </w:tcPr>
          <w:p w:rsidR="009E2B53" w:rsidRDefault="009E2B53" w:rsidP="0039458B">
            <w:pPr>
              <w:spacing w:before="40" w:after="40"/>
              <w:rPr>
                <w:rFonts w:ascii="Calibri" w:eastAsia="Calibri" w:hAnsi="Calibri" w:cs="Times New Roman"/>
                <w:sz w:val="20"/>
                <w:szCs w:val="20"/>
              </w:rPr>
            </w:pPr>
          </w:p>
        </w:tc>
      </w:tr>
    </w:tbl>
    <w:p w:rsidR="00651E23" w:rsidRPr="00F369A6" w:rsidRDefault="00651E23" w:rsidP="00651E23">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67456" behindDoc="0" locked="0" layoutInCell="1" allowOverlap="1" wp14:anchorId="2D3B69FF" wp14:editId="5B5E157B">
                <wp:simplePos x="0" y="0"/>
                <wp:positionH relativeFrom="column">
                  <wp:posOffset>-631825</wp:posOffset>
                </wp:positionH>
                <wp:positionV relativeFrom="paragraph">
                  <wp:posOffset>187960</wp:posOffset>
                </wp:positionV>
                <wp:extent cx="430530" cy="5648325"/>
                <wp:effectExtent l="0" t="0" r="762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651E23">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9.75pt;margin-top:14.8pt;width:33.9pt;height:4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" stroked="f">
                <v:textbox style="layout-flow:vertical">
                  <w:txbxContent>
                    <w:p w:rsidR="004E56AA" w:rsidRPr="004C6DAD" w:rsidRDefault="004E56AA" w:rsidP="00651E23">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34</w:t>
                      </w:r>
                    </w:p>
                  </w:txbxContent>
                </v:textbox>
              </v:shape>
            </w:pict>
          </mc:Fallback>
        </mc:AlternateContent>
      </w:r>
      <w:r w:rsidRPr="00F369A6">
        <w:rPr>
          <w:rFonts w:ascii="Calibri" w:eastAsia="Calibri" w:hAnsi="Calibri" w:cs="Times New Roman"/>
          <w:b/>
          <w:sz w:val="22"/>
          <w:szCs w:val="22"/>
        </w:rPr>
        <w:t>Table A-1</w:t>
      </w:r>
      <w:r w:rsidRPr="00F369A6">
        <w:rPr>
          <w:rFonts w:ascii="Calibri" w:eastAsia="Calibri" w:hAnsi="Calibri" w:cs="Times New Roman"/>
          <w:b/>
          <w:sz w:val="22"/>
          <w:szCs w:val="22"/>
        </w:rPr>
        <w:tab/>
        <w:t xml:space="preserve">Proposed treatment of Commonwealth payments commenced in </w:t>
      </w:r>
      <w:r>
        <w:rPr>
          <w:rFonts w:ascii="Calibri" w:eastAsia="Calibri" w:hAnsi="Calibri" w:cs="Times New Roman"/>
          <w:b/>
          <w:sz w:val="22"/>
          <w:szCs w:val="22"/>
        </w:rPr>
        <w:t>2016-17</w:t>
      </w:r>
      <w:r w:rsidRPr="00F369A6">
        <w:rPr>
          <w:rFonts w:ascii="Calibri" w:eastAsia="Calibri" w:hAnsi="Calibri" w:cs="Times New Roman"/>
          <w:b/>
          <w:sz w:val="22"/>
          <w:szCs w:val="22"/>
        </w:rPr>
        <w:t xml:space="preserve">, </w:t>
      </w:r>
      <w:r w:rsidRPr="00F369A6">
        <w:rPr>
          <w:rFonts w:ascii="Calibri" w:eastAsia="Calibri" w:hAnsi="Calibri" w:cs="Times New Roman"/>
          <w:b/>
          <w:i/>
          <w:sz w:val="22"/>
          <w:szCs w:val="22"/>
        </w:rPr>
        <w:t xml:space="preserve">Federal Financial Relations, Budget Paper No. 3, </w:t>
      </w:r>
      <w:r>
        <w:rPr>
          <w:rFonts w:ascii="Calibri" w:eastAsia="Calibri" w:hAnsi="Calibri" w:cs="Times New Roman"/>
          <w:b/>
          <w:i/>
          <w:sz w:val="22"/>
          <w:szCs w:val="22"/>
        </w:rPr>
        <w:t>2017-18</w:t>
      </w:r>
      <w:r w:rsidR="0072187F">
        <w:rPr>
          <w:rFonts w:ascii="Calibri" w:eastAsia="Calibri" w:hAnsi="Calibri" w:cs="Times New Roman"/>
          <w:b/>
          <w:i/>
          <w:sz w:val="22"/>
          <w:szCs w:val="22"/>
        </w:rPr>
        <w:t xml:space="preserve"> </w:t>
      </w:r>
      <w:r w:rsidR="0072187F" w:rsidRPr="00E46B1C">
        <w:rPr>
          <w:rFonts w:ascii="Calibri" w:eastAsia="Calibri" w:hAnsi="Calibri" w:cs="Times New Roman"/>
          <w:b/>
          <w:sz w:val="22"/>
          <w:szCs w:val="22"/>
        </w:rPr>
        <w:t>(Continued)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5"/>
        <w:gridCol w:w="5810"/>
        <w:gridCol w:w="1136"/>
        <w:gridCol w:w="1420"/>
        <w:gridCol w:w="2201"/>
      </w:tblGrid>
      <w:tr w:rsidR="00651E23" w:rsidRPr="00533864" w:rsidTr="00E32ADF">
        <w:tc>
          <w:tcPr>
            <w:tcW w:w="1130" w:type="pct"/>
            <w:vAlign w:val="center"/>
          </w:tcPr>
          <w:p w:rsidR="00651E23" w:rsidRPr="00533864" w:rsidRDefault="00651E23"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128" w:type="pct"/>
            <w:vAlign w:val="center"/>
          </w:tcPr>
          <w:p w:rsidR="00651E23" w:rsidRPr="00533864" w:rsidRDefault="00651E23"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16" w:type="pct"/>
            <w:vAlign w:val="center"/>
          </w:tcPr>
          <w:p w:rsidR="00651E23" w:rsidRPr="00533864" w:rsidRDefault="00651E23"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2016-17 </w:t>
            </w:r>
            <w:r w:rsidRPr="00533864">
              <w:rPr>
                <w:rFonts w:ascii="Calibri" w:eastAsia="Calibri" w:hAnsi="Calibri" w:cs="Times New Roman"/>
                <w:sz w:val="20"/>
                <w:szCs w:val="20"/>
              </w:rPr>
              <w:t>$m</w:t>
            </w:r>
          </w:p>
        </w:tc>
        <w:tc>
          <w:tcPr>
            <w:tcW w:w="520" w:type="pct"/>
            <w:vAlign w:val="center"/>
          </w:tcPr>
          <w:p w:rsidR="00651E23" w:rsidRPr="00533864" w:rsidRDefault="00651E23" w:rsidP="00E32ADF">
            <w:pPr>
              <w:spacing w:before="40" w:after="40"/>
              <w:ind w:left="-30"/>
              <w:rPr>
                <w:rFonts w:ascii="Calibri" w:eastAsia="Calibri" w:hAnsi="Calibri" w:cs="Times New Roman"/>
                <w:sz w:val="20"/>
                <w:szCs w:val="20"/>
              </w:rPr>
            </w:pPr>
            <w:r w:rsidRPr="00533864">
              <w:rPr>
                <w:rFonts w:ascii="Calibri" w:eastAsia="Calibri" w:hAnsi="Calibri" w:cs="Times New Roman"/>
                <w:sz w:val="20"/>
                <w:szCs w:val="20"/>
              </w:rPr>
              <w:t>Proposed treatment</w:t>
            </w:r>
          </w:p>
        </w:tc>
        <w:tc>
          <w:tcPr>
            <w:tcW w:w="806" w:type="pct"/>
            <w:tcBorders>
              <w:bottom w:val="single" w:sz="4" w:space="0" w:color="auto"/>
            </w:tcBorders>
            <w:vAlign w:val="center"/>
          </w:tcPr>
          <w:p w:rsidR="00651E23" w:rsidRPr="00533864" w:rsidRDefault="00651E23"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Reason for No impact treatment</w:t>
            </w:r>
          </w:p>
        </w:tc>
      </w:tr>
      <w:tr w:rsidR="009E2B53" w:rsidRPr="00732D02" w:rsidTr="00D446E3">
        <w:tc>
          <w:tcPr>
            <w:tcW w:w="1130" w:type="pct"/>
            <w:tcBorders>
              <w:top w:val="single" w:sz="4" w:space="0" w:color="auto"/>
              <w:bottom w:val="single" w:sz="4" w:space="0" w:color="auto"/>
            </w:tcBorders>
          </w:tcPr>
          <w:p w:rsidR="009E2B53" w:rsidRPr="000C0AD4" w:rsidRDefault="009E2B53" w:rsidP="00D446E3">
            <w:pPr>
              <w:spacing w:before="40" w:after="40"/>
              <w:rPr>
                <w:rFonts w:ascii="Calibri" w:eastAsia="Calibri" w:hAnsi="Calibri" w:cs="Times New Roman"/>
                <w:sz w:val="20"/>
                <w:szCs w:val="20"/>
              </w:rPr>
            </w:pPr>
            <w:r w:rsidRPr="0080236E">
              <w:rPr>
                <w:rFonts w:ascii="Calibri" w:eastAsia="Calibri" w:hAnsi="Calibri" w:cs="Times New Roman"/>
                <w:sz w:val="20"/>
                <w:szCs w:val="20"/>
              </w:rPr>
              <w:t>North Queensland Strata Title Inspection Scheme</w:t>
            </w:r>
          </w:p>
        </w:tc>
        <w:tc>
          <w:tcPr>
            <w:tcW w:w="2128" w:type="pct"/>
            <w:tcBorders>
              <w:top w:val="single" w:sz="4" w:space="0" w:color="auto"/>
              <w:bottom w:val="single" w:sz="4" w:space="0" w:color="auto"/>
            </w:tcBorders>
          </w:tcPr>
          <w:p w:rsidR="009E2B53" w:rsidRDefault="003F35A4" w:rsidP="00B25F68">
            <w:pPr>
              <w:spacing w:before="40" w:after="40"/>
              <w:rPr>
                <w:rFonts w:ascii="Calibri" w:eastAsia="Calibri" w:hAnsi="Calibri" w:cs="Times New Roman"/>
                <w:sz w:val="20"/>
                <w:szCs w:val="20"/>
              </w:rPr>
            </w:pPr>
            <w:r w:rsidRPr="003F35A4">
              <w:rPr>
                <w:rFonts w:ascii="Calibri" w:eastAsia="Calibri" w:hAnsi="Calibri" w:cs="Times New Roman"/>
                <w:sz w:val="20"/>
                <w:szCs w:val="20"/>
              </w:rPr>
              <w:t xml:space="preserve">The Scheme will provide </w:t>
            </w:r>
            <w:r w:rsidR="00B25F68">
              <w:rPr>
                <w:rFonts w:ascii="Calibri" w:eastAsia="Calibri" w:hAnsi="Calibri" w:cs="Times New Roman"/>
                <w:sz w:val="20"/>
                <w:szCs w:val="20"/>
              </w:rPr>
              <w:t>funding on addressing insurance costs</w:t>
            </w:r>
            <w:r w:rsidR="00523D6D" w:rsidRPr="00523D6D">
              <w:rPr>
                <w:rFonts w:ascii="Calibri" w:eastAsia="Calibri" w:hAnsi="Calibri" w:cs="Times New Roman"/>
                <w:sz w:val="20"/>
                <w:szCs w:val="20"/>
              </w:rPr>
              <w:t xml:space="preserve"> </w:t>
            </w:r>
            <w:r w:rsidR="00B25F68" w:rsidRPr="003F35A4">
              <w:rPr>
                <w:rFonts w:ascii="Calibri" w:eastAsia="Calibri" w:hAnsi="Calibri" w:cs="Times New Roman"/>
                <w:sz w:val="20"/>
                <w:szCs w:val="20"/>
              </w:rPr>
              <w:t>in</w:t>
            </w:r>
            <w:r w:rsidR="00B25F68">
              <w:rPr>
                <w:rFonts w:ascii="Calibri" w:eastAsia="Calibri" w:hAnsi="Calibri" w:cs="Times New Roman"/>
                <w:sz w:val="20"/>
                <w:szCs w:val="20"/>
              </w:rPr>
              <w:t xml:space="preserve"> North</w:t>
            </w:r>
            <w:r w:rsidR="00B25F68" w:rsidRPr="003F35A4">
              <w:rPr>
                <w:rFonts w:ascii="Calibri" w:eastAsia="Calibri" w:hAnsi="Calibri" w:cs="Times New Roman"/>
                <w:sz w:val="20"/>
                <w:szCs w:val="20"/>
              </w:rPr>
              <w:t xml:space="preserve"> Queensland</w:t>
            </w:r>
            <w:r w:rsidR="00B25F68" w:rsidRPr="00523D6D">
              <w:rPr>
                <w:rFonts w:ascii="Calibri" w:eastAsia="Calibri" w:hAnsi="Calibri" w:cs="Times New Roman"/>
                <w:sz w:val="20"/>
                <w:szCs w:val="20"/>
              </w:rPr>
              <w:t xml:space="preserve"> </w:t>
            </w:r>
            <w:r w:rsidR="00523D6D" w:rsidRPr="00523D6D">
              <w:rPr>
                <w:rFonts w:ascii="Calibri" w:eastAsia="Calibri" w:hAnsi="Calibri" w:cs="Times New Roman"/>
                <w:sz w:val="20"/>
                <w:szCs w:val="20"/>
              </w:rPr>
              <w:t>to undertake engineering assessments of strata title properties</w:t>
            </w:r>
            <w:r w:rsidRPr="003F35A4">
              <w:rPr>
                <w:rFonts w:ascii="Calibri" w:eastAsia="Calibri" w:hAnsi="Calibri" w:cs="Times New Roman"/>
                <w:sz w:val="20"/>
                <w:szCs w:val="20"/>
              </w:rPr>
              <w:t xml:space="preserve">. The assessments will provide better information to insurers which will enable them to set premiums that more accurately reflect individual property risks. Body corporate managers will be able to use the assessment in obtaining insurance quotes from a range of providers. </w:t>
            </w:r>
            <w:r w:rsidR="009E2B53" w:rsidRPr="0080236E">
              <w:rPr>
                <w:rFonts w:ascii="Calibri" w:eastAsia="Calibri" w:hAnsi="Calibri" w:cs="Times New Roman"/>
                <w:sz w:val="20"/>
                <w:szCs w:val="20"/>
              </w:rPr>
              <w:t>The Queensland Government will develop and administer the assessment program</w:t>
            </w:r>
            <w:r w:rsidR="009E2B53">
              <w:rPr>
                <w:rFonts w:ascii="Calibri" w:eastAsia="Calibri" w:hAnsi="Calibri" w:cs="Times New Roman"/>
                <w:sz w:val="20"/>
                <w:szCs w:val="20"/>
              </w:rPr>
              <w:t xml:space="preserve"> </w:t>
            </w:r>
            <w:r w:rsidR="009E2B53" w:rsidRPr="0080236E">
              <w:rPr>
                <w:rFonts w:ascii="Calibri" w:eastAsia="Calibri" w:hAnsi="Calibri" w:cs="Times New Roman"/>
                <w:sz w:val="20"/>
                <w:szCs w:val="20"/>
              </w:rPr>
              <w:t>for strata properties in North Queensland.</w:t>
            </w:r>
          </w:p>
        </w:tc>
        <w:tc>
          <w:tcPr>
            <w:tcW w:w="416" w:type="pct"/>
            <w:tcBorders>
              <w:top w:val="single" w:sz="4" w:space="0" w:color="auto"/>
              <w:bottom w:val="single" w:sz="4" w:space="0" w:color="auto"/>
            </w:tcBorders>
          </w:tcPr>
          <w:p w:rsidR="009E2B53" w:rsidRDefault="009E2B53" w:rsidP="00D446E3">
            <w:pPr>
              <w:spacing w:before="40" w:after="40"/>
              <w:jc w:val="right"/>
              <w:rPr>
                <w:rFonts w:ascii="Calibri" w:eastAsia="Calibri" w:hAnsi="Calibri" w:cs="Times New Roman"/>
                <w:sz w:val="20"/>
                <w:szCs w:val="20"/>
              </w:rPr>
            </w:pPr>
            <w:r>
              <w:rPr>
                <w:rFonts w:ascii="Calibri" w:eastAsia="Calibri" w:hAnsi="Calibri" w:cs="Times New Roman"/>
                <w:sz w:val="20"/>
                <w:szCs w:val="20"/>
              </w:rPr>
              <w:t>6.3</w:t>
            </w:r>
          </w:p>
        </w:tc>
        <w:tc>
          <w:tcPr>
            <w:tcW w:w="520" w:type="pct"/>
            <w:tcBorders>
              <w:top w:val="single" w:sz="4" w:space="0" w:color="auto"/>
              <w:bottom w:val="single" w:sz="4" w:space="0" w:color="auto"/>
            </w:tcBorders>
          </w:tcPr>
          <w:p w:rsidR="009E2B53" w:rsidRDefault="00816D26" w:rsidP="00D446E3">
            <w:pPr>
              <w:spacing w:before="40" w:after="40"/>
              <w:rPr>
                <w:rFonts w:ascii="Calibri" w:eastAsia="Calibri" w:hAnsi="Calibri" w:cs="Times New Roman"/>
                <w:sz w:val="20"/>
                <w:szCs w:val="20"/>
              </w:rPr>
            </w:pPr>
            <w:r>
              <w:rPr>
                <w:rFonts w:ascii="Calibri" w:eastAsia="Calibri" w:hAnsi="Calibri" w:cs="Times New Roman"/>
                <w:sz w:val="20"/>
                <w:szCs w:val="20"/>
              </w:rPr>
              <w:t>Impact</w:t>
            </w:r>
          </w:p>
        </w:tc>
        <w:tc>
          <w:tcPr>
            <w:tcW w:w="806" w:type="pct"/>
            <w:tcBorders>
              <w:top w:val="single" w:sz="4" w:space="0" w:color="auto"/>
              <w:bottom w:val="single" w:sz="4" w:space="0" w:color="auto"/>
            </w:tcBorders>
          </w:tcPr>
          <w:p w:rsidR="009E2B53" w:rsidRDefault="009E2B53" w:rsidP="00DA7853">
            <w:pPr>
              <w:spacing w:before="40" w:after="40"/>
              <w:rPr>
                <w:rFonts w:ascii="Calibri" w:eastAsia="Calibri" w:hAnsi="Calibri" w:cs="Times New Roman"/>
                <w:sz w:val="20"/>
                <w:szCs w:val="20"/>
              </w:rPr>
            </w:pPr>
          </w:p>
        </w:tc>
      </w:tr>
      <w:tr w:rsidR="002931BA" w:rsidRPr="00732D02" w:rsidTr="00B32624">
        <w:tc>
          <w:tcPr>
            <w:tcW w:w="1130" w:type="pct"/>
            <w:tcBorders>
              <w:top w:val="single" w:sz="4" w:space="0" w:color="auto"/>
              <w:bottom w:val="single" w:sz="4" w:space="0" w:color="auto"/>
            </w:tcBorders>
          </w:tcPr>
          <w:p w:rsidR="002931BA" w:rsidRPr="000C0AD4" w:rsidRDefault="002931BA" w:rsidP="00E32ADF">
            <w:pPr>
              <w:spacing w:before="40" w:after="40"/>
              <w:rPr>
                <w:rFonts w:ascii="Calibri" w:eastAsia="Calibri" w:hAnsi="Calibri" w:cs="Times New Roman"/>
                <w:sz w:val="20"/>
                <w:szCs w:val="20"/>
              </w:rPr>
            </w:pPr>
            <w:r w:rsidRPr="000C0AD4">
              <w:rPr>
                <w:rFonts w:ascii="Calibri" w:eastAsia="Calibri" w:hAnsi="Calibri" w:cs="Times New Roman"/>
                <w:sz w:val="20"/>
                <w:szCs w:val="20"/>
              </w:rPr>
              <w:t>Tasmanian tourism growth package</w:t>
            </w:r>
          </w:p>
        </w:tc>
        <w:tc>
          <w:tcPr>
            <w:tcW w:w="2128" w:type="pct"/>
            <w:tcBorders>
              <w:top w:val="single" w:sz="4" w:space="0" w:color="auto"/>
              <w:bottom w:val="single" w:sz="4" w:space="0" w:color="auto"/>
            </w:tcBorders>
          </w:tcPr>
          <w:p w:rsidR="002931BA" w:rsidRDefault="00210EEC" w:rsidP="00210EEC">
            <w:pPr>
              <w:spacing w:before="40" w:after="40"/>
              <w:rPr>
                <w:rFonts w:ascii="Calibri" w:eastAsia="Calibri" w:hAnsi="Calibri" w:cs="Times New Roman"/>
                <w:sz w:val="20"/>
                <w:szCs w:val="20"/>
              </w:rPr>
            </w:pPr>
            <w:r>
              <w:rPr>
                <w:rFonts w:ascii="Calibri" w:eastAsia="Calibri" w:hAnsi="Calibri" w:cs="Times New Roman"/>
                <w:sz w:val="20"/>
                <w:szCs w:val="20"/>
              </w:rPr>
              <w:t>Funding to</w:t>
            </w:r>
            <w:r w:rsidR="0096156A" w:rsidRPr="0096156A">
              <w:rPr>
                <w:rFonts w:ascii="Calibri" w:eastAsia="Calibri" w:hAnsi="Calibri" w:cs="Times New Roman"/>
                <w:sz w:val="20"/>
                <w:szCs w:val="20"/>
              </w:rPr>
              <w:t xml:space="preserve"> support the delivery of feasibility studies for three tourism ventures to boost Tasmania’s tourism industry</w:t>
            </w:r>
            <w:r w:rsidR="00EF1438">
              <w:rPr>
                <w:rFonts w:ascii="Calibri" w:eastAsia="Calibri" w:hAnsi="Calibri" w:cs="Times New Roman"/>
                <w:sz w:val="20"/>
                <w:szCs w:val="20"/>
              </w:rPr>
              <w:t>.</w:t>
            </w:r>
          </w:p>
        </w:tc>
        <w:tc>
          <w:tcPr>
            <w:tcW w:w="416" w:type="pct"/>
            <w:tcBorders>
              <w:top w:val="single" w:sz="4" w:space="0" w:color="auto"/>
              <w:bottom w:val="single" w:sz="4" w:space="0" w:color="auto"/>
            </w:tcBorders>
          </w:tcPr>
          <w:p w:rsidR="002931BA" w:rsidRDefault="002931BA"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1.1</w:t>
            </w:r>
          </w:p>
        </w:tc>
        <w:tc>
          <w:tcPr>
            <w:tcW w:w="520" w:type="pct"/>
            <w:tcBorders>
              <w:top w:val="single" w:sz="4" w:space="0" w:color="auto"/>
              <w:bottom w:val="single" w:sz="4" w:space="0" w:color="auto"/>
            </w:tcBorders>
          </w:tcPr>
          <w:p w:rsidR="002931BA" w:rsidRDefault="00EF1438" w:rsidP="00E32ADF">
            <w:pPr>
              <w:spacing w:before="40" w:after="40"/>
              <w:rPr>
                <w:rFonts w:ascii="Calibri" w:eastAsia="Calibri" w:hAnsi="Calibri" w:cs="Times New Roman"/>
                <w:sz w:val="20"/>
                <w:szCs w:val="20"/>
              </w:rPr>
            </w:pPr>
            <w:r>
              <w:rPr>
                <w:rFonts w:ascii="Calibri" w:eastAsia="Calibri" w:hAnsi="Calibri" w:cs="Times New Roman"/>
                <w:sz w:val="20"/>
                <w:szCs w:val="20"/>
              </w:rPr>
              <w:t>Impact</w:t>
            </w:r>
          </w:p>
        </w:tc>
        <w:tc>
          <w:tcPr>
            <w:tcW w:w="806" w:type="pct"/>
            <w:tcBorders>
              <w:top w:val="single" w:sz="4" w:space="0" w:color="auto"/>
              <w:bottom w:val="single" w:sz="4" w:space="0" w:color="auto"/>
            </w:tcBorders>
          </w:tcPr>
          <w:p w:rsidR="002931BA" w:rsidRDefault="002931BA" w:rsidP="00E32ADF">
            <w:pPr>
              <w:spacing w:before="40" w:after="40"/>
              <w:rPr>
                <w:rFonts w:ascii="Calibri" w:eastAsia="Calibri" w:hAnsi="Calibri" w:cs="Times New Roman"/>
                <w:sz w:val="20"/>
                <w:szCs w:val="20"/>
              </w:rPr>
            </w:pPr>
          </w:p>
        </w:tc>
      </w:tr>
      <w:tr w:rsidR="002931BA" w:rsidRPr="00732D02" w:rsidTr="00B32624">
        <w:tc>
          <w:tcPr>
            <w:tcW w:w="1130" w:type="pct"/>
            <w:tcBorders>
              <w:top w:val="single" w:sz="4" w:space="0" w:color="auto"/>
              <w:bottom w:val="single" w:sz="4" w:space="0" w:color="auto"/>
            </w:tcBorders>
          </w:tcPr>
          <w:p w:rsidR="002931BA" w:rsidRPr="000C0AD4" w:rsidRDefault="002931BA" w:rsidP="00E32ADF">
            <w:pPr>
              <w:spacing w:before="40" w:after="40"/>
              <w:rPr>
                <w:rFonts w:ascii="Calibri" w:eastAsia="Calibri" w:hAnsi="Calibri" w:cs="Times New Roman"/>
                <w:sz w:val="20"/>
                <w:szCs w:val="20"/>
              </w:rPr>
            </w:pPr>
            <w:r>
              <w:rPr>
                <w:rFonts w:ascii="Calibri" w:eastAsia="Calibri" w:hAnsi="Calibri" w:cs="Times New Roman"/>
                <w:sz w:val="20"/>
                <w:szCs w:val="20"/>
              </w:rPr>
              <w:t>Tourism demand driver infrastructure recovery package</w:t>
            </w:r>
          </w:p>
        </w:tc>
        <w:tc>
          <w:tcPr>
            <w:tcW w:w="2128" w:type="pct"/>
            <w:tcBorders>
              <w:top w:val="single" w:sz="4" w:space="0" w:color="auto"/>
              <w:bottom w:val="single" w:sz="4" w:space="0" w:color="auto"/>
            </w:tcBorders>
          </w:tcPr>
          <w:p w:rsidR="00310D8F" w:rsidRPr="00310D8F" w:rsidRDefault="00310D8F" w:rsidP="00310D8F">
            <w:pPr>
              <w:spacing w:before="40" w:after="40"/>
              <w:rPr>
                <w:rFonts w:ascii="Calibri" w:eastAsia="Calibri" w:hAnsi="Calibri" w:cs="Times New Roman"/>
                <w:sz w:val="20"/>
                <w:szCs w:val="20"/>
              </w:rPr>
            </w:pPr>
            <w:r w:rsidRPr="00310D8F">
              <w:rPr>
                <w:rFonts w:ascii="Calibri" w:eastAsia="Calibri" w:hAnsi="Calibri" w:cs="Times New Roman"/>
                <w:sz w:val="20"/>
                <w:szCs w:val="20"/>
              </w:rPr>
              <w:t>This</w:t>
            </w:r>
            <w:r>
              <w:rPr>
                <w:rFonts w:ascii="Calibri" w:eastAsia="Calibri" w:hAnsi="Calibri" w:cs="Times New Roman"/>
                <w:sz w:val="20"/>
                <w:szCs w:val="20"/>
              </w:rPr>
              <w:t xml:space="preserve"> payment </w:t>
            </w:r>
            <w:r w:rsidRPr="00310D8F">
              <w:rPr>
                <w:rFonts w:ascii="Calibri" w:eastAsia="Calibri" w:hAnsi="Calibri" w:cs="Times New Roman"/>
                <w:sz w:val="20"/>
                <w:szCs w:val="20"/>
              </w:rPr>
              <w:t>is in addition to Queensland’s current allocation under the Tourism Demand Driver Infrastructure program.</w:t>
            </w:r>
          </w:p>
          <w:p w:rsidR="002931BA" w:rsidRDefault="00310D8F" w:rsidP="00310D8F">
            <w:pPr>
              <w:spacing w:before="40" w:after="40"/>
              <w:rPr>
                <w:rFonts w:ascii="Calibri" w:eastAsia="Calibri" w:hAnsi="Calibri" w:cs="Times New Roman"/>
                <w:sz w:val="20"/>
                <w:szCs w:val="20"/>
              </w:rPr>
            </w:pPr>
            <w:r w:rsidRPr="00310D8F">
              <w:rPr>
                <w:rFonts w:ascii="Calibri" w:eastAsia="Calibri" w:hAnsi="Calibri" w:cs="Times New Roman"/>
                <w:sz w:val="20"/>
                <w:szCs w:val="20"/>
              </w:rPr>
              <w:t>This program will support projects that deliver additional tourism infrastructure in affected tourism regions of Queensland as part of a recovery package to address the impacts of Tropical Cyclone Debbie.</w:t>
            </w:r>
          </w:p>
        </w:tc>
        <w:tc>
          <w:tcPr>
            <w:tcW w:w="416" w:type="pct"/>
            <w:tcBorders>
              <w:top w:val="single" w:sz="4" w:space="0" w:color="auto"/>
              <w:bottom w:val="single" w:sz="4" w:space="0" w:color="auto"/>
            </w:tcBorders>
          </w:tcPr>
          <w:p w:rsidR="002931BA" w:rsidRDefault="002931BA"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3.5</w:t>
            </w:r>
          </w:p>
        </w:tc>
        <w:tc>
          <w:tcPr>
            <w:tcW w:w="520" w:type="pct"/>
            <w:tcBorders>
              <w:top w:val="single" w:sz="4" w:space="0" w:color="auto"/>
              <w:bottom w:val="single" w:sz="4" w:space="0" w:color="auto"/>
            </w:tcBorders>
          </w:tcPr>
          <w:p w:rsidR="002931BA" w:rsidRDefault="00310D8F" w:rsidP="00E32ADF">
            <w:pPr>
              <w:spacing w:before="40" w:after="40"/>
              <w:rPr>
                <w:rFonts w:ascii="Calibri" w:eastAsia="Calibri" w:hAnsi="Calibri" w:cs="Times New Roman"/>
                <w:sz w:val="20"/>
                <w:szCs w:val="20"/>
              </w:rPr>
            </w:pPr>
            <w:r>
              <w:rPr>
                <w:rFonts w:ascii="Calibri" w:eastAsia="Calibri" w:hAnsi="Calibri" w:cs="Times New Roman"/>
                <w:sz w:val="20"/>
                <w:szCs w:val="20"/>
              </w:rPr>
              <w:t>Impact</w:t>
            </w:r>
          </w:p>
        </w:tc>
        <w:tc>
          <w:tcPr>
            <w:tcW w:w="806" w:type="pct"/>
            <w:tcBorders>
              <w:top w:val="single" w:sz="4" w:space="0" w:color="auto"/>
              <w:bottom w:val="single" w:sz="4" w:space="0" w:color="auto"/>
            </w:tcBorders>
          </w:tcPr>
          <w:p w:rsidR="002931BA" w:rsidRDefault="002931BA" w:rsidP="00E32ADF">
            <w:pPr>
              <w:spacing w:before="40" w:after="40"/>
              <w:rPr>
                <w:rFonts w:ascii="Calibri" w:eastAsia="Calibri" w:hAnsi="Calibri" w:cs="Times New Roman"/>
                <w:sz w:val="20"/>
                <w:szCs w:val="20"/>
              </w:rPr>
            </w:pPr>
          </w:p>
        </w:tc>
      </w:tr>
    </w:tbl>
    <w:p w:rsidR="00EE4FBC" w:rsidRDefault="00EE4FBC" w:rsidP="00EE4FBC"/>
    <w:p w:rsidR="0051703E" w:rsidRDefault="0051703E">
      <w:pPr>
        <w:tabs>
          <w:tab w:val="clear" w:pos="567"/>
        </w:tabs>
      </w:pPr>
      <w:r>
        <w:br w:type="page"/>
      </w:r>
    </w:p>
    <w:p w:rsidR="0051703E" w:rsidRPr="00F369A6" w:rsidRDefault="0051703E" w:rsidP="0051703E">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61312" behindDoc="0" locked="0" layoutInCell="1" allowOverlap="1" wp14:anchorId="0C0733EE" wp14:editId="0B5FDDE6">
                <wp:simplePos x="0" y="0"/>
                <wp:positionH relativeFrom="column">
                  <wp:posOffset>-631825</wp:posOffset>
                </wp:positionH>
                <wp:positionV relativeFrom="paragraph">
                  <wp:posOffset>187960</wp:posOffset>
                </wp:positionV>
                <wp:extent cx="430530" cy="5648325"/>
                <wp:effectExtent l="0" t="0" r="762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51703E">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9.75pt;margin-top:14.8pt;width:33.9pt;height:4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" stroked="f">
                <v:textbox style="layout-flow:vertical">
                  <w:txbxContent>
                    <w:p w:rsidR="004E56AA" w:rsidRPr="004C6DAD" w:rsidRDefault="004E56AA" w:rsidP="0051703E">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35</w:t>
                      </w:r>
                    </w:p>
                  </w:txbxContent>
                </v:textbox>
              </v:shape>
            </w:pict>
          </mc:Fallback>
        </mc:AlternateContent>
      </w:r>
      <w:r w:rsidRPr="00F369A6">
        <w:rPr>
          <w:rFonts w:ascii="Calibri" w:eastAsia="Calibri" w:hAnsi="Calibri" w:cs="Times New Roman"/>
          <w:b/>
          <w:sz w:val="22"/>
          <w:szCs w:val="22"/>
        </w:rPr>
        <w:t>Table A-</w:t>
      </w:r>
      <w:r>
        <w:rPr>
          <w:rFonts w:ascii="Calibri" w:eastAsia="Calibri" w:hAnsi="Calibri" w:cs="Times New Roman"/>
          <w:b/>
          <w:sz w:val="22"/>
          <w:szCs w:val="22"/>
        </w:rPr>
        <w:t>2</w:t>
      </w:r>
      <w:r w:rsidRPr="00F369A6">
        <w:rPr>
          <w:rFonts w:ascii="Calibri" w:eastAsia="Calibri" w:hAnsi="Calibri" w:cs="Times New Roman"/>
          <w:b/>
          <w:sz w:val="22"/>
          <w:szCs w:val="22"/>
        </w:rPr>
        <w:tab/>
        <w:t>Commonwealth payments commenc</w:t>
      </w:r>
      <w:r>
        <w:rPr>
          <w:rFonts w:ascii="Calibri" w:eastAsia="Calibri" w:hAnsi="Calibri" w:cs="Times New Roman"/>
          <w:b/>
          <w:sz w:val="22"/>
          <w:szCs w:val="22"/>
        </w:rPr>
        <w:t xml:space="preserve">ing in 2017-18 or 2018-19, </w:t>
      </w:r>
      <w:r w:rsidRPr="0072187F">
        <w:rPr>
          <w:rFonts w:ascii="Calibri" w:eastAsia="Calibri" w:hAnsi="Calibri" w:cs="Times New Roman"/>
          <w:b/>
          <w:i/>
          <w:sz w:val="22"/>
          <w:szCs w:val="22"/>
        </w:rPr>
        <w:t>Federal</w:t>
      </w:r>
      <w:r w:rsidRPr="00F369A6">
        <w:rPr>
          <w:rFonts w:ascii="Calibri" w:eastAsia="Calibri" w:hAnsi="Calibri" w:cs="Times New Roman"/>
          <w:b/>
          <w:i/>
          <w:sz w:val="22"/>
          <w:szCs w:val="22"/>
        </w:rPr>
        <w:t xml:space="preserve"> Financial Rela</w:t>
      </w:r>
      <w:r>
        <w:rPr>
          <w:rFonts w:ascii="Calibri" w:eastAsia="Calibri" w:hAnsi="Calibri" w:cs="Times New Roman"/>
          <w:b/>
          <w:i/>
          <w:sz w:val="22"/>
          <w:szCs w:val="22"/>
        </w:rPr>
        <w:t xml:space="preserve">tions, Budget Paper No. 3, </w:t>
      </w:r>
      <w:proofErr w:type="gramStart"/>
      <w:r>
        <w:rPr>
          <w:rFonts w:ascii="Calibri" w:eastAsia="Calibri" w:hAnsi="Calibri" w:cs="Times New Roman"/>
          <w:b/>
          <w:i/>
          <w:sz w:val="22"/>
          <w:szCs w:val="22"/>
        </w:rPr>
        <w:t>2017</w:t>
      </w:r>
      <w:proofErr w:type="gramEnd"/>
      <w:r>
        <w:rPr>
          <w:rFonts w:ascii="Calibri" w:eastAsia="Calibri" w:hAnsi="Calibri" w:cs="Times New Roman"/>
          <w:b/>
          <w:i/>
          <w:sz w:val="22"/>
          <w:szCs w:val="22"/>
        </w:rPr>
        <w:t>-18</w:t>
      </w:r>
    </w:p>
    <w:tbl>
      <w:tblPr>
        <w:tblStyle w:val="TableGrid1"/>
        <w:tblW w:w="5001" w:type="pct"/>
        <w:tblLook w:val="04A0" w:firstRow="1" w:lastRow="0" w:firstColumn="1" w:lastColumn="0" w:noHBand="0" w:noVBand="1"/>
        <w:tblCaption w:val="Table A2 Commonwealth payments commencing in 2016-17 or 2017-18"/>
        <w:tblDescription w:val="Commonwealth payments commencing in 2016-17 or 2017-18"/>
      </w:tblPr>
      <w:tblGrid>
        <w:gridCol w:w="3938"/>
        <w:gridCol w:w="7229"/>
        <w:gridCol w:w="1278"/>
        <w:gridCol w:w="1210"/>
      </w:tblGrid>
      <w:tr w:rsidR="0051703E" w:rsidRPr="00732D02" w:rsidTr="00E32ADF">
        <w:tc>
          <w:tcPr>
            <w:tcW w:w="1442" w:type="pct"/>
            <w:tcBorders>
              <w:top w:val="single" w:sz="4" w:space="0" w:color="auto"/>
              <w:bottom w:val="single" w:sz="4" w:space="0" w:color="auto"/>
            </w:tcBorders>
            <w:vAlign w:val="center"/>
          </w:tcPr>
          <w:p w:rsidR="0051703E" w:rsidRPr="00533864" w:rsidRDefault="0051703E"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647" w:type="pct"/>
            <w:tcBorders>
              <w:top w:val="single" w:sz="4" w:space="0" w:color="auto"/>
              <w:bottom w:val="single" w:sz="4" w:space="0" w:color="auto"/>
            </w:tcBorders>
            <w:vAlign w:val="center"/>
          </w:tcPr>
          <w:p w:rsidR="0051703E" w:rsidRPr="00533864" w:rsidRDefault="0051703E"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68" w:type="pct"/>
            <w:tcBorders>
              <w:top w:val="single" w:sz="4" w:space="0" w:color="auto"/>
              <w:bottom w:val="single" w:sz="4" w:space="0" w:color="auto"/>
            </w:tcBorders>
            <w:vAlign w:val="center"/>
          </w:tcPr>
          <w:p w:rsidR="0051703E" w:rsidRPr="00533864" w:rsidRDefault="0051703E"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New in 2017-18 </w:t>
            </w:r>
            <w:r w:rsidRPr="00533864">
              <w:rPr>
                <w:rFonts w:ascii="Calibri" w:eastAsia="Calibri" w:hAnsi="Calibri" w:cs="Times New Roman"/>
                <w:sz w:val="20"/>
                <w:szCs w:val="20"/>
              </w:rPr>
              <w:t>$m</w:t>
            </w:r>
          </w:p>
        </w:tc>
        <w:tc>
          <w:tcPr>
            <w:tcW w:w="443" w:type="pct"/>
            <w:tcBorders>
              <w:top w:val="single" w:sz="4" w:space="0" w:color="auto"/>
              <w:bottom w:val="single" w:sz="4" w:space="0" w:color="auto"/>
            </w:tcBorders>
            <w:vAlign w:val="center"/>
          </w:tcPr>
          <w:p w:rsidR="0051703E" w:rsidRPr="00533864" w:rsidRDefault="0051703E" w:rsidP="00E32ADF">
            <w:pPr>
              <w:spacing w:before="40" w:after="40"/>
              <w:ind w:left="-30"/>
              <w:jc w:val="center"/>
              <w:rPr>
                <w:rFonts w:ascii="Calibri" w:eastAsia="Calibri" w:hAnsi="Calibri" w:cs="Times New Roman"/>
                <w:sz w:val="20"/>
                <w:szCs w:val="20"/>
              </w:rPr>
            </w:pPr>
            <w:r>
              <w:rPr>
                <w:rFonts w:ascii="Calibri" w:eastAsia="Calibri" w:hAnsi="Calibri" w:cs="Times New Roman"/>
                <w:sz w:val="20"/>
                <w:szCs w:val="20"/>
              </w:rPr>
              <w:t>New in 2018-19 $m</w:t>
            </w:r>
          </w:p>
        </w:tc>
      </w:tr>
      <w:tr w:rsidR="0051703E" w:rsidRPr="00732D02" w:rsidTr="00E32ADF">
        <w:tc>
          <w:tcPr>
            <w:tcW w:w="5000" w:type="pct"/>
            <w:gridSpan w:val="4"/>
            <w:tcBorders>
              <w:top w:val="single" w:sz="4" w:space="0" w:color="auto"/>
              <w:bottom w:val="single" w:sz="4" w:space="0" w:color="auto"/>
            </w:tcBorders>
          </w:tcPr>
          <w:p w:rsidR="0051703E" w:rsidRPr="002D099D" w:rsidRDefault="0051703E" w:rsidP="00E32ADF">
            <w:pPr>
              <w:spacing w:before="40" w:after="40"/>
              <w:rPr>
                <w:rFonts w:ascii="Calibri" w:eastAsia="Calibri" w:hAnsi="Calibri" w:cs="Times New Roman"/>
                <w:b/>
                <w:sz w:val="20"/>
                <w:szCs w:val="20"/>
              </w:rPr>
            </w:pPr>
            <w:r>
              <w:rPr>
                <w:rFonts w:ascii="Calibri" w:eastAsia="Calibri" w:hAnsi="Calibri" w:cs="Times New Roman"/>
                <w:b/>
                <w:sz w:val="20"/>
                <w:szCs w:val="20"/>
              </w:rPr>
              <w:t>HEALTH</w:t>
            </w:r>
          </w:p>
        </w:tc>
      </w:tr>
      <w:tr w:rsidR="0051703E" w:rsidRPr="00732D02" w:rsidTr="0051703E">
        <w:tc>
          <w:tcPr>
            <w:tcW w:w="1442" w:type="pct"/>
            <w:tcBorders>
              <w:top w:val="single" w:sz="4" w:space="0" w:color="auto"/>
              <w:bottom w:val="single" w:sz="4" w:space="0" w:color="auto"/>
            </w:tcBorders>
          </w:tcPr>
          <w:p w:rsidR="0051703E" w:rsidRPr="0051703E" w:rsidRDefault="0051703E" w:rsidP="00E32ADF">
            <w:pPr>
              <w:spacing w:before="40" w:after="40"/>
              <w:rPr>
                <w:rFonts w:ascii="Calibri" w:eastAsia="Calibri" w:hAnsi="Calibri" w:cs="Times New Roman"/>
                <w:sz w:val="20"/>
                <w:szCs w:val="20"/>
              </w:rPr>
            </w:pPr>
            <w:r w:rsidRPr="0051703E">
              <w:rPr>
                <w:rFonts w:ascii="Calibri" w:eastAsia="Calibri" w:hAnsi="Calibri" w:cs="Times New Roman"/>
                <w:sz w:val="20"/>
                <w:szCs w:val="20"/>
              </w:rPr>
              <w:t>Proton Bean therapy facility</w:t>
            </w:r>
          </w:p>
        </w:tc>
        <w:tc>
          <w:tcPr>
            <w:tcW w:w="2647" w:type="pct"/>
            <w:tcBorders>
              <w:top w:val="single" w:sz="4" w:space="0" w:color="auto"/>
              <w:bottom w:val="single" w:sz="4" w:space="0" w:color="auto"/>
            </w:tcBorders>
          </w:tcPr>
          <w:p w:rsidR="0051703E" w:rsidRPr="00EF1438" w:rsidRDefault="00EE75D2" w:rsidP="00EE75D2">
            <w:pPr>
              <w:spacing w:before="40" w:after="40"/>
              <w:rPr>
                <w:rFonts w:ascii="Calibri" w:eastAsia="Calibri" w:hAnsi="Calibri" w:cs="Times New Roman"/>
                <w:sz w:val="20"/>
                <w:szCs w:val="20"/>
              </w:rPr>
            </w:pPr>
            <w:r w:rsidRPr="00EE75D2">
              <w:rPr>
                <w:rFonts w:ascii="Calibri" w:eastAsia="Calibri" w:hAnsi="Calibri" w:cs="Times New Roman"/>
                <w:sz w:val="20"/>
                <w:szCs w:val="20"/>
              </w:rPr>
              <w:t>Funding to support the establishment of a Proton Beam Therapy Facility in Adelaide.</w:t>
            </w:r>
            <w:r>
              <w:rPr>
                <w:rFonts w:ascii="Calibri" w:eastAsia="Calibri" w:hAnsi="Calibri" w:cs="Times New Roman"/>
                <w:sz w:val="20"/>
                <w:szCs w:val="20"/>
              </w:rPr>
              <w:t xml:space="preserve"> The payment will support</w:t>
            </w:r>
            <w:r w:rsidR="00EF1438" w:rsidRPr="00EF1438">
              <w:rPr>
                <w:rFonts w:ascii="Calibri" w:eastAsia="Calibri" w:hAnsi="Calibri" w:cs="Times New Roman"/>
                <w:sz w:val="20"/>
                <w:szCs w:val="20"/>
              </w:rPr>
              <w:t xml:space="preserve"> the purchase of accelerator equipment and two treatment rooms in support of the establishment of a proton beam facility at the South Australian Health and Medical Research Institute precinct</w:t>
            </w:r>
            <w:r w:rsidR="00023A30">
              <w:rPr>
                <w:rFonts w:ascii="Calibri" w:eastAsia="Calibri" w:hAnsi="Calibri" w:cs="Times New Roman"/>
                <w:sz w:val="20"/>
                <w:szCs w:val="20"/>
              </w:rPr>
              <w:t xml:space="preserve">. </w:t>
            </w:r>
            <w:r w:rsidR="00023A30" w:rsidRPr="00023A30">
              <w:rPr>
                <w:rFonts w:ascii="Calibri" w:eastAsia="Calibri" w:hAnsi="Calibri" w:cs="Times New Roman"/>
                <w:sz w:val="20"/>
                <w:szCs w:val="20"/>
              </w:rPr>
              <w:t>This will deliver new research capabilities to help Australian researchers develop the next generation of cancer treatments, including for complex children’s cancer. The facility will also be an alternative to conventional radiotherapy for the treatment of certain types of cancer.</w:t>
            </w:r>
          </w:p>
        </w:tc>
        <w:tc>
          <w:tcPr>
            <w:tcW w:w="468" w:type="pct"/>
            <w:tcBorders>
              <w:top w:val="single" w:sz="4" w:space="0" w:color="auto"/>
              <w:bottom w:val="single" w:sz="4" w:space="0" w:color="auto"/>
            </w:tcBorders>
          </w:tcPr>
          <w:p w:rsidR="0051703E" w:rsidRPr="0051703E" w:rsidRDefault="0051703E" w:rsidP="0051703E">
            <w:pPr>
              <w:spacing w:before="40" w:after="40"/>
              <w:jc w:val="right"/>
              <w:rPr>
                <w:rFonts w:ascii="Calibri" w:eastAsia="Calibri" w:hAnsi="Calibri" w:cs="Times New Roman"/>
                <w:sz w:val="20"/>
                <w:szCs w:val="20"/>
              </w:rPr>
            </w:pPr>
            <w:r w:rsidRPr="0051703E">
              <w:rPr>
                <w:rFonts w:ascii="Calibri" w:eastAsia="Calibri" w:hAnsi="Calibri" w:cs="Times New Roman"/>
                <w:sz w:val="20"/>
                <w:szCs w:val="20"/>
              </w:rPr>
              <w:t>68.0</w:t>
            </w:r>
          </w:p>
        </w:tc>
        <w:tc>
          <w:tcPr>
            <w:tcW w:w="443"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p>
        </w:tc>
      </w:tr>
      <w:tr w:rsidR="0051703E" w:rsidRPr="00732D02" w:rsidTr="0051703E">
        <w:tc>
          <w:tcPr>
            <w:tcW w:w="1442" w:type="pct"/>
            <w:tcBorders>
              <w:top w:val="single" w:sz="4" w:space="0" w:color="auto"/>
              <w:bottom w:val="single" w:sz="4" w:space="0" w:color="auto"/>
            </w:tcBorders>
          </w:tcPr>
          <w:p w:rsidR="0051703E" w:rsidRPr="0051703E" w:rsidRDefault="0051703E"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Encouraging more clinical trials in Australia </w:t>
            </w:r>
          </w:p>
        </w:tc>
        <w:tc>
          <w:tcPr>
            <w:tcW w:w="2647" w:type="pct"/>
            <w:tcBorders>
              <w:top w:val="single" w:sz="4" w:space="0" w:color="auto"/>
              <w:bottom w:val="single" w:sz="4" w:space="0" w:color="auto"/>
            </w:tcBorders>
          </w:tcPr>
          <w:p w:rsidR="0051703E" w:rsidRPr="00B72ACD" w:rsidRDefault="00B72ACD"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The Commonwealth will provide </w:t>
            </w:r>
            <w:r w:rsidRPr="00B72ACD">
              <w:rPr>
                <w:rFonts w:ascii="Calibri" w:eastAsia="Calibri" w:hAnsi="Calibri" w:cs="Times New Roman"/>
                <w:sz w:val="20"/>
                <w:szCs w:val="20"/>
              </w:rPr>
              <w:t>funding to increase the number and value of clinical trials to deliver health benefits, provide jobs and improve the nation’s innovative capacity.</w:t>
            </w:r>
          </w:p>
        </w:tc>
        <w:tc>
          <w:tcPr>
            <w:tcW w:w="468" w:type="pct"/>
            <w:tcBorders>
              <w:top w:val="single" w:sz="4" w:space="0" w:color="auto"/>
              <w:bottom w:val="single" w:sz="4" w:space="0" w:color="auto"/>
            </w:tcBorders>
          </w:tcPr>
          <w:p w:rsidR="0051703E" w:rsidRPr="0051703E" w:rsidRDefault="0051703E"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2.5</w:t>
            </w:r>
          </w:p>
        </w:tc>
        <w:tc>
          <w:tcPr>
            <w:tcW w:w="443"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p>
        </w:tc>
      </w:tr>
      <w:tr w:rsidR="0051703E" w:rsidRPr="00732D02" w:rsidTr="0051703E">
        <w:tc>
          <w:tcPr>
            <w:tcW w:w="1442"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sz w:val="20"/>
                <w:szCs w:val="20"/>
              </w:rPr>
            </w:pPr>
            <w:r>
              <w:rPr>
                <w:rFonts w:ascii="Calibri" w:eastAsia="Calibri" w:hAnsi="Calibri" w:cs="Times New Roman"/>
                <w:sz w:val="20"/>
                <w:szCs w:val="20"/>
              </w:rPr>
              <w:t>Suicide prevention</w:t>
            </w:r>
          </w:p>
        </w:tc>
        <w:tc>
          <w:tcPr>
            <w:tcW w:w="2647" w:type="pct"/>
            <w:tcBorders>
              <w:top w:val="single" w:sz="4" w:space="0" w:color="auto"/>
              <w:bottom w:val="single" w:sz="4" w:space="0" w:color="auto"/>
            </w:tcBorders>
          </w:tcPr>
          <w:p w:rsidR="0051703E" w:rsidRPr="00B72ACD" w:rsidRDefault="00B72ACD" w:rsidP="00E32ADF">
            <w:pPr>
              <w:spacing w:before="40" w:after="40"/>
              <w:rPr>
                <w:rFonts w:ascii="Calibri" w:eastAsia="Calibri" w:hAnsi="Calibri" w:cs="Times New Roman"/>
                <w:sz w:val="20"/>
                <w:szCs w:val="20"/>
              </w:rPr>
            </w:pPr>
            <w:r w:rsidRPr="00B72ACD">
              <w:rPr>
                <w:rFonts w:ascii="Calibri" w:eastAsia="Calibri" w:hAnsi="Calibri" w:cs="Times New Roman"/>
                <w:sz w:val="20"/>
                <w:szCs w:val="20"/>
              </w:rPr>
              <w:t>The Commonwealth will provide funding to assist in reducing the risk of suicide by funding infrastructure projects, such as barriers, fencing and lighting, at identified locations.</w:t>
            </w:r>
          </w:p>
        </w:tc>
        <w:tc>
          <w:tcPr>
            <w:tcW w:w="468"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3.0</w:t>
            </w:r>
          </w:p>
        </w:tc>
        <w:tc>
          <w:tcPr>
            <w:tcW w:w="443"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p>
        </w:tc>
      </w:tr>
      <w:tr w:rsidR="0051703E" w:rsidRPr="00732D02" w:rsidTr="0051703E">
        <w:tc>
          <w:tcPr>
            <w:tcW w:w="5000" w:type="pct"/>
            <w:gridSpan w:val="4"/>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r>
              <w:rPr>
                <w:rFonts w:ascii="Calibri" w:eastAsia="Calibri" w:hAnsi="Calibri" w:cs="Times New Roman"/>
                <w:b/>
                <w:sz w:val="20"/>
                <w:szCs w:val="20"/>
              </w:rPr>
              <w:t>SKILLS AND WORKFORCE DEVELOPMENT</w:t>
            </w:r>
          </w:p>
        </w:tc>
      </w:tr>
      <w:tr w:rsidR="0051703E" w:rsidRPr="00732D02" w:rsidTr="0051703E">
        <w:tc>
          <w:tcPr>
            <w:tcW w:w="1442"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sz w:val="20"/>
                <w:szCs w:val="20"/>
              </w:rPr>
            </w:pPr>
            <w:r>
              <w:rPr>
                <w:rFonts w:ascii="Calibri" w:eastAsia="Calibri" w:hAnsi="Calibri" w:cs="Times New Roman"/>
                <w:sz w:val="20"/>
                <w:szCs w:val="20"/>
              </w:rPr>
              <w:t>Skilling Australians fund</w:t>
            </w:r>
          </w:p>
        </w:tc>
        <w:tc>
          <w:tcPr>
            <w:tcW w:w="2647" w:type="pct"/>
            <w:tcBorders>
              <w:top w:val="single" w:sz="4" w:space="0" w:color="auto"/>
              <w:bottom w:val="single" w:sz="4" w:space="0" w:color="auto"/>
            </w:tcBorders>
          </w:tcPr>
          <w:p w:rsidR="0051703E" w:rsidRPr="00B72ACD" w:rsidRDefault="00B72ACD" w:rsidP="00EE10B5">
            <w:pPr>
              <w:spacing w:before="40" w:after="40"/>
              <w:rPr>
                <w:rFonts w:ascii="Calibri" w:eastAsia="Calibri" w:hAnsi="Calibri" w:cs="Times New Roman"/>
                <w:sz w:val="20"/>
                <w:szCs w:val="20"/>
              </w:rPr>
            </w:pPr>
            <w:r w:rsidRPr="00B72ACD">
              <w:rPr>
                <w:rFonts w:ascii="Calibri" w:eastAsia="Calibri" w:hAnsi="Calibri" w:cs="Times New Roman"/>
                <w:sz w:val="20"/>
                <w:szCs w:val="20"/>
              </w:rPr>
              <w:t>The Commonwealth will support the training of Australians through a range of projects focused on skills priorities. These include training in occupations in high demand that currently rely on skilled migration, future growth industries, and rural and regional areas. There will also be a strong focus on apprenticeships and traineeships.</w:t>
            </w:r>
            <w:r w:rsidR="00EE4430">
              <w:rPr>
                <w:rFonts w:ascii="Calibri" w:eastAsia="Calibri" w:hAnsi="Calibri" w:cs="Times New Roman"/>
                <w:sz w:val="20"/>
                <w:szCs w:val="20"/>
              </w:rPr>
              <w:t xml:space="preserve"> </w:t>
            </w:r>
            <w:r w:rsidR="00EE4430" w:rsidRPr="00EE4430">
              <w:rPr>
                <w:rFonts w:ascii="Calibri" w:eastAsia="Calibri" w:hAnsi="Calibri" w:cs="Times New Roman"/>
                <w:sz w:val="20"/>
                <w:szCs w:val="20"/>
              </w:rPr>
              <w:t xml:space="preserve"> </w:t>
            </w:r>
            <w:r w:rsidR="00EE4430">
              <w:rPr>
                <w:rFonts w:ascii="Calibri" w:eastAsia="Calibri" w:hAnsi="Calibri" w:cs="Times New Roman"/>
                <w:sz w:val="20"/>
                <w:szCs w:val="20"/>
              </w:rPr>
              <w:t>The f</w:t>
            </w:r>
            <w:r w:rsidR="00EE4430" w:rsidRPr="00EE4430">
              <w:rPr>
                <w:rFonts w:ascii="Calibri" w:eastAsia="Calibri" w:hAnsi="Calibri" w:cs="Times New Roman"/>
                <w:sz w:val="20"/>
                <w:szCs w:val="20"/>
              </w:rPr>
              <w:t>und will support a range of projects which are focused on Commonwealth priorities and are designed to support growth in trade and non-trade apprenticeships and traineeships in target areas</w:t>
            </w:r>
            <w:r w:rsidR="00EE4430">
              <w:rPr>
                <w:rFonts w:ascii="Calibri" w:eastAsia="Calibri" w:hAnsi="Calibri" w:cs="Times New Roman"/>
                <w:sz w:val="20"/>
                <w:szCs w:val="20"/>
              </w:rPr>
              <w:t xml:space="preserve">. This fund </w:t>
            </w:r>
            <w:r w:rsidR="00EE4430" w:rsidRPr="00EE4430">
              <w:rPr>
                <w:rFonts w:ascii="Calibri" w:eastAsia="Calibri" w:hAnsi="Calibri" w:cs="Times New Roman"/>
                <w:sz w:val="20"/>
                <w:szCs w:val="20"/>
              </w:rPr>
              <w:t>will support up to 300</w:t>
            </w:r>
            <w:r w:rsidR="00EE10B5">
              <w:rPr>
                <w:rFonts w:ascii="Calibri" w:eastAsia="Calibri" w:hAnsi="Calibri" w:cs="Times New Roman"/>
                <w:sz w:val="20"/>
                <w:szCs w:val="20"/>
              </w:rPr>
              <w:t xml:space="preserve"> </w:t>
            </w:r>
            <w:r w:rsidR="00EE4430" w:rsidRPr="00EE4430">
              <w:rPr>
                <w:rFonts w:ascii="Calibri" w:eastAsia="Calibri" w:hAnsi="Calibri" w:cs="Times New Roman"/>
                <w:sz w:val="20"/>
                <w:szCs w:val="20"/>
              </w:rPr>
              <w:t xml:space="preserve">000 more apprentices, trainees, and higher level skilled Australians over the next four years </w:t>
            </w:r>
            <w:r w:rsidR="00EE4430">
              <w:rPr>
                <w:rFonts w:ascii="Calibri" w:eastAsia="Calibri" w:hAnsi="Calibri" w:cs="Times New Roman"/>
                <w:sz w:val="20"/>
                <w:szCs w:val="20"/>
              </w:rPr>
              <w:t>when matche</w:t>
            </w:r>
            <w:r w:rsidR="00EE4430" w:rsidRPr="00EE4430">
              <w:rPr>
                <w:rFonts w:ascii="Calibri" w:eastAsia="Calibri" w:hAnsi="Calibri" w:cs="Times New Roman"/>
                <w:sz w:val="20"/>
                <w:szCs w:val="20"/>
              </w:rPr>
              <w:t>d with funding from the States.</w:t>
            </w:r>
          </w:p>
        </w:tc>
        <w:tc>
          <w:tcPr>
            <w:tcW w:w="468"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350.0</w:t>
            </w:r>
          </w:p>
        </w:tc>
        <w:tc>
          <w:tcPr>
            <w:tcW w:w="443"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p>
        </w:tc>
      </w:tr>
      <w:tr w:rsidR="0051703E" w:rsidRPr="00732D02" w:rsidTr="0051703E">
        <w:tc>
          <w:tcPr>
            <w:tcW w:w="5000" w:type="pct"/>
            <w:gridSpan w:val="4"/>
            <w:tcBorders>
              <w:top w:val="single" w:sz="4" w:space="0" w:color="auto"/>
              <w:bottom w:val="single" w:sz="4" w:space="0" w:color="auto"/>
            </w:tcBorders>
          </w:tcPr>
          <w:p w:rsidR="0051703E" w:rsidRDefault="0051703E" w:rsidP="00E32ADF">
            <w:pPr>
              <w:spacing w:before="40" w:after="40"/>
              <w:rPr>
                <w:rFonts w:ascii="Calibri" w:eastAsia="Calibri" w:hAnsi="Calibri" w:cs="Times New Roman"/>
                <w:b/>
                <w:sz w:val="20"/>
                <w:szCs w:val="20"/>
              </w:rPr>
            </w:pPr>
            <w:r>
              <w:rPr>
                <w:rFonts w:ascii="Calibri" w:eastAsia="Calibri" w:hAnsi="Calibri" w:cs="Times New Roman"/>
                <w:b/>
                <w:sz w:val="20"/>
                <w:szCs w:val="20"/>
              </w:rPr>
              <w:t>COMMUNITY SERVICES</w:t>
            </w:r>
          </w:p>
        </w:tc>
      </w:tr>
      <w:tr w:rsidR="0051703E" w:rsidRPr="00732D02" w:rsidTr="0051703E">
        <w:tc>
          <w:tcPr>
            <w:tcW w:w="1442"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sz w:val="20"/>
                <w:szCs w:val="20"/>
              </w:rPr>
            </w:pPr>
            <w:r>
              <w:rPr>
                <w:rFonts w:ascii="Calibri" w:eastAsia="Calibri" w:hAnsi="Calibri" w:cs="Times New Roman"/>
                <w:sz w:val="20"/>
                <w:szCs w:val="20"/>
              </w:rPr>
              <w:t>Transition to independent living allowance</w:t>
            </w:r>
          </w:p>
        </w:tc>
        <w:tc>
          <w:tcPr>
            <w:tcW w:w="2647" w:type="pct"/>
            <w:tcBorders>
              <w:top w:val="single" w:sz="4" w:space="0" w:color="auto"/>
              <w:bottom w:val="single" w:sz="4" w:space="0" w:color="auto"/>
            </w:tcBorders>
          </w:tcPr>
          <w:p w:rsidR="0051703E" w:rsidRPr="00331296" w:rsidRDefault="00331296" w:rsidP="00E32ADF">
            <w:pPr>
              <w:spacing w:before="40" w:after="40"/>
              <w:rPr>
                <w:rFonts w:ascii="Calibri" w:eastAsia="Calibri" w:hAnsi="Calibri" w:cs="Times New Roman"/>
                <w:sz w:val="20"/>
                <w:szCs w:val="20"/>
              </w:rPr>
            </w:pPr>
            <w:r w:rsidRPr="00331296">
              <w:rPr>
                <w:rFonts w:ascii="Calibri" w:eastAsia="Calibri" w:hAnsi="Calibri" w:cs="Times New Roman"/>
                <w:sz w:val="20"/>
                <w:szCs w:val="20"/>
              </w:rPr>
              <w:t>The Commonwealth is helping young people make the transition from formal out of home care to independent living</w:t>
            </w:r>
            <w:r>
              <w:rPr>
                <w:rFonts w:ascii="Calibri" w:eastAsia="Calibri" w:hAnsi="Calibri" w:cs="Times New Roman"/>
                <w:sz w:val="20"/>
                <w:szCs w:val="20"/>
              </w:rPr>
              <w:t>.</w:t>
            </w:r>
          </w:p>
        </w:tc>
        <w:tc>
          <w:tcPr>
            <w:tcW w:w="468"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sz w:val="20"/>
                <w:szCs w:val="20"/>
              </w:rPr>
            </w:pPr>
          </w:p>
        </w:tc>
        <w:tc>
          <w:tcPr>
            <w:tcW w:w="443"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b/>
                <w:sz w:val="20"/>
                <w:szCs w:val="20"/>
              </w:rPr>
            </w:pPr>
            <w:r>
              <w:rPr>
                <w:rFonts w:ascii="Calibri" w:eastAsia="Calibri" w:hAnsi="Calibri" w:cs="Times New Roman"/>
                <w:sz w:val="20"/>
                <w:szCs w:val="20"/>
              </w:rPr>
              <w:t>3.5</w:t>
            </w:r>
          </w:p>
        </w:tc>
      </w:tr>
    </w:tbl>
    <w:p w:rsidR="00331296" w:rsidRDefault="00331296"/>
    <w:p w:rsidR="00331296" w:rsidRPr="00F369A6" w:rsidRDefault="00331296" w:rsidP="00331296">
      <w:pPr>
        <w:keepNext/>
        <w:keepLines/>
        <w:tabs>
          <w:tab w:val="clear" w:pos="567"/>
          <w:tab w:val="left" w:pos="1420"/>
        </w:tabs>
        <w:spacing w:before="240" w:after="120" w:line="240" w:lineRule="auto"/>
        <w:ind w:left="1418" w:hanging="1418"/>
        <w:rPr>
          <w:rFonts w:ascii="Calibri" w:eastAsia="Calibri" w:hAnsi="Calibri" w:cs="Times New Roman"/>
          <w:b/>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71552" behindDoc="0" locked="0" layoutInCell="1" allowOverlap="1" wp14:anchorId="56A82188" wp14:editId="0B1B39F9">
                <wp:simplePos x="0" y="0"/>
                <wp:positionH relativeFrom="column">
                  <wp:posOffset>-631825</wp:posOffset>
                </wp:positionH>
                <wp:positionV relativeFrom="paragraph">
                  <wp:posOffset>187960</wp:posOffset>
                </wp:positionV>
                <wp:extent cx="430530" cy="56483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331296">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9.75pt;margin-top:14.8pt;width:33.9pt;height:4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" stroked="f">
                <v:textbox style="layout-flow:vertical">
                  <w:txbxContent>
                    <w:p w:rsidR="004E56AA" w:rsidRPr="004C6DAD" w:rsidRDefault="004E56AA" w:rsidP="00331296">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36</w:t>
                      </w:r>
                    </w:p>
                  </w:txbxContent>
                </v:textbox>
              </v:shape>
            </w:pict>
          </mc:Fallback>
        </mc:AlternateContent>
      </w:r>
      <w:r w:rsidRPr="00F369A6">
        <w:rPr>
          <w:rFonts w:ascii="Calibri" w:eastAsia="Calibri" w:hAnsi="Calibri" w:cs="Times New Roman"/>
          <w:b/>
          <w:sz w:val="22"/>
          <w:szCs w:val="22"/>
        </w:rPr>
        <w:t>Table A-</w:t>
      </w:r>
      <w:r>
        <w:rPr>
          <w:rFonts w:ascii="Calibri" w:eastAsia="Calibri" w:hAnsi="Calibri" w:cs="Times New Roman"/>
          <w:b/>
          <w:sz w:val="22"/>
          <w:szCs w:val="22"/>
        </w:rPr>
        <w:t>2</w:t>
      </w:r>
      <w:r w:rsidRPr="00F369A6">
        <w:rPr>
          <w:rFonts w:ascii="Calibri" w:eastAsia="Calibri" w:hAnsi="Calibri" w:cs="Times New Roman"/>
          <w:b/>
          <w:sz w:val="22"/>
          <w:szCs w:val="22"/>
        </w:rPr>
        <w:tab/>
        <w:t>Commonwealth payments commenc</w:t>
      </w:r>
      <w:r>
        <w:rPr>
          <w:rFonts w:ascii="Calibri" w:eastAsia="Calibri" w:hAnsi="Calibri" w:cs="Times New Roman"/>
          <w:b/>
          <w:sz w:val="22"/>
          <w:szCs w:val="22"/>
        </w:rPr>
        <w:t xml:space="preserve">ing in 2017-18 or 2018-19, </w:t>
      </w:r>
      <w:r w:rsidRPr="0072187F">
        <w:rPr>
          <w:rFonts w:ascii="Calibri" w:eastAsia="Calibri" w:hAnsi="Calibri" w:cs="Times New Roman"/>
          <w:b/>
          <w:i/>
          <w:sz w:val="22"/>
          <w:szCs w:val="22"/>
        </w:rPr>
        <w:t xml:space="preserve">Federal </w:t>
      </w:r>
      <w:r w:rsidRPr="00F369A6">
        <w:rPr>
          <w:rFonts w:ascii="Calibri" w:eastAsia="Calibri" w:hAnsi="Calibri" w:cs="Times New Roman"/>
          <w:b/>
          <w:i/>
          <w:sz w:val="22"/>
          <w:szCs w:val="22"/>
        </w:rPr>
        <w:t>Financial Rela</w:t>
      </w:r>
      <w:r>
        <w:rPr>
          <w:rFonts w:ascii="Calibri" w:eastAsia="Calibri" w:hAnsi="Calibri" w:cs="Times New Roman"/>
          <w:b/>
          <w:i/>
          <w:sz w:val="22"/>
          <w:szCs w:val="22"/>
        </w:rPr>
        <w:t>tions, Budget Paper No. 3, 2017-18</w:t>
      </w:r>
      <w:r w:rsidR="0072187F">
        <w:rPr>
          <w:rFonts w:ascii="Calibri" w:eastAsia="Calibri" w:hAnsi="Calibri" w:cs="Times New Roman"/>
          <w:b/>
          <w:i/>
          <w:sz w:val="22"/>
          <w:szCs w:val="22"/>
        </w:rPr>
        <w:t xml:space="preserve"> </w:t>
      </w:r>
      <w:r w:rsidR="0072187F" w:rsidRPr="00E46B1C">
        <w:rPr>
          <w:rFonts w:ascii="Calibri" w:eastAsia="Calibri" w:hAnsi="Calibri" w:cs="Times New Roman"/>
          <w:b/>
          <w:sz w:val="22"/>
          <w:szCs w:val="22"/>
        </w:rPr>
        <w:t>(Continued)</w:t>
      </w:r>
      <w:r w:rsidR="0072187F">
        <w:rPr>
          <w:rFonts w:ascii="Calibri" w:eastAsia="Calibri" w:hAnsi="Calibri" w:cs="Times New Roman"/>
          <w:b/>
          <w:sz w:val="22"/>
          <w:szCs w:val="22"/>
        </w:rPr>
        <w:t xml:space="preserve"> </w:t>
      </w:r>
    </w:p>
    <w:tbl>
      <w:tblPr>
        <w:tblStyle w:val="TableGrid1"/>
        <w:tblW w:w="5001" w:type="pct"/>
        <w:tblLook w:val="04A0" w:firstRow="1" w:lastRow="0" w:firstColumn="1" w:lastColumn="0" w:noHBand="0" w:noVBand="1"/>
        <w:tblCaption w:val="Table A2 Commonwealth payments commencing in 2016-17 or 2017-18"/>
        <w:tblDescription w:val="Commonwealth payments commencing in 2016-17 or 2017-18"/>
      </w:tblPr>
      <w:tblGrid>
        <w:gridCol w:w="3938"/>
        <w:gridCol w:w="7229"/>
        <w:gridCol w:w="1278"/>
        <w:gridCol w:w="1210"/>
      </w:tblGrid>
      <w:tr w:rsidR="00331296" w:rsidRPr="00732D02" w:rsidTr="00331296">
        <w:tc>
          <w:tcPr>
            <w:tcW w:w="1442" w:type="pct"/>
          </w:tcPr>
          <w:p w:rsidR="00331296" w:rsidRPr="00533864" w:rsidRDefault="00331296"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647" w:type="pct"/>
          </w:tcPr>
          <w:p w:rsidR="00331296" w:rsidRPr="00533864" w:rsidRDefault="00331296"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68" w:type="pct"/>
          </w:tcPr>
          <w:p w:rsidR="00331296" w:rsidRPr="00533864" w:rsidRDefault="00331296"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New in 2017-18 </w:t>
            </w:r>
            <w:r w:rsidRPr="00533864">
              <w:rPr>
                <w:rFonts w:ascii="Calibri" w:eastAsia="Calibri" w:hAnsi="Calibri" w:cs="Times New Roman"/>
                <w:sz w:val="20"/>
                <w:szCs w:val="20"/>
              </w:rPr>
              <w:t>$m</w:t>
            </w:r>
          </w:p>
        </w:tc>
        <w:tc>
          <w:tcPr>
            <w:tcW w:w="443" w:type="pct"/>
          </w:tcPr>
          <w:p w:rsidR="00331296" w:rsidRPr="00533864" w:rsidRDefault="00331296" w:rsidP="00E32ADF">
            <w:pPr>
              <w:spacing w:before="40" w:after="40"/>
              <w:ind w:left="-30"/>
              <w:jc w:val="center"/>
              <w:rPr>
                <w:rFonts w:ascii="Calibri" w:eastAsia="Calibri" w:hAnsi="Calibri" w:cs="Times New Roman"/>
                <w:sz w:val="20"/>
                <w:szCs w:val="20"/>
              </w:rPr>
            </w:pPr>
            <w:r>
              <w:rPr>
                <w:rFonts w:ascii="Calibri" w:eastAsia="Calibri" w:hAnsi="Calibri" w:cs="Times New Roman"/>
                <w:sz w:val="20"/>
                <w:szCs w:val="20"/>
              </w:rPr>
              <w:t>New in 2018-19 $m</w:t>
            </w:r>
          </w:p>
        </w:tc>
      </w:tr>
      <w:tr w:rsidR="0051703E" w:rsidRPr="00732D02" w:rsidTr="0051703E">
        <w:tc>
          <w:tcPr>
            <w:tcW w:w="1442" w:type="pct"/>
            <w:tcBorders>
              <w:top w:val="single" w:sz="4" w:space="0" w:color="auto"/>
              <w:bottom w:val="single" w:sz="4" w:space="0" w:color="auto"/>
            </w:tcBorders>
          </w:tcPr>
          <w:p w:rsidR="0051703E" w:rsidRDefault="0051703E" w:rsidP="00E32ADF">
            <w:pPr>
              <w:spacing w:before="40" w:after="40"/>
              <w:rPr>
                <w:rFonts w:ascii="Calibri" w:eastAsia="Calibri" w:hAnsi="Calibri" w:cs="Times New Roman"/>
                <w:sz w:val="20"/>
                <w:szCs w:val="20"/>
              </w:rPr>
            </w:pPr>
            <w:r>
              <w:rPr>
                <w:rFonts w:ascii="Calibri" w:eastAsia="Calibri" w:hAnsi="Calibri" w:cs="Times New Roman"/>
                <w:sz w:val="20"/>
                <w:szCs w:val="20"/>
              </w:rPr>
              <w:t xml:space="preserve">Transition to NDIS in </w:t>
            </w:r>
            <w:r w:rsidRPr="0051703E">
              <w:rPr>
                <w:rFonts w:ascii="Calibri" w:eastAsia="Calibri" w:hAnsi="Calibri" w:cs="Times New Roman"/>
                <w:sz w:val="20"/>
                <w:szCs w:val="20"/>
              </w:rPr>
              <w:t>Western Australia</w:t>
            </w:r>
          </w:p>
        </w:tc>
        <w:tc>
          <w:tcPr>
            <w:tcW w:w="2647" w:type="pct"/>
            <w:tcBorders>
              <w:top w:val="single" w:sz="4" w:space="0" w:color="auto"/>
              <w:bottom w:val="single" w:sz="4" w:space="0" w:color="auto"/>
            </w:tcBorders>
          </w:tcPr>
          <w:p w:rsidR="0051703E" w:rsidRDefault="00331296" w:rsidP="00E32ADF">
            <w:pPr>
              <w:spacing w:before="40" w:after="40"/>
              <w:rPr>
                <w:rFonts w:ascii="Calibri" w:eastAsia="Calibri" w:hAnsi="Calibri" w:cs="Times New Roman"/>
                <w:sz w:val="20"/>
                <w:szCs w:val="20"/>
              </w:rPr>
            </w:pPr>
            <w:r w:rsidRPr="00331296">
              <w:rPr>
                <w:rFonts w:ascii="Calibri" w:eastAsia="Calibri" w:hAnsi="Calibri" w:cs="Times New Roman"/>
                <w:sz w:val="20"/>
                <w:szCs w:val="20"/>
              </w:rPr>
              <w:t>From 1 July 2018, Western Australia is transitioning to full scheme NDIS. The Commonwealth will support Western Australia to make progressive changes to roles, responsibilities and governance in delivering disability services from 1 July 2017. Funding from 2020</w:t>
            </w:r>
            <w:r>
              <w:rPr>
                <w:rFonts w:ascii="Calibri" w:eastAsia="Calibri" w:hAnsi="Calibri" w:cs="Times New Roman"/>
                <w:sz w:val="20"/>
                <w:szCs w:val="20"/>
              </w:rPr>
              <w:t>-</w:t>
            </w:r>
            <w:r w:rsidRPr="00331296">
              <w:rPr>
                <w:rFonts w:ascii="Calibri" w:eastAsia="Calibri" w:hAnsi="Calibri" w:cs="Times New Roman"/>
                <w:sz w:val="20"/>
                <w:szCs w:val="20"/>
              </w:rPr>
              <w:t>21 is subject to ongoing negotiations with the Western Australian government on full scheme NDIS.</w:t>
            </w:r>
          </w:p>
          <w:p w:rsidR="00331296" w:rsidRPr="00331296" w:rsidRDefault="00331296" w:rsidP="00331296">
            <w:pPr>
              <w:spacing w:before="40" w:after="40"/>
              <w:rPr>
                <w:rFonts w:ascii="Calibri" w:eastAsia="Calibri" w:hAnsi="Calibri" w:cs="Times New Roman"/>
                <w:sz w:val="20"/>
                <w:szCs w:val="20"/>
              </w:rPr>
            </w:pPr>
            <w:r w:rsidRPr="00331296">
              <w:rPr>
                <w:rFonts w:ascii="Calibri" w:eastAsia="Calibri" w:hAnsi="Calibri" w:cs="Times New Roman"/>
                <w:sz w:val="20"/>
                <w:szCs w:val="20"/>
              </w:rPr>
              <w:t xml:space="preserve">The Intergovernmental payments currently provided by the Commonwealth to Western Australia for the purpose of providing disability services to individuals will be paid to the WA NDIS authority on behalf of the Commonwealth by Western Australia, in line with clients transitioning to the NDIS. </w:t>
            </w:r>
          </w:p>
        </w:tc>
        <w:tc>
          <w:tcPr>
            <w:tcW w:w="468"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169.7</w:t>
            </w:r>
          </w:p>
        </w:tc>
        <w:tc>
          <w:tcPr>
            <w:tcW w:w="443" w:type="pct"/>
            <w:tcBorders>
              <w:top w:val="single" w:sz="4" w:space="0" w:color="auto"/>
              <w:bottom w:val="single" w:sz="4" w:space="0" w:color="auto"/>
            </w:tcBorders>
          </w:tcPr>
          <w:p w:rsidR="0051703E" w:rsidRDefault="0051703E" w:rsidP="0051703E">
            <w:pPr>
              <w:spacing w:before="40" w:after="40"/>
              <w:jc w:val="right"/>
              <w:rPr>
                <w:rFonts w:ascii="Calibri" w:eastAsia="Calibri" w:hAnsi="Calibri" w:cs="Times New Roman"/>
                <w:sz w:val="20"/>
                <w:szCs w:val="20"/>
              </w:rPr>
            </w:pPr>
          </w:p>
        </w:tc>
      </w:tr>
      <w:tr w:rsidR="006E43BB" w:rsidRPr="00732D02" w:rsidTr="006E43BB">
        <w:tc>
          <w:tcPr>
            <w:tcW w:w="5000" w:type="pct"/>
            <w:gridSpan w:val="4"/>
            <w:tcBorders>
              <w:top w:val="single" w:sz="4" w:space="0" w:color="auto"/>
              <w:bottom w:val="single" w:sz="4" w:space="0" w:color="auto"/>
            </w:tcBorders>
          </w:tcPr>
          <w:p w:rsidR="006E43BB" w:rsidRPr="006E43BB" w:rsidRDefault="006E43BB" w:rsidP="006E43BB">
            <w:pPr>
              <w:spacing w:before="40" w:after="40"/>
              <w:rPr>
                <w:rFonts w:ascii="Calibri" w:eastAsia="Calibri" w:hAnsi="Calibri" w:cs="Times New Roman"/>
                <w:b/>
                <w:sz w:val="20"/>
                <w:szCs w:val="20"/>
              </w:rPr>
            </w:pPr>
            <w:r w:rsidRPr="006E43BB">
              <w:rPr>
                <w:rFonts w:ascii="Calibri" w:eastAsia="Calibri" w:hAnsi="Calibri" w:cs="Times New Roman"/>
                <w:b/>
                <w:sz w:val="20"/>
                <w:szCs w:val="20"/>
              </w:rPr>
              <w:t>INFRASTRUCTURE</w:t>
            </w:r>
          </w:p>
        </w:tc>
      </w:tr>
      <w:tr w:rsidR="006E43BB" w:rsidRPr="00732D02" w:rsidTr="0051703E">
        <w:tc>
          <w:tcPr>
            <w:tcW w:w="1442" w:type="pct"/>
            <w:tcBorders>
              <w:top w:val="single" w:sz="4" w:space="0" w:color="auto"/>
              <w:bottom w:val="single" w:sz="4" w:space="0" w:color="auto"/>
            </w:tcBorders>
          </w:tcPr>
          <w:p w:rsidR="006E43BB" w:rsidRDefault="006E43BB" w:rsidP="00E32ADF">
            <w:pPr>
              <w:spacing w:before="40" w:after="40"/>
              <w:rPr>
                <w:rFonts w:ascii="Calibri" w:eastAsia="Calibri" w:hAnsi="Calibri" w:cs="Times New Roman"/>
                <w:sz w:val="20"/>
                <w:szCs w:val="20"/>
              </w:rPr>
            </w:pPr>
            <w:r>
              <w:rPr>
                <w:rFonts w:ascii="Calibri" w:eastAsia="Calibri" w:hAnsi="Calibri" w:cs="Times New Roman"/>
                <w:sz w:val="20"/>
                <w:szCs w:val="20"/>
              </w:rPr>
              <w:t>Asset recycling  – energy infrastructure</w:t>
            </w:r>
          </w:p>
        </w:tc>
        <w:tc>
          <w:tcPr>
            <w:tcW w:w="2647" w:type="pct"/>
            <w:tcBorders>
              <w:top w:val="single" w:sz="4" w:space="0" w:color="auto"/>
              <w:bottom w:val="single" w:sz="4" w:space="0" w:color="auto"/>
            </w:tcBorders>
          </w:tcPr>
          <w:p w:rsidR="006E43BB" w:rsidRPr="00FB5C3E" w:rsidRDefault="00FB5C3E" w:rsidP="00FB5C3E">
            <w:pPr>
              <w:spacing w:before="40" w:after="40"/>
              <w:rPr>
                <w:rFonts w:ascii="Calibri" w:eastAsia="Calibri" w:hAnsi="Calibri" w:cs="Times New Roman"/>
                <w:sz w:val="20"/>
                <w:szCs w:val="20"/>
              </w:rPr>
            </w:pPr>
            <w:r w:rsidRPr="00FB5C3E">
              <w:rPr>
                <w:rFonts w:ascii="Calibri" w:eastAsia="Calibri" w:hAnsi="Calibri" w:cs="Times New Roman"/>
                <w:sz w:val="20"/>
                <w:szCs w:val="20"/>
              </w:rPr>
              <w:t>The</w:t>
            </w:r>
            <w:r>
              <w:rPr>
                <w:rFonts w:ascii="Calibri" w:eastAsia="Calibri" w:hAnsi="Calibri" w:cs="Times New Roman"/>
                <w:sz w:val="20"/>
                <w:szCs w:val="20"/>
              </w:rPr>
              <w:t xml:space="preserve"> Commonwealth will provide funding to target energy infrastructure in </w:t>
            </w:r>
            <w:r w:rsidRPr="00FB5C3E">
              <w:rPr>
                <w:rFonts w:ascii="Calibri" w:eastAsia="Calibri" w:hAnsi="Calibri" w:cs="Times New Roman"/>
                <w:sz w:val="20"/>
                <w:szCs w:val="20"/>
              </w:rPr>
              <w:t>South Australia</w:t>
            </w:r>
            <w:r>
              <w:rPr>
                <w:rFonts w:ascii="Calibri" w:eastAsia="Calibri" w:hAnsi="Calibri" w:cs="Times New Roman"/>
                <w:sz w:val="20"/>
                <w:szCs w:val="20"/>
              </w:rPr>
              <w:t xml:space="preserve">. Funding will be provided for agreed energy infrastructure projects under a bilateral Asset Recycling agreement. This forms part of the Government’s </w:t>
            </w:r>
            <w:r w:rsidRPr="00FB5C3E">
              <w:rPr>
                <w:rFonts w:ascii="Calibri" w:eastAsia="Calibri" w:hAnsi="Calibri" w:cs="Times New Roman"/>
                <w:i/>
                <w:sz w:val="20"/>
                <w:szCs w:val="20"/>
              </w:rPr>
              <w:t>Energy for the Future Package</w:t>
            </w:r>
            <w:r>
              <w:rPr>
                <w:rFonts w:ascii="Calibri" w:eastAsia="Calibri" w:hAnsi="Calibri" w:cs="Times New Roman"/>
                <w:sz w:val="20"/>
                <w:szCs w:val="20"/>
              </w:rPr>
              <w:t xml:space="preserve">. </w:t>
            </w:r>
            <w:r w:rsidRPr="00FB5C3E">
              <w:rPr>
                <w:rFonts w:ascii="Calibri" w:eastAsia="Calibri" w:hAnsi="Calibri" w:cs="Times New Roman"/>
                <w:sz w:val="20"/>
                <w:szCs w:val="20"/>
              </w:rPr>
              <w:t xml:space="preserve"> </w:t>
            </w:r>
          </w:p>
        </w:tc>
        <w:tc>
          <w:tcPr>
            <w:tcW w:w="468" w:type="pct"/>
            <w:tcBorders>
              <w:top w:val="single" w:sz="4" w:space="0" w:color="auto"/>
              <w:bottom w:val="single" w:sz="4" w:space="0" w:color="auto"/>
            </w:tcBorders>
          </w:tcPr>
          <w:p w:rsidR="006E43BB" w:rsidRDefault="006E43BB"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18.3</w:t>
            </w:r>
          </w:p>
        </w:tc>
        <w:tc>
          <w:tcPr>
            <w:tcW w:w="443" w:type="pct"/>
            <w:tcBorders>
              <w:top w:val="single" w:sz="4" w:space="0" w:color="auto"/>
              <w:bottom w:val="single" w:sz="4" w:space="0" w:color="auto"/>
            </w:tcBorders>
          </w:tcPr>
          <w:p w:rsidR="006E43BB" w:rsidRDefault="006E43BB" w:rsidP="0051703E">
            <w:pPr>
              <w:spacing w:before="40" w:after="40"/>
              <w:jc w:val="right"/>
              <w:rPr>
                <w:rFonts w:ascii="Calibri" w:eastAsia="Calibri" w:hAnsi="Calibri" w:cs="Times New Roman"/>
                <w:sz w:val="20"/>
                <w:szCs w:val="20"/>
              </w:rPr>
            </w:pPr>
          </w:p>
        </w:tc>
      </w:tr>
      <w:tr w:rsidR="006E43BB" w:rsidRPr="00732D02" w:rsidTr="0051703E">
        <w:tc>
          <w:tcPr>
            <w:tcW w:w="1442" w:type="pct"/>
            <w:tcBorders>
              <w:top w:val="single" w:sz="4" w:space="0" w:color="auto"/>
              <w:bottom w:val="single" w:sz="4" w:space="0" w:color="auto"/>
            </w:tcBorders>
          </w:tcPr>
          <w:p w:rsidR="006E43BB" w:rsidRDefault="006E43BB" w:rsidP="00E32ADF">
            <w:pPr>
              <w:spacing w:before="40" w:after="40"/>
              <w:rPr>
                <w:rFonts w:ascii="Calibri" w:eastAsia="Calibri" w:hAnsi="Calibri" w:cs="Times New Roman"/>
                <w:sz w:val="20"/>
                <w:szCs w:val="20"/>
              </w:rPr>
            </w:pPr>
            <w:proofErr w:type="spellStart"/>
            <w:r>
              <w:rPr>
                <w:rFonts w:ascii="Calibri" w:eastAsia="Calibri" w:hAnsi="Calibri" w:cs="Times New Roman"/>
                <w:sz w:val="20"/>
                <w:szCs w:val="20"/>
              </w:rPr>
              <w:t>Wifi</w:t>
            </w:r>
            <w:proofErr w:type="spellEnd"/>
            <w:r>
              <w:rPr>
                <w:rFonts w:ascii="Calibri" w:eastAsia="Calibri" w:hAnsi="Calibri" w:cs="Times New Roman"/>
                <w:sz w:val="20"/>
                <w:szCs w:val="20"/>
              </w:rPr>
              <w:t xml:space="preserve"> and mobile coverage on trains</w:t>
            </w:r>
          </w:p>
        </w:tc>
        <w:tc>
          <w:tcPr>
            <w:tcW w:w="2647" w:type="pct"/>
            <w:tcBorders>
              <w:top w:val="single" w:sz="4" w:space="0" w:color="auto"/>
              <w:bottom w:val="single" w:sz="4" w:space="0" w:color="auto"/>
            </w:tcBorders>
          </w:tcPr>
          <w:p w:rsidR="006E43BB" w:rsidRPr="00FB5C3E" w:rsidRDefault="00FB5C3E" w:rsidP="00FB5C3E">
            <w:pPr>
              <w:spacing w:before="40" w:after="40"/>
              <w:rPr>
                <w:rFonts w:ascii="Calibri" w:eastAsia="Calibri" w:hAnsi="Calibri" w:cs="Times New Roman"/>
                <w:sz w:val="20"/>
                <w:szCs w:val="20"/>
              </w:rPr>
            </w:pPr>
            <w:r w:rsidRPr="00FB5C3E">
              <w:rPr>
                <w:rFonts w:ascii="Calibri" w:eastAsia="Calibri" w:hAnsi="Calibri" w:cs="Times New Roman"/>
                <w:sz w:val="20"/>
                <w:szCs w:val="20"/>
              </w:rPr>
              <w:t>The program will establish mobile and internet connectivity along the train route between Hornsby and Wyong</w:t>
            </w:r>
            <w:r>
              <w:rPr>
                <w:rFonts w:ascii="Calibri" w:eastAsia="Calibri" w:hAnsi="Calibri" w:cs="Times New Roman"/>
                <w:sz w:val="20"/>
                <w:szCs w:val="20"/>
              </w:rPr>
              <w:t>.</w:t>
            </w:r>
          </w:p>
        </w:tc>
        <w:tc>
          <w:tcPr>
            <w:tcW w:w="468" w:type="pct"/>
            <w:tcBorders>
              <w:top w:val="single" w:sz="4" w:space="0" w:color="auto"/>
              <w:bottom w:val="single" w:sz="4" w:space="0" w:color="auto"/>
            </w:tcBorders>
          </w:tcPr>
          <w:p w:rsidR="006E43BB" w:rsidRDefault="006E43BB" w:rsidP="0051703E">
            <w:pPr>
              <w:spacing w:before="40" w:after="40"/>
              <w:jc w:val="right"/>
              <w:rPr>
                <w:rFonts w:ascii="Calibri" w:eastAsia="Calibri" w:hAnsi="Calibri" w:cs="Times New Roman"/>
                <w:sz w:val="20"/>
                <w:szCs w:val="20"/>
              </w:rPr>
            </w:pPr>
            <w:r>
              <w:rPr>
                <w:rFonts w:ascii="Calibri" w:eastAsia="Calibri" w:hAnsi="Calibri" w:cs="Times New Roman"/>
                <w:sz w:val="20"/>
                <w:szCs w:val="20"/>
              </w:rPr>
              <w:t>5.0</w:t>
            </w:r>
          </w:p>
        </w:tc>
        <w:tc>
          <w:tcPr>
            <w:tcW w:w="443" w:type="pct"/>
            <w:tcBorders>
              <w:top w:val="single" w:sz="4" w:space="0" w:color="auto"/>
              <w:bottom w:val="single" w:sz="4" w:space="0" w:color="auto"/>
            </w:tcBorders>
          </w:tcPr>
          <w:p w:rsidR="006E43BB" w:rsidRDefault="006E43BB" w:rsidP="0051703E">
            <w:pPr>
              <w:spacing w:before="40" w:after="40"/>
              <w:jc w:val="right"/>
              <w:rPr>
                <w:rFonts w:ascii="Calibri" w:eastAsia="Calibri" w:hAnsi="Calibri" w:cs="Times New Roman"/>
                <w:sz w:val="20"/>
                <w:szCs w:val="20"/>
              </w:rPr>
            </w:pPr>
          </w:p>
        </w:tc>
      </w:tr>
      <w:tr w:rsidR="0051703E" w:rsidRPr="00732D02" w:rsidTr="00E32ADF">
        <w:tc>
          <w:tcPr>
            <w:tcW w:w="5000" w:type="pct"/>
            <w:gridSpan w:val="4"/>
            <w:tcBorders>
              <w:top w:val="single" w:sz="4" w:space="0" w:color="auto"/>
              <w:bottom w:val="single" w:sz="4" w:space="0" w:color="auto"/>
            </w:tcBorders>
          </w:tcPr>
          <w:p w:rsidR="0051703E" w:rsidRPr="002D099D" w:rsidRDefault="0051703E" w:rsidP="00E32ADF">
            <w:pPr>
              <w:spacing w:before="40" w:after="40"/>
              <w:rPr>
                <w:rFonts w:ascii="Calibri" w:eastAsia="Calibri" w:hAnsi="Calibri" w:cs="Times New Roman"/>
                <w:b/>
                <w:sz w:val="20"/>
                <w:szCs w:val="20"/>
              </w:rPr>
            </w:pPr>
            <w:r w:rsidRPr="002D099D">
              <w:rPr>
                <w:rFonts w:ascii="Calibri" w:eastAsia="Calibri" w:hAnsi="Calibri" w:cs="Times New Roman"/>
                <w:b/>
                <w:sz w:val="20"/>
                <w:szCs w:val="20"/>
              </w:rPr>
              <w:t>ENVIRONMENT</w:t>
            </w:r>
          </w:p>
        </w:tc>
      </w:tr>
      <w:tr w:rsidR="0051703E" w:rsidRPr="00732D02" w:rsidTr="00E32ADF">
        <w:tc>
          <w:tcPr>
            <w:tcW w:w="1442" w:type="pct"/>
            <w:tcBorders>
              <w:top w:val="single" w:sz="4" w:space="0" w:color="auto"/>
              <w:bottom w:val="single" w:sz="4" w:space="0" w:color="auto"/>
            </w:tcBorders>
          </w:tcPr>
          <w:p w:rsidR="0051703E" w:rsidRDefault="006E43BB" w:rsidP="00E32ADF">
            <w:pPr>
              <w:spacing w:before="40" w:after="40"/>
              <w:rPr>
                <w:rFonts w:ascii="Calibri" w:eastAsia="Calibri" w:hAnsi="Calibri" w:cs="Times New Roman"/>
                <w:sz w:val="20"/>
                <w:szCs w:val="20"/>
              </w:rPr>
            </w:pPr>
            <w:r>
              <w:rPr>
                <w:rFonts w:ascii="Calibri" w:eastAsia="Calibri" w:hAnsi="Calibri" w:cs="Times New Roman"/>
                <w:sz w:val="20"/>
                <w:szCs w:val="20"/>
              </w:rPr>
              <w:t>National fire danger rating system</w:t>
            </w:r>
          </w:p>
        </w:tc>
        <w:tc>
          <w:tcPr>
            <w:tcW w:w="2647" w:type="pct"/>
            <w:tcBorders>
              <w:top w:val="single" w:sz="4" w:space="0" w:color="auto"/>
              <w:bottom w:val="single" w:sz="4" w:space="0" w:color="auto"/>
            </w:tcBorders>
          </w:tcPr>
          <w:p w:rsidR="0051703E" w:rsidRDefault="00A91350" w:rsidP="0075110B">
            <w:pPr>
              <w:spacing w:before="40" w:after="40"/>
              <w:rPr>
                <w:rFonts w:ascii="Calibri" w:eastAsia="Calibri" w:hAnsi="Calibri" w:cs="Times New Roman"/>
                <w:sz w:val="20"/>
                <w:szCs w:val="20"/>
              </w:rPr>
            </w:pPr>
            <w:r w:rsidRPr="00A91350">
              <w:rPr>
                <w:rFonts w:ascii="Calibri" w:eastAsia="Calibri" w:hAnsi="Calibri" w:cs="Times New Roman"/>
                <w:sz w:val="20"/>
                <w:szCs w:val="20"/>
              </w:rPr>
              <w:t xml:space="preserve">The Government will provide $0.7 million over two years from </w:t>
            </w:r>
            <w:r w:rsidR="0075110B">
              <w:rPr>
                <w:rFonts w:ascii="Calibri" w:eastAsia="Calibri" w:hAnsi="Calibri" w:cs="Times New Roman"/>
                <w:sz w:val="20"/>
                <w:szCs w:val="20"/>
              </w:rPr>
              <w:t>2017-18</w:t>
            </w:r>
            <w:r w:rsidRPr="00A91350">
              <w:rPr>
                <w:rFonts w:ascii="Calibri" w:eastAsia="Calibri" w:hAnsi="Calibri" w:cs="Times New Roman"/>
                <w:sz w:val="20"/>
                <w:szCs w:val="20"/>
              </w:rPr>
              <w:t xml:space="preserve"> to the New South Wales and South Australian Governments to develop a National Fire Danger Rating System (</w:t>
            </w:r>
            <w:proofErr w:type="spellStart"/>
            <w:r w:rsidRPr="00A91350">
              <w:rPr>
                <w:rFonts w:ascii="Calibri" w:eastAsia="Calibri" w:hAnsi="Calibri" w:cs="Times New Roman"/>
                <w:sz w:val="20"/>
                <w:szCs w:val="20"/>
              </w:rPr>
              <w:t>NFDRS</w:t>
            </w:r>
            <w:proofErr w:type="spellEnd"/>
            <w:r w:rsidRPr="00A91350">
              <w:rPr>
                <w:rFonts w:ascii="Calibri" w:eastAsia="Calibri" w:hAnsi="Calibri" w:cs="Times New Roman"/>
                <w:sz w:val="20"/>
                <w:szCs w:val="20"/>
              </w:rPr>
              <w:t xml:space="preserve">). The </w:t>
            </w:r>
            <w:proofErr w:type="spellStart"/>
            <w:r w:rsidRPr="00A91350">
              <w:rPr>
                <w:rFonts w:ascii="Calibri" w:eastAsia="Calibri" w:hAnsi="Calibri" w:cs="Times New Roman"/>
                <w:sz w:val="20"/>
                <w:szCs w:val="20"/>
              </w:rPr>
              <w:t>NFDRS</w:t>
            </w:r>
            <w:proofErr w:type="spellEnd"/>
            <w:r w:rsidRPr="00A91350">
              <w:rPr>
                <w:rFonts w:ascii="Calibri" w:eastAsia="Calibri" w:hAnsi="Calibri" w:cs="Times New Roman"/>
                <w:sz w:val="20"/>
                <w:szCs w:val="20"/>
              </w:rPr>
              <w:t xml:space="preserve"> will deliver nationally consistent fire danger ratings that use the best and latest available modelling and fire science. The funding is to develop the prototype of the </w:t>
            </w:r>
            <w:proofErr w:type="spellStart"/>
            <w:r w:rsidRPr="00A91350">
              <w:rPr>
                <w:rFonts w:ascii="Calibri" w:eastAsia="Calibri" w:hAnsi="Calibri" w:cs="Times New Roman"/>
                <w:sz w:val="20"/>
                <w:szCs w:val="20"/>
              </w:rPr>
              <w:t>NFDRS</w:t>
            </w:r>
            <w:proofErr w:type="spellEnd"/>
            <w:r w:rsidRPr="00A91350">
              <w:rPr>
                <w:rFonts w:ascii="Calibri" w:eastAsia="Calibri" w:hAnsi="Calibri" w:cs="Times New Roman"/>
                <w:sz w:val="20"/>
                <w:szCs w:val="20"/>
              </w:rPr>
              <w:t xml:space="preserve"> and to conduct social research regarding communicating fire danger information to the public.</w:t>
            </w:r>
          </w:p>
        </w:tc>
        <w:tc>
          <w:tcPr>
            <w:tcW w:w="468" w:type="pct"/>
            <w:tcBorders>
              <w:top w:val="single" w:sz="4" w:space="0" w:color="auto"/>
              <w:bottom w:val="single" w:sz="4" w:space="0" w:color="auto"/>
            </w:tcBorders>
          </w:tcPr>
          <w:p w:rsidR="0051703E" w:rsidRDefault="006E43BB"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0.5</w:t>
            </w:r>
          </w:p>
        </w:tc>
        <w:tc>
          <w:tcPr>
            <w:tcW w:w="443" w:type="pct"/>
            <w:tcBorders>
              <w:top w:val="single" w:sz="4" w:space="0" w:color="auto"/>
              <w:bottom w:val="single" w:sz="4" w:space="0" w:color="auto"/>
            </w:tcBorders>
          </w:tcPr>
          <w:p w:rsidR="0051703E" w:rsidRDefault="0051703E" w:rsidP="00E32ADF">
            <w:pPr>
              <w:spacing w:before="40" w:after="40"/>
              <w:jc w:val="right"/>
              <w:rPr>
                <w:rFonts w:ascii="Calibri" w:eastAsia="Calibri" w:hAnsi="Calibri" w:cs="Times New Roman"/>
                <w:sz w:val="20"/>
                <w:szCs w:val="20"/>
              </w:rPr>
            </w:pPr>
          </w:p>
        </w:tc>
      </w:tr>
    </w:tbl>
    <w:p w:rsidR="00A91350" w:rsidRDefault="00A91350"/>
    <w:p w:rsidR="00A91350" w:rsidRDefault="00A91350"/>
    <w:p w:rsidR="00A91350" w:rsidRDefault="00A91350"/>
    <w:p w:rsidR="00A91350" w:rsidRDefault="00A91350" w:rsidP="00A91350">
      <w:pPr>
        <w:keepNext/>
        <w:keepLines/>
        <w:tabs>
          <w:tab w:val="clear" w:pos="567"/>
          <w:tab w:val="left" w:pos="1420"/>
        </w:tabs>
        <w:spacing w:before="240" w:after="120" w:line="240" w:lineRule="auto"/>
        <w:ind w:left="1418" w:hanging="1418"/>
        <w:rPr>
          <w:rFonts w:ascii="Calibri" w:eastAsia="Calibri" w:hAnsi="Calibri" w:cs="Times New Roman"/>
          <w:b/>
          <w:i/>
          <w:sz w:val="22"/>
          <w:szCs w:val="22"/>
        </w:rPr>
      </w:pPr>
      <w:r w:rsidRPr="00F369A6">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673600" behindDoc="0" locked="0" layoutInCell="1" allowOverlap="1" wp14:anchorId="0243A516" wp14:editId="7820E513">
                <wp:simplePos x="0" y="0"/>
                <wp:positionH relativeFrom="column">
                  <wp:posOffset>-631825</wp:posOffset>
                </wp:positionH>
                <wp:positionV relativeFrom="paragraph">
                  <wp:posOffset>187960</wp:posOffset>
                </wp:positionV>
                <wp:extent cx="430530" cy="5648325"/>
                <wp:effectExtent l="0" t="0" r="762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64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AA" w:rsidRPr="004C6DAD" w:rsidRDefault="004E56AA" w:rsidP="00A9135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9.75pt;margin-top:14.8pt;width:33.9pt;height:4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" stroked="f">
                <v:textbox style="layout-flow:vertical">
                  <w:txbxContent>
                    <w:p w:rsidR="004E56AA" w:rsidRPr="004C6DAD" w:rsidRDefault="004E56AA" w:rsidP="00A9135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t>37</w:t>
                      </w:r>
                    </w:p>
                  </w:txbxContent>
                </v:textbox>
              </v:shape>
            </w:pict>
          </mc:Fallback>
        </mc:AlternateContent>
      </w:r>
      <w:r w:rsidRPr="00F369A6">
        <w:rPr>
          <w:rFonts w:ascii="Calibri" w:eastAsia="Calibri" w:hAnsi="Calibri" w:cs="Times New Roman"/>
          <w:b/>
          <w:sz w:val="22"/>
          <w:szCs w:val="22"/>
        </w:rPr>
        <w:t>Table A-</w:t>
      </w:r>
      <w:r>
        <w:rPr>
          <w:rFonts w:ascii="Calibri" w:eastAsia="Calibri" w:hAnsi="Calibri" w:cs="Times New Roman"/>
          <w:b/>
          <w:sz w:val="22"/>
          <w:szCs w:val="22"/>
        </w:rPr>
        <w:t>2</w:t>
      </w:r>
      <w:r w:rsidRPr="00F369A6">
        <w:rPr>
          <w:rFonts w:ascii="Calibri" w:eastAsia="Calibri" w:hAnsi="Calibri" w:cs="Times New Roman"/>
          <w:b/>
          <w:sz w:val="22"/>
          <w:szCs w:val="22"/>
        </w:rPr>
        <w:tab/>
        <w:t>Commonwealth payments commenc</w:t>
      </w:r>
      <w:r>
        <w:rPr>
          <w:rFonts w:ascii="Calibri" w:eastAsia="Calibri" w:hAnsi="Calibri" w:cs="Times New Roman"/>
          <w:b/>
          <w:sz w:val="22"/>
          <w:szCs w:val="22"/>
        </w:rPr>
        <w:t xml:space="preserve">ing in 2017-18 or 2018-19, </w:t>
      </w:r>
      <w:r w:rsidRPr="0072187F">
        <w:rPr>
          <w:rFonts w:ascii="Calibri" w:eastAsia="Calibri" w:hAnsi="Calibri" w:cs="Times New Roman"/>
          <w:b/>
          <w:i/>
          <w:sz w:val="22"/>
          <w:szCs w:val="22"/>
        </w:rPr>
        <w:t>Federal</w:t>
      </w:r>
      <w:r w:rsidRPr="00F369A6">
        <w:rPr>
          <w:rFonts w:ascii="Calibri" w:eastAsia="Calibri" w:hAnsi="Calibri" w:cs="Times New Roman"/>
          <w:b/>
          <w:i/>
          <w:sz w:val="22"/>
          <w:szCs w:val="22"/>
        </w:rPr>
        <w:t xml:space="preserve"> Financial Rela</w:t>
      </w:r>
      <w:r>
        <w:rPr>
          <w:rFonts w:ascii="Calibri" w:eastAsia="Calibri" w:hAnsi="Calibri" w:cs="Times New Roman"/>
          <w:b/>
          <w:i/>
          <w:sz w:val="22"/>
          <w:szCs w:val="22"/>
        </w:rPr>
        <w:t>tions, Budget Paper No. 3, 2017-18</w:t>
      </w:r>
      <w:r w:rsidR="0072187F">
        <w:rPr>
          <w:rFonts w:ascii="Calibri" w:eastAsia="Calibri" w:hAnsi="Calibri" w:cs="Times New Roman"/>
          <w:b/>
          <w:i/>
          <w:sz w:val="22"/>
          <w:szCs w:val="22"/>
        </w:rPr>
        <w:t xml:space="preserve"> </w:t>
      </w:r>
      <w:r w:rsidR="0072187F" w:rsidRPr="00E46B1C">
        <w:rPr>
          <w:rFonts w:ascii="Calibri" w:eastAsia="Calibri" w:hAnsi="Calibri" w:cs="Times New Roman"/>
          <w:b/>
          <w:sz w:val="22"/>
          <w:szCs w:val="22"/>
        </w:rPr>
        <w:t>(Continued)</w:t>
      </w:r>
    </w:p>
    <w:tbl>
      <w:tblPr>
        <w:tblStyle w:val="TableGrid1"/>
        <w:tblW w:w="5001" w:type="pct"/>
        <w:tblLook w:val="04A0" w:firstRow="1" w:lastRow="0" w:firstColumn="1" w:lastColumn="0" w:noHBand="0" w:noVBand="1"/>
        <w:tblCaption w:val="Table A2 Commonwealth payments commencing in 2016-17 or 2017-18"/>
        <w:tblDescription w:val="Commonwealth payments commencing in 2016-17 or 2017-18"/>
      </w:tblPr>
      <w:tblGrid>
        <w:gridCol w:w="3938"/>
        <w:gridCol w:w="7229"/>
        <w:gridCol w:w="1278"/>
        <w:gridCol w:w="1210"/>
      </w:tblGrid>
      <w:tr w:rsidR="00A91350" w:rsidRPr="00732D02" w:rsidTr="00E32ADF">
        <w:tc>
          <w:tcPr>
            <w:tcW w:w="1442" w:type="pct"/>
          </w:tcPr>
          <w:p w:rsidR="00A91350" w:rsidRPr="00533864" w:rsidRDefault="00A91350"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Commonwealth payment</w:t>
            </w:r>
          </w:p>
        </w:tc>
        <w:tc>
          <w:tcPr>
            <w:tcW w:w="2647" w:type="pct"/>
          </w:tcPr>
          <w:p w:rsidR="00A91350" w:rsidRPr="00533864" w:rsidRDefault="00A91350" w:rsidP="00E32ADF">
            <w:pPr>
              <w:spacing w:before="40" w:after="40"/>
              <w:rPr>
                <w:rFonts w:ascii="Calibri" w:eastAsia="Calibri" w:hAnsi="Calibri" w:cs="Times New Roman"/>
                <w:sz w:val="20"/>
                <w:szCs w:val="20"/>
              </w:rPr>
            </w:pPr>
            <w:r w:rsidRPr="00533864">
              <w:rPr>
                <w:rFonts w:ascii="Calibri" w:eastAsia="Calibri" w:hAnsi="Calibri" w:cs="Times New Roman"/>
                <w:sz w:val="20"/>
                <w:szCs w:val="20"/>
              </w:rPr>
              <w:t>Description</w:t>
            </w:r>
          </w:p>
        </w:tc>
        <w:tc>
          <w:tcPr>
            <w:tcW w:w="468" w:type="pct"/>
          </w:tcPr>
          <w:p w:rsidR="00A91350" w:rsidRPr="00533864" w:rsidRDefault="00A91350" w:rsidP="00E32ADF">
            <w:pPr>
              <w:spacing w:before="40" w:after="40"/>
              <w:jc w:val="center"/>
              <w:rPr>
                <w:rFonts w:ascii="Calibri" w:eastAsia="Calibri" w:hAnsi="Calibri" w:cs="Times New Roman"/>
                <w:sz w:val="20"/>
                <w:szCs w:val="20"/>
              </w:rPr>
            </w:pPr>
            <w:r>
              <w:rPr>
                <w:rFonts w:ascii="Calibri" w:eastAsia="Calibri" w:hAnsi="Calibri" w:cs="Times New Roman"/>
                <w:sz w:val="20"/>
                <w:szCs w:val="20"/>
              </w:rPr>
              <w:t xml:space="preserve">New in 2017-18 </w:t>
            </w:r>
            <w:r w:rsidRPr="00533864">
              <w:rPr>
                <w:rFonts w:ascii="Calibri" w:eastAsia="Calibri" w:hAnsi="Calibri" w:cs="Times New Roman"/>
                <w:sz w:val="20"/>
                <w:szCs w:val="20"/>
              </w:rPr>
              <w:t>$m</w:t>
            </w:r>
          </w:p>
        </w:tc>
        <w:tc>
          <w:tcPr>
            <w:tcW w:w="443" w:type="pct"/>
          </w:tcPr>
          <w:p w:rsidR="00A91350" w:rsidRPr="00533864" w:rsidRDefault="00A91350" w:rsidP="00E32ADF">
            <w:pPr>
              <w:spacing w:before="40" w:after="40"/>
              <w:ind w:left="-30"/>
              <w:jc w:val="center"/>
              <w:rPr>
                <w:rFonts w:ascii="Calibri" w:eastAsia="Calibri" w:hAnsi="Calibri" w:cs="Times New Roman"/>
                <w:sz w:val="20"/>
                <w:szCs w:val="20"/>
              </w:rPr>
            </w:pPr>
            <w:r>
              <w:rPr>
                <w:rFonts w:ascii="Calibri" w:eastAsia="Calibri" w:hAnsi="Calibri" w:cs="Times New Roman"/>
                <w:sz w:val="20"/>
                <w:szCs w:val="20"/>
              </w:rPr>
              <w:t>New in 2018-19 $m</w:t>
            </w:r>
          </w:p>
        </w:tc>
      </w:tr>
      <w:tr w:rsidR="00A91350" w:rsidRPr="00732D02" w:rsidTr="00E32ADF">
        <w:tc>
          <w:tcPr>
            <w:tcW w:w="5000" w:type="pct"/>
            <w:gridSpan w:val="4"/>
            <w:tcBorders>
              <w:top w:val="single" w:sz="4" w:space="0" w:color="auto"/>
              <w:bottom w:val="single" w:sz="4" w:space="0" w:color="auto"/>
            </w:tcBorders>
          </w:tcPr>
          <w:p w:rsidR="00A91350" w:rsidRPr="00D107A8" w:rsidRDefault="00A91350" w:rsidP="00E32ADF">
            <w:pPr>
              <w:spacing w:before="40" w:after="40"/>
              <w:rPr>
                <w:rFonts w:ascii="Calibri" w:eastAsia="Calibri" w:hAnsi="Calibri" w:cs="Times New Roman"/>
                <w:b/>
                <w:sz w:val="20"/>
                <w:szCs w:val="20"/>
              </w:rPr>
            </w:pPr>
            <w:r w:rsidRPr="00D107A8">
              <w:rPr>
                <w:rFonts w:ascii="Calibri" w:eastAsia="Calibri" w:hAnsi="Calibri" w:cs="Times New Roman"/>
                <w:b/>
                <w:sz w:val="20"/>
                <w:szCs w:val="20"/>
              </w:rPr>
              <w:t>OTHER</w:t>
            </w:r>
          </w:p>
        </w:tc>
      </w:tr>
      <w:tr w:rsidR="0073000E" w:rsidRPr="00732D02" w:rsidTr="00E32ADF">
        <w:tc>
          <w:tcPr>
            <w:tcW w:w="1442" w:type="pct"/>
            <w:tcBorders>
              <w:top w:val="single" w:sz="4" w:space="0" w:color="auto"/>
              <w:bottom w:val="single" w:sz="4" w:space="0" w:color="auto"/>
            </w:tcBorders>
          </w:tcPr>
          <w:p w:rsidR="0073000E" w:rsidRPr="0034549A" w:rsidRDefault="0073000E" w:rsidP="00E32ADF">
            <w:pPr>
              <w:spacing w:before="40" w:after="40"/>
              <w:rPr>
                <w:rFonts w:ascii="Calibri" w:eastAsia="Calibri" w:hAnsi="Calibri" w:cs="Times New Roman"/>
                <w:sz w:val="20"/>
                <w:szCs w:val="20"/>
                <w:highlight w:val="yellow"/>
              </w:rPr>
            </w:pPr>
            <w:r w:rsidRPr="0020045B">
              <w:rPr>
                <w:rFonts w:ascii="Calibri" w:eastAsia="Calibri" w:hAnsi="Calibri" w:cs="Times New Roman"/>
                <w:sz w:val="20"/>
                <w:szCs w:val="20"/>
              </w:rPr>
              <w:t>Financial assistance for New South Wales Police</w:t>
            </w:r>
          </w:p>
        </w:tc>
        <w:tc>
          <w:tcPr>
            <w:tcW w:w="2647" w:type="pct"/>
            <w:tcBorders>
              <w:top w:val="single" w:sz="4" w:space="0" w:color="auto"/>
              <w:bottom w:val="single" w:sz="4" w:space="0" w:color="auto"/>
            </w:tcBorders>
          </w:tcPr>
          <w:p w:rsidR="0073000E" w:rsidRPr="000A2EF4" w:rsidRDefault="0073000E" w:rsidP="0073000E">
            <w:pPr>
              <w:spacing w:before="40" w:after="40"/>
              <w:rPr>
                <w:rFonts w:ascii="Calibri" w:eastAsia="Calibri" w:hAnsi="Calibri" w:cs="Times New Roman"/>
                <w:sz w:val="20"/>
                <w:szCs w:val="20"/>
              </w:rPr>
            </w:pPr>
            <w:r>
              <w:rPr>
                <w:rFonts w:ascii="Calibri" w:eastAsia="Calibri" w:hAnsi="Calibri" w:cs="Times New Roman"/>
                <w:sz w:val="20"/>
                <w:szCs w:val="20"/>
              </w:rPr>
              <w:t xml:space="preserve">The Commonwealth will provide four years of transitional funding for the equal sharing of the costs of reimbursing New South Wales police officers who incur an additional tax liability from making voluntary superannuation contribution that exceed the concessional contributions cap. The funding will also contribute to the cost-sharing of any fringe benefit tax </w:t>
            </w:r>
            <w:proofErr w:type="gramStart"/>
            <w:r>
              <w:rPr>
                <w:rFonts w:ascii="Calibri" w:eastAsia="Calibri" w:hAnsi="Calibri" w:cs="Times New Roman"/>
                <w:sz w:val="20"/>
                <w:szCs w:val="20"/>
              </w:rPr>
              <w:t>that results</w:t>
            </w:r>
            <w:proofErr w:type="gramEnd"/>
            <w:r>
              <w:rPr>
                <w:rFonts w:ascii="Calibri" w:eastAsia="Calibri" w:hAnsi="Calibri" w:cs="Times New Roman"/>
                <w:sz w:val="20"/>
                <w:szCs w:val="20"/>
              </w:rPr>
              <w:t xml:space="preserve"> from reimbursing police officers in these situations.</w:t>
            </w:r>
          </w:p>
        </w:tc>
        <w:tc>
          <w:tcPr>
            <w:tcW w:w="468" w:type="pct"/>
            <w:tcBorders>
              <w:top w:val="single" w:sz="4" w:space="0" w:color="auto"/>
              <w:bottom w:val="single" w:sz="4" w:space="0" w:color="auto"/>
            </w:tcBorders>
          </w:tcPr>
          <w:p w:rsidR="0073000E" w:rsidRDefault="0073000E"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0.1</w:t>
            </w:r>
          </w:p>
        </w:tc>
        <w:tc>
          <w:tcPr>
            <w:tcW w:w="443" w:type="pct"/>
            <w:tcBorders>
              <w:top w:val="single" w:sz="4" w:space="0" w:color="auto"/>
              <w:bottom w:val="single" w:sz="4" w:space="0" w:color="auto"/>
            </w:tcBorders>
          </w:tcPr>
          <w:p w:rsidR="0073000E" w:rsidRDefault="0073000E" w:rsidP="00E32ADF">
            <w:pPr>
              <w:spacing w:before="40" w:after="40"/>
              <w:jc w:val="right"/>
              <w:rPr>
                <w:rFonts w:ascii="Calibri" w:eastAsia="Calibri" w:hAnsi="Calibri" w:cs="Times New Roman"/>
                <w:sz w:val="20"/>
                <w:szCs w:val="20"/>
              </w:rPr>
            </w:pPr>
          </w:p>
        </w:tc>
      </w:tr>
      <w:tr w:rsidR="0051703E" w:rsidRPr="00732D02" w:rsidTr="00E32ADF">
        <w:tc>
          <w:tcPr>
            <w:tcW w:w="1442" w:type="pct"/>
            <w:tcBorders>
              <w:top w:val="single" w:sz="4" w:space="0" w:color="auto"/>
              <w:bottom w:val="single" w:sz="4" w:space="0" w:color="auto"/>
            </w:tcBorders>
          </w:tcPr>
          <w:p w:rsidR="0051703E" w:rsidRPr="005067C9" w:rsidRDefault="006E43BB" w:rsidP="00E32ADF">
            <w:pPr>
              <w:spacing w:before="40" w:after="40"/>
              <w:rPr>
                <w:rFonts w:ascii="Calibri" w:eastAsia="Calibri" w:hAnsi="Calibri" w:cs="Times New Roman"/>
                <w:sz w:val="20"/>
                <w:szCs w:val="20"/>
              </w:rPr>
            </w:pPr>
            <w:r>
              <w:rPr>
                <w:rFonts w:ascii="Calibri" w:eastAsia="Calibri" w:hAnsi="Calibri" w:cs="Times New Roman"/>
                <w:sz w:val="20"/>
                <w:szCs w:val="20"/>
              </w:rPr>
              <w:t>Regulatory reform</w:t>
            </w:r>
          </w:p>
        </w:tc>
        <w:tc>
          <w:tcPr>
            <w:tcW w:w="2647" w:type="pct"/>
            <w:tcBorders>
              <w:top w:val="single" w:sz="4" w:space="0" w:color="auto"/>
              <w:bottom w:val="single" w:sz="4" w:space="0" w:color="auto"/>
            </w:tcBorders>
          </w:tcPr>
          <w:p w:rsidR="0051703E" w:rsidRDefault="000A2EF4" w:rsidP="007A2EB2">
            <w:pPr>
              <w:spacing w:before="40" w:after="40"/>
              <w:rPr>
                <w:rFonts w:ascii="Calibri" w:eastAsia="Calibri" w:hAnsi="Calibri" w:cs="Times New Roman"/>
                <w:sz w:val="20"/>
                <w:szCs w:val="20"/>
              </w:rPr>
            </w:pPr>
            <w:r w:rsidRPr="000A2EF4">
              <w:rPr>
                <w:rFonts w:ascii="Calibri" w:eastAsia="Calibri" w:hAnsi="Calibri" w:cs="Times New Roman"/>
                <w:sz w:val="20"/>
                <w:szCs w:val="20"/>
              </w:rPr>
              <w:t>The Commonwealth will provide funding to deliver reforms that drive Australia’s economic performance, including reforms that reduce the regulatory burden on small businesses and competition</w:t>
            </w:r>
            <w:r>
              <w:rPr>
                <w:rFonts w:ascii="Calibri" w:eastAsia="Calibri" w:hAnsi="Calibri" w:cs="Times New Roman"/>
                <w:sz w:val="20"/>
                <w:szCs w:val="20"/>
              </w:rPr>
              <w:t xml:space="preserve">. </w:t>
            </w:r>
            <w:r w:rsidRPr="000A2EF4">
              <w:rPr>
                <w:rFonts w:ascii="Calibri" w:eastAsia="Calibri" w:hAnsi="Calibri" w:cs="Times New Roman"/>
                <w:sz w:val="20"/>
                <w:szCs w:val="20"/>
              </w:rPr>
              <w:t>Reforms delivered through the</w:t>
            </w:r>
            <w:r>
              <w:t xml:space="preserve"> </w:t>
            </w:r>
            <w:r w:rsidRPr="000A2EF4">
              <w:rPr>
                <w:rFonts w:ascii="Calibri" w:eastAsia="Calibri" w:hAnsi="Calibri" w:cs="Times New Roman"/>
                <w:sz w:val="20"/>
                <w:szCs w:val="20"/>
              </w:rPr>
              <w:t>National Partnership on Regulatory Reform</w:t>
            </w:r>
            <w:r w:rsidR="00B83643">
              <w:rPr>
                <w:rFonts w:ascii="Calibri" w:eastAsia="Calibri" w:hAnsi="Calibri" w:cs="Times New Roman"/>
                <w:sz w:val="20"/>
                <w:szCs w:val="20"/>
              </w:rPr>
              <w:t xml:space="preserve"> </w:t>
            </w:r>
            <w:r w:rsidRPr="000A2EF4">
              <w:rPr>
                <w:rFonts w:ascii="Calibri" w:eastAsia="Calibri" w:hAnsi="Calibri" w:cs="Times New Roman"/>
                <w:sz w:val="20"/>
                <w:szCs w:val="20"/>
              </w:rPr>
              <w:t>will be based on bilateral agreements to be negotiated with signatory States and Territories. As part of this funding, the National Competition Council will receive additional funding of $12.9 million over six years from 2017-18 to assess the adequacy of State and Territory reform proposals and their achievement of reform commitments. This measure builds on the Government’s response to the Harper Competition Policy Review.</w:t>
            </w:r>
          </w:p>
        </w:tc>
        <w:tc>
          <w:tcPr>
            <w:tcW w:w="468" w:type="pct"/>
            <w:tcBorders>
              <w:top w:val="single" w:sz="4" w:space="0" w:color="auto"/>
              <w:bottom w:val="single" w:sz="4" w:space="0" w:color="auto"/>
            </w:tcBorders>
          </w:tcPr>
          <w:p w:rsidR="0051703E" w:rsidRDefault="006E43BB"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125.0</w:t>
            </w:r>
          </w:p>
        </w:tc>
        <w:tc>
          <w:tcPr>
            <w:tcW w:w="443" w:type="pct"/>
            <w:tcBorders>
              <w:top w:val="single" w:sz="4" w:space="0" w:color="auto"/>
              <w:bottom w:val="single" w:sz="4" w:space="0" w:color="auto"/>
            </w:tcBorders>
          </w:tcPr>
          <w:p w:rsidR="0051703E" w:rsidRDefault="006E43BB" w:rsidP="00E32ADF">
            <w:pPr>
              <w:spacing w:before="40" w:after="40"/>
              <w:jc w:val="right"/>
              <w:rPr>
                <w:rFonts w:ascii="Calibri" w:eastAsia="Calibri" w:hAnsi="Calibri" w:cs="Times New Roman"/>
                <w:sz w:val="20"/>
                <w:szCs w:val="20"/>
              </w:rPr>
            </w:pPr>
            <w:r>
              <w:rPr>
                <w:rFonts w:ascii="Calibri" w:eastAsia="Calibri" w:hAnsi="Calibri" w:cs="Times New Roman"/>
                <w:sz w:val="20"/>
                <w:szCs w:val="20"/>
              </w:rPr>
              <w:t xml:space="preserve"> </w:t>
            </w:r>
          </w:p>
        </w:tc>
      </w:tr>
    </w:tbl>
    <w:p w:rsidR="0051703E" w:rsidRDefault="0051703E" w:rsidP="0051703E">
      <w:pPr>
        <w:tabs>
          <w:tab w:val="clear" w:pos="567"/>
        </w:tabs>
      </w:pPr>
    </w:p>
    <w:p w:rsidR="000F6176" w:rsidRPr="000F6176" w:rsidRDefault="000F6176" w:rsidP="00EE4FBC">
      <w:pPr>
        <w:pStyle w:val="CGCNumberedPara"/>
        <w:numPr>
          <w:ilvl w:val="0"/>
          <w:numId w:val="0"/>
        </w:numPr>
      </w:pPr>
    </w:p>
    <w:sectPr w:rsidR="000F6176" w:rsidRPr="000F6176" w:rsidSect="00EE4FBC">
      <w:footerReference w:type="default" r:id="rId28"/>
      <w:footerReference w:type="first" r:id="rId29"/>
      <w:pgSz w:w="16838" w:h="11906" w:orient="landscape" w:code="9"/>
      <w:pgMar w:top="1474" w:right="1701" w:bottom="147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AA" w:rsidRDefault="004E56AA" w:rsidP="00410163">
      <w:pPr>
        <w:spacing w:after="0" w:line="240" w:lineRule="auto"/>
      </w:pPr>
      <w:r>
        <w:separator/>
      </w:r>
    </w:p>
  </w:endnote>
  <w:endnote w:type="continuationSeparator" w:id="0">
    <w:p w:rsidR="004E56AA" w:rsidRDefault="004E56AA"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Pr="00875C0F" w:rsidRDefault="004E56AA" w:rsidP="00E32AD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Content>
      <w:p w:rsidR="004E56AA" w:rsidRDefault="004E56AA" w:rsidP="00BB013D">
        <w:pPr>
          <w:pStyle w:val="Footer"/>
        </w:pPr>
      </w:p>
      <w:p w:rsidR="004E56AA" w:rsidRPr="00875C0F" w:rsidRDefault="004E56AA" w:rsidP="00E32ADF">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80780"/>
      <w:docPartObj>
        <w:docPartGallery w:val="Page Numbers (Bottom of Page)"/>
        <w:docPartUnique/>
      </w:docPartObj>
    </w:sdtPr>
    <w:sdtContent>
      <w:p w:rsidR="004E56AA" w:rsidRPr="00875C0F" w:rsidRDefault="004E56AA" w:rsidP="00E32ADF">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86096635"/>
      <w:docPartObj>
        <w:docPartGallery w:val="Page Numbers (Bottom of Page)"/>
        <w:docPartUnique/>
      </w:docPartObj>
    </w:sdtPr>
    <w:sdtEndPr>
      <w:rPr>
        <w:b w:val="0"/>
      </w:rPr>
    </w:sdtEndPr>
    <w:sdtContent>
      <w:p w:rsidR="004E56AA" w:rsidRPr="00E60CDC" w:rsidRDefault="004E56AA" w:rsidP="00E32ADF">
        <w:pPr>
          <w:pStyle w:val="Footer"/>
          <w:jc w:val="right"/>
        </w:pPr>
        <w:r>
          <w:fldChar w:fldCharType="begin"/>
        </w:r>
        <w:r>
          <w:instrText xml:space="preserve"> PAGE  \* Arabic  \* MERGEFORMAT </w:instrText>
        </w:r>
        <w:r>
          <w:fldChar w:fldCharType="separate"/>
        </w:r>
        <w:r w:rsidR="00431011">
          <w:rPr>
            <w:noProof/>
          </w:rPr>
          <w:t>14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31976782"/>
      <w:docPartObj>
        <w:docPartGallery w:val="Page Numbers (Bottom of Page)"/>
        <w:docPartUnique/>
      </w:docPartObj>
    </w:sdtPr>
    <w:sdtEndPr>
      <w:rPr>
        <w:b w:val="0"/>
      </w:rPr>
    </w:sdtEndPr>
    <w:sdtContent>
      <w:p w:rsidR="004E56AA" w:rsidRPr="00705CE4" w:rsidRDefault="004E56AA" w:rsidP="00E32ADF">
        <w:pPr>
          <w:pStyle w:val="Footer"/>
          <w:jc w:val="right"/>
        </w:pPr>
        <w:r>
          <w:fldChar w:fldCharType="begin"/>
        </w:r>
        <w:r>
          <w:instrText xml:space="preserve"> PAGE  \* Arabic  \* MERGEFORMAT </w:instrText>
        </w:r>
        <w:r>
          <w:fldChar w:fldCharType="separate"/>
        </w:r>
        <w:r w:rsidR="00500132">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Pr="002931BA" w:rsidRDefault="004E56AA" w:rsidP="002931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Default="004E56AA" w:rsidP="00410163">
    <w:pPr>
      <w:pStyle w:val="Footer"/>
      <w:tabs>
        <w:tab w:val="clear"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AA" w:rsidRDefault="004E56AA" w:rsidP="00410163">
      <w:pPr>
        <w:spacing w:after="0" w:line="240" w:lineRule="auto"/>
      </w:pPr>
      <w:r>
        <w:separator/>
      </w:r>
    </w:p>
  </w:footnote>
  <w:footnote w:type="continuationSeparator" w:id="0">
    <w:p w:rsidR="004E56AA" w:rsidRDefault="004E56AA" w:rsidP="00410163">
      <w:pPr>
        <w:spacing w:after="0" w:line="240" w:lineRule="auto"/>
      </w:pPr>
      <w:r>
        <w:continuationSeparator/>
      </w:r>
    </w:p>
  </w:footnote>
  <w:footnote w:id="1">
    <w:p w:rsidR="004E56AA" w:rsidRDefault="004E56AA" w:rsidP="003C77EF">
      <w:pPr>
        <w:pStyle w:val="FootnoteText"/>
      </w:pPr>
      <w:r>
        <w:rPr>
          <w:rStyle w:val="FootnoteReference"/>
        </w:rPr>
        <w:footnoteRef/>
      </w:r>
      <w:r>
        <w:t xml:space="preserve"> </w:t>
      </w:r>
      <w:r>
        <w:tab/>
        <w:t>This assumes that the 2018 Update terms of reference contain a clause similar to 7(b) of the 2017 Update terms of reference.</w:t>
      </w:r>
    </w:p>
  </w:footnote>
  <w:footnote w:id="2">
    <w:p w:rsidR="004E56AA" w:rsidRDefault="004E56AA" w:rsidP="00C67CC4">
      <w:pPr>
        <w:pStyle w:val="FootnoteText"/>
      </w:pPr>
      <w:r>
        <w:rPr>
          <w:rStyle w:val="FootnoteReference"/>
        </w:rPr>
        <w:footnoteRef/>
      </w:r>
      <w:r>
        <w:t xml:space="preserve"> </w:t>
      </w:r>
      <w:r>
        <w:tab/>
        <w:t>‘Full scheme’ refers to when a State’s existing specialist disability clients who are eligible for the NDIS have all entered the Scheme.</w:t>
      </w:r>
    </w:p>
  </w:footnote>
  <w:footnote w:id="3">
    <w:p w:rsidR="004E56AA" w:rsidRDefault="004E56AA" w:rsidP="00C67CC4">
      <w:pPr>
        <w:pStyle w:val="FootnoteText"/>
      </w:pPr>
      <w:r>
        <w:rPr>
          <w:rStyle w:val="FootnoteReference"/>
        </w:rPr>
        <w:footnoteRef/>
      </w:r>
      <w:r>
        <w:t xml:space="preserve"> </w:t>
      </w:r>
      <w:r>
        <w:tab/>
      </w:r>
      <w:proofErr w:type="gramStart"/>
      <w:r>
        <w:t>Provided by the Department of Social Security (</w:t>
      </w:r>
      <w:proofErr w:type="spellStart"/>
      <w:r>
        <w:t>DSS</w:t>
      </w:r>
      <w:proofErr w:type="spellEnd"/>
      <w:r>
        <w:t>).</w:t>
      </w:r>
      <w:proofErr w:type="gramEnd"/>
    </w:p>
  </w:footnote>
  <w:footnote w:id="4">
    <w:p w:rsidR="004E56AA" w:rsidRDefault="004E56AA" w:rsidP="0039458B">
      <w:pPr>
        <w:pStyle w:val="FootnoteText"/>
      </w:pPr>
      <w:r>
        <w:rPr>
          <w:rStyle w:val="FootnoteReference"/>
        </w:rPr>
        <w:footnoteRef/>
      </w:r>
      <w:r>
        <w:t xml:space="preserve"> </w:t>
      </w:r>
      <w:r>
        <w:tab/>
        <w:t>All the hospitals were de</w:t>
      </w:r>
      <w:r>
        <w:noBreakHyphen/>
        <w:t>identified and only hospital codes were provided by IHPA.</w:t>
      </w:r>
    </w:p>
  </w:footnote>
  <w:footnote w:id="5">
    <w:p w:rsidR="004E56AA" w:rsidRDefault="004E56AA">
      <w:pPr>
        <w:pStyle w:val="FootnoteText"/>
      </w:pPr>
      <w:r>
        <w:rPr>
          <w:rStyle w:val="FootnoteReference"/>
        </w:rPr>
        <w:footnoteRef/>
      </w:r>
      <w:r>
        <w:t xml:space="preserve"> </w:t>
      </w:r>
      <w:r>
        <w:tab/>
        <w:t>None of the 163 hospitals reported to ES in 2014</w:t>
      </w:r>
      <w:r>
        <w:noBreakHyphen/>
        <w:t>15.</w:t>
      </w:r>
    </w:p>
  </w:footnote>
  <w:footnote w:id="6">
    <w:p w:rsidR="004E56AA" w:rsidRDefault="004E56AA">
      <w:pPr>
        <w:pStyle w:val="FootnoteText"/>
      </w:pPr>
      <w:r>
        <w:rPr>
          <w:rStyle w:val="FootnoteReference"/>
        </w:rPr>
        <w:footnoteRef/>
      </w:r>
      <w:r>
        <w:t xml:space="preserve"> </w:t>
      </w:r>
      <w:r>
        <w:tab/>
      </w:r>
      <w:r w:rsidRPr="0046768B">
        <w:t>Karen Andrews, 2</w:t>
      </w:r>
      <w:r w:rsidRPr="009342FF">
        <w:rPr>
          <w:vertAlign w:val="superscript"/>
        </w:rPr>
        <w:t>nd</w:t>
      </w:r>
      <w:r>
        <w:t xml:space="preserve"> </w:t>
      </w:r>
      <w:r w:rsidRPr="0046768B">
        <w:t>Reading of Australian Education Amendment Bill 2017, House of Representatives Hansard, 11 May 2017.</w:t>
      </w:r>
    </w:p>
  </w:footnote>
  <w:footnote w:id="7">
    <w:p w:rsidR="004E56AA" w:rsidRDefault="004E56AA" w:rsidP="009342FF">
      <w:pPr>
        <w:pStyle w:val="FootnoteText"/>
      </w:pPr>
      <w:r>
        <w:rPr>
          <w:rStyle w:val="FootnoteReference"/>
        </w:rPr>
        <w:footnoteRef/>
      </w:r>
      <w:r>
        <w:t xml:space="preserve"> </w:t>
      </w:r>
      <w:r>
        <w:tab/>
        <w:t>Depending upon the disabilities, the sum of the States’ unscaled expenses may on occasion total to less than the actual total expenses.</w:t>
      </w:r>
    </w:p>
  </w:footnote>
  <w:footnote w:id="8">
    <w:p w:rsidR="004E56AA" w:rsidRDefault="004E56AA" w:rsidP="002C2903">
      <w:pPr>
        <w:pStyle w:val="FootnoteText"/>
      </w:pPr>
      <w:r>
        <w:rPr>
          <w:rStyle w:val="FootnoteReference"/>
        </w:rPr>
        <w:footnoteRef/>
      </w:r>
      <w:r>
        <w:t xml:space="preserve"> </w:t>
      </w:r>
      <w:r>
        <w:tab/>
        <w:t xml:space="preserve">The change in State mining policies since the review was discussed in Staff Research Paper 2017-04-S </w:t>
      </w:r>
      <w:r w:rsidRPr="00C85C04">
        <w:rPr>
          <w:i/>
        </w:rPr>
        <w:t>State mining policies</w:t>
      </w:r>
      <w:r>
        <w:t>.</w:t>
      </w:r>
    </w:p>
  </w:footnote>
  <w:footnote w:id="9">
    <w:p w:rsidR="004E56AA" w:rsidRDefault="004E56AA" w:rsidP="002C2903">
      <w:pPr>
        <w:pStyle w:val="FootnoteText"/>
      </w:pPr>
      <w:r>
        <w:rPr>
          <w:rStyle w:val="FootnoteReference"/>
        </w:rPr>
        <w:footnoteRef/>
      </w:r>
      <w:r>
        <w:t xml:space="preserve"> </w:t>
      </w:r>
      <w:r>
        <w:tab/>
        <w:t xml:space="preserve">Commission </w:t>
      </w:r>
      <w:proofErr w:type="gramStart"/>
      <w:r>
        <w:t>staff do</w:t>
      </w:r>
      <w:proofErr w:type="gramEnd"/>
      <w:r>
        <w:t xml:space="preserve"> not propose recommending to the Commission that it review the treatment of all mineral bans in the 2018 Update. Some bans affect the exploitation of minerals in certain areas of a State. Recent examples include Western Australia’s ban on coal exploration near the Margaret River </w:t>
      </w:r>
      <w:proofErr w:type="gramStart"/>
      <w:r>
        <w:t>township</w:t>
      </w:r>
      <w:proofErr w:type="gramEnd"/>
      <w:r>
        <w:t xml:space="preserve"> or New South Wales’s purchase of a majority share in the exploration licence for Liverpool plains. These bans reduce, rather than eliminate, the level of mineral activity. The issue of State decisions in regards to revenue streams States choose not to pursue will be considered fully in the 2020 Review.</w:t>
      </w:r>
    </w:p>
  </w:footnote>
  <w:footnote w:id="10">
    <w:p w:rsidR="004E56AA" w:rsidRDefault="004E56AA" w:rsidP="002C2903">
      <w:pPr>
        <w:pStyle w:val="FootnoteText"/>
      </w:pPr>
      <w:r>
        <w:rPr>
          <w:rStyle w:val="FootnoteReference"/>
        </w:rPr>
        <w:footnoteRef/>
      </w:r>
      <w:r>
        <w:t xml:space="preserve"> </w:t>
      </w:r>
      <w:r>
        <w:tab/>
        <w:t>Under this approach, the Commission would ask States to provide their coal seam gas and uranium data separately. They would be included in a new Mining revenue component and assessed EPC.</w:t>
      </w:r>
    </w:p>
  </w:footnote>
  <w:footnote w:id="11">
    <w:p w:rsidR="004E56AA" w:rsidRDefault="004E56AA">
      <w:pPr>
        <w:pStyle w:val="FootnoteText"/>
      </w:pPr>
      <w:r>
        <w:rPr>
          <w:rStyle w:val="FootnoteReference"/>
        </w:rPr>
        <w:footnoteRef/>
      </w:r>
      <w:r>
        <w:t xml:space="preserve"> </w:t>
      </w:r>
      <w:r>
        <w:tab/>
        <w:t xml:space="preserve">A letter from the Treasurer to </w:t>
      </w:r>
      <w:proofErr w:type="spellStart"/>
      <w:r>
        <w:t>CGC</w:t>
      </w:r>
      <w:proofErr w:type="spellEnd"/>
      <w:r>
        <w:t xml:space="preserve"> dated 12 April 2017 asked the Commission exclude this payment from the calculation of relativities for the distribution of GST and a formal direction will be included in the 2018 Update Terms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Default="004E5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Default="004E56AA" w:rsidP="00E32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AA" w:rsidRDefault="004E5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3B16EDD"/>
    <w:multiLevelType w:val="hybridMultilevel"/>
    <w:tmpl w:val="802C791C"/>
    <w:lvl w:ilvl="0" w:tplc="25DAA9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68742C1"/>
    <w:multiLevelType w:val="hybridMultilevel"/>
    <w:tmpl w:val="76981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3"/>
  </w:num>
  <w:num w:numId="16">
    <w:abstractNumId w:val="12"/>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 w:numId="20">
    <w:abstractNumId w:val="15"/>
  </w:num>
  <w:num w:numId="21">
    <w:abstractNumId w:val="16"/>
  </w:num>
  <w:num w:numId="22">
    <w:abstractNumId w:val="14"/>
  </w:num>
  <w:num w:numId="23">
    <w:abstractNumId w:val="15"/>
  </w:num>
  <w:num w:numId="24">
    <w:abstractNumId w:val="11"/>
  </w:num>
  <w:num w:numId="25">
    <w:abstractNumId w:val="15"/>
  </w:num>
  <w:num w:numId="26">
    <w:abstractNumId w:val="15"/>
  </w:num>
  <w:num w:numId="27">
    <w:abstractNumId w:val="16"/>
  </w:num>
  <w:num w:numId="28">
    <w:abstractNumId w:val="15"/>
  </w:num>
  <w:num w:numId="29">
    <w:abstractNumId w:val="16"/>
  </w:num>
  <w:num w:numId="30">
    <w:abstractNumId w:val="16"/>
  </w:num>
  <w:num w:numId="31">
    <w:abstractNumId w:val="15"/>
  </w:num>
  <w:num w:numId="32">
    <w:abstractNumId w:val="15"/>
  </w:num>
  <w:num w:numId="33">
    <w:abstractNumId w:val="15"/>
  </w:num>
  <w:num w:numId="34">
    <w:abstractNumId w:val="1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3D"/>
    <w:rsid w:val="00001731"/>
    <w:rsid w:val="00023A30"/>
    <w:rsid w:val="00055F2A"/>
    <w:rsid w:val="00060092"/>
    <w:rsid w:val="00070E46"/>
    <w:rsid w:val="00076CDC"/>
    <w:rsid w:val="000940AC"/>
    <w:rsid w:val="000A0A7F"/>
    <w:rsid w:val="000A2EF4"/>
    <w:rsid w:val="000A73FE"/>
    <w:rsid w:val="000C0AD4"/>
    <w:rsid w:val="000C68DD"/>
    <w:rsid w:val="000E3F26"/>
    <w:rsid w:val="000F1C7A"/>
    <w:rsid w:val="000F6176"/>
    <w:rsid w:val="001364C8"/>
    <w:rsid w:val="00142744"/>
    <w:rsid w:val="00144676"/>
    <w:rsid w:val="00157BF8"/>
    <w:rsid w:val="00163FB0"/>
    <w:rsid w:val="00171B86"/>
    <w:rsid w:val="00186B00"/>
    <w:rsid w:val="00191AFA"/>
    <w:rsid w:val="001A71EA"/>
    <w:rsid w:val="0020045B"/>
    <w:rsid w:val="00210EEC"/>
    <w:rsid w:val="00216A7B"/>
    <w:rsid w:val="00224D0D"/>
    <w:rsid w:val="002351F8"/>
    <w:rsid w:val="00247E90"/>
    <w:rsid w:val="00261515"/>
    <w:rsid w:val="002632A1"/>
    <w:rsid w:val="00266164"/>
    <w:rsid w:val="00267A1A"/>
    <w:rsid w:val="002931BA"/>
    <w:rsid w:val="0029387C"/>
    <w:rsid w:val="002B7E99"/>
    <w:rsid w:val="002C2903"/>
    <w:rsid w:val="002C5E1C"/>
    <w:rsid w:val="002E042B"/>
    <w:rsid w:val="002E2732"/>
    <w:rsid w:val="002F73CE"/>
    <w:rsid w:val="00304D15"/>
    <w:rsid w:val="00305D81"/>
    <w:rsid w:val="00310D8F"/>
    <w:rsid w:val="003173B6"/>
    <w:rsid w:val="003206F6"/>
    <w:rsid w:val="003215B5"/>
    <w:rsid w:val="00331296"/>
    <w:rsid w:val="00333642"/>
    <w:rsid w:val="00336C3C"/>
    <w:rsid w:val="0034549A"/>
    <w:rsid w:val="00347291"/>
    <w:rsid w:val="00347E75"/>
    <w:rsid w:val="003543E4"/>
    <w:rsid w:val="00367515"/>
    <w:rsid w:val="00372460"/>
    <w:rsid w:val="003730DE"/>
    <w:rsid w:val="003732CE"/>
    <w:rsid w:val="00374E44"/>
    <w:rsid w:val="00385ABE"/>
    <w:rsid w:val="00386180"/>
    <w:rsid w:val="0038646A"/>
    <w:rsid w:val="0039458B"/>
    <w:rsid w:val="003A0EE1"/>
    <w:rsid w:val="003B1508"/>
    <w:rsid w:val="003B5F3A"/>
    <w:rsid w:val="003C6EA8"/>
    <w:rsid w:val="003C77EF"/>
    <w:rsid w:val="003E0C86"/>
    <w:rsid w:val="003E78B1"/>
    <w:rsid w:val="003F1207"/>
    <w:rsid w:val="003F35A4"/>
    <w:rsid w:val="003F3FED"/>
    <w:rsid w:val="0040562E"/>
    <w:rsid w:val="00405BA9"/>
    <w:rsid w:val="00410163"/>
    <w:rsid w:val="0041088D"/>
    <w:rsid w:val="00420700"/>
    <w:rsid w:val="004232B8"/>
    <w:rsid w:val="00431011"/>
    <w:rsid w:val="004312F6"/>
    <w:rsid w:val="00444280"/>
    <w:rsid w:val="0044559E"/>
    <w:rsid w:val="004647BF"/>
    <w:rsid w:val="0046768B"/>
    <w:rsid w:val="004748ED"/>
    <w:rsid w:val="004827CC"/>
    <w:rsid w:val="00484FBC"/>
    <w:rsid w:val="004A2457"/>
    <w:rsid w:val="004B5CC3"/>
    <w:rsid w:val="004B6825"/>
    <w:rsid w:val="004C3D65"/>
    <w:rsid w:val="004C7204"/>
    <w:rsid w:val="004E0569"/>
    <w:rsid w:val="004E56AA"/>
    <w:rsid w:val="004E6F93"/>
    <w:rsid w:val="004F17AA"/>
    <w:rsid w:val="004F7D82"/>
    <w:rsid w:val="00500132"/>
    <w:rsid w:val="00512424"/>
    <w:rsid w:val="00512D54"/>
    <w:rsid w:val="00517022"/>
    <w:rsid w:val="0051703E"/>
    <w:rsid w:val="005209C6"/>
    <w:rsid w:val="00523D6D"/>
    <w:rsid w:val="0053001C"/>
    <w:rsid w:val="005317FC"/>
    <w:rsid w:val="0054084D"/>
    <w:rsid w:val="00562F07"/>
    <w:rsid w:val="00585A62"/>
    <w:rsid w:val="00586E16"/>
    <w:rsid w:val="00596EF8"/>
    <w:rsid w:val="005C3D31"/>
    <w:rsid w:val="005C4F81"/>
    <w:rsid w:val="005D24C0"/>
    <w:rsid w:val="005E4E28"/>
    <w:rsid w:val="005E7680"/>
    <w:rsid w:val="00604916"/>
    <w:rsid w:val="00607F9E"/>
    <w:rsid w:val="006122DD"/>
    <w:rsid w:val="006269C3"/>
    <w:rsid w:val="00630567"/>
    <w:rsid w:val="00635FF3"/>
    <w:rsid w:val="0064787F"/>
    <w:rsid w:val="00651E23"/>
    <w:rsid w:val="0065592B"/>
    <w:rsid w:val="006779ED"/>
    <w:rsid w:val="00680B8E"/>
    <w:rsid w:val="006A4AA3"/>
    <w:rsid w:val="006C65C2"/>
    <w:rsid w:val="006E43BB"/>
    <w:rsid w:val="00700F60"/>
    <w:rsid w:val="0071742E"/>
    <w:rsid w:val="0072187F"/>
    <w:rsid w:val="0073000E"/>
    <w:rsid w:val="00730922"/>
    <w:rsid w:val="00737C8C"/>
    <w:rsid w:val="0075110B"/>
    <w:rsid w:val="00764F0C"/>
    <w:rsid w:val="00771B0E"/>
    <w:rsid w:val="007726C0"/>
    <w:rsid w:val="007876D9"/>
    <w:rsid w:val="007A2EB2"/>
    <w:rsid w:val="007A2F72"/>
    <w:rsid w:val="007A4FF0"/>
    <w:rsid w:val="007A6A8B"/>
    <w:rsid w:val="007B5656"/>
    <w:rsid w:val="007C2EC2"/>
    <w:rsid w:val="007C382D"/>
    <w:rsid w:val="007C4BCA"/>
    <w:rsid w:val="007D398B"/>
    <w:rsid w:val="007D4D6B"/>
    <w:rsid w:val="007E7314"/>
    <w:rsid w:val="007F1986"/>
    <w:rsid w:val="00800DF7"/>
    <w:rsid w:val="0080236E"/>
    <w:rsid w:val="00816D26"/>
    <w:rsid w:val="008226EA"/>
    <w:rsid w:val="00872071"/>
    <w:rsid w:val="0087614D"/>
    <w:rsid w:val="008944AE"/>
    <w:rsid w:val="008B46E3"/>
    <w:rsid w:val="008D2FAD"/>
    <w:rsid w:val="008E3EA2"/>
    <w:rsid w:val="00925E03"/>
    <w:rsid w:val="0092604E"/>
    <w:rsid w:val="009342FF"/>
    <w:rsid w:val="0096156A"/>
    <w:rsid w:val="00977A9E"/>
    <w:rsid w:val="00983A0E"/>
    <w:rsid w:val="0098403F"/>
    <w:rsid w:val="009844EA"/>
    <w:rsid w:val="00985A3F"/>
    <w:rsid w:val="009A74A5"/>
    <w:rsid w:val="009B0FEF"/>
    <w:rsid w:val="009C1899"/>
    <w:rsid w:val="009D7D96"/>
    <w:rsid w:val="009E2B53"/>
    <w:rsid w:val="009E44B0"/>
    <w:rsid w:val="009E58A0"/>
    <w:rsid w:val="009E59E7"/>
    <w:rsid w:val="009F42C1"/>
    <w:rsid w:val="00A049F6"/>
    <w:rsid w:val="00A11348"/>
    <w:rsid w:val="00A135CB"/>
    <w:rsid w:val="00A155BC"/>
    <w:rsid w:val="00A25FA6"/>
    <w:rsid w:val="00A41CD9"/>
    <w:rsid w:val="00A46BA2"/>
    <w:rsid w:val="00A6033E"/>
    <w:rsid w:val="00A91350"/>
    <w:rsid w:val="00A92067"/>
    <w:rsid w:val="00A95069"/>
    <w:rsid w:val="00AC4582"/>
    <w:rsid w:val="00AD1999"/>
    <w:rsid w:val="00AF44D8"/>
    <w:rsid w:val="00B25F68"/>
    <w:rsid w:val="00B267D3"/>
    <w:rsid w:val="00B31CDD"/>
    <w:rsid w:val="00B32624"/>
    <w:rsid w:val="00B359E1"/>
    <w:rsid w:val="00B40109"/>
    <w:rsid w:val="00B40E8E"/>
    <w:rsid w:val="00B5214A"/>
    <w:rsid w:val="00B5678E"/>
    <w:rsid w:val="00B57B3B"/>
    <w:rsid w:val="00B61C9C"/>
    <w:rsid w:val="00B72ACD"/>
    <w:rsid w:val="00B83643"/>
    <w:rsid w:val="00B923EA"/>
    <w:rsid w:val="00BB013D"/>
    <w:rsid w:val="00BD1799"/>
    <w:rsid w:val="00BE2A77"/>
    <w:rsid w:val="00BE794D"/>
    <w:rsid w:val="00C077AF"/>
    <w:rsid w:val="00C078BA"/>
    <w:rsid w:val="00C50DC7"/>
    <w:rsid w:val="00C5107E"/>
    <w:rsid w:val="00C67CC4"/>
    <w:rsid w:val="00C76323"/>
    <w:rsid w:val="00C77BD0"/>
    <w:rsid w:val="00CB0EDA"/>
    <w:rsid w:val="00CC4F5E"/>
    <w:rsid w:val="00CE05AE"/>
    <w:rsid w:val="00CE27CF"/>
    <w:rsid w:val="00D04CD5"/>
    <w:rsid w:val="00D056B1"/>
    <w:rsid w:val="00D0575D"/>
    <w:rsid w:val="00D07517"/>
    <w:rsid w:val="00D3314F"/>
    <w:rsid w:val="00D40815"/>
    <w:rsid w:val="00D446E3"/>
    <w:rsid w:val="00D61179"/>
    <w:rsid w:val="00D67C45"/>
    <w:rsid w:val="00D73811"/>
    <w:rsid w:val="00D919B2"/>
    <w:rsid w:val="00D964B7"/>
    <w:rsid w:val="00DA66D5"/>
    <w:rsid w:val="00DA69F0"/>
    <w:rsid w:val="00DA7853"/>
    <w:rsid w:val="00DE0E33"/>
    <w:rsid w:val="00DE393F"/>
    <w:rsid w:val="00DE5C83"/>
    <w:rsid w:val="00DE6A1D"/>
    <w:rsid w:val="00DF1481"/>
    <w:rsid w:val="00DF6D83"/>
    <w:rsid w:val="00E201C3"/>
    <w:rsid w:val="00E32ADF"/>
    <w:rsid w:val="00E42536"/>
    <w:rsid w:val="00E46B1C"/>
    <w:rsid w:val="00E600A7"/>
    <w:rsid w:val="00E61CE1"/>
    <w:rsid w:val="00E70454"/>
    <w:rsid w:val="00E73D25"/>
    <w:rsid w:val="00E92226"/>
    <w:rsid w:val="00E93347"/>
    <w:rsid w:val="00EB2BBC"/>
    <w:rsid w:val="00EB61C7"/>
    <w:rsid w:val="00EC40A6"/>
    <w:rsid w:val="00ED0905"/>
    <w:rsid w:val="00EE10B5"/>
    <w:rsid w:val="00EE4430"/>
    <w:rsid w:val="00EE4FBC"/>
    <w:rsid w:val="00EE504C"/>
    <w:rsid w:val="00EE75D2"/>
    <w:rsid w:val="00EF1438"/>
    <w:rsid w:val="00F10B3C"/>
    <w:rsid w:val="00F26CF4"/>
    <w:rsid w:val="00F41B9D"/>
    <w:rsid w:val="00F548E6"/>
    <w:rsid w:val="00F72948"/>
    <w:rsid w:val="00F94A9C"/>
    <w:rsid w:val="00FA0D03"/>
    <w:rsid w:val="00FA2755"/>
    <w:rsid w:val="00FA3ECB"/>
    <w:rsid w:val="00FA7262"/>
    <w:rsid w:val="00FB4C13"/>
    <w:rsid w:val="00FB5C3E"/>
    <w:rsid w:val="00FC7CAF"/>
    <w:rsid w:val="00FD18A1"/>
    <w:rsid w:val="00FD2DF1"/>
    <w:rsid w:val="00FD5A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link w:val="CGCParaNoChar"/>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157BF8"/>
    <w:rPr>
      <w:vertAlign w:val="superscript"/>
    </w:rPr>
  </w:style>
  <w:style w:type="paragraph" w:styleId="FootnoteText">
    <w:name w:val="footnote text"/>
    <w:basedOn w:val="Normal"/>
    <w:link w:val="FootnoteTextChar"/>
    <w:rsid w:val="00157BF8"/>
    <w:pPr>
      <w:spacing w:after="0" w:line="240" w:lineRule="auto"/>
      <w:ind w:left="567" w:hanging="567"/>
    </w:pPr>
    <w:rPr>
      <w:sz w:val="20"/>
      <w:szCs w:val="20"/>
    </w:rPr>
  </w:style>
  <w:style w:type="character" w:customStyle="1" w:styleId="FootnoteTextChar">
    <w:name w:val="Footnote Text Char"/>
    <w:basedOn w:val="DefaultParagraphFont"/>
    <w:link w:val="FootnoteText"/>
    <w:rsid w:val="00157BF8"/>
    <w:rPr>
      <w:sz w:val="20"/>
      <w:szCs w:val="20"/>
    </w:rPr>
  </w:style>
  <w:style w:type="character" w:customStyle="1" w:styleId="CGCParaNoChar">
    <w:name w:val="CGC Para No Char"/>
    <w:aliases w:val="CGC Numbered Para Char"/>
    <w:basedOn w:val="DefaultParagraphFont"/>
    <w:link w:val="CGCNumberedPara"/>
    <w:rsid w:val="00157BF8"/>
    <w:rPr>
      <w:sz w:val="24"/>
      <w:szCs w:val="24"/>
    </w:rPr>
  </w:style>
  <w:style w:type="character" w:customStyle="1" w:styleId="CGCBulletlistChar">
    <w:name w:val="CGC Bullet list Char"/>
    <w:aliases w:val="CGC List 1 Char,CGC Bullet list Char1"/>
    <w:basedOn w:val="DefaultParagraphFont"/>
    <w:link w:val="CGCBulletlist"/>
    <w:locked/>
    <w:rsid w:val="00157BF8"/>
    <w:rPr>
      <w:sz w:val="24"/>
      <w:szCs w:val="20"/>
    </w:rPr>
  </w:style>
  <w:style w:type="paragraph" w:styleId="Caption">
    <w:name w:val="caption"/>
    <w:basedOn w:val="Normal"/>
    <w:next w:val="Normal"/>
    <w:link w:val="CaptionChar"/>
    <w:rsid w:val="00E32ADF"/>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E32ADF"/>
    <w:rPr>
      <w:b/>
      <w:bCs/>
      <w:sz w:val="24"/>
      <w:szCs w:val="20"/>
    </w:rPr>
  </w:style>
  <w:style w:type="paragraph" w:customStyle="1" w:styleId="TableRowNormal">
    <w:name w:val="TableRowNormal"/>
    <w:basedOn w:val="Normal"/>
    <w:rsid w:val="00B923EA"/>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B923EA"/>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B923EA"/>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B923EA"/>
    <w:pPr>
      <w:spacing w:after="0" w:line="240" w:lineRule="auto"/>
    </w:pPr>
    <w:rPr>
      <w:rFonts w:eastAsia="Times New Roman" w:cs="Times New Roman"/>
    </w:rPr>
  </w:style>
  <w:style w:type="paragraph" w:styleId="TOC1">
    <w:name w:val="toc 1"/>
    <w:basedOn w:val="Normal"/>
    <w:next w:val="Normal"/>
    <w:autoRedefine/>
    <w:uiPriority w:val="39"/>
    <w:unhideWhenUsed/>
    <w:rsid w:val="0072187F"/>
    <w:pPr>
      <w:tabs>
        <w:tab w:val="clear" w:pos="567"/>
      </w:tabs>
      <w:spacing w:after="100"/>
    </w:pPr>
  </w:style>
  <w:style w:type="paragraph" w:styleId="TOC2">
    <w:name w:val="toc 2"/>
    <w:basedOn w:val="Normal"/>
    <w:next w:val="Normal"/>
    <w:autoRedefine/>
    <w:uiPriority w:val="39"/>
    <w:unhideWhenUsed/>
    <w:rsid w:val="0072187F"/>
    <w:pPr>
      <w:tabs>
        <w:tab w:val="clear" w:pos="567"/>
      </w:tabs>
      <w:spacing w:after="100"/>
      <w:ind w:left="240"/>
    </w:pPr>
  </w:style>
  <w:style w:type="paragraph" w:styleId="TOC3">
    <w:name w:val="toc 3"/>
    <w:basedOn w:val="Normal"/>
    <w:next w:val="Normal"/>
    <w:autoRedefine/>
    <w:uiPriority w:val="39"/>
    <w:unhideWhenUsed/>
    <w:rsid w:val="0072187F"/>
    <w:pPr>
      <w:tabs>
        <w:tab w:val="clear" w:pos="567"/>
      </w:tabs>
      <w:spacing w:after="100"/>
      <w:ind w:left="480"/>
    </w:pPr>
  </w:style>
  <w:style w:type="paragraph" w:styleId="TOC4">
    <w:name w:val="toc 4"/>
    <w:basedOn w:val="Normal"/>
    <w:next w:val="Normal"/>
    <w:autoRedefine/>
    <w:uiPriority w:val="39"/>
    <w:semiHidden/>
    <w:unhideWhenUsed/>
    <w:rsid w:val="0072187F"/>
    <w:pPr>
      <w:tabs>
        <w:tab w:val="clear" w:pos="567"/>
      </w:tabs>
      <w:spacing w:after="100"/>
      <w:ind w:left="720"/>
    </w:pPr>
  </w:style>
  <w:style w:type="paragraph" w:styleId="TOC5">
    <w:name w:val="toc 5"/>
    <w:basedOn w:val="Normal"/>
    <w:next w:val="Normal"/>
    <w:autoRedefine/>
    <w:uiPriority w:val="39"/>
    <w:semiHidden/>
    <w:unhideWhenUsed/>
    <w:rsid w:val="0072187F"/>
    <w:pPr>
      <w:tabs>
        <w:tab w:val="clear" w:pos="567"/>
      </w:tabs>
      <w:spacing w:after="100"/>
      <w:ind w:left="960"/>
    </w:pPr>
  </w:style>
  <w:style w:type="paragraph" w:styleId="TOC6">
    <w:name w:val="toc 6"/>
    <w:basedOn w:val="Normal"/>
    <w:next w:val="Normal"/>
    <w:autoRedefine/>
    <w:uiPriority w:val="39"/>
    <w:semiHidden/>
    <w:unhideWhenUsed/>
    <w:rsid w:val="0072187F"/>
    <w:pPr>
      <w:tabs>
        <w:tab w:val="clear" w:pos="567"/>
      </w:tabs>
      <w:spacing w:after="100"/>
      <w:ind w:left="1200"/>
    </w:pPr>
  </w:style>
  <w:style w:type="paragraph" w:styleId="TOC7">
    <w:name w:val="toc 7"/>
    <w:basedOn w:val="Normal"/>
    <w:next w:val="Normal"/>
    <w:autoRedefine/>
    <w:uiPriority w:val="39"/>
    <w:semiHidden/>
    <w:unhideWhenUsed/>
    <w:rsid w:val="0072187F"/>
    <w:pPr>
      <w:tabs>
        <w:tab w:val="clear" w:pos="567"/>
      </w:tabs>
      <w:spacing w:after="100"/>
      <w:ind w:left="1440"/>
    </w:pPr>
  </w:style>
  <w:style w:type="paragraph" w:styleId="TOC8">
    <w:name w:val="toc 8"/>
    <w:basedOn w:val="Normal"/>
    <w:next w:val="Normal"/>
    <w:autoRedefine/>
    <w:uiPriority w:val="39"/>
    <w:semiHidden/>
    <w:unhideWhenUsed/>
    <w:rsid w:val="0072187F"/>
    <w:pPr>
      <w:tabs>
        <w:tab w:val="clear" w:pos="567"/>
      </w:tabs>
      <w:spacing w:after="100"/>
      <w:ind w:left="1680"/>
    </w:pPr>
  </w:style>
  <w:style w:type="paragraph" w:styleId="TOC9">
    <w:name w:val="toc 9"/>
    <w:basedOn w:val="Normal"/>
    <w:next w:val="Normal"/>
    <w:autoRedefine/>
    <w:uiPriority w:val="39"/>
    <w:semiHidden/>
    <w:unhideWhenUsed/>
    <w:rsid w:val="0072187F"/>
    <w:pPr>
      <w:tabs>
        <w:tab w:val="clear" w:pos="567"/>
      </w:tabs>
      <w:spacing w:after="100"/>
      <w:ind w:left="1920"/>
    </w:pPr>
  </w:style>
  <w:style w:type="character" w:styleId="CommentReference">
    <w:name w:val="annotation reference"/>
    <w:basedOn w:val="DefaultParagraphFont"/>
    <w:uiPriority w:val="99"/>
    <w:semiHidden/>
    <w:unhideWhenUsed/>
    <w:rsid w:val="0092604E"/>
    <w:rPr>
      <w:sz w:val="16"/>
      <w:szCs w:val="16"/>
    </w:rPr>
  </w:style>
  <w:style w:type="paragraph" w:styleId="CommentText">
    <w:name w:val="annotation text"/>
    <w:basedOn w:val="Normal"/>
    <w:link w:val="CommentTextChar"/>
    <w:uiPriority w:val="99"/>
    <w:semiHidden/>
    <w:unhideWhenUsed/>
    <w:rsid w:val="0092604E"/>
    <w:pPr>
      <w:spacing w:line="240" w:lineRule="auto"/>
    </w:pPr>
    <w:rPr>
      <w:sz w:val="20"/>
      <w:szCs w:val="20"/>
    </w:rPr>
  </w:style>
  <w:style w:type="character" w:customStyle="1" w:styleId="CommentTextChar">
    <w:name w:val="Comment Text Char"/>
    <w:basedOn w:val="DefaultParagraphFont"/>
    <w:link w:val="CommentText"/>
    <w:uiPriority w:val="99"/>
    <w:semiHidden/>
    <w:rsid w:val="0092604E"/>
    <w:rPr>
      <w:sz w:val="20"/>
      <w:szCs w:val="20"/>
    </w:rPr>
  </w:style>
  <w:style w:type="paragraph" w:styleId="CommentSubject">
    <w:name w:val="annotation subject"/>
    <w:basedOn w:val="CommentText"/>
    <w:next w:val="CommentText"/>
    <w:link w:val="CommentSubjectChar"/>
    <w:uiPriority w:val="99"/>
    <w:semiHidden/>
    <w:unhideWhenUsed/>
    <w:rsid w:val="0092604E"/>
    <w:rPr>
      <w:b/>
      <w:bCs/>
    </w:rPr>
  </w:style>
  <w:style w:type="character" w:customStyle="1" w:styleId="CommentSubjectChar">
    <w:name w:val="Comment Subject Char"/>
    <w:basedOn w:val="CommentTextChar"/>
    <w:link w:val="CommentSubject"/>
    <w:uiPriority w:val="99"/>
    <w:semiHidden/>
    <w:rsid w:val="0092604E"/>
    <w:rPr>
      <w:b/>
      <w:bCs/>
      <w:sz w:val="20"/>
      <w:szCs w:val="20"/>
    </w:rPr>
  </w:style>
  <w:style w:type="character" w:styleId="FollowedHyperlink">
    <w:name w:val="FollowedHyperlink"/>
    <w:basedOn w:val="DefaultParagraphFont"/>
    <w:uiPriority w:val="99"/>
    <w:semiHidden/>
    <w:unhideWhenUsed/>
    <w:rsid w:val="00474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794D"/>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CE05AE"/>
    <w:pPr>
      <w:numPr>
        <w:numId w:val="11"/>
      </w:numPr>
      <w:tabs>
        <w:tab w:val="clear" w:pos="567"/>
        <w:tab w:val="left" w:pos="1134"/>
      </w:tabs>
      <w:spacing w:before="80" w:line="300" w:lineRule="atLeast"/>
    </w:pPr>
    <w:rPr>
      <w:szCs w:val="20"/>
    </w:rPr>
  </w:style>
  <w:style w:type="paragraph" w:customStyle="1" w:styleId="CGCNumberedPara">
    <w:name w:val="CGC Numbered Para"/>
    <w:aliases w:val="CGC Para No"/>
    <w:basedOn w:val="Normal"/>
    <w:link w:val="CGCParaNoChar"/>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qFormat/>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uiPriority w:val="59"/>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157BF8"/>
    <w:rPr>
      <w:vertAlign w:val="superscript"/>
    </w:rPr>
  </w:style>
  <w:style w:type="paragraph" w:styleId="FootnoteText">
    <w:name w:val="footnote text"/>
    <w:basedOn w:val="Normal"/>
    <w:link w:val="FootnoteTextChar"/>
    <w:rsid w:val="00157BF8"/>
    <w:pPr>
      <w:spacing w:after="0" w:line="240" w:lineRule="auto"/>
      <w:ind w:left="567" w:hanging="567"/>
    </w:pPr>
    <w:rPr>
      <w:sz w:val="20"/>
      <w:szCs w:val="20"/>
    </w:rPr>
  </w:style>
  <w:style w:type="character" w:customStyle="1" w:styleId="FootnoteTextChar">
    <w:name w:val="Footnote Text Char"/>
    <w:basedOn w:val="DefaultParagraphFont"/>
    <w:link w:val="FootnoteText"/>
    <w:rsid w:val="00157BF8"/>
    <w:rPr>
      <w:sz w:val="20"/>
      <w:szCs w:val="20"/>
    </w:rPr>
  </w:style>
  <w:style w:type="character" w:customStyle="1" w:styleId="CGCParaNoChar">
    <w:name w:val="CGC Para No Char"/>
    <w:aliases w:val="CGC Numbered Para Char"/>
    <w:basedOn w:val="DefaultParagraphFont"/>
    <w:link w:val="CGCNumberedPara"/>
    <w:rsid w:val="00157BF8"/>
    <w:rPr>
      <w:sz w:val="24"/>
      <w:szCs w:val="24"/>
    </w:rPr>
  </w:style>
  <w:style w:type="character" w:customStyle="1" w:styleId="CGCBulletlistChar">
    <w:name w:val="CGC Bullet list Char"/>
    <w:aliases w:val="CGC List 1 Char,CGC Bullet list Char1"/>
    <w:basedOn w:val="DefaultParagraphFont"/>
    <w:link w:val="CGCBulletlist"/>
    <w:locked/>
    <w:rsid w:val="00157BF8"/>
    <w:rPr>
      <w:sz w:val="24"/>
      <w:szCs w:val="20"/>
    </w:rPr>
  </w:style>
  <w:style w:type="paragraph" w:styleId="Caption">
    <w:name w:val="caption"/>
    <w:basedOn w:val="Normal"/>
    <w:next w:val="Normal"/>
    <w:link w:val="CaptionChar"/>
    <w:rsid w:val="00E32ADF"/>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E32ADF"/>
    <w:rPr>
      <w:b/>
      <w:bCs/>
      <w:sz w:val="24"/>
      <w:szCs w:val="20"/>
    </w:rPr>
  </w:style>
  <w:style w:type="paragraph" w:customStyle="1" w:styleId="TableRowNormal">
    <w:name w:val="TableRowNormal"/>
    <w:basedOn w:val="Normal"/>
    <w:rsid w:val="00B923EA"/>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B923EA"/>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B923EA"/>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rsid w:val="00B923EA"/>
    <w:pPr>
      <w:spacing w:after="0" w:line="240" w:lineRule="auto"/>
    </w:pPr>
    <w:rPr>
      <w:rFonts w:eastAsia="Times New Roman" w:cs="Times New Roman"/>
    </w:rPr>
  </w:style>
  <w:style w:type="paragraph" w:styleId="TOC1">
    <w:name w:val="toc 1"/>
    <w:basedOn w:val="Normal"/>
    <w:next w:val="Normal"/>
    <w:autoRedefine/>
    <w:uiPriority w:val="39"/>
    <w:unhideWhenUsed/>
    <w:rsid w:val="0072187F"/>
    <w:pPr>
      <w:tabs>
        <w:tab w:val="clear" w:pos="567"/>
      </w:tabs>
      <w:spacing w:after="100"/>
    </w:pPr>
  </w:style>
  <w:style w:type="paragraph" w:styleId="TOC2">
    <w:name w:val="toc 2"/>
    <w:basedOn w:val="Normal"/>
    <w:next w:val="Normal"/>
    <w:autoRedefine/>
    <w:uiPriority w:val="39"/>
    <w:unhideWhenUsed/>
    <w:rsid w:val="0072187F"/>
    <w:pPr>
      <w:tabs>
        <w:tab w:val="clear" w:pos="567"/>
      </w:tabs>
      <w:spacing w:after="100"/>
      <w:ind w:left="240"/>
    </w:pPr>
  </w:style>
  <w:style w:type="paragraph" w:styleId="TOC3">
    <w:name w:val="toc 3"/>
    <w:basedOn w:val="Normal"/>
    <w:next w:val="Normal"/>
    <w:autoRedefine/>
    <w:uiPriority w:val="39"/>
    <w:unhideWhenUsed/>
    <w:rsid w:val="0072187F"/>
    <w:pPr>
      <w:tabs>
        <w:tab w:val="clear" w:pos="567"/>
      </w:tabs>
      <w:spacing w:after="100"/>
      <w:ind w:left="480"/>
    </w:pPr>
  </w:style>
  <w:style w:type="paragraph" w:styleId="TOC4">
    <w:name w:val="toc 4"/>
    <w:basedOn w:val="Normal"/>
    <w:next w:val="Normal"/>
    <w:autoRedefine/>
    <w:uiPriority w:val="39"/>
    <w:semiHidden/>
    <w:unhideWhenUsed/>
    <w:rsid w:val="0072187F"/>
    <w:pPr>
      <w:tabs>
        <w:tab w:val="clear" w:pos="567"/>
      </w:tabs>
      <w:spacing w:after="100"/>
      <w:ind w:left="720"/>
    </w:pPr>
  </w:style>
  <w:style w:type="paragraph" w:styleId="TOC5">
    <w:name w:val="toc 5"/>
    <w:basedOn w:val="Normal"/>
    <w:next w:val="Normal"/>
    <w:autoRedefine/>
    <w:uiPriority w:val="39"/>
    <w:semiHidden/>
    <w:unhideWhenUsed/>
    <w:rsid w:val="0072187F"/>
    <w:pPr>
      <w:tabs>
        <w:tab w:val="clear" w:pos="567"/>
      </w:tabs>
      <w:spacing w:after="100"/>
      <w:ind w:left="960"/>
    </w:pPr>
  </w:style>
  <w:style w:type="paragraph" w:styleId="TOC6">
    <w:name w:val="toc 6"/>
    <w:basedOn w:val="Normal"/>
    <w:next w:val="Normal"/>
    <w:autoRedefine/>
    <w:uiPriority w:val="39"/>
    <w:semiHidden/>
    <w:unhideWhenUsed/>
    <w:rsid w:val="0072187F"/>
    <w:pPr>
      <w:tabs>
        <w:tab w:val="clear" w:pos="567"/>
      </w:tabs>
      <w:spacing w:after="100"/>
      <w:ind w:left="1200"/>
    </w:pPr>
  </w:style>
  <w:style w:type="paragraph" w:styleId="TOC7">
    <w:name w:val="toc 7"/>
    <w:basedOn w:val="Normal"/>
    <w:next w:val="Normal"/>
    <w:autoRedefine/>
    <w:uiPriority w:val="39"/>
    <w:semiHidden/>
    <w:unhideWhenUsed/>
    <w:rsid w:val="0072187F"/>
    <w:pPr>
      <w:tabs>
        <w:tab w:val="clear" w:pos="567"/>
      </w:tabs>
      <w:spacing w:after="100"/>
      <w:ind w:left="1440"/>
    </w:pPr>
  </w:style>
  <w:style w:type="paragraph" w:styleId="TOC8">
    <w:name w:val="toc 8"/>
    <w:basedOn w:val="Normal"/>
    <w:next w:val="Normal"/>
    <w:autoRedefine/>
    <w:uiPriority w:val="39"/>
    <w:semiHidden/>
    <w:unhideWhenUsed/>
    <w:rsid w:val="0072187F"/>
    <w:pPr>
      <w:tabs>
        <w:tab w:val="clear" w:pos="567"/>
      </w:tabs>
      <w:spacing w:after="100"/>
      <w:ind w:left="1680"/>
    </w:pPr>
  </w:style>
  <w:style w:type="paragraph" w:styleId="TOC9">
    <w:name w:val="toc 9"/>
    <w:basedOn w:val="Normal"/>
    <w:next w:val="Normal"/>
    <w:autoRedefine/>
    <w:uiPriority w:val="39"/>
    <w:semiHidden/>
    <w:unhideWhenUsed/>
    <w:rsid w:val="0072187F"/>
    <w:pPr>
      <w:tabs>
        <w:tab w:val="clear" w:pos="567"/>
      </w:tabs>
      <w:spacing w:after="100"/>
      <w:ind w:left="1920"/>
    </w:pPr>
  </w:style>
  <w:style w:type="character" w:styleId="CommentReference">
    <w:name w:val="annotation reference"/>
    <w:basedOn w:val="DefaultParagraphFont"/>
    <w:uiPriority w:val="99"/>
    <w:semiHidden/>
    <w:unhideWhenUsed/>
    <w:rsid w:val="0092604E"/>
    <w:rPr>
      <w:sz w:val="16"/>
      <w:szCs w:val="16"/>
    </w:rPr>
  </w:style>
  <w:style w:type="paragraph" w:styleId="CommentText">
    <w:name w:val="annotation text"/>
    <w:basedOn w:val="Normal"/>
    <w:link w:val="CommentTextChar"/>
    <w:uiPriority w:val="99"/>
    <w:semiHidden/>
    <w:unhideWhenUsed/>
    <w:rsid w:val="0092604E"/>
    <w:pPr>
      <w:spacing w:line="240" w:lineRule="auto"/>
    </w:pPr>
    <w:rPr>
      <w:sz w:val="20"/>
      <w:szCs w:val="20"/>
    </w:rPr>
  </w:style>
  <w:style w:type="character" w:customStyle="1" w:styleId="CommentTextChar">
    <w:name w:val="Comment Text Char"/>
    <w:basedOn w:val="DefaultParagraphFont"/>
    <w:link w:val="CommentText"/>
    <w:uiPriority w:val="99"/>
    <w:semiHidden/>
    <w:rsid w:val="0092604E"/>
    <w:rPr>
      <w:sz w:val="20"/>
      <w:szCs w:val="20"/>
    </w:rPr>
  </w:style>
  <w:style w:type="paragraph" w:styleId="CommentSubject">
    <w:name w:val="annotation subject"/>
    <w:basedOn w:val="CommentText"/>
    <w:next w:val="CommentText"/>
    <w:link w:val="CommentSubjectChar"/>
    <w:uiPriority w:val="99"/>
    <w:semiHidden/>
    <w:unhideWhenUsed/>
    <w:rsid w:val="0092604E"/>
    <w:rPr>
      <w:b/>
      <w:bCs/>
    </w:rPr>
  </w:style>
  <w:style w:type="character" w:customStyle="1" w:styleId="CommentSubjectChar">
    <w:name w:val="Comment Subject Char"/>
    <w:basedOn w:val="CommentTextChar"/>
    <w:link w:val="CommentSubject"/>
    <w:uiPriority w:val="99"/>
    <w:semiHidden/>
    <w:rsid w:val="0092604E"/>
    <w:rPr>
      <w:b/>
      <w:bCs/>
      <w:sz w:val="20"/>
      <w:szCs w:val="20"/>
    </w:rPr>
  </w:style>
  <w:style w:type="character" w:styleId="FollowedHyperlink">
    <w:name w:val="FollowedHyperlink"/>
    <w:basedOn w:val="DefaultParagraphFont"/>
    <w:uiPriority w:val="99"/>
    <w:semiHidden/>
    <w:unhideWhenUsed/>
    <w:rsid w:val="00474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hyperlink" Target="mailto:secretary@cgc.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mailto:yuhua.shi@cgc.gov.au"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abs.gov.au/websitedbs/censushome.nsf/home/pane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reativecommons.org/" TargetMode="External"/><Relationship Id="rId23" Type="http://schemas.openxmlformats.org/officeDocument/2006/relationships/hyperlink" Target="http://www.ga.gov.au/scientific-topics/minerals/mineral-resources/uranium"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yuhua.shi@cgc.gov.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ga.gov.au/webtemp/image_cache/GA16805.pdf"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C375-E3EF-4C81-BD09-1EDBDFEA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3898</TotalTime>
  <Pages>40</Pages>
  <Words>11907</Words>
  <Characters>67873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Yuhua Shi</dc:creator>
  <cp:lastModifiedBy>Yuhua Shi</cp:lastModifiedBy>
  <cp:revision>148</cp:revision>
  <cp:lastPrinted>2017-08-16T05:11:00Z</cp:lastPrinted>
  <dcterms:created xsi:type="dcterms:W3CDTF">2017-05-24T23:32:00Z</dcterms:created>
  <dcterms:modified xsi:type="dcterms:W3CDTF">2017-08-16T05:15:00Z</dcterms:modified>
</cp:coreProperties>
</file>