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17" w:rsidRPr="00970E6D" w:rsidRDefault="00DE6517" w:rsidP="00DE6517">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782FF52A" wp14:editId="62DD3FDF">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r>
        <w:rPr>
          <w:b/>
          <w:sz w:val="40"/>
          <w:szCs w:val="40"/>
        </w:rPr>
        <w:t>OPTIONS FOR IMPROVING CONTEMPORANEITY</w:t>
      </w:r>
    </w:p>
    <w:p w:rsidR="00DE6517" w:rsidRDefault="00DE6517" w:rsidP="00DE6517">
      <w:pPr>
        <w:tabs>
          <w:tab w:val="clear" w:pos="567"/>
        </w:tabs>
        <w:jc w:val="center"/>
        <w:rPr>
          <w:b/>
          <w:sz w:val="40"/>
          <w:szCs w:val="40"/>
        </w:rPr>
      </w:pPr>
    </w:p>
    <w:p w:rsidR="00DE6517"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r w:rsidRPr="00970E6D">
        <w:rPr>
          <w:b/>
          <w:sz w:val="40"/>
          <w:szCs w:val="40"/>
        </w:rPr>
        <w:t xml:space="preserve">STAFF </w:t>
      </w:r>
      <w:r>
        <w:rPr>
          <w:b/>
          <w:sz w:val="40"/>
          <w:szCs w:val="40"/>
        </w:rPr>
        <w:t>RESEARCH PAPER</w:t>
      </w:r>
      <w:r>
        <w:rPr>
          <w:b/>
          <w:sz w:val="40"/>
          <w:szCs w:val="40"/>
        </w:rPr>
        <w:br/>
        <w:t>CGC 20</w:t>
      </w:r>
      <w:r w:rsidRPr="00970E6D">
        <w:rPr>
          <w:b/>
          <w:sz w:val="40"/>
          <w:szCs w:val="40"/>
        </w:rPr>
        <w:t>1</w:t>
      </w:r>
      <w:r>
        <w:rPr>
          <w:b/>
          <w:sz w:val="40"/>
          <w:szCs w:val="40"/>
        </w:rPr>
        <w:t>7</w:t>
      </w:r>
      <w:r w:rsidR="00C32A09">
        <w:rPr>
          <w:b/>
          <w:sz w:val="40"/>
          <w:szCs w:val="40"/>
        </w:rPr>
        <w:t>-</w:t>
      </w:r>
      <w:r>
        <w:rPr>
          <w:b/>
          <w:sz w:val="40"/>
          <w:szCs w:val="40"/>
        </w:rPr>
        <w:t>0</w:t>
      </w:r>
      <w:r w:rsidR="00FC0B72">
        <w:rPr>
          <w:b/>
          <w:sz w:val="40"/>
          <w:szCs w:val="40"/>
        </w:rPr>
        <w:t>5</w:t>
      </w:r>
      <w:r w:rsidR="00C32A09">
        <w:rPr>
          <w:b/>
          <w:sz w:val="40"/>
          <w:szCs w:val="40"/>
        </w:rPr>
        <w:t>-</w:t>
      </w:r>
      <w:r w:rsidR="00B97400">
        <w:rPr>
          <w:b/>
          <w:sz w:val="40"/>
          <w:szCs w:val="40"/>
        </w:rPr>
        <w:t>S</w:t>
      </w: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b/>
          <w:sz w:val="40"/>
          <w:szCs w:val="40"/>
        </w:rPr>
      </w:pPr>
    </w:p>
    <w:p w:rsidR="00DE6517" w:rsidRPr="00970E6D" w:rsidRDefault="00DE6517" w:rsidP="00DE6517">
      <w:pPr>
        <w:tabs>
          <w:tab w:val="clear" w:pos="567"/>
        </w:tabs>
        <w:jc w:val="center"/>
        <w:rPr>
          <w:sz w:val="40"/>
          <w:szCs w:val="40"/>
        </w:rPr>
      </w:pPr>
    </w:p>
    <w:p w:rsidR="00DE6517" w:rsidRPr="00970E6D" w:rsidRDefault="00DE6517" w:rsidP="00DE6517">
      <w:pPr>
        <w:tabs>
          <w:tab w:val="clear" w:pos="567"/>
        </w:tabs>
        <w:jc w:val="right"/>
        <w:rPr>
          <w:b/>
          <w:sz w:val="28"/>
          <w:szCs w:val="28"/>
        </w:rPr>
      </w:pPr>
      <w:r>
        <w:rPr>
          <w:b/>
          <w:sz w:val="28"/>
          <w:szCs w:val="28"/>
        </w:rPr>
        <w:t>MAY 2017</w:t>
      </w:r>
    </w:p>
    <w:p w:rsidR="00DE6517" w:rsidRPr="00970E6D" w:rsidRDefault="00DE6517" w:rsidP="00DE6517">
      <w:pPr>
        <w:tabs>
          <w:tab w:val="clear" w:pos="567"/>
        </w:tabs>
      </w:pPr>
    </w:p>
    <w:p w:rsidR="00DE6517" w:rsidRPr="00970E6D" w:rsidRDefault="00DE6517" w:rsidP="00DE6517">
      <w:pPr>
        <w:tabs>
          <w:tab w:val="clear" w:pos="567"/>
        </w:tabs>
        <w:sectPr w:rsidR="00DE6517" w:rsidRPr="00970E6D" w:rsidSect="00523FA0">
          <w:footerReference w:type="default" r:id="rId10"/>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Pr>
      <w:tblGrid>
        <w:gridCol w:w="2943"/>
        <w:gridCol w:w="6224"/>
      </w:tblGrid>
      <w:tr w:rsidR="00DE6517" w:rsidRPr="00970E6D" w:rsidTr="00523FA0">
        <w:tc>
          <w:tcPr>
            <w:tcW w:w="1605" w:type="pct"/>
            <w:tcBorders>
              <w:top w:val="single" w:sz="4" w:space="0" w:color="auto"/>
              <w:left w:val="single" w:sz="4" w:space="0" w:color="auto"/>
              <w:bottom w:val="single" w:sz="4" w:space="0" w:color="auto"/>
              <w:right w:val="single" w:sz="4" w:space="0" w:color="auto"/>
            </w:tcBorders>
          </w:tcPr>
          <w:p w:rsidR="00DE6517" w:rsidRPr="00970E6D" w:rsidRDefault="00DE6517" w:rsidP="00523FA0">
            <w:pPr>
              <w:tabs>
                <w:tab w:val="clear" w:pos="567"/>
              </w:tabs>
            </w:pPr>
            <w:r w:rsidRPr="00970E6D">
              <w:lastRenderedPageBreak/>
              <w:t>Confidential material</w:t>
            </w:r>
          </w:p>
        </w:tc>
        <w:tc>
          <w:tcPr>
            <w:tcW w:w="3395" w:type="pct"/>
            <w:tcBorders>
              <w:top w:val="single" w:sz="4" w:space="0" w:color="auto"/>
              <w:left w:val="single" w:sz="4" w:space="0" w:color="auto"/>
              <w:bottom w:val="single" w:sz="4" w:space="0" w:color="auto"/>
              <w:right w:val="single" w:sz="4" w:space="0" w:color="auto"/>
            </w:tcBorders>
          </w:tcPr>
          <w:p w:rsidR="00DE6517" w:rsidRPr="00CF1294" w:rsidRDefault="00DE6517" w:rsidP="00523FA0">
            <w:pPr>
              <w:tabs>
                <w:tab w:val="clear" w:pos="567"/>
              </w:tabs>
            </w:pPr>
            <w:r w:rsidRPr="00CF1294">
              <w:t xml:space="preserve">It is the </w:t>
            </w:r>
            <w:r w:rsidR="007D6583">
              <w:t>C</w:t>
            </w:r>
            <w:r w:rsidRPr="00CF1294">
              <w:t xml:space="preserve">ommission’s normal practice to make State submissions available on its website under the CC BY licence, allowing free use of content by third parties. </w:t>
            </w:r>
          </w:p>
          <w:p w:rsidR="00DE6517" w:rsidRPr="00CF1294" w:rsidRDefault="00DE6517" w:rsidP="00523FA0">
            <w:pPr>
              <w:tabs>
                <w:tab w:val="clear" w:pos="567"/>
              </w:tabs>
            </w:pPr>
            <w:r w:rsidRPr="00CF1294">
              <w:rPr>
                <w:noProof/>
                <w:lang w:eastAsia="en-AU"/>
              </w:rPr>
              <w:drawing>
                <wp:inline distT="0" distB="0" distL="0" distR="0" wp14:anchorId="5CE83257" wp14:editId="52E015C3">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1"/>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DE6517" w:rsidRPr="00CF1294" w:rsidRDefault="00DE6517" w:rsidP="00523FA0">
            <w:pPr>
              <w:tabs>
                <w:tab w:val="clear" w:pos="567"/>
              </w:tabs>
            </w:pPr>
            <w:r w:rsidRPr="00CF1294">
              <w:t xml:space="preserve">Further information on the CC BY licence can be found </w:t>
            </w:r>
            <w:r w:rsidRPr="00EC79CF">
              <w:t xml:space="preserve">on the </w:t>
            </w:r>
            <w:hyperlink r:id="rId12"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DE6517" w:rsidRPr="00970E6D" w:rsidRDefault="00DE6517" w:rsidP="007D6583">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7D6583">
              <w:t>C</w:t>
            </w:r>
            <w:r w:rsidRPr="00CF1294">
              <w:t>ommission’s website.</w:t>
            </w:r>
          </w:p>
        </w:tc>
      </w:tr>
    </w:tbl>
    <w:p w:rsidR="00DE6517" w:rsidRPr="00970E6D" w:rsidRDefault="00DE6517" w:rsidP="00DE6517">
      <w:pPr>
        <w:tabs>
          <w:tab w:val="clear" w:pos="567"/>
        </w:tabs>
        <w:sectPr w:rsidR="00DE6517" w:rsidRPr="00970E6D" w:rsidSect="00523FA0">
          <w:headerReference w:type="first" r:id="rId13"/>
          <w:footerReference w:type="first" r:id="rId14"/>
          <w:pgSz w:w="11899" w:h="16838" w:code="9"/>
          <w:pgMar w:top="1701" w:right="1474" w:bottom="1701" w:left="1474" w:header="709" w:footer="709" w:gutter="0"/>
          <w:cols w:space="708"/>
          <w:vAlign w:val="bottom"/>
          <w:titlePg/>
          <w:docGrid w:linePitch="299"/>
        </w:sectPr>
      </w:pPr>
    </w:p>
    <w:p w:rsidR="00DE6517" w:rsidRPr="00E674AF" w:rsidRDefault="00DE6517" w:rsidP="00DE6517">
      <w:pPr>
        <w:pStyle w:val="Heading1"/>
      </w:pPr>
      <w:r w:rsidRPr="00E674AF">
        <w:lastRenderedPageBreak/>
        <w:t>CONTENTS</w:t>
      </w:r>
      <w:bookmarkEnd w:id="0"/>
      <w:bookmarkEnd w:id="1"/>
      <w:bookmarkEnd w:id="2"/>
      <w:bookmarkEnd w:id="3"/>
      <w:bookmarkEnd w:id="4"/>
      <w:bookmarkEnd w:id="5"/>
    </w:p>
    <w:p w:rsidR="00DE6517" w:rsidRDefault="00DE6517" w:rsidP="00DE6517">
      <w:pPr>
        <w:tabs>
          <w:tab w:val="clear" w:pos="567"/>
        </w:tabs>
      </w:pPr>
    </w:p>
    <w:p w:rsidR="006C7012" w:rsidRDefault="00DE6517">
      <w:pPr>
        <w:pStyle w:val="TOC1"/>
        <w:rPr>
          <w:rFonts w:eastAsiaTheme="minorEastAsia"/>
          <w:b w:val="0"/>
          <w:bCs w:val="0"/>
          <w:caps w:val="0"/>
          <w:noProof/>
          <w:sz w:val="22"/>
          <w:szCs w:val="22"/>
          <w:lang w:eastAsia="en-AU"/>
        </w:rPr>
      </w:pPr>
      <w:r>
        <w:fldChar w:fldCharType="begin"/>
      </w:r>
      <w:r>
        <w:instrText xml:space="preserve"> TOC \f \h \z \u \t "Heading 3,1,Heading 4,2" </w:instrText>
      </w:r>
      <w:r>
        <w:fldChar w:fldCharType="separate"/>
      </w:r>
      <w:hyperlink w:anchor="_Toc482338176" w:history="1">
        <w:r w:rsidR="006C7012" w:rsidRPr="005B2DA7">
          <w:rPr>
            <w:rStyle w:val="Hyperlink"/>
            <w:noProof/>
          </w:rPr>
          <w:t>BACKGROUND</w:t>
        </w:r>
        <w:r w:rsidR="006C7012">
          <w:rPr>
            <w:noProof/>
            <w:webHidden/>
          </w:rPr>
          <w:tab/>
        </w:r>
        <w:r w:rsidR="006C7012">
          <w:rPr>
            <w:noProof/>
            <w:webHidden/>
          </w:rPr>
          <w:fldChar w:fldCharType="begin"/>
        </w:r>
        <w:r w:rsidR="006C7012">
          <w:rPr>
            <w:noProof/>
            <w:webHidden/>
          </w:rPr>
          <w:instrText xml:space="preserve"> PAGEREF _Toc482338176 \h </w:instrText>
        </w:r>
        <w:r w:rsidR="006C7012">
          <w:rPr>
            <w:noProof/>
            <w:webHidden/>
          </w:rPr>
        </w:r>
        <w:r w:rsidR="006C7012">
          <w:rPr>
            <w:noProof/>
            <w:webHidden/>
          </w:rPr>
          <w:fldChar w:fldCharType="separate"/>
        </w:r>
        <w:r w:rsidR="00E17AEF">
          <w:rPr>
            <w:noProof/>
            <w:webHidden/>
          </w:rPr>
          <w:t>1</w:t>
        </w:r>
        <w:r w:rsidR="006C7012">
          <w:rPr>
            <w:noProof/>
            <w:webHidden/>
          </w:rPr>
          <w:fldChar w:fldCharType="end"/>
        </w:r>
      </w:hyperlink>
    </w:p>
    <w:p w:rsidR="006C7012" w:rsidRDefault="00C562FD">
      <w:pPr>
        <w:pStyle w:val="TOC1"/>
        <w:rPr>
          <w:rFonts w:eastAsiaTheme="minorEastAsia"/>
          <w:b w:val="0"/>
          <w:bCs w:val="0"/>
          <w:caps w:val="0"/>
          <w:noProof/>
          <w:sz w:val="22"/>
          <w:szCs w:val="22"/>
          <w:lang w:eastAsia="en-AU"/>
        </w:rPr>
      </w:pPr>
      <w:hyperlink w:anchor="_Toc482338177" w:history="1">
        <w:r w:rsidR="006C7012" w:rsidRPr="005B2DA7">
          <w:rPr>
            <w:rStyle w:val="Hyperlink"/>
            <w:noProof/>
          </w:rPr>
          <w:t>A LAGGED HFE SYSTEM</w:t>
        </w:r>
        <w:r w:rsidR="006C7012">
          <w:rPr>
            <w:noProof/>
            <w:webHidden/>
          </w:rPr>
          <w:tab/>
        </w:r>
        <w:r w:rsidR="006C7012">
          <w:rPr>
            <w:noProof/>
            <w:webHidden/>
          </w:rPr>
          <w:fldChar w:fldCharType="begin"/>
        </w:r>
        <w:r w:rsidR="006C7012">
          <w:rPr>
            <w:noProof/>
            <w:webHidden/>
          </w:rPr>
          <w:instrText xml:space="preserve"> PAGEREF _Toc482338177 \h </w:instrText>
        </w:r>
        <w:r w:rsidR="006C7012">
          <w:rPr>
            <w:noProof/>
            <w:webHidden/>
          </w:rPr>
        </w:r>
        <w:r w:rsidR="006C7012">
          <w:rPr>
            <w:noProof/>
            <w:webHidden/>
          </w:rPr>
          <w:fldChar w:fldCharType="separate"/>
        </w:r>
        <w:r w:rsidR="00E17AEF">
          <w:rPr>
            <w:noProof/>
            <w:webHidden/>
          </w:rPr>
          <w:t>1</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78" w:history="1">
        <w:r w:rsidR="006C7012" w:rsidRPr="005B2DA7">
          <w:rPr>
            <w:rStyle w:val="Hyperlink"/>
            <w:noProof/>
          </w:rPr>
          <w:t>What are the consequences of lags?</w:t>
        </w:r>
        <w:r w:rsidR="006C7012">
          <w:rPr>
            <w:noProof/>
            <w:webHidden/>
          </w:rPr>
          <w:tab/>
        </w:r>
        <w:r w:rsidR="006C7012">
          <w:rPr>
            <w:noProof/>
            <w:webHidden/>
          </w:rPr>
          <w:fldChar w:fldCharType="begin"/>
        </w:r>
        <w:r w:rsidR="006C7012">
          <w:rPr>
            <w:noProof/>
            <w:webHidden/>
          </w:rPr>
          <w:instrText xml:space="preserve"> PAGEREF _Toc482338178 \h </w:instrText>
        </w:r>
        <w:r w:rsidR="006C7012">
          <w:rPr>
            <w:noProof/>
            <w:webHidden/>
          </w:rPr>
        </w:r>
        <w:r w:rsidR="006C7012">
          <w:rPr>
            <w:noProof/>
            <w:webHidden/>
          </w:rPr>
          <w:fldChar w:fldCharType="separate"/>
        </w:r>
        <w:r w:rsidR="00E17AEF">
          <w:rPr>
            <w:noProof/>
            <w:webHidden/>
          </w:rPr>
          <w:t>2</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79" w:history="1">
        <w:r w:rsidR="006C7012" w:rsidRPr="005B2DA7">
          <w:rPr>
            <w:rStyle w:val="Hyperlink"/>
            <w:noProof/>
          </w:rPr>
          <w:t>Why do gaps arise?</w:t>
        </w:r>
        <w:r w:rsidR="006C7012">
          <w:rPr>
            <w:noProof/>
            <w:webHidden/>
          </w:rPr>
          <w:tab/>
        </w:r>
        <w:r w:rsidR="006C7012">
          <w:rPr>
            <w:noProof/>
            <w:webHidden/>
          </w:rPr>
          <w:fldChar w:fldCharType="begin"/>
        </w:r>
        <w:r w:rsidR="006C7012">
          <w:rPr>
            <w:noProof/>
            <w:webHidden/>
          </w:rPr>
          <w:instrText xml:space="preserve"> PAGEREF _Toc482338179 \h </w:instrText>
        </w:r>
        <w:r w:rsidR="006C7012">
          <w:rPr>
            <w:noProof/>
            <w:webHidden/>
          </w:rPr>
        </w:r>
        <w:r w:rsidR="006C7012">
          <w:rPr>
            <w:noProof/>
            <w:webHidden/>
          </w:rPr>
          <w:fldChar w:fldCharType="separate"/>
        </w:r>
        <w:r w:rsidR="00E17AEF">
          <w:rPr>
            <w:noProof/>
            <w:webHidden/>
          </w:rPr>
          <w:t>3</w:t>
        </w:r>
        <w:r w:rsidR="006C7012">
          <w:rPr>
            <w:noProof/>
            <w:webHidden/>
          </w:rPr>
          <w:fldChar w:fldCharType="end"/>
        </w:r>
      </w:hyperlink>
    </w:p>
    <w:p w:rsidR="006C7012" w:rsidRDefault="00C562FD">
      <w:pPr>
        <w:pStyle w:val="TOC1"/>
        <w:rPr>
          <w:rFonts w:eastAsiaTheme="minorEastAsia"/>
          <w:b w:val="0"/>
          <w:bCs w:val="0"/>
          <w:caps w:val="0"/>
          <w:noProof/>
          <w:sz w:val="22"/>
          <w:szCs w:val="22"/>
          <w:lang w:eastAsia="en-AU"/>
        </w:rPr>
      </w:pPr>
      <w:hyperlink w:anchor="_Toc482338180" w:history="1">
        <w:r w:rsidR="006C7012" w:rsidRPr="005B2DA7">
          <w:rPr>
            <w:rStyle w:val="Hyperlink"/>
            <w:noProof/>
          </w:rPr>
          <w:t>OPTIONS FOR MAKING THE COMMISSION’S RECOMMENDATIONS MORE CONTEMPORANEOUS</w:t>
        </w:r>
        <w:r w:rsidR="006C7012">
          <w:rPr>
            <w:noProof/>
            <w:webHidden/>
          </w:rPr>
          <w:tab/>
        </w:r>
        <w:r w:rsidR="006C7012">
          <w:rPr>
            <w:noProof/>
            <w:webHidden/>
          </w:rPr>
          <w:fldChar w:fldCharType="begin"/>
        </w:r>
        <w:r w:rsidR="006C7012">
          <w:rPr>
            <w:noProof/>
            <w:webHidden/>
          </w:rPr>
          <w:instrText xml:space="preserve"> PAGEREF _Toc482338180 \h </w:instrText>
        </w:r>
        <w:r w:rsidR="006C7012">
          <w:rPr>
            <w:noProof/>
            <w:webHidden/>
          </w:rPr>
        </w:r>
        <w:r w:rsidR="006C7012">
          <w:rPr>
            <w:noProof/>
            <w:webHidden/>
          </w:rPr>
          <w:fldChar w:fldCharType="separate"/>
        </w:r>
        <w:r w:rsidR="00E17AEF">
          <w:rPr>
            <w:noProof/>
            <w:webHidden/>
          </w:rPr>
          <w:t>5</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81" w:history="1">
        <w:r w:rsidR="006C7012" w:rsidRPr="005B2DA7">
          <w:rPr>
            <w:rStyle w:val="Hyperlink"/>
            <w:noProof/>
          </w:rPr>
          <w:t>Option — a one year model</w:t>
        </w:r>
        <w:r w:rsidR="006C7012">
          <w:rPr>
            <w:noProof/>
            <w:webHidden/>
          </w:rPr>
          <w:tab/>
        </w:r>
        <w:r w:rsidR="006C7012">
          <w:rPr>
            <w:noProof/>
            <w:webHidden/>
          </w:rPr>
          <w:fldChar w:fldCharType="begin"/>
        </w:r>
        <w:r w:rsidR="006C7012">
          <w:rPr>
            <w:noProof/>
            <w:webHidden/>
          </w:rPr>
          <w:instrText xml:space="preserve"> PAGEREF _Toc482338181 \h </w:instrText>
        </w:r>
        <w:r w:rsidR="006C7012">
          <w:rPr>
            <w:noProof/>
            <w:webHidden/>
          </w:rPr>
        </w:r>
        <w:r w:rsidR="006C7012">
          <w:rPr>
            <w:noProof/>
            <w:webHidden/>
          </w:rPr>
          <w:fldChar w:fldCharType="separate"/>
        </w:r>
        <w:r w:rsidR="00E17AEF">
          <w:rPr>
            <w:noProof/>
            <w:webHidden/>
          </w:rPr>
          <w:t>5</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82" w:history="1">
        <w:r w:rsidR="006C7012" w:rsidRPr="005B2DA7">
          <w:rPr>
            <w:rStyle w:val="Hyperlink"/>
            <w:noProof/>
          </w:rPr>
          <w:t>Option — a later reporting date</w:t>
        </w:r>
        <w:r w:rsidR="006C7012">
          <w:rPr>
            <w:noProof/>
            <w:webHidden/>
          </w:rPr>
          <w:tab/>
        </w:r>
        <w:r w:rsidR="006C7012">
          <w:rPr>
            <w:noProof/>
            <w:webHidden/>
          </w:rPr>
          <w:fldChar w:fldCharType="begin"/>
        </w:r>
        <w:r w:rsidR="006C7012">
          <w:rPr>
            <w:noProof/>
            <w:webHidden/>
          </w:rPr>
          <w:instrText xml:space="preserve"> PAGEREF _Toc482338182 \h </w:instrText>
        </w:r>
        <w:r w:rsidR="006C7012">
          <w:rPr>
            <w:noProof/>
            <w:webHidden/>
          </w:rPr>
        </w:r>
        <w:r w:rsidR="006C7012">
          <w:rPr>
            <w:noProof/>
            <w:webHidden/>
          </w:rPr>
          <w:fldChar w:fldCharType="separate"/>
        </w:r>
        <w:r w:rsidR="00E17AEF">
          <w:rPr>
            <w:noProof/>
            <w:webHidden/>
          </w:rPr>
          <w:t>7</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83" w:history="1">
        <w:r w:rsidR="006C7012" w:rsidRPr="005B2DA7">
          <w:rPr>
            <w:rStyle w:val="Hyperlink"/>
            <w:noProof/>
          </w:rPr>
          <w:t>Option — the use of projections or forecasts</w:t>
        </w:r>
        <w:r w:rsidR="006C7012">
          <w:rPr>
            <w:noProof/>
            <w:webHidden/>
          </w:rPr>
          <w:tab/>
        </w:r>
        <w:r w:rsidR="006C7012">
          <w:rPr>
            <w:noProof/>
            <w:webHidden/>
          </w:rPr>
          <w:fldChar w:fldCharType="begin"/>
        </w:r>
        <w:r w:rsidR="006C7012">
          <w:rPr>
            <w:noProof/>
            <w:webHidden/>
          </w:rPr>
          <w:instrText xml:space="preserve"> PAGEREF _Toc482338183 \h </w:instrText>
        </w:r>
        <w:r w:rsidR="006C7012">
          <w:rPr>
            <w:noProof/>
            <w:webHidden/>
          </w:rPr>
        </w:r>
        <w:r w:rsidR="006C7012">
          <w:rPr>
            <w:noProof/>
            <w:webHidden/>
          </w:rPr>
          <w:fldChar w:fldCharType="separate"/>
        </w:r>
        <w:r w:rsidR="00E17AEF">
          <w:rPr>
            <w:noProof/>
            <w:webHidden/>
          </w:rPr>
          <w:t>8</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84" w:history="1">
        <w:r w:rsidR="006C7012" w:rsidRPr="005B2DA7">
          <w:rPr>
            <w:rStyle w:val="Hyperlink"/>
            <w:noProof/>
          </w:rPr>
          <w:t>Option — applying a different treatment to volatile revenues</w:t>
        </w:r>
        <w:r w:rsidR="006C7012">
          <w:rPr>
            <w:noProof/>
            <w:webHidden/>
          </w:rPr>
          <w:tab/>
        </w:r>
        <w:r w:rsidR="006C7012">
          <w:rPr>
            <w:noProof/>
            <w:webHidden/>
          </w:rPr>
          <w:fldChar w:fldCharType="begin"/>
        </w:r>
        <w:r w:rsidR="006C7012">
          <w:rPr>
            <w:noProof/>
            <w:webHidden/>
          </w:rPr>
          <w:instrText xml:space="preserve"> PAGEREF _Toc482338184 \h </w:instrText>
        </w:r>
        <w:r w:rsidR="006C7012">
          <w:rPr>
            <w:noProof/>
            <w:webHidden/>
          </w:rPr>
        </w:r>
        <w:r w:rsidR="006C7012">
          <w:rPr>
            <w:noProof/>
            <w:webHidden/>
          </w:rPr>
          <w:fldChar w:fldCharType="separate"/>
        </w:r>
        <w:r w:rsidR="00E17AEF">
          <w:rPr>
            <w:noProof/>
            <w:webHidden/>
          </w:rPr>
          <w:t>12</w:t>
        </w:r>
        <w:r w:rsidR="006C7012">
          <w:rPr>
            <w:noProof/>
            <w:webHidden/>
          </w:rPr>
          <w:fldChar w:fldCharType="end"/>
        </w:r>
      </w:hyperlink>
    </w:p>
    <w:p w:rsidR="006C7012" w:rsidRDefault="00C562FD">
      <w:pPr>
        <w:pStyle w:val="TOC1"/>
        <w:rPr>
          <w:rFonts w:eastAsiaTheme="minorEastAsia"/>
          <w:b w:val="0"/>
          <w:bCs w:val="0"/>
          <w:caps w:val="0"/>
          <w:noProof/>
          <w:sz w:val="22"/>
          <w:szCs w:val="22"/>
          <w:lang w:eastAsia="en-AU"/>
        </w:rPr>
      </w:pPr>
      <w:hyperlink w:anchor="_Toc482338185" w:history="1">
        <w:r w:rsidR="006C7012" w:rsidRPr="005B2DA7">
          <w:rPr>
            <w:rStyle w:val="Hyperlink"/>
            <w:noProof/>
          </w:rPr>
          <w:t>OPTIONS FOR CORRECTING FOR GAPS</w:t>
        </w:r>
        <w:r w:rsidR="006C7012">
          <w:rPr>
            <w:noProof/>
            <w:webHidden/>
          </w:rPr>
          <w:tab/>
        </w:r>
        <w:r w:rsidR="006C7012">
          <w:rPr>
            <w:noProof/>
            <w:webHidden/>
          </w:rPr>
          <w:fldChar w:fldCharType="begin"/>
        </w:r>
        <w:r w:rsidR="006C7012">
          <w:rPr>
            <w:noProof/>
            <w:webHidden/>
          </w:rPr>
          <w:instrText xml:space="preserve"> PAGEREF _Toc482338185 \h </w:instrText>
        </w:r>
        <w:r w:rsidR="006C7012">
          <w:rPr>
            <w:noProof/>
            <w:webHidden/>
          </w:rPr>
        </w:r>
        <w:r w:rsidR="006C7012">
          <w:rPr>
            <w:noProof/>
            <w:webHidden/>
          </w:rPr>
          <w:fldChar w:fldCharType="separate"/>
        </w:r>
        <w:r w:rsidR="00E17AEF">
          <w:rPr>
            <w:noProof/>
            <w:webHidden/>
          </w:rPr>
          <w:t>15</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86" w:history="1">
        <w:r w:rsidR="006C7012" w:rsidRPr="005B2DA7">
          <w:rPr>
            <w:rStyle w:val="Hyperlink"/>
            <w:noProof/>
          </w:rPr>
          <w:t>Option — an advance and completion approach</w:t>
        </w:r>
        <w:r w:rsidR="006C7012">
          <w:rPr>
            <w:noProof/>
            <w:webHidden/>
          </w:rPr>
          <w:tab/>
        </w:r>
        <w:r w:rsidR="006C7012">
          <w:rPr>
            <w:noProof/>
            <w:webHidden/>
          </w:rPr>
          <w:fldChar w:fldCharType="begin"/>
        </w:r>
        <w:r w:rsidR="006C7012">
          <w:rPr>
            <w:noProof/>
            <w:webHidden/>
          </w:rPr>
          <w:instrText xml:space="preserve"> PAGEREF _Toc482338186 \h </w:instrText>
        </w:r>
        <w:r w:rsidR="006C7012">
          <w:rPr>
            <w:noProof/>
            <w:webHidden/>
          </w:rPr>
        </w:r>
        <w:r w:rsidR="006C7012">
          <w:rPr>
            <w:noProof/>
            <w:webHidden/>
          </w:rPr>
          <w:fldChar w:fldCharType="separate"/>
        </w:r>
        <w:r w:rsidR="00E17AEF">
          <w:rPr>
            <w:noProof/>
            <w:webHidden/>
          </w:rPr>
          <w:t>15</w:t>
        </w:r>
        <w:r w:rsidR="006C7012">
          <w:rPr>
            <w:noProof/>
            <w:webHidden/>
          </w:rPr>
          <w:fldChar w:fldCharType="end"/>
        </w:r>
      </w:hyperlink>
    </w:p>
    <w:p w:rsidR="006C7012" w:rsidRDefault="00C562FD">
      <w:pPr>
        <w:pStyle w:val="TOC2"/>
        <w:rPr>
          <w:rFonts w:eastAsiaTheme="minorEastAsia"/>
          <w:noProof/>
          <w:sz w:val="22"/>
          <w:szCs w:val="22"/>
          <w:lang w:eastAsia="en-AU"/>
        </w:rPr>
      </w:pPr>
      <w:hyperlink w:anchor="_Toc482338187" w:history="1">
        <w:r w:rsidR="006C7012" w:rsidRPr="005B2DA7">
          <w:rPr>
            <w:rStyle w:val="Hyperlink"/>
            <w:noProof/>
          </w:rPr>
          <w:t>Option — a completion only approach</w:t>
        </w:r>
        <w:r w:rsidR="006C7012">
          <w:rPr>
            <w:noProof/>
            <w:webHidden/>
          </w:rPr>
          <w:tab/>
        </w:r>
        <w:r w:rsidR="006C7012">
          <w:rPr>
            <w:noProof/>
            <w:webHidden/>
          </w:rPr>
          <w:fldChar w:fldCharType="begin"/>
        </w:r>
        <w:r w:rsidR="006C7012">
          <w:rPr>
            <w:noProof/>
            <w:webHidden/>
          </w:rPr>
          <w:instrText xml:space="preserve"> PAGEREF _Toc482338187 \h </w:instrText>
        </w:r>
        <w:r w:rsidR="006C7012">
          <w:rPr>
            <w:noProof/>
            <w:webHidden/>
          </w:rPr>
        </w:r>
        <w:r w:rsidR="006C7012">
          <w:rPr>
            <w:noProof/>
            <w:webHidden/>
          </w:rPr>
          <w:fldChar w:fldCharType="separate"/>
        </w:r>
        <w:r w:rsidR="00E17AEF">
          <w:rPr>
            <w:noProof/>
            <w:webHidden/>
          </w:rPr>
          <w:t>16</w:t>
        </w:r>
        <w:r w:rsidR="006C7012">
          <w:rPr>
            <w:noProof/>
            <w:webHidden/>
          </w:rPr>
          <w:fldChar w:fldCharType="end"/>
        </w:r>
      </w:hyperlink>
    </w:p>
    <w:p w:rsidR="006C7012" w:rsidRDefault="00C562FD">
      <w:pPr>
        <w:pStyle w:val="TOC1"/>
        <w:rPr>
          <w:rFonts w:eastAsiaTheme="minorEastAsia"/>
          <w:b w:val="0"/>
          <w:bCs w:val="0"/>
          <w:caps w:val="0"/>
          <w:noProof/>
          <w:sz w:val="22"/>
          <w:szCs w:val="22"/>
          <w:lang w:eastAsia="en-AU"/>
        </w:rPr>
      </w:pPr>
      <w:hyperlink w:anchor="_Toc482338188" w:history="1">
        <w:r w:rsidR="006C7012" w:rsidRPr="005B2DA7">
          <w:rPr>
            <w:rStyle w:val="Hyperlink"/>
            <w:noProof/>
          </w:rPr>
          <w:t>Conclusion</w:t>
        </w:r>
        <w:r w:rsidR="006C7012">
          <w:rPr>
            <w:noProof/>
            <w:webHidden/>
          </w:rPr>
          <w:tab/>
        </w:r>
        <w:r w:rsidR="006C7012">
          <w:rPr>
            <w:noProof/>
            <w:webHidden/>
          </w:rPr>
          <w:fldChar w:fldCharType="begin"/>
        </w:r>
        <w:r w:rsidR="006C7012">
          <w:rPr>
            <w:noProof/>
            <w:webHidden/>
          </w:rPr>
          <w:instrText xml:space="preserve"> PAGEREF _Toc482338188 \h </w:instrText>
        </w:r>
        <w:r w:rsidR="006C7012">
          <w:rPr>
            <w:noProof/>
            <w:webHidden/>
          </w:rPr>
        </w:r>
        <w:r w:rsidR="006C7012">
          <w:rPr>
            <w:noProof/>
            <w:webHidden/>
          </w:rPr>
          <w:fldChar w:fldCharType="separate"/>
        </w:r>
        <w:r w:rsidR="00E17AEF">
          <w:rPr>
            <w:noProof/>
            <w:webHidden/>
          </w:rPr>
          <w:t>17</w:t>
        </w:r>
        <w:r w:rsidR="006C7012">
          <w:rPr>
            <w:noProof/>
            <w:webHidden/>
          </w:rPr>
          <w:fldChar w:fldCharType="end"/>
        </w:r>
      </w:hyperlink>
    </w:p>
    <w:p w:rsidR="00DE6517" w:rsidRDefault="00DE6517" w:rsidP="00DE6517">
      <w:pPr>
        <w:tabs>
          <w:tab w:val="clear" w:pos="567"/>
        </w:tabs>
      </w:pPr>
      <w:r>
        <w:fldChar w:fldCharType="end"/>
      </w:r>
    </w:p>
    <w:p w:rsidR="00DE6517" w:rsidRPr="00E674AF" w:rsidRDefault="00DE6517" w:rsidP="00DE6517">
      <w:pPr>
        <w:tabs>
          <w:tab w:val="clear" w:pos="567"/>
        </w:tabs>
      </w:pPr>
    </w:p>
    <w:p w:rsidR="00DE6517" w:rsidRPr="00E674AF" w:rsidRDefault="00DE6517" w:rsidP="00DE6517">
      <w:pPr>
        <w:tabs>
          <w:tab w:val="clear" w:pos="567"/>
        </w:tabs>
        <w:sectPr w:rsidR="00DE6517" w:rsidRPr="00E674AF" w:rsidSect="00523FA0">
          <w:footerReference w:type="first" r:id="rId15"/>
          <w:pgSz w:w="11899" w:h="16838" w:code="9"/>
          <w:pgMar w:top="1701" w:right="1474" w:bottom="1701" w:left="1474" w:header="709" w:footer="709" w:gutter="0"/>
          <w:pgNumType w:fmt="lowerRoman" w:start="1"/>
          <w:cols w:space="708"/>
          <w:titlePg/>
          <w:docGrid w:linePitch="299"/>
        </w:sectPr>
      </w:pPr>
    </w:p>
    <w:p w:rsidR="00DE6517" w:rsidRPr="00E674AF" w:rsidRDefault="00DE6517" w:rsidP="00DE6517">
      <w:pPr>
        <w:pStyle w:val="Heading3"/>
      </w:pPr>
      <w:bookmarkStart w:id="6" w:name="Content"/>
      <w:bookmarkStart w:id="7" w:name="_Toc482338176"/>
      <w:bookmarkEnd w:id="6"/>
      <w:r>
        <w:lastRenderedPageBreak/>
        <w:t>BACKGROUND</w:t>
      </w:r>
      <w:bookmarkEnd w:id="7"/>
    </w:p>
    <w:tbl>
      <w:tblPr>
        <w:tblW w:w="0" w:type="auto"/>
        <w:tblInd w:w="108" w:type="dxa"/>
        <w:shd w:val="clear" w:color="auto" w:fill="D9F3E6"/>
        <w:tblLook w:val="04A0" w:firstRow="1" w:lastRow="0" w:firstColumn="1" w:lastColumn="0" w:noHBand="0" w:noVBand="1"/>
      </w:tblPr>
      <w:tblGrid>
        <w:gridCol w:w="8931"/>
      </w:tblGrid>
      <w:tr w:rsidR="00E55F94" w:rsidRPr="00E674AF" w:rsidTr="00B128B1">
        <w:tc>
          <w:tcPr>
            <w:tcW w:w="8931" w:type="dxa"/>
            <w:shd w:val="clear" w:color="auto" w:fill="D9F3E6"/>
          </w:tcPr>
          <w:p w:rsidR="005822DD" w:rsidRDefault="00E55F94" w:rsidP="005822DD">
            <w:bookmarkStart w:id="8" w:name="_Toc155675723"/>
            <w:bookmarkEnd w:id="8"/>
            <w:r>
              <w:t xml:space="preserve">This staff research paper provides quantitative analyses of issues raised in Staff Discussion Paper 2017-02-S </w:t>
            </w:r>
            <w:r w:rsidRPr="00D80C7A">
              <w:rPr>
                <w:i/>
              </w:rPr>
              <w:t>The principle of HFE and its implementation</w:t>
            </w:r>
            <w:r>
              <w:t xml:space="preserve">. </w:t>
            </w:r>
            <w:r w:rsidR="006A17D4">
              <w:t>It</w:t>
            </w:r>
            <w:r w:rsidR="005822DD">
              <w:t xml:space="preserve">s purpose is to provide material States may find </w:t>
            </w:r>
            <w:r w:rsidR="004D3537">
              <w:t>helpful</w:t>
            </w:r>
            <w:r w:rsidR="005822DD">
              <w:t xml:space="preserve"> in preparing a response to the staff discussion paper.</w:t>
            </w:r>
          </w:p>
          <w:p w:rsidR="00E55F94" w:rsidRPr="00E674AF" w:rsidRDefault="005822DD" w:rsidP="005822DD">
            <w:r>
              <w:t xml:space="preserve">Commission </w:t>
            </w:r>
            <w:proofErr w:type="gramStart"/>
            <w:r>
              <w:t>staff are</w:t>
            </w:r>
            <w:proofErr w:type="gramEnd"/>
            <w:r>
              <w:t xml:space="preserve"> not seeking State submissions on the issues raised in this staff research paper.</w:t>
            </w:r>
          </w:p>
        </w:tc>
      </w:tr>
    </w:tbl>
    <w:p w:rsidR="00E55F94" w:rsidRPr="00E674AF" w:rsidRDefault="00E55F94" w:rsidP="00E55F94">
      <w:pPr>
        <w:tabs>
          <w:tab w:val="clear" w:pos="567"/>
        </w:tabs>
      </w:pPr>
    </w:p>
    <w:p w:rsidR="00DE6517" w:rsidRDefault="00DE6517" w:rsidP="00DE6517">
      <w:pPr>
        <w:pStyle w:val="CGCNumberedPara"/>
        <w:numPr>
          <w:ilvl w:val="1"/>
          <w:numId w:val="3"/>
        </w:numPr>
      </w:pPr>
      <w:r>
        <w:t>In the 2010 and 2015 Review, the Commission said its intention was, as far as is practical, to achieve equalisation in the application year.</w:t>
      </w:r>
      <w:r>
        <w:rPr>
          <w:rStyle w:val="FootnoteReference"/>
        </w:rPr>
        <w:footnoteReference w:id="1"/>
      </w:r>
      <w:r>
        <w:t xml:space="preserve"> It is </w:t>
      </w:r>
      <w:r w:rsidR="002F37FC">
        <w:t>constrained</w:t>
      </w:r>
      <w:r>
        <w:t xml:space="preserve"> in achieving its objective because of the practicalities of obtaining reliable data for that year. In the light of those practicalities, it trades-off some contemporaneity for greater data reliability by basing its recommendations on States’ historical fiscal capacities. </w:t>
      </w:r>
      <w:r w:rsidR="00523FA0">
        <w:t>Where a State’s fiscal capacity is broadly the same as it was during the years to which the historical data relate, this approach ensure</w:t>
      </w:r>
      <w:r w:rsidR="00201944">
        <w:t>s</w:t>
      </w:r>
      <w:r w:rsidR="00523FA0">
        <w:t xml:space="preserve"> equalisation in the application year.  However, u</w:t>
      </w:r>
      <w:r>
        <w:t xml:space="preserve">sing historical data builds lags into the HFE system, which can prevent the Commission’s recommendations from delivering </w:t>
      </w:r>
      <w:r w:rsidR="00E345BB">
        <w:t xml:space="preserve">a fully contemporaneous GST distribution, that is, </w:t>
      </w:r>
      <w:r>
        <w:t xml:space="preserve">the GST </w:t>
      </w:r>
      <w:r w:rsidR="00C32A09">
        <w:t xml:space="preserve">revenue </w:t>
      </w:r>
      <w:r>
        <w:t>States require in an application year</w:t>
      </w:r>
      <w:r w:rsidR="00523FA0">
        <w:t xml:space="preserve"> when their circumstances have changed</w:t>
      </w:r>
      <w:r>
        <w:t>.</w:t>
      </w:r>
    </w:p>
    <w:p w:rsidR="00DE6517" w:rsidRDefault="00DE6517" w:rsidP="00DE6517">
      <w:pPr>
        <w:pStyle w:val="CGCNumberedPara"/>
        <w:numPr>
          <w:ilvl w:val="1"/>
          <w:numId w:val="3"/>
        </w:numPr>
      </w:pPr>
      <w:r>
        <w:t>As part of the 2020 Review, the Commission is considering alternatives to its existing (relativities) approach.</w:t>
      </w:r>
      <w:r w:rsidRPr="00AB4D98">
        <w:t xml:space="preserve"> </w:t>
      </w:r>
      <w:r>
        <w:t>Staff discussion paper 2017</w:t>
      </w:r>
      <w:r w:rsidR="00E345BB">
        <w:noBreakHyphen/>
        <w:t>02</w:t>
      </w:r>
      <w:r w:rsidR="00E345BB">
        <w:noBreakHyphen/>
        <w:t xml:space="preserve">S </w:t>
      </w:r>
      <w:proofErr w:type="gramStart"/>
      <w:r w:rsidR="00C32A09">
        <w:rPr>
          <w:i/>
        </w:rPr>
        <w:t>The</w:t>
      </w:r>
      <w:proofErr w:type="gramEnd"/>
      <w:r w:rsidR="00C32A09">
        <w:rPr>
          <w:i/>
        </w:rPr>
        <w:t xml:space="preserve"> principle of H</w:t>
      </w:r>
      <w:r w:rsidR="00E345BB" w:rsidRPr="00E345BB">
        <w:rPr>
          <w:i/>
        </w:rPr>
        <w:t>FE</w:t>
      </w:r>
      <w:r w:rsidR="00C32A09">
        <w:rPr>
          <w:i/>
        </w:rPr>
        <w:t xml:space="preserve"> and its </w:t>
      </w:r>
      <w:r w:rsidR="00E345BB" w:rsidRPr="00E345BB">
        <w:rPr>
          <w:i/>
        </w:rPr>
        <w:t>implementation</w:t>
      </w:r>
      <w:r>
        <w:t xml:space="preserve"> </w:t>
      </w:r>
      <w:r w:rsidR="00E345BB">
        <w:t>discussed</w:t>
      </w:r>
      <w:r>
        <w:t xml:space="preserve"> some of these options. This research paper provides the results of analyses Commission staff have undertaken on them.</w:t>
      </w:r>
    </w:p>
    <w:p w:rsidR="00DE6517" w:rsidRPr="00E674AF" w:rsidRDefault="00DE6517" w:rsidP="00DE6517">
      <w:pPr>
        <w:pStyle w:val="Heading3"/>
      </w:pPr>
      <w:bookmarkStart w:id="9" w:name="_Toc482338177"/>
      <w:bookmarkStart w:id="10" w:name="_Toc449953372"/>
      <w:r>
        <w:t>A LAGGED HFE SYSTEM</w:t>
      </w:r>
      <w:bookmarkEnd w:id="9"/>
    </w:p>
    <w:bookmarkEnd w:id="10"/>
    <w:p w:rsidR="00DE6517" w:rsidRDefault="00DE6517" w:rsidP="00DE6517">
      <w:pPr>
        <w:pStyle w:val="CGCNumberedPara"/>
        <w:numPr>
          <w:ilvl w:val="1"/>
          <w:numId w:val="3"/>
        </w:numPr>
      </w:pPr>
      <w:r>
        <w:t xml:space="preserve">The relativities approach assumes the ratio of States’ assessed deficits </w:t>
      </w:r>
      <w:r w:rsidR="00523FA0">
        <w:t xml:space="preserve">(based on historical data) </w:t>
      </w:r>
      <w:r>
        <w:t>to their per capita share of the pool continues into the application year</w:t>
      </w:r>
      <w:r w:rsidR="00383A1C">
        <w:t>;</w:t>
      </w:r>
      <w:r>
        <w:t xml:space="preserve"> </w:t>
      </w:r>
      <w:r w:rsidR="00383A1C">
        <w:t>t</w:t>
      </w:r>
      <w:r>
        <w:t>hat is, States’ assessed deficits are inflated by the growth in the pool.</w:t>
      </w:r>
      <w:r>
        <w:rPr>
          <w:rStyle w:val="FootnoteReference"/>
        </w:rPr>
        <w:footnoteReference w:id="2"/>
      </w:r>
      <w:r>
        <w:t xml:space="preserve"> This approach will not deliver </w:t>
      </w:r>
      <w:r w:rsidR="00E345BB">
        <w:t xml:space="preserve">a fully contemporaneous GST distribution </w:t>
      </w:r>
      <w:r>
        <w:t xml:space="preserve">if that assumption does not hold. The question is whether better </w:t>
      </w:r>
      <w:r w:rsidR="00E345BB">
        <w:t xml:space="preserve">HFE </w:t>
      </w:r>
      <w:r>
        <w:t>outcomes can be obtained using another approach.</w:t>
      </w:r>
    </w:p>
    <w:p w:rsidR="00DE6517" w:rsidRDefault="00DE6517" w:rsidP="00DE6517">
      <w:pPr>
        <w:pStyle w:val="Heading4"/>
      </w:pPr>
      <w:bookmarkStart w:id="11" w:name="_Toc449953373"/>
      <w:bookmarkStart w:id="12" w:name="_Toc482338178"/>
      <w:r>
        <w:lastRenderedPageBreak/>
        <w:t>What are the consequences of lags?</w:t>
      </w:r>
      <w:bookmarkEnd w:id="11"/>
      <w:bookmarkEnd w:id="12"/>
    </w:p>
    <w:p w:rsidR="00DE6517" w:rsidRDefault="00DE6517" w:rsidP="00DE6517">
      <w:pPr>
        <w:pStyle w:val="CGCNumberedPara"/>
        <w:numPr>
          <w:ilvl w:val="1"/>
          <w:numId w:val="3"/>
        </w:numPr>
      </w:pPr>
      <w:bookmarkStart w:id="13" w:name="_Ref447789475"/>
      <w:r>
        <w:t xml:space="preserve">The lags in the HFE system mean an assessment of the GST </w:t>
      </w:r>
      <w:r w:rsidR="00523FA0">
        <w:t xml:space="preserve">that </w:t>
      </w:r>
      <w:r>
        <w:t xml:space="preserve">a State requires in advance of a given year (its </w:t>
      </w:r>
      <w:r w:rsidRPr="00201944">
        <w:rPr>
          <w:b/>
          <w:i/>
        </w:rPr>
        <w:t>GST payment</w:t>
      </w:r>
      <w:r>
        <w:t xml:space="preserve">) can differ from the assessment of the GST it actually required in that year (its </w:t>
      </w:r>
      <w:r w:rsidRPr="00201944">
        <w:rPr>
          <w:b/>
          <w:i/>
        </w:rPr>
        <w:t>GST requirement</w:t>
      </w:r>
      <w:r>
        <w:rPr>
          <w:rStyle w:val="FootnoteReference"/>
        </w:rPr>
        <w:footnoteReference w:id="3"/>
      </w:r>
      <w:r>
        <w:t>).</w:t>
      </w:r>
      <w:r w:rsidRPr="007F7900">
        <w:t xml:space="preserve"> </w:t>
      </w:r>
      <w:r>
        <w:t xml:space="preserve">The gap is </w:t>
      </w:r>
      <w:r w:rsidR="00523FA0">
        <w:t xml:space="preserve">a measure of </w:t>
      </w:r>
      <w:r>
        <w:t xml:space="preserve">the extent to which the Commission’s relativities are not </w:t>
      </w:r>
      <w:r w:rsidR="00CA492C">
        <w:t xml:space="preserve">fully </w:t>
      </w:r>
      <w:r>
        <w:t>contemporaneous. Other approaches are considered more contemporaneous if they generate smaller gaps.</w:t>
      </w:r>
    </w:p>
    <w:p w:rsidR="002D5261" w:rsidRDefault="00F21EE2" w:rsidP="00F21EE2">
      <w:pPr>
        <w:pStyle w:val="CGCNumberedPara"/>
        <w:numPr>
          <w:ilvl w:val="1"/>
          <w:numId w:val="3"/>
        </w:numPr>
      </w:pPr>
      <w:r>
        <w:t xml:space="preserve">An analysis of gaps (and options for reducing or removing them) is only relevant if achieving equalisation in the application year remains the Commission’s intention. </w:t>
      </w:r>
    </w:p>
    <w:p w:rsidR="00DE6517" w:rsidRDefault="00DE6517" w:rsidP="00DE6517">
      <w:pPr>
        <w:pStyle w:val="CGCNumberedPara"/>
        <w:numPr>
          <w:ilvl w:val="1"/>
          <w:numId w:val="3"/>
        </w:numPr>
      </w:pPr>
      <w:r>
        <w:fldChar w:fldCharType="begin"/>
      </w:r>
      <w:r>
        <w:instrText xml:space="preserve"> REF _Ref450122607 \h </w:instrText>
      </w:r>
      <w:r>
        <w:fldChar w:fldCharType="separate"/>
      </w:r>
      <w:r w:rsidR="00E17AEF">
        <w:t xml:space="preserve">Table </w:t>
      </w:r>
      <w:proofErr w:type="gramStart"/>
      <w:r w:rsidR="00E17AEF">
        <w:rPr>
          <w:noProof/>
        </w:rPr>
        <w:t>1</w:t>
      </w:r>
      <w:r>
        <w:fldChar w:fldCharType="end"/>
      </w:r>
      <w:r>
        <w:t xml:space="preserve"> shows</w:t>
      </w:r>
      <w:proofErr w:type="gramEnd"/>
      <w:r>
        <w:t xml:space="preserve"> States’ GST payments, GST requirements and the gaps for </w:t>
      </w:r>
      <w:r w:rsidR="000A2CF2">
        <w:t>2010</w:t>
      </w:r>
      <w:r w:rsidR="000A2CF2">
        <w:noBreakHyphen/>
        <w:t>11 and 2011</w:t>
      </w:r>
      <w:r w:rsidR="000A2CF2">
        <w:noBreakHyphen/>
        <w:t xml:space="preserve">12. While gaps can be calculated for the years since, they would be affected by the changes to assessment methods in the 2015 Review. For these two years, </w:t>
      </w:r>
      <w:r w:rsidR="000A2CF2">
        <w:fldChar w:fldCharType="begin"/>
      </w:r>
      <w:r w:rsidR="000A2CF2">
        <w:instrText xml:space="preserve"> REF _Ref450122607 \h </w:instrText>
      </w:r>
      <w:r w:rsidR="000A2CF2">
        <w:fldChar w:fldCharType="separate"/>
      </w:r>
      <w:r w:rsidR="00E17AEF">
        <w:t xml:space="preserve">Table </w:t>
      </w:r>
      <w:r w:rsidR="00E17AEF">
        <w:rPr>
          <w:noProof/>
        </w:rPr>
        <w:t>1</w:t>
      </w:r>
      <w:r w:rsidR="000A2CF2">
        <w:fldChar w:fldCharType="end"/>
      </w:r>
      <w:r w:rsidR="000A2CF2">
        <w:t xml:space="preserve"> shows that</w:t>
      </w:r>
      <w:r>
        <w:t>:</w:t>
      </w:r>
    </w:p>
    <w:p w:rsidR="000A2CF2" w:rsidRDefault="000A2CF2" w:rsidP="000A2CF2">
      <w:pPr>
        <w:pStyle w:val="CGCBulletlist"/>
        <w:numPr>
          <w:ilvl w:val="0"/>
          <w:numId w:val="1"/>
        </w:numPr>
        <w:tabs>
          <w:tab w:val="clear" w:pos="927"/>
        </w:tabs>
        <w:ind w:left="1134" w:hanging="567"/>
      </w:pPr>
      <w:proofErr w:type="gramStart"/>
      <w:r>
        <w:t>some</w:t>
      </w:r>
      <w:proofErr w:type="gramEnd"/>
      <w:r>
        <w:t xml:space="preserve"> States received more GST than they required — Victoria, Western Australia and South Australia.</w:t>
      </w:r>
    </w:p>
    <w:p w:rsidR="000A2CF2" w:rsidRDefault="000A2CF2" w:rsidP="000A2CF2">
      <w:pPr>
        <w:pStyle w:val="CGCBulletlist"/>
        <w:numPr>
          <w:ilvl w:val="0"/>
          <w:numId w:val="1"/>
        </w:numPr>
        <w:tabs>
          <w:tab w:val="clear" w:pos="927"/>
        </w:tabs>
        <w:ind w:left="1134" w:hanging="567"/>
      </w:pPr>
      <w:proofErr w:type="gramStart"/>
      <w:r>
        <w:t>some</w:t>
      </w:r>
      <w:proofErr w:type="gramEnd"/>
      <w:r>
        <w:t xml:space="preserve"> received less — New South Wales, Queensland, Tasmania, ACT and the Northern Territory.</w:t>
      </w:r>
    </w:p>
    <w:p w:rsidR="003E3F3E" w:rsidRDefault="003E3F3E" w:rsidP="003E3F3E">
      <w:pPr>
        <w:pStyle w:val="Caption"/>
      </w:pPr>
      <w:bookmarkStart w:id="14" w:name="_Ref450122607"/>
      <w:r>
        <w:t xml:space="preserve">Table </w:t>
      </w:r>
      <w:r w:rsidR="00C562FD">
        <w:fldChar w:fldCharType="begin"/>
      </w:r>
      <w:r w:rsidR="00C562FD">
        <w:instrText xml:space="preserve"> SEQ Table \* ARABIC </w:instrText>
      </w:r>
      <w:r w:rsidR="00C562FD">
        <w:fldChar w:fldCharType="separate"/>
      </w:r>
      <w:r>
        <w:rPr>
          <w:noProof/>
        </w:rPr>
        <w:t>1</w:t>
      </w:r>
      <w:r w:rsidR="00C562FD">
        <w:rPr>
          <w:noProof/>
        </w:rPr>
        <w:fldChar w:fldCharType="end"/>
      </w:r>
      <w:bookmarkEnd w:id="14"/>
      <w:r>
        <w:tab/>
        <w:t>The gap under a relativities approach</w:t>
      </w:r>
    </w:p>
    <w:tbl>
      <w:tblPr>
        <w:tblW w:w="5000" w:type="pct"/>
        <w:tblCellMar>
          <w:left w:w="85" w:type="dxa"/>
          <w:right w:w="85" w:type="dxa"/>
        </w:tblCellMar>
        <w:tblLook w:val="0000" w:firstRow="0" w:lastRow="0" w:firstColumn="0" w:lastColumn="0" w:noHBand="0" w:noVBand="0"/>
      </w:tblPr>
      <w:tblGrid>
        <w:gridCol w:w="1221"/>
        <w:gridCol w:w="878"/>
        <w:gridCol w:w="878"/>
        <w:gridCol w:w="877"/>
        <w:gridCol w:w="877"/>
        <w:gridCol w:w="903"/>
        <w:gridCol w:w="877"/>
        <w:gridCol w:w="877"/>
        <w:gridCol w:w="877"/>
        <w:gridCol w:w="856"/>
      </w:tblGrid>
      <w:tr w:rsidR="003E3F3E" w:rsidRPr="00FE3F73" w:rsidTr="003E3F3E">
        <w:tc>
          <w:tcPr>
            <w:tcW w:w="669" w:type="pct"/>
            <w:tcBorders>
              <w:top w:val="single" w:sz="6" w:space="0" w:color="auto"/>
              <w:bottom w:val="single" w:sz="6" w:space="0" w:color="auto"/>
            </w:tcBorders>
            <w:vAlign w:val="bottom"/>
          </w:tcPr>
          <w:p w:rsidR="003E3F3E" w:rsidRPr="00FE3F73" w:rsidRDefault="003E3F3E" w:rsidP="003E3F3E">
            <w:pPr>
              <w:pStyle w:val="CGCTableStub"/>
              <w:spacing w:line="240" w:lineRule="auto"/>
              <w:ind w:left="142" w:hanging="142"/>
              <w:rPr>
                <w:rFonts w:cstheme="minorHAnsi"/>
              </w:rPr>
            </w:pPr>
          </w:p>
        </w:tc>
        <w:tc>
          <w:tcPr>
            <w:tcW w:w="481"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sidRPr="00FE3F73">
              <w:rPr>
                <w:rFonts w:cstheme="minorHAnsi"/>
              </w:rPr>
              <w:t>NSW</w:t>
            </w:r>
          </w:p>
        </w:tc>
        <w:tc>
          <w:tcPr>
            <w:tcW w:w="481"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sidRPr="00FE3F73">
              <w:rPr>
                <w:rFonts w:cstheme="minorHAnsi"/>
              </w:rPr>
              <w:t>Vic</w:t>
            </w:r>
          </w:p>
        </w:tc>
        <w:tc>
          <w:tcPr>
            <w:tcW w:w="481"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sidRPr="00FE3F73">
              <w:rPr>
                <w:rFonts w:cstheme="minorHAnsi"/>
              </w:rPr>
              <w:t>Qld</w:t>
            </w:r>
          </w:p>
        </w:tc>
        <w:tc>
          <w:tcPr>
            <w:tcW w:w="481"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sidRPr="00FE3F73">
              <w:rPr>
                <w:rFonts w:cstheme="minorHAnsi"/>
              </w:rPr>
              <w:t>WA</w:t>
            </w:r>
          </w:p>
        </w:tc>
        <w:tc>
          <w:tcPr>
            <w:tcW w:w="495"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sidRPr="00FE3F73">
              <w:rPr>
                <w:rFonts w:cstheme="minorHAnsi"/>
              </w:rPr>
              <w:t>SA</w:t>
            </w:r>
          </w:p>
        </w:tc>
        <w:tc>
          <w:tcPr>
            <w:tcW w:w="481"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proofErr w:type="spellStart"/>
            <w:r w:rsidRPr="00FE3F73">
              <w:rPr>
                <w:rFonts w:cstheme="minorHAnsi"/>
              </w:rPr>
              <w:t>Tas</w:t>
            </w:r>
            <w:proofErr w:type="spellEnd"/>
          </w:p>
        </w:tc>
        <w:tc>
          <w:tcPr>
            <w:tcW w:w="481"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sidRPr="00FE3F73">
              <w:rPr>
                <w:rFonts w:cstheme="minorHAnsi"/>
              </w:rPr>
              <w:t>ACT</w:t>
            </w:r>
          </w:p>
        </w:tc>
        <w:tc>
          <w:tcPr>
            <w:tcW w:w="481"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sidRPr="00FE3F73">
              <w:rPr>
                <w:rFonts w:cstheme="minorHAnsi"/>
              </w:rPr>
              <w:t>NT</w:t>
            </w:r>
          </w:p>
        </w:tc>
        <w:tc>
          <w:tcPr>
            <w:tcW w:w="469" w:type="pct"/>
            <w:tcBorders>
              <w:top w:val="single" w:sz="6" w:space="0" w:color="auto"/>
              <w:bottom w:val="single" w:sz="6" w:space="0" w:color="auto"/>
            </w:tcBorders>
            <w:vAlign w:val="bottom"/>
          </w:tcPr>
          <w:p w:rsidR="003E3F3E" w:rsidRPr="00FE3F73" w:rsidRDefault="003E3F3E" w:rsidP="003E3F3E">
            <w:pPr>
              <w:pStyle w:val="TableColHeadings"/>
              <w:rPr>
                <w:rFonts w:cstheme="minorHAnsi"/>
              </w:rPr>
            </w:pPr>
            <w:r>
              <w:rPr>
                <w:rFonts w:cstheme="minorHAnsi"/>
              </w:rPr>
              <w:t>Total</w:t>
            </w:r>
          </w:p>
        </w:tc>
      </w:tr>
      <w:tr w:rsidR="003E3F3E" w:rsidRPr="00FE3F73" w:rsidTr="003E3F3E">
        <w:tc>
          <w:tcPr>
            <w:tcW w:w="669" w:type="pct"/>
            <w:tcMar>
              <w:top w:w="0" w:type="dxa"/>
              <w:bottom w:w="0" w:type="dxa"/>
            </w:tcMar>
            <w:vAlign w:val="bottom"/>
          </w:tcPr>
          <w:p w:rsidR="003E3F3E" w:rsidRPr="00FE3F73" w:rsidRDefault="003E3F3E" w:rsidP="003E3F3E">
            <w:pPr>
              <w:pStyle w:val="CGCTableStub"/>
              <w:spacing w:before="0" w:after="0" w:line="240" w:lineRule="auto"/>
              <w:jc w:val="right"/>
              <w:rPr>
                <w:rFonts w:cstheme="minorHAnsi"/>
              </w:rPr>
            </w:pPr>
          </w:p>
        </w:tc>
        <w:tc>
          <w:tcPr>
            <w:tcW w:w="481"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95"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c>
          <w:tcPr>
            <w:tcW w:w="469" w:type="pct"/>
            <w:tcMar>
              <w:top w:w="0" w:type="dxa"/>
              <w:bottom w:w="0" w:type="dxa"/>
            </w:tcMar>
            <w:vAlign w:val="bottom"/>
          </w:tcPr>
          <w:p w:rsidR="003E3F3E" w:rsidRPr="00FE3F73" w:rsidRDefault="003E3F3E" w:rsidP="003E3F3E">
            <w:pPr>
              <w:pStyle w:val="TableRowNormal"/>
              <w:spacing w:before="0" w:after="0" w:line="240" w:lineRule="auto"/>
              <w:ind w:left="0" w:firstLine="0"/>
              <w:rPr>
                <w:rFonts w:cstheme="minorHAnsi"/>
              </w:rPr>
            </w:pPr>
            <w:r>
              <w:rPr>
                <w:rFonts w:cstheme="minorHAnsi"/>
              </w:rPr>
              <w:t>$m</w:t>
            </w:r>
          </w:p>
        </w:tc>
      </w:tr>
      <w:tr w:rsidR="003E3F3E" w:rsidRPr="00D242C3" w:rsidTr="003E3F3E">
        <w:tc>
          <w:tcPr>
            <w:tcW w:w="3088" w:type="pct"/>
            <w:gridSpan w:val="6"/>
            <w:vAlign w:val="bottom"/>
          </w:tcPr>
          <w:p w:rsidR="003E3F3E" w:rsidRPr="00D242C3" w:rsidRDefault="003E3F3E" w:rsidP="003E3F3E">
            <w:pPr>
              <w:pStyle w:val="CGCTableStub"/>
              <w:spacing w:before="0" w:after="0" w:line="240" w:lineRule="auto"/>
              <w:rPr>
                <w:rFonts w:cstheme="minorHAnsi"/>
                <w:b/>
              </w:rPr>
            </w:pPr>
            <w:r w:rsidRPr="00D242C3">
              <w:rPr>
                <w:rFonts w:cstheme="minorHAnsi"/>
                <w:b/>
              </w:rPr>
              <w:t xml:space="preserve">GST </w:t>
            </w:r>
            <w:r>
              <w:rPr>
                <w:rFonts w:cstheme="minorHAnsi"/>
                <w:b/>
              </w:rPr>
              <w:t>payment</w:t>
            </w:r>
          </w:p>
        </w:tc>
        <w:tc>
          <w:tcPr>
            <w:tcW w:w="481" w:type="pct"/>
            <w:vAlign w:val="bottom"/>
          </w:tcPr>
          <w:p w:rsidR="003E3F3E" w:rsidRPr="00D242C3" w:rsidRDefault="003E3F3E" w:rsidP="003E3F3E">
            <w:pPr>
              <w:pStyle w:val="CGCTableStub"/>
              <w:spacing w:before="0" w:after="0" w:line="240" w:lineRule="auto"/>
              <w:jc w:val="right"/>
              <w:rPr>
                <w:rFonts w:cstheme="minorHAnsi"/>
              </w:rPr>
            </w:pPr>
          </w:p>
        </w:tc>
        <w:tc>
          <w:tcPr>
            <w:tcW w:w="481" w:type="pct"/>
            <w:vAlign w:val="bottom"/>
          </w:tcPr>
          <w:p w:rsidR="003E3F3E" w:rsidRPr="00D242C3" w:rsidRDefault="003E3F3E" w:rsidP="003E3F3E">
            <w:pPr>
              <w:pStyle w:val="CGCTableStub"/>
              <w:spacing w:before="0" w:after="0" w:line="240" w:lineRule="auto"/>
              <w:jc w:val="right"/>
              <w:rPr>
                <w:rFonts w:cstheme="minorHAnsi"/>
              </w:rPr>
            </w:pPr>
          </w:p>
        </w:tc>
        <w:tc>
          <w:tcPr>
            <w:tcW w:w="481" w:type="pct"/>
            <w:vAlign w:val="bottom"/>
          </w:tcPr>
          <w:p w:rsidR="003E3F3E" w:rsidRPr="00D242C3" w:rsidRDefault="003E3F3E" w:rsidP="003E3F3E">
            <w:pPr>
              <w:pStyle w:val="CGCTableStub"/>
              <w:spacing w:before="0" w:after="0" w:line="240" w:lineRule="auto"/>
              <w:jc w:val="right"/>
              <w:rPr>
                <w:rFonts w:cstheme="minorHAnsi"/>
              </w:rPr>
            </w:pPr>
          </w:p>
        </w:tc>
        <w:tc>
          <w:tcPr>
            <w:tcW w:w="469" w:type="pct"/>
            <w:vAlign w:val="bottom"/>
          </w:tcPr>
          <w:p w:rsidR="003E3F3E" w:rsidRPr="00D242C3" w:rsidRDefault="003E3F3E" w:rsidP="003E3F3E">
            <w:pPr>
              <w:pStyle w:val="CGCTableStub"/>
              <w:spacing w:before="0" w:after="0" w:line="240" w:lineRule="auto"/>
              <w:jc w:val="right"/>
              <w:rPr>
                <w:rFonts w:cstheme="minorHAnsi"/>
              </w:rPr>
            </w:pPr>
          </w:p>
        </w:tc>
      </w:tr>
      <w:tr w:rsidR="003E3F3E" w:rsidRPr="00FE3F73" w:rsidTr="003E3F3E">
        <w:tc>
          <w:tcPr>
            <w:tcW w:w="669" w:type="pct"/>
            <w:vAlign w:val="bottom"/>
          </w:tcPr>
          <w:p w:rsidR="003E3F3E" w:rsidRPr="00FE3F73" w:rsidRDefault="003E3F3E" w:rsidP="003E3F3E">
            <w:pPr>
              <w:pStyle w:val="CGCTableStub"/>
              <w:tabs>
                <w:tab w:val="left" w:pos="142"/>
                <w:tab w:val="left" w:pos="425"/>
                <w:tab w:val="left" w:pos="709"/>
                <w:tab w:val="left" w:pos="851"/>
              </w:tabs>
              <w:ind w:left="142" w:hanging="142"/>
              <w:rPr>
                <w:rFonts w:cstheme="minorHAnsi"/>
              </w:rPr>
            </w:pPr>
            <w:r>
              <w:rPr>
                <w:rFonts w:cstheme="minorHAnsi"/>
              </w:rPr>
              <w:t>2010-11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14</w:t>
            </w:r>
            <w:r>
              <w:rPr>
                <w:rFonts w:cstheme="minorHAnsi"/>
              </w:rPr>
              <w:t xml:space="preserve"> </w:t>
            </w:r>
            <w:r w:rsidRPr="007A03BE">
              <w:rPr>
                <w:rFonts w:cstheme="minorHAnsi"/>
              </w:rPr>
              <w:t>151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10</w:t>
            </w:r>
            <w:r>
              <w:rPr>
                <w:rFonts w:cstheme="minorHAnsi"/>
              </w:rPr>
              <w:t xml:space="preserve"> </w:t>
            </w:r>
            <w:r w:rsidRPr="007A03BE">
              <w:rPr>
                <w:rFonts w:cstheme="minorHAnsi"/>
              </w:rPr>
              <w:t>699</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8</w:t>
            </w:r>
            <w:r>
              <w:rPr>
                <w:rFonts w:cstheme="minorHAnsi"/>
              </w:rPr>
              <w:t xml:space="preserve"> </w:t>
            </w:r>
            <w:r w:rsidRPr="007A03BE">
              <w:rPr>
                <w:rFonts w:cstheme="minorHAnsi"/>
              </w:rPr>
              <w:t>396</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3</w:t>
            </w:r>
            <w:r>
              <w:rPr>
                <w:rFonts w:cstheme="minorHAnsi"/>
              </w:rPr>
              <w:t xml:space="preserve"> </w:t>
            </w:r>
            <w:r w:rsidRPr="007A03BE">
              <w:rPr>
                <w:rFonts w:cstheme="minorHAnsi"/>
              </w:rPr>
              <w:t>285</w:t>
            </w:r>
          </w:p>
        </w:tc>
        <w:tc>
          <w:tcPr>
            <w:tcW w:w="495" w:type="pct"/>
            <w:vAlign w:val="bottom"/>
          </w:tcPr>
          <w:p w:rsidR="003E3F3E" w:rsidRPr="007A03BE" w:rsidRDefault="003E3F3E" w:rsidP="003E3F3E">
            <w:pPr>
              <w:pStyle w:val="TableRowNormal"/>
              <w:ind w:left="0" w:firstLine="0"/>
              <w:rPr>
                <w:rFonts w:cstheme="minorHAnsi"/>
              </w:rPr>
            </w:pPr>
            <w:r w:rsidRPr="007A03BE">
              <w:rPr>
                <w:rFonts w:cstheme="minorHAnsi"/>
              </w:rPr>
              <w:t>4</w:t>
            </w:r>
            <w:r>
              <w:rPr>
                <w:rFonts w:cstheme="minorHAnsi"/>
              </w:rPr>
              <w:t xml:space="preserve"> </w:t>
            </w:r>
            <w:r w:rsidRPr="007A03BE">
              <w:rPr>
                <w:rFonts w:cstheme="minorHAnsi"/>
              </w:rPr>
              <w:t>346</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713</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871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426</w:t>
            </w:r>
          </w:p>
        </w:tc>
        <w:tc>
          <w:tcPr>
            <w:tcW w:w="469" w:type="pct"/>
            <w:vAlign w:val="bottom"/>
          </w:tcPr>
          <w:p w:rsidR="003E3F3E" w:rsidRPr="007A03BE" w:rsidRDefault="003E3F3E" w:rsidP="003E3F3E">
            <w:pPr>
              <w:pStyle w:val="TableRowNormal"/>
              <w:ind w:left="0" w:firstLine="0"/>
              <w:rPr>
                <w:rFonts w:cstheme="minorHAnsi"/>
              </w:rPr>
            </w:pPr>
            <w:r w:rsidRPr="007A03BE">
              <w:rPr>
                <w:rFonts w:cstheme="minorHAnsi"/>
              </w:rPr>
              <w:t>45</w:t>
            </w:r>
            <w:r>
              <w:rPr>
                <w:rFonts w:cstheme="minorHAnsi"/>
              </w:rPr>
              <w:t xml:space="preserve"> </w:t>
            </w:r>
            <w:r w:rsidRPr="007A03BE">
              <w:rPr>
                <w:rFonts w:cstheme="minorHAnsi"/>
              </w:rPr>
              <w:t>887</w:t>
            </w:r>
          </w:p>
        </w:tc>
      </w:tr>
      <w:tr w:rsidR="003E3F3E" w:rsidRPr="00FE3F73" w:rsidTr="003E3F3E">
        <w:tc>
          <w:tcPr>
            <w:tcW w:w="669" w:type="pct"/>
            <w:vAlign w:val="bottom"/>
          </w:tcPr>
          <w:p w:rsidR="003E3F3E" w:rsidRPr="00FE3F73" w:rsidRDefault="003E3F3E" w:rsidP="003E3F3E">
            <w:pPr>
              <w:pStyle w:val="CGCTableStub"/>
              <w:tabs>
                <w:tab w:val="left" w:pos="142"/>
                <w:tab w:val="left" w:pos="425"/>
                <w:tab w:val="left" w:pos="709"/>
                <w:tab w:val="left" w:pos="851"/>
              </w:tabs>
              <w:ind w:left="142" w:hanging="142"/>
              <w:rPr>
                <w:rFonts w:cstheme="minorHAnsi"/>
              </w:rPr>
            </w:pPr>
            <w:r>
              <w:rPr>
                <w:rFonts w:cstheme="minorHAnsi"/>
              </w:rPr>
              <w:t>2011-12</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14</w:t>
            </w:r>
            <w:r>
              <w:rPr>
                <w:rFonts w:cstheme="minorHAnsi"/>
              </w:rPr>
              <w:t xml:space="preserve"> </w:t>
            </w:r>
            <w:r w:rsidRPr="007A03BE">
              <w:rPr>
                <w:rFonts w:cstheme="minorHAnsi"/>
              </w:rPr>
              <w:t>237</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10</w:t>
            </w:r>
            <w:r>
              <w:rPr>
                <w:rFonts w:cstheme="minorHAnsi"/>
              </w:rPr>
              <w:t xml:space="preserve"> </w:t>
            </w:r>
            <w:r w:rsidRPr="007A03BE">
              <w:rPr>
                <w:rFonts w:cstheme="minorHAnsi"/>
              </w:rPr>
              <w:t>340</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8</w:t>
            </w:r>
            <w:r>
              <w:rPr>
                <w:rFonts w:cstheme="minorHAnsi"/>
              </w:rPr>
              <w:t xml:space="preserve"> </w:t>
            </w:r>
            <w:r w:rsidRPr="007A03BE">
              <w:rPr>
                <w:rFonts w:cstheme="minorHAnsi"/>
              </w:rPr>
              <w:t>591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3</w:t>
            </w:r>
            <w:r>
              <w:rPr>
                <w:rFonts w:cstheme="minorHAnsi"/>
              </w:rPr>
              <w:t xml:space="preserve"> </w:t>
            </w:r>
            <w:r w:rsidRPr="007A03BE">
              <w:rPr>
                <w:rFonts w:cstheme="minorHAnsi"/>
              </w:rPr>
              <w:t>512</w:t>
            </w:r>
          </w:p>
        </w:tc>
        <w:tc>
          <w:tcPr>
            <w:tcW w:w="495" w:type="pct"/>
            <w:vAlign w:val="bottom"/>
          </w:tcPr>
          <w:p w:rsidR="003E3F3E" w:rsidRPr="007A03BE" w:rsidRDefault="003E3F3E" w:rsidP="003E3F3E">
            <w:pPr>
              <w:pStyle w:val="TableRowNormal"/>
              <w:ind w:left="0" w:firstLine="0"/>
              <w:rPr>
                <w:rFonts w:cstheme="minorHAnsi"/>
              </w:rPr>
            </w:pPr>
            <w:r w:rsidRPr="007A03BE">
              <w:rPr>
                <w:rFonts w:cstheme="minorHAnsi"/>
              </w:rPr>
              <w:t>4</w:t>
            </w:r>
            <w:r>
              <w:rPr>
                <w:rFonts w:cstheme="minorHAnsi"/>
              </w:rPr>
              <w:t xml:space="preserve"> </w:t>
            </w:r>
            <w:r w:rsidRPr="007A03BE">
              <w:rPr>
                <w:rFonts w:cstheme="minorHAnsi"/>
              </w:rPr>
              <w:t>284</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676</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848</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552</w:t>
            </w:r>
          </w:p>
        </w:tc>
        <w:tc>
          <w:tcPr>
            <w:tcW w:w="469" w:type="pct"/>
            <w:vAlign w:val="bottom"/>
          </w:tcPr>
          <w:p w:rsidR="003E3F3E" w:rsidRPr="007A03BE" w:rsidRDefault="003E3F3E" w:rsidP="003E3F3E">
            <w:pPr>
              <w:pStyle w:val="TableRowNormal"/>
              <w:ind w:left="0" w:firstLine="0"/>
              <w:rPr>
                <w:rFonts w:cstheme="minorHAnsi"/>
              </w:rPr>
            </w:pPr>
            <w:r w:rsidRPr="007A03BE">
              <w:rPr>
                <w:rFonts w:cstheme="minorHAnsi"/>
              </w:rPr>
              <w:t>46</w:t>
            </w:r>
            <w:r>
              <w:rPr>
                <w:rFonts w:cstheme="minorHAnsi"/>
              </w:rPr>
              <w:t xml:space="preserve"> </w:t>
            </w:r>
            <w:r w:rsidRPr="007A03BE">
              <w:rPr>
                <w:rFonts w:cstheme="minorHAnsi"/>
              </w:rPr>
              <w:t>040</w:t>
            </w:r>
          </w:p>
        </w:tc>
      </w:tr>
      <w:tr w:rsidR="003E3F3E" w:rsidRPr="00FE3F73" w:rsidTr="003E3F3E">
        <w:tc>
          <w:tcPr>
            <w:tcW w:w="669" w:type="pct"/>
            <w:vAlign w:val="bottom"/>
          </w:tcPr>
          <w:p w:rsidR="003E3F3E" w:rsidRDefault="003E3F3E" w:rsidP="003E3F3E">
            <w:pPr>
              <w:pStyle w:val="CGCTableStub"/>
              <w:tabs>
                <w:tab w:val="left" w:pos="142"/>
                <w:tab w:val="left" w:pos="425"/>
                <w:tab w:val="left" w:pos="709"/>
                <w:tab w:val="left" w:pos="851"/>
              </w:tabs>
              <w:ind w:left="142" w:hanging="142"/>
              <w:rPr>
                <w:rFonts w:cstheme="minorHAnsi"/>
              </w:rPr>
            </w:pPr>
            <w:r>
              <w:rPr>
                <w:rFonts w:cstheme="minorHAnsi"/>
              </w:rPr>
              <w:t>Total</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28</w:t>
            </w:r>
            <w:r>
              <w:rPr>
                <w:rFonts w:cstheme="minorHAnsi"/>
              </w:rPr>
              <w:t xml:space="preserve"> </w:t>
            </w:r>
            <w:r w:rsidRPr="000A2CF2">
              <w:rPr>
                <w:rFonts w:cstheme="minorHAnsi"/>
              </w:rPr>
              <w:t>388</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21</w:t>
            </w:r>
            <w:r>
              <w:rPr>
                <w:rFonts w:cstheme="minorHAnsi"/>
              </w:rPr>
              <w:t xml:space="preserve"> </w:t>
            </w:r>
            <w:r w:rsidRPr="000A2CF2">
              <w:rPr>
                <w:rFonts w:cstheme="minorHAnsi"/>
              </w:rPr>
              <w:t>039</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16</w:t>
            </w:r>
            <w:r>
              <w:rPr>
                <w:rFonts w:cstheme="minorHAnsi"/>
              </w:rPr>
              <w:t xml:space="preserve"> </w:t>
            </w:r>
            <w:r w:rsidRPr="000A2CF2">
              <w:rPr>
                <w:rFonts w:cstheme="minorHAnsi"/>
              </w:rPr>
              <w:t>986</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6</w:t>
            </w:r>
            <w:r>
              <w:rPr>
                <w:rFonts w:cstheme="minorHAnsi"/>
              </w:rPr>
              <w:t xml:space="preserve"> </w:t>
            </w:r>
            <w:r w:rsidRPr="000A2CF2">
              <w:rPr>
                <w:rFonts w:cstheme="minorHAnsi"/>
              </w:rPr>
              <w:t>797</w:t>
            </w:r>
          </w:p>
        </w:tc>
        <w:tc>
          <w:tcPr>
            <w:tcW w:w="495"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8</w:t>
            </w:r>
            <w:r>
              <w:rPr>
                <w:rFonts w:cstheme="minorHAnsi"/>
              </w:rPr>
              <w:t xml:space="preserve"> </w:t>
            </w:r>
            <w:r w:rsidRPr="000A2CF2">
              <w:rPr>
                <w:rFonts w:cstheme="minorHAnsi"/>
              </w:rPr>
              <w:t>630</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3</w:t>
            </w:r>
            <w:r>
              <w:rPr>
                <w:rFonts w:cstheme="minorHAnsi"/>
              </w:rPr>
              <w:t xml:space="preserve"> </w:t>
            </w:r>
            <w:r w:rsidRPr="000A2CF2">
              <w:rPr>
                <w:rFonts w:cstheme="minorHAnsi"/>
              </w:rPr>
              <w:t>389</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1</w:t>
            </w:r>
            <w:r>
              <w:rPr>
                <w:rFonts w:cstheme="minorHAnsi"/>
              </w:rPr>
              <w:t xml:space="preserve"> </w:t>
            </w:r>
            <w:r w:rsidRPr="000A2CF2">
              <w:rPr>
                <w:rFonts w:cstheme="minorHAnsi"/>
              </w:rPr>
              <w:t>719</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4</w:t>
            </w:r>
            <w:r>
              <w:rPr>
                <w:rFonts w:cstheme="minorHAnsi"/>
              </w:rPr>
              <w:t xml:space="preserve"> </w:t>
            </w:r>
            <w:r w:rsidRPr="000A2CF2">
              <w:rPr>
                <w:rFonts w:cstheme="minorHAnsi"/>
              </w:rPr>
              <w:t>978</w:t>
            </w:r>
          </w:p>
        </w:tc>
        <w:tc>
          <w:tcPr>
            <w:tcW w:w="469"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91</w:t>
            </w:r>
            <w:r>
              <w:rPr>
                <w:rFonts w:cstheme="minorHAnsi"/>
              </w:rPr>
              <w:t xml:space="preserve"> </w:t>
            </w:r>
            <w:r w:rsidRPr="000A2CF2">
              <w:rPr>
                <w:rFonts w:cstheme="minorHAnsi"/>
              </w:rPr>
              <w:t>927</w:t>
            </w:r>
          </w:p>
        </w:tc>
      </w:tr>
      <w:tr w:rsidR="003E3F3E" w:rsidRPr="00D242C3" w:rsidTr="003E3F3E">
        <w:tc>
          <w:tcPr>
            <w:tcW w:w="669" w:type="pct"/>
            <w:vAlign w:val="bottom"/>
          </w:tcPr>
          <w:p w:rsidR="003E3F3E"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95"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69" w:type="pct"/>
            <w:vAlign w:val="bottom"/>
          </w:tcPr>
          <w:p w:rsidR="003E3F3E" w:rsidRPr="00794DDC" w:rsidRDefault="003E3F3E" w:rsidP="003E3F3E">
            <w:pPr>
              <w:pStyle w:val="CGCTableStub"/>
              <w:spacing w:before="0" w:after="0" w:line="240" w:lineRule="auto"/>
              <w:jc w:val="right"/>
              <w:rPr>
                <w:rFonts w:cstheme="minorHAnsi"/>
              </w:rPr>
            </w:pPr>
          </w:p>
        </w:tc>
      </w:tr>
      <w:tr w:rsidR="003E3F3E" w:rsidRPr="00D242C3" w:rsidTr="003E3F3E">
        <w:tc>
          <w:tcPr>
            <w:tcW w:w="3088" w:type="pct"/>
            <w:gridSpan w:val="6"/>
            <w:vAlign w:val="bottom"/>
          </w:tcPr>
          <w:p w:rsidR="003E3F3E" w:rsidRPr="00D242C3" w:rsidRDefault="003E3F3E" w:rsidP="003E3F3E">
            <w:pPr>
              <w:pStyle w:val="CGCTableStub"/>
              <w:spacing w:before="0" w:after="0" w:line="240" w:lineRule="auto"/>
              <w:rPr>
                <w:rFonts w:cstheme="minorHAnsi"/>
                <w:b/>
              </w:rPr>
            </w:pPr>
            <w:r>
              <w:rPr>
                <w:rFonts w:cstheme="minorHAnsi"/>
                <w:b/>
              </w:rPr>
              <w:t>GST requirement</w:t>
            </w:r>
          </w:p>
        </w:tc>
        <w:tc>
          <w:tcPr>
            <w:tcW w:w="481" w:type="pct"/>
            <w:vAlign w:val="bottom"/>
          </w:tcPr>
          <w:p w:rsidR="003E3F3E" w:rsidRPr="006D2EC0" w:rsidRDefault="003E3F3E" w:rsidP="003E3F3E">
            <w:pPr>
              <w:pStyle w:val="CGCTableStub"/>
              <w:spacing w:before="0" w:after="0" w:line="240" w:lineRule="auto"/>
              <w:jc w:val="right"/>
              <w:rPr>
                <w:rFonts w:cstheme="minorHAnsi"/>
              </w:rPr>
            </w:pPr>
          </w:p>
        </w:tc>
        <w:tc>
          <w:tcPr>
            <w:tcW w:w="481" w:type="pct"/>
            <w:vAlign w:val="bottom"/>
          </w:tcPr>
          <w:p w:rsidR="003E3F3E" w:rsidRPr="006D2EC0" w:rsidRDefault="003E3F3E" w:rsidP="003E3F3E">
            <w:pPr>
              <w:pStyle w:val="CGCTableStub"/>
              <w:spacing w:before="0" w:after="0" w:line="240" w:lineRule="auto"/>
              <w:jc w:val="right"/>
              <w:rPr>
                <w:rFonts w:cstheme="minorHAnsi"/>
              </w:rPr>
            </w:pPr>
          </w:p>
        </w:tc>
        <w:tc>
          <w:tcPr>
            <w:tcW w:w="481" w:type="pct"/>
            <w:vAlign w:val="bottom"/>
          </w:tcPr>
          <w:p w:rsidR="003E3F3E" w:rsidRPr="006D2EC0" w:rsidRDefault="003E3F3E" w:rsidP="003E3F3E">
            <w:pPr>
              <w:pStyle w:val="CGCTableStub"/>
              <w:spacing w:before="0" w:after="0" w:line="240" w:lineRule="auto"/>
              <w:jc w:val="right"/>
              <w:rPr>
                <w:rFonts w:cstheme="minorHAnsi"/>
              </w:rPr>
            </w:pPr>
          </w:p>
        </w:tc>
        <w:tc>
          <w:tcPr>
            <w:tcW w:w="469" w:type="pct"/>
            <w:vAlign w:val="bottom"/>
          </w:tcPr>
          <w:p w:rsidR="003E3F3E" w:rsidRPr="006D2EC0" w:rsidRDefault="003E3F3E" w:rsidP="003E3F3E">
            <w:pPr>
              <w:pStyle w:val="CGCTableStub"/>
              <w:spacing w:before="0" w:after="0" w:line="240" w:lineRule="auto"/>
              <w:jc w:val="right"/>
              <w:rPr>
                <w:rFonts w:cstheme="minorHAnsi"/>
              </w:rPr>
            </w:pPr>
          </w:p>
        </w:tc>
      </w:tr>
      <w:tr w:rsidR="003E3F3E" w:rsidRPr="00FE3F73" w:rsidTr="003E3F3E">
        <w:tc>
          <w:tcPr>
            <w:tcW w:w="669" w:type="pct"/>
            <w:vAlign w:val="bottom"/>
          </w:tcPr>
          <w:p w:rsidR="003E3F3E" w:rsidRPr="00FE3F73" w:rsidRDefault="003E3F3E" w:rsidP="003E3F3E">
            <w:pPr>
              <w:pStyle w:val="CGCTableStub"/>
              <w:tabs>
                <w:tab w:val="left" w:pos="142"/>
                <w:tab w:val="left" w:pos="425"/>
                <w:tab w:val="left" w:pos="709"/>
                <w:tab w:val="left" w:pos="851"/>
              </w:tabs>
              <w:ind w:left="142" w:hanging="142"/>
              <w:rPr>
                <w:rFonts w:cstheme="minorHAnsi"/>
              </w:rPr>
            </w:pPr>
            <w:r>
              <w:rPr>
                <w:rFonts w:cstheme="minorHAnsi"/>
              </w:rPr>
              <w:t>2010-11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14</w:t>
            </w:r>
            <w:r>
              <w:rPr>
                <w:rFonts w:cstheme="minorHAnsi"/>
              </w:rPr>
              <w:t xml:space="preserve"> </w:t>
            </w:r>
            <w:r w:rsidRPr="007A03BE">
              <w:rPr>
                <w:rFonts w:cstheme="minorHAnsi"/>
              </w:rPr>
              <w:t>351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10</w:t>
            </w:r>
            <w:r>
              <w:rPr>
                <w:rFonts w:cstheme="minorHAnsi"/>
              </w:rPr>
              <w:t xml:space="preserve"> </w:t>
            </w:r>
            <w:r w:rsidRPr="007A03BE">
              <w:rPr>
                <w:rFonts w:cstheme="minorHAnsi"/>
              </w:rPr>
              <w:t>043</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10</w:t>
            </w:r>
            <w:r>
              <w:rPr>
                <w:rFonts w:cstheme="minorHAnsi"/>
              </w:rPr>
              <w:t xml:space="preserve"> </w:t>
            </w:r>
            <w:r w:rsidRPr="007A03BE">
              <w:rPr>
                <w:rFonts w:cstheme="minorHAnsi"/>
              </w:rPr>
              <w:t>292</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623</w:t>
            </w:r>
          </w:p>
        </w:tc>
        <w:tc>
          <w:tcPr>
            <w:tcW w:w="495" w:type="pct"/>
            <w:vAlign w:val="bottom"/>
          </w:tcPr>
          <w:p w:rsidR="003E3F3E" w:rsidRPr="007A03BE" w:rsidRDefault="003E3F3E" w:rsidP="003E3F3E">
            <w:pPr>
              <w:pStyle w:val="TableRowNormal"/>
              <w:ind w:left="0" w:firstLine="0"/>
              <w:rPr>
                <w:rFonts w:cstheme="minorHAnsi"/>
              </w:rPr>
            </w:pPr>
            <w:r w:rsidRPr="007A03BE">
              <w:rPr>
                <w:rFonts w:cstheme="minorHAnsi"/>
              </w:rPr>
              <w:t>4</w:t>
            </w:r>
            <w:r>
              <w:rPr>
                <w:rFonts w:cstheme="minorHAnsi"/>
              </w:rPr>
              <w:t xml:space="preserve"> </w:t>
            </w:r>
            <w:r w:rsidRPr="007A03BE">
              <w:rPr>
                <w:rFonts w:cstheme="minorHAnsi"/>
              </w:rPr>
              <w:t>465</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580</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937</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595</w:t>
            </w:r>
          </w:p>
        </w:tc>
        <w:tc>
          <w:tcPr>
            <w:tcW w:w="469" w:type="pct"/>
            <w:vAlign w:val="bottom"/>
          </w:tcPr>
          <w:p w:rsidR="003E3F3E" w:rsidRPr="007A03BE" w:rsidRDefault="003E3F3E" w:rsidP="003E3F3E">
            <w:pPr>
              <w:pStyle w:val="TableRowNormal"/>
              <w:ind w:left="0" w:firstLine="0"/>
              <w:rPr>
                <w:rFonts w:cstheme="minorHAnsi"/>
              </w:rPr>
            </w:pPr>
            <w:r w:rsidRPr="007A03BE">
              <w:rPr>
                <w:rFonts w:cstheme="minorHAnsi"/>
              </w:rPr>
              <w:t>45</w:t>
            </w:r>
            <w:r>
              <w:rPr>
                <w:rFonts w:cstheme="minorHAnsi"/>
              </w:rPr>
              <w:t xml:space="preserve"> </w:t>
            </w:r>
            <w:r w:rsidRPr="007A03BE">
              <w:rPr>
                <w:rFonts w:cstheme="minorHAnsi"/>
              </w:rPr>
              <w:t>887</w:t>
            </w:r>
          </w:p>
        </w:tc>
      </w:tr>
      <w:tr w:rsidR="003E3F3E" w:rsidRPr="00FE3F73" w:rsidTr="003E3F3E">
        <w:tc>
          <w:tcPr>
            <w:tcW w:w="669" w:type="pct"/>
            <w:vAlign w:val="bottom"/>
          </w:tcPr>
          <w:p w:rsidR="003E3F3E" w:rsidRPr="00FE3F73" w:rsidRDefault="003E3F3E" w:rsidP="003E3F3E">
            <w:pPr>
              <w:pStyle w:val="CGCTableStub"/>
              <w:tabs>
                <w:tab w:val="left" w:pos="142"/>
                <w:tab w:val="left" w:pos="425"/>
                <w:tab w:val="left" w:pos="709"/>
                <w:tab w:val="left" w:pos="851"/>
              </w:tabs>
              <w:ind w:left="142" w:hanging="142"/>
              <w:rPr>
                <w:rFonts w:cstheme="minorHAnsi"/>
              </w:rPr>
            </w:pPr>
            <w:r>
              <w:rPr>
                <w:rFonts w:cstheme="minorHAnsi"/>
              </w:rPr>
              <w:t>2011-12</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14</w:t>
            </w:r>
            <w:r>
              <w:rPr>
                <w:rFonts w:cstheme="minorHAnsi"/>
              </w:rPr>
              <w:t xml:space="preserve"> </w:t>
            </w:r>
            <w:r w:rsidRPr="007A03BE">
              <w:rPr>
                <w:rFonts w:cstheme="minorHAnsi"/>
              </w:rPr>
              <w:t>825</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10</w:t>
            </w:r>
            <w:r>
              <w:rPr>
                <w:rFonts w:cstheme="minorHAnsi"/>
              </w:rPr>
              <w:t xml:space="preserve"> </w:t>
            </w:r>
            <w:r w:rsidRPr="007A03BE">
              <w:rPr>
                <w:rFonts w:cstheme="minorHAnsi"/>
              </w:rPr>
              <w:t>346</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9</w:t>
            </w:r>
            <w:r>
              <w:rPr>
                <w:rFonts w:cstheme="minorHAnsi"/>
              </w:rPr>
              <w:t xml:space="preserve"> </w:t>
            </w:r>
            <w:r w:rsidRPr="007A03BE">
              <w:rPr>
                <w:rFonts w:cstheme="minorHAnsi"/>
              </w:rPr>
              <w:t>305</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058</w:t>
            </w:r>
          </w:p>
        </w:tc>
        <w:tc>
          <w:tcPr>
            <w:tcW w:w="495" w:type="pct"/>
            <w:vAlign w:val="bottom"/>
          </w:tcPr>
          <w:p w:rsidR="003E3F3E" w:rsidRPr="007A03BE" w:rsidRDefault="003E3F3E" w:rsidP="003E3F3E">
            <w:pPr>
              <w:pStyle w:val="TableRowNormal"/>
              <w:ind w:left="0" w:firstLine="0"/>
              <w:rPr>
                <w:rFonts w:cstheme="minorHAnsi"/>
              </w:rPr>
            </w:pPr>
            <w:r w:rsidRPr="007A03BE">
              <w:rPr>
                <w:rFonts w:cstheme="minorHAnsi"/>
              </w:rPr>
              <w:t>4</w:t>
            </w:r>
            <w:r>
              <w:rPr>
                <w:rFonts w:cstheme="minorHAnsi"/>
              </w:rPr>
              <w:t xml:space="preserve"> </w:t>
            </w:r>
            <w:r w:rsidRPr="007A03BE">
              <w:rPr>
                <w:rFonts w:cstheme="minorHAnsi"/>
              </w:rPr>
              <w:t>073</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822</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969</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642</w:t>
            </w:r>
          </w:p>
        </w:tc>
        <w:tc>
          <w:tcPr>
            <w:tcW w:w="469" w:type="pct"/>
            <w:vAlign w:val="bottom"/>
          </w:tcPr>
          <w:p w:rsidR="003E3F3E" w:rsidRPr="007A03BE" w:rsidRDefault="003E3F3E" w:rsidP="003E3F3E">
            <w:pPr>
              <w:pStyle w:val="TableRowNormal"/>
              <w:ind w:left="0" w:firstLine="0"/>
              <w:rPr>
                <w:rFonts w:cstheme="minorHAnsi"/>
              </w:rPr>
            </w:pPr>
            <w:r w:rsidRPr="007A03BE">
              <w:rPr>
                <w:rFonts w:cstheme="minorHAnsi"/>
              </w:rPr>
              <w:t>46</w:t>
            </w:r>
            <w:r>
              <w:rPr>
                <w:rFonts w:cstheme="minorHAnsi"/>
              </w:rPr>
              <w:t xml:space="preserve"> </w:t>
            </w:r>
            <w:r w:rsidRPr="007A03BE">
              <w:rPr>
                <w:rFonts w:cstheme="minorHAnsi"/>
              </w:rPr>
              <w:t>040</w:t>
            </w:r>
          </w:p>
        </w:tc>
      </w:tr>
      <w:tr w:rsidR="003E3F3E" w:rsidRPr="00FE3F73" w:rsidTr="003E3F3E">
        <w:tc>
          <w:tcPr>
            <w:tcW w:w="669" w:type="pct"/>
            <w:vAlign w:val="bottom"/>
          </w:tcPr>
          <w:p w:rsidR="003E3F3E" w:rsidRDefault="003E3F3E" w:rsidP="003E3F3E">
            <w:pPr>
              <w:pStyle w:val="CGCTableStub"/>
              <w:tabs>
                <w:tab w:val="left" w:pos="142"/>
                <w:tab w:val="left" w:pos="425"/>
                <w:tab w:val="left" w:pos="709"/>
                <w:tab w:val="left" w:pos="851"/>
              </w:tabs>
              <w:ind w:left="142" w:hanging="142"/>
              <w:rPr>
                <w:rFonts w:cstheme="minorHAnsi"/>
              </w:rPr>
            </w:pPr>
            <w:r>
              <w:rPr>
                <w:rFonts w:cstheme="minorHAnsi"/>
              </w:rPr>
              <w:t>Total</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29</w:t>
            </w:r>
            <w:r>
              <w:rPr>
                <w:rFonts w:cstheme="minorHAnsi"/>
              </w:rPr>
              <w:t xml:space="preserve"> </w:t>
            </w:r>
            <w:r w:rsidRPr="000A2CF2">
              <w:rPr>
                <w:rFonts w:cstheme="minorHAnsi"/>
              </w:rPr>
              <w:t>176</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20</w:t>
            </w:r>
            <w:r>
              <w:rPr>
                <w:rFonts w:cstheme="minorHAnsi"/>
              </w:rPr>
              <w:t xml:space="preserve"> </w:t>
            </w:r>
            <w:r w:rsidRPr="000A2CF2">
              <w:rPr>
                <w:rFonts w:cstheme="minorHAnsi"/>
              </w:rPr>
              <w:t>389</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19</w:t>
            </w:r>
            <w:r>
              <w:rPr>
                <w:rFonts w:cstheme="minorHAnsi"/>
              </w:rPr>
              <w:t xml:space="preserve"> </w:t>
            </w:r>
            <w:r w:rsidRPr="000A2CF2">
              <w:rPr>
                <w:rFonts w:cstheme="minorHAnsi"/>
              </w:rPr>
              <w:t>598</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3</w:t>
            </w:r>
            <w:r>
              <w:rPr>
                <w:rFonts w:cstheme="minorHAnsi"/>
              </w:rPr>
              <w:t xml:space="preserve"> </w:t>
            </w:r>
            <w:r w:rsidRPr="000A2CF2">
              <w:rPr>
                <w:rFonts w:cstheme="minorHAnsi"/>
              </w:rPr>
              <w:t>681</w:t>
            </w:r>
          </w:p>
        </w:tc>
        <w:tc>
          <w:tcPr>
            <w:tcW w:w="495"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8</w:t>
            </w:r>
            <w:r>
              <w:rPr>
                <w:rFonts w:cstheme="minorHAnsi"/>
              </w:rPr>
              <w:t xml:space="preserve"> </w:t>
            </w:r>
            <w:r w:rsidRPr="000A2CF2">
              <w:rPr>
                <w:rFonts w:cstheme="minorHAnsi"/>
              </w:rPr>
              <w:t>538</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3</w:t>
            </w:r>
            <w:r>
              <w:rPr>
                <w:rFonts w:cstheme="minorHAnsi"/>
              </w:rPr>
              <w:t xml:space="preserve"> </w:t>
            </w:r>
            <w:r w:rsidRPr="000A2CF2">
              <w:rPr>
                <w:rFonts w:cstheme="minorHAnsi"/>
              </w:rPr>
              <w:t>401</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1</w:t>
            </w:r>
            <w:r>
              <w:rPr>
                <w:rFonts w:cstheme="minorHAnsi"/>
              </w:rPr>
              <w:t xml:space="preserve"> </w:t>
            </w:r>
            <w:r w:rsidRPr="000A2CF2">
              <w:rPr>
                <w:rFonts w:cstheme="minorHAnsi"/>
              </w:rPr>
              <w:t>907</w:t>
            </w:r>
          </w:p>
        </w:tc>
        <w:tc>
          <w:tcPr>
            <w:tcW w:w="481"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5</w:t>
            </w:r>
            <w:r>
              <w:rPr>
                <w:rFonts w:cstheme="minorHAnsi"/>
              </w:rPr>
              <w:t xml:space="preserve"> </w:t>
            </w:r>
            <w:r w:rsidRPr="000A2CF2">
              <w:rPr>
                <w:rFonts w:cstheme="minorHAnsi"/>
              </w:rPr>
              <w:t>238</w:t>
            </w:r>
          </w:p>
        </w:tc>
        <w:tc>
          <w:tcPr>
            <w:tcW w:w="469" w:type="pct"/>
            <w:tcBorders>
              <w:top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91</w:t>
            </w:r>
            <w:r>
              <w:rPr>
                <w:rFonts w:cstheme="minorHAnsi"/>
              </w:rPr>
              <w:t xml:space="preserve"> </w:t>
            </w:r>
            <w:r w:rsidRPr="000A2CF2">
              <w:rPr>
                <w:rFonts w:cstheme="minorHAnsi"/>
              </w:rPr>
              <w:t>927</w:t>
            </w:r>
          </w:p>
        </w:tc>
      </w:tr>
      <w:tr w:rsidR="003E3F3E" w:rsidRPr="00D242C3" w:rsidTr="003E3F3E">
        <w:tc>
          <w:tcPr>
            <w:tcW w:w="669" w:type="pct"/>
            <w:vAlign w:val="bottom"/>
          </w:tcPr>
          <w:p w:rsidR="003E3F3E"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95"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81" w:type="pct"/>
            <w:vAlign w:val="bottom"/>
          </w:tcPr>
          <w:p w:rsidR="003E3F3E" w:rsidRPr="00794DDC" w:rsidRDefault="003E3F3E" w:rsidP="003E3F3E">
            <w:pPr>
              <w:pStyle w:val="CGCTableStub"/>
              <w:spacing w:before="0" w:after="0" w:line="240" w:lineRule="auto"/>
              <w:jc w:val="right"/>
              <w:rPr>
                <w:rFonts w:cstheme="minorHAnsi"/>
              </w:rPr>
            </w:pPr>
          </w:p>
        </w:tc>
        <w:tc>
          <w:tcPr>
            <w:tcW w:w="469" w:type="pct"/>
            <w:vAlign w:val="bottom"/>
          </w:tcPr>
          <w:p w:rsidR="003E3F3E" w:rsidRPr="00794DDC" w:rsidRDefault="003E3F3E" w:rsidP="003E3F3E">
            <w:pPr>
              <w:pStyle w:val="CGCTableStub"/>
              <w:spacing w:before="0" w:after="0" w:line="240" w:lineRule="auto"/>
              <w:jc w:val="right"/>
              <w:rPr>
                <w:rFonts w:cstheme="minorHAnsi"/>
              </w:rPr>
            </w:pPr>
          </w:p>
        </w:tc>
      </w:tr>
      <w:tr w:rsidR="003E3F3E" w:rsidRPr="00D242C3" w:rsidTr="003E3F3E">
        <w:tc>
          <w:tcPr>
            <w:tcW w:w="3088" w:type="pct"/>
            <w:gridSpan w:val="6"/>
            <w:vAlign w:val="bottom"/>
          </w:tcPr>
          <w:p w:rsidR="003E3F3E" w:rsidRPr="00D242C3" w:rsidRDefault="003E3F3E" w:rsidP="003E3F3E">
            <w:pPr>
              <w:pStyle w:val="CGCTableStub"/>
              <w:spacing w:before="0" w:after="0" w:line="240" w:lineRule="auto"/>
              <w:rPr>
                <w:rFonts w:cstheme="minorHAnsi"/>
                <w:b/>
              </w:rPr>
            </w:pPr>
            <w:r>
              <w:rPr>
                <w:rFonts w:cstheme="minorHAnsi"/>
                <w:b/>
              </w:rPr>
              <w:t>Gap (GST requirement – GST payment)</w:t>
            </w:r>
          </w:p>
        </w:tc>
        <w:tc>
          <w:tcPr>
            <w:tcW w:w="481" w:type="pct"/>
            <w:vAlign w:val="bottom"/>
          </w:tcPr>
          <w:p w:rsidR="003E3F3E" w:rsidRPr="00D242C3" w:rsidRDefault="003E3F3E" w:rsidP="003E3F3E">
            <w:pPr>
              <w:pStyle w:val="CGCTableStub"/>
              <w:spacing w:before="0" w:after="0" w:line="240" w:lineRule="auto"/>
              <w:jc w:val="right"/>
              <w:rPr>
                <w:rFonts w:cstheme="minorHAnsi"/>
              </w:rPr>
            </w:pPr>
          </w:p>
        </w:tc>
        <w:tc>
          <w:tcPr>
            <w:tcW w:w="481" w:type="pct"/>
            <w:vAlign w:val="bottom"/>
          </w:tcPr>
          <w:p w:rsidR="003E3F3E" w:rsidRPr="00D242C3" w:rsidRDefault="003E3F3E" w:rsidP="003E3F3E">
            <w:pPr>
              <w:pStyle w:val="CGCTableStub"/>
              <w:spacing w:before="0" w:after="0" w:line="240" w:lineRule="auto"/>
              <w:jc w:val="right"/>
              <w:rPr>
                <w:rFonts w:cstheme="minorHAnsi"/>
              </w:rPr>
            </w:pPr>
          </w:p>
        </w:tc>
        <w:tc>
          <w:tcPr>
            <w:tcW w:w="481" w:type="pct"/>
            <w:vAlign w:val="bottom"/>
          </w:tcPr>
          <w:p w:rsidR="003E3F3E" w:rsidRPr="00D242C3" w:rsidRDefault="003E3F3E" w:rsidP="003E3F3E">
            <w:pPr>
              <w:pStyle w:val="CGCTableStub"/>
              <w:spacing w:before="0" w:after="0" w:line="240" w:lineRule="auto"/>
              <w:jc w:val="right"/>
              <w:rPr>
                <w:rFonts w:cstheme="minorHAnsi"/>
              </w:rPr>
            </w:pPr>
          </w:p>
        </w:tc>
        <w:tc>
          <w:tcPr>
            <w:tcW w:w="469" w:type="pct"/>
            <w:vAlign w:val="bottom"/>
          </w:tcPr>
          <w:p w:rsidR="003E3F3E" w:rsidRPr="00D242C3" w:rsidRDefault="003E3F3E" w:rsidP="003E3F3E">
            <w:pPr>
              <w:pStyle w:val="CGCTableStub"/>
              <w:spacing w:before="0" w:after="0" w:line="240" w:lineRule="auto"/>
              <w:jc w:val="right"/>
              <w:rPr>
                <w:rFonts w:cstheme="minorHAnsi"/>
              </w:rPr>
            </w:pPr>
            <w:proofErr w:type="spellStart"/>
            <w:r>
              <w:rPr>
                <w:rFonts w:cstheme="minorHAnsi"/>
              </w:rPr>
              <w:t>Redis</w:t>
            </w:r>
            <w:r w:rsidR="00C562FD">
              <w:rPr>
                <w:rFonts w:cstheme="minorHAnsi"/>
              </w:rPr>
              <w:t>t</w:t>
            </w:r>
            <w:proofErr w:type="spellEnd"/>
          </w:p>
        </w:tc>
      </w:tr>
      <w:tr w:rsidR="003E3F3E" w:rsidRPr="00FE3F73" w:rsidTr="003E3F3E">
        <w:tc>
          <w:tcPr>
            <w:tcW w:w="669" w:type="pct"/>
            <w:vAlign w:val="bottom"/>
          </w:tcPr>
          <w:p w:rsidR="003E3F3E" w:rsidRPr="00FE3F73" w:rsidRDefault="003E3F3E" w:rsidP="003E3F3E">
            <w:pPr>
              <w:pStyle w:val="CGCTableStub"/>
              <w:tabs>
                <w:tab w:val="left" w:pos="142"/>
                <w:tab w:val="left" w:pos="425"/>
                <w:tab w:val="left" w:pos="709"/>
                <w:tab w:val="left" w:pos="851"/>
              </w:tabs>
              <w:ind w:left="142" w:hanging="142"/>
              <w:rPr>
                <w:rFonts w:cstheme="minorHAnsi"/>
              </w:rPr>
            </w:pPr>
            <w:r>
              <w:rPr>
                <w:rFonts w:cstheme="minorHAnsi"/>
              </w:rPr>
              <w:t>2010-11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200</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-657</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897</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662</w:t>
            </w:r>
          </w:p>
        </w:tc>
        <w:tc>
          <w:tcPr>
            <w:tcW w:w="495" w:type="pct"/>
            <w:vAlign w:val="bottom"/>
          </w:tcPr>
          <w:p w:rsidR="003E3F3E" w:rsidRPr="007A03BE" w:rsidRDefault="003E3F3E" w:rsidP="003E3F3E">
            <w:pPr>
              <w:pStyle w:val="TableRowNormal"/>
              <w:ind w:left="0" w:firstLine="0"/>
              <w:rPr>
                <w:rFonts w:cstheme="minorHAnsi"/>
              </w:rPr>
            </w:pPr>
            <w:r w:rsidRPr="007A03BE">
              <w:rPr>
                <w:rFonts w:cstheme="minorHAnsi"/>
              </w:rPr>
              <w:t>119</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-133</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67</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169</w:t>
            </w:r>
          </w:p>
        </w:tc>
        <w:tc>
          <w:tcPr>
            <w:tcW w:w="469" w:type="pct"/>
            <w:vAlign w:val="bottom"/>
          </w:tcPr>
          <w:p w:rsidR="003E3F3E" w:rsidRPr="007A03BE" w:rsidRDefault="003E3F3E" w:rsidP="003E3F3E">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452</w:t>
            </w:r>
          </w:p>
        </w:tc>
      </w:tr>
      <w:tr w:rsidR="003E3F3E" w:rsidRPr="00FE3F73" w:rsidTr="003E3F3E">
        <w:tc>
          <w:tcPr>
            <w:tcW w:w="669" w:type="pct"/>
            <w:vAlign w:val="bottom"/>
          </w:tcPr>
          <w:p w:rsidR="003E3F3E" w:rsidRPr="00FE3F73" w:rsidRDefault="003E3F3E" w:rsidP="003E3F3E">
            <w:pPr>
              <w:pStyle w:val="CGCTableStub"/>
              <w:tabs>
                <w:tab w:val="left" w:pos="142"/>
                <w:tab w:val="left" w:pos="425"/>
                <w:tab w:val="left" w:pos="709"/>
                <w:tab w:val="left" w:pos="851"/>
              </w:tabs>
              <w:ind w:left="142" w:hanging="142"/>
              <w:rPr>
                <w:rFonts w:cstheme="minorHAnsi"/>
              </w:rPr>
            </w:pPr>
            <w:r>
              <w:rPr>
                <w:rFonts w:cstheme="minorHAnsi"/>
              </w:rPr>
              <w:t>2011-12</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588</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6</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715</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454</w:t>
            </w:r>
          </w:p>
        </w:tc>
        <w:tc>
          <w:tcPr>
            <w:tcW w:w="495" w:type="pct"/>
            <w:vAlign w:val="bottom"/>
          </w:tcPr>
          <w:p w:rsidR="003E3F3E" w:rsidRPr="007A03BE" w:rsidRDefault="003E3F3E" w:rsidP="003E3F3E">
            <w:pPr>
              <w:pStyle w:val="TableRowNormal"/>
              <w:ind w:left="0" w:firstLine="0"/>
              <w:rPr>
                <w:rFonts w:cstheme="minorHAnsi"/>
              </w:rPr>
            </w:pPr>
            <w:r w:rsidRPr="007A03BE">
              <w:rPr>
                <w:rFonts w:cstheme="minorHAnsi"/>
              </w:rPr>
              <w:t>-211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145</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121</w:t>
            </w:r>
          </w:p>
        </w:tc>
        <w:tc>
          <w:tcPr>
            <w:tcW w:w="481" w:type="pct"/>
            <w:vAlign w:val="bottom"/>
          </w:tcPr>
          <w:p w:rsidR="003E3F3E" w:rsidRPr="007A03BE" w:rsidRDefault="003E3F3E" w:rsidP="003E3F3E">
            <w:pPr>
              <w:pStyle w:val="TableRowNormal"/>
              <w:ind w:left="0" w:firstLine="0"/>
              <w:rPr>
                <w:rFonts w:cstheme="minorHAnsi"/>
              </w:rPr>
            </w:pPr>
            <w:r w:rsidRPr="007A03BE">
              <w:rPr>
                <w:rFonts w:cstheme="minorHAnsi"/>
              </w:rPr>
              <w:t>90</w:t>
            </w:r>
          </w:p>
        </w:tc>
        <w:tc>
          <w:tcPr>
            <w:tcW w:w="469" w:type="pct"/>
            <w:vAlign w:val="bottom"/>
          </w:tcPr>
          <w:p w:rsidR="003E3F3E" w:rsidRPr="007A03BE" w:rsidRDefault="003E3F3E" w:rsidP="003E3F3E">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665</w:t>
            </w:r>
          </w:p>
        </w:tc>
      </w:tr>
      <w:tr w:rsidR="003E3F3E" w:rsidRPr="00FE3F73" w:rsidTr="003E3F3E">
        <w:tc>
          <w:tcPr>
            <w:tcW w:w="669" w:type="pct"/>
            <w:tcBorders>
              <w:bottom w:val="single" w:sz="4" w:space="0" w:color="auto"/>
            </w:tcBorders>
            <w:vAlign w:val="bottom"/>
          </w:tcPr>
          <w:p w:rsidR="003E3F3E" w:rsidRDefault="003E3F3E" w:rsidP="003E3F3E">
            <w:pPr>
              <w:pStyle w:val="CGCTableStub"/>
              <w:tabs>
                <w:tab w:val="left" w:pos="142"/>
                <w:tab w:val="left" w:pos="425"/>
                <w:tab w:val="left" w:pos="709"/>
                <w:tab w:val="left" w:pos="851"/>
              </w:tabs>
              <w:ind w:left="142" w:hanging="142"/>
              <w:rPr>
                <w:rFonts w:cstheme="minorHAnsi"/>
              </w:rPr>
            </w:pPr>
            <w:r>
              <w:rPr>
                <w:rFonts w:cstheme="minorHAnsi"/>
              </w:rPr>
              <w:t>Total</w:t>
            </w:r>
          </w:p>
        </w:tc>
        <w:tc>
          <w:tcPr>
            <w:tcW w:w="481"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788</w:t>
            </w:r>
          </w:p>
        </w:tc>
        <w:tc>
          <w:tcPr>
            <w:tcW w:w="481"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-650</w:t>
            </w:r>
          </w:p>
        </w:tc>
        <w:tc>
          <w:tcPr>
            <w:tcW w:w="481"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2</w:t>
            </w:r>
            <w:r>
              <w:rPr>
                <w:rFonts w:cstheme="minorHAnsi"/>
              </w:rPr>
              <w:t xml:space="preserve"> </w:t>
            </w:r>
            <w:r w:rsidRPr="000A2CF2">
              <w:rPr>
                <w:rFonts w:cstheme="minorHAnsi"/>
              </w:rPr>
              <w:t>611</w:t>
            </w:r>
          </w:p>
        </w:tc>
        <w:tc>
          <w:tcPr>
            <w:tcW w:w="481"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-3</w:t>
            </w:r>
            <w:r>
              <w:rPr>
                <w:rFonts w:cstheme="minorHAnsi"/>
              </w:rPr>
              <w:t xml:space="preserve"> </w:t>
            </w:r>
            <w:r w:rsidRPr="000A2CF2">
              <w:rPr>
                <w:rFonts w:cstheme="minorHAnsi"/>
              </w:rPr>
              <w:t>116</w:t>
            </w:r>
          </w:p>
        </w:tc>
        <w:tc>
          <w:tcPr>
            <w:tcW w:w="495"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-92</w:t>
            </w:r>
          </w:p>
        </w:tc>
        <w:tc>
          <w:tcPr>
            <w:tcW w:w="481"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12</w:t>
            </w:r>
          </w:p>
        </w:tc>
        <w:tc>
          <w:tcPr>
            <w:tcW w:w="481"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187</w:t>
            </w:r>
          </w:p>
        </w:tc>
        <w:tc>
          <w:tcPr>
            <w:tcW w:w="481"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260</w:t>
            </w:r>
          </w:p>
        </w:tc>
        <w:tc>
          <w:tcPr>
            <w:tcW w:w="469" w:type="pct"/>
            <w:tcBorders>
              <w:top w:val="single" w:sz="4" w:space="0" w:color="auto"/>
              <w:bottom w:val="single" w:sz="4" w:space="0" w:color="auto"/>
            </w:tcBorders>
            <w:vAlign w:val="bottom"/>
          </w:tcPr>
          <w:p w:rsidR="003E3F3E" w:rsidRPr="000A2CF2" w:rsidRDefault="003E3F3E" w:rsidP="003E3F3E">
            <w:pPr>
              <w:pStyle w:val="TableRowNormal"/>
              <w:ind w:left="0" w:firstLine="0"/>
              <w:rPr>
                <w:rFonts w:cstheme="minorHAnsi"/>
              </w:rPr>
            </w:pPr>
            <w:r w:rsidRPr="000A2CF2">
              <w:rPr>
                <w:rFonts w:cstheme="minorHAnsi"/>
              </w:rPr>
              <w:t>3</w:t>
            </w:r>
            <w:r>
              <w:rPr>
                <w:rFonts w:cstheme="minorHAnsi"/>
              </w:rPr>
              <w:t xml:space="preserve"> </w:t>
            </w:r>
            <w:r w:rsidRPr="000A2CF2">
              <w:rPr>
                <w:rFonts w:cstheme="minorHAnsi"/>
              </w:rPr>
              <w:t>859</w:t>
            </w:r>
          </w:p>
        </w:tc>
      </w:tr>
    </w:tbl>
    <w:p w:rsidR="003E3F3E" w:rsidRDefault="003E3F3E" w:rsidP="003E3F3E">
      <w:pPr>
        <w:pStyle w:val="CGCTableFootnote"/>
      </w:pPr>
      <w:r>
        <w:t>Source:</w:t>
      </w:r>
      <w:r>
        <w:tab/>
        <w:t xml:space="preserve">Commission reports, various years. </w:t>
      </w:r>
      <w:proofErr w:type="gramStart"/>
      <w:r>
        <w:t>Final budget outcome, various years.</w:t>
      </w:r>
      <w:proofErr w:type="gramEnd"/>
    </w:p>
    <w:p w:rsidR="000A2CF2" w:rsidRDefault="000A2CF2" w:rsidP="00DE6517">
      <w:pPr>
        <w:pStyle w:val="CGCNumberedPara"/>
        <w:numPr>
          <w:ilvl w:val="1"/>
          <w:numId w:val="3"/>
        </w:numPr>
      </w:pPr>
      <w:r>
        <w:lastRenderedPageBreak/>
        <w:t xml:space="preserve">The figures </w:t>
      </w:r>
      <w:r w:rsidR="003E3F3E">
        <w:t xml:space="preserve">in </w:t>
      </w:r>
      <w:r w:rsidR="003E3F3E">
        <w:fldChar w:fldCharType="begin"/>
      </w:r>
      <w:r w:rsidR="003E3F3E">
        <w:instrText xml:space="preserve"> REF _Ref450122607 \h </w:instrText>
      </w:r>
      <w:r w:rsidR="003E3F3E">
        <w:fldChar w:fldCharType="separate"/>
      </w:r>
      <w:r w:rsidR="003E3F3E">
        <w:t xml:space="preserve">Table </w:t>
      </w:r>
      <w:r w:rsidR="003E3F3E">
        <w:rPr>
          <w:noProof/>
        </w:rPr>
        <w:t>1</w:t>
      </w:r>
      <w:r w:rsidR="003E3F3E">
        <w:fldChar w:fldCharType="end"/>
      </w:r>
      <w:r w:rsidR="003E3F3E">
        <w:t xml:space="preserve"> are</w:t>
      </w:r>
      <w:r>
        <w:t xml:space="preserve"> illustrative</w:t>
      </w:r>
      <w:r w:rsidR="003E3F3E">
        <w:t>. Th</w:t>
      </w:r>
      <w:r>
        <w:t xml:space="preserve">e size and sign of a State’s gap will change </w:t>
      </w:r>
      <w:r w:rsidR="003E3F3E">
        <w:t xml:space="preserve">from </w:t>
      </w:r>
      <w:r>
        <w:t>year to year</w:t>
      </w:r>
      <w:r w:rsidR="00647D6F">
        <w:t>,</w:t>
      </w:r>
      <w:r>
        <w:t xml:space="preserve"> </w:t>
      </w:r>
      <w:r w:rsidR="003E3F3E">
        <w:t>in line with</w:t>
      </w:r>
      <w:r>
        <w:t xml:space="preserve"> </w:t>
      </w:r>
      <w:r w:rsidR="00647D6F">
        <w:t xml:space="preserve">how </w:t>
      </w:r>
      <w:r>
        <w:t xml:space="preserve">its circumstances </w:t>
      </w:r>
      <w:r w:rsidR="003E3F3E">
        <w:t xml:space="preserve">are </w:t>
      </w:r>
      <w:r w:rsidR="00647D6F">
        <w:t>chang</w:t>
      </w:r>
      <w:r w:rsidR="003E3F3E">
        <w:t>ing</w:t>
      </w:r>
      <w:r w:rsidR="00647D6F">
        <w:t xml:space="preserve"> </w:t>
      </w:r>
      <w:r>
        <w:t xml:space="preserve">relative to </w:t>
      </w:r>
      <w:r w:rsidR="00647D6F">
        <w:t xml:space="preserve">the circumstances of </w:t>
      </w:r>
      <w:r>
        <w:t>other States.</w:t>
      </w:r>
    </w:p>
    <w:p w:rsidR="00DE6517" w:rsidRDefault="00DE6517" w:rsidP="00DE6517">
      <w:pPr>
        <w:pStyle w:val="Heading4"/>
      </w:pPr>
      <w:bookmarkStart w:id="15" w:name="_Toc449953374"/>
      <w:bookmarkStart w:id="16" w:name="_Toc482338179"/>
      <w:bookmarkEnd w:id="13"/>
      <w:r>
        <w:t>Why do gaps arise?</w:t>
      </w:r>
      <w:bookmarkEnd w:id="15"/>
      <w:bookmarkEnd w:id="16"/>
    </w:p>
    <w:p w:rsidR="00DE6517" w:rsidRDefault="00DE6517" w:rsidP="00DE6517">
      <w:pPr>
        <w:pStyle w:val="CGCNumberedPara"/>
        <w:numPr>
          <w:ilvl w:val="1"/>
          <w:numId w:val="3"/>
        </w:numPr>
      </w:pPr>
      <w:r>
        <w:t>Gaps arise when the assumption that States’ assessed deficits change in line with the growth in the pool does not hold. For example, a gap can arise when:</w:t>
      </w:r>
    </w:p>
    <w:p w:rsidR="00DE6517" w:rsidRDefault="00DE6517" w:rsidP="00DE6517">
      <w:pPr>
        <w:pStyle w:val="CGCBulletlist"/>
        <w:numPr>
          <w:ilvl w:val="0"/>
          <w:numId w:val="1"/>
        </w:numPr>
        <w:tabs>
          <w:tab w:val="clear" w:pos="927"/>
        </w:tabs>
        <w:ind w:left="1134" w:hanging="567"/>
      </w:pPr>
      <w:r>
        <w:t>a State is experiencing a long term structural trend (so that its fiscal capacity is growing — or declining — more rapidly than the change in the pool)</w:t>
      </w:r>
    </w:p>
    <w:p w:rsidR="00DE6517" w:rsidRDefault="00DE6517" w:rsidP="00DE6517">
      <w:pPr>
        <w:pStyle w:val="CGCBulletlist"/>
        <w:numPr>
          <w:ilvl w:val="0"/>
          <w:numId w:val="1"/>
        </w:numPr>
        <w:tabs>
          <w:tab w:val="clear" w:pos="927"/>
        </w:tabs>
        <w:ind w:left="1134" w:hanging="567"/>
      </w:pPr>
      <w:proofErr w:type="gramStart"/>
      <w:r>
        <w:t>a</w:t>
      </w:r>
      <w:proofErr w:type="gramEnd"/>
      <w:r>
        <w:t xml:space="preserve"> State is experiencing a sudden change in its fiscal capacity. </w:t>
      </w:r>
    </w:p>
    <w:p w:rsidR="00DE6517" w:rsidRDefault="00DE6517" w:rsidP="00DE6517">
      <w:pPr>
        <w:pStyle w:val="CGCNumberedPara"/>
        <w:numPr>
          <w:ilvl w:val="1"/>
          <w:numId w:val="3"/>
        </w:numPr>
      </w:pPr>
      <w:r>
        <w:fldChar w:fldCharType="begin"/>
      </w:r>
      <w:r>
        <w:instrText xml:space="preserve"> REF _Ref449428476 \h </w:instrText>
      </w:r>
      <w:r>
        <w:fldChar w:fldCharType="separate"/>
      </w:r>
      <w:r w:rsidR="00E17AEF">
        <w:t xml:space="preserve">Figure </w:t>
      </w:r>
      <w:r w:rsidR="00E17AEF">
        <w:rPr>
          <w:noProof/>
        </w:rPr>
        <w:t>1</w:t>
      </w:r>
      <w:r>
        <w:fldChar w:fldCharType="end"/>
      </w:r>
      <w:r>
        <w:t xml:space="preserve"> provides an example of a State experiencing a long term structural decline. South Australia’s GST relativity has been increasing since the 2000s, suggesting its fiscal circumstances have been declining relative to the average. In this situation, the use of historical data means Commission relativities lag behind South Australia’s weakening capacity, </w:t>
      </w:r>
      <w:r w:rsidR="006C7012">
        <w:t xml:space="preserve">usually </w:t>
      </w:r>
      <w:r>
        <w:t>under-estimating the GST it requires.</w:t>
      </w:r>
    </w:p>
    <w:p w:rsidR="00DE6517" w:rsidRDefault="00DE6517" w:rsidP="00DE6517">
      <w:pPr>
        <w:pStyle w:val="Caption"/>
      </w:pPr>
      <w:bookmarkStart w:id="17" w:name="_Ref449428476"/>
      <w:r>
        <w:t xml:space="preserve">Figure </w:t>
      </w:r>
      <w:r w:rsidR="00C562FD">
        <w:fldChar w:fldCharType="begin"/>
      </w:r>
      <w:r w:rsidR="00C562FD">
        <w:instrText xml:space="preserve"> SEQ Figure \* ARABIC </w:instrText>
      </w:r>
      <w:r w:rsidR="00C562FD">
        <w:fldChar w:fldCharType="separate"/>
      </w:r>
      <w:r w:rsidR="00E17AEF">
        <w:rPr>
          <w:noProof/>
        </w:rPr>
        <w:t>1</w:t>
      </w:r>
      <w:r w:rsidR="00C562FD">
        <w:rPr>
          <w:noProof/>
        </w:rPr>
        <w:fldChar w:fldCharType="end"/>
      </w:r>
      <w:bookmarkEnd w:id="17"/>
      <w:r>
        <w:tab/>
        <w:t>South Australian average GST relativity</w:t>
      </w:r>
    </w:p>
    <w:p w:rsidR="00DE6517" w:rsidRDefault="00DE6517" w:rsidP="00DE6517">
      <w:pPr>
        <w:pStyle w:val="CGCTableFootnote"/>
      </w:pPr>
      <w:r w:rsidRPr="006C3A11">
        <w:rPr>
          <w:noProof/>
          <w:lang w:eastAsia="en-AU"/>
        </w:rPr>
        <w:drawing>
          <wp:inline distT="0" distB="0" distL="0" distR="0" wp14:anchorId="73E71AD6" wp14:editId="03FD8406">
            <wp:extent cx="5652770" cy="35623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2770" cy="3562350"/>
                    </a:xfrm>
                    <a:prstGeom prst="rect">
                      <a:avLst/>
                    </a:prstGeom>
                    <a:noFill/>
                    <a:ln>
                      <a:noFill/>
                    </a:ln>
                  </pic:spPr>
                </pic:pic>
              </a:graphicData>
            </a:graphic>
          </wp:inline>
        </w:drawing>
      </w:r>
    </w:p>
    <w:p w:rsidR="00DE6517" w:rsidRDefault="00DE6517" w:rsidP="00DE6517">
      <w:pPr>
        <w:pStyle w:val="CGCTableFootnote"/>
      </w:pPr>
      <w:r>
        <w:t>Source:</w:t>
      </w:r>
      <w:r>
        <w:tab/>
        <w:t>2017 Update, Supplementary Information, Relativities over time.</w:t>
      </w:r>
    </w:p>
    <w:p w:rsidR="00DE6517" w:rsidRDefault="00DE6517" w:rsidP="00DE6517">
      <w:pPr>
        <w:pStyle w:val="CGCNumberedPara"/>
        <w:numPr>
          <w:ilvl w:val="1"/>
          <w:numId w:val="3"/>
        </w:numPr>
      </w:pPr>
      <w:r>
        <w:t>An example of a State experiencing a sudden change is Western Australia. Over th</w:t>
      </w:r>
      <w:r w:rsidR="000F152E">
        <w:t>e</w:t>
      </w:r>
      <w:r>
        <w:t xml:space="preserve"> five year period</w:t>
      </w:r>
      <w:r w:rsidR="000F152E">
        <w:t xml:space="preserve"> to 2015-16</w:t>
      </w:r>
      <w:r w:rsidR="00523FA0">
        <w:t>,</w:t>
      </w:r>
      <w:r>
        <w:t xml:space="preserve"> it experienced a rapid rise in </w:t>
      </w:r>
      <w:r w:rsidR="00523FA0">
        <w:t xml:space="preserve">income as a result of </w:t>
      </w:r>
      <w:r>
        <w:t>iron ore price</w:t>
      </w:r>
      <w:r w:rsidR="00523FA0">
        <w:t xml:space="preserve"> increase</w:t>
      </w:r>
      <w:r>
        <w:t xml:space="preserve">s. The use of historical data means Commission relativities lag behind </w:t>
      </w:r>
      <w:r w:rsidR="00523FA0">
        <w:t xml:space="preserve">Western Australia’s </w:t>
      </w:r>
      <w:r>
        <w:t xml:space="preserve">increased fiscal capacity, over-estimating the GST it </w:t>
      </w:r>
      <w:r>
        <w:lastRenderedPageBreak/>
        <w:t xml:space="preserve">requires. </w:t>
      </w:r>
      <w:r>
        <w:fldChar w:fldCharType="begin"/>
      </w:r>
      <w:r>
        <w:instrText xml:space="preserve"> REF _Ref450122607 \h </w:instrText>
      </w:r>
      <w:r>
        <w:fldChar w:fldCharType="separate"/>
      </w:r>
      <w:r w:rsidR="00E17AEF">
        <w:t xml:space="preserve">Table </w:t>
      </w:r>
      <w:r w:rsidR="00E17AEF">
        <w:rPr>
          <w:noProof/>
        </w:rPr>
        <w:t>1</w:t>
      </w:r>
      <w:r>
        <w:fldChar w:fldCharType="end"/>
      </w:r>
      <w:r>
        <w:t xml:space="preserve"> showed Western Australia received more GST than it required </w:t>
      </w:r>
      <w:r w:rsidR="00E345BB">
        <w:t xml:space="preserve">under fully contemporaneous equalisation </w:t>
      </w:r>
      <w:r>
        <w:t xml:space="preserve">for the </w:t>
      </w:r>
      <w:r w:rsidR="000F152E">
        <w:t>years 2010-11 and 2011-12</w:t>
      </w:r>
      <w:r>
        <w:t>.</w:t>
      </w:r>
    </w:p>
    <w:p w:rsidR="00DE6517" w:rsidRDefault="00DE6517" w:rsidP="00DE6517">
      <w:pPr>
        <w:pStyle w:val="CGCNumberedPara"/>
        <w:numPr>
          <w:ilvl w:val="1"/>
          <w:numId w:val="3"/>
        </w:numPr>
      </w:pPr>
      <w:r>
        <w:t xml:space="preserve">One of the difficulties in dealing with both situations is </w:t>
      </w:r>
      <w:r w:rsidR="00523FA0">
        <w:t xml:space="preserve">that </w:t>
      </w:r>
      <w:r>
        <w:t xml:space="preserve">options </w:t>
      </w:r>
      <w:r w:rsidR="00523FA0">
        <w:t xml:space="preserve">to </w:t>
      </w:r>
      <w:r>
        <w:t>address structural declines can worsen situations where there is a sudden change.</w:t>
      </w:r>
      <w:r w:rsidR="002D5261">
        <w:t xml:space="preserve"> Commission </w:t>
      </w:r>
      <w:proofErr w:type="gramStart"/>
      <w:r w:rsidR="002D5261">
        <w:t>staff have</w:t>
      </w:r>
      <w:proofErr w:type="gramEnd"/>
      <w:r w:rsidR="002D5261">
        <w:t xml:space="preserve"> not found a way </w:t>
      </w:r>
      <w:r w:rsidR="00647D6F">
        <w:t>to</w:t>
      </w:r>
      <w:r w:rsidR="002D5261">
        <w:t xml:space="preserve"> </w:t>
      </w:r>
      <w:r w:rsidR="00EA04E1">
        <w:t>simultaneously</w:t>
      </w:r>
      <w:r w:rsidR="002D5261">
        <w:t xml:space="preserve"> reduc</w:t>
      </w:r>
      <w:r w:rsidR="00647D6F">
        <w:t>e</w:t>
      </w:r>
      <w:r w:rsidR="002D5261">
        <w:t xml:space="preserve"> the </w:t>
      </w:r>
      <w:r w:rsidR="00647D6F">
        <w:t xml:space="preserve">total </w:t>
      </w:r>
      <w:r w:rsidR="002D5261">
        <w:t>gap and the gap for each State.</w:t>
      </w:r>
    </w:p>
    <w:p w:rsidR="00DE6517" w:rsidRDefault="00DE6517" w:rsidP="00DE6517">
      <w:pPr>
        <w:pStyle w:val="CGCNumberedPara"/>
        <w:numPr>
          <w:ilvl w:val="1"/>
          <w:numId w:val="3"/>
        </w:numPr>
      </w:pPr>
      <w:r>
        <w:t>This paper considers options for:</w:t>
      </w:r>
    </w:p>
    <w:p w:rsidR="00DE6517" w:rsidRDefault="00DE6517" w:rsidP="00DE6517">
      <w:pPr>
        <w:pStyle w:val="CGCBulletlist"/>
        <w:numPr>
          <w:ilvl w:val="0"/>
          <w:numId w:val="1"/>
        </w:numPr>
        <w:tabs>
          <w:tab w:val="clear" w:pos="927"/>
        </w:tabs>
        <w:ind w:left="1134" w:hanging="567"/>
      </w:pPr>
      <w:r>
        <w:t>improving the contemporaneity of the Commission’s recommendations</w:t>
      </w:r>
    </w:p>
    <w:p w:rsidR="00DE6517" w:rsidRDefault="00DE6517" w:rsidP="00DE6517">
      <w:pPr>
        <w:pStyle w:val="CGCBulletlist"/>
        <w:numPr>
          <w:ilvl w:val="0"/>
          <w:numId w:val="1"/>
        </w:numPr>
        <w:tabs>
          <w:tab w:val="clear" w:pos="927"/>
        </w:tabs>
        <w:ind w:left="1134" w:hanging="567"/>
      </w:pPr>
      <w:proofErr w:type="gramStart"/>
      <w:r>
        <w:t>correcting</w:t>
      </w:r>
      <w:proofErr w:type="gramEnd"/>
      <w:r>
        <w:t xml:space="preserve"> any gaps that arise </w:t>
      </w:r>
      <w:r w:rsidR="00523FA0">
        <w:t>through a subsequent process</w:t>
      </w:r>
      <w:r>
        <w:t>.</w:t>
      </w:r>
      <w:r>
        <w:rPr>
          <w:rStyle w:val="FootnoteReference"/>
        </w:rPr>
        <w:footnoteReference w:id="4"/>
      </w:r>
    </w:p>
    <w:p w:rsidR="002D5261" w:rsidRDefault="00DE6517" w:rsidP="002D5261">
      <w:pPr>
        <w:pStyle w:val="CGCNumberedPara"/>
        <w:numPr>
          <w:ilvl w:val="1"/>
          <w:numId w:val="3"/>
        </w:numPr>
      </w:pPr>
      <w:r>
        <w:t>The first approach attempts to bring States’ GST payments closer to their GST requirements</w:t>
      </w:r>
      <w:r w:rsidR="00E345BB">
        <w:t>, that is, closer to fully contemporaneous equalisation</w:t>
      </w:r>
      <w:r>
        <w:t>. The second approach accepts there will be gaps and corrects for them later.</w:t>
      </w:r>
      <w:r w:rsidR="002D5261" w:rsidRPr="002D5261">
        <w:t xml:space="preserve"> </w:t>
      </w:r>
    </w:p>
    <w:p w:rsidR="00DE6517" w:rsidRDefault="00DE6517" w:rsidP="00DE6517">
      <w:pPr>
        <w:pStyle w:val="Heading3"/>
      </w:pPr>
      <w:bookmarkStart w:id="18" w:name="_Toc482338180"/>
      <w:r>
        <w:t>OPTIONS FOR MAKING THE COMMISSION’S RECOMMENDATIONS MORE CONTEMPORANEOUS</w:t>
      </w:r>
      <w:bookmarkEnd w:id="18"/>
    </w:p>
    <w:p w:rsidR="00DE6517" w:rsidRDefault="00DE6517" w:rsidP="00DE6517">
      <w:pPr>
        <w:pStyle w:val="CGCNumberedPara"/>
        <w:numPr>
          <w:ilvl w:val="1"/>
          <w:numId w:val="3"/>
        </w:numPr>
      </w:pPr>
      <w:r>
        <w:t xml:space="preserve">Making the HFE process more contemporaneous means improving the </w:t>
      </w:r>
      <w:r w:rsidR="00523FA0">
        <w:t xml:space="preserve">way the Commission assesses States’ relative fiscal capacities (and hence their GST payments) </w:t>
      </w:r>
      <w:r w:rsidR="00201944">
        <w:t>to bring</w:t>
      </w:r>
      <w:r>
        <w:t xml:space="preserve"> them closer to their GST requirements</w:t>
      </w:r>
      <w:r w:rsidR="00523FA0">
        <w:t xml:space="preserve"> (that is, how much GST revenue the future shows each State actually needed)</w:t>
      </w:r>
      <w:r>
        <w:t>. Greater contemporaneity might be achieved by moving to a one year model, a later reporting date, estimating data for the application year or applying a different treatment to volatile revenues.</w:t>
      </w:r>
    </w:p>
    <w:p w:rsidR="00DE6517" w:rsidRDefault="00DE6517" w:rsidP="00DE6517">
      <w:pPr>
        <w:pStyle w:val="CGCNumberedPara"/>
        <w:numPr>
          <w:ilvl w:val="1"/>
          <w:numId w:val="3"/>
        </w:numPr>
      </w:pPr>
      <w:r>
        <w:t xml:space="preserve">The first option to improve contemporaneity would be to move from </w:t>
      </w:r>
      <w:r w:rsidR="00523FA0">
        <w:t xml:space="preserve">using </w:t>
      </w:r>
      <w:r>
        <w:t xml:space="preserve">three years </w:t>
      </w:r>
      <w:r w:rsidR="00523FA0">
        <w:t xml:space="preserve">of historical data </w:t>
      </w:r>
      <w:r>
        <w:t>to a single assessment year, the year close</w:t>
      </w:r>
      <w:r w:rsidR="00523FA0">
        <w:t>s</w:t>
      </w:r>
      <w:r>
        <w:t xml:space="preserve">t to the application year. The trade-off for a single year is that it may not be fully reflective of the conditions in the application year, </w:t>
      </w:r>
      <w:r w:rsidR="00523FA0">
        <w:t xml:space="preserve">and </w:t>
      </w:r>
      <w:r>
        <w:t xml:space="preserve">it would likely increase volatility </w:t>
      </w:r>
      <w:r w:rsidR="00B128B1">
        <w:t xml:space="preserve">in GST shares </w:t>
      </w:r>
      <w:r>
        <w:t>as spike years would move through the HFE system much more quickly than now.</w:t>
      </w:r>
    </w:p>
    <w:p w:rsidR="00DE6517" w:rsidRDefault="00DE6517" w:rsidP="00DE6517">
      <w:pPr>
        <w:pStyle w:val="CGCNumberedPara"/>
        <w:numPr>
          <w:ilvl w:val="1"/>
          <w:numId w:val="3"/>
        </w:numPr>
      </w:pPr>
      <w:r>
        <w:t>A possible improvement on the single year approach would be to update the February relativities later in the year, say June, when additional datasets become available.</w:t>
      </w:r>
    </w:p>
    <w:p w:rsidR="00DE6517" w:rsidRDefault="00DE6517" w:rsidP="00DE6517">
      <w:pPr>
        <w:pStyle w:val="CGCNumberedPara"/>
        <w:numPr>
          <w:ilvl w:val="1"/>
          <w:numId w:val="3"/>
        </w:numPr>
      </w:pPr>
      <w:r>
        <w:t xml:space="preserve">If the gaps between States’ GST payments and their GST requirements are giving rise to </w:t>
      </w:r>
      <w:r w:rsidR="00B128B1">
        <w:t>cyclical cash flow</w:t>
      </w:r>
      <w:r>
        <w:t xml:space="preserve"> management concerns</w:t>
      </w:r>
      <w:r w:rsidR="00523FA0">
        <w:t>,</w:t>
      </w:r>
      <w:r>
        <w:t xml:space="preserve"> then other options are to use data estimates or projections for the application year or to treat volatile revenues differently. The trade</w:t>
      </w:r>
      <w:r>
        <w:noBreakHyphen/>
        <w:t>off here is data reliability and the possibility that these approaches could make the gaps worse for some States.</w:t>
      </w:r>
    </w:p>
    <w:p w:rsidR="00DE6517" w:rsidRDefault="00DE6517" w:rsidP="00DE6517">
      <w:pPr>
        <w:pStyle w:val="CGCNumberedPara"/>
        <w:numPr>
          <w:ilvl w:val="1"/>
          <w:numId w:val="3"/>
        </w:numPr>
      </w:pPr>
      <w:r>
        <w:lastRenderedPageBreak/>
        <w:t xml:space="preserve">The final options considered are </w:t>
      </w:r>
      <w:r w:rsidR="006C7012">
        <w:t>correction</w:t>
      </w:r>
      <w:r>
        <w:t xml:space="preserve"> </w:t>
      </w:r>
      <w:r w:rsidR="00523FA0">
        <w:t>payments</w:t>
      </w:r>
      <w:r>
        <w:t>, which would complicate the HFE system by adding another layer of calculations. They would redress any gaps, but in a way that would move the system further from a fully contemporaneous distribution.</w:t>
      </w:r>
    </w:p>
    <w:p w:rsidR="00DE6517" w:rsidRDefault="00DE6517" w:rsidP="00DE6517">
      <w:pPr>
        <w:pStyle w:val="Heading4"/>
      </w:pPr>
      <w:bookmarkStart w:id="19" w:name="_Toc482338181"/>
      <w:r>
        <w:t>Option — a one year model</w:t>
      </w:r>
      <w:bookmarkEnd w:id="19"/>
    </w:p>
    <w:p w:rsidR="002D5261" w:rsidRDefault="002D5261" w:rsidP="00DE6517">
      <w:pPr>
        <w:pStyle w:val="CGCNumberedPara"/>
        <w:numPr>
          <w:ilvl w:val="1"/>
          <w:numId w:val="3"/>
        </w:numPr>
      </w:pPr>
      <w:r>
        <w:t xml:space="preserve">This option reduces the </w:t>
      </w:r>
      <w:r w:rsidR="00AD24D4">
        <w:t xml:space="preserve">existing </w:t>
      </w:r>
      <w:r>
        <w:t>three year assessment period by omitting the oldest two assessment years.</w:t>
      </w:r>
    </w:p>
    <w:p w:rsidR="00DE6517" w:rsidRDefault="00DE6517" w:rsidP="00DE6517">
      <w:pPr>
        <w:pStyle w:val="CGCNumberedPara"/>
        <w:numPr>
          <w:ilvl w:val="1"/>
          <w:numId w:val="3"/>
        </w:numPr>
      </w:pPr>
      <w:r>
        <w:t>When State circumstances change rapidly, Commission relativities can become out</w:t>
      </w:r>
      <w:r>
        <w:noBreakHyphen/>
        <w:t>of</w:t>
      </w:r>
      <w:r>
        <w:noBreakHyphen/>
        <w:t xml:space="preserve">date before they are used. If this happens, they will not deliver </w:t>
      </w:r>
      <w:r w:rsidR="00112800">
        <w:t>a fully contemporaneous GST distribution</w:t>
      </w:r>
      <w:r>
        <w:t xml:space="preserve"> in the application year</w:t>
      </w:r>
      <w:r w:rsidR="00D433AC">
        <w:t xml:space="preserve"> (that is, its GST payment will not </w:t>
      </w:r>
      <w:r w:rsidR="00201944">
        <w:t>match</w:t>
      </w:r>
      <w:r w:rsidR="00D433AC">
        <w:t xml:space="preserve"> its GST requirement)</w:t>
      </w:r>
      <w:r>
        <w:t xml:space="preserve">. Western Australia experienced a big increase in revenue in 2013-14 due to a mining boom. The lags in the HFE system meant its increased </w:t>
      </w:r>
      <w:r w:rsidR="00D433AC">
        <w:t xml:space="preserve">fiscal </w:t>
      </w:r>
      <w:r>
        <w:t xml:space="preserve">capacity </w:t>
      </w:r>
      <w:r w:rsidR="00D433AC">
        <w:t xml:space="preserve">arising as a result of that income boost </w:t>
      </w:r>
      <w:r>
        <w:t xml:space="preserve">did not </w:t>
      </w:r>
      <w:r w:rsidR="00D433AC">
        <w:t xml:space="preserve">result in </w:t>
      </w:r>
      <w:r w:rsidR="00C32A09">
        <w:t>an immediate</w:t>
      </w:r>
      <w:r w:rsidR="00D433AC">
        <w:t xml:space="preserve"> reduction in </w:t>
      </w:r>
      <w:r>
        <w:t xml:space="preserve">its GST </w:t>
      </w:r>
      <w:r w:rsidR="00D433AC">
        <w:t xml:space="preserve">payment </w:t>
      </w:r>
      <w:r>
        <w:t>in 2013-14 but in three later years (2015</w:t>
      </w:r>
      <w:r>
        <w:noBreakHyphen/>
        <w:t>16 to 2017</w:t>
      </w:r>
      <w:r>
        <w:noBreakHyphen/>
        <w:t>18), by which time its mining revenue had also fallen.</w:t>
      </w:r>
      <w:r w:rsidR="00D433AC">
        <w:t xml:space="preserve"> Accordingly, Western Australia points to the current approach as failing to deliver GST payments that match its GST requirement in those later years.</w:t>
      </w:r>
    </w:p>
    <w:p w:rsidR="00DE6517" w:rsidRDefault="00DE6517" w:rsidP="00DE6517">
      <w:pPr>
        <w:pStyle w:val="CGCNumberedPara"/>
        <w:numPr>
          <w:ilvl w:val="1"/>
          <w:numId w:val="3"/>
        </w:numPr>
      </w:pPr>
      <w:r>
        <w:t>The relativities approach uses three year averaging. A one year model improves contempora</w:t>
      </w:r>
      <w:r w:rsidR="00C32A09">
        <w:t>neity</w:t>
      </w:r>
      <w:r>
        <w:t xml:space="preserve"> by:</w:t>
      </w:r>
    </w:p>
    <w:p w:rsidR="00DE6517" w:rsidRDefault="00DE6517" w:rsidP="00DE6517">
      <w:pPr>
        <w:pStyle w:val="CGCBulletlist"/>
        <w:numPr>
          <w:ilvl w:val="0"/>
          <w:numId w:val="1"/>
        </w:numPr>
        <w:tabs>
          <w:tab w:val="clear" w:pos="927"/>
        </w:tabs>
        <w:ind w:left="1134" w:hanging="567"/>
      </w:pPr>
      <w:r>
        <w:t>reducing the number of years in the assessment period, thereby reducing the length of the lags in the system</w:t>
      </w:r>
    </w:p>
    <w:p w:rsidR="00DE6517" w:rsidRDefault="00DE6517" w:rsidP="00DE6517">
      <w:pPr>
        <w:pStyle w:val="CGCBulletlist"/>
        <w:numPr>
          <w:ilvl w:val="0"/>
          <w:numId w:val="1"/>
        </w:numPr>
        <w:tabs>
          <w:tab w:val="clear" w:pos="927"/>
        </w:tabs>
        <w:ind w:left="1134" w:hanging="567"/>
      </w:pPr>
      <w:proofErr w:type="gramStart"/>
      <w:r>
        <w:t>moving</w:t>
      </w:r>
      <w:proofErr w:type="gramEnd"/>
      <w:r>
        <w:t xml:space="preserve"> the assessment year closer to the application year.</w:t>
      </w:r>
    </w:p>
    <w:p w:rsidR="00DE6517" w:rsidRDefault="00DE6517" w:rsidP="00DE6517">
      <w:pPr>
        <w:pStyle w:val="CGCNumberedPara"/>
        <w:numPr>
          <w:ilvl w:val="1"/>
          <w:numId w:val="3"/>
        </w:numPr>
      </w:pPr>
      <w:r>
        <w:t>Implementation issues with this approach include:</w:t>
      </w:r>
    </w:p>
    <w:p w:rsidR="00DE6517" w:rsidRDefault="00DE6517" w:rsidP="00DE6517">
      <w:pPr>
        <w:pStyle w:val="CGCBulletlist"/>
        <w:numPr>
          <w:ilvl w:val="0"/>
          <w:numId w:val="1"/>
        </w:numPr>
        <w:tabs>
          <w:tab w:val="clear" w:pos="927"/>
        </w:tabs>
        <w:ind w:left="1134" w:hanging="567"/>
      </w:pPr>
      <w:r>
        <w:t>which year</w:t>
      </w:r>
    </w:p>
    <w:p w:rsidR="00DE6517" w:rsidRDefault="00DE6517" w:rsidP="00DE6517">
      <w:pPr>
        <w:pStyle w:val="CGCBulletlist"/>
        <w:numPr>
          <w:ilvl w:val="0"/>
          <w:numId w:val="1"/>
        </w:numPr>
        <w:tabs>
          <w:tab w:val="clear" w:pos="927"/>
        </w:tabs>
        <w:ind w:left="1134" w:hanging="567"/>
      </w:pPr>
      <w:r>
        <w:t>should there be a correction process</w:t>
      </w:r>
    </w:p>
    <w:p w:rsidR="00DE6517" w:rsidRDefault="00DE6517" w:rsidP="00DE6517">
      <w:pPr>
        <w:pStyle w:val="CGCBulletlist"/>
        <w:numPr>
          <w:ilvl w:val="0"/>
          <w:numId w:val="1"/>
        </w:numPr>
        <w:tabs>
          <w:tab w:val="clear" w:pos="927"/>
        </w:tabs>
        <w:ind w:left="1134" w:hanging="567"/>
      </w:pPr>
      <w:proofErr w:type="gramStart"/>
      <w:r>
        <w:t>are</w:t>
      </w:r>
      <w:proofErr w:type="gramEnd"/>
      <w:r>
        <w:t xml:space="preserve"> relativities required?</w:t>
      </w:r>
    </w:p>
    <w:p w:rsidR="00DE6517" w:rsidRDefault="00DE6517" w:rsidP="00DE6517">
      <w:pPr>
        <w:pStyle w:val="CGCNumberedPara"/>
        <w:numPr>
          <w:ilvl w:val="1"/>
          <w:numId w:val="3"/>
        </w:numPr>
      </w:pPr>
      <w:r>
        <w:t xml:space="preserve">As the intention is to improve contemporaneity, this approach relies on choosing a year as close to the application year as possible — if not the application year itself, then the preceding year. Commission staff simulated this using the final assessment year </w:t>
      </w:r>
      <w:r w:rsidR="00823AF7">
        <w:t xml:space="preserve">from </w:t>
      </w:r>
      <w:r w:rsidR="00011B7D">
        <w:t>two</w:t>
      </w:r>
      <w:r w:rsidR="00201944">
        <w:t xml:space="preserve"> inquir</w:t>
      </w:r>
      <w:r w:rsidR="00823AF7">
        <w:t>ies (</w:t>
      </w:r>
      <w:r w:rsidR="00201944">
        <w:t xml:space="preserve">the 2010 Review </w:t>
      </w:r>
      <w:r w:rsidR="00011B7D">
        <w:t>and 2011</w:t>
      </w:r>
      <w:r w:rsidR="00201944">
        <w:t xml:space="preserve"> Update</w:t>
      </w:r>
      <w:r w:rsidR="00823AF7">
        <w:t>)</w:t>
      </w:r>
      <w:r>
        <w:t>.</w:t>
      </w:r>
    </w:p>
    <w:p w:rsidR="00DE6517" w:rsidRDefault="00DE6517" w:rsidP="00DE6517">
      <w:pPr>
        <w:pStyle w:val="CGCNumberedPara"/>
        <w:numPr>
          <w:ilvl w:val="1"/>
          <w:numId w:val="3"/>
        </w:numPr>
      </w:pPr>
      <w:r>
        <w:fldChar w:fldCharType="begin"/>
      </w:r>
      <w:r>
        <w:instrText xml:space="preserve"> REF _Ref477854235 \h </w:instrText>
      </w:r>
      <w:r>
        <w:fldChar w:fldCharType="separate"/>
      </w:r>
      <w:r w:rsidR="00E17AEF">
        <w:t xml:space="preserve">Table </w:t>
      </w:r>
      <w:r w:rsidR="00E17AEF">
        <w:rPr>
          <w:noProof/>
        </w:rPr>
        <w:t>2</w:t>
      </w:r>
      <w:r>
        <w:fldChar w:fldCharType="end"/>
      </w:r>
      <w:r>
        <w:t xml:space="preserve"> shows this option reduced the gaps </w:t>
      </w:r>
      <w:r w:rsidR="00B128B1">
        <w:t xml:space="preserve">shown in </w:t>
      </w:r>
      <w:r w:rsidR="00B128B1">
        <w:fldChar w:fldCharType="begin"/>
      </w:r>
      <w:r w:rsidR="00B128B1">
        <w:instrText xml:space="preserve"> REF _Ref450122607 \h </w:instrText>
      </w:r>
      <w:r w:rsidR="00B128B1">
        <w:fldChar w:fldCharType="separate"/>
      </w:r>
      <w:r w:rsidR="00E17AEF">
        <w:t xml:space="preserve">Table </w:t>
      </w:r>
      <w:r w:rsidR="00E17AEF">
        <w:rPr>
          <w:noProof/>
        </w:rPr>
        <w:t>1</w:t>
      </w:r>
      <w:r w:rsidR="00B128B1">
        <w:fldChar w:fldCharType="end"/>
      </w:r>
      <w:r w:rsidR="00B128B1">
        <w:t xml:space="preserve"> </w:t>
      </w:r>
      <w:r>
        <w:t>for th</w:t>
      </w:r>
      <w:r w:rsidR="00D433AC">
        <w:t>os</w:t>
      </w:r>
      <w:r>
        <w:t xml:space="preserve">e </w:t>
      </w:r>
      <w:r w:rsidR="00AD24D4">
        <w:t>two</w:t>
      </w:r>
      <w:r>
        <w:t xml:space="preserve"> years:</w:t>
      </w:r>
    </w:p>
    <w:p w:rsidR="00DE6517" w:rsidRDefault="00DE6517" w:rsidP="00DE6517">
      <w:pPr>
        <w:pStyle w:val="CGCBulletlist"/>
        <w:numPr>
          <w:ilvl w:val="0"/>
          <w:numId w:val="1"/>
        </w:numPr>
        <w:tabs>
          <w:tab w:val="clear" w:pos="927"/>
        </w:tabs>
        <w:ind w:left="1134" w:hanging="567"/>
      </w:pPr>
      <w:r>
        <w:t>in total ($</w:t>
      </w:r>
      <w:r w:rsidR="00AD24D4">
        <w:t>3</w:t>
      </w:r>
      <w:r>
        <w:t> </w:t>
      </w:r>
      <w:r w:rsidR="00AD24D4">
        <w:t>384</w:t>
      </w:r>
      <w:r>
        <w:t> million versus $</w:t>
      </w:r>
      <w:r w:rsidR="00AD24D4">
        <w:t>3</w:t>
      </w:r>
      <w:r>
        <w:t> </w:t>
      </w:r>
      <w:r w:rsidR="00AD24D4">
        <w:t>859</w:t>
      </w:r>
      <w:r>
        <w:t> million)</w:t>
      </w:r>
    </w:p>
    <w:p w:rsidR="00DE6517" w:rsidRDefault="00DE6517" w:rsidP="00DE6517">
      <w:pPr>
        <w:pStyle w:val="CGCBulletlist"/>
        <w:numPr>
          <w:ilvl w:val="0"/>
          <w:numId w:val="1"/>
        </w:numPr>
        <w:tabs>
          <w:tab w:val="clear" w:pos="927"/>
        </w:tabs>
        <w:ind w:left="1134" w:hanging="567"/>
      </w:pPr>
      <w:r>
        <w:t>for f</w:t>
      </w:r>
      <w:r w:rsidR="00011B7D">
        <w:t>ive</w:t>
      </w:r>
      <w:r>
        <w:t xml:space="preserve"> States:</w:t>
      </w:r>
    </w:p>
    <w:p w:rsidR="00AD24D4" w:rsidRDefault="00AD24D4" w:rsidP="00AD24D4">
      <w:pPr>
        <w:pStyle w:val="CGCSubbulletlist"/>
        <w:numPr>
          <w:ilvl w:val="0"/>
          <w:numId w:val="4"/>
        </w:numPr>
        <w:tabs>
          <w:tab w:val="clear" w:pos="927"/>
        </w:tabs>
        <w:ind w:left="1701" w:hanging="567"/>
      </w:pPr>
      <w:r>
        <w:t>New South Wales (-$20 million versus $788 million)</w:t>
      </w:r>
    </w:p>
    <w:p w:rsidR="00011B7D" w:rsidRDefault="00011B7D" w:rsidP="00011B7D">
      <w:pPr>
        <w:pStyle w:val="CGCSubbulletlist"/>
        <w:numPr>
          <w:ilvl w:val="0"/>
          <w:numId w:val="4"/>
        </w:numPr>
        <w:tabs>
          <w:tab w:val="clear" w:pos="927"/>
        </w:tabs>
        <w:ind w:left="1701" w:hanging="567"/>
      </w:pPr>
      <w:r>
        <w:t>Western Australia (-$2 518 million versus -$3 116 million)</w:t>
      </w:r>
    </w:p>
    <w:p w:rsidR="00DE6517" w:rsidRDefault="00011B7D" w:rsidP="00DE6517">
      <w:pPr>
        <w:pStyle w:val="CGCSubbulletlist"/>
        <w:numPr>
          <w:ilvl w:val="0"/>
          <w:numId w:val="4"/>
        </w:numPr>
        <w:tabs>
          <w:tab w:val="clear" w:pos="927"/>
        </w:tabs>
        <w:ind w:left="1701" w:hanging="567"/>
      </w:pPr>
      <w:r>
        <w:t>South Australia (</w:t>
      </w:r>
      <w:r w:rsidR="00DE6517">
        <w:t>$</w:t>
      </w:r>
      <w:r>
        <w:t>54</w:t>
      </w:r>
      <w:r w:rsidR="00DE6517">
        <w:t> million versus -$</w:t>
      </w:r>
      <w:r>
        <w:t>92</w:t>
      </w:r>
      <w:r w:rsidR="00DE6517">
        <w:t> million)</w:t>
      </w:r>
    </w:p>
    <w:p w:rsidR="00011B7D" w:rsidRDefault="00011B7D" w:rsidP="00011B7D">
      <w:pPr>
        <w:pStyle w:val="CGCSubbulletlist"/>
        <w:numPr>
          <w:ilvl w:val="0"/>
          <w:numId w:val="4"/>
        </w:numPr>
        <w:tabs>
          <w:tab w:val="clear" w:pos="927"/>
        </w:tabs>
        <w:ind w:left="1701" w:hanging="567"/>
      </w:pPr>
      <w:r>
        <w:lastRenderedPageBreak/>
        <w:t>ACT ($179 million versus $18</w:t>
      </w:r>
      <w:r w:rsidR="00CD6A84">
        <w:t>7 million)</w:t>
      </w:r>
    </w:p>
    <w:p w:rsidR="00DE6517" w:rsidRDefault="00CD6A84" w:rsidP="00DE6517">
      <w:pPr>
        <w:pStyle w:val="CGCSubbulletlist"/>
        <w:numPr>
          <w:ilvl w:val="0"/>
          <w:numId w:val="4"/>
        </w:numPr>
        <w:tabs>
          <w:tab w:val="clear" w:pos="927"/>
        </w:tabs>
        <w:ind w:left="1701" w:hanging="567"/>
      </w:pPr>
      <w:proofErr w:type="gramStart"/>
      <w:r>
        <w:t>the</w:t>
      </w:r>
      <w:proofErr w:type="gramEnd"/>
      <w:r>
        <w:t xml:space="preserve"> </w:t>
      </w:r>
      <w:r w:rsidR="00011B7D">
        <w:t>Northern Territory</w:t>
      </w:r>
      <w:r w:rsidR="00DE6517">
        <w:t xml:space="preserve"> ($</w:t>
      </w:r>
      <w:r w:rsidR="00011B7D">
        <w:t>228</w:t>
      </w:r>
      <w:r w:rsidR="00DE6517">
        <w:t> million versus $</w:t>
      </w:r>
      <w:r w:rsidR="00011B7D">
        <w:t>260</w:t>
      </w:r>
      <w:r w:rsidR="00DE6517">
        <w:t> million).</w:t>
      </w:r>
    </w:p>
    <w:p w:rsidR="00DE6517" w:rsidRDefault="00DE6517" w:rsidP="00DE6517">
      <w:pPr>
        <w:pStyle w:val="CGCNumberedPara"/>
        <w:numPr>
          <w:ilvl w:val="1"/>
          <w:numId w:val="3"/>
        </w:numPr>
      </w:pPr>
      <w:r>
        <w:t>Th</w:t>
      </w:r>
      <w:r w:rsidR="00EA04E1">
        <w:t>is</w:t>
      </w:r>
      <w:r>
        <w:t xml:space="preserve"> option </w:t>
      </w:r>
      <w:r w:rsidR="00F11008">
        <w:t xml:space="preserve">increased the gap </w:t>
      </w:r>
      <w:r>
        <w:t xml:space="preserve">for </w:t>
      </w:r>
      <w:r w:rsidR="00011B7D">
        <w:t>Victoria</w:t>
      </w:r>
      <w:r>
        <w:t xml:space="preserve"> (</w:t>
      </w:r>
      <w:r>
        <w:noBreakHyphen/>
        <w:t>$</w:t>
      </w:r>
      <w:r w:rsidR="00011B7D">
        <w:t>846</w:t>
      </w:r>
      <w:r>
        <w:t xml:space="preserve"> million versus </w:t>
      </w:r>
      <w:r w:rsidR="00011B7D">
        <w:noBreakHyphen/>
      </w:r>
      <w:r>
        <w:t>$</w:t>
      </w:r>
      <w:r w:rsidR="00011B7D">
        <w:t>650</w:t>
      </w:r>
      <w:r>
        <w:t> million)</w:t>
      </w:r>
      <w:r w:rsidR="00011B7D">
        <w:t>, Queensland ($2 887 million versus $2 611 million) and Tasmania ($37 million versus $12 million)</w:t>
      </w:r>
      <w:r>
        <w:t>.</w:t>
      </w:r>
    </w:p>
    <w:p w:rsidR="00DE6517" w:rsidRDefault="00DE6517" w:rsidP="00DE6517">
      <w:pPr>
        <w:pStyle w:val="Caption"/>
      </w:pPr>
      <w:bookmarkStart w:id="20" w:name="_Ref477854235"/>
      <w:r>
        <w:t xml:space="preserve">Table </w:t>
      </w:r>
      <w:r w:rsidR="00C562FD">
        <w:fldChar w:fldCharType="begin"/>
      </w:r>
      <w:r w:rsidR="00C562FD">
        <w:instrText xml:space="preserve"> SEQ Table \* ARABIC </w:instrText>
      </w:r>
      <w:r w:rsidR="00C562FD">
        <w:fldChar w:fldCharType="separate"/>
      </w:r>
      <w:r w:rsidR="00E17AEF">
        <w:rPr>
          <w:noProof/>
        </w:rPr>
        <w:t>2</w:t>
      </w:r>
      <w:r w:rsidR="00C562FD">
        <w:rPr>
          <w:noProof/>
        </w:rPr>
        <w:fldChar w:fldCharType="end"/>
      </w:r>
      <w:bookmarkEnd w:id="20"/>
      <w:r>
        <w:tab/>
        <w:t>The gap under a one year model</w:t>
      </w:r>
    </w:p>
    <w:tbl>
      <w:tblPr>
        <w:tblW w:w="5000" w:type="pct"/>
        <w:tblCellMar>
          <w:left w:w="85" w:type="dxa"/>
          <w:right w:w="85" w:type="dxa"/>
        </w:tblCellMar>
        <w:tblLook w:val="0000" w:firstRow="0" w:lastRow="0" w:firstColumn="0" w:lastColumn="0" w:noHBand="0" w:noVBand="0"/>
      </w:tblPr>
      <w:tblGrid>
        <w:gridCol w:w="1221"/>
        <w:gridCol w:w="878"/>
        <w:gridCol w:w="878"/>
        <w:gridCol w:w="877"/>
        <w:gridCol w:w="877"/>
        <w:gridCol w:w="903"/>
        <w:gridCol w:w="877"/>
        <w:gridCol w:w="877"/>
        <w:gridCol w:w="877"/>
        <w:gridCol w:w="856"/>
      </w:tblGrid>
      <w:tr w:rsidR="00DE6517" w:rsidRPr="00FE3F73" w:rsidTr="00523FA0">
        <w:tc>
          <w:tcPr>
            <w:tcW w:w="669" w:type="pct"/>
            <w:tcBorders>
              <w:top w:val="single" w:sz="6" w:space="0" w:color="auto"/>
              <w:bottom w:val="single" w:sz="6" w:space="0" w:color="auto"/>
            </w:tcBorders>
            <w:vAlign w:val="bottom"/>
          </w:tcPr>
          <w:p w:rsidR="00DE6517" w:rsidRPr="00FE3F73" w:rsidRDefault="00DE6517" w:rsidP="00523FA0">
            <w:pPr>
              <w:pStyle w:val="CGCTableStub"/>
              <w:spacing w:line="240" w:lineRule="auto"/>
              <w:ind w:left="142" w:hanging="142"/>
              <w:rPr>
                <w:rFonts w:cstheme="minorHAnsi"/>
              </w:rPr>
            </w:pP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NSW</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Vic</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Qld</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WA</w:t>
            </w:r>
          </w:p>
        </w:tc>
        <w:tc>
          <w:tcPr>
            <w:tcW w:w="495"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SA</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proofErr w:type="spellStart"/>
            <w:r w:rsidRPr="00FE3F73">
              <w:rPr>
                <w:rFonts w:cstheme="minorHAnsi"/>
              </w:rPr>
              <w:t>Tas</w:t>
            </w:r>
            <w:proofErr w:type="spellEnd"/>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ACT</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NT</w:t>
            </w:r>
          </w:p>
        </w:tc>
        <w:tc>
          <w:tcPr>
            <w:tcW w:w="469" w:type="pct"/>
            <w:tcBorders>
              <w:top w:val="single" w:sz="6" w:space="0" w:color="auto"/>
              <w:bottom w:val="single" w:sz="6" w:space="0" w:color="auto"/>
            </w:tcBorders>
            <w:vAlign w:val="bottom"/>
          </w:tcPr>
          <w:p w:rsidR="00DE6517" w:rsidRPr="00FE3F73" w:rsidRDefault="000E16B6" w:rsidP="00523FA0">
            <w:pPr>
              <w:pStyle w:val="TableColHeadings"/>
              <w:rPr>
                <w:rFonts w:cstheme="minorHAnsi"/>
              </w:rPr>
            </w:pPr>
            <w:proofErr w:type="spellStart"/>
            <w:r>
              <w:rPr>
                <w:rFonts w:cstheme="minorHAnsi"/>
              </w:rPr>
              <w:t>Redis</w:t>
            </w:r>
            <w:r w:rsidR="00C562FD">
              <w:rPr>
                <w:rFonts w:cstheme="minorHAnsi"/>
              </w:rPr>
              <w:t>t</w:t>
            </w:r>
            <w:proofErr w:type="spellEnd"/>
          </w:p>
        </w:tc>
      </w:tr>
      <w:tr w:rsidR="00DE6517" w:rsidRPr="00FE3F73" w:rsidTr="00523FA0">
        <w:tc>
          <w:tcPr>
            <w:tcW w:w="669" w:type="pct"/>
            <w:tcMar>
              <w:top w:w="0" w:type="dxa"/>
              <w:bottom w:w="0" w:type="dxa"/>
            </w:tcMar>
            <w:vAlign w:val="bottom"/>
          </w:tcPr>
          <w:p w:rsidR="00DE6517" w:rsidRPr="00FE3F73" w:rsidRDefault="00DE6517" w:rsidP="00523FA0">
            <w:pPr>
              <w:pStyle w:val="CGCTableStub"/>
              <w:spacing w:before="0" w:after="0" w:line="240" w:lineRule="auto"/>
              <w:jc w:val="right"/>
              <w:rPr>
                <w:rFonts w:cstheme="minorHAnsi"/>
              </w:rPr>
            </w:pP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95"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9"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r>
      <w:tr w:rsidR="00DE6517" w:rsidRPr="00FE3F73" w:rsidTr="00523FA0">
        <w:tc>
          <w:tcPr>
            <w:tcW w:w="669" w:type="pct"/>
            <w:vAlign w:val="bottom"/>
          </w:tcPr>
          <w:p w:rsidR="00DE6517" w:rsidRPr="00FE3F73" w:rsidRDefault="00DE6517" w:rsidP="00523FA0">
            <w:pPr>
              <w:pStyle w:val="CGCTableStub"/>
              <w:tabs>
                <w:tab w:val="left" w:pos="142"/>
                <w:tab w:val="left" w:pos="425"/>
                <w:tab w:val="left" w:pos="709"/>
                <w:tab w:val="left" w:pos="851"/>
              </w:tabs>
              <w:ind w:left="142" w:hanging="142"/>
              <w:rPr>
                <w:rFonts w:cstheme="minorHAnsi"/>
              </w:rPr>
            </w:pPr>
            <w:r>
              <w:rPr>
                <w:rFonts w:cstheme="minorHAnsi"/>
              </w:rPr>
              <w:t>2010-11</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-304</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-908</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2</w:t>
            </w:r>
            <w:r>
              <w:rPr>
                <w:rFonts w:cstheme="minorHAnsi"/>
              </w:rPr>
              <w:t xml:space="preserve"> </w:t>
            </w:r>
            <w:r w:rsidRPr="00741487">
              <w:rPr>
                <w:rFonts w:cstheme="minorHAnsi"/>
              </w:rPr>
              <w:t>675</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-1</w:t>
            </w:r>
            <w:r>
              <w:rPr>
                <w:rFonts w:cstheme="minorHAnsi"/>
              </w:rPr>
              <w:t xml:space="preserve"> </w:t>
            </w:r>
            <w:r w:rsidRPr="00741487">
              <w:rPr>
                <w:rFonts w:cstheme="minorHAnsi"/>
              </w:rPr>
              <w:t>509</w:t>
            </w:r>
          </w:p>
        </w:tc>
        <w:tc>
          <w:tcPr>
            <w:tcW w:w="495" w:type="pct"/>
            <w:vAlign w:val="bottom"/>
          </w:tcPr>
          <w:p w:rsidR="00DE6517" w:rsidRPr="00741487" w:rsidRDefault="00DE6517" w:rsidP="00523FA0">
            <w:pPr>
              <w:pStyle w:val="TableRowNormal"/>
              <w:ind w:left="0" w:firstLine="0"/>
              <w:rPr>
                <w:rFonts w:cstheme="minorHAnsi"/>
              </w:rPr>
            </w:pPr>
            <w:r w:rsidRPr="00741487">
              <w:rPr>
                <w:rFonts w:cstheme="minorHAnsi"/>
              </w:rPr>
              <w:t>113</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-173</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30</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77</w:t>
            </w:r>
          </w:p>
        </w:tc>
        <w:tc>
          <w:tcPr>
            <w:tcW w:w="469" w:type="pct"/>
            <w:vAlign w:val="bottom"/>
          </w:tcPr>
          <w:p w:rsidR="00DE6517" w:rsidRPr="00741487" w:rsidRDefault="00DE6517" w:rsidP="00523FA0">
            <w:pPr>
              <w:pStyle w:val="TableRowNormal"/>
              <w:ind w:left="0" w:firstLine="0"/>
              <w:rPr>
                <w:rFonts w:cstheme="minorHAnsi"/>
              </w:rPr>
            </w:pPr>
            <w:r w:rsidRPr="00741487">
              <w:rPr>
                <w:rFonts w:cstheme="minorHAnsi"/>
              </w:rPr>
              <w:t>2</w:t>
            </w:r>
            <w:r>
              <w:rPr>
                <w:rFonts w:cstheme="minorHAnsi"/>
              </w:rPr>
              <w:t xml:space="preserve"> </w:t>
            </w:r>
            <w:r w:rsidRPr="00741487">
              <w:rPr>
                <w:rFonts w:cstheme="minorHAnsi"/>
              </w:rPr>
              <w:t>894</w:t>
            </w:r>
          </w:p>
        </w:tc>
      </w:tr>
      <w:tr w:rsidR="00DE6517" w:rsidRPr="00FE3F73" w:rsidTr="00523FA0">
        <w:tc>
          <w:tcPr>
            <w:tcW w:w="669" w:type="pct"/>
            <w:vAlign w:val="bottom"/>
          </w:tcPr>
          <w:p w:rsidR="00DE6517" w:rsidRPr="00FE3F73" w:rsidRDefault="00DE6517" w:rsidP="00523FA0">
            <w:pPr>
              <w:pStyle w:val="CGCTableStub"/>
              <w:tabs>
                <w:tab w:val="left" w:pos="142"/>
                <w:tab w:val="left" w:pos="425"/>
                <w:tab w:val="left" w:pos="709"/>
                <w:tab w:val="left" w:pos="851"/>
              </w:tabs>
              <w:ind w:left="142" w:hanging="142"/>
              <w:rPr>
                <w:rFonts w:cstheme="minorHAnsi"/>
              </w:rPr>
            </w:pPr>
            <w:r>
              <w:rPr>
                <w:rFonts w:cstheme="minorHAnsi"/>
              </w:rPr>
              <w:t>2011-12</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285</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62</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212</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-1</w:t>
            </w:r>
            <w:r>
              <w:rPr>
                <w:rFonts w:cstheme="minorHAnsi"/>
              </w:rPr>
              <w:t xml:space="preserve"> </w:t>
            </w:r>
            <w:r w:rsidRPr="00741487">
              <w:rPr>
                <w:rFonts w:cstheme="minorHAnsi"/>
              </w:rPr>
              <w:t>009</w:t>
            </w:r>
          </w:p>
        </w:tc>
        <w:tc>
          <w:tcPr>
            <w:tcW w:w="495" w:type="pct"/>
            <w:vAlign w:val="bottom"/>
          </w:tcPr>
          <w:p w:rsidR="00DE6517" w:rsidRPr="00741487" w:rsidRDefault="00DE6517" w:rsidP="00523FA0">
            <w:pPr>
              <w:pStyle w:val="TableRowNormal"/>
              <w:ind w:left="0" w:firstLine="0"/>
              <w:rPr>
                <w:rFonts w:cstheme="minorHAnsi"/>
              </w:rPr>
            </w:pPr>
            <w:r w:rsidRPr="00741487">
              <w:rPr>
                <w:rFonts w:cstheme="minorHAnsi"/>
              </w:rPr>
              <w:t>-59</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210</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149</w:t>
            </w:r>
          </w:p>
        </w:tc>
        <w:tc>
          <w:tcPr>
            <w:tcW w:w="481" w:type="pct"/>
            <w:vAlign w:val="bottom"/>
          </w:tcPr>
          <w:p w:rsidR="00DE6517" w:rsidRPr="00741487" w:rsidRDefault="00DE6517" w:rsidP="00523FA0">
            <w:pPr>
              <w:pStyle w:val="TableRowNormal"/>
              <w:ind w:left="0" w:firstLine="0"/>
              <w:rPr>
                <w:rFonts w:cstheme="minorHAnsi"/>
              </w:rPr>
            </w:pPr>
            <w:r w:rsidRPr="00741487">
              <w:rPr>
                <w:rFonts w:cstheme="minorHAnsi"/>
              </w:rPr>
              <w:t>151</w:t>
            </w:r>
          </w:p>
        </w:tc>
        <w:tc>
          <w:tcPr>
            <w:tcW w:w="469" w:type="pct"/>
            <w:vAlign w:val="bottom"/>
          </w:tcPr>
          <w:p w:rsidR="00DE6517" w:rsidRPr="00741487" w:rsidRDefault="00DE6517" w:rsidP="00523FA0">
            <w:pPr>
              <w:pStyle w:val="TableRowNormal"/>
              <w:ind w:left="0" w:firstLine="0"/>
              <w:rPr>
                <w:rFonts w:cstheme="minorHAnsi"/>
              </w:rPr>
            </w:pPr>
            <w:r w:rsidRPr="00741487">
              <w:rPr>
                <w:rFonts w:cstheme="minorHAnsi"/>
              </w:rPr>
              <w:t>1</w:t>
            </w:r>
            <w:r>
              <w:rPr>
                <w:rFonts w:cstheme="minorHAnsi"/>
              </w:rPr>
              <w:t xml:space="preserve"> </w:t>
            </w:r>
            <w:r w:rsidRPr="00741487">
              <w:rPr>
                <w:rFonts w:cstheme="minorHAnsi"/>
              </w:rPr>
              <w:t>068</w:t>
            </w:r>
          </w:p>
        </w:tc>
      </w:tr>
      <w:tr w:rsidR="00AD24D4" w:rsidRPr="00FE3F73" w:rsidTr="00523FA0">
        <w:tc>
          <w:tcPr>
            <w:tcW w:w="669" w:type="pct"/>
            <w:tcBorders>
              <w:bottom w:val="single" w:sz="4" w:space="0" w:color="auto"/>
            </w:tcBorders>
            <w:vAlign w:val="bottom"/>
          </w:tcPr>
          <w:p w:rsidR="00AD24D4" w:rsidRDefault="00AD24D4" w:rsidP="00523FA0">
            <w:pPr>
              <w:pStyle w:val="CGCTableStub"/>
              <w:tabs>
                <w:tab w:val="left" w:pos="142"/>
                <w:tab w:val="left" w:pos="425"/>
                <w:tab w:val="left" w:pos="709"/>
                <w:tab w:val="left" w:pos="851"/>
              </w:tabs>
              <w:ind w:left="142" w:hanging="142"/>
              <w:rPr>
                <w:rFonts w:cstheme="minorHAnsi"/>
              </w:rPr>
            </w:pPr>
            <w:r>
              <w:rPr>
                <w:rFonts w:cstheme="minorHAnsi"/>
              </w:rPr>
              <w:t>Total</w:t>
            </w:r>
          </w:p>
        </w:tc>
        <w:tc>
          <w:tcPr>
            <w:tcW w:w="481"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-20</w:t>
            </w:r>
          </w:p>
        </w:tc>
        <w:tc>
          <w:tcPr>
            <w:tcW w:w="481"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-846</w:t>
            </w:r>
          </w:p>
        </w:tc>
        <w:tc>
          <w:tcPr>
            <w:tcW w:w="481"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2</w:t>
            </w:r>
            <w:r>
              <w:rPr>
                <w:rFonts w:cstheme="minorHAnsi"/>
              </w:rPr>
              <w:t xml:space="preserve"> </w:t>
            </w:r>
            <w:r w:rsidRPr="00AD24D4">
              <w:rPr>
                <w:rFonts w:cstheme="minorHAnsi"/>
              </w:rPr>
              <w:t>887</w:t>
            </w:r>
          </w:p>
        </w:tc>
        <w:tc>
          <w:tcPr>
            <w:tcW w:w="481"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-2</w:t>
            </w:r>
            <w:r>
              <w:rPr>
                <w:rFonts w:cstheme="minorHAnsi"/>
              </w:rPr>
              <w:t xml:space="preserve"> </w:t>
            </w:r>
            <w:r w:rsidRPr="00AD24D4">
              <w:rPr>
                <w:rFonts w:cstheme="minorHAnsi"/>
              </w:rPr>
              <w:t>518</w:t>
            </w:r>
          </w:p>
        </w:tc>
        <w:tc>
          <w:tcPr>
            <w:tcW w:w="495"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54</w:t>
            </w:r>
          </w:p>
        </w:tc>
        <w:tc>
          <w:tcPr>
            <w:tcW w:w="481"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37</w:t>
            </w:r>
          </w:p>
        </w:tc>
        <w:tc>
          <w:tcPr>
            <w:tcW w:w="481"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179</w:t>
            </w:r>
          </w:p>
        </w:tc>
        <w:tc>
          <w:tcPr>
            <w:tcW w:w="481"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228</w:t>
            </w:r>
          </w:p>
        </w:tc>
        <w:tc>
          <w:tcPr>
            <w:tcW w:w="469" w:type="pct"/>
            <w:tcBorders>
              <w:top w:val="single" w:sz="4" w:space="0" w:color="auto"/>
              <w:bottom w:val="single" w:sz="4" w:space="0" w:color="auto"/>
            </w:tcBorders>
            <w:vAlign w:val="bottom"/>
          </w:tcPr>
          <w:p w:rsidR="00AD24D4" w:rsidRPr="00AD24D4" w:rsidRDefault="00AD24D4" w:rsidP="00EF436C">
            <w:pPr>
              <w:pStyle w:val="TableRowNormal"/>
              <w:ind w:left="0" w:firstLine="0"/>
              <w:rPr>
                <w:rFonts w:cstheme="minorHAnsi"/>
              </w:rPr>
            </w:pPr>
            <w:r w:rsidRPr="00AD24D4">
              <w:rPr>
                <w:rFonts w:cstheme="minorHAnsi"/>
              </w:rPr>
              <w:t>3</w:t>
            </w:r>
            <w:r>
              <w:rPr>
                <w:rFonts w:cstheme="minorHAnsi"/>
              </w:rPr>
              <w:t xml:space="preserve"> </w:t>
            </w:r>
            <w:r w:rsidRPr="00AD24D4">
              <w:rPr>
                <w:rFonts w:cstheme="minorHAnsi"/>
              </w:rPr>
              <w:t>384</w:t>
            </w:r>
          </w:p>
        </w:tc>
      </w:tr>
    </w:tbl>
    <w:p w:rsidR="00DE6517" w:rsidRDefault="00DE6517" w:rsidP="00DE6517">
      <w:pPr>
        <w:pStyle w:val="CGCTableFootnote"/>
      </w:pPr>
      <w:r>
        <w:t>Source:</w:t>
      </w:r>
      <w:r>
        <w:tab/>
        <w:t xml:space="preserve">Commission reports, various years. </w:t>
      </w:r>
      <w:proofErr w:type="gramStart"/>
      <w:r>
        <w:t>Final budget outcome, various years.</w:t>
      </w:r>
      <w:proofErr w:type="gramEnd"/>
    </w:p>
    <w:p w:rsidR="00DE6517" w:rsidRDefault="00DE6517" w:rsidP="00DE6517">
      <w:pPr>
        <w:pStyle w:val="CGCNumberedPara"/>
        <w:numPr>
          <w:ilvl w:val="1"/>
          <w:numId w:val="3"/>
        </w:numPr>
      </w:pPr>
      <w:r>
        <w:t xml:space="preserve">A limitation of this approach is that States experience difficulty providing the data the Commission requires for the current last assessment year. Using either the application year or the preceding year would raise </w:t>
      </w:r>
      <w:r w:rsidR="00387AE3">
        <w:t>additional</w:t>
      </w:r>
      <w:r w:rsidR="00383A1C">
        <w:t xml:space="preserve"> </w:t>
      </w:r>
      <w:r>
        <w:t>data reliability issues. The data for both years are likely to be revised. This raises the question whether a correction process is required to address any errors arising from those revisions.</w:t>
      </w:r>
      <w:r w:rsidR="00647D6F" w:rsidRPr="00647D6F">
        <w:t xml:space="preserve"> </w:t>
      </w:r>
      <w:r w:rsidR="00647D6F">
        <w:t xml:space="preserve">This was a process that occurred in the </w:t>
      </w:r>
      <w:proofErr w:type="spellStart"/>
      <w:r w:rsidR="00647D6F">
        <w:t>claimancy</w:t>
      </w:r>
      <w:proofErr w:type="spellEnd"/>
      <w:r w:rsidR="00647D6F">
        <w:t xml:space="preserve"> era, but was discontinued in the </w:t>
      </w:r>
      <w:proofErr w:type="gramStart"/>
      <w:r w:rsidR="00647D6F">
        <w:t>relativities</w:t>
      </w:r>
      <w:proofErr w:type="gramEnd"/>
      <w:r w:rsidR="00647D6F">
        <w:t xml:space="preserve"> er</w:t>
      </w:r>
      <w:r w:rsidR="00B128B1">
        <w:t>a.</w:t>
      </w:r>
      <w:r w:rsidR="00B128B1">
        <w:rPr>
          <w:rStyle w:val="FootnoteReference"/>
        </w:rPr>
        <w:footnoteReference w:id="5"/>
      </w:r>
    </w:p>
    <w:p w:rsidR="00DE6517" w:rsidRDefault="00DE6517" w:rsidP="00DE6517">
      <w:pPr>
        <w:pStyle w:val="CGCNumberedPara"/>
        <w:numPr>
          <w:ilvl w:val="1"/>
          <w:numId w:val="3"/>
        </w:numPr>
      </w:pPr>
      <w:r>
        <w:t>Under this option, the time between the assessment year and the application year would be at most one year. In that case, it may be simpler to assess States’ needs in dollars rather than converting them to relativities.</w:t>
      </w:r>
    </w:p>
    <w:p w:rsidR="00DE6517" w:rsidRDefault="00DE6517" w:rsidP="00DE6517">
      <w:pPr>
        <w:pStyle w:val="CGCNumberedPara"/>
        <w:numPr>
          <w:ilvl w:val="1"/>
          <w:numId w:val="3"/>
        </w:numPr>
      </w:pPr>
      <w:r>
        <w:t xml:space="preserve">In summary, a one year approach is likely to be more volatile and, therefore, </w:t>
      </w:r>
      <w:r w:rsidR="00112800">
        <w:t>mak</w:t>
      </w:r>
      <w:r w:rsidR="00C32A09">
        <w:t>e</w:t>
      </w:r>
      <w:r w:rsidR="00112800">
        <w:t xml:space="preserve"> it </w:t>
      </w:r>
      <w:r>
        <w:t>harder for States to predict</w:t>
      </w:r>
      <w:r w:rsidR="00112800">
        <w:t xml:space="preserve"> their GST </w:t>
      </w:r>
      <w:r w:rsidR="000F152E">
        <w:t>payments</w:t>
      </w:r>
      <w:r>
        <w:t>. Compared with the relativity approach, it trades</w:t>
      </w:r>
      <w:r w:rsidR="000F152E">
        <w:t xml:space="preserve"> </w:t>
      </w:r>
      <w:r>
        <w:t>off some data reliability</w:t>
      </w:r>
      <w:r w:rsidR="00D433AC">
        <w:t xml:space="preserve"> (and data smoothing)</w:t>
      </w:r>
      <w:r>
        <w:t xml:space="preserve"> for greater contemporaneity. It reduces the lags in the process, but there is potential for errors from data revisions. In </w:t>
      </w:r>
      <w:r w:rsidR="000F152E">
        <w:t>those</w:t>
      </w:r>
      <w:r>
        <w:t xml:space="preserve"> circumstances, </w:t>
      </w:r>
      <w:r w:rsidR="000F152E">
        <w:t>it might require</w:t>
      </w:r>
      <w:r>
        <w:t xml:space="preserve"> correction process for any over- or under-provision of GST. This would add a layer of calculations to the HFE process.</w:t>
      </w:r>
    </w:p>
    <w:p w:rsidR="00DE6517" w:rsidRDefault="00DE6517" w:rsidP="00DE6517">
      <w:pPr>
        <w:pStyle w:val="Heading4"/>
      </w:pPr>
      <w:bookmarkStart w:id="21" w:name="_Toc482338182"/>
      <w:r>
        <w:t>Option — a later reporting date</w:t>
      </w:r>
      <w:bookmarkEnd w:id="21"/>
    </w:p>
    <w:p w:rsidR="002D5261" w:rsidRDefault="002D5261" w:rsidP="00DE6517">
      <w:pPr>
        <w:pStyle w:val="CGCNumberedPara"/>
        <w:numPr>
          <w:ilvl w:val="1"/>
          <w:numId w:val="3"/>
        </w:numPr>
      </w:pPr>
      <w:r>
        <w:t xml:space="preserve">This option retains the </w:t>
      </w:r>
      <w:r w:rsidR="00AD24D4">
        <w:t xml:space="preserve">existing </w:t>
      </w:r>
      <w:r>
        <w:t xml:space="preserve">three year assessment period, but </w:t>
      </w:r>
      <w:r w:rsidR="00AD24D4">
        <w:t>estimates</w:t>
      </w:r>
      <w:r>
        <w:t xml:space="preserve"> </w:t>
      </w:r>
      <w:r w:rsidR="00AD24D4">
        <w:t>total expense (or revenue) data for each category for the most recent assessment year</w:t>
      </w:r>
      <w:r>
        <w:t>.</w:t>
      </w:r>
    </w:p>
    <w:p w:rsidR="00DE6517" w:rsidRDefault="00DE6517" w:rsidP="00DE6517">
      <w:pPr>
        <w:pStyle w:val="CGCNumberedPara"/>
        <w:numPr>
          <w:ilvl w:val="1"/>
          <w:numId w:val="3"/>
        </w:numPr>
      </w:pPr>
      <w:r>
        <w:lastRenderedPageBreak/>
        <w:t xml:space="preserve">A more up-to-date assessment of the final assessment year </w:t>
      </w:r>
      <w:r w:rsidR="00D433AC">
        <w:t xml:space="preserve">may </w:t>
      </w:r>
      <w:r>
        <w:t>be possible if the Commission was given a later reporting date</w:t>
      </w:r>
      <w:r w:rsidR="00D433AC">
        <w:t xml:space="preserve"> than the traditional late February or March timing</w:t>
      </w:r>
      <w:r>
        <w:t xml:space="preserve">. </w:t>
      </w:r>
      <w:r w:rsidR="00D433AC">
        <w:t>In particular, f</w:t>
      </w:r>
      <w:r>
        <w:t>inancial data from ABS’ Government Finance Statistics, new My Schools data, updated population and natural disasters data would be available by June.</w:t>
      </w:r>
    </w:p>
    <w:p w:rsidR="00DE6517" w:rsidRDefault="00DE6517" w:rsidP="00DE6517">
      <w:pPr>
        <w:pStyle w:val="CGCNumberedPara"/>
        <w:numPr>
          <w:ilvl w:val="1"/>
          <w:numId w:val="3"/>
        </w:numPr>
      </w:pPr>
      <w:r>
        <w:fldChar w:fldCharType="begin"/>
      </w:r>
      <w:r>
        <w:instrText xml:space="preserve"> REF _Ref478711535 \h </w:instrText>
      </w:r>
      <w:r>
        <w:fldChar w:fldCharType="separate"/>
      </w:r>
      <w:r w:rsidR="00E17AEF">
        <w:t xml:space="preserve">Table </w:t>
      </w:r>
      <w:r w:rsidR="00E17AEF">
        <w:rPr>
          <w:noProof/>
        </w:rPr>
        <w:t>3</w:t>
      </w:r>
      <w:r>
        <w:fldChar w:fldCharType="end"/>
      </w:r>
      <w:r>
        <w:t xml:space="preserve"> shows the change in the gaps were the Commission to report later. Commission staff replaced the </w:t>
      </w:r>
      <w:r w:rsidR="00823AF7">
        <w:t xml:space="preserve">(revenue and expense) </w:t>
      </w:r>
      <w:r>
        <w:t xml:space="preserve">category </w:t>
      </w:r>
      <w:r w:rsidR="00823AF7">
        <w:t xml:space="preserve">totals </w:t>
      </w:r>
      <w:r>
        <w:t xml:space="preserve">in the final assessment year with the category </w:t>
      </w:r>
      <w:r w:rsidR="00823AF7">
        <w:t xml:space="preserve">totals </w:t>
      </w:r>
      <w:r>
        <w:t>for that year from the following inquiry. The category’s 2009</w:t>
      </w:r>
      <w:r>
        <w:noBreakHyphen/>
        <w:t xml:space="preserve">10 assessment was scaled to the new </w:t>
      </w:r>
      <w:r w:rsidR="007F3108">
        <w:t>total</w:t>
      </w:r>
      <w:r>
        <w:t xml:space="preserve">. </w:t>
      </w:r>
      <w:r w:rsidR="00D15C7B">
        <w:t xml:space="preserve">This </w:t>
      </w:r>
      <w:r w:rsidR="00203311">
        <w:t>change</w:t>
      </w:r>
      <w:r w:rsidR="00D15C7B">
        <w:t>d</w:t>
      </w:r>
      <w:r w:rsidR="00203311">
        <w:t xml:space="preserve"> the disabilities</w:t>
      </w:r>
      <w:r w:rsidR="00D15C7B">
        <w:t xml:space="preserve"> from those </w:t>
      </w:r>
      <w:r w:rsidR="00203311">
        <w:t xml:space="preserve">assessed for the </w:t>
      </w:r>
      <w:r>
        <w:t>2009</w:t>
      </w:r>
      <w:r>
        <w:noBreakHyphen/>
        <w:t xml:space="preserve">10 </w:t>
      </w:r>
      <w:r w:rsidR="00D15C7B">
        <w:t xml:space="preserve">assessment </w:t>
      </w:r>
      <w:r w:rsidR="00203311">
        <w:t>year</w:t>
      </w:r>
      <w:r>
        <w:t>.</w:t>
      </w:r>
    </w:p>
    <w:p w:rsidR="00DE6517" w:rsidRDefault="00DE6517" w:rsidP="00DE6517">
      <w:pPr>
        <w:pStyle w:val="Caption"/>
      </w:pPr>
      <w:bookmarkStart w:id="22" w:name="_Ref478711535"/>
      <w:r>
        <w:t xml:space="preserve">Table </w:t>
      </w:r>
      <w:r w:rsidR="00C562FD">
        <w:fldChar w:fldCharType="begin"/>
      </w:r>
      <w:r w:rsidR="00C562FD">
        <w:instrText xml:space="preserve"> SEQ Table \* ARABIC </w:instrText>
      </w:r>
      <w:r w:rsidR="00C562FD">
        <w:fldChar w:fldCharType="separate"/>
      </w:r>
      <w:r w:rsidR="00E17AEF">
        <w:rPr>
          <w:noProof/>
        </w:rPr>
        <w:t>3</w:t>
      </w:r>
      <w:r w:rsidR="00C562FD">
        <w:rPr>
          <w:noProof/>
        </w:rPr>
        <w:fldChar w:fldCharType="end"/>
      </w:r>
      <w:bookmarkEnd w:id="22"/>
      <w:r>
        <w:tab/>
        <w:t>The gap under a later reporting date</w:t>
      </w:r>
    </w:p>
    <w:tbl>
      <w:tblPr>
        <w:tblW w:w="5000" w:type="pct"/>
        <w:tblCellMar>
          <w:left w:w="85" w:type="dxa"/>
          <w:right w:w="85" w:type="dxa"/>
        </w:tblCellMar>
        <w:tblLook w:val="0000" w:firstRow="0" w:lastRow="0" w:firstColumn="0" w:lastColumn="0" w:noHBand="0" w:noVBand="0"/>
      </w:tblPr>
      <w:tblGrid>
        <w:gridCol w:w="1221"/>
        <w:gridCol w:w="878"/>
        <w:gridCol w:w="878"/>
        <w:gridCol w:w="877"/>
        <w:gridCol w:w="877"/>
        <w:gridCol w:w="903"/>
        <w:gridCol w:w="877"/>
        <w:gridCol w:w="877"/>
        <w:gridCol w:w="877"/>
        <w:gridCol w:w="856"/>
      </w:tblGrid>
      <w:tr w:rsidR="00DE6517" w:rsidRPr="00FE3F73" w:rsidTr="00523FA0">
        <w:tc>
          <w:tcPr>
            <w:tcW w:w="669" w:type="pct"/>
            <w:tcBorders>
              <w:top w:val="single" w:sz="6" w:space="0" w:color="auto"/>
              <w:bottom w:val="single" w:sz="6" w:space="0" w:color="auto"/>
            </w:tcBorders>
            <w:vAlign w:val="bottom"/>
          </w:tcPr>
          <w:p w:rsidR="00DE6517" w:rsidRPr="00FE3F73" w:rsidRDefault="00DE6517" w:rsidP="00523FA0">
            <w:pPr>
              <w:pStyle w:val="CGCTableStub"/>
              <w:spacing w:line="240" w:lineRule="auto"/>
              <w:ind w:left="142" w:hanging="142"/>
              <w:rPr>
                <w:rFonts w:cstheme="minorHAnsi"/>
              </w:rPr>
            </w:pP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NSW</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Vic</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Qld</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WA</w:t>
            </w:r>
          </w:p>
        </w:tc>
        <w:tc>
          <w:tcPr>
            <w:tcW w:w="495"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SA</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proofErr w:type="spellStart"/>
            <w:r w:rsidRPr="00FE3F73">
              <w:rPr>
                <w:rFonts w:cstheme="minorHAnsi"/>
              </w:rPr>
              <w:t>Tas</w:t>
            </w:r>
            <w:proofErr w:type="spellEnd"/>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ACT</w:t>
            </w:r>
          </w:p>
        </w:tc>
        <w:tc>
          <w:tcPr>
            <w:tcW w:w="481" w:type="pct"/>
            <w:tcBorders>
              <w:top w:val="single" w:sz="6" w:space="0" w:color="auto"/>
              <w:bottom w:val="single" w:sz="6" w:space="0" w:color="auto"/>
            </w:tcBorders>
            <w:vAlign w:val="bottom"/>
          </w:tcPr>
          <w:p w:rsidR="00DE6517" w:rsidRPr="00FE3F73" w:rsidRDefault="00DE6517" w:rsidP="00523FA0">
            <w:pPr>
              <w:pStyle w:val="TableColHeadings"/>
              <w:rPr>
                <w:rFonts w:cstheme="minorHAnsi"/>
              </w:rPr>
            </w:pPr>
            <w:r w:rsidRPr="00FE3F73">
              <w:rPr>
                <w:rFonts w:cstheme="minorHAnsi"/>
              </w:rPr>
              <w:t>NT</w:t>
            </w:r>
          </w:p>
        </w:tc>
        <w:tc>
          <w:tcPr>
            <w:tcW w:w="469" w:type="pct"/>
            <w:tcBorders>
              <w:top w:val="single" w:sz="6" w:space="0" w:color="auto"/>
              <w:bottom w:val="single" w:sz="6" w:space="0" w:color="auto"/>
            </w:tcBorders>
            <w:vAlign w:val="bottom"/>
          </w:tcPr>
          <w:p w:rsidR="00DE6517" w:rsidRPr="00FE3F73" w:rsidRDefault="000E16B6" w:rsidP="00523FA0">
            <w:pPr>
              <w:pStyle w:val="TableColHeadings"/>
              <w:rPr>
                <w:rFonts w:cstheme="minorHAnsi"/>
              </w:rPr>
            </w:pPr>
            <w:proofErr w:type="spellStart"/>
            <w:r>
              <w:rPr>
                <w:rFonts w:cstheme="minorHAnsi"/>
              </w:rPr>
              <w:t>Redis</w:t>
            </w:r>
            <w:r w:rsidR="00C562FD">
              <w:rPr>
                <w:rFonts w:cstheme="minorHAnsi"/>
              </w:rPr>
              <w:t>t</w:t>
            </w:r>
            <w:proofErr w:type="spellEnd"/>
          </w:p>
        </w:tc>
      </w:tr>
      <w:tr w:rsidR="00DE6517" w:rsidRPr="00FE3F73" w:rsidTr="00523FA0">
        <w:tc>
          <w:tcPr>
            <w:tcW w:w="669" w:type="pct"/>
            <w:tcMar>
              <w:top w:w="0" w:type="dxa"/>
              <w:bottom w:w="0" w:type="dxa"/>
            </w:tcMar>
            <w:vAlign w:val="bottom"/>
          </w:tcPr>
          <w:p w:rsidR="00DE6517" w:rsidRPr="00FE3F73" w:rsidRDefault="00DE6517" w:rsidP="00523FA0">
            <w:pPr>
              <w:pStyle w:val="CGCTableStub"/>
              <w:spacing w:before="0" w:after="0" w:line="240" w:lineRule="auto"/>
              <w:jc w:val="right"/>
              <w:rPr>
                <w:rFonts w:cstheme="minorHAnsi"/>
              </w:rPr>
            </w:pP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95"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81"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9"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r>
      <w:tr w:rsidR="00DE6517" w:rsidRPr="00FE3F73" w:rsidTr="00523FA0">
        <w:tc>
          <w:tcPr>
            <w:tcW w:w="669" w:type="pct"/>
            <w:vAlign w:val="bottom"/>
          </w:tcPr>
          <w:p w:rsidR="00DE6517" w:rsidRPr="00FE3F73" w:rsidRDefault="00DE6517" w:rsidP="00523FA0">
            <w:pPr>
              <w:pStyle w:val="CGCTableStub"/>
              <w:tabs>
                <w:tab w:val="left" w:pos="142"/>
                <w:tab w:val="left" w:pos="425"/>
                <w:tab w:val="left" w:pos="709"/>
                <w:tab w:val="left" w:pos="851"/>
              </w:tabs>
              <w:ind w:left="142" w:hanging="142"/>
              <w:rPr>
                <w:rFonts w:cstheme="minorHAnsi"/>
              </w:rPr>
            </w:pPr>
            <w:r>
              <w:rPr>
                <w:rFonts w:cstheme="minorHAnsi"/>
              </w:rPr>
              <w:t>2010-11</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211</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-647</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1</w:t>
            </w:r>
            <w:r>
              <w:rPr>
                <w:rFonts w:cstheme="minorHAnsi"/>
              </w:rPr>
              <w:t xml:space="preserve"> </w:t>
            </w:r>
            <w:r w:rsidRPr="00A370D1">
              <w:rPr>
                <w:rFonts w:cstheme="minorHAnsi"/>
              </w:rPr>
              <w:t>892</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-1</w:t>
            </w:r>
            <w:r>
              <w:rPr>
                <w:rFonts w:cstheme="minorHAnsi"/>
              </w:rPr>
              <w:t xml:space="preserve"> </w:t>
            </w:r>
            <w:r w:rsidRPr="00A370D1">
              <w:rPr>
                <w:rFonts w:cstheme="minorHAnsi"/>
              </w:rPr>
              <w:t>671</w:t>
            </w:r>
          </w:p>
        </w:tc>
        <w:tc>
          <w:tcPr>
            <w:tcW w:w="495" w:type="pct"/>
            <w:vAlign w:val="bottom"/>
          </w:tcPr>
          <w:p w:rsidR="00DE6517" w:rsidRPr="00A370D1" w:rsidRDefault="00DE6517" w:rsidP="00523FA0">
            <w:pPr>
              <w:pStyle w:val="TableRowNormal"/>
              <w:ind w:left="0" w:firstLine="0"/>
              <w:rPr>
                <w:rFonts w:cstheme="minorHAnsi"/>
              </w:rPr>
            </w:pPr>
            <w:r w:rsidRPr="00A370D1">
              <w:rPr>
                <w:rFonts w:cstheme="minorHAnsi"/>
              </w:rPr>
              <w:t>125</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-133</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64</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160</w:t>
            </w:r>
          </w:p>
        </w:tc>
        <w:tc>
          <w:tcPr>
            <w:tcW w:w="469" w:type="pct"/>
            <w:vAlign w:val="bottom"/>
          </w:tcPr>
          <w:p w:rsidR="00DE6517" w:rsidRPr="00A370D1" w:rsidRDefault="00DE6517" w:rsidP="00523FA0">
            <w:pPr>
              <w:pStyle w:val="TableRowNormal"/>
              <w:ind w:left="0" w:firstLine="0"/>
              <w:rPr>
                <w:rFonts w:cstheme="minorHAnsi"/>
              </w:rPr>
            </w:pPr>
            <w:r w:rsidRPr="00A370D1">
              <w:rPr>
                <w:rFonts w:cstheme="minorHAnsi"/>
              </w:rPr>
              <w:t>2</w:t>
            </w:r>
            <w:r>
              <w:rPr>
                <w:rFonts w:cstheme="minorHAnsi"/>
              </w:rPr>
              <w:t xml:space="preserve"> </w:t>
            </w:r>
            <w:r w:rsidRPr="00A370D1">
              <w:rPr>
                <w:rFonts w:cstheme="minorHAnsi"/>
              </w:rPr>
              <w:t>451</w:t>
            </w:r>
          </w:p>
        </w:tc>
      </w:tr>
      <w:tr w:rsidR="00DE6517" w:rsidRPr="00FE3F73" w:rsidTr="00523FA0">
        <w:tc>
          <w:tcPr>
            <w:tcW w:w="669" w:type="pct"/>
            <w:vAlign w:val="bottom"/>
          </w:tcPr>
          <w:p w:rsidR="00DE6517" w:rsidRPr="00FE3F73" w:rsidRDefault="00DE6517" w:rsidP="00523FA0">
            <w:pPr>
              <w:pStyle w:val="CGCTableStub"/>
              <w:tabs>
                <w:tab w:val="left" w:pos="142"/>
                <w:tab w:val="left" w:pos="425"/>
                <w:tab w:val="left" w:pos="709"/>
                <w:tab w:val="left" w:pos="851"/>
              </w:tabs>
              <w:ind w:left="142" w:hanging="142"/>
              <w:rPr>
                <w:rFonts w:cstheme="minorHAnsi"/>
              </w:rPr>
            </w:pPr>
            <w:r>
              <w:rPr>
                <w:rFonts w:cstheme="minorHAnsi"/>
              </w:rPr>
              <w:t>2011-12</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594</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9</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708</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-1</w:t>
            </w:r>
            <w:r>
              <w:rPr>
                <w:rFonts w:cstheme="minorHAnsi"/>
              </w:rPr>
              <w:t xml:space="preserve"> </w:t>
            </w:r>
            <w:r w:rsidRPr="00A370D1">
              <w:rPr>
                <w:rFonts w:cstheme="minorHAnsi"/>
              </w:rPr>
              <w:t>456</w:t>
            </w:r>
          </w:p>
        </w:tc>
        <w:tc>
          <w:tcPr>
            <w:tcW w:w="495" w:type="pct"/>
            <w:vAlign w:val="bottom"/>
          </w:tcPr>
          <w:p w:rsidR="00DE6517" w:rsidRPr="00A370D1" w:rsidRDefault="00DE6517" w:rsidP="00523FA0">
            <w:pPr>
              <w:pStyle w:val="TableRowNormal"/>
              <w:ind w:left="0" w:firstLine="0"/>
              <w:rPr>
                <w:rFonts w:cstheme="minorHAnsi"/>
              </w:rPr>
            </w:pPr>
            <w:r w:rsidRPr="00A370D1">
              <w:rPr>
                <w:rFonts w:cstheme="minorHAnsi"/>
              </w:rPr>
              <w:t>-210</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146</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119</w:t>
            </w:r>
          </w:p>
        </w:tc>
        <w:tc>
          <w:tcPr>
            <w:tcW w:w="481" w:type="pct"/>
            <w:vAlign w:val="bottom"/>
          </w:tcPr>
          <w:p w:rsidR="00DE6517" w:rsidRPr="00A370D1" w:rsidRDefault="00DE6517" w:rsidP="00523FA0">
            <w:pPr>
              <w:pStyle w:val="TableRowNormal"/>
              <w:ind w:left="0" w:firstLine="0"/>
              <w:rPr>
                <w:rFonts w:cstheme="minorHAnsi"/>
              </w:rPr>
            </w:pPr>
            <w:r w:rsidRPr="00A370D1">
              <w:rPr>
                <w:rFonts w:cstheme="minorHAnsi"/>
              </w:rPr>
              <w:t>90</w:t>
            </w:r>
          </w:p>
        </w:tc>
        <w:tc>
          <w:tcPr>
            <w:tcW w:w="469" w:type="pct"/>
            <w:vAlign w:val="bottom"/>
          </w:tcPr>
          <w:p w:rsidR="00DE6517" w:rsidRPr="00A370D1" w:rsidRDefault="00DE6517" w:rsidP="00523FA0">
            <w:pPr>
              <w:pStyle w:val="TableRowNormal"/>
              <w:ind w:left="0" w:firstLine="0"/>
              <w:rPr>
                <w:rFonts w:cstheme="minorHAnsi"/>
              </w:rPr>
            </w:pPr>
            <w:r w:rsidRPr="00A370D1">
              <w:rPr>
                <w:rFonts w:cstheme="minorHAnsi"/>
              </w:rPr>
              <w:t>1</w:t>
            </w:r>
            <w:r>
              <w:rPr>
                <w:rFonts w:cstheme="minorHAnsi"/>
              </w:rPr>
              <w:t xml:space="preserve"> </w:t>
            </w:r>
            <w:r w:rsidRPr="00A370D1">
              <w:rPr>
                <w:rFonts w:cstheme="minorHAnsi"/>
              </w:rPr>
              <w:t>665</w:t>
            </w:r>
          </w:p>
        </w:tc>
      </w:tr>
      <w:tr w:rsidR="00DE6517" w:rsidRPr="00FE3F73" w:rsidTr="00523FA0">
        <w:tc>
          <w:tcPr>
            <w:tcW w:w="669" w:type="pct"/>
            <w:tcBorders>
              <w:bottom w:val="single" w:sz="4" w:space="0" w:color="auto"/>
            </w:tcBorders>
            <w:vAlign w:val="bottom"/>
          </w:tcPr>
          <w:p w:rsidR="00DE6517" w:rsidRDefault="00DE6517" w:rsidP="00523FA0">
            <w:pPr>
              <w:pStyle w:val="CGCTableStub"/>
              <w:tabs>
                <w:tab w:val="left" w:pos="142"/>
                <w:tab w:val="left" w:pos="425"/>
                <w:tab w:val="left" w:pos="709"/>
                <w:tab w:val="left" w:pos="851"/>
              </w:tabs>
              <w:ind w:left="142" w:hanging="142"/>
              <w:rPr>
                <w:rFonts w:cstheme="minorHAnsi"/>
              </w:rPr>
            </w:pPr>
            <w:r>
              <w:rPr>
                <w:rFonts w:cstheme="minorHAnsi"/>
              </w:rPr>
              <w:t>Total</w:t>
            </w:r>
          </w:p>
        </w:tc>
        <w:tc>
          <w:tcPr>
            <w:tcW w:w="481"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805</w:t>
            </w:r>
          </w:p>
        </w:tc>
        <w:tc>
          <w:tcPr>
            <w:tcW w:w="481"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-638</w:t>
            </w:r>
          </w:p>
        </w:tc>
        <w:tc>
          <w:tcPr>
            <w:tcW w:w="481"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2 600</w:t>
            </w:r>
          </w:p>
        </w:tc>
        <w:tc>
          <w:tcPr>
            <w:tcW w:w="481"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-3 127</w:t>
            </w:r>
          </w:p>
        </w:tc>
        <w:tc>
          <w:tcPr>
            <w:tcW w:w="495"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-85</w:t>
            </w:r>
          </w:p>
        </w:tc>
        <w:tc>
          <w:tcPr>
            <w:tcW w:w="481"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13</w:t>
            </w:r>
          </w:p>
        </w:tc>
        <w:tc>
          <w:tcPr>
            <w:tcW w:w="481"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183</w:t>
            </w:r>
          </w:p>
        </w:tc>
        <w:tc>
          <w:tcPr>
            <w:tcW w:w="481"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250</w:t>
            </w:r>
          </w:p>
        </w:tc>
        <w:tc>
          <w:tcPr>
            <w:tcW w:w="469" w:type="pct"/>
            <w:tcBorders>
              <w:top w:val="single" w:sz="4" w:space="0" w:color="auto"/>
              <w:bottom w:val="single" w:sz="4" w:space="0" w:color="auto"/>
            </w:tcBorders>
            <w:vAlign w:val="bottom"/>
          </w:tcPr>
          <w:p w:rsidR="00DE6517" w:rsidRPr="00A370D1" w:rsidRDefault="008779CD" w:rsidP="00523FA0">
            <w:pPr>
              <w:pStyle w:val="TableRowNormal"/>
              <w:ind w:left="0" w:firstLine="0"/>
              <w:rPr>
                <w:rFonts w:cstheme="minorHAnsi"/>
              </w:rPr>
            </w:pPr>
            <w:r>
              <w:rPr>
                <w:rFonts w:cstheme="minorHAnsi"/>
              </w:rPr>
              <w:t>3 851</w:t>
            </w:r>
          </w:p>
        </w:tc>
      </w:tr>
    </w:tbl>
    <w:p w:rsidR="00DE6517" w:rsidRDefault="00DE6517" w:rsidP="00DE6517">
      <w:pPr>
        <w:pStyle w:val="CGCTableFootnote"/>
      </w:pPr>
      <w:r>
        <w:t>Source:</w:t>
      </w:r>
      <w:r>
        <w:tab/>
        <w:t xml:space="preserve">Commission reports, various years. </w:t>
      </w:r>
      <w:proofErr w:type="gramStart"/>
      <w:r>
        <w:t>Final budget outcome, various years.</w:t>
      </w:r>
      <w:proofErr w:type="gramEnd"/>
    </w:p>
    <w:p w:rsidR="00DE6517" w:rsidRDefault="00DE6517" w:rsidP="00DE6517">
      <w:pPr>
        <w:pStyle w:val="CGCNumberedPara"/>
        <w:numPr>
          <w:ilvl w:val="1"/>
          <w:numId w:val="3"/>
        </w:numPr>
      </w:pPr>
      <w:r>
        <w:t xml:space="preserve">This option left the total gap for the </w:t>
      </w:r>
      <w:r w:rsidR="008779CD">
        <w:t>two</w:t>
      </w:r>
      <w:r>
        <w:t xml:space="preserve"> years ($</w:t>
      </w:r>
      <w:r w:rsidR="008779CD">
        <w:t>3</w:t>
      </w:r>
      <w:r>
        <w:t> </w:t>
      </w:r>
      <w:r w:rsidR="008779CD">
        <w:t>851</w:t>
      </w:r>
      <w:r>
        <w:t> million versus $</w:t>
      </w:r>
      <w:r w:rsidR="008779CD">
        <w:t>3</w:t>
      </w:r>
      <w:r>
        <w:t> </w:t>
      </w:r>
      <w:r w:rsidR="008779CD">
        <w:t>859</w:t>
      </w:r>
      <w:r>
        <w:t> million)</w:t>
      </w:r>
      <w:r w:rsidR="008779CD">
        <w:t xml:space="preserve"> and the gaps for individual States largely unchanged</w:t>
      </w:r>
      <w:r>
        <w:t xml:space="preserve">. It would have </w:t>
      </w:r>
      <w:r w:rsidR="008779CD">
        <w:t xml:space="preserve">marginally </w:t>
      </w:r>
      <w:r>
        <w:t xml:space="preserve">reduced </w:t>
      </w:r>
      <w:r w:rsidR="00CD6A84">
        <w:t xml:space="preserve">the </w:t>
      </w:r>
      <w:r>
        <w:t xml:space="preserve">gaps for </w:t>
      </w:r>
      <w:r w:rsidR="008779CD">
        <w:t>five</w:t>
      </w:r>
      <w:r>
        <w:t xml:space="preserve"> States:</w:t>
      </w:r>
    </w:p>
    <w:p w:rsidR="00DE6517" w:rsidRDefault="008779CD" w:rsidP="00DE6517">
      <w:pPr>
        <w:pStyle w:val="CGCBulletlist"/>
        <w:numPr>
          <w:ilvl w:val="0"/>
          <w:numId w:val="1"/>
        </w:numPr>
        <w:tabs>
          <w:tab w:val="clear" w:pos="927"/>
        </w:tabs>
        <w:ind w:left="1134" w:hanging="567"/>
      </w:pPr>
      <w:r>
        <w:t>Victoria</w:t>
      </w:r>
      <w:r w:rsidR="00DE6517">
        <w:t xml:space="preserve"> (-$</w:t>
      </w:r>
      <w:r>
        <w:t>638</w:t>
      </w:r>
      <w:r w:rsidR="00DE6517">
        <w:t> million versus -$</w:t>
      </w:r>
      <w:r>
        <w:t>6</w:t>
      </w:r>
      <w:r w:rsidR="00647D6F">
        <w:t>50</w:t>
      </w:r>
      <w:r w:rsidR="00DE6517">
        <w:t> million)</w:t>
      </w:r>
    </w:p>
    <w:p w:rsidR="008779CD" w:rsidRDefault="008779CD" w:rsidP="008779CD">
      <w:pPr>
        <w:pStyle w:val="CGCBulletlist"/>
        <w:numPr>
          <w:ilvl w:val="0"/>
          <w:numId w:val="1"/>
        </w:numPr>
        <w:tabs>
          <w:tab w:val="clear" w:pos="927"/>
        </w:tabs>
        <w:ind w:left="1134" w:hanging="567"/>
      </w:pPr>
      <w:r>
        <w:t>Queensland ($2 600 million versus $2 611 million)</w:t>
      </w:r>
    </w:p>
    <w:p w:rsidR="008779CD" w:rsidRDefault="008779CD" w:rsidP="008779CD">
      <w:pPr>
        <w:pStyle w:val="CGCBulletlist"/>
        <w:numPr>
          <w:ilvl w:val="0"/>
          <w:numId w:val="1"/>
        </w:numPr>
        <w:tabs>
          <w:tab w:val="clear" w:pos="927"/>
        </w:tabs>
        <w:ind w:left="1134" w:hanging="567"/>
      </w:pPr>
      <w:r>
        <w:t>South Australia (</w:t>
      </w:r>
      <w:r>
        <w:noBreakHyphen/>
        <w:t xml:space="preserve">$85 million versus </w:t>
      </w:r>
      <w:r>
        <w:noBreakHyphen/>
        <w:t>$92 million)</w:t>
      </w:r>
    </w:p>
    <w:p w:rsidR="00DE6517" w:rsidRDefault="00CD6A84" w:rsidP="00DE6517">
      <w:pPr>
        <w:pStyle w:val="CGCBulletlist"/>
        <w:numPr>
          <w:ilvl w:val="0"/>
          <w:numId w:val="1"/>
        </w:numPr>
        <w:tabs>
          <w:tab w:val="clear" w:pos="927"/>
        </w:tabs>
        <w:ind w:left="1134" w:hanging="567"/>
      </w:pPr>
      <w:r>
        <w:t>ACT</w:t>
      </w:r>
      <w:r w:rsidR="00DE6517">
        <w:t xml:space="preserve"> ($</w:t>
      </w:r>
      <w:r>
        <w:t>183</w:t>
      </w:r>
      <w:r w:rsidR="00DE6517">
        <w:t> million versus $</w:t>
      </w:r>
      <w:r>
        <w:t>187 </w:t>
      </w:r>
      <w:r w:rsidR="00DE6517">
        <w:t>million)</w:t>
      </w:r>
    </w:p>
    <w:p w:rsidR="00DE6517" w:rsidRDefault="00DE6517" w:rsidP="00DE6517">
      <w:pPr>
        <w:pStyle w:val="CGCBulletlist"/>
        <w:numPr>
          <w:ilvl w:val="0"/>
          <w:numId w:val="1"/>
        </w:numPr>
        <w:tabs>
          <w:tab w:val="clear" w:pos="927"/>
        </w:tabs>
        <w:ind w:left="1134" w:hanging="567"/>
      </w:pPr>
      <w:proofErr w:type="gramStart"/>
      <w:r>
        <w:t>the</w:t>
      </w:r>
      <w:proofErr w:type="gramEnd"/>
      <w:r>
        <w:t xml:space="preserve"> Northern Territory ($</w:t>
      </w:r>
      <w:r w:rsidR="00CD6A84">
        <w:t>2</w:t>
      </w:r>
      <w:r>
        <w:t>5</w:t>
      </w:r>
      <w:r w:rsidR="00CD6A84">
        <w:t>0</w:t>
      </w:r>
      <w:r>
        <w:t> millio</w:t>
      </w:r>
      <w:r w:rsidR="00CD6A84">
        <w:t xml:space="preserve">n versus </w:t>
      </w:r>
      <w:r>
        <w:t>$</w:t>
      </w:r>
      <w:r w:rsidR="00CD6A84">
        <w:t>2</w:t>
      </w:r>
      <w:r>
        <w:t>6</w:t>
      </w:r>
      <w:r w:rsidR="00CD6A84">
        <w:t>0</w:t>
      </w:r>
      <w:r>
        <w:t> million).</w:t>
      </w:r>
    </w:p>
    <w:p w:rsidR="00DE6517" w:rsidRDefault="00EA04E1" w:rsidP="00DE6517">
      <w:pPr>
        <w:pStyle w:val="CGCNumberedPara"/>
        <w:numPr>
          <w:ilvl w:val="1"/>
          <w:numId w:val="3"/>
        </w:numPr>
      </w:pPr>
      <w:r>
        <w:t>This option</w:t>
      </w:r>
      <w:r w:rsidR="00DE6517">
        <w:t xml:space="preserve"> </w:t>
      </w:r>
      <w:r w:rsidR="00F11008">
        <w:t xml:space="preserve">marginally increased the gap </w:t>
      </w:r>
      <w:r w:rsidR="00DE6517">
        <w:t xml:space="preserve">for </w:t>
      </w:r>
      <w:r w:rsidR="00647D6F">
        <w:t xml:space="preserve">the </w:t>
      </w:r>
      <w:r w:rsidR="008779CD">
        <w:t xml:space="preserve">three </w:t>
      </w:r>
      <w:r w:rsidR="00647D6F">
        <w:t xml:space="preserve">other </w:t>
      </w:r>
      <w:r w:rsidR="008779CD">
        <w:t>States</w:t>
      </w:r>
      <w:r w:rsidR="00DE6517">
        <w:t>.</w:t>
      </w:r>
    </w:p>
    <w:p w:rsidR="00DE6517" w:rsidRDefault="00DE6517" w:rsidP="00DE6517">
      <w:pPr>
        <w:pStyle w:val="CGCNumberedPara"/>
        <w:numPr>
          <w:ilvl w:val="1"/>
          <w:numId w:val="3"/>
        </w:numPr>
      </w:pPr>
      <w:r>
        <w:t xml:space="preserve">In summary, this option uses more up-to-date data for the final assessment year. </w:t>
      </w:r>
      <w:r w:rsidR="00647D6F">
        <w:t>It</w:t>
      </w:r>
      <w:r>
        <w:t xml:space="preserve"> reduce</w:t>
      </w:r>
      <w:r w:rsidR="00647D6F">
        <w:t>s</w:t>
      </w:r>
      <w:r>
        <w:t xml:space="preserve"> the total gap</w:t>
      </w:r>
      <w:r w:rsidR="00647D6F">
        <w:t xml:space="preserve"> and</w:t>
      </w:r>
      <w:r>
        <w:t xml:space="preserve"> improves the reliability of the data used by the Commission. A limitation of this option is that Commission relativities would not be available until the middle of the year, which has implications for the preparation of State budget papers.</w:t>
      </w:r>
      <w:r w:rsidR="00112800">
        <w:t xml:space="preserve"> A possible way to address </w:t>
      </w:r>
      <w:r w:rsidR="00121400">
        <w:t>t</w:t>
      </w:r>
      <w:r w:rsidR="00112800">
        <w:t>his issue might be for the Commission to produce initial indicative relativ</w:t>
      </w:r>
      <w:r w:rsidR="00C32A09">
        <w:t>ities</w:t>
      </w:r>
      <w:r w:rsidR="00112800">
        <w:t xml:space="preserve"> at the usual time (around end</w:t>
      </w:r>
      <w:r w:rsidR="00112800">
        <w:noBreakHyphen/>
        <w:t xml:space="preserve">February) which States could use for their budgets, then produce revised relativities, say at the end of June.  </w:t>
      </w:r>
    </w:p>
    <w:p w:rsidR="00DE6517" w:rsidRDefault="00DE6517" w:rsidP="00DE6517">
      <w:pPr>
        <w:pStyle w:val="Heading4"/>
      </w:pPr>
      <w:bookmarkStart w:id="23" w:name="_Toc482338183"/>
      <w:r>
        <w:lastRenderedPageBreak/>
        <w:t>Option — the use of projections or forecasts</w:t>
      </w:r>
      <w:bookmarkEnd w:id="23"/>
    </w:p>
    <w:p w:rsidR="002D5261" w:rsidRDefault="00647D6F" w:rsidP="00DE6517">
      <w:pPr>
        <w:pStyle w:val="CGCNumberedPara"/>
        <w:numPr>
          <w:ilvl w:val="1"/>
          <w:numId w:val="3"/>
        </w:numPr>
      </w:pPr>
      <w:r>
        <w:t xml:space="preserve">Both </w:t>
      </w:r>
      <w:r w:rsidR="006C7012">
        <w:t xml:space="preserve">of </w:t>
      </w:r>
      <w:r>
        <w:t>these</w:t>
      </w:r>
      <w:r w:rsidR="002D5261">
        <w:t xml:space="preserve"> option</w:t>
      </w:r>
      <w:r>
        <w:t>s</w:t>
      </w:r>
      <w:r w:rsidR="002D5261">
        <w:t xml:space="preserve"> </w:t>
      </w:r>
      <w:r w:rsidR="006C7012">
        <w:t>rely on estimates or forecasts for the application year</w:t>
      </w:r>
      <w:r w:rsidR="002D5261">
        <w:t xml:space="preserve">. </w:t>
      </w:r>
      <w:r w:rsidR="006C7012">
        <w:t>They are combined with t</w:t>
      </w:r>
      <w:r w:rsidR="002D5261">
        <w:t xml:space="preserve">he category disabilities for the </w:t>
      </w:r>
      <w:r w:rsidR="006C7012">
        <w:t xml:space="preserve">most recent assessment </w:t>
      </w:r>
      <w:r w:rsidR="002D5261">
        <w:t>year.</w:t>
      </w:r>
    </w:p>
    <w:p w:rsidR="00DE6517" w:rsidRDefault="00DE6517" w:rsidP="00DE6517">
      <w:pPr>
        <w:pStyle w:val="CGCNumberedPara"/>
        <w:numPr>
          <w:ilvl w:val="1"/>
          <w:numId w:val="3"/>
        </w:numPr>
      </w:pPr>
      <w:r>
        <w:t>If the Commission could anticipate the conditions of the application year, it might be able to produce assessments more closely aligned to the circumstances States will experience in that year. While forward estimates of financial data are available, they are not necessarily reliable.</w:t>
      </w:r>
      <w:r w:rsidRPr="009804AC">
        <w:t xml:space="preserve"> </w:t>
      </w:r>
    </w:p>
    <w:p w:rsidR="00DE6517" w:rsidRDefault="00DE6517" w:rsidP="00DE6517">
      <w:pPr>
        <w:pStyle w:val="CGCNumberedPara"/>
        <w:numPr>
          <w:ilvl w:val="1"/>
          <w:numId w:val="3"/>
        </w:numPr>
      </w:pPr>
      <w:r>
        <w:t>There is evidence to suggest changes in State disabilities, not financial data, are the bigger contributor to the gaps we observe. Unfortunately, it is easier to obtain estimates of application year financial data than State disabilities. States provide forecasts in their budget papers. It is also possible to estimate financial data by projecting assessment year financial data into the application year. Both forecasts and projections have the potential to reduce gaps.</w:t>
      </w:r>
    </w:p>
    <w:p w:rsidR="00DE6517" w:rsidRDefault="00DE6517" w:rsidP="00DE6517">
      <w:pPr>
        <w:pStyle w:val="CGCNumberedPara"/>
        <w:numPr>
          <w:ilvl w:val="1"/>
          <w:numId w:val="3"/>
        </w:numPr>
      </w:pPr>
      <w:r>
        <w:t>If the cause of a gap is a long term structural trend, estimating application year financial data might be worth considering (even if the Commission is not able to estimate State disabilities) as it is likely to reduce gaps. It is not clear that estimating financial data will reduce gaps if the cause is a sudden change in State fiscal capacities. It is unlikely forecasts or projections could reliably predict turning points, particularly for the more volatile revenue streams (such as property duties and royalties) or payments for specific purposes (PSPs). Given its bigger contribution to gaps, there is also a question whether the Commission should try to obtain better estimates of financial data if it cannot also obtain better estimates of State disabilities.</w:t>
      </w:r>
    </w:p>
    <w:p w:rsidR="00DE6517" w:rsidRPr="00E674AF" w:rsidRDefault="00DE6517" w:rsidP="00DE6517">
      <w:pPr>
        <w:pStyle w:val="Heading5"/>
      </w:pPr>
      <w:bookmarkStart w:id="24" w:name="_Toc450575440"/>
      <w:r>
        <w:t>A case study using the 2011-12 year</w:t>
      </w:r>
      <w:bookmarkEnd w:id="24"/>
    </w:p>
    <w:p w:rsidR="00DE6517" w:rsidRDefault="00DE6517" w:rsidP="00DE6517">
      <w:pPr>
        <w:pStyle w:val="CGCNumberedPara"/>
        <w:numPr>
          <w:ilvl w:val="1"/>
          <w:numId w:val="3"/>
        </w:numPr>
      </w:pPr>
      <w:r>
        <w:t>The purpose of the case study is to focus on the gaps for a particular year. They provide a benchmark against which alternative approaches can be tested to determine the extent to which they improve contemporaneity by reducing the gaps.</w:t>
      </w:r>
    </w:p>
    <w:p w:rsidR="00DE6517" w:rsidRDefault="00DE6517" w:rsidP="00DE6517">
      <w:pPr>
        <w:pStyle w:val="CGCNumberedPara"/>
        <w:numPr>
          <w:ilvl w:val="1"/>
          <w:numId w:val="3"/>
        </w:numPr>
      </w:pPr>
      <w:r>
        <w:t>In this case study, the gap is the difference between:</w:t>
      </w:r>
    </w:p>
    <w:p w:rsidR="00DE6517" w:rsidRDefault="000A6881" w:rsidP="00DE6517">
      <w:pPr>
        <w:pStyle w:val="CGCBulletlist"/>
        <w:numPr>
          <w:ilvl w:val="0"/>
          <w:numId w:val="1"/>
        </w:numPr>
        <w:tabs>
          <w:tab w:val="clear" w:pos="927"/>
        </w:tabs>
        <w:ind w:left="1134" w:hanging="567"/>
      </w:pPr>
      <w:r>
        <w:t>On the one hand — t</w:t>
      </w:r>
      <w:r w:rsidR="00DE6517">
        <w:t>he GST distribution when 2011-12 was the application year.</w:t>
      </w:r>
      <w:r w:rsidR="00DE6517">
        <w:rPr>
          <w:rStyle w:val="FootnoteReference"/>
        </w:rPr>
        <w:footnoteReference w:id="6"/>
      </w:r>
      <w:r w:rsidR="00DE6517">
        <w:t xml:space="preserve"> This is the Commission’s estimate of the conditions in </w:t>
      </w:r>
      <w:r w:rsidR="003E3F3E">
        <w:t xml:space="preserve">the </w:t>
      </w:r>
      <w:r w:rsidR="00DE6517">
        <w:t>2011-12 year when those conditions are not yet known.</w:t>
      </w:r>
    </w:p>
    <w:p w:rsidR="00DE6517" w:rsidRDefault="000A6881" w:rsidP="00DE6517">
      <w:pPr>
        <w:pStyle w:val="CGCBulletlist"/>
        <w:numPr>
          <w:ilvl w:val="0"/>
          <w:numId w:val="1"/>
        </w:numPr>
        <w:tabs>
          <w:tab w:val="clear" w:pos="927"/>
        </w:tabs>
        <w:ind w:left="1134" w:hanging="567"/>
      </w:pPr>
      <w:r>
        <w:t>On the other hand — t</w:t>
      </w:r>
      <w:r w:rsidR="00DE6517">
        <w:t xml:space="preserve">he GST distribution States required to be equalised in 2011-12 (as calculated in the 2014 Update). This is the Commission’s </w:t>
      </w:r>
      <w:r>
        <w:t xml:space="preserve">later </w:t>
      </w:r>
      <w:r w:rsidR="00DE6517">
        <w:t>assessment of the conditions in 2011-12 when those conditions are known.</w:t>
      </w:r>
    </w:p>
    <w:p w:rsidR="00DE6517" w:rsidRDefault="00DE6517" w:rsidP="00DE6517">
      <w:pPr>
        <w:pStyle w:val="CGCNumberedPara"/>
        <w:numPr>
          <w:ilvl w:val="1"/>
          <w:numId w:val="3"/>
        </w:numPr>
      </w:pPr>
      <w:r>
        <w:lastRenderedPageBreak/>
        <w:fldChar w:fldCharType="begin"/>
      </w:r>
      <w:r>
        <w:instrText xml:space="preserve"> REF _Ref478114324 \h </w:instrText>
      </w:r>
      <w:r>
        <w:fldChar w:fldCharType="separate"/>
      </w:r>
      <w:r w:rsidR="00E17AEF">
        <w:t xml:space="preserve">Table </w:t>
      </w:r>
      <w:r w:rsidR="00E17AEF">
        <w:rPr>
          <w:noProof/>
        </w:rPr>
        <w:t>4</w:t>
      </w:r>
      <w:r>
        <w:fldChar w:fldCharType="end"/>
      </w:r>
      <w:r>
        <w:t xml:space="preserve"> reproduces these assessments from </w:t>
      </w:r>
      <w:r>
        <w:fldChar w:fldCharType="begin"/>
      </w:r>
      <w:r>
        <w:instrText xml:space="preserve"> REF _Ref450122607 \h </w:instrText>
      </w:r>
      <w:r>
        <w:fldChar w:fldCharType="separate"/>
      </w:r>
      <w:r w:rsidR="00E17AEF">
        <w:t xml:space="preserve">Table </w:t>
      </w:r>
      <w:r w:rsidR="00E17AEF">
        <w:rPr>
          <w:noProof/>
        </w:rPr>
        <w:t>1</w:t>
      </w:r>
      <w:r>
        <w:fldChar w:fldCharType="end"/>
      </w:r>
      <w:r>
        <w:t>. It also shows the resulting (benchmark) gaps, with perfect knowledge of the application year.</w:t>
      </w:r>
    </w:p>
    <w:p w:rsidR="00DE6517" w:rsidRDefault="00DE6517" w:rsidP="00DE6517">
      <w:pPr>
        <w:pStyle w:val="Caption"/>
      </w:pPr>
      <w:bookmarkStart w:id="25" w:name="_Ref478114324"/>
      <w:r>
        <w:t xml:space="preserve">Table </w:t>
      </w:r>
      <w:r w:rsidR="00C562FD">
        <w:fldChar w:fldCharType="begin"/>
      </w:r>
      <w:r w:rsidR="00C562FD">
        <w:instrText xml:space="preserve"> SEQ Table \* ARABIC </w:instrText>
      </w:r>
      <w:r w:rsidR="00C562FD">
        <w:fldChar w:fldCharType="separate"/>
      </w:r>
      <w:r w:rsidR="00E17AEF">
        <w:rPr>
          <w:noProof/>
        </w:rPr>
        <w:t>4</w:t>
      </w:r>
      <w:r w:rsidR="00C562FD">
        <w:rPr>
          <w:noProof/>
        </w:rPr>
        <w:fldChar w:fldCharType="end"/>
      </w:r>
      <w:bookmarkEnd w:id="25"/>
      <w:r>
        <w:tab/>
        <w:t>2011-12 gap under a relativities approach</w:t>
      </w:r>
    </w:p>
    <w:tbl>
      <w:tblPr>
        <w:tblW w:w="5000" w:type="pct"/>
        <w:tblLayout w:type="fixed"/>
        <w:tblCellMar>
          <w:left w:w="0" w:type="dxa"/>
          <w:right w:w="0" w:type="dxa"/>
        </w:tblCellMar>
        <w:tblLook w:val="0000" w:firstRow="0" w:lastRow="0" w:firstColumn="0" w:lastColumn="0" w:noHBand="0" w:noVBand="0"/>
      </w:tblPr>
      <w:tblGrid>
        <w:gridCol w:w="1474"/>
        <w:gridCol w:w="830"/>
        <w:gridCol w:w="830"/>
        <w:gridCol w:w="831"/>
        <w:gridCol w:w="831"/>
        <w:gridCol w:w="831"/>
        <w:gridCol w:w="831"/>
        <w:gridCol w:w="831"/>
        <w:gridCol w:w="831"/>
        <w:gridCol w:w="831"/>
      </w:tblGrid>
      <w:tr w:rsidR="00DE6517" w:rsidRPr="00FE3F73" w:rsidTr="00523FA0">
        <w:tc>
          <w:tcPr>
            <w:tcW w:w="824" w:type="pct"/>
            <w:tcBorders>
              <w:top w:val="single" w:sz="6" w:space="0" w:color="auto"/>
              <w:bottom w:val="single" w:sz="6" w:space="0" w:color="auto"/>
            </w:tcBorders>
            <w:vAlign w:val="center"/>
          </w:tcPr>
          <w:p w:rsidR="00DE6517" w:rsidRPr="00FE3F73" w:rsidRDefault="00DE6517" w:rsidP="00523FA0">
            <w:pPr>
              <w:pStyle w:val="CGCTableStub"/>
              <w:spacing w:line="240" w:lineRule="auto"/>
              <w:ind w:left="193" w:hanging="142"/>
              <w:rPr>
                <w:rFonts w:cstheme="minorHAnsi"/>
              </w:rPr>
            </w:pP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sidRPr="00FE3F73">
              <w:rPr>
                <w:rFonts w:cstheme="minorHAnsi"/>
              </w:rPr>
              <w:t>NSW</w:t>
            </w: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sidRPr="00FE3F73">
              <w:rPr>
                <w:rFonts w:cstheme="minorHAnsi"/>
              </w:rPr>
              <w:t>Vic</w:t>
            </w: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sidRPr="00FE3F73">
              <w:rPr>
                <w:rFonts w:cstheme="minorHAnsi"/>
              </w:rPr>
              <w:t>Qld</w:t>
            </w: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sidRPr="00FE3F73">
              <w:rPr>
                <w:rFonts w:cstheme="minorHAnsi"/>
              </w:rPr>
              <w:t>WA</w:t>
            </w: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sidRPr="00FE3F73">
              <w:rPr>
                <w:rFonts w:cstheme="minorHAnsi"/>
              </w:rPr>
              <w:t>SA</w:t>
            </w: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proofErr w:type="spellStart"/>
            <w:r w:rsidRPr="00FE3F73">
              <w:rPr>
                <w:rFonts w:cstheme="minorHAnsi"/>
              </w:rPr>
              <w:t>Tas</w:t>
            </w:r>
            <w:proofErr w:type="spellEnd"/>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sidRPr="00FE3F73">
              <w:rPr>
                <w:rFonts w:cstheme="minorHAnsi"/>
              </w:rPr>
              <w:t>ACT</w:t>
            </w: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sidRPr="00FE3F73">
              <w:rPr>
                <w:rFonts w:cstheme="minorHAnsi"/>
              </w:rPr>
              <w:t>NT</w:t>
            </w:r>
          </w:p>
        </w:tc>
        <w:tc>
          <w:tcPr>
            <w:tcW w:w="464" w:type="pct"/>
            <w:tcBorders>
              <w:top w:val="single" w:sz="6" w:space="0" w:color="auto"/>
              <w:bottom w:val="single" w:sz="6" w:space="0" w:color="auto"/>
            </w:tcBorders>
            <w:vAlign w:val="center"/>
          </w:tcPr>
          <w:p w:rsidR="00DE6517" w:rsidRPr="00FE3F73" w:rsidRDefault="00DE6517" w:rsidP="00523FA0">
            <w:pPr>
              <w:pStyle w:val="TableColHeadings"/>
              <w:rPr>
                <w:rFonts w:cstheme="minorHAnsi"/>
              </w:rPr>
            </w:pPr>
            <w:r>
              <w:rPr>
                <w:rFonts w:cstheme="minorHAnsi"/>
              </w:rPr>
              <w:t>Total</w:t>
            </w:r>
            <w:r w:rsidR="000E16B6">
              <w:rPr>
                <w:rFonts w:cstheme="minorHAnsi"/>
              </w:rPr>
              <w:t xml:space="preserve">/ </w:t>
            </w:r>
            <w:proofErr w:type="spellStart"/>
            <w:r w:rsidR="000E16B6">
              <w:rPr>
                <w:rFonts w:cstheme="minorHAnsi"/>
              </w:rPr>
              <w:t>redis</w:t>
            </w:r>
            <w:r w:rsidR="00C562FD">
              <w:rPr>
                <w:rFonts w:cstheme="minorHAnsi"/>
              </w:rPr>
              <w:t>t</w:t>
            </w:r>
            <w:proofErr w:type="spellEnd"/>
          </w:p>
        </w:tc>
      </w:tr>
      <w:tr w:rsidR="00DE6517" w:rsidRPr="00FE3F73" w:rsidTr="00523FA0">
        <w:tc>
          <w:tcPr>
            <w:tcW w:w="824" w:type="pct"/>
            <w:tcMar>
              <w:top w:w="0" w:type="dxa"/>
              <w:bottom w:w="0" w:type="dxa"/>
            </w:tcMar>
            <w:vAlign w:val="bottom"/>
          </w:tcPr>
          <w:p w:rsidR="00DE6517" w:rsidRPr="00FE3F73" w:rsidRDefault="00DE6517" w:rsidP="00523FA0">
            <w:pPr>
              <w:pStyle w:val="CGCTableStub"/>
              <w:spacing w:before="0" w:after="0" w:line="240" w:lineRule="auto"/>
              <w:ind w:left="193" w:hanging="142"/>
              <w:jc w:val="right"/>
              <w:rPr>
                <w:rFonts w:cstheme="minorHAnsi"/>
              </w:rPr>
            </w:pP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c>
          <w:tcPr>
            <w:tcW w:w="464" w:type="pct"/>
            <w:tcMar>
              <w:top w:w="0" w:type="dxa"/>
              <w:bottom w:w="0" w:type="dxa"/>
            </w:tcMar>
            <w:vAlign w:val="bottom"/>
          </w:tcPr>
          <w:p w:rsidR="00DE6517" w:rsidRPr="00FE3F73" w:rsidRDefault="00DE6517" w:rsidP="00523FA0">
            <w:pPr>
              <w:pStyle w:val="TableRowNormal"/>
              <w:spacing w:before="0" w:after="0" w:line="240" w:lineRule="auto"/>
              <w:ind w:left="0" w:firstLine="0"/>
              <w:rPr>
                <w:rFonts w:cstheme="minorHAnsi"/>
              </w:rPr>
            </w:pPr>
            <w:r>
              <w:rPr>
                <w:rFonts w:cstheme="minorHAnsi"/>
              </w:rPr>
              <w:t>$m</w:t>
            </w:r>
          </w:p>
        </w:tc>
      </w:tr>
      <w:tr w:rsidR="00DE6517" w:rsidRPr="00FE3F73" w:rsidTr="00523FA0">
        <w:tc>
          <w:tcPr>
            <w:tcW w:w="824" w:type="pct"/>
            <w:vAlign w:val="bottom"/>
          </w:tcPr>
          <w:p w:rsidR="00DE6517" w:rsidRPr="00FE3F73" w:rsidRDefault="00DE6517" w:rsidP="00523FA0">
            <w:pPr>
              <w:pStyle w:val="CGCTableStub"/>
              <w:tabs>
                <w:tab w:val="left" w:pos="142"/>
                <w:tab w:val="left" w:pos="425"/>
                <w:tab w:val="left" w:pos="709"/>
                <w:tab w:val="left" w:pos="851"/>
              </w:tabs>
              <w:ind w:left="193" w:hanging="142"/>
              <w:rPr>
                <w:rFonts w:cstheme="minorHAnsi"/>
              </w:rPr>
            </w:pPr>
            <w:r>
              <w:rPr>
                <w:rFonts w:cstheme="minorHAnsi"/>
              </w:rPr>
              <w:t>GST payment</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14</w:t>
            </w:r>
            <w:r>
              <w:rPr>
                <w:rFonts w:cstheme="minorHAnsi"/>
              </w:rPr>
              <w:t xml:space="preserve"> </w:t>
            </w:r>
            <w:r w:rsidRPr="007A03BE">
              <w:rPr>
                <w:rFonts w:cstheme="minorHAnsi"/>
              </w:rPr>
              <w:t>237</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10</w:t>
            </w:r>
            <w:r>
              <w:rPr>
                <w:rFonts w:cstheme="minorHAnsi"/>
              </w:rPr>
              <w:t xml:space="preserve"> </w:t>
            </w:r>
            <w:r w:rsidRPr="007A03BE">
              <w:rPr>
                <w:rFonts w:cstheme="minorHAnsi"/>
              </w:rPr>
              <w:t>340</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8</w:t>
            </w:r>
            <w:r>
              <w:rPr>
                <w:rFonts w:cstheme="minorHAnsi"/>
              </w:rPr>
              <w:t xml:space="preserve"> </w:t>
            </w:r>
            <w:r w:rsidRPr="007A03BE">
              <w:rPr>
                <w:rFonts w:cstheme="minorHAnsi"/>
              </w:rPr>
              <w:t>591</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3</w:t>
            </w:r>
            <w:r>
              <w:rPr>
                <w:rFonts w:cstheme="minorHAnsi"/>
              </w:rPr>
              <w:t xml:space="preserve"> </w:t>
            </w:r>
            <w:r w:rsidRPr="007A03BE">
              <w:rPr>
                <w:rFonts w:cstheme="minorHAnsi"/>
              </w:rPr>
              <w:t>512</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4</w:t>
            </w:r>
            <w:r>
              <w:rPr>
                <w:rFonts w:cstheme="minorHAnsi"/>
              </w:rPr>
              <w:t xml:space="preserve"> </w:t>
            </w:r>
            <w:r w:rsidRPr="007A03BE">
              <w:rPr>
                <w:rFonts w:cstheme="minorHAnsi"/>
              </w:rPr>
              <w:t>284</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676</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848</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552</w:t>
            </w:r>
          </w:p>
        </w:tc>
        <w:tc>
          <w:tcPr>
            <w:tcW w:w="464" w:type="pct"/>
            <w:vAlign w:val="bottom"/>
          </w:tcPr>
          <w:p w:rsidR="00DE6517" w:rsidRPr="007A03BE" w:rsidRDefault="00DE6517" w:rsidP="00523FA0">
            <w:pPr>
              <w:pStyle w:val="TableRowNormal"/>
              <w:ind w:left="0" w:firstLine="0"/>
              <w:rPr>
                <w:rFonts w:cstheme="minorHAnsi"/>
              </w:rPr>
            </w:pPr>
            <w:r w:rsidRPr="007A03BE">
              <w:rPr>
                <w:rFonts w:cstheme="minorHAnsi"/>
              </w:rPr>
              <w:t>46</w:t>
            </w:r>
            <w:r>
              <w:rPr>
                <w:rFonts w:cstheme="minorHAnsi"/>
              </w:rPr>
              <w:t xml:space="preserve"> </w:t>
            </w:r>
            <w:r w:rsidRPr="007A03BE">
              <w:rPr>
                <w:rFonts w:cstheme="minorHAnsi"/>
              </w:rPr>
              <w:t>040</w:t>
            </w:r>
          </w:p>
        </w:tc>
      </w:tr>
      <w:tr w:rsidR="00DE6517" w:rsidRPr="00FE3F73" w:rsidTr="00523FA0">
        <w:tc>
          <w:tcPr>
            <w:tcW w:w="824" w:type="pct"/>
            <w:vAlign w:val="bottom"/>
          </w:tcPr>
          <w:p w:rsidR="00DE6517" w:rsidRPr="00FE3F73" w:rsidRDefault="00DE6517" w:rsidP="00523FA0">
            <w:pPr>
              <w:pStyle w:val="CGCTableStub"/>
              <w:tabs>
                <w:tab w:val="left" w:pos="142"/>
                <w:tab w:val="left" w:pos="425"/>
                <w:tab w:val="left" w:pos="709"/>
                <w:tab w:val="left" w:pos="851"/>
              </w:tabs>
              <w:ind w:left="193" w:hanging="142"/>
              <w:rPr>
                <w:rFonts w:cstheme="minorHAnsi"/>
              </w:rPr>
            </w:pPr>
            <w:r>
              <w:rPr>
                <w:rFonts w:cstheme="minorHAnsi"/>
              </w:rPr>
              <w:t>GST requirement</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14</w:t>
            </w:r>
            <w:r>
              <w:rPr>
                <w:rFonts w:cstheme="minorHAnsi"/>
              </w:rPr>
              <w:t xml:space="preserve"> </w:t>
            </w:r>
            <w:r w:rsidRPr="007A03BE">
              <w:rPr>
                <w:rFonts w:cstheme="minorHAnsi"/>
              </w:rPr>
              <w:t>825</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10</w:t>
            </w:r>
            <w:r>
              <w:rPr>
                <w:rFonts w:cstheme="minorHAnsi"/>
              </w:rPr>
              <w:t xml:space="preserve"> </w:t>
            </w:r>
            <w:r w:rsidRPr="007A03BE">
              <w:rPr>
                <w:rFonts w:cstheme="minorHAnsi"/>
              </w:rPr>
              <w:t>346</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9</w:t>
            </w:r>
            <w:r>
              <w:rPr>
                <w:rFonts w:cstheme="minorHAnsi"/>
              </w:rPr>
              <w:t xml:space="preserve"> </w:t>
            </w:r>
            <w:r w:rsidRPr="007A03BE">
              <w:rPr>
                <w:rFonts w:cstheme="minorHAnsi"/>
              </w:rPr>
              <w:t>305</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058</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4</w:t>
            </w:r>
            <w:r>
              <w:rPr>
                <w:rFonts w:cstheme="minorHAnsi"/>
              </w:rPr>
              <w:t xml:space="preserve"> </w:t>
            </w:r>
            <w:r w:rsidRPr="007A03BE">
              <w:rPr>
                <w:rFonts w:cstheme="minorHAnsi"/>
              </w:rPr>
              <w:t>073</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822</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969</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2</w:t>
            </w:r>
            <w:r>
              <w:rPr>
                <w:rFonts w:cstheme="minorHAnsi"/>
              </w:rPr>
              <w:t xml:space="preserve"> </w:t>
            </w:r>
            <w:r w:rsidRPr="007A03BE">
              <w:rPr>
                <w:rFonts w:cstheme="minorHAnsi"/>
              </w:rPr>
              <w:t>642</w:t>
            </w:r>
          </w:p>
        </w:tc>
        <w:tc>
          <w:tcPr>
            <w:tcW w:w="464" w:type="pct"/>
            <w:tcBorders>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46</w:t>
            </w:r>
            <w:r>
              <w:rPr>
                <w:rFonts w:cstheme="minorHAnsi"/>
              </w:rPr>
              <w:t xml:space="preserve"> </w:t>
            </w:r>
            <w:r w:rsidRPr="007A03BE">
              <w:rPr>
                <w:rFonts w:cstheme="minorHAnsi"/>
              </w:rPr>
              <w:t>040</w:t>
            </w:r>
          </w:p>
        </w:tc>
      </w:tr>
      <w:tr w:rsidR="00DE6517" w:rsidRPr="00FE3F73" w:rsidTr="00523FA0">
        <w:tc>
          <w:tcPr>
            <w:tcW w:w="824" w:type="pct"/>
            <w:tcBorders>
              <w:bottom w:val="single" w:sz="4" w:space="0" w:color="auto"/>
            </w:tcBorders>
            <w:vAlign w:val="bottom"/>
          </w:tcPr>
          <w:p w:rsidR="00DE6517" w:rsidRPr="00FE3F73" w:rsidRDefault="00DE6517" w:rsidP="00523FA0">
            <w:pPr>
              <w:pStyle w:val="CGCTableStub"/>
              <w:tabs>
                <w:tab w:val="left" w:pos="142"/>
                <w:tab w:val="left" w:pos="425"/>
                <w:tab w:val="left" w:pos="709"/>
                <w:tab w:val="left" w:pos="851"/>
              </w:tabs>
              <w:ind w:left="193" w:hanging="142"/>
              <w:rPr>
                <w:rFonts w:cstheme="minorHAnsi"/>
              </w:rPr>
            </w:pPr>
            <w:r>
              <w:rPr>
                <w:rFonts w:cstheme="minorHAnsi"/>
              </w:rPr>
              <w:t>Gap</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588</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6</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715</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454</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-211</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145</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121</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90</w:t>
            </w:r>
          </w:p>
        </w:tc>
        <w:tc>
          <w:tcPr>
            <w:tcW w:w="464" w:type="pct"/>
            <w:tcBorders>
              <w:top w:val="single" w:sz="4" w:space="0" w:color="auto"/>
              <w:bottom w:val="single" w:sz="4" w:space="0" w:color="auto"/>
            </w:tcBorders>
            <w:vAlign w:val="bottom"/>
          </w:tcPr>
          <w:p w:rsidR="00DE6517" w:rsidRPr="007A03BE" w:rsidRDefault="00DE6517"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665</w:t>
            </w:r>
          </w:p>
        </w:tc>
      </w:tr>
    </w:tbl>
    <w:p w:rsidR="00DE6517" w:rsidRDefault="00DE6517" w:rsidP="00DE6517">
      <w:pPr>
        <w:pStyle w:val="CGCTableFootnote"/>
      </w:pPr>
      <w:r>
        <w:t>Source:</w:t>
      </w:r>
      <w:r>
        <w:tab/>
        <w:t>Commission simulation using data from the 2011 and 2014 Updates.</w:t>
      </w:r>
    </w:p>
    <w:p w:rsidR="00DE6517" w:rsidRPr="00E674AF" w:rsidRDefault="00DE6517" w:rsidP="00DE6517">
      <w:pPr>
        <w:pStyle w:val="Heading5"/>
      </w:pPr>
      <w:r>
        <w:t>A projections model</w:t>
      </w:r>
    </w:p>
    <w:p w:rsidR="00DE6517" w:rsidRDefault="00DE6517" w:rsidP="00DE6517">
      <w:pPr>
        <w:pStyle w:val="CGCNumberedPara"/>
        <w:numPr>
          <w:ilvl w:val="1"/>
          <w:numId w:val="3"/>
        </w:numPr>
      </w:pPr>
      <w:r>
        <w:t xml:space="preserve">Under this option, Commission staff derived projections of each State’s expense and revenues for 2011-12. They were obtained by applying simple ordinary least squares (OLS) techniques to six historical years of data. A category’s financial </w:t>
      </w:r>
      <w:r w:rsidR="00A30B16">
        <w:t xml:space="preserve">total </w:t>
      </w:r>
      <w:r>
        <w:t>was derived by summing the individual State projections.</w:t>
      </w:r>
    </w:p>
    <w:p w:rsidR="00DE6517" w:rsidRDefault="00DE6517" w:rsidP="00DE6517">
      <w:pPr>
        <w:pStyle w:val="CGCNumberedPara"/>
        <w:numPr>
          <w:ilvl w:val="1"/>
          <w:numId w:val="3"/>
        </w:numPr>
      </w:pPr>
      <w:r>
        <w:t xml:space="preserve">For each category, Commission staff replaced the 2009-10 </w:t>
      </w:r>
      <w:r w:rsidR="00A30B16">
        <w:t>category totals</w:t>
      </w:r>
      <w:r>
        <w:t xml:space="preserve"> with the projections. </w:t>
      </w:r>
      <w:r w:rsidR="00D15C7B">
        <w:t>The category’s 2009</w:t>
      </w:r>
      <w:r w:rsidR="00D15C7B">
        <w:noBreakHyphen/>
        <w:t>10 assessment was scaled to the new total. This changed the disabilities from those assessed for the 2009</w:t>
      </w:r>
      <w:r w:rsidR="00D15C7B">
        <w:noBreakHyphen/>
        <w:t>10 assessment year.</w:t>
      </w:r>
    </w:p>
    <w:p w:rsidR="00DE6517" w:rsidRDefault="00DE6517" w:rsidP="00DE6517">
      <w:pPr>
        <w:pStyle w:val="CGCNumberedPara"/>
        <w:numPr>
          <w:ilvl w:val="1"/>
          <w:numId w:val="3"/>
        </w:numPr>
      </w:pPr>
      <w:r>
        <w:t>This option reduced the gap:</w:t>
      </w:r>
    </w:p>
    <w:p w:rsidR="00DE6517" w:rsidRDefault="00DE6517" w:rsidP="00DE6517">
      <w:pPr>
        <w:pStyle w:val="CGCBulletlist"/>
        <w:numPr>
          <w:ilvl w:val="0"/>
          <w:numId w:val="1"/>
        </w:numPr>
        <w:tabs>
          <w:tab w:val="clear" w:pos="927"/>
        </w:tabs>
        <w:ind w:left="1134" w:hanging="567"/>
      </w:pPr>
      <w:r>
        <w:t>in total ($1 002 million versus $1 665 million)</w:t>
      </w:r>
    </w:p>
    <w:p w:rsidR="00DE6517" w:rsidRDefault="00DE6517" w:rsidP="00DE6517">
      <w:pPr>
        <w:pStyle w:val="CGCBulletlist"/>
        <w:numPr>
          <w:ilvl w:val="0"/>
          <w:numId w:val="1"/>
        </w:numPr>
        <w:tabs>
          <w:tab w:val="clear" w:pos="927"/>
        </w:tabs>
        <w:ind w:left="1134" w:hanging="567"/>
      </w:pPr>
      <w:r>
        <w:t>for four States:</w:t>
      </w:r>
    </w:p>
    <w:p w:rsidR="00DE6517" w:rsidRDefault="00DE6517" w:rsidP="00DE6517">
      <w:pPr>
        <w:pStyle w:val="CGCSubbulletlist"/>
        <w:numPr>
          <w:ilvl w:val="0"/>
          <w:numId w:val="4"/>
        </w:numPr>
        <w:tabs>
          <w:tab w:val="clear" w:pos="927"/>
        </w:tabs>
        <w:ind w:left="1701" w:hanging="567"/>
      </w:pPr>
      <w:r>
        <w:t>New South Wales ($108 million versus $588 million)</w:t>
      </w:r>
    </w:p>
    <w:p w:rsidR="00DE6517" w:rsidRDefault="00DE6517" w:rsidP="00DE6517">
      <w:pPr>
        <w:pStyle w:val="CGCSubbulletlist"/>
        <w:numPr>
          <w:ilvl w:val="0"/>
          <w:numId w:val="4"/>
        </w:numPr>
        <w:tabs>
          <w:tab w:val="clear" w:pos="927"/>
        </w:tabs>
        <w:ind w:left="1701" w:hanging="567"/>
      </w:pPr>
      <w:r>
        <w:t>Queensland ($264 million versus $715 million)</w:t>
      </w:r>
    </w:p>
    <w:p w:rsidR="00DE6517" w:rsidRDefault="00DE6517" w:rsidP="00DE6517">
      <w:pPr>
        <w:pStyle w:val="CGCSubbulletlist"/>
        <w:numPr>
          <w:ilvl w:val="0"/>
          <w:numId w:val="4"/>
        </w:numPr>
        <w:tabs>
          <w:tab w:val="clear" w:pos="927"/>
        </w:tabs>
        <w:ind w:left="1701" w:hanging="567"/>
      </w:pPr>
      <w:r>
        <w:t>Western Australia (-$593 million versus -$1 454 million)</w:t>
      </w:r>
    </w:p>
    <w:p w:rsidR="00DE6517" w:rsidRDefault="00DE6517" w:rsidP="00DE6517">
      <w:pPr>
        <w:pStyle w:val="CGCSubbulletlist"/>
        <w:numPr>
          <w:ilvl w:val="0"/>
          <w:numId w:val="4"/>
        </w:numPr>
        <w:tabs>
          <w:tab w:val="clear" w:pos="927"/>
        </w:tabs>
        <w:ind w:left="1701" w:hanging="567"/>
      </w:pPr>
      <w:r>
        <w:t>South Australia (-$130 million versus -$211 million).</w:t>
      </w:r>
    </w:p>
    <w:p w:rsidR="00DE6517" w:rsidRDefault="00DE6517" w:rsidP="00DE6517">
      <w:pPr>
        <w:pStyle w:val="CGCNumberedPara"/>
        <w:numPr>
          <w:ilvl w:val="1"/>
          <w:numId w:val="3"/>
        </w:numPr>
      </w:pPr>
      <w:r>
        <w:t xml:space="preserve">This option </w:t>
      </w:r>
      <w:r w:rsidR="00387AE3">
        <w:t xml:space="preserve">increased </w:t>
      </w:r>
      <w:r w:rsidR="003E3F3E">
        <w:t xml:space="preserve">the </w:t>
      </w:r>
      <w:r w:rsidR="00387AE3">
        <w:t xml:space="preserve">gap for </w:t>
      </w:r>
      <w:r>
        <w:t>Victoria (-$279 million versus $6 million</w:t>
      </w:r>
      <w:r w:rsidR="003E3F3E">
        <w:t>), Tasmania ($222 million versus $145 million</w:t>
      </w:r>
      <w:r>
        <w:t>)</w:t>
      </w:r>
      <w:r w:rsidR="00647D6F">
        <w:t>, the ACT ($152 million versus $121 million)</w:t>
      </w:r>
      <w:r>
        <w:t xml:space="preserve"> and the Northern Territory ($256 million versus $90 million).</w:t>
      </w:r>
      <w:r w:rsidR="00A30B16">
        <w:t xml:space="preserve"> The increase</w:t>
      </w:r>
      <w:r w:rsidR="003E3F3E">
        <w:t>d</w:t>
      </w:r>
      <w:r w:rsidR="00A30B16">
        <w:t xml:space="preserve"> gaps for </w:t>
      </w:r>
      <w:r w:rsidR="00387AE3">
        <w:t>Victoria and the Northern Territory suggest</w:t>
      </w:r>
      <w:r w:rsidR="00A30B16">
        <w:t xml:space="preserve"> the biggest increases in category totals oc</w:t>
      </w:r>
      <w:r w:rsidR="003E3F3E">
        <w:t>curred with expense categories.</w:t>
      </w:r>
    </w:p>
    <w:p w:rsidR="00DE6517" w:rsidRDefault="00DE6517" w:rsidP="00DE6517">
      <w:pPr>
        <w:pStyle w:val="Caption"/>
      </w:pPr>
      <w:r>
        <w:lastRenderedPageBreak/>
        <w:t xml:space="preserve">Table </w:t>
      </w:r>
      <w:r w:rsidR="00C562FD">
        <w:fldChar w:fldCharType="begin"/>
      </w:r>
      <w:r w:rsidR="00C562FD">
        <w:instrText xml:space="preserve"> SEQ Table \* ARABIC </w:instrText>
      </w:r>
      <w:r w:rsidR="00C562FD">
        <w:fldChar w:fldCharType="separate"/>
      </w:r>
      <w:r w:rsidR="00E17AEF">
        <w:rPr>
          <w:noProof/>
        </w:rPr>
        <w:t>5</w:t>
      </w:r>
      <w:r w:rsidR="00C562FD">
        <w:rPr>
          <w:noProof/>
        </w:rPr>
        <w:fldChar w:fldCharType="end"/>
      </w:r>
      <w:r>
        <w:tab/>
        <w:t>2011-12 gap under a projections model</w:t>
      </w:r>
    </w:p>
    <w:tbl>
      <w:tblPr>
        <w:tblW w:w="5000" w:type="pct"/>
        <w:tblCellMar>
          <w:left w:w="85" w:type="dxa"/>
          <w:right w:w="85" w:type="dxa"/>
        </w:tblCellMar>
        <w:tblLook w:val="0000" w:firstRow="0" w:lastRow="0" w:firstColumn="0" w:lastColumn="0" w:noHBand="0" w:noVBand="0"/>
      </w:tblPr>
      <w:tblGrid>
        <w:gridCol w:w="1362"/>
        <w:gridCol w:w="862"/>
        <w:gridCol w:w="863"/>
        <w:gridCol w:w="863"/>
        <w:gridCol w:w="863"/>
        <w:gridCol w:w="863"/>
        <w:gridCol w:w="863"/>
        <w:gridCol w:w="863"/>
        <w:gridCol w:w="863"/>
        <w:gridCol w:w="856"/>
      </w:tblGrid>
      <w:tr w:rsidR="000E16B6" w:rsidRPr="00FE3F73" w:rsidTr="000E16B6">
        <w:tc>
          <w:tcPr>
            <w:tcW w:w="747" w:type="pct"/>
            <w:tcBorders>
              <w:top w:val="single" w:sz="6" w:space="0" w:color="auto"/>
              <w:bottom w:val="single" w:sz="6" w:space="0" w:color="auto"/>
            </w:tcBorders>
            <w:vAlign w:val="center"/>
          </w:tcPr>
          <w:p w:rsidR="000E16B6" w:rsidRPr="00FE3F73" w:rsidRDefault="000E16B6" w:rsidP="00EF436C">
            <w:pPr>
              <w:pStyle w:val="CGCTableStub"/>
              <w:spacing w:line="240" w:lineRule="auto"/>
              <w:ind w:left="193" w:hanging="142"/>
              <w:rPr>
                <w:rFonts w:cstheme="minorHAnsi"/>
              </w:rPr>
            </w:pP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NSW</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Vic</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Qld</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WA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SA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proofErr w:type="spellStart"/>
            <w:r w:rsidRPr="00FE3F73">
              <w:rPr>
                <w:rFonts w:cstheme="minorHAnsi"/>
              </w:rPr>
              <w:t>Tas</w:t>
            </w:r>
            <w:proofErr w:type="spellEnd"/>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ACT</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NT</w:t>
            </w:r>
          </w:p>
        </w:tc>
        <w:tc>
          <w:tcPr>
            <w:tcW w:w="469" w:type="pct"/>
            <w:tcBorders>
              <w:top w:val="single" w:sz="6" w:space="0" w:color="auto"/>
              <w:bottom w:val="single" w:sz="6" w:space="0" w:color="auto"/>
            </w:tcBorders>
            <w:vAlign w:val="bottom"/>
          </w:tcPr>
          <w:p w:rsidR="000E16B6" w:rsidRPr="00FE3F73" w:rsidRDefault="000E16B6" w:rsidP="00523FA0">
            <w:pPr>
              <w:pStyle w:val="TableColHeadings"/>
              <w:rPr>
                <w:rFonts w:cstheme="minorHAnsi"/>
              </w:rPr>
            </w:pPr>
            <w:r>
              <w:rPr>
                <w:rFonts w:cstheme="minorHAnsi"/>
              </w:rPr>
              <w:t xml:space="preserve">Total/ </w:t>
            </w:r>
            <w:proofErr w:type="spellStart"/>
            <w:r>
              <w:rPr>
                <w:rFonts w:cstheme="minorHAnsi"/>
              </w:rPr>
              <w:t>redis</w:t>
            </w:r>
            <w:r w:rsidR="00C562FD">
              <w:rPr>
                <w:rFonts w:cstheme="minorHAnsi"/>
              </w:rPr>
              <w:t>t</w:t>
            </w:r>
            <w:proofErr w:type="spellEnd"/>
          </w:p>
        </w:tc>
      </w:tr>
      <w:tr w:rsidR="000E16B6" w:rsidRPr="00FE3F73" w:rsidTr="000E16B6">
        <w:tc>
          <w:tcPr>
            <w:tcW w:w="747" w:type="pct"/>
            <w:tcMar>
              <w:top w:w="0" w:type="dxa"/>
              <w:bottom w:w="0" w:type="dxa"/>
            </w:tcMar>
            <w:vAlign w:val="bottom"/>
          </w:tcPr>
          <w:p w:rsidR="000E16B6" w:rsidRPr="00FE3F73" w:rsidRDefault="000E16B6" w:rsidP="00523FA0">
            <w:pPr>
              <w:pStyle w:val="CGCTableStub"/>
              <w:spacing w:before="0" w:after="0" w:line="240" w:lineRule="auto"/>
              <w:jc w:val="right"/>
              <w:rPr>
                <w:rFonts w:cstheme="minorHAnsi"/>
              </w:rPr>
            </w:pP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69"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r>
      <w:tr w:rsidR="000E16B6" w:rsidRPr="00FE3F73" w:rsidTr="000E16B6">
        <w:tc>
          <w:tcPr>
            <w:tcW w:w="747" w:type="pct"/>
            <w:vAlign w:val="bottom"/>
          </w:tcPr>
          <w:p w:rsidR="000E16B6" w:rsidRPr="00FE3F73" w:rsidRDefault="000E16B6" w:rsidP="00523FA0">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588</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6</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715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454</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-211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145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121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90</w:t>
            </w:r>
          </w:p>
        </w:tc>
        <w:tc>
          <w:tcPr>
            <w:tcW w:w="469"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665</w:t>
            </w:r>
          </w:p>
        </w:tc>
      </w:tr>
      <w:tr w:rsidR="000E16B6" w:rsidRPr="00FE3F73" w:rsidTr="000E16B6">
        <w:tc>
          <w:tcPr>
            <w:tcW w:w="747" w:type="pct"/>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Option</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108</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-279</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264</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-593</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-130</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222</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152</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256</w:t>
            </w:r>
          </w:p>
        </w:tc>
        <w:tc>
          <w:tcPr>
            <w:tcW w:w="469"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1 002</w:t>
            </w:r>
          </w:p>
        </w:tc>
      </w:tr>
      <w:tr w:rsidR="000E16B6" w:rsidRPr="00FE3F73" w:rsidTr="000E16B6">
        <w:tc>
          <w:tcPr>
            <w:tcW w:w="747" w:type="pct"/>
            <w:tcBorders>
              <w:bottom w:val="single" w:sz="4" w:space="0" w:color="auto"/>
            </w:tcBorders>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Difference</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-480</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-285</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-451</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861</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81</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77</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31</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166</w:t>
            </w:r>
          </w:p>
        </w:tc>
        <w:tc>
          <w:tcPr>
            <w:tcW w:w="469"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1 216</w:t>
            </w:r>
          </w:p>
        </w:tc>
      </w:tr>
    </w:tbl>
    <w:p w:rsidR="00DE6517" w:rsidRDefault="00DE6517" w:rsidP="00DE6517">
      <w:pPr>
        <w:pStyle w:val="CGCTableFootnote"/>
      </w:pPr>
      <w:r>
        <w:t>Source:</w:t>
      </w:r>
      <w:r>
        <w:tab/>
        <w:t>Commission simulation using data from the 2011 and 2014 Updates.</w:t>
      </w:r>
    </w:p>
    <w:p w:rsidR="00DE6517" w:rsidRDefault="00DE6517" w:rsidP="00DE6517">
      <w:pPr>
        <w:pStyle w:val="CGCNumberedPara"/>
        <w:numPr>
          <w:ilvl w:val="1"/>
          <w:numId w:val="3"/>
        </w:numPr>
      </w:pPr>
      <w:r>
        <w:t xml:space="preserve">In summary, this option improves contemporaneity but it may require a correction adjustment to address any errors once reliable data are available. Such an approach would increase the complexity of the HFE process by adding a layer of calculations. </w:t>
      </w:r>
      <w:r w:rsidR="00A30B16">
        <w:t>These adjustments could cause some gaps to increase in some years</w:t>
      </w:r>
      <w:r>
        <w:t>.</w:t>
      </w:r>
    </w:p>
    <w:p w:rsidR="00DE6517" w:rsidRPr="00E674AF" w:rsidRDefault="00DE6517" w:rsidP="00DE6517">
      <w:pPr>
        <w:pStyle w:val="Heading5"/>
      </w:pPr>
      <w:r>
        <w:t>A forecast model</w:t>
      </w:r>
    </w:p>
    <w:p w:rsidR="00DE6517" w:rsidRDefault="00DE6517" w:rsidP="00DE6517">
      <w:pPr>
        <w:pStyle w:val="CGCNumberedPara"/>
        <w:numPr>
          <w:ilvl w:val="1"/>
          <w:numId w:val="3"/>
        </w:numPr>
      </w:pPr>
      <w:r>
        <w:t>Under this option, Commission staff used State forecasts from their 2010-11 mid</w:t>
      </w:r>
      <w:r>
        <w:noBreakHyphen/>
        <w:t xml:space="preserve">year budget documents, the last available budget documents prior to the 2011 Update. We replaced the 2009-10 </w:t>
      </w:r>
      <w:r w:rsidR="007F3108">
        <w:t>category totals</w:t>
      </w:r>
      <w:r>
        <w:t xml:space="preserve"> (the final assessment year) with States’ forward estimates for 2011-12. The 2009-10 assessments were scaled to the new </w:t>
      </w:r>
      <w:r w:rsidR="007F3108">
        <w:t>total</w:t>
      </w:r>
      <w:r>
        <w:t xml:space="preserve">. </w:t>
      </w:r>
    </w:p>
    <w:p w:rsidR="00DE6517" w:rsidRDefault="00DE6517" w:rsidP="00DE6517">
      <w:pPr>
        <w:pStyle w:val="CGCNumberedPara"/>
        <w:numPr>
          <w:ilvl w:val="1"/>
          <w:numId w:val="3"/>
        </w:numPr>
      </w:pPr>
      <w:r>
        <w:t>This option reduced the gap:</w:t>
      </w:r>
    </w:p>
    <w:p w:rsidR="00DE6517" w:rsidRDefault="00DE6517" w:rsidP="00DE6517">
      <w:pPr>
        <w:pStyle w:val="CGCBulletlist"/>
        <w:numPr>
          <w:ilvl w:val="0"/>
          <w:numId w:val="1"/>
        </w:numPr>
        <w:tabs>
          <w:tab w:val="clear" w:pos="927"/>
        </w:tabs>
        <w:ind w:left="1134" w:hanging="567"/>
      </w:pPr>
      <w:r>
        <w:t>in total ($713 million versus $1 665 million)</w:t>
      </w:r>
    </w:p>
    <w:p w:rsidR="00DE6517" w:rsidRDefault="00DE6517" w:rsidP="00DE6517">
      <w:pPr>
        <w:pStyle w:val="CGCBulletlist"/>
        <w:numPr>
          <w:ilvl w:val="0"/>
          <w:numId w:val="1"/>
        </w:numPr>
        <w:tabs>
          <w:tab w:val="clear" w:pos="927"/>
        </w:tabs>
        <w:ind w:left="1134" w:hanging="567"/>
      </w:pPr>
      <w:r>
        <w:t>for five States:</w:t>
      </w:r>
    </w:p>
    <w:p w:rsidR="00DE6517" w:rsidRDefault="00DE6517" w:rsidP="00DE6517">
      <w:pPr>
        <w:pStyle w:val="CGCSubbulletlist"/>
        <w:numPr>
          <w:ilvl w:val="0"/>
          <w:numId w:val="4"/>
        </w:numPr>
        <w:tabs>
          <w:tab w:val="clear" w:pos="927"/>
        </w:tabs>
        <w:ind w:left="1701" w:hanging="567"/>
      </w:pPr>
      <w:r>
        <w:t>New South Wales ($89 million versus $588 million)</w:t>
      </w:r>
    </w:p>
    <w:p w:rsidR="00DE6517" w:rsidRDefault="00DE6517" w:rsidP="00DE6517">
      <w:pPr>
        <w:pStyle w:val="CGCSubbulletlist"/>
        <w:numPr>
          <w:ilvl w:val="0"/>
          <w:numId w:val="4"/>
        </w:numPr>
        <w:tabs>
          <w:tab w:val="clear" w:pos="927"/>
        </w:tabs>
        <w:ind w:left="1701" w:hanging="567"/>
      </w:pPr>
      <w:r>
        <w:t>Queensland ($469 million versus $715 million)</w:t>
      </w:r>
    </w:p>
    <w:p w:rsidR="00DE6517" w:rsidRDefault="00DE6517" w:rsidP="00DE6517">
      <w:pPr>
        <w:pStyle w:val="CGCSubbulletlist"/>
        <w:numPr>
          <w:ilvl w:val="0"/>
          <w:numId w:val="4"/>
        </w:numPr>
        <w:tabs>
          <w:tab w:val="clear" w:pos="927"/>
        </w:tabs>
        <w:ind w:left="1701" w:hanging="567"/>
      </w:pPr>
      <w:r>
        <w:t>Western Australia (-$87 million versus -$1 454 million)</w:t>
      </w:r>
    </w:p>
    <w:p w:rsidR="00DE6517" w:rsidRDefault="00DE6517" w:rsidP="00DE6517">
      <w:pPr>
        <w:pStyle w:val="CGCSubbulletlist"/>
        <w:numPr>
          <w:ilvl w:val="0"/>
          <w:numId w:val="4"/>
        </w:numPr>
        <w:tabs>
          <w:tab w:val="clear" w:pos="927"/>
        </w:tabs>
        <w:ind w:left="1701" w:hanging="567"/>
      </w:pPr>
      <w:r>
        <w:t>Tasmania ($52 million versus $145 million)</w:t>
      </w:r>
    </w:p>
    <w:p w:rsidR="00DE6517" w:rsidRDefault="00DE6517" w:rsidP="00DE6517">
      <w:pPr>
        <w:pStyle w:val="CGCSubbulletlist"/>
        <w:numPr>
          <w:ilvl w:val="0"/>
          <w:numId w:val="4"/>
        </w:numPr>
        <w:tabs>
          <w:tab w:val="clear" w:pos="927"/>
        </w:tabs>
        <w:ind w:left="1701" w:hanging="567"/>
      </w:pPr>
      <w:proofErr w:type="gramStart"/>
      <w:r>
        <w:t>the</w:t>
      </w:r>
      <w:proofErr w:type="gramEnd"/>
      <w:r>
        <w:t xml:space="preserve"> ACT ($103 million versus $121 million).</w:t>
      </w:r>
    </w:p>
    <w:p w:rsidR="00DE6517" w:rsidRDefault="00DE6517" w:rsidP="00DE6517">
      <w:pPr>
        <w:pStyle w:val="CGCNumberedPara"/>
        <w:numPr>
          <w:ilvl w:val="1"/>
          <w:numId w:val="3"/>
        </w:numPr>
      </w:pPr>
      <w:r>
        <w:t xml:space="preserve">This option </w:t>
      </w:r>
      <w:r w:rsidR="00387AE3">
        <w:t xml:space="preserve">increased </w:t>
      </w:r>
      <w:r w:rsidR="003E3F3E">
        <w:t>the</w:t>
      </w:r>
      <w:r w:rsidR="00387AE3">
        <w:t xml:space="preserve"> </w:t>
      </w:r>
      <w:r w:rsidR="003E3F3E">
        <w:t xml:space="preserve">gap </w:t>
      </w:r>
      <w:r w:rsidR="00387AE3">
        <w:t xml:space="preserve">for </w:t>
      </w:r>
      <w:r w:rsidR="00647D6F">
        <w:t xml:space="preserve">Victoria (-$94 million versus $6 million), </w:t>
      </w:r>
      <w:r>
        <w:t>South Australia (</w:t>
      </w:r>
      <w:r>
        <w:noBreakHyphen/>
        <w:t>$355 million</w:t>
      </w:r>
      <w:r w:rsidRPr="005B7554">
        <w:t xml:space="preserve"> </w:t>
      </w:r>
      <w:r>
        <w:t>versus -$211 million) and the Northern Territory (</w:t>
      </w:r>
      <w:r>
        <w:noBreakHyphen/>
        <w:t>$178 million versus $90 million).</w:t>
      </w:r>
    </w:p>
    <w:p w:rsidR="00DE6517" w:rsidRDefault="00DE6517" w:rsidP="00DE6517">
      <w:pPr>
        <w:pStyle w:val="Caption"/>
      </w:pPr>
      <w:r>
        <w:lastRenderedPageBreak/>
        <w:t xml:space="preserve">Table </w:t>
      </w:r>
      <w:r w:rsidR="00C562FD">
        <w:fldChar w:fldCharType="begin"/>
      </w:r>
      <w:r w:rsidR="00C562FD">
        <w:instrText xml:space="preserve"> SEQ Table \* ARABIC </w:instrText>
      </w:r>
      <w:r w:rsidR="00C562FD">
        <w:fldChar w:fldCharType="separate"/>
      </w:r>
      <w:r w:rsidR="00E17AEF">
        <w:rPr>
          <w:noProof/>
        </w:rPr>
        <w:t>6</w:t>
      </w:r>
      <w:r w:rsidR="00C562FD">
        <w:rPr>
          <w:noProof/>
        </w:rPr>
        <w:fldChar w:fldCharType="end"/>
      </w:r>
      <w:r>
        <w:tab/>
        <w:t>2011-12 gap under a forecast model</w:t>
      </w:r>
    </w:p>
    <w:tbl>
      <w:tblPr>
        <w:tblW w:w="5000" w:type="pct"/>
        <w:tblCellMar>
          <w:left w:w="85" w:type="dxa"/>
          <w:right w:w="85" w:type="dxa"/>
        </w:tblCellMar>
        <w:tblLook w:val="0000" w:firstRow="0" w:lastRow="0" w:firstColumn="0" w:lastColumn="0" w:noHBand="0" w:noVBand="0"/>
      </w:tblPr>
      <w:tblGrid>
        <w:gridCol w:w="1362"/>
        <w:gridCol w:w="862"/>
        <w:gridCol w:w="863"/>
        <w:gridCol w:w="863"/>
        <w:gridCol w:w="863"/>
        <w:gridCol w:w="863"/>
        <w:gridCol w:w="863"/>
        <w:gridCol w:w="863"/>
        <w:gridCol w:w="863"/>
        <w:gridCol w:w="856"/>
      </w:tblGrid>
      <w:tr w:rsidR="000E16B6" w:rsidRPr="00FE3F73" w:rsidTr="000E16B6">
        <w:tc>
          <w:tcPr>
            <w:tcW w:w="747" w:type="pct"/>
            <w:tcBorders>
              <w:top w:val="single" w:sz="6" w:space="0" w:color="auto"/>
              <w:bottom w:val="single" w:sz="6" w:space="0" w:color="auto"/>
            </w:tcBorders>
            <w:vAlign w:val="center"/>
          </w:tcPr>
          <w:p w:rsidR="000E16B6" w:rsidRPr="00FE3F73" w:rsidRDefault="000E16B6" w:rsidP="00EF436C">
            <w:pPr>
              <w:pStyle w:val="CGCTableStub"/>
              <w:spacing w:line="240" w:lineRule="auto"/>
              <w:ind w:left="193" w:hanging="142"/>
              <w:rPr>
                <w:rFonts w:cstheme="minorHAnsi"/>
              </w:rPr>
            </w:pP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NSW</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Vic</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Qld</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WA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SA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proofErr w:type="spellStart"/>
            <w:r w:rsidRPr="00FE3F73">
              <w:rPr>
                <w:rFonts w:cstheme="minorHAnsi"/>
              </w:rPr>
              <w:t>Tas</w:t>
            </w:r>
            <w:proofErr w:type="spellEnd"/>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ACT</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NT</w:t>
            </w:r>
          </w:p>
        </w:tc>
        <w:tc>
          <w:tcPr>
            <w:tcW w:w="469" w:type="pct"/>
            <w:tcBorders>
              <w:top w:val="single" w:sz="6" w:space="0" w:color="auto"/>
              <w:bottom w:val="single" w:sz="6" w:space="0" w:color="auto"/>
            </w:tcBorders>
            <w:vAlign w:val="bottom"/>
          </w:tcPr>
          <w:p w:rsidR="000E16B6" w:rsidRPr="00FE3F73" w:rsidRDefault="000E16B6" w:rsidP="00EF436C">
            <w:pPr>
              <w:pStyle w:val="TableColHeadings"/>
              <w:rPr>
                <w:rFonts w:cstheme="minorHAnsi"/>
              </w:rPr>
            </w:pPr>
            <w:r>
              <w:rPr>
                <w:rFonts w:cstheme="minorHAnsi"/>
              </w:rPr>
              <w:t xml:space="preserve">Total/ </w:t>
            </w:r>
            <w:proofErr w:type="spellStart"/>
            <w:r>
              <w:rPr>
                <w:rFonts w:cstheme="minorHAnsi"/>
              </w:rPr>
              <w:t>redis</w:t>
            </w:r>
            <w:r w:rsidR="00C562FD">
              <w:rPr>
                <w:rFonts w:cstheme="minorHAnsi"/>
              </w:rPr>
              <w:t>t</w:t>
            </w:r>
            <w:proofErr w:type="spellEnd"/>
          </w:p>
        </w:tc>
      </w:tr>
      <w:tr w:rsidR="000E16B6" w:rsidRPr="00FE3F73" w:rsidTr="000E16B6">
        <w:tc>
          <w:tcPr>
            <w:tcW w:w="747" w:type="pct"/>
            <w:tcMar>
              <w:top w:w="0" w:type="dxa"/>
              <w:bottom w:w="0" w:type="dxa"/>
            </w:tcMar>
            <w:vAlign w:val="bottom"/>
          </w:tcPr>
          <w:p w:rsidR="000E16B6" w:rsidRPr="00FE3F73" w:rsidRDefault="000E16B6" w:rsidP="00523FA0">
            <w:pPr>
              <w:pStyle w:val="CGCTableStub"/>
              <w:spacing w:before="0" w:after="0" w:line="240" w:lineRule="auto"/>
              <w:jc w:val="right"/>
              <w:rPr>
                <w:rFonts w:cstheme="minorHAnsi"/>
              </w:rPr>
            </w:pP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69"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r>
      <w:tr w:rsidR="000E16B6" w:rsidRPr="00FE3F73" w:rsidTr="000E16B6">
        <w:tc>
          <w:tcPr>
            <w:tcW w:w="747" w:type="pct"/>
            <w:vAlign w:val="bottom"/>
          </w:tcPr>
          <w:p w:rsidR="000E16B6" w:rsidRPr="00FE3F73" w:rsidRDefault="000E16B6" w:rsidP="00523FA0">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588</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6</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715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454</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-211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145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121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90</w:t>
            </w:r>
          </w:p>
        </w:tc>
        <w:tc>
          <w:tcPr>
            <w:tcW w:w="469"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665</w:t>
            </w:r>
          </w:p>
        </w:tc>
      </w:tr>
      <w:tr w:rsidR="000E16B6" w:rsidRPr="00FE3F73" w:rsidTr="000E16B6">
        <w:tc>
          <w:tcPr>
            <w:tcW w:w="747" w:type="pct"/>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Option</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89</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-94</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469</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-87</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-355</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52</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103</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-178</w:t>
            </w:r>
          </w:p>
        </w:tc>
        <w:tc>
          <w:tcPr>
            <w:tcW w:w="469"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713</w:t>
            </w:r>
          </w:p>
        </w:tc>
      </w:tr>
      <w:tr w:rsidR="000E16B6" w:rsidRPr="00FE3F73" w:rsidTr="000E16B6">
        <w:tc>
          <w:tcPr>
            <w:tcW w:w="747" w:type="pct"/>
            <w:tcBorders>
              <w:bottom w:val="single" w:sz="4" w:space="0" w:color="auto"/>
            </w:tcBorders>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Difference</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-499</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-100</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-246</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1 367</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-144</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-93</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-18</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-268</w:t>
            </w:r>
          </w:p>
        </w:tc>
        <w:tc>
          <w:tcPr>
            <w:tcW w:w="469"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1 367</w:t>
            </w:r>
          </w:p>
        </w:tc>
      </w:tr>
    </w:tbl>
    <w:p w:rsidR="00DE6517" w:rsidRDefault="00DE6517" w:rsidP="00DE6517">
      <w:pPr>
        <w:pStyle w:val="CGCTableFootnote"/>
      </w:pPr>
      <w:r>
        <w:t>Source:</w:t>
      </w:r>
      <w:r>
        <w:tab/>
        <w:t>Commission simulation using data from the 2011 and 2014 Updates.</w:t>
      </w:r>
    </w:p>
    <w:p w:rsidR="00DE6517" w:rsidRDefault="00DE6517" w:rsidP="00DE6517">
      <w:pPr>
        <w:pStyle w:val="CGCNumberedPara"/>
        <w:numPr>
          <w:ilvl w:val="1"/>
          <w:numId w:val="3"/>
        </w:numPr>
      </w:pPr>
      <w:r>
        <w:t>A potential limitation of this option is whether States can provide their mid-year budget documents in time for the Commission to use them.</w:t>
      </w:r>
      <w:r w:rsidR="009872D9">
        <w:rPr>
          <w:rStyle w:val="FootnoteReference"/>
        </w:rPr>
        <w:footnoteReference w:id="7"/>
      </w:r>
      <w:r>
        <w:t xml:space="preserve"> The ACT’s 2010-11 mid</w:t>
      </w:r>
      <w:r>
        <w:noBreakHyphen/>
        <w:t>year report was published in February 2011, which would have left little time for staff to incorporate its forward estimates. This problem could be allayed if States were willing to provide forward estimates before they published them. To implement this option, the Commission could provide an undertaking not to publish States’ forward estimates before States do. This would mean the Commission would not publish individual State estimates, but it could publish an aggregated total.</w:t>
      </w:r>
    </w:p>
    <w:p w:rsidR="00DE6517" w:rsidRDefault="00DE6517" w:rsidP="00DE6517">
      <w:pPr>
        <w:pStyle w:val="CGCNumberedPara"/>
        <w:numPr>
          <w:ilvl w:val="1"/>
          <w:numId w:val="3"/>
        </w:numPr>
      </w:pPr>
      <w:r>
        <w:t>A second limitation is that this option uses State data, so a correction adjustment may be required to remove any perceived incentive for States to game the system. This would complicate the HFE system as it would add a layer of calculations to the HFE process.</w:t>
      </w:r>
    </w:p>
    <w:p w:rsidR="00DE6517" w:rsidRDefault="00DE6517" w:rsidP="00DE6517">
      <w:pPr>
        <w:pStyle w:val="CGCNumberedPara"/>
        <w:numPr>
          <w:ilvl w:val="1"/>
          <w:numId w:val="3"/>
        </w:numPr>
      </w:pPr>
      <w:r>
        <w:t>In the 2015 Review, the Commission considered the use of forecasts as a way of dealing with volatile revenues. It concluded that State, or independent, forecasts of revenues in the application were not sufficiently reliable. An approach using such unreliable data might require ‘consequent GST adjustments in future to compensate for errors’.</w:t>
      </w:r>
    </w:p>
    <w:p w:rsidR="00DE6517" w:rsidRDefault="00DE6517" w:rsidP="00DE6517">
      <w:pPr>
        <w:pStyle w:val="CGCNumberedPara"/>
        <w:numPr>
          <w:ilvl w:val="1"/>
          <w:numId w:val="3"/>
        </w:numPr>
      </w:pPr>
      <w:r>
        <w:t xml:space="preserve">In summary, this option improves contemporaneity but it may require a correction adjustment to address any errors. Such an approach would increase the complexity of the HFE process by adding a layer of calculations. As noted previously, </w:t>
      </w:r>
      <w:r w:rsidR="009872D9">
        <w:t xml:space="preserve">fully contemporaneous </w:t>
      </w:r>
      <w:r>
        <w:t>equalisation would not be achieved in a year an adjustment was made.</w:t>
      </w:r>
    </w:p>
    <w:p w:rsidR="00DE6517" w:rsidRDefault="00DE6517" w:rsidP="00DE6517">
      <w:pPr>
        <w:pStyle w:val="Heading4"/>
      </w:pPr>
      <w:bookmarkStart w:id="26" w:name="_Toc482338184"/>
      <w:r>
        <w:t>Option — applying a different treatment to volatile revenues</w:t>
      </w:r>
      <w:bookmarkEnd w:id="26"/>
    </w:p>
    <w:p w:rsidR="00DE6517" w:rsidRDefault="00DE6517" w:rsidP="00DE6517">
      <w:pPr>
        <w:pStyle w:val="CGCNumberedPara"/>
        <w:numPr>
          <w:ilvl w:val="1"/>
          <w:numId w:val="3"/>
        </w:numPr>
      </w:pPr>
      <w:r>
        <w:t xml:space="preserve">If forecasts or projections are deemed </w:t>
      </w:r>
      <w:r w:rsidR="000A6881">
        <w:t xml:space="preserve">not </w:t>
      </w:r>
      <w:r>
        <w:t xml:space="preserve">to be sufficiently reliable, the Commission could implement a different approach for volatile, or unpredictable, revenue streams (such as mining revenue and PSPs) that are unlikely to grow in line with pool growth. </w:t>
      </w:r>
    </w:p>
    <w:p w:rsidR="00DE6517" w:rsidRDefault="00DE6517" w:rsidP="00DE6517">
      <w:pPr>
        <w:pStyle w:val="CGCNumberedPara"/>
        <w:numPr>
          <w:ilvl w:val="1"/>
          <w:numId w:val="3"/>
        </w:numPr>
      </w:pPr>
      <w:r>
        <w:t xml:space="preserve">This approach would require application year financial data and disability data, but only for the selected revenue streams. </w:t>
      </w:r>
    </w:p>
    <w:p w:rsidR="00DE6517" w:rsidRDefault="00DE6517" w:rsidP="00DE6517">
      <w:pPr>
        <w:pStyle w:val="CGCNumberedPara"/>
        <w:numPr>
          <w:ilvl w:val="1"/>
          <w:numId w:val="3"/>
        </w:numPr>
      </w:pPr>
      <w:bookmarkStart w:id="27" w:name="_Ref482078094"/>
      <w:r>
        <w:lastRenderedPageBreak/>
        <w:t>The Commission has previously treated some PSPs by absorption (most recently Health Care Grants in the 2008 Update).</w:t>
      </w:r>
      <w:r w:rsidR="003066AE">
        <w:rPr>
          <w:rStyle w:val="FootnoteReference"/>
        </w:rPr>
        <w:footnoteReference w:id="8"/>
      </w:r>
      <w:r>
        <w:t xml:space="preserve"> Absorption could be extended to volatile revenue streams by:</w:t>
      </w:r>
      <w:bookmarkEnd w:id="27"/>
    </w:p>
    <w:p w:rsidR="00DE6517" w:rsidRDefault="00647D6F" w:rsidP="00DE6517">
      <w:pPr>
        <w:pStyle w:val="CGCBulletlist"/>
        <w:numPr>
          <w:ilvl w:val="0"/>
          <w:numId w:val="1"/>
        </w:numPr>
        <w:tabs>
          <w:tab w:val="clear" w:pos="927"/>
        </w:tabs>
        <w:ind w:left="1134" w:hanging="567"/>
      </w:pPr>
      <w:r>
        <w:t xml:space="preserve">in the years of assessment, </w:t>
      </w:r>
      <w:r w:rsidR="00DE6517">
        <w:t xml:space="preserve">adding the revenue stream to the GST pool </w:t>
      </w:r>
    </w:p>
    <w:p w:rsidR="00DE6517" w:rsidRDefault="00647D6F" w:rsidP="00DE6517">
      <w:pPr>
        <w:pStyle w:val="CGCBulletlist"/>
        <w:numPr>
          <w:ilvl w:val="0"/>
          <w:numId w:val="1"/>
        </w:numPr>
        <w:tabs>
          <w:tab w:val="clear" w:pos="927"/>
        </w:tabs>
        <w:ind w:left="1134" w:hanging="567"/>
      </w:pPr>
      <w:r>
        <w:t xml:space="preserve">in the application year, </w:t>
      </w:r>
      <w:r w:rsidR="00DE6517">
        <w:t xml:space="preserve">applying the ensuing relativities to a combined pool (of GST and the relevant revenue stream) </w:t>
      </w:r>
    </w:p>
    <w:p w:rsidR="00DE6517" w:rsidRDefault="00DE6517" w:rsidP="00DE6517">
      <w:pPr>
        <w:pStyle w:val="CGCBulletlist"/>
        <w:numPr>
          <w:ilvl w:val="0"/>
          <w:numId w:val="1"/>
        </w:numPr>
        <w:tabs>
          <w:tab w:val="clear" w:pos="927"/>
        </w:tabs>
        <w:ind w:left="1134" w:hanging="567"/>
      </w:pPr>
      <w:proofErr w:type="gramStart"/>
      <w:r>
        <w:t>deriving</w:t>
      </w:r>
      <w:proofErr w:type="gramEnd"/>
      <w:r>
        <w:t xml:space="preserve"> States’ GST revenue by deducting an application year assessment of the relevant revenue steam from the combined distribution.</w:t>
      </w:r>
    </w:p>
    <w:p w:rsidR="00DE6517" w:rsidRDefault="00DE6517" w:rsidP="00DE6517">
      <w:pPr>
        <w:pStyle w:val="CGCNumberedPara"/>
        <w:numPr>
          <w:ilvl w:val="1"/>
          <w:numId w:val="3"/>
        </w:numPr>
      </w:pPr>
      <w:r>
        <w:t xml:space="preserve">This option is more contemporaneous because States’ GST revenue would depend on an assessment of the revenue stream in the application year rather than </w:t>
      </w:r>
      <w:r w:rsidR="00EF436C">
        <w:t>its</w:t>
      </w:r>
      <w:r w:rsidR="009817BF">
        <w:t xml:space="preserve"> historical </w:t>
      </w:r>
      <w:r w:rsidR="00EF436C">
        <w:t xml:space="preserve">assessment in the three </w:t>
      </w:r>
      <w:r>
        <w:t xml:space="preserve">assessment </w:t>
      </w:r>
      <w:r w:rsidR="00EF436C">
        <w:t>years</w:t>
      </w:r>
      <w:r>
        <w:t xml:space="preserve">. A disadvantage of this approach is it could increase year to year volatility </w:t>
      </w:r>
      <w:r w:rsidR="00D15C7B">
        <w:t xml:space="preserve">in GST shares </w:t>
      </w:r>
      <w:r>
        <w:t>as it is based on a one year assessment rather than a three year average.</w:t>
      </w:r>
    </w:p>
    <w:p w:rsidR="00DE6517" w:rsidRDefault="00DE6517" w:rsidP="00DE6517">
      <w:pPr>
        <w:pStyle w:val="CGCNumberedPara"/>
        <w:numPr>
          <w:ilvl w:val="1"/>
          <w:numId w:val="3"/>
        </w:numPr>
      </w:pPr>
      <w:r>
        <w:t xml:space="preserve">It is not clear that changing the approach for one or two revenue streams would unambiguously produce better HFE outcomes for all States. When the Commission considered this option in the 2015 Review, it concluded singling out a particular revenue stream </w:t>
      </w:r>
      <w:r w:rsidR="00D15C7B">
        <w:t>risks</w:t>
      </w:r>
      <w:r>
        <w:t xml:space="preserve"> unbalanc</w:t>
      </w:r>
      <w:r w:rsidR="00D15C7B">
        <w:t>ing</w:t>
      </w:r>
      <w:r>
        <w:t xml:space="preserve"> the HFE system over time. The approach would increase volatility in GST shares and consequently overall revenue for all States except those assessed to have a strong capacity in the relevant revenue stream.</w:t>
      </w:r>
    </w:p>
    <w:p w:rsidR="00DE6517" w:rsidRPr="00E674AF" w:rsidRDefault="00DE6517" w:rsidP="00DE6517">
      <w:pPr>
        <w:pStyle w:val="Heading5"/>
      </w:pPr>
      <w:bookmarkStart w:id="28" w:name="_Toc448840615"/>
      <w:bookmarkStart w:id="29" w:name="_Toc448840641"/>
      <w:bookmarkStart w:id="30" w:name="_Toc450574829"/>
      <w:r>
        <w:t>Treating PSPs by absorption</w:t>
      </w:r>
      <w:bookmarkEnd w:id="28"/>
      <w:bookmarkEnd w:id="29"/>
      <w:bookmarkEnd w:id="30"/>
    </w:p>
    <w:p w:rsidR="00DE6517" w:rsidRDefault="00DE6517" w:rsidP="00DE6517">
      <w:pPr>
        <w:pStyle w:val="CGCNumberedPara"/>
        <w:numPr>
          <w:ilvl w:val="1"/>
          <w:numId w:val="3"/>
        </w:numPr>
      </w:pPr>
      <w:r>
        <w:t>If absorption is used, the composition of the application year pool is changed to include the absorbed PSP(s). A similar change is made to the composition of the assessment period pool.</w:t>
      </w:r>
      <w:r w:rsidRPr="00252873">
        <w:t xml:space="preserve"> </w:t>
      </w:r>
      <w:r>
        <w:t>Adding PSPs to the pool makes the pool bigger and means absorption relativities tend to be closer to an average relativity (1.000) than the existing relativities.</w:t>
      </w:r>
    </w:p>
    <w:p w:rsidR="00DE6517" w:rsidRDefault="00DE6517" w:rsidP="00DE6517">
      <w:pPr>
        <w:pStyle w:val="CGCNumberedPara"/>
        <w:numPr>
          <w:ilvl w:val="1"/>
          <w:numId w:val="3"/>
        </w:numPr>
      </w:pPr>
      <w:r>
        <w:t xml:space="preserve">Bringing PSPs into the equalisation framework creates a link between a State’s receipt of PSPs and its GST. </w:t>
      </w:r>
      <w:r w:rsidR="00EF436C">
        <w:t xml:space="preserve">Under the existing approach, the link is to its share of PSPs in the years of assessment. </w:t>
      </w:r>
      <w:r>
        <w:t xml:space="preserve">Under absorption, the link is to its </w:t>
      </w:r>
      <w:r w:rsidR="00EF436C">
        <w:t xml:space="preserve">share of PSPs in the </w:t>
      </w:r>
      <w:r>
        <w:t xml:space="preserve">application year share of PSPs rather than </w:t>
      </w:r>
      <w:r w:rsidR="00EF436C">
        <w:t>the years of assessment</w:t>
      </w:r>
      <w:r>
        <w:t>.</w:t>
      </w:r>
      <w:r w:rsidRPr="00D50114">
        <w:t xml:space="preserve"> </w:t>
      </w:r>
      <w:r>
        <w:t>Thus, absorption is a more contemporaneous approach to PSPs.</w:t>
      </w:r>
    </w:p>
    <w:p w:rsidR="00DE6517" w:rsidRDefault="00DE6517" w:rsidP="00DE6517">
      <w:pPr>
        <w:pStyle w:val="CGCNumberedPara"/>
        <w:numPr>
          <w:ilvl w:val="1"/>
          <w:numId w:val="3"/>
        </w:numPr>
      </w:pPr>
      <w:r>
        <w:t>The implications of absorption are:</w:t>
      </w:r>
    </w:p>
    <w:p w:rsidR="00DE6517" w:rsidRDefault="00DE6517" w:rsidP="00DE6517">
      <w:pPr>
        <w:pStyle w:val="CGCBulletlist"/>
        <w:numPr>
          <w:ilvl w:val="0"/>
          <w:numId w:val="1"/>
        </w:numPr>
        <w:tabs>
          <w:tab w:val="clear" w:pos="927"/>
        </w:tabs>
        <w:ind w:left="1134" w:hanging="567"/>
      </w:pPr>
      <w:r>
        <w:lastRenderedPageBreak/>
        <w:t>the interstate distribution of PSPs in the application year affects a State’s GST distribution</w:t>
      </w:r>
    </w:p>
    <w:p w:rsidR="00DE6517" w:rsidRPr="00E674AF" w:rsidRDefault="00DE6517" w:rsidP="00DE6517">
      <w:pPr>
        <w:pStyle w:val="CGCBulletlist"/>
        <w:numPr>
          <w:ilvl w:val="0"/>
          <w:numId w:val="1"/>
        </w:numPr>
        <w:tabs>
          <w:tab w:val="clear" w:pos="927"/>
        </w:tabs>
        <w:ind w:left="1134" w:hanging="567"/>
      </w:pPr>
      <w:proofErr w:type="gramStart"/>
      <w:r>
        <w:t>a</w:t>
      </w:r>
      <w:proofErr w:type="gramEnd"/>
      <w:r>
        <w:t xml:space="preserve"> bigger share of PSPs in that year reduces its GST requirement.</w:t>
      </w:r>
    </w:p>
    <w:p w:rsidR="00DE6517" w:rsidRDefault="00DE6517" w:rsidP="00DE6517">
      <w:pPr>
        <w:pStyle w:val="Heading5"/>
      </w:pPr>
      <w:bookmarkStart w:id="31" w:name="_Toc450574830"/>
      <w:r>
        <w:t>A case study — 2011-12</w:t>
      </w:r>
      <w:bookmarkEnd w:id="31"/>
    </w:p>
    <w:p w:rsidR="00DE6517" w:rsidRDefault="00DE6517" w:rsidP="00DE6517">
      <w:pPr>
        <w:pStyle w:val="CGCNumberedPara"/>
        <w:numPr>
          <w:ilvl w:val="1"/>
          <w:numId w:val="3"/>
        </w:numPr>
      </w:pPr>
      <w:r>
        <w:fldChar w:fldCharType="begin"/>
      </w:r>
      <w:r>
        <w:instrText xml:space="preserve"> REF _Ref478031248 \h </w:instrText>
      </w:r>
      <w:r>
        <w:fldChar w:fldCharType="separate"/>
      </w:r>
      <w:r w:rsidR="00E17AEF">
        <w:t xml:space="preserve">Table </w:t>
      </w:r>
      <w:r w:rsidR="00E17AEF">
        <w:rPr>
          <w:noProof/>
        </w:rPr>
        <w:t>7</w:t>
      </w:r>
      <w:r>
        <w:fldChar w:fldCharType="end"/>
      </w:r>
      <w:r>
        <w:t xml:space="preserve"> shows this option reduced the gap:</w:t>
      </w:r>
    </w:p>
    <w:p w:rsidR="00DE6517" w:rsidRDefault="00DE6517" w:rsidP="00DE6517">
      <w:pPr>
        <w:pStyle w:val="CGCBulletlist"/>
        <w:numPr>
          <w:ilvl w:val="0"/>
          <w:numId w:val="1"/>
        </w:numPr>
        <w:tabs>
          <w:tab w:val="clear" w:pos="927"/>
        </w:tabs>
        <w:ind w:left="1134" w:hanging="567"/>
      </w:pPr>
      <w:r>
        <w:t>in total ($1 506 million versus $1 665 million)</w:t>
      </w:r>
    </w:p>
    <w:p w:rsidR="00DE6517" w:rsidRDefault="00DE6517" w:rsidP="00DE6517">
      <w:pPr>
        <w:pStyle w:val="CGCBulletlist"/>
        <w:numPr>
          <w:ilvl w:val="0"/>
          <w:numId w:val="1"/>
        </w:numPr>
        <w:tabs>
          <w:tab w:val="clear" w:pos="927"/>
        </w:tabs>
        <w:ind w:left="1134" w:hanging="567"/>
      </w:pPr>
      <w:r>
        <w:t>for six States:</w:t>
      </w:r>
    </w:p>
    <w:p w:rsidR="00DE6517" w:rsidRDefault="00DE6517" w:rsidP="00DE6517">
      <w:pPr>
        <w:pStyle w:val="CGCSubbulletlist"/>
        <w:numPr>
          <w:ilvl w:val="0"/>
          <w:numId w:val="4"/>
        </w:numPr>
        <w:tabs>
          <w:tab w:val="clear" w:pos="927"/>
        </w:tabs>
        <w:ind w:left="1701" w:hanging="567"/>
      </w:pPr>
      <w:r>
        <w:t xml:space="preserve">New South Wales ($295 million versus $588 million) </w:t>
      </w:r>
    </w:p>
    <w:p w:rsidR="00DE6517" w:rsidRDefault="00DE6517" w:rsidP="00DE6517">
      <w:pPr>
        <w:pStyle w:val="CGCSubbulletlist"/>
        <w:numPr>
          <w:ilvl w:val="0"/>
          <w:numId w:val="4"/>
        </w:numPr>
        <w:tabs>
          <w:tab w:val="clear" w:pos="927"/>
        </w:tabs>
        <w:ind w:left="1701" w:hanging="567"/>
      </w:pPr>
      <w:r>
        <w:t xml:space="preserve">Queensland ($688 million versus $715 million). </w:t>
      </w:r>
    </w:p>
    <w:p w:rsidR="00DE6517" w:rsidRDefault="00DE6517" w:rsidP="00DE6517">
      <w:pPr>
        <w:pStyle w:val="CGCSubbulletlist"/>
        <w:numPr>
          <w:ilvl w:val="0"/>
          <w:numId w:val="4"/>
        </w:numPr>
        <w:tabs>
          <w:tab w:val="clear" w:pos="927"/>
        </w:tabs>
        <w:ind w:left="1701" w:hanging="567"/>
      </w:pPr>
      <w:r>
        <w:t xml:space="preserve">Western Australia (-$1 392 million versus -$1 454 million). </w:t>
      </w:r>
    </w:p>
    <w:p w:rsidR="00DE6517" w:rsidRDefault="00DE6517" w:rsidP="00DE6517">
      <w:pPr>
        <w:pStyle w:val="CGCSubbulletlist"/>
        <w:numPr>
          <w:ilvl w:val="0"/>
          <w:numId w:val="4"/>
        </w:numPr>
        <w:tabs>
          <w:tab w:val="clear" w:pos="927"/>
        </w:tabs>
        <w:ind w:left="1701" w:hanging="567"/>
      </w:pPr>
      <w:r>
        <w:t xml:space="preserve">South Australia (-$66 million versus -$211 million). </w:t>
      </w:r>
    </w:p>
    <w:p w:rsidR="00DE6517" w:rsidRDefault="00DE6517" w:rsidP="00DE6517">
      <w:pPr>
        <w:pStyle w:val="CGCSubbulletlist"/>
        <w:numPr>
          <w:ilvl w:val="0"/>
          <w:numId w:val="4"/>
        </w:numPr>
        <w:tabs>
          <w:tab w:val="clear" w:pos="927"/>
        </w:tabs>
        <w:ind w:left="1701" w:hanging="567"/>
      </w:pPr>
      <w:r>
        <w:t xml:space="preserve">Tasmania ($-47 million versus $145 million). </w:t>
      </w:r>
    </w:p>
    <w:p w:rsidR="00DE6517" w:rsidRDefault="00DE6517" w:rsidP="00DE6517">
      <w:pPr>
        <w:pStyle w:val="CGCSubbulletlist"/>
        <w:numPr>
          <w:ilvl w:val="0"/>
          <w:numId w:val="4"/>
        </w:numPr>
        <w:tabs>
          <w:tab w:val="clear" w:pos="927"/>
        </w:tabs>
        <w:ind w:left="1701" w:hanging="567"/>
      </w:pPr>
      <w:proofErr w:type="gramStart"/>
      <w:r>
        <w:t>the</w:t>
      </w:r>
      <w:proofErr w:type="gramEnd"/>
      <w:r>
        <w:t xml:space="preserve"> ACT ($78 million versus $121 million). </w:t>
      </w:r>
    </w:p>
    <w:p w:rsidR="00DE6517" w:rsidRDefault="00DE6517" w:rsidP="00DE6517">
      <w:pPr>
        <w:pStyle w:val="CGCNumberedPara"/>
        <w:numPr>
          <w:ilvl w:val="1"/>
          <w:numId w:val="3"/>
        </w:numPr>
      </w:pPr>
      <w:r>
        <w:t xml:space="preserve">This option </w:t>
      </w:r>
      <w:r w:rsidR="00F11008">
        <w:t xml:space="preserve">increased the gap </w:t>
      </w:r>
      <w:r w:rsidR="00387AE3">
        <w:t xml:space="preserve">Victoria ($362 million versus $6 million) and the </w:t>
      </w:r>
      <w:r w:rsidR="003E3F3E">
        <w:t>Northern Territory</w:t>
      </w:r>
      <w:r>
        <w:t xml:space="preserve"> ($</w:t>
      </w:r>
      <w:r w:rsidR="00387AE3">
        <w:t>10</w:t>
      </w:r>
      <w:r>
        <w:t>2 million versus $</w:t>
      </w:r>
      <w:r w:rsidR="00387AE3">
        <w:t>90</w:t>
      </w:r>
      <w:r>
        <w:t> million).</w:t>
      </w:r>
    </w:p>
    <w:p w:rsidR="00DE6517" w:rsidRDefault="00DE6517" w:rsidP="00DE6517">
      <w:pPr>
        <w:pStyle w:val="Caption"/>
      </w:pPr>
      <w:bookmarkStart w:id="32" w:name="_Ref478031248"/>
      <w:r>
        <w:t xml:space="preserve">Table </w:t>
      </w:r>
      <w:r w:rsidR="00C562FD">
        <w:fldChar w:fldCharType="begin"/>
      </w:r>
      <w:r w:rsidR="00C562FD">
        <w:instrText xml:space="preserve"> SEQ Table \* ARABIC </w:instrText>
      </w:r>
      <w:r w:rsidR="00C562FD">
        <w:fldChar w:fldCharType="separate"/>
      </w:r>
      <w:r w:rsidR="00E17AEF">
        <w:rPr>
          <w:noProof/>
        </w:rPr>
        <w:t>7</w:t>
      </w:r>
      <w:r w:rsidR="00C562FD">
        <w:rPr>
          <w:noProof/>
        </w:rPr>
        <w:fldChar w:fldCharType="end"/>
      </w:r>
      <w:bookmarkEnd w:id="32"/>
      <w:r>
        <w:tab/>
        <w:t>2011-12 gap when PSPs are treat</w:t>
      </w:r>
      <w:r w:rsidR="003E3F3E">
        <w:t>ed</w:t>
      </w:r>
      <w:r>
        <w:t xml:space="preserve"> by absorption</w:t>
      </w:r>
    </w:p>
    <w:tbl>
      <w:tblPr>
        <w:tblW w:w="5000" w:type="pct"/>
        <w:tblCellMar>
          <w:left w:w="85" w:type="dxa"/>
          <w:right w:w="85" w:type="dxa"/>
        </w:tblCellMar>
        <w:tblLook w:val="0000" w:firstRow="0" w:lastRow="0" w:firstColumn="0" w:lastColumn="0" w:noHBand="0" w:noVBand="0"/>
      </w:tblPr>
      <w:tblGrid>
        <w:gridCol w:w="1362"/>
        <w:gridCol w:w="862"/>
        <w:gridCol w:w="863"/>
        <w:gridCol w:w="863"/>
        <w:gridCol w:w="863"/>
        <w:gridCol w:w="863"/>
        <w:gridCol w:w="863"/>
        <w:gridCol w:w="863"/>
        <w:gridCol w:w="863"/>
        <w:gridCol w:w="856"/>
      </w:tblGrid>
      <w:tr w:rsidR="000E16B6" w:rsidRPr="00FE3F73" w:rsidTr="000E16B6">
        <w:tc>
          <w:tcPr>
            <w:tcW w:w="747" w:type="pct"/>
            <w:tcBorders>
              <w:top w:val="single" w:sz="6" w:space="0" w:color="auto"/>
              <w:bottom w:val="single" w:sz="6" w:space="0" w:color="auto"/>
            </w:tcBorders>
            <w:vAlign w:val="center"/>
          </w:tcPr>
          <w:p w:rsidR="000E16B6" w:rsidRPr="00FE3F73" w:rsidRDefault="000E16B6" w:rsidP="00EF436C">
            <w:pPr>
              <w:pStyle w:val="CGCTableStub"/>
              <w:spacing w:line="240" w:lineRule="auto"/>
              <w:ind w:left="193" w:hanging="142"/>
              <w:rPr>
                <w:rFonts w:cstheme="minorHAnsi"/>
              </w:rPr>
            </w:pP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NSW</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Vic</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Qld</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WA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SA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proofErr w:type="spellStart"/>
            <w:r w:rsidRPr="00FE3F73">
              <w:rPr>
                <w:rFonts w:cstheme="minorHAnsi"/>
              </w:rPr>
              <w:t>Tas</w:t>
            </w:r>
            <w:proofErr w:type="spellEnd"/>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ACT</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NT</w:t>
            </w:r>
          </w:p>
        </w:tc>
        <w:tc>
          <w:tcPr>
            <w:tcW w:w="469" w:type="pct"/>
            <w:tcBorders>
              <w:top w:val="single" w:sz="6" w:space="0" w:color="auto"/>
              <w:bottom w:val="single" w:sz="6" w:space="0" w:color="auto"/>
            </w:tcBorders>
            <w:vAlign w:val="bottom"/>
          </w:tcPr>
          <w:p w:rsidR="000E16B6" w:rsidRPr="00FE3F73" w:rsidRDefault="000E16B6" w:rsidP="00EF436C">
            <w:pPr>
              <w:pStyle w:val="TableColHeadings"/>
              <w:rPr>
                <w:rFonts w:cstheme="minorHAnsi"/>
              </w:rPr>
            </w:pPr>
            <w:r>
              <w:rPr>
                <w:rFonts w:cstheme="minorHAnsi"/>
              </w:rPr>
              <w:t xml:space="preserve">Total/ </w:t>
            </w:r>
            <w:proofErr w:type="spellStart"/>
            <w:r>
              <w:rPr>
                <w:rFonts w:cstheme="minorHAnsi"/>
              </w:rPr>
              <w:t>redis</w:t>
            </w:r>
            <w:r w:rsidR="00C562FD">
              <w:rPr>
                <w:rFonts w:cstheme="minorHAnsi"/>
              </w:rPr>
              <w:t>t</w:t>
            </w:r>
            <w:proofErr w:type="spellEnd"/>
          </w:p>
        </w:tc>
      </w:tr>
      <w:tr w:rsidR="000E16B6" w:rsidRPr="00FE3F73" w:rsidTr="000E16B6">
        <w:tc>
          <w:tcPr>
            <w:tcW w:w="747" w:type="pct"/>
            <w:tcMar>
              <w:top w:w="0" w:type="dxa"/>
              <w:bottom w:w="0" w:type="dxa"/>
            </w:tcMar>
            <w:vAlign w:val="bottom"/>
          </w:tcPr>
          <w:p w:rsidR="000E16B6" w:rsidRPr="00FE3F73" w:rsidRDefault="000E16B6" w:rsidP="00523FA0">
            <w:pPr>
              <w:pStyle w:val="CGCTableStub"/>
              <w:spacing w:before="0" w:after="0" w:line="240" w:lineRule="auto"/>
              <w:jc w:val="right"/>
              <w:rPr>
                <w:rFonts w:cstheme="minorHAnsi"/>
              </w:rPr>
            </w:pP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69"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r>
      <w:tr w:rsidR="000E16B6" w:rsidRPr="00FE3F73" w:rsidTr="000E16B6">
        <w:tc>
          <w:tcPr>
            <w:tcW w:w="747" w:type="pct"/>
            <w:vAlign w:val="bottom"/>
          </w:tcPr>
          <w:p w:rsidR="000E16B6" w:rsidRPr="00FE3F73" w:rsidRDefault="000E16B6" w:rsidP="00523FA0">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588</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6</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715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454</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-211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145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121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90</w:t>
            </w:r>
          </w:p>
        </w:tc>
        <w:tc>
          <w:tcPr>
            <w:tcW w:w="469"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665</w:t>
            </w:r>
          </w:p>
        </w:tc>
      </w:tr>
      <w:tr w:rsidR="000E16B6" w:rsidRPr="00FE3F73" w:rsidTr="000E16B6">
        <w:tc>
          <w:tcPr>
            <w:tcW w:w="747" w:type="pct"/>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Option</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295</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362</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688</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-1 392</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-66</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-47</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78</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102</w:t>
            </w:r>
          </w:p>
        </w:tc>
        <w:tc>
          <w:tcPr>
            <w:tcW w:w="469"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1 506</w:t>
            </w:r>
          </w:p>
        </w:tc>
      </w:tr>
      <w:tr w:rsidR="000E16B6" w:rsidRPr="00FE3F73" w:rsidTr="000E16B6">
        <w:tc>
          <w:tcPr>
            <w:tcW w:w="747" w:type="pct"/>
            <w:tcBorders>
              <w:bottom w:val="single" w:sz="4" w:space="0" w:color="auto"/>
            </w:tcBorders>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Difference</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-293</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356</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-47</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62</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145</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-192</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-43</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12</w:t>
            </w:r>
          </w:p>
        </w:tc>
        <w:tc>
          <w:tcPr>
            <w:tcW w:w="469"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575</w:t>
            </w:r>
          </w:p>
        </w:tc>
      </w:tr>
    </w:tbl>
    <w:p w:rsidR="00DE6517" w:rsidRDefault="00DE6517" w:rsidP="00DE6517">
      <w:pPr>
        <w:pStyle w:val="CGCTableFootnote"/>
      </w:pPr>
      <w:r>
        <w:t>Source:</w:t>
      </w:r>
      <w:r>
        <w:tab/>
        <w:t>Commission simulation using data from the 2011 and 2014 Updates.</w:t>
      </w:r>
    </w:p>
    <w:p w:rsidR="00DE6517" w:rsidRPr="00E674AF" w:rsidRDefault="00DE6517" w:rsidP="00DE6517">
      <w:pPr>
        <w:pStyle w:val="Heading5"/>
      </w:pPr>
      <w:r>
        <w:t>Treating mining revenue by absorption</w:t>
      </w:r>
    </w:p>
    <w:p w:rsidR="00DE6517" w:rsidRDefault="00DE6517" w:rsidP="00DE6517">
      <w:pPr>
        <w:pStyle w:val="CGCNumberedPara"/>
        <w:numPr>
          <w:ilvl w:val="1"/>
          <w:numId w:val="3"/>
        </w:numPr>
      </w:pPr>
      <w:r>
        <w:t xml:space="preserve">The absorption approach could also be applied to a volatile revenue stream such as mining revenue. Treating mining revenue by absorption </w:t>
      </w:r>
      <w:r w:rsidR="00EF436C">
        <w:t xml:space="preserve">requires a </w:t>
      </w:r>
      <w:r>
        <w:t>change</w:t>
      </w:r>
      <w:r w:rsidR="00EF436C">
        <w:t xml:space="preserve"> to be made to </w:t>
      </w:r>
      <w:r>
        <w:t>the composition of the application year pool:</w:t>
      </w:r>
    </w:p>
    <w:p w:rsidR="00DE6517" w:rsidRDefault="00DE6517" w:rsidP="00DE6517">
      <w:pPr>
        <w:pStyle w:val="CGCBulletlist"/>
        <w:numPr>
          <w:ilvl w:val="0"/>
          <w:numId w:val="1"/>
        </w:numPr>
        <w:tabs>
          <w:tab w:val="clear" w:pos="927"/>
        </w:tabs>
        <w:ind w:left="1134" w:hanging="567"/>
      </w:pPr>
      <w:r>
        <w:t>from GST revenue</w:t>
      </w:r>
    </w:p>
    <w:p w:rsidR="00DE6517" w:rsidRDefault="00DE6517" w:rsidP="00DE6517">
      <w:pPr>
        <w:pStyle w:val="CGCBulletlist"/>
        <w:numPr>
          <w:ilvl w:val="0"/>
          <w:numId w:val="1"/>
        </w:numPr>
        <w:tabs>
          <w:tab w:val="clear" w:pos="927"/>
        </w:tabs>
        <w:ind w:left="1134" w:hanging="567"/>
      </w:pPr>
      <w:proofErr w:type="gramStart"/>
      <w:r>
        <w:t>to</w:t>
      </w:r>
      <w:proofErr w:type="gramEnd"/>
      <w:r>
        <w:t xml:space="preserve"> GST revenue plus royalty revenue plus Grants in lieu of royalties.</w:t>
      </w:r>
    </w:p>
    <w:p w:rsidR="00DE6517" w:rsidRDefault="00DE6517" w:rsidP="00DE6517">
      <w:pPr>
        <w:pStyle w:val="CGCNumberedPara"/>
        <w:numPr>
          <w:ilvl w:val="1"/>
          <w:numId w:val="3"/>
        </w:numPr>
      </w:pPr>
      <w:r>
        <w:t>A similar change would be made to the composition of the assessment period</w:t>
      </w:r>
      <w:r w:rsidRPr="009610D5">
        <w:t xml:space="preserve"> </w:t>
      </w:r>
      <w:r>
        <w:t>pools.</w:t>
      </w:r>
    </w:p>
    <w:p w:rsidR="00895689" w:rsidRDefault="00895689" w:rsidP="00895689">
      <w:pPr>
        <w:pStyle w:val="CGCNumberedPara"/>
        <w:numPr>
          <w:ilvl w:val="1"/>
          <w:numId w:val="3"/>
        </w:numPr>
      </w:pPr>
      <w:r>
        <w:t xml:space="preserve">As outlined in paragraph </w:t>
      </w:r>
      <w:r>
        <w:fldChar w:fldCharType="begin"/>
      </w:r>
      <w:r>
        <w:instrText xml:space="preserve"> REF _Ref482078094 \r \h </w:instrText>
      </w:r>
      <w:r>
        <w:fldChar w:fldCharType="separate"/>
      </w:r>
      <w:r w:rsidR="00E17AEF">
        <w:t>56</w:t>
      </w:r>
      <w:r>
        <w:fldChar w:fldCharType="end"/>
      </w:r>
      <w:r>
        <w:t>, applying absorption to mining revenue would involve:</w:t>
      </w:r>
    </w:p>
    <w:p w:rsidR="00895689" w:rsidRDefault="00895689" w:rsidP="00895689">
      <w:pPr>
        <w:pStyle w:val="CGCBulletlist"/>
        <w:numPr>
          <w:ilvl w:val="0"/>
          <w:numId w:val="1"/>
        </w:numPr>
        <w:tabs>
          <w:tab w:val="clear" w:pos="927"/>
        </w:tabs>
        <w:ind w:left="1134" w:hanging="567"/>
      </w:pPr>
      <w:r>
        <w:t xml:space="preserve">in the years of assessment, adding mining revenue to the GST pool </w:t>
      </w:r>
    </w:p>
    <w:p w:rsidR="00895689" w:rsidRDefault="00895689" w:rsidP="00895689">
      <w:pPr>
        <w:pStyle w:val="CGCBulletlist"/>
        <w:numPr>
          <w:ilvl w:val="0"/>
          <w:numId w:val="1"/>
        </w:numPr>
        <w:tabs>
          <w:tab w:val="clear" w:pos="927"/>
        </w:tabs>
        <w:ind w:left="1134" w:hanging="567"/>
      </w:pPr>
      <w:r>
        <w:t xml:space="preserve">in the application year, applying the ensuing relativities to a combined pool (of GST and mining revenue) </w:t>
      </w:r>
    </w:p>
    <w:p w:rsidR="00895689" w:rsidRDefault="00895689" w:rsidP="00895689">
      <w:pPr>
        <w:pStyle w:val="CGCBulletlist"/>
        <w:numPr>
          <w:ilvl w:val="0"/>
          <w:numId w:val="1"/>
        </w:numPr>
        <w:tabs>
          <w:tab w:val="clear" w:pos="927"/>
        </w:tabs>
        <w:ind w:left="1134" w:hanging="567"/>
      </w:pPr>
      <w:proofErr w:type="gramStart"/>
      <w:r>
        <w:lastRenderedPageBreak/>
        <w:t>deriving</w:t>
      </w:r>
      <w:proofErr w:type="gramEnd"/>
      <w:r>
        <w:t xml:space="preserve"> States’ GST revenue by deducting an application year assessment of mining revenue from the combined distribution.</w:t>
      </w:r>
    </w:p>
    <w:p w:rsidR="00DE6517" w:rsidRDefault="00DE6517" w:rsidP="00DE6517">
      <w:pPr>
        <w:pStyle w:val="CGCNumberedPara"/>
        <w:numPr>
          <w:ilvl w:val="1"/>
          <w:numId w:val="3"/>
        </w:numPr>
      </w:pPr>
      <w:r>
        <w:fldChar w:fldCharType="begin"/>
      </w:r>
      <w:r>
        <w:instrText xml:space="preserve"> REF _Ref478043650 \h </w:instrText>
      </w:r>
      <w:r>
        <w:fldChar w:fldCharType="separate"/>
      </w:r>
      <w:r w:rsidR="00E17AEF">
        <w:t xml:space="preserve">Table </w:t>
      </w:r>
      <w:r w:rsidR="00E17AEF">
        <w:rPr>
          <w:noProof/>
        </w:rPr>
        <w:t>8</w:t>
      </w:r>
      <w:r>
        <w:fldChar w:fldCharType="end"/>
      </w:r>
      <w:r>
        <w:t xml:space="preserve"> shows this option reduced the gap:</w:t>
      </w:r>
    </w:p>
    <w:p w:rsidR="00DE6517" w:rsidRDefault="00DE6517" w:rsidP="00DE6517">
      <w:pPr>
        <w:pStyle w:val="CGCBulletlist"/>
        <w:numPr>
          <w:ilvl w:val="0"/>
          <w:numId w:val="1"/>
        </w:numPr>
        <w:tabs>
          <w:tab w:val="clear" w:pos="927"/>
        </w:tabs>
        <w:ind w:left="1134" w:hanging="567"/>
      </w:pPr>
      <w:r>
        <w:t>in total ($929 million versus $1 665 million)</w:t>
      </w:r>
    </w:p>
    <w:p w:rsidR="00DE6517" w:rsidRDefault="00DE6517" w:rsidP="00DE6517">
      <w:pPr>
        <w:pStyle w:val="CGCBulletlist"/>
        <w:numPr>
          <w:ilvl w:val="0"/>
          <w:numId w:val="1"/>
        </w:numPr>
        <w:tabs>
          <w:tab w:val="clear" w:pos="927"/>
        </w:tabs>
        <w:ind w:left="1134" w:hanging="567"/>
      </w:pPr>
      <w:r>
        <w:t>for six States:</w:t>
      </w:r>
    </w:p>
    <w:p w:rsidR="00DE6517" w:rsidRDefault="00DE6517" w:rsidP="00DE6517">
      <w:pPr>
        <w:pStyle w:val="CGCSubbulletlist"/>
        <w:numPr>
          <w:ilvl w:val="0"/>
          <w:numId w:val="4"/>
        </w:numPr>
        <w:tabs>
          <w:tab w:val="clear" w:pos="927"/>
        </w:tabs>
        <w:ind w:left="1701" w:hanging="567"/>
      </w:pPr>
      <w:r>
        <w:t xml:space="preserve">New South Wales (-$230 million versus $588 million) </w:t>
      </w:r>
    </w:p>
    <w:p w:rsidR="00DE6517" w:rsidRDefault="00DE6517" w:rsidP="00DE6517">
      <w:pPr>
        <w:pStyle w:val="CGCSubbulletlist"/>
        <w:numPr>
          <w:ilvl w:val="0"/>
          <w:numId w:val="4"/>
        </w:numPr>
        <w:tabs>
          <w:tab w:val="clear" w:pos="927"/>
        </w:tabs>
        <w:ind w:left="1701" w:hanging="567"/>
      </w:pPr>
      <w:r>
        <w:t xml:space="preserve">Queensland (-$369 million versus $715 million). </w:t>
      </w:r>
    </w:p>
    <w:p w:rsidR="00DE6517" w:rsidRDefault="00DE6517" w:rsidP="00DE6517">
      <w:pPr>
        <w:pStyle w:val="CGCSubbulletlist"/>
        <w:numPr>
          <w:ilvl w:val="0"/>
          <w:numId w:val="4"/>
        </w:numPr>
        <w:tabs>
          <w:tab w:val="clear" w:pos="927"/>
        </w:tabs>
        <w:ind w:left="1701" w:hanging="567"/>
      </w:pPr>
      <w:r>
        <w:t xml:space="preserve">Western Australia (-$181 million versus -$1 454 million). </w:t>
      </w:r>
    </w:p>
    <w:p w:rsidR="00DE6517" w:rsidRDefault="00DE6517" w:rsidP="00DE6517">
      <w:pPr>
        <w:pStyle w:val="CGCSubbulletlist"/>
        <w:numPr>
          <w:ilvl w:val="0"/>
          <w:numId w:val="4"/>
        </w:numPr>
        <w:tabs>
          <w:tab w:val="clear" w:pos="927"/>
        </w:tabs>
        <w:ind w:left="1701" w:hanging="567"/>
      </w:pPr>
      <w:r>
        <w:t xml:space="preserve">Tasmania ($-72 million versus $145 million). </w:t>
      </w:r>
    </w:p>
    <w:p w:rsidR="00DE6517" w:rsidRDefault="00DE6517" w:rsidP="00DE6517">
      <w:pPr>
        <w:pStyle w:val="CGCSubbulletlist"/>
        <w:numPr>
          <w:ilvl w:val="0"/>
          <w:numId w:val="4"/>
        </w:numPr>
        <w:tabs>
          <w:tab w:val="clear" w:pos="927"/>
        </w:tabs>
        <w:ind w:left="1701" w:hanging="567"/>
      </w:pPr>
      <w:r>
        <w:t>the ACT (-$77 million versus $121 million)</w:t>
      </w:r>
    </w:p>
    <w:p w:rsidR="00DE6517" w:rsidRDefault="00DE6517" w:rsidP="00DE6517">
      <w:pPr>
        <w:pStyle w:val="CGCSubbulletlist"/>
        <w:numPr>
          <w:ilvl w:val="0"/>
          <w:numId w:val="4"/>
        </w:numPr>
        <w:tabs>
          <w:tab w:val="clear" w:pos="927"/>
        </w:tabs>
        <w:ind w:left="1701" w:hanging="567"/>
      </w:pPr>
      <w:proofErr w:type="gramStart"/>
      <w:r>
        <w:t>the</w:t>
      </w:r>
      <w:proofErr w:type="gramEnd"/>
      <w:r>
        <w:t xml:space="preserve"> Northern Territory ($86 million versus $90 million). </w:t>
      </w:r>
    </w:p>
    <w:p w:rsidR="00DE6517" w:rsidRDefault="00DE6517" w:rsidP="00DE6517">
      <w:pPr>
        <w:pStyle w:val="CGCNumberedPara"/>
        <w:numPr>
          <w:ilvl w:val="1"/>
          <w:numId w:val="3"/>
        </w:numPr>
      </w:pPr>
      <w:r>
        <w:t xml:space="preserve">This </w:t>
      </w:r>
      <w:r w:rsidR="00F11008">
        <w:t xml:space="preserve">option increased the gap </w:t>
      </w:r>
      <w:r>
        <w:t>for Victoria ($520 million versus $6 million) and South</w:t>
      </w:r>
      <w:r w:rsidR="00F11008">
        <w:t> </w:t>
      </w:r>
      <w:r>
        <w:t>Australia ($324 million versus -$211 million).</w:t>
      </w:r>
    </w:p>
    <w:p w:rsidR="00DE6517" w:rsidRDefault="00DE6517" w:rsidP="00DE6517">
      <w:pPr>
        <w:pStyle w:val="Caption"/>
      </w:pPr>
      <w:bookmarkStart w:id="33" w:name="_Ref478043650"/>
      <w:r>
        <w:t xml:space="preserve">Table </w:t>
      </w:r>
      <w:r w:rsidR="00C562FD">
        <w:fldChar w:fldCharType="begin"/>
      </w:r>
      <w:r w:rsidR="00C562FD">
        <w:instrText xml:space="preserve"> SEQ Table \* ARABIC </w:instrText>
      </w:r>
      <w:r w:rsidR="00C562FD">
        <w:fldChar w:fldCharType="separate"/>
      </w:r>
      <w:r w:rsidR="00E17AEF">
        <w:rPr>
          <w:noProof/>
        </w:rPr>
        <w:t>8</w:t>
      </w:r>
      <w:r w:rsidR="00C562FD">
        <w:rPr>
          <w:noProof/>
        </w:rPr>
        <w:fldChar w:fldCharType="end"/>
      </w:r>
      <w:bookmarkEnd w:id="33"/>
      <w:r>
        <w:tab/>
        <w:t>2011-12 gap when mining revenue is treated by absorption</w:t>
      </w:r>
    </w:p>
    <w:tbl>
      <w:tblPr>
        <w:tblW w:w="5000" w:type="pct"/>
        <w:tblCellMar>
          <w:left w:w="85" w:type="dxa"/>
          <w:right w:w="85" w:type="dxa"/>
        </w:tblCellMar>
        <w:tblLook w:val="0000" w:firstRow="0" w:lastRow="0" w:firstColumn="0" w:lastColumn="0" w:noHBand="0" w:noVBand="0"/>
      </w:tblPr>
      <w:tblGrid>
        <w:gridCol w:w="1362"/>
        <w:gridCol w:w="862"/>
        <w:gridCol w:w="863"/>
        <w:gridCol w:w="863"/>
        <w:gridCol w:w="863"/>
        <w:gridCol w:w="863"/>
        <w:gridCol w:w="863"/>
        <w:gridCol w:w="863"/>
        <w:gridCol w:w="863"/>
        <w:gridCol w:w="856"/>
      </w:tblGrid>
      <w:tr w:rsidR="000E16B6" w:rsidRPr="00FE3F73" w:rsidTr="000E16B6">
        <w:tc>
          <w:tcPr>
            <w:tcW w:w="747" w:type="pct"/>
            <w:tcBorders>
              <w:top w:val="single" w:sz="6" w:space="0" w:color="auto"/>
              <w:bottom w:val="single" w:sz="6" w:space="0" w:color="auto"/>
            </w:tcBorders>
            <w:vAlign w:val="center"/>
          </w:tcPr>
          <w:p w:rsidR="000E16B6" w:rsidRPr="00FE3F73" w:rsidRDefault="000E16B6" w:rsidP="00EF436C">
            <w:pPr>
              <w:pStyle w:val="CGCTableStub"/>
              <w:spacing w:line="240" w:lineRule="auto"/>
              <w:ind w:left="193" w:hanging="142"/>
              <w:rPr>
                <w:rFonts w:cstheme="minorHAnsi"/>
              </w:rPr>
            </w:pP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NSW</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Vic</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Qld</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WA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SA</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proofErr w:type="spellStart"/>
            <w:r w:rsidRPr="00FE3F73">
              <w:rPr>
                <w:rFonts w:cstheme="minorHAnsi"/>
              </w:rPr>
              <w:t>Tas</w:t>
            </w:r>
            <w:proofErr w:type="spellEnd"/>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ACT</w:t>
            </w:r>
          </w:p>
        </w:tc>
        <w:tc>
          <w:tcPr>
            <w:tcW w:w="473" w:type="pct"/>
            <w:tcBorders>
              <w:top w:val="single" w:sz="6" w:space="0" w:color="auto"/>
              <w:bottom w:val="single" w:sz="6" w:space="0" w:color="auto"/>
            </w:tcBorders>
            <w:vAlign w:val="center"/>
          </w:tcPr>
          <w:p w:rsidR="000E16B6" w:rsidRPr="00FE3F73" w:rsidRDefault="000E16B6" w:rsidP="00EF436C">
            <w:pPr>
              <w:pStyle w:val="TableColHeadings"/>
              <w:rPr>
                <w:rFonts w:cstheme="minorHAnsi"/>
              </w:rPr>
            </w:pPr>
            <w:r w:rsidRPr="00FE3F73">
              <w:rPr>
                <w:rFonts w:cstheme="minorHAnsi"/>
              </w:rPr>
              <w:t>NT</w:t>
            </w:r>
          </w:p>
        </w:tc>
        <w:tc>
          <w:tcPr>
            <w:tcW w:w="469" w:type="pct"/>
            <w:tcBorders>
              <w:top w:val="single" w:sz="6" w:space="0" w:color="auto"/>
              <w:bottom w:val="single" w:sz="6" w:space="0" w:color="auto"/>
            </w:tcBorders>
            <w:vAlign w:val="bottom"/>
          </w:tcPr>
          <w:p w:rsidR="000E16B6" w:rsidRPr="00FE3F73" w:rsidRDefault="000E16B6" w:rsidP="00EF436C">
            <w:pPr>
              <w:pStyle w:val="TableColHeadings"/>
              <w:rPr>
                <w:rFonts w:cstheme="minorHAnsi"/>
              </w:rPr>
            </w:pPr>
            <w:r>
              <w:rPr>
                <w:rFonts w:cstheme="minorHAnsi"/>
              </w:rPr>
              <w:t xml:space="preserve">Total/ </w:t>
            </w:r>
            <w:proofErr w:type="spellStart"/>
            <w:r>
              <w:rPr>
                <w:rFonts w:cstheme="minorHAnsi"/>
              </w:rPr>
              <w:t>redis</w:t>
            </w:r>
            <w:r w:rsidR="00C562FD">
              <w:rPr>
                <w:rFonts w:cstheme="minorHAnsi"/>
              </w:rPr>
              <w:t>t</w:t>
            </w:r>
            <w:bookmarkStart w:id="34" w:name="_GoBack"/>
            <w:bookmarkEnd w:id="34"/>
            <w:proofErr w:type="spellEnd"/>
          </w:p>
        </w:tc>
      </w:tr>
      <w:tr w:rsidR="000E16B6" w:rsidRPr="00FE3F73" w:rsidTr="000E16B6">
        <w:tc>
          <w:tcPr>
            <w:tcW w:w="747" w:type="pct"/>
            <w:tcMar>
              <w:top w:w="0" w:type="dxa"/>
              <w:bottom w:w="0" w:type="dxa"/>
            </w:tcMar>
            <w:vAlign w:val="bottom"/>
          </w:tcPr>
          <w:p w:rsidR="000E16B6" w:rsidRPr="00FE3F73" w:rsidRDefault="000E16B6" w:rsidP="00523FA0">
            <w:pPr>
              <w:pStyle w:val="CGCTableStub"/>
              <w:spacing w:before="0" w:after="0" w:line="240" w:lineRule="auto"/>
              <w:jc w:val="right"/>
              <w:rPr>
                <w:rFonts w:cstheme="minorHAnsi"/>
              </w:rPr>
            </w:pP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73"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c>
          <w:tcPr>
            <w:tcW w:w="469" w:type="pct"/>
            <w:tcMar>
              <w:top w:w="0" w:type="dxa"/>
              <w:bottom w:w="0" w:type="dxa"/>
            </w:tcMar>
            <w:vAlign w:val="bottom"/>
          </w:tcPr>
          <w:p w:rsidR="000E16B6" w:rsidRPr="00FE3F73" w:rsidRDefault="000E16B6" w:rsidP="00523FA0">
            <w:pPr>
              <w:pStyle w:val="TableRowNormal"/>
              <w:spacing w:before="0" w:after="0" w:line="240" w:lineRule="auto"/>
              <w:ind w:left="0" w:firstLine="0"/>
              <w:rPr>
                <w:rFonts w:cstheme="minorHAnsi"/>
              </w:rPr>
            </w:pPr>
            <w:r>
              <w:rPr>
                <w:rFonts w:cstheme="minorHAnsi"/>
              </w:rPr>
              <w:t>$m</w:t>
            </w:r>
          </w:p>
        </w:tc>
      </w:tr>
      <w:tr w:rsidR="000E16B6" w:rsidRPr="00FE3F73" w:rsidTr="000E16B6">
        <w:tc>
          <w:tcPr>
            <w:tcW w:w="747" w:type="pct"/>
            <w:vAlign w:val="bottom"/>
          </w:tcPr>
          <w:p w:rsidR="000E16B6" w:rsidRPr="00FE3F73" w:rsidRDefault="000E16B6" w:rsidP="00523FA0">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588</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6</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715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454</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-211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145</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121</w:t>
            </w:r>
          </w:p>
        </w:tc>
        <w:tc>
          <w:tcPr>
            <w:tcW w:w="473" w:type="pct"/>
            <w:vAlign w:val="bottom"/>
          </w:tcPr>
          <w:p w:rsidR="000E16B6" w:rsidRPr="007A03BE" w:rsidRDefault="000E16B6" w:rsidP="00523FA0">
            <w:pPr>
              <w:pStyle w:val="TableRowNormal"/>
              <w:ind w:left="0" w:firstLine="0"/>
              <w:rPr>
                <w:rFonts w:cstheme="minorHAnsi"/>
              </w:rPr>
            </w:pPr>
            <w:r w:rsidRPr="007A03BE">
              <w:rPr>
                <w:rFonts w:cstheme="minorHAnsi"/>
              </w:rPr>
              <w:t>90</w:t>
            </w:r>
          </w:p>
        </w:tc>
        <w:tc>
          <w:tcPr>
            <w:tcW w:w="469" w:type="pct"/>
            <w:vAlign w:val="bottom"/>
          </w:tcPr>
          <w:p w:rsidR="000E16B6" w:rsidRPr="007A03BE" w:rsidRDefault="000E16B6" w:rsidP="00523FA0">
            <w:pPr>
              <w:pStyle w:val="TableRowNormal"/>
              <w:ind w:left="0" w:firstLine="0"/>
              <w:rPr>
                <w:rFonts w:cstheme="minorHAnsi"/>
              </w:rPr>
            </w:pPr>
            <w:r w:rsidRPr="007A03BE">
              <w:rPr>
                <w:rFonts w:cstheme="minorHAnsi"/>
              </w:rPr>
              <w:t>1</w:t>
            </w:r>
            <w:r>
              <w:rPr>
                <w:rFonts w:cstheme="minorHAnsi"/>
              </w:rPr>
              <w:t xml:space="preserve"> </w:t>
            </w:r>
            <w:r w:rsidRPr="007A03BE">
              <w:rPr>
                <w:rFonts w:cstheme="minorHAnsi"/>
              </w:rPr>
              <w:t>665</w:t>
            </w:r>
          </w:p>
        </w:tc>
      </w:tr>
      <w:tr w:rsidR="000E16B6" w:rsidRPr="00FE3F73" w:rsidTr="000E16B6">
        <w:tc>
          <w:tcPr>
            <w:tcW w:w="747" w:type="pct"/>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Option</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-230</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520</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-369</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-181</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324</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-72</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-77</w:t>
            </w:r>
          </w:p>
        </w:tc>
        <w:tc>
          <w:tcPr>
            <w:tcW w:w="473"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86</w:t>
            </w:r>
          </w:p>
        </w:tc>
        <w:tc>
          <w:tcPr>
            <w:tcW w:w="469" w:type="pct"/>
            <w:tcBorders>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929</w:t>
            </w:r>
          </w:p>
        </w:tc>
      </w:tr>
      <w:tr w:rsidR="000E16B6" w:rsidRPr="00FE3F73" w:rsidTr="000E16B6">
        <w:tc>
          <w:tcPr>
            <w:tcW w:w="747" w:type="pct"/>
            <w:tcBorders>
              <w:bottom w:val="single" w:sz="4" w:space="0" w:color="auto"/>
            </w:tcBorders>
            <w:vAlign w:val="bottom"/>
          </w:tcPr>
          <w:p w:rsidR="000E16B6" w:rsidRDefault="000E16B6" w:rsidP="00523FA0">
            <w:pPr>
              <w:pStyle w:val="CGCTableStub"/>
              <w:tabs>
                <w:tab w:val="left" w:pos="142"/>
                <w:tab w:val="left" w:pos="425"/>
                <w:tab w:val="left" w:pos="709"/>
                <w:tab w:val="left" w:pos="851"/>
              </w:tabs>
              <w:ind w:left="142" w:hanging="142"/>
              <w:rPr>
                <w:rFonts w:cstheme="minorHAnsi"/>
              </w:rPr>
            </w:pPr>
            <w:r>
              <w:rPr>
                <w:rFonts w:cstheme="minorHAnsi"/>
              </w:rPr>
              <w:t>Difference</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-818</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514</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-1 084</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1 273</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535</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-217</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-198</w:t>
            </w:r>
          </w:p>
        </w:tc>
        <w:tc>
          <w:tcPr>
            <w:tcW w:w="473"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-4</w:t>
            </w:r>
          </w:p>
        </w:tc>
        <w:tc>
          <w:tcPr>
            <w:tcW w:w="469" w:type="pct"/>
            <w:tcBorders>
              <w:top w:val="single" w:sz="4" w:space="0" w:color="auto"/>
              <w:bottom w:val="single" w:sz="4" w:space="0" w:color="auto"/>
            </w:tcBorders>
            <w:vAlign w:val="bottom"/>
          </w:tcPr>
          <w:p w:rsidR="000E16B6" w:rsidRPr="00741487" w:rsidRDefault="000E16B6" w:rsidP="00523FA0">
            <w:pPr>
              <w:pStyle w:val="TableRowNormal"/>
              <w:ind w:left="0" w:firstLine="0"/>
              <w:rPr>
                <w:rFonts w:cstheme="minorHAnsi"/>
              </w:rPr>
            </w:pPr>
            <w:r>
              <w:rPr>
                <w:rFonts w:cstheme="minorHAnsi"/>
              </w:rPr>
              <w:t>2 321</w:t>
            </w:r>
          </w:p>
        </w:tc>
      </w:tr>
    </w:tbl>
    <w:p w:rsidR="00DE6517" w:rsidRDefault="00DE6517" w:rsidP="00DE6517">
      <w:pPr>
        <w:pStyle w:val="CGCTableFootnote"/>
      </w:pPr>
      <w:r>
        <w:t>Source:</w:t>
      </w:r>
      <w:r>
        <w:tab/>
        <w:t>Commission simulation using data from the 2011 and 2014 Updates.</w:t>
      </w:r>
    </w:p>
    <w:p w:rsidR="00582B4E" w:rsidRDefault="00DE6517" w:rsidP="00DE6517">
      <w:pPr>
        <w:pStyle w:val="CGCNumberedPara"/>
        <w:numPr>
          <w:ilvl w:val="1"/>
          <w:numId w:val="3"/>
        </w:numPr>
      </w:pPr>
      <w:bookmarkStart w:id="35" w:name="_Toc449953380"/>
      <w:r>
        <w:t xml:space="preserve">In summary, this option improves contemporaneity by using </w:t>
      </w:r>
      <w:r w:rsidR="003E3F3E">
        <w:t xml:space="preserve">the </w:t>
      </w:r>
      <w:r>
        <w:t xml:space="preserve">application year </w:t>
      </w:r>
      <w:r w:rsidR="00895689">
        <w:t>assessment of mining revenue</w:t>
      </w:r>
      <w:r>
        <w:t xml:space="preserve"> rather than </w:t>
      </w:r>
      <w:r w:rsidR="00895689">
        <w:t xml:space="preserve">the historical assessment in each of the three </w:t>
      </w:r>
      <w:r>
        <w:t>assessment year</w:t>
      </w:r>
      <w:r w:rsidR="003E3F3E">
        <w:t>s</w:t>
      </w:r>
      <w:r w:rsidR="00895689">
        <w:t xml:space="preserve">. This option is </w:t>
      </w:r>
      <w:r>
        <w:t xml:space="preserve">likely to increase the annual volatility </w:t>
      </w:r>
      <w:r w:rsidR="00895689">
        <w:t xml:space="preserve">of States’ GST </w:t>
      </w:r>
      <w:r w:rsidR="00D15C7B">
        <w:t>shares</w:t>
      </w:r>
      <w:r w:rsidR="00895689">
        <w:t xml:space="preserve"> by using a one year mining assessment rather than an average of three years. It is also likely to increase the complexity of the HFE process</w:t>
      </w:r>
      <w:r>
        <w:t xml:space="preserve"> by having different assessment approaches for different revenues. A correction process may be required if State data are used to make the application year assessment</w:t>
      </w:r>
      <w:r w:rsidR="00895689">
        <w:t xml:space="preserve"> of mining revenue</w:t>
      </w:r>
      <w:r>
        <w:t xml:space="preserve">, </w:t>
      </w:r>
      <w:r w:rsidR="0015788E">
        <w:t xml:space="preserve">and </w:t>
      </w:r>
      <w:r>
        <w:t>this would increase the complexity of the HFE process by adding a layer of calculations.</w:t>
      </w:r>
      <w:r w:rsidR="00582B4E">
        <w:t xml:space="preserve"> </w:t>
      </w:r>
    </w:p>
    <w:p w:rsidR="00DE6517" w:rsidRDefault="00582B4E" w:rsidP="00DE6517">
      <w:pPr>
        <w:pStyle w:val="CGCNumberedPara"/>
        <w:numPr>
          <w:ilvl w:val="1"/>
          <w:numId w:val="3"/>
        </w:numPr>
      </w:pPr>
      <w:r>
        <w:t>Victoria’s result shows that correcting for one source of the gap (volatile mining revenue) can exacerbate a State’s gap if other errors were offsetting the error arising from the absorbed item.</w:t>
      </w:r>
    </w:p>
    <w:p w:rsidR="00DE6517" w:rsidRPr="00E674AF" w:rsidRDefault="00DE6517" w:rsidP="00DE6517">
      <w:pPr>
        <w:pStyle w:val="Heading3"/>
      </w:pPr>
      <w:bookmarkStart w:id="36" w:name="_Toc482338185"/>
      <w:r>
        <w:lastRenderedPageBreak/>
        <w:t>OPTIONS FOR CORRECTING FOR GAPS</w:t>
      </w:r>
      <w:bookmarkEnd w:id="36"/>
    </w:p>
    <w:p w:rsidR="00DE6517" w:rsidRDefault="00DE6517" w:rsidP="00DE6517">
      <w:pPr>
        <w:pStyle w:val="CGCNumberedPara"/>
        <w:numPr>
          <w:ilvl w:val="1"/>
          <w:numId w:val="3"/>
        </w:numPr>
      </w:pPr>
      <w:r>
        <w:t>If contemporaneity remains a supporting principle but none of the options for improving contemporaneity are adopted</w:t>
      </w:r>
      <w:r w:rsidR="0015788E">
        <w:t>,</w:t>
      </w:r>
      <w:r>
        <w:t xml:space="preserve"> then another approach would be to correct any gaps that arise later (such as those shown in </w:t>
      </w:r>
      <w:r>
        <w:fldChar w:fldCharType="begin"/>
      </w:r>
      <w:r>
        <w:instrText xml:space="preserve"> REF _Ref450122607 \h </w:instrText>
      </w:r>
      <w:r>
        <w:fldChar w:fldCharType="separate"/>
      </w:r>
      <w:r w:rsidR="00E17AEF">
        <w:t xml:space="preserve">Table </w:t>
      </w:r>
      <w:r w:rsidR="00E17AEF">
        <w:rPr>
          <w:noProof/>
        </w:rPr>
        <w:t>1</w:t>
      </w:r>
      <w:r>
        <w:fldChar w:fldCharType="end"/>
      </w:r>
      <w:r>
        <w:t>).</w:t>
      </w:r>
    </w:p>
    <w:p w:rsidR="00DE6517" w:rsidRDefault="00DE6517" w:rsidP="00DE6517">
      <w:pPr>
        <w:pStyle w:val="Heading4"/>
      </w:pPr>
      <w:bookmarkStart w:id="37" w:name="_Toc482338186"/>
      <w:r>
        <w:t>Option — an advance and completion approach</w:t>
      </w:r>
      <w:bookmarkEnd w:id="37"/>
    </w:p>
    <w:p w:rsidR="00DE6517" w:rsidRDefault="00DE6517" w:rsidP="00DE6517">
      <w:pPr>
        <w:pStyle w:val="CGCNumberedPara"/>
        <w:numPr>
          <w:ilvl w:val="1"/>
          <w:numId w:val="3"/>
        </w:numPr>
      </w:pPr>
      <w:r>
        <w:t xml:space="preserve">In the State </w:t>
      </w:r>
      <w:proofErr w:type="spellStart"/>
      <w:r>
        <w:t>claimancy</w:t>
      </w:r>
      <w:proofErr w:type="spellEnd"/>
      <w:r>
        <w:t xml:space="preserve"> era</w:t>
      </w:r>
      <w:r w:rsidR="00823AF7">
        <w:t>,</w:t>
      </w:r>
      <w:r>
        <w:t xml:space="preserve"> </w:t>
      </w:r>
      <w:r w:rsidR="0015788E">
        <w:t>up to 198</w:t>
      </w:r>
      <w:r w:rsidR="003066AE">
        <w:t>1</w:t>
      </w:r>
      <w:r w:rsidR="0015788E">
        <w:t xml:space="preserve">, </w:t>
      </w:r>
      <w:r>
        <w:t>the Commission assessed a claimant State’s need for assistance twice — a preliminary assessment in the form of an advance grant</w:t>
      </w:r>
      <w:r w:rsidRPr="00B76210">
        <w:t xml:space="preserve"> </w:t>
      </w:r>
      <w:r>
        <w:t xml:space="preserve">and a final assessment in the form of a completion grant. The completion grant was assessed after the relevant year had passed and when actual data were available (two years later). The completion grant was the difference between the preliminary assessment of State needs (its advance grant) and a final assessment of its needs. If the </w:t>
      </w:r>
      <w:proofErr w:type="gramStart"/>
      <w:r>
        <w:t>claimant</w:t>
      </w:r>
      <w:proofErr w:type="gramEnd"/>
      <w:r>
        <w:t xml:space="preserve"> State’s advance grant was too low, its completion grant was positive and vice versa.</w:t>
      </w:r>
    </w:p>
    <w:p w:rsidR="00DE6517" w:rsidRDefault="00DE6517" w:rsidP="00DE6517">
      <w:pPr>
        <w:pStyle w:val="CGCNumberedPara"/>
        <w:numPr>
          <w:ilvl w:val="1"/>
          <w:numId w:val="3"/>
        </w:numPr>
      </w:pPr>
      <w:r>
        <w:t xml:space="preserve">An advance-completion approach </w:t>
      </w:r>
      <w:r w:rsidR="006C7012">
        <w:t xml:space="preserve">would also </w:t>
      </w:r>
      <w:r>
        <w:t xml:space="preserve">allow the Commission to build a margin of safety into a State’s advance grant in the knowledge that, if the full grant was not required, it could be recouped in the subsequent completion grant. This feature would allow a State to ask the Commission </w:t>
      </w:r>
      <w:r w:rsidR="000F152E">
        <w:t xml:space="preserve">to </w:t>
      </w:r>
      <w:r>
        <w:t>adjust its advance grant to anticipate a change in circumstances. This happened in the 2015 Review when Western Australia asked the Commission to adjust its mining assessment to anticipate falling iron ore prices and reducing North</w:t>
      </w:r>
      <w:r>
        <w:noBreakHyphen/>
        <w:t>West Shelf payments. One of the reasons the Commission did not agree to its request was the HFE process did not have a correction process (such as a completion assessment) that would allow the other States to recoup the additional assistance if it was not needed by Western Australia.</w:t>
      </w:r>
      <w:r w:rsidR="000F152E">
        <w:t xml:space="preserve"> P</w:t>
      </w:r>
      <w:r w:rsidR="007B5013">
        <w:t xml:space="preserve">roviding a margin of safety to a State </w:t>
      </w:r>
      <w:r w:rsidR="000F152E">
        <w:t xml:space="preserve">would mean HFE would not be achieved in </w:t>
      </w:r>
      <w:r w:rsidR="00895689">
        <w:t xml:space="preserve">either of </w:t>
      </w:r>
      <w:r w:rsidR="000F152E">
        <w:t>the application year</w:t>
      </w:r>
      <w:r w:rsidR="00EA04E1">
        <w:t xml:space="preserve">s </w:t>
      </w:r>
      <w:r w:rsidR="00895689">
        <w:t>when</w:t>
      </w:r>
      <w:r w:rsidR="00EA04E1">
        <w:t xml:space="preserve"> the </w:t>
      </w:r>
      <w:r w:rsidR="007B5013">
        <w:t>margin of safety</w:t>
      </w:r>
      <w:r w:rsidR="00895689">
        <w:t xml:space="preserve"> i</w:t>
      </w:r>
      <w:r w:rsidR="00EA04E1">
        <w:t xml:space="preserve">s </w:t>
      </w:r>
      <w:r w:rsidR="007B5013">
        <w:t>paid</w:t>
      </w:r>
      <w:r w:rsidR="00EA04E1">
        <w:t xml:space="preserve"> </w:t>
      </w:r>
      <w:r w:rsidR="00895689">
        <w:t>or</w:t>
      </w:r>
      <w:r w:rsidR="00EA04E1">
        <w:t xml:space="preserve"> recouped</w:t>
      </w:r>
      <w:r w:rsidR="000F152E">
        <w:t>.</w:t>
      </w:r>
    </w:p>
    <w:p w:rsidR="00DE6517" w:rsidRDefault="00DE6517" w:rsidP="00DE6517">
      <w:pPr>
        <w:pStyle w:val="CGCNumberedPara"/>
        <w:numPr>
          <w:ilvl w:val="1"/>
          <w:numId w:val="3"/>
        </w:numPr>
      </w:pPr>
      <w:r>
        <w:t>Implementation issues with this approach include:</w:t>
      </w:r>
    </w:p>
    <w:p w:rsidR="00DE6517" w:rsidRDefault="00DE6517" w:rsidP="00DE6517">
      <w:pPr>
        <w:pStyle w:val="CGCBulletlist"/>
        <w:numPr>
          <w:ilvl w:val="0"/>
          <w:numId w:val="1"/>
        </w:numPr>
        <w:tabs>
          <w:tab w:val="clear" w:pos="927"/>
        </w:tabs>
        <w:ind w:left="1134" w:hanging="567"/>
      </w:pPr>
      <w:r>
        <w:t>Should the advance and completion grant relate to a single year or multiple years?</w:t>
      </w:r>
    </w:p>
    <w:p w:rsidR="00DE6517" w:rsidRDefault="00DE6517" w:rsidP="00DE6517">
      <w:pPr>
        <w:pStyle w:val="CGCBulletlist"/>
        <w:numPr>
          <w:ilvl w:val="0"/>
          <w:numId w:val="1"/>
        </w:numPr>
        <w:tabs>
          <w:tab w:val="clear" w:pos="927"/>
        </w:tabs>
        <w:ind w:left="1134" w:hanging="567"/>
      </w:pPr>
      <w:r>
        <w:t>Which year(s)?</w:t>
      </w:r>
    </w:p>
    <w:p w:rsidR="00DE6517" w:rsidRDefault="00DE6517" w:rsidP="00DE6517">
      <w:pPr>
        <w:pStyle w:val="CGCBulletlist"/>
        <w:numPr>
          <w:ilvl w:val="0"/>
          <w:numId w:val="1"/>
        </w:numPr>
        <w:tabs>
          <w:tab w:val="clear" w:pos="927"/>
        </w:tabs>
        <w:ind w:left="1134" w:hanging="567"/>
      </w:pPr>
      <w:r>
        <w:t>Should States’ assessments be indexed?</w:t>
      </w:r>
    </w:p>
    <w:p w:rsidR="00DE6517" w:rsidRDefault="00DE6517" w:rsidP="00DE6517">
      <w:pPr>
        <w:pStyle w:val="CGCNumberedPara"/>
        <w:numPr>
          <w:ilvl w:val="1"/>
          <w:numId w:val="3"/>
        </w:numPr>
      </w:pPr>
      <w:r>
        <w:t xml:space="preserve">In the State </w:t>
      </w:r>
      <w:proofErr w:type="spellStart"/>
      <w:r>
        <w:t>claimancy</w:t>
      </w:r>
      <w:proofErr w:type="spellEnd"/>
      <w:r>
        <w:t xml:space="preserve"> era, the advance and completion assessments were based on single years. A single assessment year is likely to increase the volatility of annual completion grants. Having multiple assessment years would provide more stability </w:t>
      </w:r>
      <w:r>
        <w:lastRenderedPageBreak/>
        <w:t xml:space="preserve">but it would increase complexity, with each assessment year affecting the GST </w:t>
      </w:r>
      <w:r w:rsidR="00D15C7B">
        <w:t xml:space="preserve">distribution </w:t>
      </w:r>
      <w:r>
        <w:t>of multiple years.</w:t>
      </w:r>
      <w:r>
        <w:rPr>
          <w:rStyle w:val="FootnoteReference"/>
        </w:rPr>
        <w:footnoteReference w:id="9"/>
      </w:r>
    </w:p>
    <w:p w:rsidR="00DE6517" w:rsidRDefault="00DE6517" w:rsidP="00DE6517">
      <w:pPr>
        <w:pStyle w:val="CGCNumberedPara"/>
        <w:numPr>
          <w:ilvl w:val="1"/>
          <w:numId w:val="3"/>
        </w:numPr>
      </w:pPr>
      <w:r>
        <w:t xml:space="preserve">In the State </w:t>
      </w:r>
      <w:proofErr w:type="spellStart"/>
      <w:r>
        <w:t>claimancy</w:t>
      </w:r>
      <w:proofErr w:type="spellEnd"/>
      <w:r>
        <w:t xml:space="preserve"> era, the Commission did not index State’s assistance for the two year gap between the assessment year and the application year. States’ needs were calculated as dollars rather than converting them to relativities. If the time between the year of assessment and the year of payment is </w:t>
      </w:r>
      <w:r w:rsidR="003E3F3E">
        <w:t>significant</w:t>
      </w:r>
      <w:r>
        <w:t xml:space="preserve">, there may be a need for indexation. The purpose of this indexation would be to compensate States for having to wait for their completion grant. If indexation is to be applied, something close to the cost of borrowing money </w:t>
      </w:r>
      <w:r w:rsidR="007D6583">
        <w:t xml:space="preserve">(for example, the 10 year bond rate) </w:t>
      </w:r>
      <w:r>
        <w:t>might be more appropriate than the relativity approach of using growth in GST revenue.</w:t>
      </w:r>
      <w:r>
        <w:rPr>
          <w:rStyle w:val="FootnoteReference"/>
        </w:rPr>
        <w:footnoteReference w:id="10"/>
      </w:r>
    </w:p>
    <w:p w:rsidR="00DE6517" w:rsidRDefault="00DE6517" w:rsidP="00DE6517">
      <w:pPr>
        <w:pStyle w:val="Heading4"/>
      </w:pPr>
      <w:bookmarkStart w:id="38" w:name="_Toc482338187"/>
      <w:r>
        <w:t>Option — a completion only approach</w:t>
      </w:r>
      <w:bookmarkEnd w:id="38"/>
    </w:p>
    <w:p w:rsidR="00DE6517" w:rsidRDefault="00DE6517" w:rsidP="00DE6517">
      <w:pPr>
        <w:pStyle w:val="CGCNumberedPara"/>
        <w:numPr>
          <w:ilvl w:val="1"/>
          <w:numId w:val="3"/>
        </w:numPr>
      </w:pPr>
      <w:r>
        <w:t>This is a variation of the advance</w:t>
      </w:r>
      <w:r>
        <w:noBreakHyphen/>
        <w:t>completion model, which involves only one assessment of needs. The approach would be based on:</w:t>
      </w:r>
    </w:p>
    <w:p w:rsidR="00DE6517" w:rsidRDefault="00DE6517" w:rsidP="00DE6517">
      <w:pPr>
        <w:pStyle w:val="CGCBulletlist"/>
        <w:numPr>
          <w:ilvl w:val="0"/>
          <w:numId w:val="1"/>
        </w:numPr>
        <w:tabs>
          <w:tab w:val="clear" w:pos="927"/>
        </w:tabs>
        <w:ind w:left="1134" w:hanging="567"/>
      </w:pPr>
      <w:r>
        <w:t>a</w:t>
      </w:r>
      <w:r w:rsidRPr="005E4A20">
        <w:t>n equal per capita (EPC)</w:t>
      </w:r>
      <w:r>
        <w:t xml:space="preserve"> </w:t>
      </w:r>
      <w:r w:rsidRPr="005E4A20">
        <w:t xml:space="preserve">advance </w:t>
      </w:r>
      <w:r>
        <w:t>grant</w:t>
      </w:r>
      <w:r w:rsidR="00383A1C">
        <w:t>;</w:t>
      </w:r>
      <w:r>
        <w:t xml:space="preserve"> </w:t>
      </w:r>
      <w:r w:rsidR="00383A1C">
        <w:t>t</w:t>
      </w:r>
      <w:r>
        <w:t>hat is, there is no advance assessment of States’ needs</w:t>
      </w:r>
    </w:p>
    <w:p w:rsidR="00DE6517" w:rsidRDefault="00DE6517" w:rsidP="00DE6517">
      <w:pPr>
        <w:pStyle w:val="CGCBulletlist"/>
        <w:numPr>
          <w:ilvl w:val="0"/>
          <w:numId w:val="1"/>
        </w:numPr>
        <w:tabs>
          <w:tab w:val="clear" w:pos="927"/>
        </w:tabs>
        <w:ind w:left="1134" w:hanging="567"/>
      </w:pPr>
      <w:proofErr w:type="gramStart"/>
      <w:r>
        <w:t>a</w:t>
      </w:r>
      <w:proofErr w:type="gramEnd"/>
      <w:r w:rsidRPr="005E4A20">
        <w:t xml:space="preserve"> completion </w:t>
      </w:r>
      <w:r>
        <w:t>assessment.</w:t>
      </w:r>
    </w:p>
    <w:p w:rsidR="00DE6517" w:rsidRDefault="00DE6517" w:rsidP="00DE6517">
      <w:pPr>
        <w:pStyle w:val="CGCNumberedPara"/>
        <w:numPr>
          <w:ilvl w:val="1"/>
          <w:numId w:val="3"/>
        </w:numPr>
      </w:pPr>
      <w:r>
        <w:t>Implementation issues with this approach include:</w:t>
      </w:r>
    </w:p>
    <w:p w:rsidR="00DE6517" w:rsidRDefault="00DE6517" w:rsidP="00DE6517">
      <w:pPr>
        <w:pStyle w:val="CGCBulletlist"/>
        <w:numPr>
          <w:ilvl w:val="0"/>
          <w:numId w:val="1"/>
        </w:numPr>
        <w:tabs>
          <w:tab w:val="clear" w:pos="927"/>
        </w:tabs>
        <w:ind w:left="1134" w:hanging="567"/>
      </w:pPr>
      <w:r>
        <w:t>Should the completion assessment relate to a single year or multiple years?</w:t>
      </w:r>
    </w:p>
    <w:p w:rsidR="00DE6517" w:rsidRDefault="00DE6517" w:rsidP="00DE6517">
      <w:pPr>
        <w:pStyle w:val="CGCBulletlist"/>
        <w:numPr>
          <w:ilvl w:val="0"/>
          <w:numId w:val="1"/>
        </w:numPr>
        <w:tabs>
          <w:tab w:val="clear" w:pos="927"/>
        </w:tabs>
        <w:ind w:left="1134" w:hanging="567"/>
      </w:pPr>
      <w:r>
        <w:t>Which year(s)?</w:t>
      </w:r>
    </w:p>
    <w:p w:rsidR="00DE6517" w:rsidRDefault="00DE6517" w:rsidP="00DE6517">
      <w:pPr>
        <w:pStyle w:val="CGCBulletlist"/>
        <w:numPr>
          <w:ilvl w:val="0"/>
          <w:numId w:val="1"/>
        </w:numPr>
        <w:tabs>
          <w:tab w:val="clear" w:pos="927"/>
        </w:tabs>
        <w:ind w:left="1134" w:hanging="567"/>
      </w:pPr>
      <w:r>
        <w:t>Should States’ assessments be indexed?</w:t>
      </w:r>
    </w:p>
    <w:p w:rsidR="00DE6517" w:rsidRDefault="00DE6517" w:rsidP="00DE6517">
      <w:pPr>
        <w:pStyle w:val="CGCBulletlist"/>
        <w:numPr>
          <w:ilvl w:val="0"/>
          <w:numId w:val="1"/>
        </w:numPr>
        <w:tabs>
          <w:tab w:val="clear" w:pos="927"/>
        </w:tabs>
        <w:ind w:left="1134" w:hanging="567"/>
      </w:pPr>
      <w:r>
        <w:t>Should there be a transition?</w:t>
      </w:r>
    </w:p>
    <w:p w:rsidR="00DE6517" w:rsidRDefault="00DE6517" w:rsidP="00DE6517">
      <w:pPr>
        <w:pStyle w:val="CGCNumberedPara"/>
        <w:numPr>
          <w:ilvl w:val="1"/>
          <w:numId w:val="3"/>
        </w:numPr>
      </w:pPr>
      <w:r>
        <w:t>The discussion of these issues is the same as for the advance-completion approach.</w:t>
      </w:r>
    </w:p>
    <w:p w:rsidR="00DE6517" w:rsidRDefault="00DE6517" w:rsidP="00DE6517">
      <w:pPr>
        <w:pStyle w:val="CGCNumberedPara"/>
        <w:numPr>
          <w:ilvl w:val="1"/>
          <w:numId w:val="3"/>
        </w:numPr>
      </w:pPr>
      <w:r>
        <w:t>The move to an EPC advance grant raises an additional transition issue of how to move from a three year assessment of States’ needs to an EPC advance grant.</w:t>
      </w:r>
    </w:p>
    <w:p w:rsidR="00DE6517" w:rsidRDefault="00DE6517" w:rsidP="00DE6517">
      <w:pPr>
        <w:pStyle w:val="CGCNumberedPara"/>
        <w:numPr>
          <w:ilvl w:val="1"/>
          <w:numId w:val="3"/>
        </w:numPr>
      </w:pPr>
      <w:r>
        <w:t>In summary, this approach ensures States receive the GST they require over time</w:t>
      </w:r>
      <w:r w:rsidR="00D15C7B">
        <w:t xml:space="preserve">, but State fiscal </w:t>
      </w:r>
      <w:r w:rsidR="003A7D04">
        <w:t>capacities</w:t>
      </w:r>
      <w:r w:rsidR="00D15C7B">
        <w:t xml:space="preserve"> would not necessarily be equalised in any one year</w:t>
      </w:r>
      <w:r>
        <w:t>. An advance-completion model would add a layer (a second assessment of State needs) to the HFE process, increasing complexity. A completion only model would assess State needs once and, if there is no indexation, may reduce complexity. A completion only model based on</w:t>
      </w:r>
      <w:r w:rsidR="009872D9">
        <w:t xml:space="preserve"> only</w:t>
      </w:r>
      <w:r>
        <w:t xml:space="preserve"> one year would increase the volatility and predict</w:t>
      </w:r>
      <w:r w:rsidR="00582B4E">
        <w:t>ion</w:t>
      </w:r>
      <w:r>
        <w:t xml:space="preserve"> of any completion grants.</w:t>
      </w:r>
      <w:r w:rsidR="009872D9">
        <w:t xml:space="preserve"> Note that the current lagged three year average approach to determining relativities to apply in the application year can be thought of as an </w:t>
      </w:r>
      <w:r w:rsidR="009872D9">
        <w:lastRenderedPageBreak/>
        <w:t>averaged set of completion grants each year, with no advance grants having been made.</w:t>
      </w:r>
    </w:p>
    <w:p w:rsidR="00DE6517" w:rsidRPr="00E674AF" w:rsidRDefault="00DE6517" w:rsidP="00DE6517">
      <w:pPr>
        <w:pStyle w:val="Heading3"/>
      </w:pPr>
      <w:bookmarkStart w:id="39" w:name="_Toc482338188"/>
      <w:r>
        <w:t>Conclusion</w:t>
      </w:r>
      <w:bookmarkEnd w:id="39"/>
    </w:p>
    <w:p w:rsidR="00DE6517" w:rsidRDefault="00CF150B" w:rsidP="00DE6517">
      <w:pPr>
        <w:pStyle w:val="CGCNumberedPara"/>
        <w:numPr>
          <w:ilvl w:val="1"/>
          <w:numId w:val="3"/>
        </w:numPr>
      </w:pPr>
      <w:r>
        <w:t xml:space="preserve">In the 2010 and 2015 Review, the Commission said its intention was to </w:t>
      </w:r>
      <w:r w:rsidR="00DE6517">
        <w:t>provide States with the GST revenue that, as far as is practical, achieve</w:t>
      </w:r>
      <w:r w:rsidR="00C32A09">
        <w:t>s</w:t>
      </w:r>
      <w:r w:rsidR="00DE6517">
        <w:t xml:space="preserve"> equalisation in the application year</w:t>
      </w:r>
      <w:r w:rsidR="009872D9">
        <w:t>.</w:t>
      </w:r>
      <w:r w:rsidR="00DE6517">
        <w:t xml:space="preserve"> Currently this is done using a relativity approach. The relativity approach assumes States’ assessed deficits </w:t>
      </w:r>
      <w:r w:rsidR="00C32A09">
        <w:t xml:space="preserve">in historical years </w:t>
      </w:r>
      <w:r w:rsidR="00DE6517">
        <w:t xml:space="preserve">grow in line with the growth in the pool and any differential population growth. If this assumption does not hold, the relativity approach may not provide States with </w:t>
      </w:r>
      <w:r w:rsidR="009872D9">
        <w:t xml:space="preserve">a fully contemporaneous distribution of </w:t>
      </w:r>
      <w:r w:rsidR="00DE6517">
        <w:t>GST revenue in the application year.</w:t>
      </w:r>
    </w:p>
    <w:p w:rsidR="00DE6517" w:rsidRDefault="00DE6517" w:rsidP="00DE6517">
      <w:pPr>
        <w:pStyle w:val="CGCNumberedPara"/>
        <w:numPr>
          <w:ilvl w:val="1"/>
          <w:numId w:val="3"/>
        </w:numPr>
      </w:pPr>
      <w:r>
        <w:t>This assumption does not hold when the circumstances States experienced in the assessment years differ materially from the circumstances they will experience in the application year. In this situation, the relativity approach will generate over- or under</w:t>
      </w:r>
      <w:r>
        <w:noBreakHyphen/>
        <w:t>provision of GST (or gaps).</w:t>
      </w:r>
    </w:p>
    <w:p w:rsidR="00DE6517" w:rsidRDefault="00387AE3" w:rsidP="00DE6517">
      <w:pPr>
        <w:pStyle w:val="CGCNumberedPara"/>
        <w:numPr>
          <w:ilvl w:val="1"/>
          <w:numId w:val="3"/>
        </w:numPr>
      </w:pPr>
      <w:r>
        <w:t>A</w:t>
      </w:r>
      <w:r w:rsidR="009872D9">
        <w:t xml:space="preserve"> fully contemporaneous GST distribution </w:t>
      </w:r>
      <w:r w:rsidR="00DE6517">
        <w:t xml:space="preserve">(no gaps) is not </w:t>
      </w:r>
      <w:r w:rsidR="00EA04E1">
        <w:t>feasible</w:t>
      </w:r>
      <w:r>
        <w:t>. While</w:t>
      </w:r>
      <w:r w:rsidR="007B5013">
        <w:t xml:space="preserve"> Commission </w:t>
      </w:r>
      <w:r w:rsidR="00EA04E1">
        <w:t xml:space="preserve">staff have </w:t>
      </w:r>
      <w:r>
        <w:t xml:space="preserve">not </w:t>
      </w:r>
      <w:r w:rsidR="00EA04E1">
        <w:t xml:space="preserve">found </w:t>
      </w:r>
      <w:r w:rsidR="007B5013">
        <w:t>an</w:t>
      </w:r>
      <w:r w:rsidR="00EA04E1">
        <w:t xml:space="preserve"> option that would simultaneously reduce the </w:t>
      </w:r>
      <w:r w:rsidR="0049600B">
        <w:t>total</w:t>
      </w:r>
      <w:r w:rsidR="00EA04E1">
        <w:t xml:space="preserve"> gap and the gap for each State</w:t>
      </w:r>
      <w:r>
        <w:t>, t</w:t>
      </w:r>
      <w:r w:rsidR="00EA04E1">
        <w:t>h</w:t>
      </w:r>
      <w:r w:rsidR="00DE6517">
        <w:t xml:space="preserve">ere are options that reduce the </w:t>
      </w:r>
      <w:r w:rsidR="0049600B">
        <w:t>total</w:t>
      </w:r>
      <w:r w:rsidR="00EA04E1">
        <w:t xml:space="preserve"> gap and the</w:t>
      </w:r>
      <w:r w:rsidR="003F79EF">
        <w:t xml:space="preserve"> gaps</w:t>
      </w:r>
      <w:r w:rsidR="00EA04E1">
        <w:t xml:space="preserve"> for some States</w:t>
      </w:r>
      <w:r>
        <w:t>. They include</w:t>
      </w:r>
      <w:r w:rsidR="00DE6517">
        <w:t xml:space="preserve"> a one year model</w:t>
      </w:r>
      <w:r w:rsidR="003F79EF">
        <w:t xml:space="preserve"> (possibly incorporating a later reporting date)</w:t>
      </w:r>
      <w:r w:rsidR="00DE6517">
        <w:t>, estimating or projecting financial data and treating volatile revenue streams by absorption. There are approaches that correct for any discrepancy in a later inquiry, such as an advance-completion approach. This paper provided the results of analysis Commission staff undertook on these options.</w:t>
      </w:r>
    </w:p>
    <w:p w:rsidR="003066AE" w:rsidRDefault="00DE6517" w:rsidP="00DE6517">
      <w:pPr>
        <w:pStyle w:val="CGCNumberedPara"/>
        <w:numPr>
          <w:ilvl w:val="1"/>
          <w:numId w:val="3"/>
        </w:numPr>
      </w:pPr>
      <w:r>
        <w:t>Different approaches provide different trade-offs in terms of contemporaneity, volatility and reliability. Some options involve another layer of calculations, increasing the complexity of the HFE process. If the Commission is to change from its current relativity approach, it should be on the basis of an approach that provides benefits in terms of these trade-offs.</w:t>
      </w:r>
    </w:p>
    <w:bookmarkEnd w:id="35"/>
    <w:p w:rsidR="00DE6517" w:rsidRDefault="00DE6517" w:rsidP="003066AE">
      <w:pPr>
        <w:tabs>
          <w:tab w:val="clear" w:pos="567"/>
        </w:tabs>
      </w:pPr>
    </w:p>
    <w:p w:rsidR="00DE6517" w:rsidRDefault="00DE6517" w:rsidP="00DE6517">
      <w:pPr>
        <w:tabs>
          <w:tab w:val="clear" w:pos="567"/>
        </w:tabs>
      </w:pPr>
    </w:p>
    <w:p w:rsidR="00DC0F02" w:rsidRPr="00C21EF9" w:rsidRDefault="00DC0F02" w:rsidP="00C21EF9"/>
    <w:sectPr w:rsidR="00DC0F02" w:rsidRPr="00C21EF9" w:rsidSect="0010354B">
      <w:footerReference w:type="default" r:id="rId17"/>
      <w:footerReference w:type="first" r:id="rId18"/>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3E" w:rsidRDefault="003E3F3E">
      <w:r>
        <w:separator/>
      </w:r>
    </w:p>
  </w:endnote>
  <w:endnote w:type="continuationSeparator" w:id="0">
    <w:p w:rsidR="003E3F3E" w:rsidRDefault="003E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3E" w:rsidRPr="00875C0F" w:rsidRDefault="003E3F3E" w:rsidP="00523F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rsidR="003E3F3E" w:rsidRPr="00875C0F" w:rsidRDefault="00C562FD" w:rsidP="00523FA0">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3E" w:rsidRPr="001E2A9C" w:rsidRDefault="003E3F3E" w:rsidP="00523FA0">
    <w:pPr>
      <w:pStyle w:val="Footer"/>
      <w:jc w:val="right"/>
    </w:pPr>
    <w:r>
      <w:fldChar w:fldCharType="begin"/>
    </w:r>
    <w:r>
      <w:instrText xml:space="preserve"> PAGE   \* MERGEFORMAT </w:instrText>
    </w:r>
    <w:r>
      <w:fldChar w:fldCharType="separate"/>
    </w:r>
    <w:r w:rsidR="00C562FD">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3E" w:rsidRPr="0011178C" w:rsidRDefault="003E3F3E" w:rsidP="003929D2">
    <w:pPr>
      <w:pStyle w:val="Footer"/>
      <w:jc w:val="right"/>
    </w:pPr>
    <w:r>
      <w:fldChar w:fldCharType="begin"/>
    </w:r>
    <w:r>
      <w:instrText xml:space="preserve"> PAGE  \* Arabic  \* MERGEFORMAT </w:instrText>
    </w:r>
    <w:r>
      <w:fldChar w:fldCharType="separate"/>
    </w:r>
    <w:r w:rsidR="00C562FD">
      <w:rPr>
        <w:noProof/>
      </w:rPr>
      <w:t>17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3E" w:rsidRPr="007E487F" w:rsidRDefault="003E3F3E" w:rsidP="00DC0F02">
    <w:pPr>
      <w:pStyle w:val="Footer"/>
      <w:tabs>
        <w:tab w:val="right" w:pos="8931"/>
      </w:tabs>
      <w:rPr>
        <w:sz w:val="20"/>
        <w:szCs w:val="20"/>
      </w:rPr>
    </w:pP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C562F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3E" w:rsidRDefault="003E3F3E">
      <w:r>
        <w:separator/>
      </w:r>
    </w:p>
  </w:footnote>
  <w:footnote w:type="continuationSeparator" w:id="0">
    <w:p w:rsidR="003E3F3E" w:rsidRDefault="003E3F3E">
      <w:r>
        <w:continuationSeparator/>
      </w:r>
    </w:p>
  </w:footnote>
  <w:footnote w:id="1">
    <w:p w:rsidR="003E3F3E" w:rsidRDefault="003E3F3E" w:rsidP="00DE6517">
      <w:pPr>
        <w:pStyle w:val="FootnoteText"/>
      </w:pPr>
      <w:r>
        <w:rPr>
          <w:rStyle w:val="FootnoteReference"/>
        </w:rPr>
        <w:footnoteRef/>
      </w:r>
      <w:r>
        <w:t xml:space="preserve"> </w:t>
      </w:r>
      <w:r>
        <w:tab/>
        <w:t>In the 2010 Review, the Commission introduced a new supporting principle — contemporaneity. This principle clarified its objective was to achieve equalisation in the application year.</w:t>
      </w:r>
    </w:p>
  </w:footnote>
  <w:footnote w:id="2">
    <w:p w:rsidR="003E3F3E" w:rsidRDefault="003E3F3E" w:rsidP="00DE6517">
      <w:pPr>
        <w:pStyle w:val="FootnoteText"/>
      </w:pPr>
      <w:r>
        <w:rPr>
          <w:rStyle w:val="FootnoteReference"/>
        </w:rPr>
        <w:footnoteRef/>
      </w:r>
      <w:r>
        <w:t xml:space="preserve"> </w:t>
      </w:r>
      <w:r>
        <w:tab/>
        <w:t>There is also a small adjustment for differential State population growth.</w:t>
      </w:r>
    </w:p>
  </w:footnote>
  <w:footnote w:id="3">
    <w:p w:rsidR="003E3F3E" w:rsidRDefault="003E3F3E" w:rsidP="00DE6517">
      <w:pPr>
        <w:pStyle w:val="FootnoteText"/>
      </w:pPr>
      <w:r>
        <w:rPr>
          <w:rStyle w:val="FootnoteReference"/>
        </w:rPr>
        <w:footnoteRef/>
      </w:r>
      <w:r>
        <w:t xml:space="preserve"> </w:t>
      </w:r>
      <w:r>
        <w:tab/>
        <w:t>A State’s GST requirement is an assessment of its fiscal capacity once the conditions of the relevant year are known. Thus, it is an assessment that occurs after that year has passed.</w:t>
      </w:r>
    </w:p>
  </w:footnote>
  <w:footnote w:id="4">
    <w:p w:rsidR="003E3F3E" w:rsidRDefault="003E3F3E" w:rsidP="00DE6517">
      <w:pPr>
        <w:pStyle w:val="FootnoteText"/>
      </w:pPr>
      <w:r>
        <w:rPr>
          <w:rStyle w:val="FootnoteReference"/>
        </w:rPr>
        <w:footnoteRef/>
      </w:r>
      <w:r>
        <w:t xml:space="preserve"> </w:t>
      </w:r>
      <w:r>
        <w:tab/>
        <w:t xml:space="preserve">This is the approach the Commission adopted in the State </w:t>
      </w:r>
      <w:proofErr w:type="spellStart"/>
      <w:r>
        <w:t>claimancy</w:t>
      </w:r>
      <w:proofErr w:type="spellEnd"/>
      <w:r>
        <w:t xml:space="preserve"> era.</w:t>
      </w:r>
    </w:p>
  </w:footnote>
  <w:footnote w:id="5">
    <w:p w:rsidR="003E3F3E" w:rsidRDefault="003E3F3E">
      <w:pPr>
        <w:pStyle w:val="FootnoteText"/>
      </w:pPr>
      <w:r>
        <w:rPr>
          <w:rStyle w:val="FootnoteReference"/>
        </w:rPr>
        <w:footnoteRef/>
      </w:r>
      <w:r>
        <w:t xml:space="preserve"> </w:t>
      </w:r>
      <w:r>
        <w:tab/>
        <w:t xml:space="preserve">The </w:t>
      </w:r>
      <w:proofErr w:type="spellStart"/>
      <w:r>
        <w:t>claimancy</w:t>
      </w:r>
      <w:proofErr w:type="spellEnd"/>
      <w:r>
        <w:t xml:space="preserve"> era refers to the period from 1933 to the early 1980s, when the Commission recommended special grants be paid to claimant States. The </w:t>
      </w:r>
      <w:proofErr w:type="gramStart"/>
      <w:r>
        <w:t>relativities</w:t>
      </w:r>
      <w:proofErr w:type="gramEnd"/>
      <w:r>
        <w:t xml:space="preserve"> era refers to the period from 1981 to the present day, when all-State equalisation has been in place.</w:t>
      </w:r>
    </w:p>
  </w:footnote>
  <w:footnote w:id="6">
    <w:p w:rsidR="003E3F3E" w:rsidRDefault="003E3F3E" w:rsidP="00DE6517">
      <w:pPr>
        <w:pStyle w:val="FootnoteText"/>
      </w:pPr>
      <w:r>
        <w:rPr>
          <w:rStyle w:val="FootnoteReference"/>
        </w:rPr>
        <w:footnoteRef/>
      </w:r>
      <w:r>
        <w:t xml:space="preserve"> </w:t>
      </w:r>
      <w:r>
        <w:tab/>
        <w:t>For this paper, this distribution was calculated by applying the 2011 Update relativities to the State populations and a GST pool from the 2011-12 year of the 2014 Update.</w:t>
      </w:r>
    </w:p>
  </w:footnote>
  <w:footnote w:id="7">
    <w:p w:rsidR="003E3F3E" w:rsidRDefault="003E3F3E">
      <w:pPr>
        <w:pStyle w:val="FootnoteText"/>
      </w:pPr>
      <w:r>
        <w:rPr>
          <w:rStyle w:val="FootnoteReference"/>
        </w:rPr>
        <w:footnoteRef/>
      </w:r>
      <w:r>
        <w:t xml:space="preserve"> </w:t>
      </w:r>
      <w:r>
        <w:tab/>
        <w:t xml:space="preserve">Alternatively, the Commission could make its recommendations later than June. </w:t>
      </w:r>
    </w:p>
  </w:footnote>
  <w:footnote w:id="8">
    <w:p w:rsidR="003E3F3E" w:rsidRDefault="003E3F3E">
      <w:pPr>
        <w:pStyle w:val="FootnoteText"/>
      </w:pPr>
      <w:r>
        <w:rPr>
          <w:rStyle w:val="FootnoteReference"/>
        </w:rPr>
        <w:footnoteRef/>
      </w:r>
      <w:r>
        <w:t xml:space="preserve"> </w:t>
      </w:r>
      <w:r>
        <w:tab/>
        <w:t>The Commonwealth provides States with general revenue assistance (the GST) and tied assistance (PSPs). The Commission can treat the two forms of assistance as the same and calculate relativities to apply to their combined total. This is absorption. Alternatively, the Commission can calculate relativities to apply to GST revenue only. This is the current approach (called inclusion). The Commonwealth decides which of the two approaches the Commission is to use for each PSP. When it uses inclusion, the Commission derives its relativities by taking account of the PSPs States received in the assessment years. The difference between the two approaches is timing. One uses historical PSPs, the other uses application year PSPs.</w:t>
      </w:r>
    </w:p>
  </w:footnote>
  <w:footnote w:id="9">
    <w:p w:rsidR="003E3F3E" w:rsidRDefault="003E3F3E" w:rsidP="00DE6517">
      <w:pPr>
        <w:pStyle w:val="FootnoteText"/>
      </w:pPr>
      <w:r>
        <w:rPr>
          <w:rStyle w:val="FootnoteReference"/>
        </w:rPr>
        <w:footnoteRef/>
      </w:r>
      <w:r>
        <w:t xml:space="preserve"> </w:t>
      </w:r>
      <w:r>
        <w:tab/>
        <w:t>If, as now, there were three assessment years, then each year would become an assessment year for three separate inquiries. Thus, each year would affect the GST of three years.</w:t>
      </w:r>
    </w:p>
  </w:footnote>
  <w:footnote w:id="10">
    <w:p w:rsidR="003E3F3E" w:rsidRDefault="003E3F3E" w:rsidP="00DE6517">
      <w:pPr>
        <w:pStyle w:val="FootnoteText"/>
      </w:pPr>
      <w:r>
        <w:rPr>
          <w:rStyle w:val="FootnoteReference"/>
        </w:rPr>
        <w:footnoteRef/>
      </w:r>
      <w:r>
        <w:t xml:space="preserve"> </w:t>
      </w:r>
      <w:r>
        <w:tab/>
        <w:t>As discussed earlier, the relativity approach inflates the Commission’s historical assessments for any growth in the pool and any differential population growth between the assessment year and the year of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3E" w:rsidRDefault="003E3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AC"/>
    <w:rsid w:val="00011B7D"/>
    <w:rsid w:val="00016FE0"/>
    <w:rsid w:val="00022EA9"/>
    <w:rsid w:val="00024745"/>
    <w:rsid w:val="00032F41"/>
    <w:rsid w:val="0004123E"/>
    <w:rsid w:val="00041748"/>
    <w:rsid w:val="00041E84"/>
    <w:rsid w:val="000424EA"/>
    <w:rsid w:val="00056373"/>
    <w:rsid w:val="00061111"/>
    <w:rsid w:val="000624BB"/>
    <w:rsid w:val="000648E8"/>
    <w:rsid w:val="00093796"/>
    <w:rsid w:val="000A2CF2"/>
    <w:rsid w:val="000A3898"/>
    <w:rsid w:val="000A52A1"/>
    <w:rsid w:val="000A6881"/>
    <w:rsid w:val="000B2942"/>
    <w:rsid w:val="000B3557"/>
    <w:rsid w:val="000B64E3"/>
    <w:rsid w:val="000D1354"/>
    <w:rsid w:val="000D7C54"/>
    <w:rsid w:val="000E0210"/>
    <w:rsid w:val="000E16B6"/>
    <w:rsid w:val="000E6AA5"/>
    <w:rsid w:val="000E7F56"/>
    <w:rsid w:val="000F152E"/>
    <w:rsid w:val="000F1CDA"/>
    <w:rsid w:val="0010354B"/>
    <w:rsid w:val="001039C2"/>
    <w:rsid w:val="001040AD"/>
    <w:rsid w:val="0011178C"/>
    <w:rsid w:val="00112800"/>
    <w:rsid w:val="00112CF0"/>
    <w:rsid w:val="001211AB"/>
    <w:rsid w:val="00121400"/>
    <w:rsid w:val="001218B8"/>
    <w:rsid w:val="00124ED1"/>
    <w:rsid w:val="00136497"/>
    <w:rsid w:val="00141BD1"/>
    <w:rsid w:val="001441DA"/>
    <w:rsid w:val="00147115"/>
    <w:rsid w:val="001477CE"/>
    <w:rsid w:val="00156FA6"/>
    <w:rsid w:val="0015788E"/>
    <w:rsid w:val="0016723A"/>
    <w:rsid w:val="00170DC9"/>
    <w:rsid w:val="00171A05"/>
    <w:rsid w:val="00172F3A"/>
    <w:rsid w:val="001730FD"/>
    <w:rsid w:val="00173798"/>
    <w:rsid w:val="00173BE6"/>
    <w:rsid w:val="00173E72"/>
    <w:rsid w:val="001807C0"/>
    <w:rsid w:val="001811DE"/>
    <w:rsid w:val="00187145"/>
    <w:rsid w:val="001A4336"/>
    <w:rsid w:val="001B0110"/>
    <w:rsid w:val="001B3048"/>
    <w:rsid w:val="001B696E"/>
    <w:rsid w:val="001B6A56"/>
    <w:rsid w:val="001C469B"/>
    <w:rsid w:val="001C6A71"/>
    <w:rsid w:val="001D638B"/>
    <w:rsid w:val="001D6DFA"/>
    <w:rsid w:val="001E6180"/>
    <w:rsid w:val="001E674B"/>
    <w:rsid w:val="001E68FC"/>
    <w:rsid w:val="001E72B6"/>
    <w:rsid w:val="001F0774"/>
    <w:rsid w:val="001F4F5A"/>
    <w:rsid w:val="00201944"/>
    <w:rsid w:val="00203311"/>
    <w:rsid w:val="00204026"/>
    <w:rsid w:val="00212948"/>
    <w:rsid w:val="00217594"/>
    <w:rsid w:val="00217839"/>
    <w:rsid w:val="00225A3B"/>
    <w:rsid w:val="0023081D"/>
    <w:rsid w:val="0023329C"/>
    <w:rsid w:val="00236DC0"/>
    <w:rsid w:val="002373A2"/>
    <w:rsid w:val="00242517"/>
    <w:rsid w:val="0024260B"/>
    <w:rsid w:val="0024401F"/>
    <w:rsid w:val="0024569B"/>
    <w:rsid w:val="00255B5A"/>
    <w:rsid w:val="002671A2"/>
    <w:rsid w:val="00267496"/>
    <w:rsid w:val="00270249"/>
    <w:rsid w:val="00275B68"/>
    <w:rsid w:val="002845EA"/>
    <w:rsid w:val="00286EBE"/>
    <w:rsid w:val="00295B70"/>
    <w:rsid w:val="002A0E5F"/>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D5261"/>
    <w:rsid w:val="002E25A8"/>
    <w:rsid w:val="002F04DE"/>
    <w:rsid w:val="002F1CD3"/>
    <w:rsid w:val="002F37FC"/>
    <w:rsid w:val="002F6E28"/>
    <w:rsid w:val="002F7E68"/>
    <w:rsid w:val="00302E5E"/>
    <w:rsid w:val="003066A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83A1C"/>
    <w:rsid w:val="00387AE3"/>
    <w:rsid w:val="003929D2"/>
    <w:rsid w:val="00393E3E"/>
    <w:rsid w:val="00393FA5"/>
    <w:rsid w:val="003A27BB"/>
    <w:rsid w:val="003A7D04"/>
    <w:rsid w:val="003B673D"/>
    <w:rsid w:val="003C2577"/>
    <w:rsid w:val="003C4448"/>
    <w:rsid w:val="003D22D2"/>
    <w:rsid w:val="003D3D91"/>
    <w:rsid w:val="003D4708"/>
    <w:rsid w:val="003D477A"/>
    <w:rsid w:val="003E3F3E"/>
    <w:rsid w:val="003E6615"/>
    <w:rsid w:val="003E79F9"/>
    <w:rsid w:val="003F12E9"/>
    <w:rsid w:val="003F59F4"/>
    <w:rsid w:val="003F79EF"/>
    <w:rsid w:val="00404DCD"/>
    <w:rsid w:val="004077D6"/>
    <w:rsid w:val="004120E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0B"/>
    <w:rsid w:val="0049605C"/>
    <w:rsid w:val="004965F7"/>
    <w:rsid w:val="004A7048"/>
    <w:rsid w:val="004B0A0A"/>
    <w:rsid w:val="004B1C4B"/>
    <w:rsid w:val="004B60CB"/>
    <w:rsid w:val="004C1CB5"/>
    <w:rsid w:val="004D3537"/>
    <w:rsid w:val="004E769A"/>
    <w:rsid w:val="00500ACD"/>
    <w:rsid w:val="00504061"/>
    <w:rsid w:val="00505BAE"/>
    <w:rsid w:val="00506956"/>
    <w:rsid w:val="00515380"/>
    <w:rsid w:val="005176CA"/>
    <w:rsid w:val="00523FA0"/>
    <w:rsid w:val="00532D10"/>
    <w:rsid w:val="00537A77"/>
    <w:rsid w:val="00541A14"/>
    <w:rsid w:val="00543F9C"/>
    <w:rsid w:val="00546D39"/>
    <w:rsid w:val="00550E84"/>
    <w:rsid w:val="00551368"/>
    <w:rsid w:val="005577B0"/>
    <w:rsid w:val="00562084"/>
    <w:rsid w:val="00570EED"/>
    <w:rsid w:val="005716FC"/>
    <w:rsid w:val="00575DEF"/>
    <w:rsid w:val="005822DD"/>
    <w:rsid w:val="00582B4E"/>
    <w:rsid w:val="00583A33"/>
    <w:rsid w:val="005867D2"/>
    <w:rsid w:val="00592B45"/>
    <w:rsid w:val="00593800"/>
    <w:rsid w:val="005963CC"/>
    <w:rsid w:val="00596E19"/>
    <w:rsid w:val="005A02AC"/>
    <w:rsid w:val="005A241E"/>
    <w:rsid w:val="005A6FED"/>
    <w:rsid w:val="005B1BC4"/>
    <w:rsid w:val="005B6894"/>
    <w:rsid w:val="005B7121"/>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388"/>
    <w:rsid w:val="00622669"/>
    <w:rsid w:val="00622FE1"/>
    <w:rsid w:val="00625CE5"/>
    <w:rsid w:val="00635027"/>
    <w:rsid w:val="00644A7B"/>
    <w:rsid w:val="00647D6F"/>
    <w:rsid w:val="006556D9"/>
    <w:rsid w:val="00661C46"/>
    <w:rsid w:val="006652D3"/>
    <w:rsid w:val="00667CF3"/>
    <w:rsid w:val="006769C4"/>
    <w:rsid w:val="00677627"/>
    <w:rsid w:val="00677BD5"/>
    <w:rsid w:val="0068025E"/>
    <w:rsid w:val="00693C87"/>
    <w:rsid w:val="006A05C7"/>
    <w:rsid w:val="006A17D4"/>
    <w:rsid w:val="006A607B"/>
    <w:rsid w:val="006A6E27"/>
    <w:rsid w:val="006A72B0"/>
    <w:rsid w:val="006B3E4D"/>
    <w:rsid w:val="006C52B9"/>
    <w:rsid w:val="006C7012"/>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36D"/>
    <w:rsid w:val="00770A26"/>
    <w:rsid w:val="0078256D"/>
    <w:rsid w:val="007A1364"/>
    <w:rsid w:val="007A24A0"/>
    <w:rsid w:val="007A4AB2"/>
    <w:rsid w:val="007A5E68"/>
    <w:rsid w:val="007B1BF7"/>
    <w:rsid w:val="007B5013"/>
    <w:rsid w:val="007C404B"/>
    <w:rsid w:val="007C4BAE"/>
    <w:rsid w:val="007C6F2E"/>
    <w:rsid w:val="007D1D3B"/>
    <w:rsid w:val="007D5960"/>
    <w:rsid w:val="007D6583"/>
    <w:rsid w:val="007E114E"/>
    <w:rsid w:val="007E487F"/>
    <w:rsid w:val="007E4B2D"/>
    <w:rsid w:val="007E587D"/>
    <w:rsid w:val="007E6757"/>
    <w:rsid w:val="007E71E9"/>
    <w:rsid w:val="007F1873"/>
    <w:rsid w:val="007F1D06"/>
    <w:rsid w:val="007F3108"/>
    <w:rsid w:val="007F65B6"/>
    <w:rsid w:val="008010D7"/>
    <w:rsid w:val="00803443"/>
    <w:rsid w:val="0080680D"/>
    <w:rsid w:val="00812C05"/>
    <w:rsid w:val="0081322A"/>
    <w:rsid w:val="008162AB"/>
    <w:rsid w:val="00823AF7"/>
    <w:rsid w:val="00836879"/>
    <w:rsid w:val="00843E6F"/>
    <w:rsid w:val="00846E4A"/>
    <w:rsid w:val="00851AF5"/>
    <w:rsid w:val="00851FB5"/>
    <w:rsid w:val="00854DAA"/>
    <w:rsid w:val="008647DE"/>
    <w:rsid w:val="00864B95"/>
    <w:rsid w:val="008779CD"/>
    <w:rsid w:val="008800D3"/>
    <w:rsid w:val="00886CDD"/>
    <w:rsid w:val="0089214D"/>
    <w:rsid w:val="00893C0D"/>
    <w:rsid w:val="00895689"/>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2523D"/>
    <w:rsid w:val="009360D7"/>
    <w:rsid w:val="009362C9"/>
    <w:rsid w:val="00942387"/>
    <w:rsid w:val="0094626F"/>
    <w:rsid w:val="009462D2"/>
    <w:rsid w:val="009652D5"/>
    <w:rsid w:val="009677F8"/>
    <w:rsid w:val="00971146"/>
    <w:rsid w:val="00972A9A"/>
    <w:rsid w:val="009817BF"/>
    <w:rsid w:val="009872D9"/>
    <w:rsid w:val="00991675"/>
    <w:rsid w:val="00992008"/>
    <w:rsid w:val="00996409"/>
    <w:rsid w:val="00996D00"/>
    <w:rsid w:val="009A03DC"/>
    <w:rsid w:val="009A6CF3"/>
    <w:rsid w:val="009B43BF"/>
    <w:rsid w:val="009B4A2D"/>
    <w:rsid w:val="009B5A07"/>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0B16"/>
    <w:rsid w:val="00A32E4E"/>
    <w:rsid w:val="00A505DE"/>
    <w:rsid w:val="00A5327C"/>
    <w:rsid w:val="00A5721C"/>
    <w:rsid w:val="00A67913"/>
    <w:rsid w:val="00A81A94"/>
    <w:rsid w:val="00A85D0F"/>
    <w:rsid w:val="00A9681E"/>
    <w:rsid w:val="00AA007A"/>
    <w:rsid w:val="00AA35B4"/>
    <w:rsid w:val="00AB073E"/>
    <w:rsid w:val="00AB1A13"/>
    <w:rsid w:val="00AB4E9F"/>
    <w:rsid w:val="00AC210F"/>
    <w:rsid w:val="00AC319E"/>
    <w:rsid w:val="00AD24D4"/>
    <w:rsid w:val="00AE3A1E"/>
    <w:rsid w:val="00AE734F"/>
    <w:rsid w:val="00AF2656"/>
    <w:rsid w:val="00AF6110"/>
    <w:rsid w:val="00AF6AC6"/>
    <w:rsid w:val="00B00611"/>
    <w:rsid w:val="00B04354"/>
    <w:rsid w:val="00B128B1"/>
    <w:rsid w:val="00B249FC"/>
    <w:rsid w:val="00B317E7"/>
    <w:rsid w:val="00B33A57"/>
    <w:rsid w:val="00B34083"/>
    <w:rsid w:val="00B37728"/>
    <w:rsid w:val="00B45C64"/>
    <w:rsid w:val="00B46A32"/>
    <w:rsid w:val="00B46B29"/>
    <w:rsid w:val="00B53547"/>
    <w:rsid w:val="00B53597"/>
    <w:rsid w:val="00B55D3E"/>
    <w:rsid w:val="00B62590"/>
    <w:rsid w:val="00B6729F"/>
    <w:rsid w:val="00B706E2"/>
    <w:rsid w:val="00B8214D"/>
    <w:rsid w:val="00B82627"/>
    <w:rsid w:val="00B90AA7"/>
    <w:rsid w:val="00B94335"/>
    <w:rsid w:val="00B97400"/>
    <w:rsid w:val="00BA38F6"/>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32A09"/>
    <w:rsid w:val="00C41C84"/>
    <w:rsid w:val="00C554D4"/>
    <w:rsid w:val="00C562FD"/>
    <w:rsid w:val="00C61B02"/>
    <w:rsid w:val="00C61F1C"/>
    <w:rsid w:val="00C719A2"/>
    <w:rsid w:val="00C72165"/>
    <w:rsid w:val="00C83041"/>
    <w:rsid w:val="00C90B42"/>
    <w:rsid w:val="00C9475D"/>
    <w:rsid w:val="00C95056"/>
    <w:rsid w:val="00C951FD"/>
    <w:rsid w:val="00C957C7"/>
    <w:rsid w:val="00CA492C"/>
    <w:rsid w:val="00CA7F28"/>
    <w:rsid w:val="00CB0768"/>
    <w:rsid w:val="00CB131F"/>
    <w:rsid w:val="00CB4DCD"/>
    <w:rsid w:val="00CB4F2D"/>
    <w:rsid w:val="00CC1690"/>
    <w:rsid w:val="00CC665A"/>
    <w:rsid w:val="00CD6A84"/>
    <w:rsid w:val="00CE04A0"/>
    <w:rsid w:val="00CE34DC"/>
    <w:rsid w:val="00CF150B"/>
    <w:rsid w:val="00D07FB4"/>
    <w:rsid w:val="00D15C7B"/>
    <w:rsid w:val="00D21FA8"/>
    <w:rsid w:val="00D236B7"/>
    <w:rsid w:val="00D23E48"/>
    <w:rsid w:val="00D244BE"/>
    <w:rsid w:val="00D43096"/>
    <w:rsid w:val="00D433AC"/>
    <w:rsid w:val="00D46AB2"/>
    <w:rsid w:val="00D47815"/>
    <w:rsid w:val="00D656EB"/>
    <w:rsid w:val="00D76209"/>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1C0E"/>
    <w:rsid w:val="00DE4578"/>
    <w:rsid w:val="00DE6517"/>
    <w:rsid w:val="00DF04EE"/>
    <w:rsid w:val="00DF3E35"/>
    <w:rsid w:val="00E03ED5"/>
    <w:rsid w:val="00E06243"/>
    <w:rsid w:val="00E07169"/>
    <w:rsid w:val="00E162A4"/>
    <w:rsid w:val="00E1688C"/>
    <w:rsid w:val="00E17AEF"/>
    <w:rsid w:val="00E22665"/>
    <w:rsid w:val="00E30499"/>
    <w:rsid w:val="00E30B51"/>
    <w:rsid w:val="00E324BB"/>
    <w:rsid w:val="00E345BB"/>
    <w:rsid w:val="00E377E8"/>
    <w:rsid w:val="00E43464"/>
    <w:rsid w:val="00E47A69"/>
    <w:rsid w:val="00E55F94"/>
    <w:rsid w:val="00E571BB"/>
    <w:rsid w:val="00E74435"/>
    <w:rsid w:val="00E758AD"/>
    <w:rsid w:val="00E77D4E"/>
    <w:rsid w:val="00E91860"/>
    <w:rsid w:val="00E954B7"/>
    <w:rsid w:val="00E96FDB"/>
    <w:rsid w:val="00EA04E1"/>
    <w:rsid w:val="00EA107B"/>
    <w:rsid w:val="00EB4A21"/>
    <w:rsid w:val="00EB6D31"/>
    <w:rsid w:val="00EC06CC"/>
    <w:rsid w:val="00EC16F1"/>
    <w:rsid w:val="00ED05D6"/>
    <w:rsid w:val="00ED0C6F"/>
    <w:rsid w:val="00ED2FCC"/>
    <w:rsid w:val="00EE5F75"/>
    <w:rsid w:val="00EF2722"/>
    <w:rsid w:val="00EF436C"/>
    <w:rsid w:val="00EF6805"/>
    <w:rsid w:val="00F00508"/>
    <w:rsid w:val="00F01E52"/>
    <w:rsid w:val="00F042DC"/>
    <w:rsid w:val="00F04309"/>
    <w:rsid w:val="00F07099"/>
    <w:rsid w:val="00F105EA"/>
    <w:rsid w:val="00F11008"/>
    <w:rsid w:val="00F11117"/>
    <w:rsid w:val="00F12541"/>
    <w:rsid w:val="00F21EE2"/>
    <w:rsid w:val="00F22035"/>
    <w:rsid w:val="00F22D18"/>
    <w:rsid w:val="00F36C87"/>
    <w:rsid w:val="00F46927"/>
    <w:rsid w:val="00F55854"/>
    <w:rsid w:val="00F56813"/>
    <w:rsid w:val="00F70110"/>
    <w:rsid w:val="00F711DA"/>
    <w:rsid w:val="00F72C93"/>
    <w:rsid w:val="00F80A88"/>
    <w:rsid w:val="00F823F5"/>
    <w:rsid w:val="00F840DB"/>
    <w:rsid w:val="00F9170D"/>
    <w:rsid w:val="00F94368"/>
    <w:rsid w:val="00F9494C"/>
    <w:rsid w:val="00FA15C8"/>
    <w:rsid w:val="00FA2D86"/>
    <w:rsid w:val="00FA348C"/>
    <w:rsid w:val="00FB0AD8"/>
    <w:rsid w:val="00FB4DBB"/>
    <w:rsid w:val="00FC0B72"/>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DE1C0E"/>
    <w:pPr>
      <w:tabs>
        <w:tab w:val="clear" w:pos="567"/>
        <w:tab w:val="right" w:pos="8942"/>
      </w:tabs>
      <w:spacing w:after="0"/>
      <w:ind w:left="284"/>
    </w:pPr>
    <w:rPr>
      <w:szCs w:val="20"/>
    </w:rPr>
  </w:style>
  <w:style w:type="paragraph" w:styleId="TOC3">
    <w:name w:val="toc 3"/>
    <w:basedOn w:val="Normal"/>
    <w:next w:val="Normal"/>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DE6517"/>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DE1C0E"/>
    <w:pPr>
      <w:tabs>
        <w:tab w:val="clear" w:pos="567"/>
        <w:tab w:val="right" w:pos="8942"/>
      </w:tabs>
      <w:spacing w:after="0"/>
      <w:ind w:left="284"/>
    </w:pPr>
    <w:rPr>
      <w:szCs w:val="20"/>
    </w:rPr>
  </w:style>
  <w:style w:type="paragraph" w:styleId="TOC3">
    <w:name w:val="toc 3"/>
    <w:basedOn w:val="Normal"/>
    <w:next w:val="Normal"/>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DE6517"/>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11354291">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0043640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Agenda%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2E52-227A-4929-BEBA-8E99707C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Paper.dotx</Template>
  <TotalTime>485</TotalTime>
  <Pages>20</Pages>
  <Words>5934</Words>
  <Characters>31279</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37139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Dermot Doherty</dc:creator>
  <cp:lastModifiedBy>Dermot Doherty</cp:lastModifiedBy>
  <cp:revision>34</cp:revision>
  <cp:lastPrinted>2017-05-12T00:48:00Z</cp:lastPrinted>
  <dcterms:created xsi:type="dcterms:W3CDTF">2017-05-03T22:51:00Z</dcterms:created>
  <dcterms:modified xsi:type="dcterms:W3CDTF">2017-05-12T03:37:00Z</dcterms:modified>
</cp:coreProperties>
</file>