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500" w:rsidRPr="00970E6D" w:rsidRDefault="003E0500" w:rsidP="003E0500">
      <w:pPr>
        <w:tabs>
          <w:tab w:val="clear" w:pos="567"/>
        </w:tabs>
        <w:jc w:val="center"/>
        <w:rPr>
          <w:b/>
          <w:bCs/>
        </w:rPr>
      </w:pPr>
      <w:bookmarkStart w:id="0" w:name="Content"/>
      <w:bookmarkStart w:id="1" w:name="_Toc106707122"/>
      <w:bookmarkStart w:id="2" w:name="_Toc155675722"/>
      <w:bookmarkStart w:id="3" w:name="_Toc155675934"/>
      <w:bookmarkStart w:id="4" w:name="_Toc155675975"/>
      <w:bookmarkStart w:id="5" w:name="_Toc155676245"/>
      <w:bookmarkStart w:id="6" w:name="_Toc174415768"/>
      <w:bookmarkEnd w:id="0"/>
      <w:r w:rsidRPr="00970E6D">
        <w:rPr>
          <w:noProof/>
          <w:lang w:eastAsia="en-AU"/>
        </w:rPr>
        <w:drawing>
          <wp:inline distT="0" distB="0" distL="0" distR="0" wp14:anchorId="5BF970ED" wp14:editId="0B6E1AAE">
            <wp:extent cx="2933700" cy="1524600"/>
            <wp:effectExtent l="19050" t="0" r="0" b="0"/>
            <wp:docPr id="1" name="Picture 1" descr="Commonwealth Gran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_stackedstrip"/>
                    <pic:cNvPicPr>
                      <a:picLocks noChangeAspect="1" noChangeArrowheads="1"/>
                    </pic:cNvPicPr>
                  </pic:nvPicPr>
                  <pic:blipFill>
                    <a:blip r:embed="rId9" cstate="print"/>
                    <a:srcRect/>
                    <a:stretch>
                      <a:fillRect/>
                    </a:stretch>
                  </pic:blipFill>
                  <pic:spPr bwMode="auto">
                    <a:xfrm>
                      <a:off x="0" y="0"/>
                      <a:ext cx="2933700" cy="1524600"/>
                    </a:xfrm>
                    <a:prstGeom prst="rect">
                      <a:avLst/>
                    </a:prstGeom>
                    <a:noFill/>
                    <a:ln w="9525">
                      <a:noFill/>
                      <a:miter lim="800000"/>
                      <a:headEnd/>
                      <a:tailEnd/>
                    </a:ln>
                  </pic:spPr>
                </pic:pic>
              </a:graphicData>
            </a:graphic>
          </wp:inline>
        </w:drawing>
      </w: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r w:rsidRPr="00970E6D">
        <w:rPr>
          <w:b/>
          <w:sz w:val="40"/>
          <w:szCs w:val="40"/>
        </w:rPr>
        <w:t>20</w:t>
      </w:r>
      <w:r>
        <w:rPr>
          <w:b/>
          <w:sz w:val="40"/>
          <w:szCs w:val="40"/>
        </w:rPr>
        <w:t>20</w:t>
      </w:r>
      <w:r w:rsidRPr="00970E6D">
        <w:rPr>
          <w:b/>
          <w:sz w:val="40"/>
          <w:szCs w:val="40"/>
        </w:rPr>
        <w:t xml:space="preserve"> REVIEW</w:t>
      </w: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r>
        <w:rPr>
          <w:b/>
          <w:sz w:val="40"/>
          <w:szCs w:val="40"/>
        </w:rPr>
        <w:t xml:space="preserve">ACHIEVING HFE — </w:t>
      </w:r>
    </w:p>
    <w:p w:rsidR="003E0500" w:rsidRDefault="003E0500" w:rsidP="003E0500">
      <w:pPr>
        <w:tabs>
          <w:tab w:val="clear" w:pos="567"/>
        </w:tabs>
        <w:jc w:val="center"/>
        <w:rPr>
          <w:b/>
          <w:sz w:val="40"/>
          <w:szCs w:val="40"/>
        </w:rPr>
      </w:pPr>
      <w:r>
        <w:rPr>
          <w:b/>
          <w:sz w:val="40"/>
          <w:szCs w:val="40"/>
        </w:rPr>
        <w:t>OTHER APPROACHES</w:t>
      </w:r>
    </w:p>
    <w:p w:rsidR="003E0500" w:rsidRPr="00970E6D" w:rsidRDefault="003E0500" w:rsidP="003E0500">
      <w:pPr>
        <w:tabs>
          <w:tab w:val="clear" w:pos="567"/>
        </w:tabs>
        <w:jc w:val="center"/>
        <w:rPr>
          <w:b/>
          <w:sz w:val="40"/>
          <w:szCs w:val="40"/>
        </w:rPr>
      </w:pPr>
      <w:r>
        <w:rPr>
          <w:b/>
          <w:sz w:val="40"/>
          <w:szCs w:val="40"/>
        </w:rPr>
        <w:t>TO DISTRIBUTING THE GST</w:t>
      </w:r>
    </w:p>
    <w:p w:rsidR="003E0500" w:rsidRDefault="003E0500" w:rsidP="003E0500">
      <w:pPr>
        <w:tabs>
          <w:tab w:val="clear" w:pos="567"/>
        </w:tabs>
        <w:jc w:val="center"/>
        <w:rPr>
          <w:b/>
          <w:sz w:val="40"/>
          <w:szCs w:val="40"/>
        </w:rPr>
      </w:pPr>
    </w:p>
    <w:p w:rsidR="003E0500"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r w:rsidRPr="00970E6D">
        <w:rPr>
          <w:b/>
          <w:sz w:val="40"/>
          <w:szCs w:val="40"/>
        </w:rPr>
        <w:t xml:space="preserve">STAFF </w:t>
      </w:r>
      <w:r>
        <w:rPr>
          <w:b/>
          <w:sz w:val="40"/>
          <w:szCs w:val="40"/>
        </w:rPr>
        <w:t>RESEARCH PAPER</w:t>
      </w:r>
      <w:r>
        <w:rPr>
          <w:b/>
          <w:sz w:val="40"/>
          <w:szCs w:val="40"/>
        </w:rPr>
        <w:br/>
        <w:t>CGC 20</w:t>
      </w:r>
      <w:r w:rsidRPr="00970E6D">
        <w:rPr>
          <w:b/>
          <w:sz w:val="40"/>
          <w:szCs w:val="40"/>
        </w:rPr>
        <w:t>1</w:t>
      </w:r>
      <w:r>
        <w:rPr>
          <w:b/>
          <w:sz w:val="40"/>
          <w:szCs w:val="40"/>
        </w:rPr>
        <w:t>7-0</w:t>
      </w:r>
      <w:r w:rsidR="00423106">
        <w:rPr>
          <w:b/>
          <w:sz w:val="40"/>
          <w:szCs w:val="40"/>
        </w:rPr>
        <w:t>3</w:t>
      </w:r>
      <w:r w:rsidR="002A409F">
        <w:rPr>
          <w:b/>
          <w:sz w:val="40"/>
          <w:szCs w:val="40"/>
        </w:rPr>
        <w:t>-</w:t>
      </w:r>
      <w:r w:rsidR="00423106">
        <w:rPr>
          <w:b/>
          <w:sz w:val="40"/>
          <w:szCs w:val="40"/>
        </w:rPr>
        <w:t>S</w:t>
      </w: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b/>
          <w:sz w:val="40"/>
          <w:szCs w:val="40"/>
        </w:rPr>
      </w:pPr>
    </w:p>
    <w:p w:rsidR="003E0500" w:rsidRPr="00970E6D" w:rsidRDefault="003E0500" w:rsidP="003E0500">
      <w:pPr>
        <w:tabs>
          <w:tab w:val="clear" w:pos="567"/>
        </w:tabs>
        <w:jc w:val="center"/>
        <w:rPr>
          <w:sz w:val="40"/>
          <w:szCs w:val="40"/>
        </w:rPr>
      </w:pPr>
    </w:p>
    <w:p w:rsidR="003E0500" w:rsidRPr="00970E6D" w:rsidRDefault="003E0500" w:rsidP="003E0500">
      <w:pPr>
        <w:tabs>
          <w:tab w:val="clear" w:pos="567"/>
        </w:tabs>
        <w:jc w:val="right"/>
        <w:rPr>
          <w:b/>
          <w:sz w:val="28"/>
          <w:szCs w:val="28"/>
        </w:rPr>
      </w:pPr>
      <w:r>
        <w:rPr>
          <w:b/>
          <w:sz w:val="28"/>
          <w:szCs w:val="28"/>
        </w:rPr>
        <w:t>MAY 2017</w:t>
      </w:r>
    </w:p>
    <w:p w:rsidR="003E0500" w:rsidRPr="00970E6D" w:rsidRDefault="003E0500" w:rsidP="003E0500">
      <w:pPr>
        <w:tabs>
          <w:tab w:val="clear" w:pos="567"/>
        </w:tabs>
      </w:pPr>
    </w:p>
    <w:p w:rsidR="003E0500" w:rsidRPr="00970E6D" w:rsidRDefault="003E0500" w:rsidP="003E0500">
      <w:pPr>
        <w:tabs>
          <w:tab w:val="clear" w:pos="567"/>
        </w:tabs>
        <w:sectPr w:rsidR="003E0500" w:rsidRPr="00970E6D" w:rsidSect="00EF0770">
          <w:headerReference w:type="even" r:id="rId10"/>
          <w:headerReference w:type="default" r:id="rId11"/>
          <w:footerReference w:type="even" r:id="rId12"/>
          <w:footerReference w:type="default" r:id="rId13"/>
          <w:headerReference w:type="first" r:id="rId14"/>
          <w:footerReference w:type="first" r:id="rId15"/>
          <w:pgSz w:w="11899" w:h="16838" w:code="9"/>
          <w:pgMar w:top="1701" w:right="1474" w:bottom="1701" w:left="1474" w:header="709" w:footer="709" w:gutter="0"/>
          <w:cols w:space="708"/>
          <w:titlePg/>
          <w:docGrid w:linePitch="299"/>
        </w:sectPr>
      </w:pPr>
    </w:p>
    <w:tbl>
      <w:tblPr>
        <w:tblStyle w:val="TableGrid"/>
        <w:tblW w:w="5000" w:type="pct"/>
        <w:tblLook w:val="01E0" w:firstRow="1" w:lastRow="1" w:firstColumn="1" w:lastColumn="1" w:noHBand="0" w:noVBand="0"/>
      </w:tblPr>
      <w:tblGrid>
        <w:gridCol w:w="2943"/>
        <w:gridCol w:w="6224"/>
      </w:tblGrid>
      <w:tr w:rsidR="003E0500" w:rsidRPr="00970E6D" w:rsidTr="00EF0770">
        <w:tc>
          <w:tcPr>
            <w:tcW w:w="1605" w:type="pct"/>
            <w:tcBorders>
              <w:top w:val="single" w:sz="4" w:space="0" w:color="auto"/>
              <w:left w:val="single" w:sz="4" w:space="0" w:color="auto"/>
              <w:bottom w:val="single" w:sz="4" w:space="0" w:color="auto"/>
              <w:right w:val="single" w:sz="4" w:space="0" w:color="auto"/>
            </w:tcBorders>
          </w:tcPr>
          <w:p w:rsidR="003E0500" w:rsidRPr="00970E6D" w:rsidRDefault="003E0500" w:rsidP="00EF0770">
            <w:pPr>
              <w:tabs>
                <w:tab w:val="clear" w:pos="567"/>
              </w:tabs>
            </w:pPr>
            <w:r w:rsidRPr="00970E6D">
              <w:lastRenderedPageBreak/>
              <w:t>Confidential material</w:t>
            </w:r>
          </w:p>
        </w:tc>
        <w:tc>
          <w:tcPr>
            <w:tcW w:w="3395" w:type="pct"/>
            <w:tcBorders>
              <w:top w:val="single" w:sz="4" w:space="0" w:color="auto"/>
              <w:left w:val="single" w:sz="4" w:space="0" w:color="auto"/>
              <w:bottom w:val="single" w:sz="4" w:space="0" w:color="auto"/>
              <w:right w:val="single" w:sz="4" w:space="0" w:color="auto"/>
            </w:tcBorders>
          </w:tcPr>
          <w:p w:rsidR="003E0500" w:rsidRPr="00CF1294" w:rsidRDefault="003E0500" w:rsidP="00EF0770">
            <w:pPr>
              <w:tabs>
                <w:tab w:val="clear" w:pos="567"/>
              </w:tabs>
            </w:pPr>
            <w:r w:rsidRPr="00CF1294">
              <w:t xml:space="preserve">It is the </w:t>
            </w:r>
            <w:r w:rsidR="002A409F">
              <w:t>C</w:t>
            </w:r>
            <w:r w:rsidRPr="00CF1294">
              <w:t xml:space="preserve">ommission’s normal practice to make State submissions available on its website under the CC BY licence, allowing free use of content by third parties. </w:t>
            </w:r>
          </w:p>
          <w:p w:rsidR="003E0500" w:rsidRPr="00CF1294" w:rsidRDefault="003E0500" w:rsidP="00EF0770">
            <w:pPr>
              <w:tabs>
                <w:tab w:val="clear" w:pos="567"/>
              </w:tabs>
            </w:pPr>
            <w:r w:rsidRPr="00CF1294">
              <w:rPr>
                <w:noProof/>
                <w:lang w:eastAsia="en-AU"/>
              </w:rPr>
              <w:drawing>
                <wp:inline distT="0" distB="0" distL="0" distR="0" wp14:anchorId="1A022BE0" wp14:editId="6059FFB9">
                  <wp:extent cx="828675" cy="295275"/>
                  <wp:effectExtent l="19050" t="0" r="9525" b="0"/>
                  <wp:docPr id="3" name="Picture 1"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6"/>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3E0500" w:rsidRPr="00CF1294" w:rsidRDefault="003E0500" w:rsidP="00EF0770">
            <w:pPr>
              <w:tabs>
                <w:tab w:val="clear" w:pos="567"/>
              </w:tabs>
            </w:pPr>
            <w:r w:rsidRPr="00CF1294">
              <w:t xml:space="preserve">Further information on the CC BY licence can be found </w:t>
            </w:r>
            <w:r w:rsidRPr="00EC79CF">
              <w:t xml:space="preserve">on the </w:t>
            </w:r>
            <w:hyperlink r:id="rId17" w:history="1">
              <w:r w:rsidRPr="00841145">
                <w:rPr>
                  <w:rStyle w:val="Hyperlink"/>
                </w:rPr>
                <w:t>Creative Commons website</w:t>
              </w:r>
            </w:hyperlink>
            <w:r w:rsidRPr="00EC79CF">
              <w:t xml:space="preserve"> </w:t>
            </w:r>
            <w:r>
              <w:t>(</w:t>
            </w:r>
            <w:r w:rsidRPr="00841145">
              <w:t>http://creativecommons.org</w:t>
            </w:r>
            <w:r>
              <w:t>).</w:t>
            </w:r>
            <w:r w:rsidRPr="00CF1294">
              <w:t xml:space="preserve"> </w:t>
            </w:r>
          </w:p>
          <w:p w:rsidR="003E0500" w:rsidRPr="00970E6D" w:rsidRDefault="003E0500" w:rsidP="002A409F">
            <w:pPr>
              <w:tabs>
                <w:tab w:val="clear" w:pos="567"/>
              </w:tabs>
            </w:pPr>
            <w:r w:rsidRPr="00CF1294">
              <w:t xml:space="preserve">Confidential material contained in submissions must be clearly identified or included in separate attachment/s, and details provided in the covering email. Identified confidential material will not be published on the </w:t>
            </w:r>
            <w:r w:rsidR="002A409F">
              <w:t>C</w:t>
            </w:r>
            <w:r w:rsidRPr="00CF1294">
              <w:t>ommission’s website.</w:t>
            </w:r>
          </w:p>
        </w:tc>
      </w:tr>
    </w:tbl>
    <w:p w:rsidR="003E0500" w:rsidRPr="00970E6D" w:rsidRDefault="003E0500" w:rsidP="003E0500">
      <w:pPr>
        <w:tabs>
          <w:tab w:val="clear" w:pos="567"/>
        </w:tabs>
        <w:sectPr w:rsidR="003E0500" w:rsidRPr="00970E6D" w:rsidSect="00EF0770">
          <w:headerReference w:type="first" r:id="rId18"/>
          <w:footerReference w:type="first" r:id="rId19"/>
          <w:pgSz w:w="11899" w:h="16838" w:code="9"/>
          <w:pgMar w:top="1701" w:right="1474" w:bottom="1701" w:left="1474" w:header="709" w:footer="709" w:gutter="0"/>
          <w:cols w:space="708"/>
          <w:vAlign w:val="bottom"/>
          <w:titlePg/>
          <w:docGrid w:linePitch="299"/>
        </w:sectPr>
      </w:pPr>
    </w:p>
    <w:p w:rsidR="003E0500" w:rsidRPr="00E674AF" w:rsidRDefault="003E0500" w:rsidP="003E0500">
      <w:pPr>
        <w:pStyle w:val="Heading1"/>
      </w:pPr>
      <w:bookmarkStart w:id="7" w:name="_Toc477424587"/>
      <w:r w:rsidRPr="00E674AF">
        <w:lastRenderedPageBreak/>
        <w:t>CONTENTS</w:t>
      </w:r>
      <w:bookmarkEnd w:id="1"/>
      <w:bookmarkEnd w:id="2"/>
      <w:bookmarkEnd w:id="3"/>
      <w:bookmarkEnd w:id="4"/>
      <w:bookmarkEnd w:id="5"/>
      <w:bookmarkEnd w:id="6"/>
      <w:bookmarkEnd w:id="7"/>
    </w:p>
    <w:p w:rsidR="003E0500" w:rsidRDefault="003E0500" w:rsidP="003E0500">
      <w:pPr>
        <w:tabs>
          <w:tab w:val="clear" w:pos="567"/>
        </w:tabs>
      </w:pPr>
    </w:p>
    <w:p w:rsidR="00556A75" w:rsidRDefault="003E0500" w:rsidP="00556A75">
      <w:pPr>
        <w:pStyle w:val="TOC1"/>
        <w:rPr>
          <w:rFonts w:eastAsiaTheme="minorEastAsia"/>
          <w:noProof/>
          <w:sz w:val="22"/>
          <w:szCs w:val="22"/>
          <w:lang w:eastAsia="en-AU"/>
        </w:rPr>
      </w:pPr>
      <w:r>
        <w:fldChar w:fldCharType="begin"/>
      </w:r>
      <w:r>
        <w:instrText xml:space="preserve"> TOC \f \h \z \u \t "Heading 3,1,Heading 4,2" </w:instrText>
      </w:r>
      <w:r>
        <w:fldChar w:fldCharType="separate"/>
      </w:r>
    </w:p>
    <w:p w:rsidR="00556A75" w:rsidRDefault="00CB2E25">
      <w:pPr>
        <w:pStyle w:val="TOC1"/>
        <w:rPr>
          <w:rFonts w:eastAsiaTheme="minorEastAsia"/>
          <w:b w:val="0"/>
          <w:bCs w:val="0"/>
          <w:caps w:val="0"/>
          <w:noProof/>
          <w:sz w:val="22"/>
          <w:szCs w:val="22"/>
          <w:lang w:eastAsia="en-AU"/>
        </w:rPr>
      </w:pPr>
      <w:hyperlink w:anchor="_Toc479663191" w:history="1">
        <w:r w:rsidR="00556A75" w:rsidRPr="001E4A5F">
          <w:rPr>
            <w:rStyle w:val="Hyperlink"/>
            <w:noProof/>
          </w:rPr>
          <w:t>INTRODUCTION</w:t>
        </w:r>
        <w:r w:rsidR="00556A75">
          <w:rPr>
            <w:noProof/>
            <w:webHidden/>
          </w:rPr>
          <w:tab/>
        </w:r>
        <w:r w:rsidR="00556A75">
          <w:rPr>
            <w:noProof/>
            <w:webHidden/>
          </w:rPr>
          <w:fldChar w:fldCharType="begin"/>
        </w:r>
        <w:r w:rsidR="00556A75">
          <w:rPr>
            <w:noProof/>
            <w:webHidden/>
          </w:rPr>
          <w:instrText xml:space="preserve"> PAGEREF _Toc479663191 \h </w:instrText>
        </w:r>
        <w:r w:rsidR="00556A75">
          <w:rPr>
            <w:noProof/>
            <w:webHidden/>
          </w:rPr>
        </w:r>
        <w:r w:rsidR="00556A75">
          <w:rPr>
            <w:noProof/>
            <w:webHidden/>
          </w:rPr>
          <w:fldChar w:fldCharType="separate"/>
        </w:r>
        <w:r w:rsidR="00DD13C4">
          <w:rPr>
            <w:noProof/>
            <w:webHidden/>
          </w:rPr>
          <w:t>1</w:t>
        </w:r>
        <w:r w:rsidR="00556A75">
          <w:rPr>
            <w:noProof/>
            <w:webHidden/>
          </w:rPr>
          <w:fldChar w:fldCharType="end"/>
        </w:r>
      </w:hyperlink>
    </w:p>
    <w:p w:rsidR="00556A75" w:rsidRDefault="00CB2E25">
      <w:pPr>
        <w:pStyle w:val="TOC1"/>
        <w:rPr>
          <w:rFonts w:eastAsiaTheme="minorEastAsia"/>
          <w:b w:val="0"/>
          <w:bCs w:val="0"/>
          <w:caps w:val="0"/>
          <w:noProof/>
          <w:sz w:val="22"/>
          <w:szCs w:val="22"/>
          <w:lang w:eastAsia="en-AU"/>
        </w:rPr>
      </w:pPr>
      <w:hyperlink w:anchor="_Toc479663192" w:history="1">
        <w:r w:rsidR="00556A75" w:rsidRPr="001E4A5F">
          <w:rPr>
            <w:rStyle w:val="Hyperlink"/>
            <w:noProof/>
          </w:rPr>
          <w:t>OTHER APPROACHES TO DISTRIBUTING THE GST</w:t>
        </w:r>
        <w:r w:rsidR="00556A75">
          <w:rPr>
            <w:noProof/>
            <w:webHidden/>
          </w:rPr>
          <w:tab/>
        </w:r>
        <w:r w:rsidR="00556A75">
          <w:rPr>
            <w:noProof/>
            <w:webHidden/>
          </w:rPr>
          <w:fldChar w:fldCharType="begin"/>
        </w:r>
        <w:r w:rsidR="00556A75">
          <w:rPr>
            <w:noProof/>
            <w:webHidden/>
          </w:rPr>
          <w:instrText xml:space="preserve"> PAGEREF _Toc479663192 \h </w:instrText>
        </w:r>
        <w:r w:rsidR="00556A75">
          <w:rPr>
            <w:noProof/>
            <w:webHidden/>
          </w:rPr>
        </w:r>
        <w:r w:rsidR="00556A75">
          <w:rPr>
            <w:noProof/>
            <w:webHidden/>
          </w:rPr>
          <w:fldChar w:fldCharType="separate"/>
        </w:r>
        <w:r w:rsidR="00DD13C4">
          <w:rPr>
            <w:noProof/>
            <w:webHidden/>
          </w:rPr>
          <w:t>3</w:t>
        </w:r>
        <w:r w:rsidR="00556A75">
          <w:rPr>
            <w:noProof/>
            <w:webHidden/>
          </w:rPr>
          <w:fldChar w:fldCharType="end"/>
        </w:r>
      </w:hyperlink>
    </w:p>
    <w:p w:rsidR="00556A75" w:rsidRDefault="00CB2E25">
      <w:pPr>
        <w:pStyle w:val="TOC1"/>
        <w:rPr>
          <w:rFonts w:eastAsiaTheme="minorEastAsia"/>
          <w:b w:val="0"/>
          <w:bCs w:val="0"/>
          <w:caps w:val="0"/>
          <w:noProof/>
          <w:sz w:val="22"/>
          <w:szCs w:val="22"/>
          <w:lang w:eastAsia="en-AU"/>
        </w:rPr>
      </w:pPr>
      <w:hyperlink w:anchor="_Toc479663193" w:history="1">
        <w:r w:rsidR="00556A75" w:rsidRPr="001E4A5F">
          <w:rPr>
            <w:rStyle w:val="Hyperlink"/>
            <w:noProof/>
          </w:rPr>
          <w:t xml:space="preserve">WHAT ARE THE IMPLICATIONS OF MOVING RELATIVITIES </w:t>
        </w:r>
        <w:r w:rsidR="00E2098D">
          <w:rPr>
            <w:rStyle w:val="Hyperlink"/>
            <w:noProof/>
          </w:rPr>
          <w:br/>
          <w:t xml:space="preserve">     </w:t>
        </w:r>
        <w:r w:rsidR="00556A75" w:rsidRPr="001E4A5F">
          <w:rPr>
            <w:rStyle w:val="Hyperlink"/>
            <w:noProof/>
          </w:rPr>
          <w:t>CLOSER TO EQUAL PER CAPITA?</w:t>
        </w:r>
        <w:r w:rsidR="00556A75">
          <w:rPr>
            <w:noProof/>
            <w:webHidden/>
          </w:rPr>
          <w:tab/>
        </w:r>
        <w:r w:rsidR="00556A75">
          <w:rPr>
            <w:noProof/>
            <w:webHidden/>
          </w:rPr>
          <w:fldChar w:fldCharType="begin"/>
        </w:r>
        <w:r w:rsidR="00556A75">
          <w:rPr>
            <w:noProof/>
            <w:webHidden/>
          </w:rPr>
          <w:instrText xml:space="preserve"> PAGEREF _Toc479663193 \h </w:instrText>
        </w:r>
        <w:r w:rsidR="00556A75">
          <w:rPr>
            <w:noProof/>
            <w:webHidden/>
          </w:rPr>
        </w:r>
        <w:r w:rsidR="00556A75">
          <w:rPr>
            <w:noProof/>
            <w:webHidden/>
          </w:rPr>
          <w:fldChar w:fldCharType="separate"/>
        </w:r>
        <w:r w:rsidR="00DD13C4">
          <w:rPr>
            <w:noProof/>
            <w:webHidden/>
          </w:rPr>
          <w:t>4</w:t>
        </w:r>
        <w:r w:rsidR="00556A75">
          <w:rPr>
            <w:noProof/>
            <w:webHidden/>
          </w:rPr>
          <w:fldChar w:fldCharType="end"/>
        </w:r>
      </w:hyperlink>
    </w:p>
    <w:p w:rsidR="00556A75" w:rsidRDefault="00CB2E25">
      <w:pPr>
        <w:pStyle w:val="TOC1"/>
        <w:rPr>
          <w:rFonts w:eastAsiaTheme="minorEastAsia"/>
          <w:b w:val="0"/>
          <w:bCs w:val="0"/>
          <w:caps w:val="0"/>
          <w:noProof/>
          <w:sz w:val="22"/>
          <w:szCs w:val="22"/>
          <w:lang w:eastAsia="en-AU"/>
        </w:rPr>
      </w:pPr>
      <w:hyperlink w:anchor="_Toc479663194" w:history="1">
        <w:r w:rsidR="00556A75" w:rsidRPr="001E4A5F">
          <w:rPr>
            <w:rStyle w:val="Hyperlink"/>
            <w:noProof/>
          </w:rPr>
          <w:t>THE EFFECT OF CHANGING THE GST DISTRIBUTION</w:t>
        </w:r>
        <w:r w:rsidR="00556A75">
          <w:rPr>
            <w:noProof/>
            <w:webHidden/>
          </w:rPr>
          <w:tab/>
        </w:r>
        <w:r w:rsidR="00556A75">
          <w:rPr>
            <w:noProof/>
            <w:webHidden/>
          </w:rPr>
          <w:fldChar w:fldCharType="begin"/>
        </w:r>
        <w:r w:rsidR="00556A75">
          <w:rPr>
            <w:noProof/>
            <w:webHidden/>
          </w:rPr>
          <w:instrText xml:space="preserve"> PAGEREF _Toc479663194 \h </w:instrText>
        </w:r>
        <w:r w:rsidR="00556A75">
          <w:rPr>
            <w:noProof/>
            <w:webHidden/>
          </w:rPr>
        </w:r>
        <w:r w:rsidR="00556A75">
          <w:rPr>
            <w:noProof/>
            <w:webHidden/>
          </w:rPr>
          <w:fldChar w:fldCharType="separate"/>
        </w:r>
        <w:r w:rsidR="00DD13C4">
          <w:rPr>
            <w:noProof/>
            <w:webHidden/>
          </w:rPr>
          <w:t>5</w:t>
        </w:r>
        <w:r w:rsidR="00556A75">
          <w:rPr>
            <w:noProof/>
            <w:webHidden/>
          </w:rPr>
          <w:fldChar w:fldCharType="end"/>
        </w:r>
      </w:hyperlink>
    </w:p>
    <w:p w:rsidR="00556A75" w:rsidRDefault="00CB2E25">
      <w:pPr>
        <w:pStyle w:val="TOC2"/>
        <w:rPr>
          <w:rFonts w:eastAsiaTheme="minorEastAsia"/>
          <w:noProof/>
          <w:sz w:val="22"/>
          <w:szCs w:val="22"/>
          <w:lang w:eastAsia="en-AU"/>
        </w:rPr>
      </w:pPr>
      <w:hyperlink w:anchor="_Toc479663195" w:history="1">
        <w:r w:rsidR="00556A75" w:rsidRPr="001E4A5F">
          <w:rPr>
            <w:rStyle w:val="Hyperlink"/>
            <w:noProof/>
          </w:rPr>
          <w:t>What are the implications of the different GST distributions?</w:t>
        </w:r>
        <w:r w:rsidR="00556A75">
          <w:rPr>
            <w:noProof/>
            <w:webHidden/>
          </w:rPr>
          <w:tab/>
        </w:r>
        <w:r w:rsidR="00556A75">
          <w:rPr>
            <w:noProof/>
            <w:webHidden/>
          </w:rPr>
          <w:fldChar w:fldCharType="begin"/>
        </w:r>
        <w:r w:rsidR="00556A75">
          <w:rPr>
            <w:noProof/>
            <w:webHidden/>
          </w:rPr>
          <w:instrText xml:space="preserve"> PAGEREF _Toc479663195 \h </w:instrText>
        </w:r>
        <w:r w:rsidR="00556A75">
          <w:rPr>
            <w:noProof/>
            <w:webHidden/>
          </w:rPr>
        </w:r>
        <w:r w:rsidR="00556A75">
          <w:rPr>
            <w:noProof/>
            <w:webHidden/>
          </w:rPr>
          <w:fldChar w:fldCharType="separate"/>
        </w:r>
        <w:r w:rsidR="00DD13C4">
          <w:rPr>
            <w:noProof/>
            <w:webHidden/>
          </w:rPr>
          <w:t>6</w:t>
        </w:r>
        <w:r w:rsidR="00556A75">
          <w:rPr>
            <w:noProof/>
            <w:webHidden/>
          </w:rPr>
          <w:fldChar w:fldCharType="end"/>
        </w:r>
      </w:hyperlink>
    </w:p>
    <w:p w:rsidR="00556A75" w:rsidRDefault="00CB2E25">
      <w:pPr>
        <w:pStyle w:val="TOC2"/>
        <w:rPr>
          <w:rFonts w:eastAsiaTheme="minorEastAsia"/>
          <w:noProof/>
          <w:sz w:val="22"/>
          <w:szCs w:val="22"/>
          <w:lang w:eastAsia="en-AU"/>
        </w:rPr>
      </w:pPr>
      <w:hyperlink w:anchor="_Toc479663196" w:history="1">
        <w:r w:rsidR="00556A75" w:rsidRPr="001E4A5F">
          <w:rPr>
            <w:rStyle w:val="Hyperlink"/>
            <w:noProof/>
          </w:rPr>
          <w:t>Results for 2017-18</w:t>
        </w:r>
        <w:r w:rsidR="00556A75">
          <w:rPr>
            <w:noProof/>
            <w:webHidden/>
          </w:rPr>
          <w:tab/>
        </w:r>
        <w:r w:rsidR="00556A75">
          <w:rPr>
            <w:noProof/>
            <w:webHidden/>
          </w:rPr>
          <w:fldChar w:fldCharType="begin"/>
        </w:r>
        <w:r w:rsidR="00556A75">
          <w:rPr>
            <w:noProof/>
            <w:webHidden/>
          </w:rPr>
          <w:instrText xml:space="preserve"> PAGEREF _Toc479663196 \h </w:instrText>
        </w:r>
        <w:r w:rsidR="00556A75">
          <w:rPr>
            <w:noProof/>
            <w:webHidden/>
          </w:rPr>
        </w:r>
        <w:r w:rsidR="00556A75">
          <w:rPr>
            <w:noProof/>
            <w:webHidden/>
          </w:rPr>
          <w:fldChar w:fldCharType="separate"/>
        </w:r>
        <w:r w:rsidR="00DD13C4">
          <w:rPr>
            <w:noProof/>
            <w:webHidden/>
          </w:rPr>
          <w:t>7</w:t>
        </w:r>
        <w:r w:rsidR="00556A75">
          <w:rPr>
            <w:noProof/>
            <w:webHidden/>
          </w:rPr>
          <w:fldChar w:fldCharType="end"/>
        </w:r>
      </w:hyperlink>
    </w:p>
    <w:p w:rsidR="00556A75" w:rsidRDefault="00CB2E25">
      <w:pPr>
        <w:pStyle w:val="TOC2"/>
        <w:rPr>
          <w:rFonts w:eastAsiaTheme="minorEastAsia"/>
          <w:noProof/>
          <w:sz w:val="22"/>
          <w:szCs w:val="22"/>
          <w:lang w:eastAsia="en-AU"/>
        </w:rPr>
      </w:pPr>
      <w:hyperlink w:anchor="_Toc479663197" w:history="1">
        <w:r w:rsidR="00556A75" w:rsidRPr="001E4A5F">
          <w:rPr>
            <w:rStyle w:val="Hyperlink"/>
            <w:noProof/>
          </w:rPr>
          <w:t>Results for the period 2000-01 to 2017-18</w:t>
        </w:r>
        <w:r w:rsidR="00556A75">
          <w:rPr>
            <w:noProof/>
            <w:webHidden/>
          </w:rPr>
          <w:tab/>
        </w:r>
        <w:r w:rsidR="00556A75">
          <w:rPr>
            <w:noProof/>
            <w:webHidden/>
          </w:rPr>
          <w:fldChar w:fldCharType="begin"/>
        </w:r>
        <w:r w:rsidR="00556A75">
          <w:rPr>
            <w:noProof/>
            <w:webHidden/>
          </w:rPr>
          <w:instrText xml:space="preserve"> PAGEREF _Toc479663197 \h </w:instrText>
        </w:r>
        <w:r w:rsidR="00556A75">
          <w:rPr>
            <w:noProof/>
            <w:webHidden/>
          </w:rPr>
        </w:r>
        <w:r w:rsidR="00556A75">
          <w:rPr>
            <w:noProof/>
            <w:webHidden/>
          </w:rPr>
          <w:fldChar w:fldCharType="separate"/>
        </w:r>
        <w:r w:rsidR="00DD13C4">
          <w:rPr>
            <w:noProof/>
            <w:webHidden/>
          </w:rPr>
          <w:t>8</w:t>
        </w:r>
        <w:r w:rsidR="00556A75">
          <w:rPr>
            <w:noProof/>
            <w:webHidden/>
          </w:rPr>
          <w:fldChar w:fldCharType="end"/>
        </w:r>
      </w:hyperlink>
    </w:p>
    <w:p w:rsidR="00556A75" w:rsidRDefault="00CB2E25">
      <w:pPr>
        <w:pStyle w:val="TOC1"/>
        <w:rPr>
          <w:rFonts w:eastAsiaTheme="minorEastAsia"/>
          <w:b w:val="0"/>
          <w:bCs w:val="0"/>
          <w:caps w:val="0"/>
          <w:noProof/>
          <w:sz w:val="22"/>
          <w:szCs w:val="22"/>
          <w:lang w:eastAsia="en-AU"/>
        </w:rPr>
      </w:pPr>
      <w:hyperlink w:anchor="_Toc479663198" w:history="1">
        <w:r w:rsidR="00556A75" w:rsidRPr="001E4A5F">
          <w:rPr>
            <w:rStyle w:val="Hyperlink"/>
            <w:noProof/>
          </w:rPr>
          <w:t>CONCLUSION</w:t>
        </w:r>
        <w:r w:rsidR="00556A75">
          <w:rPr>
            <w:noProof/>
            <w:webHidden/>
          </w:rPr>
          <w:tab/>
        </w:r>
        <w:r w:rsidR="00556A75">
          <w:rPr>
            <w:noProof/>
            <w:webHidden/>
          </w:rPr>
          <w:fldChar w:fldCharType="begin"/>
        </w:r>
        <w:r w:rsidR="00556A75">
          <w:rPr>
            <w:noProof/>
            <w:webHidden/>
          </w:rPr>
          <w:instrText xml:space="preserve"> PAGEREF _Toc479663198 \h </w:instrText>
        </w:r>
        <w:r w:rsidR="00556A75">
          <w:rPr>
            <w:noProof/>
            <w:webHidden/>
          </w:rPr>
        </w:r>
        <w:r w:rsidR="00556A75">
          <w:rPr>
            <w:noProof/>
            <w:webHidden/>
          </w:rPr>
          <w:fldChar w:fldCharType="separate"/>
        </w:r>
        <w:r w:rsidR="00DD13C4">
          <w:rPr>
            <w:noProof/>
            <w:webHidden/>
          </w:rPr>
          <w:t>9</w:t>
        </w:r>
        <w:r w:rsidR="00556A75">
          <w:rPr>
            <w:noProof/>
            <w:webHidden/>
          </w:rPr>
          <w:fldChar w:fldCharType="end"/>
        </w:r>
      </w:hyperlink>
    </w:p>
    <w:p w:rsidR="00556A75" w:rsidRPr="005D5B02" w:rsidRDefault="00556A75" w:rsidP="00556A75">
      <w:pPr>
        <w:pStyle w:val="TOC1"/>
        <w:rPr>
          <w:rStyle w:val="Hyperlink"/>
          <w:noProof/>
          <w:color w:val="auto"/>
          <w:u w:val="none"/>
        </w:rPr>
      </w:pPr>
      <w:r w:rsidRPr="005D5B02">
        <w:rPr>
          <w:rStyle w:val="Hyperlink"/>
          <w:noProof/>
          <w:color w:val="auto"/>
          <w:u w:val="none"/>
        </w:rPr>
        <w:t>ATTACHMENT A: GST DISTRIBUTIONS BY STATE</w:t>
      </w:r>
      <w:r w:rsidRPr="005D5B02">
        <w:rPr>
          <w:rStyle w:val="Hyperlink"/>
          <w:noProof/>
          <w:color w:val="auto"/>
          <w:u w:val="none"/>
        </w:rPr>
        <w:tab/>
      </w:r>
      <w:r>
        <w:rPr>
          <w:rStyle w:val="Hyperlink"/>
          <w:noProof/>
          <w:color w:val="auto"/>
          <w:u w:val="none"/>
        </w:rPr>
        <w:t>9</w:t>
      </w:r>
    </w:p>
    <w:p w:rsidR="00556A75" w:rsidRDefault="00CB2E25">
      <w:pPr>
        <w:pStyle w:val="TOC2"/>
        <w:rPr>
          <w:rFonts w:eastAsiaTheme="minorEastAsia"/>
          <w:noProof/>
          <w:sz w:val="22"/>
          <w:szCs w:val="22"/>
          <w:lang w:eastAsia="en-AU"/>
        </w:rPr>
      </w:pPr>
      <w:hyperlink w:anchor="_Toc479663199" w:history="1">
        <w:r w:rsidR="00556A75" w:rsidRPr="001E4A5F">
          <w:rPr>
            <w:rStyle w:val="Hyperlink"/>
            <w:noProof/>
          </w:rPr>
          <w:t>Summary</w:t>
        </w:r>
        <w:r w:rsidR="00556A75">
          <w:rPr>
            <w:noProof/>
            <w:webHidden/>
          </w:rPr>
          <w:tab/>
        </w:r>
        <w:r w:rsidR="00556A75">
          <w:rPr>
            <w:noProof/>
            <w:webHidden/>
          </w:rPr>
          <w:fldChar w:fldCharType="begin"/>
        </w:r>
        <w:r w:rsidR="00556A75">
          <w:rPr>
            <w:noProof/>
            <w:webHidden/>
          </w:rPr>
          <w:instrText xml:space="preserve"> PAGEREF _Toc479663199 \h </w:instrText>
        </w:r>
        <w:r w:rsidR="00556A75">
          <w:rPr>
            <w:noProof/>
            <w:webHidden/>
          </w:rPr>
        </w:r>
        <w:r w:rsidR="00556A75">
          <w:rPr>
            <w:noProof/>
            <w:webHidden/>
          </w:rPr>
          <w:fldChar w:fldCharType="separate"/>
        </w:r>
        <w:r w:rsidR="00DD13C4">
          <w:rPr>
            <w:noProof/>
            <w:webHidden/>
          </w:rPr>
          <w:t>12</w:t>
        </w:r>
        <w:r w:rsidR="00556A75">
          <w:rPr>
            <w:noProof/>
            <w:webHidden/>
          </w:rPr>
          <w:fldChar w:fldCharType="end"/>
        </w:r>
      </w:hyperlink>
    </w:p>
    <w:p w:rsidR="003E0500" w:rsidRDefault="003E0500" w:rsidP="003E0500">
      <w:pPr>
        <w:tabs>
          <w:tab w:val="clear" w:pos="567"/>
        </w:tabs>
      </w:pPr>
      <w:r>
        <w:fldChar w:fldCharType="end"/>
      </w:r>
    </w:p>
    <w:p w:rsidR="003E0500" w:rsidRDefault="003E0500" w:rsidP="003E0500">
      <w:pPr>
        <w:tabs>
          <w:tab w:val="clear" w:pos="567"/>
        </w:tabs>
      </w:pPr>
    </w:p>
    <w:p w:rsidR="003E0500" w:rsidRDefault="003E0500" w:rsidP="003E0500">
      <w:pPr>
        <w:tabs>
          <w:tab w:val="clear" w:pos="567"/>
        </w:tabs>
      </w:pPr>
    </w:p>
    <w:p w:rsidR="003E0500" w:rsidRPr="00E674AF" w:rsidRDefault="003E0500" w:rsidP="003E0500">
      <w:pPr>
        <w:tabs>
          <w:tab w:val="clear" w:pos="567"/>
        </w:tabs>
      </w:pPr>
    </w:p>
    <w:p w:rsidR="003E0500" w:rsidRPr="00E674AF" w:rsidRDefault="003E0500" w:rsidP="003E0500">
      <w:pPr>
        <w:tabs>
          <w:tab w:val="clear" w:pos="567"/>
        </w:tabs>
        <w:sectPr w:rsidR="003E0500" w:rsidRPr="00E674AF" w:rsidSect="00EF0770">
          <w:footerReference w:type="first" r:id="rId20"/>
          <w:pgSz w:w="11899" w:h="16838" w:code="9"/>
          <w:pgMar w:top="1701" w:right="1474" w:bottom="1701" w:left="1474" w:header="709" w:footer="709" w:gutter="0"/>
          <w:pgNumType w:fmt="lowerRoman" w:start="1"/>
          <w:cols w:space="708"/>
          <w:titlePg/>
          <w:docGrid w:linePitch="299"/>
        </w:sectPr>
      </w:pPr>
    </w:p>
    <w:p w:rsidR="003E0500" w:rsidRPr="00E674AF" w:rsidRDefault="003E0500" w:rsidP="003E0500">
      <w:pPr>
        <w:pStyle w:val="Heading3"/>
      </w:pPr>
      <w:bookmarkStart w:id="8" w:name="_Toc106707725"/>
      <w:bookmarkStart w:id="9" w:name="_Toc155675935"/>
      <w:bookmarkStart w:id="10" w:name="_Toc174415770"/>
      <w:bookmarkStart w:id="11" w:name="_Toc174415844"/>
      <w:bookmarkStart w:id="12" w:name="_Toc174415935"/>
      <w:bookmarkStart w:id="13" w:name="_Toc174416620"/>
      <w:bookmarkStart w:id="14" w:name="_Toc174416662"/>
      <w:bookmarkStart w:id="15" w:name="_Toc174416675"/>
      <w:bookmarkStart w:id="16" w:name="_Toc477424588"/>
      <w:bookmarkStart w:id="17" w:name="_Toc479663191"/>
      <w:r>
        <w:lastRenderedPageBreak/>
        <w:t>INTRODUCTION</w:t>
      </w:r>
      <w:bookmarkEnd w:id="8"/>
      <w:bookmarkEnd w:id="9"/>
      <w:bookmarkEnd w:id="10"/>
      <w:bookmarkEnd w:id="11"/>
      <w:bookmarkEnd w:id="12"/>
      <w:bookmarkEnd w:id="13"/>
      <w:bookmarkEnd w:id="14"/>
      <w:bookmarkEnd w:id="15"/>
      <w:bookmarkEnd w:id="16"/>
      <w:bookmarkEnd w:id="17"/>
    </w:p>
    <w:tbl>
      <w:tblPr>
        <w:tblW w:w="0" w:type="auto"/>
        <w:tblInd w:w="108" w:type="dxa"/>
        <w:shd w:val="clear" w:color="auto" w:fill="D9F3E6"/>
        <w:tblLook w:val="04A0" w:firstRow="1" w:lastRow="0" w:firstColumn="1" w:lastColumn="0" w:noHBand="0" w:noVBand="1"/>
      </w:tblPr>
      <w:tblGrid>
        <w:gridCol w:w="8931"/>
      </w:tblGrid>
      <w:tr w:rsidR="00F2557D" w:rsidRPr="00E674AF" w:rsidTr="00F2557D">
        <w:tc>
          <w:tcPr>
            <w:tcW w:w="8931" w:type="dxa"/>
            <w:shd w:val="clear" w:color="auto" w:fill="D9F3E6"/>
          </w:tcPr>
          <w:p w:rsidR="00F2557D" w:rsidRDefault="00F2557D" w:rsidP="00F2557D">
            <w:bookmarkStart w:id="18" w:name="_Toc155675723"/>
            <w:bookmarkEnd w:id="18"/>
            <w:r>
              <w:t xml:space="preserve">This staff research paper provides quantitative analyses of issues raised in Staff Discussion Paper 2017-02-S </w:t>
            </w:r>
            <w:r w:rsidRPr="00D80C7A">
              <w:rPr>
                <w:i/>
              </w:rPr>
              <w:t>The principle of HFE and its implementation</w:t>
            </w:r>
            <w:r>
              <w:t>. Its purpose is to provide material States may find helpful in preparing a response to the staff discussion paper.</w:t>
            </w:r>
          </w:p>
          <w:p w:rsidR="00F2557D" w:rsidRPr="00E674AF" w:rsidRDefault="00F2557D" w:rsidP="00F2557D">
            <w:r>
              <w:t xml:space="preserve">Commission </w:t>
            </w:r>
            <w:proofErr w:type="gramStart"/>
            <w:r>
              <w:t>staff are</w:t>
            </w:r>
            <w:proofErr w:type="gramEnd"/>
            <w:r>
              <w:t xml:space="preserve"> not seeking State submissions on the issues raised in this staff research paper.</w:t>
            </w:r>
          </w:p>
        </w:tc>
      </w:tr>
    </w:tbl>
    <w:p w:rsidR="00F2557D" w:rsidRDefault="00F2557D" w:rsidP="00F2557D">
      <w:pPr>
        <w:pStyle w:val="CGCNumberedPara"/>
        <w:numPr>
          <w:ilvl w:val="0"/>
          <w:numId w:val="0"/>
        </w:numPr>
        <w:ind w:left="567" w:hanging="567"/>
      </w:pPr>
    </w:p>
    <w:p w:rsidR="003E0500" w:rsidRDefault="003E0500" w:rsidP="003E0500">
      <w:pPr>
        <w:pStyle w:val="CGCNumberedPara"/>
        <w:numPr>
          <w:ilvl w:val="1"/>
          <w:numId w:val="3"/>
        </w:numPr>
      </w:pPr>
      <w:r>
        <w:t>In 1978, the Commonwealth asked the Commonwealth Grants Commission to review States’ shares of general revenue grants. It specified the principle</w:t>
      </w:r>
      <w:r w:rsidR="006B1D8A">
        <w:t xml:space="preserve"> (the equalisation principle)</w:t>
      </w:r>
      <w:r>
        <w:rPr>
          <w:rStyle w:val="FootnoteReference"/>
        </w:rPr>
        <w:footnoteReference w:id="1"/>
      </w:r>
      <w:r>
        <w:t xml:space="preserve"> it wanted the Commission to apply</w:t>
      </w:r>
      <w:r w:rsidRPr="00DF3AF5">
        <w:t xml:space="preserve"> </w:t>
      </w:r>
      <w:r>
        <w:t xml:space="preserve">in </w:t>
      </w:r>
      <w:r w:rsidR="00EF0770">
        <w:t>s</w:t>
      </w:r>
      <w:r>
        <w:t xml:space="preserve">ection 13(3) of the </w:t>
      </w:r>
      <w:r w:rsidRPr="00C84378">
        <w:rPr>
          <w:i/>
        </w:rPr>
        <w:t>States Personal Income Tax Sharing Amendment Act</w:t>
      </w:r>
      <w:r>
        <w:t xml:space="preserve"> 1976.</w:t>
      </w:r>
    </w:p>
    <w:p w:rsidR="003E0500" w:rsidRDefault="003E0500" w:rsidP="003E0500">
      <w:pPr>
        <w:pStyle w:val="CGCQuotation"/>
      </w:pPr>
      <w:r w:rsidRPr="00D1471A">
        <w:t>The respective payments to which the States are entitled … should enable each State to provide, without imposing taxes and charges at levels appreciably different from the levels of the taxes and charges imposed by the other States, government services at standards not appreciably different from the standards of the government services provided by the other States</w:t>
      </w:r>
      <w:r>
        <w:t>.</w:t>
      </w:r>
    </w:p>
    <w:p w:rsidR="003E0500" w:rsidRDefault="003E0500" w:rsidP="003E0500">
      <w:pPr>
        <w:pStyle w:val="CGCNumberedPara"/>
        <w:numPr>
          <w:ilvl w:val="1"/>
          <w:numId w:val="3"/>
        </w:numPr>
      </w:pPr>
      <w:r>
        <w:t xml:space="preserve">This principle was </w:t>
      </w:r>
      <w:r w:rsidR="00332D6E">
        <w:t xml:space="preserve">(with minor wording changes) </w:t>
      </w:r>
      <w:r>
        <w:t>expressed in Acts or terms of reference until the 1999 Review. It was the principle the Commission was asked to implement when States signed the Intergovernmental Agreement on the Reform of Commonwealth–State Financial Relations (the IGA) in 1999</w:t>
      </w:r>
      <w:r w:rsidR="00C3572E">
        <w:t>. While the specific wording has evolved, the principle has continued to this day and remains in the terms of reference for the 2020 Review as the basis for the Commission’s recommended distribution of GST revenue amongst the States</w:t>
      </w:r>
      <w:r w:rsidR="003D74DB">
        <w:t>. This distribution is referred to as the equalisation distribution in this paper</w:t>
      </w:r>
      <w:r>
        <w:t>.</w:t>
      </w:r>
      <w:r w:rsidR="006B1D8A">
        <w:t xml:space="preserve"> For the purposes of comparisons, th</w:t>
      </w:r>
      <w:r w:rsidR="00DF4AD6">
        <w:t>is</w:t>
      </w:r>
      <w:r w:rsidR="00EF0770">
        <w:t xml:space="preserve"> distribution</w:t>
      </w:r>
      <w:r w:rsidR="003D74DB">
        <w:t xml:space="preserve"> is</w:t>
      </w:r>
      <w:r w:rsidR="006B1D8A">
        <w:t xml:space="preserve"> </w:t>
      </w:r>
      <w:r w:rsidR="00EF0770">
        <w:t xml:space="preserve">the benchmark for assessing the extent to which </w:t>
      </w:r>
      <w:r w:rsidR="006B1D8A">
        <w:t>other</w:t>
      </w:r>
      <w:r w:rsidR="00EF0770">
        <w:t xml:space="preserve"> approaches </w:t>
      </w:r>
      <w:r w:rsidR="006B1D8A">
        <w:t>to</w:t>
      </w:r>
      <w:r w:rsidR="00EF0770">
        <w:t xml:space="preserve"> distributing GS</w:t>
      </w:r>
      <w:r w:rsidR="006B1D8A">
        <w:t>T revenue achieve equalisation.</w:t>
      </w:r>
    </w:p>
    <w:p w:rsidR="003E0500" w:rsidRDefault="003E0500" w:rsidP="003E0500">
      <w:pPr>
        <w:pStyle w:val="CGCNumberedPara"/>
        <w:numPr>
          <w:ilvl w:val="1"/>
          <w:numId w:val="3"/>
        </w:numPr>
      </w:pPr>
      <w:r>
        <w:t xml:space="preserve">As a result of the </w:t>
      </w:r>
      <w:r w:rsidR="002551FA">
        <w:t xml:space="preserve">application of </w:t>
      </w:r>
      <w:r w:rsidR="003D74DB">
        <w:t xml:space="preserve">this </w:t>
      </w:r>
      <w:r>
        <w:t>principle</w:t>
      </w:r>
      <w:r>
        <w:rPr>
          <w:rStyle w:val="FootnoteReference"/>
        </w:rPr>
        <w:footnoteReference w:id="2"/>
      </w:r>
      <w:r>
        <w:t>, the Commission assesses:</w:t>
      </w:r>
    </w:p>
    <w:p w:rsidR="003E0500" w:rsidRDefault="003E0500" w:rsidP="003E0500">
      <w:pPr>
        <w:pStyle w:val="CGCBulletlist"/>
        <w:numPr>
          <w:ilvl w:val="0"/>
          <w:numId w:val="1"/>
        </w:numPr>
        <w:tabs>
          <w:tab w:val="clear" w:pos="927"/>
        </w:tabs>
        <w:ind w:left="1134" w:hanging="567"/>
      </w:pPr>
      <w:r>
        <w:t xml:space="preserve">some States to require more than a population share of the GST — they are </w:t>
      </w:r>
      <w:r w:rsidRPr="00EB5BE1">
        <w:rPr>
          <w:b/>
          <w:i/>
        </w:rPr>
        <w:t>fiscally weak</w:t>
      </w:r>
      <w:r w:rsidR="00C3572E">
        <w:rPr>
          <w:b/>
          <w:i/>
        </w:rPr>
        <w:t>er</w:t>
      </w:r>
      <w:r w:rsidRPr="00EB5BE1">
        <w:rPr>
          <w:b/>
          <w:i/>
        </w:rPr>
        <w:t xml:space="preserve"> </w:t>
      </w:r>
      <w:r w:rsidR="00C3572E">
        <w:rPr>
          <w:b/>
          <w:i/>
        </w:rPr>
        <w:t xml:space="preserve">(than average) </w:t>
      </w:r>
      <w:r w:rsidRPr="00EB5BE1">
        <w:rPr>
          <w:b/>
          <w:i/>
        </w:rPr>
        <w:t>States</w:t>
      </w:r>
      <w:r>
        <w:t xml:space="preserve"> </w:t>
      </w:r>
    </w:p>
    <w:p w:rsidR="003E0500" w:rsidRDefault="003E0500" w:rsidP="003E0500">
      <w:pPr>
        <w:pStyle w:val="CGCBulletlist"/>
        <w:numPr>
          <w:ilvl w:val="0"/>
          <w:numId w:val="1"/>
        </w:numPr>
        <w:tabs>
          <w:tab w:val="clear" w:pos="927"/>
        </w:tabs>
        <w:ind w:left="1134" w:hanging="567"/>
      </w:pPr>
      <w:proofErr w:type="gramStart"/>
      <w:r>
        <w:lastRenderedPageBreak/>
        <w:t>other</w:t>
      </w:r>
      <w:proofErr w:type="gramEnd"/>
      <w:r>
        <w:t xml:space="preserve"> States to require less than a population share — they are </w:t>
      </w:r>
      <w:r w:rsidRPr="00EB5BE1">
        <w:rPr>
          <w:b/>
          <w:i/>
        </w:rPr>
        <w:t>fiscally strong</w:t>
      </w:r>
      <w:r w:rsidR="00C3572E">
        <w:rPr>
          <w:b/>
          <w:i/>
        </w:rPr>
        <w:t>er</w:t>
      </w:r>
      <w:r w:rsidRPr="00EB5BE1">
        <w:rPr>
          <w:b/>
          <w:i/>
        </w:rPr>
        <w:t xml:space="preserve"> </w:t>
      </w:r>
      <w:r w:rsidR="00C3572E">
        <w:rPr>
          <w:b/>
          <w:i/>
        </w:rPr>
        <w:t xml:space="preserve">(than average) </w:t>
      </w:r>
      <w:r w:rsidRPr="00EB5BE1">
        <w:rPr>
          <w:b/>
          <w:i/>
        </w:rPr>
        <w:t>States</w:t>
      </w:r>
      <w:r>
        <w:t>.</w:t>
      </w:r>
      <w:r>
        <w:rPr>
          <w:rStyle w:val="FootnoteReference"/>
        </w:rPr>
        <w:footnoteReference w:id="3"/>
      </w:r>
    </w:p>
    <w:p w:rsidR="003E0500" w:rsidRDefault="003E0500" w:rsidP="003E0500">
      <w:pPr>
        <w:pStyle w:val="CGCNumberedPara"/>
        <w:numPr>
          <w:ilvl w:val="1"/>
          <w:numId w:val="3"/>
        </w:numPr>
      </w:pPr>
      <w:r>
        <w:t>The GST Distribution Review panel observed the effect of the principle was to ensure:</w:t>
      </w:r>
    </w:p>
    <w:p w:rsidR="003E0500" w:rsidRDefault="003E0500" w:rsidP="003E0500">
      <w:pPr>
        <w:pStyle w:val="ListParagraph"/>
      </w:pPr>
      <w:r w:rsidRPr="007A1786">
        <w:t xml:space="preserve">GST payments act as a ‘balancing </w:t>
      </w:r>
      <w:r>
        <w:t xml:space="preserve">item’ to fill the gap between </w:t>
      </w:r>
      <w:r w:rsidRPr="007A1786">
        <w:t>States’ expenditure requirements and the revenue raised and received by them</w:t>
      </w:r>
      <w:r>
        <w:t>.</w:t>
      </w:r>
      <w:r>
        <w:rPr>
          <w:rStyle w:val="FootnoteReference"/>
        </w:rPr>
        <w:footnoteReference w:id="4"/>
      </w:r>
    </w:p>
    <w:p w:rsidR="003E0500" w:rsidRDefault="003E0500" w:rsidP="003E0500">
      <w:pPr>
        <w:pStyle w:val="CGCNumberedPara"/>
        <w:numPr>
          <w:ilvl w:val="1"/>
          <w:numId w:val="3"/>
        </w:numPr>
      </w:pPr>
      <w:r>
        <w:fldChar w:fldCharType="begin"/>
      </w:r>
      <w:r>
        <w:instrText xml:space="preserve"> REF _Ref477509139 \h </w:instrText>
      </w:r>
      <w:r>
        <w:fldChar w:fldCharType="separate"/>
      </w:r>
      <w:r w:rsidR="00DD13C4">
        <w:t>Figure </w:t>
      </w:r>
      <w:r w:rsidR="00DD13C4">
        <w:rPr>
          <w:noProof/>
        </w:rPr>
        <w:t>1</w:t>
      </w:r>
      <w:r>
        <w:fldChar w:fldCharType="end"/>
      </w:r>
      <w:r>
        <w:t xml:space="preserve"> illustrates the GST </w:t>
      </w:r>
      <w:r w:rsidR="00C3572E">
        <w:t>requirement</w:t>
      </w:r>
      <w:r>
        <w:t xml:space="preserve"> as a balancing item. The implications of the way the Commission implements the principle are:</w:t>
      </w:r>
    </w:p>
    <w:p w:rsidR="00576109" w:rsidRDefault="00576109" w:rsidP="00576109">
      <w:pPr>
        <w:pStyle w:val="CGCBulletlist"/>
        <w:numPr>
          <w:ilvl w:val="0"/>
          <w:numId w:val="1"/>
        </w:numPr>
        <w:tabs>
          <w:tab w:val="clear" w:pos="927"/>
        </w:tabs>
        <w:ind w:left="1134" w:hanging="567"/>
      </w:pPr>
      <w:r>
        <w:t>if a State’s fiscal capacity strengthens, the gap between its assessed expenses and revenues reduces and, other things being equal, the Commission will assess it as requiring less GST</w:t>
      </w:r>
    </w:p>
    <w:p w:rsidR="00576109" w:rsidRDefault="00576109" w:rsidP="00576109">
      <w:pPr>
        <w:pStyle w:val="CGCBulletlist"/>
        <w:numPr>
          <w:ilvl w:val="0"/>
          <w:numId w:val="1"/>
        </w:numPr>
        <w:tabs>
          <w:tab w:val="clear" w:pos="927"/>
        </w:tabs>
        <w:ind w:left="1134" w:hanging="567"/>
      </w:pPr>
      <w:r>
        <w:t>if a State’s fiscal capacity weakens, the gap between its assessed expenses and revenues increases and, other things being equal, the Commission will assess it as requiring more GST</w:t>
      </w:r>
    </w:p>
    <w:p w:rsidR="00576109" w:rsidRDefault="00576109" w:rsidP="00576109">
      <w:pPr>
        <w:pStyle w:val="CGCBulletlist"/>
        <w:numPr>
          <w:ilvl w:val="0"/>
          <w:numId w:val="1"/>
        </w:numPr>
        <w:tabs>
          <w:tab w:val="clear" w:pos="927"/>
        </w:tabs>
        <w:ind w:left="1134" w:hanging="567"/>
      </w:pPr>
      <w:r>
        <w:t>the GST requirement is independent of a State’s population share</w:t>
      </w:r>
    </w:p>
    <w:p w:rsidR="00576109" w:rsidRDefault="00576109" w:rsidP="00576109">
      <w:pPr>
        <w:pStyle w:val="CGCSubbulletlist"/>
        <w:numPr>
          <w:ilvl w:val="0"/>
          <w:numId w:val="4"/>
        </w:numPr>
        <w:tabs>
          <w:tab w:val="clear" w:pos="927"/>
        </w:tabs>
        <w:ind w:left="1701" w:hanging="567"/>
      </w:pPr>
      <w:proofErr w:type="gramStart"/>
      <w:r>
        <w:t>the</w:t>
      </w:r>
      <w:proofErr w:type="gramEnd"/>
      <w:r>
        <w:t xml:space="preserve"> expression of States’ GST shares as a ratio of their population shares (relativities) is purely presentational and an historical legacy.</w:t>
      </w:r>
    </w:p>
    <w:p w:rsidR="003E0500" w:rsidRDefault="003E0500" w:rsidP="003E0500">
      <w:pPr>
        <w:pStyle w:val="Caption"/>
      </w:pPr>
      <w:bookmarkStart w:id="19" w:name="_Ref477509139"/>
      <w:r>
        <w:t>Figure </w:t>
      </w:r>
      <w:fldSimple w:instr=" SEQ Figure \* ARABIC ">
        <w:r w:rsidR="00DD13C4">
          <w:rPr>
            <w:noProof/>
          </w:rPr>
          <w:t>1</w:t>
        </w:r>
      </w:fldSimple>
      <w:bookmarkEnd w:id="19"/>
      <w:r>
        <w:tab/>
        <w:t xml:space="preserve">GST </w:t>
      </w:r>
      <w:r w:rsidR="002A409F">
        <w:t>requirements</w:t>
      </w:r>
      <w:r>
        <w:t xml:space="preserve"> as a balancing item, 2017-18</w:t>
      </w:r>
    </w:p>
    <w:p w:rsidR="003E0500" w:rsidRDefault="004D04A9" w:rsidP="003E0500">
      <w:pPr>
        <w:pStyle w:val="CGCTableFootnote"/>
      </w:pPr>
      <w:r w:rsidRPr="004D04A9">
        <w:drawing>
          <wp:inline distT="0" distB="0" distL="0" distR="0">
            <wp:extent cx="5657850" cy="356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pPr>
      <w:r>
        <w:t>Source:</w:t>
      </w:r>
      <w:r>
        <w:tab/>
        <w:t>2017 Update.</w:t>
      </w:r>
    </w:p>
    <w:p w:rsidR="003E0500" w:rsidRPr="00E674AF" w:rsidRDefault="003E0500" w:rsidP="003E0500">
      <w:pPr>
        <w:pStyle w:val="Heading3"/>
      </w:pPr>
      <w:bookmarkStart w:id="20" w:name="_Toc479663192"/>
      <w:r>
        <w:lastRenderedPageBreak/>
        <w:t>OTHER APPROACHES TO DISTRIBUTING THE GST</w:t>
      </w:r>
      <w:bookmarkEnd w:id="20"/>
    </w:p>
    <w:p w:rsidR="003E0500" w:rsidRDefault="003E0500" w:rsidP="003E0500">
      <w:pPr>
        <w:pStyle w:val="CGCNumberedPara"/>
        <w:numPr>
          <w:ilvl w:val="1"/>
          <w:numId w:val="3"/>
        </w:numPr>
      </w:pPr>
      <w:r>
        <w:t xml:space="preserve">In this paper, Commission staff compare three other GST distributions against the </w:t>
      </w:r>
      <w:r w:rsidR="003D74DB">
        <w:t>equalisation</w:t>
      </w:r>
      <w:r>
        <w:t xml:space="preserve"> distribution:</w:t>
      </w:r>
    </w:p>
    <w:p w:rsidR="003E0500" w:rsidRDefault="003E0500" w:rsidP="003E0500">
      <w:pPr>
        <w:pStyle w:val="CGCBulletlist"/>
        <w:numPr>
          <w:ilvl w:val="0"/>
          <w:numId w:val="1"/>
        </w:numPr>
        <w:tabs>
          <w:tab w:val="clear" w:pos="927"/>
        </w:tabs>
        <w:ind w:left="1134" w:hanging="567"/>
      </w:pPr>
      <w:r>
        <w:t xml:space="preserve">an equal per capita (EPC) distribution </w:t>
      </w:r>
    </w:p>
    <w:p w:rsidR="003E0500" w:rsidRDefault="003E0500" w:rsidP="003E0500">
      <w:pPr>
        <w:pStyle w:val="CGCBulletlist"/>
        <w:numPr>
          <w:ilvl w:val="0"/>
          <w:numId w:val="1"/>
        </w:numPr>
        <w:tabs>
          <w:tab w:val="clear" w:pos="927"/>
        </w:tabs>
        <w:ind w:left="1134" w:hanging="567"/>
      </w:pPr>
      <w:r>
        <w:t>a partial EPC distribution</w:t>
      </w:r>
    </w:p>
    <w:p w:rsidR="003E0500" w:rsidRDefault="003E0500" w:rsidP="003E0500">
      <w:pPr>
        <w:pStyle w:val="CGCBulletlist"/>
        <w:numPr>
          <w:ilvl w:val="0"/>
          <w:numId w:val="1"/>
        </w:numPr>
        <w:tabs>
          <w:tab w:val="clear" w:pos="927"/>
        </w:tabs>
        <w:ind w:left="1134" w:hanging="567"/>
      </w:pPr>
      <w:proofErr w:type="gramStart"/>
      <w:r>
        <w:t>an</w:t>
      </w:r>
      <w:proofErr w:type="gramEnd"/>
      <w:r>
        <w:t xml:space="preserve"> actual per capita (APC) distribution.</w:t>
      </w:r>
    </w:p>
    <w:p w:rsidR="003E0500" w:rsidRDefault="003E0500" w:rsidP="003E0500">
      <w:pPr>
        <w:pStyle w:val="CGCNumberedPara"/>
        <w:numPr>
          <w:ilvl w:val="1"/>
          <w:numId w:val="3"/>
        </w:numPr>
      </w:pPr>
      <w:r>
        <w:t>In the last decade, some States have advocated moving the GST distribution to a simple per capita distribution. This is the EPC distribution.</w:t>
      </w:r>
    </w:p>
    <w:p w:rsidR="003E0500" w:rsidRDefault="003E0500" w:rsidP="003E0500">
      <w:pPr>
        <w:pStyle w:val="CGCNumberedPara"/>
        <w:numPr>
          <w:ilvl w:val="1"/>
          <w:numId w:val="3"/>
        </w:numPr>
      </w:pPr>
      <w:r>
        <w:t xml:space="preserve">In a joint submission to the GST Distribution Review, the four </w:t>
      </w:r>
      <w:r w:rsidR="00F2557D">
        <w:t xml:space="preserve">most </w:t>
      </w:r>
      <w:r>
        <w:t>populous States advocated for an EPC distribution of GST, with the Commonwealth being responsible for providing additional assistance to fiscally weak</w:t>
      </w:r>
      <w:r w:rsidR="00302384">
        <w:t>er</w:t>
      </w:r>
      <w:r>
        <w:t xml:space="preserve"> States. In other words, the GST pool would cease to be the sole revenue source for equalisation. Had this proposal operated since the GST’s introduction (in 2000-01), it would have cost the Commonwealth an additional $74 billion. The GST Distribution Review panel said:</w:t>
      </w:r>
    </w:p>
    <w:p w:rsidR="003E0500" w:rsidRDefault="003E0500" w:rsidP="003E0500">
      <w:pPr>
        <w:pStyle w:val="CGCQuotation"/>
      </w:pPr>
      <w:proofErr w:type="gramStart"/>
      <w:r>
        <w:t>the</w:t>
      </w:r>
      <w:proofErr w:type="gramEnd"/>
      <w:r>
        <w:t xml:space="preserve"> Commonwealth has made it clear there is no additional money available to compensate States that would otherwise be worse off under an EPC model.</w:t>
      </w:r>
      <w:r>
        <w:rPr>
          <w:rStyle w:val="FootnoteReference"/>
        </w:rPr>
        <w:footnoteReference w:id="5"/>
      </w:r>
    </w:p>
    <w:p w:rsidR="003E0500" w:rsidRDefault="003E0500" w:rsidP="003E0500">
      <w:pPr>
        <w:pStyle w:val="CGCNumberedPara"/>
        <w:numPr>
          <w:ilvl w:val="1"/>
          <w:numId w:val="3"/>
        </w:numPr>
      </w:pPr>
      <w:bookmarkStart w:id="21" w:name="_Ref479251896"/>
      <w:r>
        <w:t xml:space="preserve">In this paper, Commission </w:t>
      </w:r>
      <w:proofErr w:type="gramStart"/>
      <w:r>
        <w:t>staff explore</w:t>
      </w:r>
      <w:proofErr w:type="gramEnd"/>
      <w:r>
        <w:t xml:space="preserve"> a variation of this proposal</w:t>
      </w:r>
      <w:r w:rsidR="00AB2E6B">
        <w:t xml:space="preserve"> (a partial EPC </w:t>
      </w:r>
      <w:r w:rsidR="00F2557D">
        <w:t>proposal</w:t>
      </w:r>
      <w:r w:rsidR="00AB2E6B">
        <w:rPr>
          <w:rStyle w:val="FootnoteReference"/>
        </w:rPr>
        <w:footnoteReference w:id="6"/>
      </w:r>
      <w:r w:rsidR="00AB2E6B">
        <w:t>)</w:t>
      </w:r>
      <w:r>
        <w:t>, where the additional assistance paid to fiscally weak</w:t>
      </w:r>
      <w:r w:rsidR="00302384">
        <w:t>er</w:t>
      </w:r>
      <w:r>
        <w:t xml:space="preserve"> States is financed from the pool. There are a number of options that could be considered, including:</w:t>
      </w:r>
      <w:bookmarkEnd w:id="21"/>
    </w:p>
    <w:p w:rsidR="003E0500" w:rsidRDefault="003E0500" w:rsidP="003E0500">
      <w:pPr>
        <w:pStyle w:val="CGCBulletlist"/>
        <w:numPr>
          <w:ilvl w:val="0"/>
          <w:numId w:val="1"/>
        </w:numPr>
        <w:tabs>
          <w:tab w:val="clear" w:pos="927"/>
        </w:tabs>
        <w:ind w:left="1134" w:hanging="567"/>
      </w:pPr>
      <w:proofErr w:type="gramStart"/>
      <w:r>
        <w:t>whether</w:t>
      </w:r>
      <w:proofErr w:type="gramEnd"/>
      <w:r>
        <w:t xml:space="preserve"> or not </w:t>
      </w:r>
      <w:r w:rsidR="00CF1895">
        <w:t>Queensland and Western Australia</w:t>
      </w:r>
      <w:r>
        <w:t xml:space="preserve"> should be eligible to receive more than a population share of GST if they are assessed </w:t>
      </w:r>
      <w:r w:rsidR="006B1D8A">
        <w:t>as being a</w:t>
      </w:r>
      <w:r>
        <w:t xml:space="preserve"> fiscally weak</w:t>
      </w:r>
      <w:r w:rsidR="00302384">
        <w:t>er</w:t>
      </w:r>
      <w:r>
        <w:t xml:space="preserve"> </w:t>
      </w:r>
      <w:r w:rsidR="006B1D8A">
        <w:t xml:space="preserve">State </w:t>
      </w:r>
      <w:r>
        <w:t>in a year?</w:t>
      </w:r>
    </w:p>
    <w:p w:rsidR="003E0500" w:rsidRDefault="003E0500" w:rsidP="003E0500">
      <w:pPr>
        <w:pStyle w:val="CGCBulletlist"/>
        <w:numPr>
          <w:ilvl w:val="0"/>
          <w:numId w:val="1"/>
        </w:numPr>
        <w:tabs>
          <w:tab w:val="clear" w:pos="927"/>
        </w:tabs>
        <w:ind w:left="1134" w:hanging="567"/>
      </w:pPr>
      <w:proofErr w:type="gramStart"/>
      <w:r>
        <w:t>whether</w:t>
      </w:r>
      <w:proofErr w:type="gramEnd"/>
      <w:r>
        <w:t xml:space="preserve"> or not fiscally weak</w:t>
      </w:r>
      <w:r w:rsidR="00302384">
        <w:t>er</w:t>
      </w:r>
      <w:r>
        <w:t xml:space="preserve"> States should be lifted up to the</w:t>
      </w:r>
      <w:r w:rsidR="00B375F0">
        <w:t xml:space="preserve"> Commission’s recommended distribution</w:t>
      </w:r>
      <w:r>
        <w:t>?</w:t>
      </w:r>
    </w:p>
    <w:p w:rsidR="003E0500" w:rsidRDefault="00B375F0" w:rsidP="003E0500">
      <w:pPr>
        <w:pStyle w:val="CGCNumberedPara"/>
        <w:numPr>
          <w:ilvl w:val="1"/>
          <w:numId w:val="3"/>
        </w:numPr>
      </w:pPr>
      <w:r>
        <w:t xml:space="preserve">The option </w:t>
      </w:r>
      <w:r w:rsidR="006B1D8A">
        <w:t>implemented in this paper is to</w:t>
      </w:r>
      <w:r>
        <w:t xml:space="preserve"> quantify the amount in excess of the average cost faced by fiscally weak</w:t>
      </w:r>
      <w:r w:rsidR="00302384">
        <w:t>er</w:t>
      </w:r>
      <w:r>
        <w:t xml:space="preserve"> States and the amount less than the average revenue they can raise. </w:t>
      </w:r>
      <w:r w:rsidR="003E0500">
        <w:t>Th</w:t>
      </w:r>
      <w:r w:rsidR="00FC38F0">
        <w:t xml:space="preserve">ese amounts </w:t>
      </w:r>
      <w:r w:rsidR="006B1D8A">
        <w:t>a</w:t>
      </w:r>
      <w:r w:rsidR="00FC38F0">
        <w:t>re</w:t>
      </w:r>
      <w:r>
        <w:t xml:space="preserve"> removed from the pool and paid to </w:t>
      </w:r>
      <w:r w:rsidR="00CF1895">
        <w:t xml:space="preserve">them </w:t>
      </w:r>
      <w:r w:rsidR="003E0500">
        <w:t xml:space="preserve">(including Queensland and Western Australia when relevant). The balance of the pool </w:t>
      </w:r>
      <w:r w:rsidR="006B1D8A">
        <w:t>i</w:t>
      </w:r>
      <w:r w:rsidR="00FC38F0">
        <w:t>s</w:t>
      </w:r>
      <w:r w:rsidR="003E0500" w:rsidRPr="00261F96">
        <w:t xml:space="preserve"> distributed EPC.</w:t>
      </w:r>
      <w:r>
        <w:t xml:space="preserve"> </w:t>
      </w:r>
      <w:r w:rsidR="00FC38F0">
        <w:fldChar w:fldCharType="begin"/>
      </w:r>
      <w:r w:rsidR="00FC38F0">
        <w:instrText xml:space="preserve"> REF _Ref482168406 \h </w:instrText>
      </w:r>
      <w:r w:rsidR="00FC38F0">
        <w:fldChar w:fldCharType="separate"/>
      </w:r>
      <w:r w:rsidR="00DD13C4">
        <w:t>Table </w:t>
      </w:r>
      <w:r w:rsidR="00DD13C4">
        <w:rPr>
          <w:noProof/>
        </w:rPr>
        <w:t>1</w:t>
      </w:r>
      <w:r w:rsidR="00FC38F0">
        <w:fldChar w:fldCharType="end"/>
      </w:r>
      <w:r w:rsidR="00FC38F0">
        <w:t xml:space="preserve"> </w:t>
      </w:r>
      <w:r w:rsidR="006B1D8A">
        <w:t>shows</w:t>
      </w:r>
      <w:r w:rsidR="00FC38F0">
        <w:t xml:space="preserve"> this calculation</w:t>
      </w:r>
      <w:r w:rsidR="006B1D8A">
        <w:t xml:space="preserve"> for 2017-18</w:t>
      </w:r>
      <w:r w:rsidR="00FC38F0">
        <w:t xml:space="preserve">. </w:t>
      </w:r>
      <w:r w:rsidR="003D74DB">
        <w:t>It</w:t>
      </w:r>
      <w:r w:rsidR="006B1D8A">
        <w:t xml:space="preserve"> shows</w:t>
      </w:r>
      <w:r w:rsidR="00C61DDD">
        <w:t>,</w:t>
      </w:r>
      <w:r w:rsidR="006B1D8A">
        <w:t xml:space="preserve"> </w:t>
      </w:r>
      <w:r>
        <w:t>fiscally weak</w:t>
      </w:r>
      <w:r w:rsidR="00302384">
        <w:t>er</w:t>
      </w:r>
      <w:r>
        <w:t xml:space="preserve"> States receive </w:t>
      </w:r>
      <w:r w:rsidR="003654B8">
        <w:t xml:space="preserve">less </w:t>
      </w:r>
      <w:r w:rsidR="006B1D8A">
        <w:t xml:space="preserve">GST under this option </w:t>
      </w:r>
      <w:r w:rsidR="00C61DDD">
        <w:t>compared with</w:t>
      </w:r>
      <w:r w:rsidR="003654B8">
        <w:t xml:space="preserve"> </w:t>
      </w:r>
      <w:r w:rsidR="00DF4AD6">
        <w:t>an</w:t>
      </w:r>
      <w:r>
        <w:t xml:space="preserve"> </w:t>
      </w:r>
      <w:r w:rsidR="003D74DB">
        <w:t>equalisation</w:t>
      </w:r>
      <w:r>
        <w:t xml:space="preserve"> distribution.</w:t>
      </w:r>
      <w:r w:rsidR="006B1D8A">
        <w:rPr>
          <w:rStyle w:val="FootnoteReference"/>
        </w:rPr>
        <w:footnoteReference w:id="7"/>
      </w:r>
      <w:r w:rsidR="00F2557D">
        <w:t xml:space="preserve"> This option is the partial EPC distribution.</w:t>
      </w:r>
    </w:p>
    <w:p w:rsidR="00B8389B" w:rsidRDefault="00B8389B" w:rsidP="003E0500">
      <w:pPr>
        <w:pStyle w:val="CGCNumberedPara"/>
        <w:numPr>
          <w:ilvl w:val="0"/>
          <w:numId w:val="0"/>
        </w:numPr>
        <w:ind w:left="567" w:hanging="567"/>
        <w:rPr>
          <w:szCs w:val="22"/>
        </w:rPr>
      </w:pPr>
    </w:p>
    <w:p w:rsidR="00997044" w:rsidRDefault="00997044" w:rsidP="00997044">
      <w:pPr>
        <w:pStyle w:val="CGCTableHeading"/>
      </w:pPr>
      <w:bookmarkStart w:id="22" w:name="_Ref482168406"/>
      <w:r>
        <w:lastRenderedPageBreak/>
        <w:t>Table </w:t>
      </w:r>
      <w:fldSimple w:instr=" SEQ Table \* ARABIC ">
        <w:r w:rsidR="00DD13C4">
          <w:rPr>
            <w:noProof/>
          </w:rPr>
          <w:t>1</w:t>
        </w:r>
      </w:fldSimple>
      <w:bookmarkEnd w:id="22"/>
      <w:r>
        <w:tab/>
        <w:t>Calculati</w:t>
      </w:r>
      <w:r w:rsidR="00FC38F0">
        <w:t>ng the</w:t>
      </w:r>
      <w:r>
        <w:t xml:space="preserve"> partial equalisation distribution, 2017-18</w:t>
      </w:r>
    </w:p>
    <w:tbl>
      <w:tblPr>
        <w:tblW w:w="5000" w:type="pct"/>
        <w:tblLayout w:type="fixed"/>
        <w:tblCellMar>
          <w:left w:w="0" w:type="dxa"/>
          <w:right w:w="0" w:type="dxa"/>
        </w:tblCellMar>
        <w:tblLook w:val="0000" w:firstRow="0" w:lastRow="0" w:firstColumn="0" w:lastColumn="0" w:noHBand="0" w:noVBand="0"/>
      </w:tblPr>
      <w:tblGrid>
        <w:gridCol w:w="2272"/>
        <w:gridCol w:w="741"/>
        <w:gridCol w:w="741"/>
        <w:gridCol w:w="745"/>
        <w:gridCol w:w="741"/>
        <w:gridCol w:w="743"/>
        <w:gridCol w:w="741"/>
        <w:gridCol w:w="743"/>
        <w:gridCol w:w="741"/>
        <w:gridCol w:w="743"/>
      </w:tblGrid>
      <w:tr w:rsidR="00B057BA" w:rsidRPr="00FE3F73" w:rsidTr="00B057BA">
        <w:tc>
          <w:tcPr>
            <w:tcW w:w="1269" w:type="pct"/>
            <w:tcBorders>
              <w:top w:val="single" w:sz="6" w:space="0" w:color="auto"/>
              <w:bottom w:val="single" w:sz="6" w:space="0" w:color="auto"/>
            </w:tcBorders>
            <w:vAlign w:val="center"/>
          </w:tcPr>
          <w:p w:rsidR="00997044" w:rsidRPr="00FE3F73" w:rsidRDefault="00997044" w:rsidP="00FC38F0">
            <w:pPr>
              <w:pStyle w:val="CGCTableStub"/>
              <w:spacing w:line="240" w:lineRule="auto"/>
              <w:ind w:left="193" w:hanging="142"/>
              <w:rPr>
                <w:rFonts w:cstheme="minorHAnsi"/>
              </w:rPr>
            </w:pPr>
          </w:p>
        </w:tc>
        <w:tc>
          <w:tcPr>
            <w:tcW w:w="414" w:type="pct"/>
            <w:tcBorders>
              <w:top w:val="single" w:sz="6" w:space="0" w:color="auto"/>
              <w:bottom w:val="single" w:sz="6" w:space="0" w:color="auto"/>
            </w:tcBorders>
            <w:vAlign w:val="center"/>
          </w:tcPr>
          <w:p w:rsidR="00997044" w:rsidRPr="00FE3F73" w:rsidRDefault="00997044" w:rsidP="00FC38F0">
            <w:pPr>
              <w:pStyle w:val="TableColHeadings"/>
              <w:rPr>
                <w:rFonts w:cstheme="minorHAnsi"/>
              </w:rPr>
            </w:pPr>
            <w:r w:rsidRPr="00FE3F73">
              <w:rPr>
                <w:rFonts w:cstheme="minorHAnsi"/>
              </w:rPr>
              <w:t>NSW</w:t>
            </w:r>
          </w:p>
        </w:tc>
        <w:tc>
          <w:tcPr>
            <w:tcW w:w="414" w:type="pct"/>
            <w:tcBorders>
              <w:top w:val="single" w:sz="6" w:space="0" w:color="auto"/>
              <w:bottom w:val="single" w:sz="6" w:space="0" w:color="auto"/>
            </w:tcBorders>
            <w:vAlign w:val="center"/>
          </w:tcPr>
          <w:p w:rsidR="00997044" w:rsidRPr="00FE3F73" w:rsidRDefault="00997044" w:rsidP="00FC38F0">
            <w:pPr>
              <w:pStyle w:val="TableColHeadings"/>
              <w:rPr>
                <w:rFonts w:cstheme="minorHAnsi"/>
              </w:rPr>
            </w:pPr>
            <w:r w:rsidRPr="00FE3F73">
              <w:rPr>
                <w:rFonts w:cstheme="minorHAnsi"/>
              </w:rPr>
              <w:t>Vic</w:t>
            </w:r>
          </w:p>
        </w:tc>
        <w:tc>
          <w:tcPr>
            <w:tcW w:w="416" w:type="pct"/>
            <w:tcBorders>
              <w:top w:val="single" w:sz="6" w:space="0" w:color="auto"/>
              <w:bottom w:val="single" w:sz="6" w:space="0" w:color="auto"/>
            </w:tcBorders>
            <w:vAlign w:val="center"/>
          </w:tcPr>
          <w:p w:rsidR="00997044" w:rsidRPr="00FE3F73" w:rsidRDefault="00997044" w:rsidP="00FC38F0">
            <w:pPr>
              <w:pStyle w:val="TableColHeadings"/>
              <w:rPr>
                <w:rFonts w:cstheme="minorHAnsi"/>
              </w:rPr>
            </w:pPr>
            <w:r w:rsidRPr="00FE3F73">
              <w:rPr>
                <w:rFonts w:cstheme="minorHAnsi"/>
              </w:rPr>
              <w:t>Qld</w:t>
            </w:r>
          </w:p>
        </w:tc>
        <w:tc>
          <w:tcPr>
            <w:tcW w:w="414" w:type="pct"/>
            <w:tcBorders>
              <w:top w:val="single" w:sz="6" w:space="0" w:color="auto"/>
              <w:bottom w:val="single" w:sz="6" w:space="0" w:color="auto"/>
            </w:tcBorders>
            <w:vAlign w:val="center"/>
          </w:tcPr>
          <w:p w:rsidR="00997044" w:rsidRPr="00FE3F73" w:rsidRDefault="00997044" w:rsidP="00FC38F0">
            <w:pPr>
              <w:pStyle w:val="TableColHeadings"/>
              <w:rPr>
                <w:rFonts w:cstheme="minorHAnsi"/>
              </w:rPr>
            </w:pPr>
            <w:r w:rsidRPr="00FE3F73">
              <w:rPr>
                <w:rFonts w:cstheme="minorHAnsi"/>
              </w:rPr>
              <w:t>WA</w:t>
            </w:r>
          </w:p>
        </w:tc>
        <w:tc>
          <w:tcPr>
            <w:tcW w:w="415" w:type="pct"/>
            <w:tcBorders>
              <w:top w:val="single" w:sz="6" w:space="0" w:color="auto"/>
              <w:bottom w:val="single" w:sz="6" w:space="0" w:color="auto"/>
            </w:tcBorders>
            <w:vAlign w:val="center"/>
          </w:tcPr>
          <w:p w:rsidR="00997044" w:rsidRPr="00FE3F73" w:rsidRDefault="00997044" w:rsidP="00FC38F0">
            <w:pPr>
              <w:pStyle w:val="TableColHeadings"/>
              <w:rPr>
                <w:rFonts w:cstheme="minorHAnsi"/>
              </w:rPr>
            </w:pPr>
            <w:r w:rsidRPr="00FE3F73">
              <w:rPr>
                <w:rFonts w:cstheme="minorHAnsi"/>
              </w:rPr>
              <w:t>SA</w:t>
            </w:r>
          </w:p>
        </w:tc>
        <w:tc>
          <w:tcPr>
            <w:tcW w:w="414" w:type="pct"/>
            <w:tcBorders>
              <w:top w:val="single" w:sz="6" w:space="0" w:color="auto"/>
              <w:bottom w:val="single" w:sz="6" w:space="0" w:color="auto"/>
            </w:tcBorders>
            <w:vAlign w:val="center"/>
          </w:tcPr>
          <w:p w:rsidR="00997044" w:rsidRPr="00FE3F73" w:rsidRDefault="00997044" w:rsidP="00FC38F0">
            <w:pPr>
              <w:pStyle w:val="TableColHeadings"/>
              <w:rPr>
                <w:rFonts w:cstheme="minorHAnsi"/>
              </w:rPr>
            </w:pPr>
            <w:proofErr w:type="spellStart"/>
            <w:r w:rsidRPr="00FE3F73">
              <w:rPr>
                <w:rFonts w:cstheme="minorHAnsi"/>
              </w:rPr>
              <w:t>Tas</w:t>
            </w:r>
            <w:proofErr w:type="spellEnd"/>
          </w:p>
        </w:tc>
        <w:tc>
          <w:tcPr>
            <w:tcW w:w="415" w:type="pct"/>
            <w:tcBorders>
              <w:top w:val="single" w:sz="6" w:space="0" w:color="auto"/>
              <w:bottom w:val="single" w:sz="6" w:space="0" w:color="auto"/>
            </w:tcBorders>
            <w:vAlign w:val="center"/>
          </w:tcPr>
          <w:p w:rsidR="00997044" w:rsidRPr="00FE3F73" w:rsidRDefault="00997044" w:rsidP="00FC38F0">
            <w:pPr>
              <w:pStyle w:val="TableColHeadings"/>
              <w:rPr>
                <w:rFonts w:cstheme="minorHAnsi"/>
              </w:rPr>
            </w:pPr>
            <w:r w:rsidRPr="00FE3F73">
              <w:rPr>
                <w:rFonts w:cstheme="minorHAnsi"/>
              </w:rPr>
              <w:t>ACT</w:t>
            </w:r>
          </w:p>
        </w:tc>
        <w:tc>
          <w:tcPr>
            <w:tcW w:w="414" w:type="pct"/>
            <w:tcBorders>
              <w:top w:val="single" w:sz="6" w:space="0" w:color="auto"/>
              <w:bottom w:val="single" w:sz="6" w:space="0" w:color="auto"/>
            </w:tcBorders>
            <w:vAlign w:val="center"/>
          </w:tcPr>
          <w:p w:rsidR="00997044" w:rsidRPr="00FE3F73" w:rsidRDefault="00997044" w:rsidP="00FC38F0">
            <w:pPr>
              <w:pStyle w:val="TableColHeadings"/>
              <w:rPr>
                <w:rFonts w:cstheme="minorHAnsi"/>
              </w:rPr>
            </w:pPr>
            <w:r w:rsidRPr="00FE3F73">
              <w:rPr>
                <w:rFonts w:cstheme="minorHAnsi"/>
              </w:rPr>
              <w:t>NT</w:t>
            </w:r>
          </w:p>
        </w:tc>
        <w:tc>
          <w:tcPr>
            <w:tcW w:w="415" w:type="pct"/>
            <w:tcBorders>
              <w:top w:val="single" w:sz="6" w:space="0" w:color="auto"/>
              <w:bottom w:val="single" w:sz="6" w:space="0" w:color="auto"/>
            </w:tcBorders>
            <w:vAlign w:val="center"/>
          </w:tcPr>
          <w:p w:rsidR="00997044" w:rsidRPr="00FE3F73" w:rsidRDefault="00B057BA" w:rsidP="00FC38F0">
            <w:pPr>
              <w:pStyle w:val="TableColHeadings"/>
              <w:rPr>
                <w:rFonts w:cstheme="minorHAnsi"/>
              </w:rPr>
            </w:pPr>
            <w:r>
              <w:rPr>
                <w:rFonts w:cstheme="minorHAnsi"/>
              </w:rPr>
              <w:t>Ave</w:t>
            </w:r>
          </w:p>
        </w:tc>
      </w:tr>
      <w:tr w:rsidR="00B057BA" w:rsidRPr="00FE3F73" w:rsidTr="00F2557D">
        <w:tc>
          <w:tcPr>
            <w:tcW w:w="1269" w:type="pct"/>
            <w:tcMar>
              <w:top w:w="0" w:type="dxa"/>
              <w:bottom w:w="0" w:type="dxa"/>
            </w:tcMar>
            <w:vAlign w:val="bottom"/>
          </w:tcPr>
          <w:p w:rsidR="00997044" w:rsidRPr="00FE3F73" w:rsidRDefault="00997044" w:rsidP="00FC38F0">
            <w:pPr>
              <w:pStyle w:val="CGCTableStub"/>
              <w:spacing w:before="0" w:after="0" w:line="240" w:lineRule="auto"/>
              <w:ind w:left="193" w:hanging="142"/>
              <w:jc w:val="right"/>
              <w:rPr>
                <w:rFonts w:cstheme="minorHAnsi"/>
              </w:rPr>
            </w:pPr>
          </w:p>
        </w:tc>
        <w:tc>
          <w:tcPr>
            <w:tcW w:w="414"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c>
          <w:tcPr>
            <w:tcW w:w="414"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c>
          <w:tcPr>
            <w:tcW w:w="416"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c>
          <w:tcPr>
            <w:tcW w:w="414"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c>
          <w:tcPr>
            <w:tcW w:w="415"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c>
          <w:tcPr>
            <w:tcW w:w="414"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c>
          <w:tcPr>
            <w:tcW w:w="415"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c>
          <w:tcPr>
            <w:tcW w:w="414"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c>
          <w:tcPr>
            <w:tcW w:w="415" w:type="pct"/>
            <w:tcMar>
              <w:top w:w="0" w:type="dxa"/>
              <w:bottom w:w="0" w:type="dxa"/>
            </w:tcMar>
            <w:vAlign w:val="bottom"/>
          </w:tcPr>
          <w:p w:rsidR="00997044" w:rsidRPr="00FE3F73" w:rsidRDefault="00997044" w:rsidP="00FC38F0">
            <w:pPr>
              <w:pStyle w:val="TableRowNormal"/>
              <w:spacing w:before="0" w:after="0" w:line="240" w:lineRule="auto"/>
              <w:ind w:left="0" w:firstLine="0"/>
              <w:rPr>
                <w:rFonts w:cstheme="minorHAnsi"/>
              </w:rPr>
            </w:pPr>
            <w:r>
              <w:rPr>
                <w:rFonts w:cstheme="minorHAnsi"/>
              </w:rPr>
              <w:t>$pc</w:t>
            </w:r>
          </w:p>
        </w:tc>
      </w:tr>
      <w:tr w:rsidR="00B057BA" w:rsidRPr="00FE3F73" w:rsidTr="00F2557D">
        <w:tc>
          <w:tcPr>
            <w:tcW w:w="1269" w:type="pct"/>
            <w:vAlign w:val="bottom"/>
          </w:tcPr>
          <w:p w:rsidR="00B057BA" w:rsidRDefault="00B057BA" w:rsidP="00FC38F0">
            <w:pPr>
              <w:pStyle w:val="CGCTableStub"/>
              <w:tabs>
                <w:tab w:val="left" w:pos="142"/>
                <w:tab w:val="left" w:pos="425"/>
                <w:tab w:val="left" w:pos="709"/>
                <w:tab w:val="left" w:pos="851"/>
              </w:tabs>
              <w:ind w:left="193" w:hanging="142"/>
              <w:rPr>
                <w:rFonts w:cstheme="minorHAnsi"/>
              </w:rPr>
            </w:pPr>
            <w:r>
              <w:rPr>
                <w:rFonts w:cstheme="minorHAnsi"/>
              </w:rPr>
              <w:t>Equalisation (a)</w:t>
            </w:r>
          </w:p>
        </w:tc>
        <w:tc>
          <w:tcPr>
            <w:tcW w:w="414"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2 233</w:t>
            </w:r>
          </w:p>
        </w:tc>
        <w:tc>
          <w:tcPr>
            <w:tcW w:w="414"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2 391</w:t>
            </w:r>
          </w:p>
        </w:tc>
        <w:tc>
          <w:tcPr>
            <w:tcW w:w="416"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3 026</w:t>
            </w:r>
          </w:p>
        </w:tc>
        <w:tc>
          <w:tcPr>
            <w:tcW w:w="414"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883</w:t>
            </w:r>
          </w:p>
        </w:tc>
        <w:tc>
          <w:tcPr>
            <w:tcW w:w="415"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3 646</w:t>
            </w:r>
          </w:p>
        </w:tc>
        <w:tc>
          <w:tcPr>
            <w:tcW w:w="414"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4 559</w:t>
            </w:r>
          </w:p>
        </w:tc>
        <w:tc>
          <w:tcPr>
            <w:tcW w:w="415"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3 042</w:t>
            </w:r>
          </w:p>
        </w:tc>
        <w:tc>
          <w:tcPr>
            <w:tcW w:w="414"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11 848</w:t>
            </w:r>
          </w:p>
        </w:tc>
        <w:tc>
          <w:tcPr>
            <w:tcW w:w="415" w:type="pct"/>
            <w:tcBorders>
              <w:bottom w:val="single" w:sz="4" w:space="0" w:color="auto"/>
            </w:tcBorders>
            <w:vAlign w:val="bottom"/>
          </w:tcPr>
          <w:p w:rsidR="00B057BA" w:rsidRPr="00B057BA" w:rsidRDefault="00B057BA" w:rsidP="00FC38F0">
            <w:pPr>
              <w:pStyle w:val="TableRowNormal"/>
              <w:ind w:left="0" w:firstLine="0"/>
              <w:rPr>
                <w:rFonts w:cstheme="minorHAnsi"/>
              </w:rPr>
            </w:pPr>
            <w:r w:rsidRPr="00B057BA">
              <w:rPr>
                <w:rFonts w:cstheme="minorHAnsi"/>
              </w:rPr>
              <w:t>2 543</w:t>
            </w:r>
          </w:p>
        </w:tc>
      </w:tr>
      <w:tr w:rsidR="00B8389B" w:rsidRPr="00FE3F73" w:rsidTr="00F2557D">
        <w:tc>
          <w:tcPr>
            <w:tcW w:w="1269" w:type="pct"/>
            <w:vAlign w:val="bottom"/>
          </w:tcPr>
          <w:p w:rsidR="00B8389B" w:rsidRDefault="00B8389B" w:rsidP="00B057BA">
            <w:pPr>
              <w:pStyle w:val="CGCTableStub"/>
              <w:tabs>
                <w:tab w:val="left" w:pos="142"/>
                <w:tab w:val="left" w:pos="425"/>
                <w:tab w:val="left" w:pos="709"/>
                <w:tab w:val="left" w:pos="851"/>
              </w:tabs>
              <w:ind w:left="193" w:hanging="142"/>
              <w:rPr>
                <w:rFonts w:cstheme="minorHAnsi"/>
              </w:rPr>
            </w:pPr>
            <w:r>
              <w:rPr>
                <w:rFonts w:cstheme="minorHAnsi"/>
              </w:rPr>
              <w:t>Additional amount for fiscally weaker States (b)</w:t>
            </w:r>
          </w:p>
        </w:tc>
        <w:tc>
          <w:tcPr>
            <w:tcW w:w="414"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0</w:t>
            </w:r>
          </w:p>
        </w:tc>
        <w:tc>
          <w:tcPr>
            <w:tcW w:w="414"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0</w:t>
            </w:r>
          </w:p>
        </w:tc>
        <w:tc>
          <w:tcPr>
            <w:tcW w:w="416"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483</w:t>
            </w:r>
          </w:p>
        </w:tc>
        <w:tc>
          <w:tcPr>
            <w:tcW w:w="414"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0</w:t>
            </w:r>
          </w:p>
        </w:tc>
        <w:tc>
          <w:tcPr>
            <w:tcW w:w="415"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1 104</w:t>
            </w:r>
          </w:p>
        </w:tc>
        <w:tc>
          <w:tcPr>
            <w:tcW w:w="414"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2 016</w:t>
            </w:r>
          </w:p>
        </w:tc>
        <w:tc>
          <w:tcPr>
            <w:tcW w:w="415"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499</w:t>
            </w:r>
          </w:p>
        </w:tc>
        <w:tc>
          <w:tcPr>
            <w:tcW w:w="414"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9 306</w:t>
            </w:r>
          </w:p>
        </w:tc>
        <w:tc>
          <w:tcPr>
            <w:tcW w:w="415" w:type="pct"/>
            <w:tcBorders>
              <w:top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318</w:t>
            </w:r>
          </w:p>
        </w:tc>
      </w:tr>
      <w:tr w:rsidR="00B8389B" w:rsidRPr="00FE3F73" w:rsidTr="00B057BA">
        <w:tc>
          <w:tcPr>
            <w:tcW w:w="1269" w:type="pct"/>
            <w:vAlign w:val="bottom"/>
          </w:tcPr>
          <w:p w:rsidR="00B8389B" w:rsidRDefault="00B8389B" w:rsidP="00B057BA">
            <w:pPr>
              <w:pStyle w:val="CGCTableStub"/>
              <w:tabs>
                <w:tab w:val="left" w:pos="142"/>
                <w:tab w:val="left" w:pos="425"/>
                <w:tab w:val="left" w:pos="709"/>
                <w:tab w:val="left" w:pos="851"/>
              </w:tabs>
              <w:ind w:left="193" w:hanging="142"/>
              <w:rPr>
                <w:rFonts w:cstheme="minorHAnsi"/>
              </w:rPr>
            </w:pPr>
            <w:r>
              <w:rPr>
                <w:rFonts w:cstheme="minorHAnsi"/>
              </w:rPr>
              <w:t>Balance EPC (c)</w:t>
            </w:r>
          </w:p>
        </w:tc>
        <w:tc>
          <w:tcPr>
            <w:tcW w:w="414"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4"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6"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4"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5"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4"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5"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4"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5" w:type="pct"/>
            <w:vAlign w:val="bottom"/>
          </w:tcPr>
          <w:p w:rsidR="00B8389B" w:rsidRPr="00B8389B" w:rsidRDefault="00B8389B" w:rsidP="00FC38F0">
            <w:pPr>
              <w:pStyle w:val="TableRowNormal"/>
              <w:ind w:left="0" w:firstLine="0"/>
              <w:rPr>
                <w:rFonts w:cstheme="minorHAnsi"/>
              </w:rPr>
            </w:pPr>
            <w:r w:rsidRPr="00B8389B">
              <w:rPr>
                <w:rFonts w:cstheme="minorHAnsi"/>
              </w:rPr>
              <w:t>2 225</w:t>
            </w:r>
          </w:p>
        </w:tc>
      </w:tr>
      <w:tr w:rsidR="00B8389B" w:rsidRPr="00FE3F73" w:rsidTr="00B057BA">
        <w:tc>
          <w:tcPr>
            <w:tcW w:w="1269" w:type="pct"/>
            <w:vAlign w:val="bottom"/>
          </w:tcPr>
          <w:p w:rsidR="00B8389B" w:rsidRDefault="00B8389B" w:rsidP="00FC38F0">
            <w:pPr>
              <w:pStyle w:val="CGCTableStub"/>
              <w:tabs>
                <w:tab w:val="left" w:pos="142"/>
                <w:tab w:val="left" w:pos="425"/>
                <w:tab w:val="left" w:pos="709"/>
                <w:tab w:val="left" w:pos="851"/>
              </w:tabs>
              <w:ind w:left="193" w:hanging="142"/>
              <w:rPr>
                <w:rFonts w:cstheme="minorHAnsi"/>
              </w:rPr>
            </w:pPr>
            <w:r>
              <w:rPr>
                <w:rFonts w:cstheme="minorHAnsi"/>
              </w:rPr>
              <w:t>Partial equalisation (d)</w:t>
            </w:r>
          </w:p>
        </w:tc>
        <w:tc>
          <w:tcPr>
            <w:tcW w:w="414"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4"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6"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2 708</w:t>
            </w:r>
          </w:p>
        </w:tc>
        <w:tc>
          <w:tcPr>
            <w:tcW w:w="414"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2 225</w:t>
            </w:r>
          </w:p>
        </w:tc>
        <w:tc>
          <w:tcPr>
            <w:tcW w:w="415"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3 329</w:t>
            </w:r>
          </w:p>
        </w:tc>
        <w:tc>
          <w:tcPr>
            <w:tcW w:w="414"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4 241</w:t>
            </w:r>
          </w:p>
        </w:tc>
        <w:tc>
          <w:tcPr>
            <w:tcW w:w="415"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2 724</w:t>
            </w:r>
          </w:p>
        </w:tc>
        <w:tc>
          <w:tcPr>
            <w:tcW w:w="414"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11 531</w:t>
            </w:r>
          </w:p>
        </w:tc>
        <w:tc>
          <w:tcPr>
            <w:tcW w:w="415" w:type="pct"/>
            <w:tcBorders>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2 543</w:t>
            </w:r>
          </w:p>
        </w:tc>
      </w:tr>
      <w:tr w:rsidR="00B8389B" w:rsidRPr="00FE3F73" w:rsidTr="00B057BA">
        <w:tc>
          <w:tcPr>
            <w:tcW w:w="1269" w:type="pct"/>
            <w:tcBorders>
              <w:bottom w:val="single" w:sz="4" w:space="0" w:color="auto"/>
            </w:tcBorders>
            <w:vAlign w:val="bottom"/>
          </w:tcPr>
          <w:p w:rsidR="00B8389B" w:rsidRDefault="00B8389B" w:rsidP="00FC38F0">
            <w:pPr>
              <w:pStyle w:val="CGCTableStub"/>
              <w:tabs>
                <w:tab w:val="left" w:pos="142"/>
                <w:tab w:val="left" w:pos="425"/>
                <w:tab w:val="left" w:pos="709"/>
                <w:tab w:val="left" w:pos="851"/>
              </w:tabs>
              <w:ind w:left="193" w:hanging="142"/>
              <w:rPr>
                <w:rFonts w:cstheme="minorHAnsi"/>
              </w:rPr>
            </w:pPr>
            <w:r>
              <w:rPr>
                <w:rFonts w:cstheme="minorHAnsi"/>
              </w:rPr>
              <w:t>Difference (e)</w:t>
            </w:r>
          </w:p>
        </w:tc>
        <w:tc>
          <w:tcPr>
            <w:tcW w:w="414"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-9</w:t>
            </w:r>
          </w:p>
        </w:tc>
        <w:tc>
          <w:tcPr>
            <w:tcW w:w="414"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-166</w:t>
            </w:r>
          </w:p>
        </w:tc>
        <w:tc>
          <w:tcPr>
            <w:tcW w:w="416"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-318</w:t>
            </w:r>
          </w:p>
        </w:tc>
        <w:tc>
          <w:tcPr>
            <w:tcW w:w="414"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1 342</w:t>
            </w:r>
          </w:p>
        </w:tc>
        <w:tc>
          <w:tcPr>
            <w:tcW w:w="415"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-318</w:t>
            </w:r>
          </w:p>
        </w:tc>
        <w:tc>
          <w:tcPr>
            <w:tcW w:w="414"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-318</w:t>
            </w:r>
          </w:p>
        </w:tc>
        <w:tc>
          <w:tcPr>
            <w:tcW w:w="415"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-318</w:t>
            </w:r>
          </w:p>
        </w:tc>
        <w:tc>
          <w:tcPr>
            <w:tcW w:w="414"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-318</w:t>
            </w:r>
          </w:p>
        </w:tc>
        <w:tc>
          <w:tcPr>
            <w:tcW w:w="415" w:type="pct"/>
            <w:tcBorders>
              <w:top w:val="single" w:sz="4" w:space="0" w:color="auto"/>
              <w:bottom w:val="single" w:sz="4" w:space="0" w:color="auto"/>
            </w:tcBorders>
            <w:vAlign w:val="bottom"/>
          </w:tcPr>
          <w:p w:rsidR="00B8389B" w:rsidRPr="00B8389B" w:rsidRDefault="00B8389B" w:rsidP="00FC38F0">
            <w:pPr>
              <w:pStyle w:val="TableRowNormal"/>
              <w:ind w:left="0" w:firstLine="0"/>
              <w:rPr>
                <w:rFonts w:cstheme="minorHAnsi"/>
              </w:rPr>
            </w:pPr>
            <w:r w:rsidRPr="00B8389B">
              <w:rPr>
                <w:rFonts w:cstheme="minorHAnsi"/>
              </w:rPr>
              <w:t>0</w:t>
            </w:r>
          </w:p>
        </w:tc>
      </w:tr>
    </w:tbl>
    <w:p w:rsidR="00B057BA" w:rsidRDefault="00B057BA" w:rsidP="00B057BA">
      <w:pPr>
        <w:pStyle w:val="CGCTableFootnote"/>
      </w:pPr>
      <w:r>
        <w:t>(a)</w:t>
      </w:r>
      <w:r>
        <w:tab/>
        <w:t xml:space="preserve">This is </w:t>
      </w:r>
      <w:r w:rsidR="003D74DB">
        <w:t xml:space="preserve">the </w:t>
      </w:r>
      <w:r w:rsidR="002331B5">
        <w:t xml:space="preserve">Commission’s recommended </w:t>
      </w:r>
      <w:r w:rsidR="003D74DB">
        <w:t>distribu</w:t>
      </w:r>
      <w:r>
        <w:t>tion based on the equalisation principle.</w:t>
      </w:r>
    </w:p>
    <w:p w:rsidR="00B057BA" w:rsidRDefault="00B057BA" w:rsidP="00B057BA">
      <w:pPr>
        <w:pStyle w:val="CGCTableFootnote"/>
      </w:pPr>
      <w:r>
        <w:t>(b)</w:t>
      </w:r>
      <w:r>
        <w:tab/>
        <w:t>For the fiscally weaker States, this is the difference between the amounts the Commission recommended and the average per capita pool.</w:t>
      </w:r>
    </w:p>
    <w:p w:rsidR="00B057BA" w:rsidRDefault="00B057BA" w:rsidP="00B057BA">
      <w:pPr>
        <w:pStyle w:val="CGCTableFootnote"/>
      </w:pPr>
      <w:r>
        <w:t>(c)</w:t>
      </w:r>
      <w:r>
        <w:tab/>
        <w:t>This is the GST remaining for distribution after the additional amounts for the fiscally weaker States have been removed.</w:t>
      </w:r>
    </w:p>
    <w:p w:rsidR="00B057BA" w:rsidRDefault="00B057BA" w:rsidP="00B057BA">
      <w:pPr>
        <w:pStyle w:val="CGCTableFootnote"/>
      </w:pPr>
      <w:r>
        <w:t>(d)</w:t>
      </w:r>
      <w:r>
        <w:tab/>
        <w:t>This is the aggregate of the previous two rows.</w:t>
      </w:r>
    </w:p>
    <w:p w:rsidR="00B057BA" w:rsidRDefault="00B057BA" w:rsidP="00B057BA">
      <w:pPr>
        <w:pStyle w:val="CGCTableFootnote"/>
      </w:pPr>
      <w:r>
        <w:t>(e)</w:t>
      </w:r>
      <w:r>
        <w:tab/>
        <w:t>This row shows how much more (or less) each State would receive under the partial equalisation approach compared to the Commission’s recommended amounts.</w:t>
      </w:r>
    </w:p>
    <w:p w:rsidR="00997044" w:rsidRDefault="00997044" w:rsidP="00997044">
      <w:pPr>
        <w:pStyle w:val="CGCTableFootnote"/>
      </w:pPr>
      <w:r>
        <w:t>Source:</w:t>
      </w:r>
      <w:r>
        <w:tab/>
        <w:t>Commission calculation.</w:t>
      </w:r>
    </w:p>
    <w:p w:rsidR="003E0500" w:rsidRDefault="003E0500" w:rsidP="003E0500">
      <w:pPr>
        <w:pStyle w:val="CGCNumberedPara"/>
        <w:numPr>
          <w:ilvl w:val="1"/>
          <w:numId w:val="3"/>
        </w:numPr>
      </w:pPr>
      <w:r>
        <w:t xml:space="preserve">Commission staff also explore a third option, an </w:t>
      </w:r>
      <w:r w:rsidRPr="00261F96">
        <w:t>APC distribution.</w:t>
      </w:r>
      <w:r>
        <w:t xml:space="preserve"> </w:t>
      </w:r>
      <w:r w:rsidR="006B1D8A">
        <w:t>Under this opt</w:t>
      </w:r>
      <w:r w:rsidR="00A30BFE">
        <w:t>i</w:t>
      </w:r>
      <w:r w:rsidR="006B1D8A">
        <w:t>on, the GST is used as a balancing item to fill the gap between S</w:t>
      </w:r>
      <w:r w:rsidR="00680342">
        <w:t>t</w:t>
      </w:r>
      <w:r w:rsidR="006B1D8A">
        <w:t>ates’ actual expense and infrastructure spending and the actual revenues raised and received by them.</w:t>
      </w:r>
      <w:r w:rsidR="006B1D8A">
        <w:rPr>
          <w:rStyle w:val="FootnoteReference"/>
        </w:rPr>
        <w:footnoteReference w:id="8"/>
      </w:r>
    </w:p>
    <w:p w:rsidR="003E0500" w:rsidRPr="00E674AF" w:rsidRDefault="003E0500" w:rsidP="003E0500">
      <w:pPr>
        <w:pStyle w:val="Heading3"/>
      </w:pPr>
      <w:bookmarkStart w:id="23" w:name="_Toc477424593"/>
      <w:bookmarkStart w:id="24" w:name="_Toc479663193"/>
      <w:bookmarkStart w:id="25" w:name="_Toc477424589"/>
      <w:r>
        <w:t>WHAT ARE THE IMPLICATIONS OF MOVING RELATIVITIES CLOSER TO EQUAL PER CAPITA?</w:t>
      </w:r>
      <w:bookmarkEnd w:id="23"/>
      <w:bookmarkEnd w:id="24"/>
    </w:p>
    <w:p w:rsidR="003E0500" w:rsidRDefault="003E0500" w:rsidP="003E0500">
      <w:pPr>
        <w:pStyle w:val="CGCNumberedPara"/>
        <w:numPr>
          <w:ilvl w:val="1"/>
          <w:numId w:val="3"/>
        </w:numPr>
      </w:pPr>
      <w:r>
        <w:t>In the past, New South Wales said an EPC distribution was an equalising distribution because it involved a transfer from fiscally strong</w:t>
      </w:r>
      <w:r w:rsidR="00BB542E">
        <w:t>er</w:t>
      </w:r>
      <w:r>
        <w:t xml:space="preserve"> to fiscally weak</w:t>
      </w:r>
      <w:r w:rsidR="00BB542E">
        <w:t>er</w:t>
      </w:r>
      <w:r>
        <w:t xml:space="preserve"> States. This reflects a view that if more GST per capita is raised in the jurisdictions of fiscally strong</w:t>
      </w:r>
      <w:r w:rsidR="00DA64AE">
        <w:t>er</w:t>
      </w:r>
      <w:r>
        <w:t xml:space="preserve"> States, then distributing that GST EPC represents a transfer from fiscally strong</w:t>
      </w:r>
      <w:r w:rsidR="00DA64AE">
        <w:t>er</w:t>
      </w:r>
      <w:r>
        <w:t xml:space="preserve"> to fiscally weak</w:t>
      </w:r>
      <w:r w:rsidR="00DA64AE">
        <w:t>er</w:t>
      </w:r>
      <w:r>
        <w:t xml:space="preserve"> States.</w:t>
      </w:r>
      <w:r w:rsidRPr="00A037B2">
        <w:t xml:space="preserve"> </w:t>
      </w:r>
      <w:r>
        <w:t>Any distribution that gives fiscally weak</w:t>
      </w:r>
      <w:r w:rsidR="00DA64AE">
        <w:t>er</w:t>
      </w:r>
      <w:r>
        <w:t xml:space="preserve"> States more GST than was raised in their jurisdiction would satisfy this concept of an equalising distribution.</w:t>
      </w:r>
    </w:p>
    <w:p w:rsidR="003E0500" w:rsidRDefault="003E0500" w:rsidP="003E0500">
      <w:pPr>
        <w:pStyle w:val="CGCNumberedPara"/>
        <w:numPr>
          <w:ilvl w:val="1"/>
          <w:numId w:val="3"/>
        </w:numPr>
      </w:pPr>
      <w:r>
        <w:t>The Commission has said an EPC distribution does not achieve equalisation. In its 2015 Review report it said:</w:t>
      </w:r>
    </w:p>
    <w:p w:rsidR="003E0500" w:rsidRPr="00E674AF" w:rsidRDefault="003E0500" w:rsidP="003E0500">
      <w:pPr>
        <w:pStyle w:val="CGCQuotation"/>
      </w:pPr>
      <w:r w:rsidRPr="00D46FDE">
        <w:t xml:space="preserve">If the task is to give all States the same capacity to deliver services after taking into account their revenue raised at average policy, then the distribution advocated by New South Wales would not achieve that </w:t>
      </w:r>
      <w:r w:rsidRPr="00D46FDE">
        <w:lastRenderedPageBreak/>
        <w:t>outcome. An EPC distribution which, by definition, does not change the relative fiscal capacities of State governments cannot result in the equalisation of their fiscal capacitie</w:t>
      </w:r>
      <w:r>
        <w:t>s.</w:t>
      </w:r>
      <w:r>
        <w:rPr>
          <w:rStyle w:val="FootnoteReference"/>
          <w:sz w:val="24"/>
          <w:szCs w:val="22"/>
        </w:rPr>
        <w:footnoteReference w:id="9"/>
      </w:r>
    </w:p>
    <w:p w:rsidR="003E0500" w:rsidRDefault="003E0500" w:rsidP="003E0500">
      <w:pPr>
        <w:pStyle w:val="CGCNumberedPara"/>
        <w:numPr>
          <w:ilvl w:val="1"/>
          <w:numId w:val="3"/>
        </w:numPr>
      </w:pPr>
      <w:r>
        <w:t xml:space="preserve">Only a distribution that equalises State fiscal capacities satisfies the </w:t>
      </w:r>
      <w:r w:rsidR="002551FA">
        <w:t>equalisation principle</w:t>
      </w:r>
      <w:r w:rsidR="003D74DB">
        <w:t xml:space="preserve">. </w:t>
      </w:r>
      <w:r>
        <w:t>If a State receives less than its recommended amount</w:t>
      </w:r>
      <w:r w:rsidR="00B64FAF">
        <w:t>,</w:t>
      </w:r>
      <w:r>
        <w:t xml:space="preserve"> it is </w:t>
      </w:r>
      <w:r w:rsidRPr="00A037B2">
        <w:rPr>
          <w:b/>
          <w:i/>
        </w:rPr>
        <w:t>under</w:t>
      </w:r>
      <w:r w:rsidR="00892EF6">
        <w:rPr>
          <w:b/>
          <w:i/>
        </w:rPr>
        <w:noBreakHyphen/>
      </w:r>
      <w:r w:rsidRPr="00A037B2">
        <w:rPr>
          <w:b/>
          <w:i/>
        </w:rPr>
        <w:t>equalised</w:t>
      </w:r>
      <w:r>
        <w:t xml:space="preserve"> and it would have insufficient revenue to finance the average level of service. If a State receives more than its recommended amount</w:t>
      </w:r>
      <w:r w:rsidR="00B64FAF">
        <w:t>,</w:t>
      </w:r>
      <w:r>
        <w:t xml:space="preserve"> it is </w:t>
      </w:r>
      <w:r w:rsidRPr="00A037B2">
        <w:rPr>
          <w:b/>
          <w:i/>
        </w:rPr>
        <w:t>over</w:t>
      </w:r>
      <w:r w:rsidR="00892EF6">
        <w:rPr>
          <w:b/>
          <w:i/>
        </w:rPr>
        <w:noBreakHyphen/>
      </w:r>
      <w:r w:rsidRPr="00A037B2">
        <w:rPr>
          <w:b/>
          <w:i/>
        </w:rPr>
        <w:t>equalised</w:t>
      </w:r>
      <w:r>
        <w:t xml:space="preserve"> and would have more revenue than it required </w:t>
      </w:r>
      <w:proofErr w:type="gramStart"/>
      <w:r>
        <w:t>to finance</w:t>
      </w:r>
      <w:proofErr w:type="gramEnd"/>
      <w:r>
        <w:t xml:space="preserve"> the average level of service.</w:t>
      </w:r>
    </w:p>
    <w:p w:rsidR="003E0500" w:rsidRDefault="003E0500" w:rsidP="003E0500">
      <w:pPr>
        <w:pStyle w:val="CGCNumberedPara"/>
        <w:numPr>
          <w:ilvl w:val="1"/>
          <w:numId w:val="3"/>
        </w:numPr>
      </w:pPr>
      <w:r>
        <w:fldChar w:fldCharType="begin"/>
      </w:r>
      <w:r>
        <w:instrText xml:space="preserve"> REF _Ref476732657 \h </w:instrText>
      </w:r>
      <w:r>
        <w:fldChar w:fldCharType="separate"/>
      </w:r>
      <w:r w:rsidR="00DD13C4">
        <w:t>Figure </w:t>
      </w:r>
      <w:r w:rsidR="00DD13C4">
        <w:rPr>
          <w:noProof/>
        </w:rPr>
        <w:t>2</w:t>
      </w:r>
      <w:r>
        <w:fldChar w:fldCharType="end"/>
      </w:r>
      <w:r>
        <w:t xml:space="preserve"> reproduces </w:t>
      </w:r>
      <w:r>
        <w:fldChar w:fldCharType="begin"/>
      </w:r>
      <w:r>
        <w:instrText xml:space="preserve"> REF _Ref477509139 \h </w:instrText>
      </w:r>
      <w:r>
        <w:fldChar w:fldCharType="separate"/>
      </w:r>
      <w:r w:rsidR="00DD13C4">
        <w:t>Figure </w:t>
      </w:r>
      <w:r w:rsidR="00DD13C4">
        <w:rPr>
          <w:noProof/>
        </w:rPr>
        <w:t>1</w:t>
      </w:r>
      <w:r>
        <w:fldChar w:fldCharType="end"/>
      </w:r>
      <w:r>
        <w:t>, except the GST payments are distributed EPC. It shows this distribution would leave New South Wales, Victoria and Western Australia over</w:t>
      </w:r>
      <w:r w:rsidR="00892EF6">
        <w:noBreakHyphen/>
      </w:r>
      <w:r>
        <w:t>equalised — their assessed revenues exceed their assessed costs of providing the average service. The remaining States would be under</w:t>
      </w:r>
      <w:r w:rsidR="00892EF6">
        <w:noBreakHyphen/>
      </w:r>
      <w:r>
        <w:t>equalised.</w:t>
      </w:r>
      <w:r w:rsidR="00EF0770">
        <w:t xml:space="preserve"> In other words, an EPC distribution fail</w:t>
      </w:r>
      <w:r w:rsidR="003654B8">
        <w:t>s</w:t>
      </w:r>
      <w:r w:rsidR="00EF0770">
        <w:t xml:space="preserve"> to ensure </w:t>
      </w:r>
      <w:r w:rsidR="00EF0770" w:rsidRPr="003654B8">
        <w:rPr>
          <w:u w:val="single"/>
        </w:rPr>
        <w:t>all</w:t>
      </w:r>
      <w:r w:rsidR="00EF0770">
        <w:t xml:space="preserve"> States </w:t>
      </w:r>
      <w:r w:rsidR="00D05D97">
        <w:t>receive</w:t>
      </w:r>
      <w:r w:rsidR="00EF0770">
        <w:t xml:space="preserve"> the revenue needed to provide the average level of service and so does not satisfy the equalisation</w:t>
      </w:r>
      <w:r w:rsidR="00D05D97">
        <w:t xml:space="preserve"> principle</w:t>
      </w:r>
      <w:r w:rsidR="00EF0770">
        <w:t>.</w:t>
      </w:r>
    </w:p>
    <w:p w:rsidR="003E0500" w:rsidRDefault="003E0500" w:rsidP="003E0500">
      <w:pPr>
        <w:pStyle w:val="Caption"/>
      </w:pPr>
      <w:bookmarkStart w:id="26" w:name="_Ref476732657"/>
      <w:r>
        <w:t>Figure </w:t>
      </w:r>
      <w:r w:rsidR="003D74DB">
        <w:fldChar w:fldCharType="begin"/>
      </w:r>
      <w:r w:rsidR="003D74DB">
        <w:instrText xml:space="preserve"> SEQ Figure \* ARABIC </w:instrText>
      </w:r>
      <w:r w:rsidR="003D74DB">
        <w:fldChar w:fldCharType="separate"/>
      </w:r>
      <w:proofErr w:type="gramStart"/>
      <w:r w:rsidR="00DD13C4">
        <w:rPr>
          <w:noProof/>
        </w:rPr>
        <w:t>2</w:t>
      </w:r>
      <w:r w:rsidR="003D74DB">
        <w:rPr>
          <w:noProof/>
        </w:rPr>
        <w:fldChar w:fldCharType="end"/>
      </w:r>
      <w:bookmarkEnd w:id="26"/>
      <w:r>
        <w:tab/>
        <w:t>Equal per capita distribution</w:t>
      </w:r>
      <w:proofErr w:type="gramEnd"/>
      <w:r>
        <w:t xml:space="preserve"> of GST payments, 2017-18</w:t>
      </w:r>
    </w:p>
    <w:p w:rsidR="003E0500" w:rsidRDefault="004D04A9" w:rsidP="003E0500">
      <w:pPr>
        <w:pStyle w:val="CGCTableFootnote"/>
      </w:pPr>
      <w:r w:rsidRPr="004D04A9">
        <w:drawing>
          <wp:inline distT="0" distB="0" distL="0" distR="0">
            <wp:extent cx="5657850"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pPr>
      <w:r>
        <w:t>Source:</w:t>
      </w:r>
      <w:r>
        <w:tab/>
        <w:t>2017 Update.</w:t>
      </w:r>
    </w:p>
    <w:p w:rsidR="00892EF6" w:rsidRDefault="00892EF6" w:rsidP="00892EF6">
      <w:pPr>
        <w:pStyle w:val="CGCNumberedPara"/>
        <w:numPr>
          <w:ilvl w:val="1"/>
          <w:numId w:val="3"/>
        </w:numPr>
      </w:pPr>
      <w:bookmarkStart w:id="27" w:name="_Toc479663194"/>
      <w:bookmarkEnd w:id="25"/>
      <w:r>
        <w:t xml:space="preserve">States have </w:t>
      </w:r>
      <w:r w:rsidR="008E0B6B">
        <w:t xml:space="preserve">however </w:t>
      </w:r>
      <w:r>
        <w:t xml:space="preserve">argued for an EPC distribution on other grounds. They consider the current system to be too complex, volatile and unpredictable and to suffer from false precision. They believe an EPC distribution would address these problems. Commission </w:t>
      </w:r>
      <w:proofErr w:type="gramStart"/>
      <w:r>
        <w:t xml:space="preserve">staff </w:t>
      </w:r>
      <w:r w:rsidR="008E0B6B">
        <w:t>consider</w:t>
      </w:r>
      <w:proofErr w:type="gramEnd"/>
      <w:r>
        <w:t xml:space="preserve"> an APC distribution could be argued to address these </w:t>
      </w:r>
      <w:r>
        <w:lastRenderedPageBreak/>
        <w:t>problems.</w:t>
      </w:r>
      <w:r w:rsidR="008E0B6B">
        <w:t xml:space="preserve"> Compared with </w:t>
      </w:r>
      <w:r w:rsidR="00DF4AD6">
        <w:t>an</w:t>
      </w:r>
      <w:r w:rsidR="003D74DB">
        <w:t xml:space="preserve"> equalisation</w:t>
      </w:r>
      <w:r w:rsidR="008E0B6B">
        <w:t xml:space="preserve"> distribution, an EPC distribution </w:t>
      </w:r>
      <w:r w:rsidR="002331B5">
        <w:t>takes</w:t>
      </w:r>
      <w:r w:rsidR="008E0B6B">
        <w:t xml:space="preserve"> no account of </w:t>
      </w:r>
      <w:r w:rsidR="00D05D97">
        <w:t xml:space="preserve">differences in </w:t>
      </w:r>
      <w:r w:rsidR="008E0B6B">
        <w:t>State fiscal capacit</w:t>
      </w:r>
      <w:r w:rsidR="00D05D97">
        <w:t>ies</w:t>
      </w:r>
      <w:r w:rsidR="002551FA">
        <w:t xml:space="preserve"> </w:t>
      </w:r>
      <w:r w:rsidR="008E0B6B">
        <w:t xml:space="preserve">and an APC assessment </w:t>
      </w:r>
      <w:r w:rsidR="002331B5">
        <w:t>tak</w:t>
      </w:r>
      <w:r w:rsidR="008E0B6B">
        <w:t xml:space="preserve">es </w:t>
      </w:r>
      <w:r w:rsidR="002331B5">
        <w:t xml:space="preserve">no </w:t>
      </w:r>
      <w:r w:rsidR="008E0B6B">
        <w:t xml:space="preserve">account of </w:t>
      </w:r>
      <w:r w:rsidR="00D05D97">
        <w:t xml:space="preserve">differences in State </w:t>
      </w:r>
      <w:r w:rsidR="008E0B6B">
        <w:t>polic</w:t>
      </w:r>
      <w:r w:rsidR="00D05D97">
        <w:t>i</w:t>
      </w:r>
      <w:r w:rsidR="008E0B6B">
        <w:t xml:space="preserve">es. </w:t>
      </w:r>
    </w:p>
    <w:p w:rsidR="003E0500" w:rsidRPr="00970E6D" w:rsidRDefault="003E0500" w:rsidP="003E0500">
      <w:pPr>
        <w:pStyle w:val="Heading3"/>
      </w:pPr>
      <w:r>
        <w:t>THE EFFECT OF CHANGING THE GST DISTRIBUTION</w:t>
      </w:r>
      <w:bookmarkEnd w:id="27"/>
    </w:p>
    <w:p w:rsidR="003E0500" w:rsidRDefault="003E0500" w:rsidP="003E0500">
      <w:pPr>
        <w:pStyle w:val="Heading4"/>
      </w:pPr>
      <w:bookmarkStart w:id="28" w:name="_Toc477424590"/>
      <w:bookmarkStart w:id="29" w:name="_Toc479663195"/>
      <w:r>
        <w:t>What are the implications of the different GST distributions</w:t>
      </w:r>
      <w:bookmarkEnd w:id="28"/>
      <w:r>
        <w:t>?</w:t>
      </w:r>
      <w:bookmarkEnd w:id="29"/>
    </w:p>
    <w:p w:rsidR="003E0500" w:rsidRDefault="003E0500" w:rsidP="003E0500">
      <w:pPr>
        <w:pStyle w:val="Heading5"/>
      </w:pPr>
      <w:r>
        <w:t xml:space="preserve">The Commission’s </w:t>
      </w:r>
      <w:r w:rsidR="00BF1DE2">
        <w:t>current distribution approach</w:t>
      </w:r>
    </w:p>
    <w:p w:rsidR="003E0500" w:rsidRDefault="00BF1DE2" w:rsidP="003E0500">
      <w:pPr>
        <w:pStyle w:val="CGCNumberedPara"/>
        <w:numPr>
          <w:ilvl w:val="1"/>
          <w:numId w:val="3"/>
        </w:numPr>
      </w:pPr>
      <w:r>
        <w:t>To implement the equalisation principle</w:t>
      </w:r>
      <w:r w:rsidR="003E0500">
        <w:t>, the Commission assesses a State to require more than a population share of GST if it:</w:t>
      </w:r>
    </w:p>
    <w:p w:rsidR="003E0500" w:rsidRDefault="003E0500" w:rsidP="003E0500">
      <w:pPr>
        <w:pStyle w:val="CGCBulletlist"/>
        <w:numPr>
          <w:ilvl w:val="0"/>
          <w:numId w:val="1"/>
        </w:numPr>
        <w:tabs>
          <w:tab w:val="clear" w:pos="927"/>
        </w:tabs>
        <w:ind w:left="1134" w:hanging="567"/>
      </w:pPr>
      <w:r>
        <w:t xml:space="preserve">faces higher </w:t>
      </w:r>
      <w:r w:rsidR="00332D6E">
        <w:t xml:space="preserve">than average </w:t>
      </w:r>
      <w:r>
        <w:t>costs of providing the average service</w:t>
      </w:r>
    </w:p>
    <w:p w:rsidR="00EF4FAE" w:rsidRDefault="003E0500" w:rsidP="003E0500">
      <w:pPr>
        <w:pStyle w:val="CGCBulletlist"/>
        <w:numPr>
          <w:ilvl w:val="0"/>
          <w:numId w:val="1"/>
        </w:numPr>
        <w:tabs>
          <w:tab w:val="clear" w:pos="927"/>
        </w:tabs>
        <w:ind w:left="1134" w:hanging="567"/>
      </w:pPr>
      <w:r>
        <w:t xml:space="preserve">has a lower </w:t>
      </w:r>
      <w:r w:rsidR="0052788B">
        <w:t xml:space="preserve">than average </w:t>
      </w:r>
      <w:r>
        <w:t>capacity to raise revenue</w:t>
      </w:r>
      <w:r w:rsidR="00EF4FAE">
        <w:t>, and/or</w:t>
      </w:r>
    </w:p>
    <w:p w:rsidR="003E0500" w:rsidRDefault="00EF4FAE" w:rsidP="003E0500">
      <w:pPr>
        <w:pStyle w:val="CGCBulletlist"/>
        <w:numPr>
          <w:ilvl w:val="0"/>
          <w:numId w:val="1"/>
        </w:numPr>
        <w:tabs>
          <w:tab w:val="clear" w:pos="927"/>
        </w:tabs>
        <w:ind w:left="1134" w:hanging="567"/>
      </w:pPr>
      <w:proofErr w:type="gramStart"/>
      <w:r>
        <w:t>received</w:t>
      </w:r>
      <w:proofErr w:type="gramEnd"/>
      <w:r>
        <w:t xml:space="preserve"> more than </w:t>
      </w:r>
      <w:r w:rsidR="00CE54DA">
        <w:t>average level of payments for specific purposes</w:t>
      </w:r>
      <w:r w:rsidR="003E0500">
        <w:t xml:space="preserve">. </w:t>
      </w:r>
    </w:p>
    <w:p w:rsidR="003E0500" w:rsidRDefault="003E0500" w:rsidP="003E0500">
      <w:pPr>
        <w:pStyle w:val="CGCNumberedPara"/>
        <w:numPr>
          <w:ilvl w:val="1"/>
          <w:numId w:val="3"/>
        </w:numPr>
      </w:pPr>
      <w:r>
        <w:t>The implication of this distribution is that fiscally weak</w:t>
      </w:r>
      <w:r w:rsidR="0052788B">
        <w:t>er</w:t>
      </w:r>
      <w:r>
        <w:t xml:space="preserve"> States receive more than a population share of GST and fiscally strong</w:t>
      </w:r>
      <w:r w:rsidR="0052788B">
        <w:t>er</w:t>
      </w:r>
      <w:r>
        <w:t xml:space="preserve"> States receive less than a population share. The extent of their difference from a population share is determined by the difference between their assessed fiscal capacity and the average fiscal capacity.</w:t>
      </w:r>
    </w:p>
    <w:p w:rsidR="003E0500" w:rsidRDefault="003E0500" w:rsidP="003E0500">
      <w:pPr>
        <w:pStyle w:val="Heading5"/>
      </w:pPr>
      <w:r>
        <w:t>An EPC distribution</w:t>
      </w:r>
    </w:p>
    <w:p w:rsidR="003E0500" w:rsidRDefault="003E0500" w:rsidP="003E0500">
      <w:pPr>
        <w:pStyle w:val="CGCNumberedPara"/>
        <w:numPr>
          <w:ilvl w:val="1"/>
          <w:numId w:val="3"/>
        </w:numPr>
      </w:pPr>
      <w:r>
        <w:t xml:space="preserve">Under this </w:t>
      </w:r>
      <w:r w:rsidR="00BF1DE2">
        <w:t>option</w:t>
      </w:r>
      <w:r>
        <w:t>, all States receive a population share of GST.</w:t>
      </w:r>
    </w:p>
    <w:p w:rsidR="003E0500" w:rsidRDefault="003F0BAD" w:rsidP="003E0500">
      <w:pPr>
        <w:pStyle w:val="CGCNumberedPara"/>
        <w:numPr>
          <w:ilvl w:val="1"/>
          <w:numId w:val="3"/>
        </w:numPr>
      </w:pPr>
      <w:r>
        <w:t>The implication of this</w:t>
      </w:r>
      <w:r w:rsidR="002551FA">
        <w:t xml:space="preserve"> distribution</w:t>
      </w:r>
      <w:r>
        <w:t xml:space="preserve"> is that </w:t>
      </w:r>
      <w:r w:rsidR="003E0500">
        <w:t>fiscally weak</w:t>
      </w:r>
      <w:r w:rsidR="00C75528">
        <w:t>er</w:t>
      </w:r>
      <w:r w:rsidR="00FB1B02">
        <w:t xml:space="preserve"> States</w:t>
      </w:r>
      <w:r w:rsidR="003E0500">
        <w:t xml:space="preserve"> </w:t>
      </w:r>
      <w:r>
        <w:t xml:space="preserve">would be </w:t>
      </w:r>
      <w:r w:rsidR="003E0500">
        <w:t>under</w:t>
      </w:r>
      <w:r w:rsidR="0052788B">
        <w:noBreakHyphen/>
      </w:r>
      <w:r w:rsidR="003E0500">
        <w:t xml:space="preserve">equalised and fiscally strong States </w:t>
      </w:r>
      <w:r>
        <w:t xml:space="preserve">would be </w:t>
      </w:r>
      <w:r w:rsidR="003E0500">
        <w:t>over</w:t>
      </w:r>
      <w:r w:rsidR="00C75528">
        <w:noBreakHyphen/>
      </w:r>
      <w:r w:rsidR="003E0500">
        <w:t>equalised.</w:t>
      </w:r>
    </w:p>
    <w:p w:rsidR="003E0500" w:rsidRDefault="003E0500" w:rsidP="003E0500">
      <w:pPr>
        <w:pStyle w:val="Heading5"/>
      </w:pPr>
      <w:r>
        <w:t>A partial EPC distribution</w:t>
      </w:r>
    </w:p>
    <w:p w:rsidR="003E0500" w:rsidRDefault="003E0500" w:rsidP="003E0500">
      <w:pPr>
        <w:pStyle w:val="CGCNumberedPara"/>
        <w:numPr>
          <w:ilvl w:val="1"/>
          <w:numId w:val="3"/>
        </w:numPr>
      </w:pPr>
      <w:r>
        <w:t xml:space="preserve">Under this </w:t>
      </w:r>
      <w:r w:rsidR="00BF1DE2">
        <w:t>option</w:t>
      </w:r>
      <w:r>
        <w:t>, the fiscally weak</w:t>
      </w:r>
      <w:r w:rsidR="00C75528">
        <w:t>er</w:t>
      </w:r>
      <w:r>
        <w:t xml:space="preserve"> States receive more than a population share of GST</w:t>
      </w:r>
      <w:r w:rsidR="00FB1B02">
        <w:t xml:space="preserve">, </w:t>
      </w:r>
      <w:r>
        <w:t xml:space="preserve">but not as much as under </w:t>
      </w:r>
      <w:r w:rsidR="003D74DB">
        <w:t>the equalisation distribu</w:t>
      </w:r>
      <w:r w:rsidR="00FB1B02">
        <w:t>tion.</w:t>
      </w:r>
      <w:r>
        <w:rPr>
          <w:rStyle w:val="FootnoteReference"/>
        </w:rPr>
        <w:footnoteReference w:id="10"/>
      </w:r>
      <w:r>
        <w:t xml:space="preserve"> </w:t>
      </w:r>
      <w:r w:rsidR="00FB1B02">
        <w:t>F</w:t>
      </w:r>
      <w:r>
        <w:t>iscally strong</w:t>
      </w:r>
      <w:r w:rsidR="00C75528">
        <w:t>er</w:t>
      </w:r>
      <w:r>
        <w:t xml:space="preserve"> States receive less than a population share of GST</w:t>
      </w:r>
      <w:r w:rsidR="00FB1B02">
        <w:t>,</w:t>
      </w:r>
      <w:r w:rsidR="00BF1DE2">
        <w:t xml:space="preserve"> </w:t>
      </w:r>
      <w:r w:rsidR="00C75528">
        <w:t>but</w:t>
      </w:r>
      <w:r w:rsidR="00BF1DE2">
        <w:t xml:space="preserve"> </w:t>
      </w:r>
      <w:r w:rsidR="00FB1B02">
        <w:t>(</w:t>
      </w:r>
      <w:r w:rsidR="00BF1DE2">
        <w:t>in most cases</w:t>
      </w:r>
      <w:r w:rsidR="00FB1B02">
        <w:t>)</w:t>
      </w:r>
      <w:r w:rsidR="00BF1DE2">
        <w:t xml:space="preserve"> more than under </w:t>
      </w:r>
      <w:r w:rsidR="003D74DB">
        <w:t>the equalisation distribu</w:t>
      </w:r>
      <w:r w:rsidR="00FB1B02">
        <w:t>tion</w:t>
      </w:r>
      <w:r>
        <w:t>.</w:t>
      </w:r>
    </w:p>
    <w:p w:rsidR="003E0500" w:rsidRDefault="003E0500" w:rsidP="003E0500">
      <w:pPr>
        <w:pStyle w:val="CGCNumberedPara"/>
        <w:numPr>
          <w:ilvl w:val="1"/>
          <w:numId w:val="3"/>
        </w:numPr>
      </w:pPr>
      <w:r>
        <w:t>The implication of this distribution is that</w:t>
      </w:r>
      <w:r w:rsidRPr="004A4539">
        <w:t xml:space="preserve"> </w:t>
      </w:r>
      <w:r>
        <w:t>fiscally weak</w:t>
      </w:r>
      <w:r w:rsidR="00C75528">
        <w:t>er</w:t>
      </w:r>
      <w:r>
        <w:t xml:space="preserve"> States would be under</w:t>
      </w:r>
      <w:r w:rsidR="00C75528">
        <w:noBreakHyphen/>
      </w:r>
      <w:r>
        <w:t xml:space="preserve">equalised. </w:t>
      </w:r>
      <w:r w:rsidR="00EF4FAE">
        <w:t>At least one</w:t>
      </w:r>
      <w:r>
        <w:t xml:space="preserve"> fiscally strong</w:t>
      </w:r>
      <w:r w:rsidR="00EF4FAE">
        <w:t>er</w:t>
      </w:r>
      <w:r>
        <w:t xml:space="preserve"> State would be over</w:t>
      </w:r>
      <w:r w:rsidR="00C75528">
        <w:noBreakHyphen/>
      </w:r>
      <w:r>
        <w:t xml:space="preserve">equalised, </w:t>
      </w:r>
      <w:r w:rsidR="00EF4FAE">
        <w:t>but it is possible for some fiscally stronger States (depending on their fiscal capacities)</w:t>
      </w:r>
      <w:r>
        <w:t xml:space="preserve"> to be under</w:t>
      </w:r>
      <w:r w:rsidR="00C75528">
        <w:noBreakHyphen/>
      </w:r>
      <w:r>
        <w:t>equalised</w:t>
      </w:r>
      <w:r w:rsidR="00EF4FAE">
        <w:t xml:space="preserve">. </w:t>
      </w:r>
      <w:r w:rsidR="00CE54DA">
        <w:t>This happened to both</w:t>
      </w:r>
      <w:r w:rsidR="00EF4FAE">
        <w:t xml:space="preserve"> </w:t>
      </w:r>
      <w:r>
        <w:t>New South Wales</w:t>
      </w:r>
      <w:r w:rsidR="00EF4FAE">
        <w:t xml:space="preserve"> and Victoria </w:t>
      </w:r>
      <w:r w:rsidR="00CE54DA">
        <w:t>in 2017</w:t>
      </w:r>
      <w:r w:rsidR="00CE54DA">
        <w:noBreakHyphen/>
        <w:t>18</w:t>
      </w:r>
      <w:r>
        <w:t>.</w:t>
      </w:r>
    </w:p>
    <w:p w:rsidR="003E0500" w:rsidRDefault="003E0500" w:rsidP="003E0500">
      <w:pPr>
        <w:pStyle w:val="Heading5"/>
      </w:pPr>
      <w:r>
        <w:lastRenderedPageBreak/>
        <w:t>An APC distribution</w:t>
      </w:r>
      <w:r>
        <w:rPr>
          <w:rStyle w:val="FootnoteReference"/>
        </w:rPr>
        <w:footnoteReference w:id="11"/>
      </w:r>
    </w:p>
    <w:p w:rsidR="003E0500" w:rsidRDefault="003E0500" w:rsidP="003E0500">
      <w:pPr>
        <w:pStyle w:val="CGCNumberedPara"/>
        <w:numPr>
          <w:ilvl w:val="1"/>
          <w:numId w:val="3"/>
        </w:numPr>
      </w:pPr>
      <w:r>
        <w:t>This option is provided as an alternative to an EPC distribution. Like the EPC distribution, it is a simple distribution that does not require the Commission to make assessments of States’ cost</w:t>
      </w:r>
      <w:r w:rsidR="00C75528">
        <w:t>s</w:t>
      </w:r>
      <w:r>
        <w:t xml:space="preserve"> of providing services or capacities to raise revenue.</w:t>
      </w:r>
      <w:r w:rsidR="00B64FAF">
        <w:t xml:space="preserve"> In addition to the disabilities identified by the Commission, an APC distribution would reflect individual State spending and revenue raising policies.</w:t>
      </w:r>
    </w:p>
    <w:p w:rsidR="003E0500" w:rsidRDefault="003E0500" w:rsidP="003E0500">
      <w:pPr>
        <w:pStyle w:val="CGCNumberedPara"/>
        <w:numPr>
          <w:ilvl w:val="1"/>
          <w:numId w:val="3"/>
        </w:numPr>
      </w:pPr>
      <w:r>
        <w:t xml:space="preserve">This option provides more GST </w:t>
      </w:r>
      <w:r w:rsidR="002551FA">
        <w:t xml:space="preserve">per capita </w:t>
      </w:r>
      <w:r>
        <w:t xml:space="preserve">to States that have higher per capita spending and lower per capita revenue </w:t>
      </w:r>
      <w:proofErr w:type="gramStart"/>
      <w:r>
        <w:t>raising</w:t>
      </w:r>
      <w:proofErr w:type="gramEnd"/>
      <w:r>
        <w:t xml:space="preserve">. Thus, depending on its spending and revenue </w:t>
      </w:r>
      <w:proofErr w:type="gramStart"/>
      <w:r>
        <w:t>raising</w:t>
      </w:r>
      <w:proofErr w:type="gramEnd"/>
      <w:r>
        <w:t>, it is possible for a fiscally weak</w:t>
      </w:r>
      <w:r w:rsidR="00C75528">
        <w:t>er</w:t>
      </w:r>
      <w:r>
        <w:t xml:space="preserve"> State to receive more than its recommended GST distribution, meaning it would be over</w:t>
      </w:r>
      <w:r w:rsidR="00C75528">
        <w:noBreakHyphen/>
      </w:r>
      <w:r>
        <w:t>equalised. Similarly, it is possible for a fiscally strong</w:t>
      </w:r>
      <w:r w:rsidR="00C75528">
        <w:t>er</w:t>
      </w:r>
      <w:r>
        <w:t xml:space="preserve"> State to receive less than its recommended amount, meaning it would be under</w:t>
      </w:r>
      <w:r w:rsidR="00C75528">
        <w:noBreakHyphen/>
      </w:r>
      <w:r>
        <w:t>equalised.</w:t>
      </w:r>
    </w:p>
    <w:p w:rsidR="003E0500" w:rsidRDefault="003E0500" w:rsidP="003E0500">
      <w:pPr>
        <w:pStyle w:val="Heading4"/>
      </w:pPr>
      <w:bookmarkStart w:id="30" w:name="_Toc477424591"/>
      <w:bookmarkStart w:id="31" w:name="_Toc479663196"/>
      <w:r>
        <w:t>Results for 2017-18</w:t>
      </w:r>
      <w:bookmarkEnd w:id="30"/>
      <w:bookmarkEnd w:id="31"/>
    </w:p>
    <w:p w:rsidR="003E0500" w:rsidRPr="00CD1E75" w:rsidRDefault="003E0500" w:rsidP="003E0500">
      <w:pPr>
        <w:pStyle w:val="CGCNumberedPara"/>
        <w:numPr>
          <w:ilvl w:val="1"/>
          <w:numId w:val="3"/>
        </w:numPr>
      </w:pPr>
      <w:r w:rsidRPr="004B7DA5">
        <w:rPr>
          <w:sz w:val="23"/>
          <w:szCs w:val="23"/>
        </w:rPr>
        <w:fldChar w:fldCharType="begin"/>
      </w:r>
      <w:r w:rsidRPr="004B7DA5">
        <w:rPr>
          <w:sz w:val="23"/>
          <w:szCs w:val="23"/>
        </w:rPr>
        <w:instrText xml:space="preserve"> REF _Ref477266649 \h </w:instrText>
      </w:r>
      <w:r w:rsidRPr="004B7DA5">
        <w:rPr>
          <w:sz w:val="23"/>
          <w:szCs w:val="23"/>
        </w:rPr>
      </w:r>
      <w:r w:rsidRPr="004B7DA5">
        <w:rPr>
          <w:sz w:val="23"/>
          <w:szCs w:val="23"/>
        </w:rPr>
        <w:fldChar w:fldCharType="separate"/>
      </w:r>
      <w:r w:rsidR="00DD13C4">
        <w:t>Table </w:t>
      </w:r>
      <w:r w:rsidR="00DD13C4">
        <w:rPr>
          <w:noProof/>
        </w:rPr>
        <w:t>2</w:t>
      </w:r>
      <w:r w:rsidRPr="004B7DA5">
        <w:rPr>
          <w:sz w:val="23"/>
          <w:szCs w:val="23"/>
        </w:rPr>
        <w:fldChar w:fldCharType="end"/>
      </w:r>
      <w:r w:rsidRPr="004B7DA5">
        <w:rPr>
          <w:sz w:val="23"/>
          <w:szCs w:val="23"/>
        </w:rPr>
        <w:t xml:space="preserve"> </w:t>
      </w:r>
      <w:r>
        <w:rPr>
          <w:sz w:val="23"/>
          <w:szCs w:val="23"/>
        </w:rPr>
        <w:t xml:space="preserve">compares the </w:t>
      </w:r>
      <w:r w:rsidRPr="004B7DA5">
        <w:rPr>
          <w:sz w:val="23"/>
          <w:szCs w:val="23"/>
        </w:rPr>
        <w:t xml:space="preserve">GST distributions </w:t>
      </w:r>
      <w:r>
        <w:rPr>
          <w:sz w:val="23"/>
          <w:szCs w:val="23"/>
        </w:rPr>
        <w:t>under</w:t>
      </w:r>
      <w:r w:rsidRPr="004B7DA5">
        <w:rPr>
          <w:sz w:val="23"/>
          <w:szCs w:val="23"/>
        </w:rPr>
        <w:t xml:space="preserve"> each option</w:t>
      </w:r>
      <w:r>
        <w:rPr>
          <w:sz w:val="23"/>
          <w:szCs w:val="23"/>
        </w:rPr>
        <w:t xml:space="preserve"> against the Commission’s recommended GST distribution for the 2017</w:t>
      </w:r>
      <w:r>
        <w:rPr>
          <w:sz w:val="23"/>
          <w:szCs w:val="23"/>
        </w:rPr>
        <w:noBreakHyphen/>
        <w:t>18 year.</w:t>
      </w:r>
    </w:p>
    <w:p w:rsidR="003E0500" w:rsidRDefault="003E0500" w:rsidP="003E0500">
      <w:pPr>
        <w:pStyle w:val="CGCTableHeading"/>
      </w:pPr>
      <w:bookmarkStart w:id="32" w:name="_Ref477266649"/>
      <w:r>
        <w:t>Table </w:t>
      </w:r>
      <w:fldSimple w:instr=" SEQ Table \* ARABIC ">
        <w:r w:rsidR="00DD13C4">
          <w:rPr>
            <w:noProof/>
          </w:rPr>
          <w:t>2</w:t>
        </w:r>
      </w:fldSimple>
      <w:bookmarkEnd w:id="32"/>
      <w:r>
        <w:tab/>
        <w:t>GST distribution, various options, 2017-18</w:t>
      </w:r>
    </w:p>
    <w:tbl>
      <w:tblPr>
        <w:tblW w:w="5000" w:type="pct"/>
        <w:tblLayout w:type="fixed"/>
        <w:tblCellMar>
          <w:left w:w="0" w:type="dxa"/>
          <w:right w:w="0" w:type="dxa"/>
        </w:tblCellMar>
        <w:tblLook w:val="0000" w:firstRow="0" w:lastRow="0" w:firstColumn="0" w:lastColumn="0" w:noHBand="0" w:noVBand="0"/>
      </w:tblPr>
      <w:tblGrid>
        <w:gridCol w:w="1277"/>
        <w:gridCol w:w="853"/>
        <w:gridCol w:w="853"/>
        <w:gridCol w:w="853"/>
        <w:gridCol w:w="853"/>
        <w:gridCol w:w="853"/>
        <w:gridCol w:w="853"/>
        <w:gridCol w:w="852"/>
        <w:gridCol w:w="852"/>
        <w:gridCol w:w="852"/>
      </w:tblGrid>
      <w:tr w:rsidR="003E0500" w:rsidRPr="00FE3F73" w:rsidTr="00EF0770">
        <w:tc>
          <w:tcPr>
            <w:tcW w:w="713" w:type="pct"/>
            <w:tcBorders>
              <w:top w:val="single" w:sz="6" w:space="0" w:color="auto"/>
              <w:bottom w:val="single" w:sz="6" w:space="0" w:color="auto"/>
            </w:tcBorders>
            <w:vAlign w:val="center"/>
          </w:tcPr>
          <w:p w:rsidR="003E0500" w:rsidRPr="00FE3F73" w:rsidRDefault="003E0500" w:rsidP="00EF0770">
            <w:pPr>
              <w:pStyle w:val="CGCTableStub"/>
              <w:spacing w:line="240" w:lineRule="auto"/>
              <w:ind w:left="193" w:hanging="142"/>
              <w:rPr>
                <w:rFonts w:cstheme="minorHAnsi"/>
              </w:rPr>
            </w:pPr>
            <w:r>
              <w:rPr>
                <w:rFonts w:cstheme="minorHAnsi"/>
              </w:rPr>
              <w:t xml:space="preserve">GST </w:t>
            </w:r>
            <w:proofErr w:type="spellStart"/>
            <w:r>
              <w:rPr>
                <w:rFonts w:cstheme="minorHAnsi"/>
              </w:rPr>
              <w:t>Dist’n</w:t>
            </w:r>
            <w:proofErr w:type="spellEnd"/>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NSW</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Vic</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Qld</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WA</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SA</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proofErr w:type="spellStart"/>
            <w:r w:rsidRPr="00FE3F73">
              <w:rPr>
                <w:rFonts w:cstheme="minorHAnsi"/>
              </w:rPr>
              <w:t>Tas</w:t>
            </w:r>
            <w:proofErr w:type="spellEnd"/>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ACT</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NT</w:t>
            </w:r>
          </w:p>
        </w:tc>
        <w:tc>
          <w:tcPr>
            <w:tcW w:w="476" w:type="pct"/>
            <w:tcBorders>
              <w:top w:val="single" w:sz="6" w:space="0" w:color="auto"/>
              <w:bottom w:val="single" w:sz="6" w:space="0" w:color="auto"/>
            </w:tcBorders>
            <w:vAlign w:val="center"/>
          </w:tcPr>
          <w:p w:rsidR="003E0500" w:rsidRPr="00FE3F73" w:rsidRDefault="00B057BA" w:rsidP="00EF0770">
            <w:pPr>
              <w:pStyle w:val="TableColHeadings"/>
              <w:rPr>
                <w:rFonts w:cstheme="minorHAnsi"/>
              </w:rPr>
            </w:pPr>
            <w:r>
              <w:rPr>
                <w:rFonts w:cstheme="minorHAnsi"/>
              </w:rPr>
              <w:t>Total</w:t>
            </w:r>
          </w:p>
        </w:tc>
      </w:tr>
      <w:tr w:rsidR="003E0500" w:rsidRPr="00FE3F73" w:rsidTr="00EF0770">
        <w:tc>
          <w:tcPr>
            <w:tcW w:w="713" w:type="pct"/>
            <w:tcMar>
              <w:top w:w="0" w:type="dxa"/>
              <w:bottom w:w="0" w:type="dxa"/>
            </w:tcMar>
            <w:vAlign w:val="bottom"/>
          </w:tcPr>
          <w:p w:rsidR="003E0500" w:rsidRPr="00FE3F73" w:rsidRDefault="003E0500" w:rsidP="00EF0770">
            <w:pPr>
              <w:pStyle w:val="CGCTableStub"/>
              <w:spacing w:before="0" w:after="0" w:line="240" w:lineRule="auto"/>
              <w:ind w:left="193" w:hanging="142"/>
              <w:jc w:val="right"/>
              <w:rPr>
                <w:rFonts w:cstheme="minorHAnsi"/>
              </w:rPr>
            </w:pP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r>
      <w:tr w:rsidR="00326CA9" w:rsidRPr="00FE3F73" w:rsidTr="00EF0770">
        <w:tc>
          <w:tcPr>
            <w:tcW w:w="713" w:type="pct"/>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r>
              <w:rPr>
                <w:rFonts w:cstheme="minorHAnsi"/>
              </w:rPr>
              <w:t>Equalisation</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17.7</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14.8</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15.0</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2.4</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6.4</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2.4</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1.2</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2.9</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62.7</w:t>
            </w:r>
          </w:p>
        </w:tc>
      </w:tr>
      <w:tr w:rsidR="00326CA9" w:rsidRPr="00FE3F73" w:rsidTr="00EF0770">
        <w:tc>
          <w:tcPr>
            <w:tcW w:w="713" w:type="pct"/>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r>
              <w:rPr>
                <w:rFonts w:cstheme="minorHAnsi"/>
              </w:rPr>
              <w:t>EPC</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20.1</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15.9</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12.6</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6.8</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4.4</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1.3</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1.0</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0.6</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62.7</w:t>
            </w:r>
          </w:p>
        </w:tc>
      </w:tr>
      <w:tr w:rsidR="00326CA9" w:rsidRPr="00FE3F73" w:rsidTr="00EF0770">
        <w:tc>
          <w:tcPr>
            <w:tcW w:w="713" w:type="pct"/>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r>
              <w:rPr>
                <w:rFonts w:cstheme="minorHAnsi"/>
              </w:rPr>
              <w:t>Partial EPC (a)</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17.6</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13.9</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13.4</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6.0</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5.8</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2.2</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1.1</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2.8</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62.7</w:t>
            </w:r>
          </w:p>
        </w:tc>
      </w:tr>
      <w:tr w:rsidR="00326CA9" w:rsidRPr="00FE3F73" w:rsidTr="00EF0770">
        <w:tc>
          <w:tcPr>
            <w:tcW w:w="713" w:type="pct"/>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r>
              <w:rPr>
                <w:rFonts w:cstheme="minorHAnsi"/>
              </w:rPr>
              <w:t>APC</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18.</w:t>
            </w:r>
            <w:r>
              <w:rPr>
                <w:rFonts w:cstheme="minorHAnsi"/>
              </w:rPr>
              <w:t>7</w:t>
            </w:r>
          </w:p>
        </w:tc>
        <w:tc>
          <w:tcPr>
            <w:tcW w:w="476" w:type="pct"/>
            <w:vAlign w:val="bottom"/>
          </w:tcPr>
          <w:p w:rsidR="00326CA9" w:rsidRPr="00DC0D22" w:rsidRDefault="00326CA9" w:rsidP="003D74DB">
            <w:pPr>
              <w:pStyle w:val="TableRowNormal"/>
              <w:ind w:left="0" w:firstLine="0"/>
              <w:rPr>
                <w:rFonts w:cstheme="minorHAnsi"/>
              </w:rPr>
            </w:pPr>
            <w:r>
              <w:rPr>
                <w:rFonts w:cstheme="minorHAnsi"/>
              </w:rPr>
              <w:t>13.8</w:t>
            </w:r>
          </w:p>
        </w:tc>
        <w:tc>
          <w:tcPr>
            <w:tcW w:w="476" w:type="pct"/>
            <w:vAlign w:val="bottom"/>
          </w:tcPr>
          <w:p w:rsidR="00326CA9" w:rsidRPr="00DC0D22" w:rsidRDefault="00326CA9" w:rsidP="003D74DB">
            <w:pPr>
              <w:pStyle w:val="TableRowNormal"/>
              <w:ind w:left="0" w:firstLine="0"/>
              <w:rPr>
                <w:rFonts w:cstheme="minorHAnsi"/>
              </w:rPr>
            </w:pPr>
            <w:r>
              <w:rPr>
                <w:rFonts w:cstheme="minorHAnsi"/>
              </w:rPr>
              <w:t>12.9</w:t>
            </w:r>
          </w:p>
        </w:tc>
        <w:tc>
          <w:tcPr>
            <w:tcW w:w="476" w:type="pct"/>
            <w:vAlign w:val="bottom"/>
          </w:tcPr>
          <w:p w:rsidR="00326CA9" w:rsidRPr="00DC0D22" w:rsidRDefault="00326CA9" w:rsidP="003D74DB">
            <w:pPr>
              <w:pStyle w:val="TableRowNormal"/>
              <w:ind w:left="0" w:firstLine="0"/>
              <w:rPr>
                <w:rFonts w:cstheme="minorHAnsi"/>
              </w:rPr>
            </w:pPr>
            <w:r>
              <w:rPr>
                <w:rFonts w:cstheme="minorHAnsi"/>
              </w:rPr>
              <w:t>4.2</w:t>
            </w:r>
          </w:p>
        </w:tc>
        <w:tc>
          <w:tcPr>
            <w:tcW w:w="476" w:type="pct"/>
            <w:vAlign w:val="bottom"/>
          </w:tcPr>
          <w:p w:rsidR="00326CA9" w:rsidRPr="00DC0D22" w:rsidRDefault="00326CA9" w:rsidP="003D74DB">
            <w:pPr>
              <w:pStyle w:val="TableRowNormal"/>
              <w:ind w:left="0" w:firstLine="0"/>
              <w:rPr>
                <w:rFonts w:cstheme="minorHAnsi"/>
              </w:rPr>
            </w:pPr>
            <w:r>
              <w:rPr>
                <w:rFonts w:cstheme="minorHAnsi"/>
              </w:rPr>
              <w:t>5.5</w:t>
            </w:r>
          </w:p>
        </w:tc>
        <w:tc>
          <w:tcPr>
            <w:tcW w:w="476" w:type="pct"/>
            <w:vAlign w:val="bottom"/>
          </w:tcPr>
          <w:p w:rsidR="00326CA9" w:rsidRPr="00DC0D22" w:rsidRDefault="00326CA9" w:rsidP="003D74DB">
            <w:pPr>
              <w:pStyle w:val="TableRowNormal"/>
              <w:ind w:left="0" w:firstLine="0"/>
              <w:rPr>
                <w:rFonts w:cstheme="minorHAnsi"/>
              </w:rPr>
            </w:pPr>
            <w:r>
              <w:rPr>
                <w:rFonts w:cstheme="minorHAnsi"/>
              </w:rPr>
              <w:t>2.2</w:t>
            </w:r>
          </w:p>
        </w:tc>
        <w:tc>
          <w:tcPr>
            <w:tcW w:w="476" w:type="pct"/>
            <w:vAlign w:val="bottom"/>
          </w:tcPr>
          <w:p w:rsidR="00326CA9" w:rsidRPr="00DC0D22" w:rsidRDefault="00326CA9" w:rsidP="003D74DB">
            <w:pPr>
              <w:pStyle w:val="TableRowNormal"/>
              <w:ind w:left="0" w:firstLine="0"/>
              <w:rPr>
                <w:rFonts w:cstheme="minorHAnsi"/>
              </w:rPr>
            </w:pPr>
            <w:r>
              <w:rPr>
                <w:rFonts w:cstheme="minorHAnsi"/>
              </w:rPr>
              <w:t>1.9</w:t>
            </w:r>
          </w:p>
        </w:tc>
        <w:tc>
          <w:tcPr>
            <w:tcW w:w="476" w:type="pct"/>
            <w:vAlign w:val="bottom"/>
          </w:tcPr>
          <w:p w:rsidR="00326CA9" w:rsidRPr="00DC0D22" w:rsidRDefault="00326CA9" w:rsidP="003D74DB">
            <w:pPr>
              <w:pStyle w:val="TableRowNormal"/>
              <w:ind w:left="0" w:firstLine="0"/>
              <w:rPr>
                <w:rFonts w:cstheme="minorHAnsi"/>
              </w:rPr>
            </w:pPr>
            <w:r>
              <w:rPr>
                <w:rFonts w:cstheme="minorHAnsi"/>
              </w:rPr>
              <w:t>3.5</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62.7</w:t>
            </w:r>
          </w:p>
        </w:tc>
      </w:tr>
      <w:tr w:rsidR="00326CA9" w:rsidRPr="00FE3F73" w:rsidTr="00EF0770">
        <w:tc>
          <w:tcPr>
            <w:tcW w:w="713" w:type="pct"/>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r>
      <w:tr w:rsidR="00326CA9" w:rsidRPr="00FE3F73" w:rsidTr="00EF0770">
        <w:tc>
          <w:tcPr>
            <w:tcW w:w="713" w:type="pct"/>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r>
              <w:rPr>
                <w:rFonts w:cstheme="minorHAnsi"/>
              </w:rPr>
              <w:t>Difference</w:t>
            </w: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
        </w:tc>
        <w:tc>
          <w:tcPr>
            <w:tcW w:w="476" w:type="pct"/>
            <w:vAlign w:val="bottom"/>
          </w:tcPr>
          <w:p w:rsidR="00326CA9" w:rsidRPr="00C529E1" w:rsidRDefault="00326CA9" w:rsidP="00EF0770">
            <w:pPr>
              <w:pStyle w:val="TableRowNormal"/>
              <w:ind w:left="0" w:firstLine="0"/>
              <w:rPr>
                <w:rFonts w:cstheme="minorHAnsi"/>
              </w:rPr>
            </w:pPr>
            <w:proofErr w:type="spellStart"/>
            <w:r>
              <w:rPr>
                <w:rFonts w:cstheme="minorHAnsi"/>
              </w:rPr>
              <w:t>Redis</w:t>
            </w:r>
            <w:r w:rsidR="000A34D1">
              <w:rPr>
                <w:rFonts w:cstheme="minorHAnsi"/>
              </w:rPr>
              <w:t>t</w:t>
            </w:r>
            <w:proofErr w:type="spellEnd"/>
          </w:p>
        </w:tc>
      </w:tr>
      <w:tr w:rsidR="00326CA9" w:rsidRPr="00FE3F73" w:rsidTr="00EF0770">
        <w:tc>
          <w:tcPr>
            <w:tcW w:w="713" w:type="pct"/>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r>
              <w:rPr>
                <w:rFonts w:cstheme="minorHAnsi"/>
              </w:rPr>
              <w:t>EPC</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2.4</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1.0</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-2.4</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4.5</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-2.0</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-1.1</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-0.2</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-2.3</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7.9</w:t>
            </w:r>
          </w:p>
        </w:tc>
      </w:tr>
      <w:tr w:rsidR="00326CA9" w:rsidRPr="00FE3F73" w:rsidTr="00EF0770">
        <w:tc>
          <w:tcPr>
            <w:tcW w:w="713" w:type="pct"/>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r>
              <w:rPr>
                <w:rFonts w:cstheme="minorHAnsi"/>
              </w:rPr>
              <w:t>Partial EPC (a)</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-0.1</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-1.0</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-1.6</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3.6</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-0.6</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-0.2</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-0.1</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-0.1</w:t>
            </w:r>
          </w:p>
        </w:tc>
        <w:tc>
          <w:tcPr>
            <w:tcW w:w="476" w:type="pct"/>
            <w:vAlign w:val="bottom"/>
          </w:tcPr>
          <w:p w:rsidR="00326CA9" w:rsidRPr="00DC0D22" w:rsidRDefault="00326CA9" w:rsidP="003D74DB">
            <w:pPr>
              <w:pStyle w:val="TableRowNormal"/>
              <w:ind w:left="0" w:firstLine="0"/>
              <w:rPr>
                <w:rFonts w:cstheme="minorHAnsi"/>
              </w:rPr>
            </w:pPr>
            <w:r w:rsidRPr="00DC0D22">
              <w:rPr>
                <w:rFonts w:cstheme="minorHAnsi"/>
              </w:rPr>
              <w:t>3.6</w:t>
            </w:r>
          </w:p>
        </w:tc>
      </w:tr>
      <w:tr w:rsidR="00326CA9" w:rsidRPr="00FE3F73" w:rsidTr="00EF0770">
        <w:tc>
          <w:tcPr>
            <w:tcW w:w="713" w:type="pct"/>
            <w:tcBorders>
              <w:bottom w:val="single" w:sz="4" w:space="0" w:color="auto"/>
            </w:tcBorders>
            <w:vAlign w:val="bottom"/>
          </w:tcPr>
          <w:p w:rsidR="00326CA9" w:rsidRDefault="00326CA9" w:rsidP="00EF0770">
            <w:pPr>
              <w:pStyle w:val="CGCTableStub"/>
              <w:tabs>
                <w:tab w:val="left" w:pos="142"/>
                <w:tab w:val="left" w:pos="425"/>
                <w:tab w:val="left" w:pos="709"/>
                <w:tab w:val="left" w:pos="851"/>
              </w:tabs>
              <w:ind w:left="193" w:hanging="142"/>
              <w:rPr>
                <w:rFonts w:cstheme="minorHAnsi"/>
              </w:rPr>
            </w:pPr>
            <w:r>
              <w:rPr>
                <w:rFonts w:cstheme="minorHAnsi"/>
              </w:rPr>
              <w:t>APC</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1.0</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-1.1</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-2.0</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1.8</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-0.8</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-0.2</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0.7</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0.6</w:t>
            </w:r>
          </w:p>
        </w:tc>
        <w:tc>
          <w:tcPr>
            <w:tcW w:w="476" w:type="pct"/>
            <w:tcBorders>
              <w:bottom w:val="single" w:sz="4" w:space="0" w:color="auto"/>
            </w:tcBorders>
            <w:vAlign w:val="bottom"/>
          </w:tcPr>
          <w:p w:rsidR="00326CA9" w:rsidRPr="00DC0D22" w:rsidRDefault="00326CA9" w:rsidP="003D74DB">
            <w:pPr>
              <w:pStyle w:val="TableRowNormal"/>
              <w:ind w:left="0" w:firstLine="0"/>
              <w:rPr>
                <w:rFonts w:cstheme="minorHAnsi"/>
              </w:rPr>
            </w:pPr>
            <w:r>
              <w:rPr>
                <w:rFonts w:cstheme="minorHAnsi"/>
              </w:rPr>
              <w:t>4.1</w:t>
            </w:r>
          </w:p>
        </w:tc>
      </w:tr>
    </w:tbl>
    <w:p w:rsidR="003E0500" w:rsidRDefault="003E0500" w:rsidP="003E0500">
      <w:pPr>
        <w:pStyle w:val="CGCTableFootnote"/>
      </w:pPr>
      <w:r>
        <w:t>(a)</w:t>
      </w:r>
      <w:r>
        <w:tab/>
        <w:t>The GST pool is used to finance the additional amounts fiscally weak</w:t>
      </w:r>
      <w:r w:rsidR="00C75528">
        <w:t>er</w:t>
      </w:r>
      <w:r>
        <w:t xml:space="preserve"> States are assessed to require. The balance of the pool is distributed on an equal per capita basis.</w:t>
      </w:r>
    </w:p>
    <w:p w:rsidR="003E0500" w:rsidRDefault="003E0500" w:rsidP="003E0500">
      <w:pPr>
        <w:pStyle w:val="CGCTableFootnote"/>
      </w:pPr>
      <w:r>
        <w:t>Source:</w:t>
      </w:r>
      <w:r>
        <w:tab/>
        <w:t>Commission calculation.</w:t>
      </w:r>
    </w:p>
    <w:p w:rsidR="003E0500" w:rsidRPr="009A2FF0" w:rsidRDefault="003E0500" w:rsidP="003E0500">
      <w:pPr>
        <w:pStyle w:val="CGCNumberedPara"/>
        <w:numPr>
          <w:ilvl w:val="1"/>
          <w:numId w:val="3"/>
        </w:numPr>
      </w:pPr>
      <w:r w:rsidRPr="004B7DA5">
        <w:rPr>
          <w:sz w:val="23"/>
          <w:szCs w:val="23"/>
        </w:rPr>
        <w:t xml:space="preserve">Compared with the </w:t>
      </w:r>
      <w:r w:rsidR="002331B5">
        <w:rPr>
          <w:sz w:val="23"/>
          <w:szCs w:val="23"/>
        </w:rPr>
        <w:t>equalisation d</w:t>
      </w:r>
      <w:r>
        <w:rPr>
          <w:sz w:val="23"/>
          <w:szCs w:val="23"/>
        </w:rPr>
        <w:t>istribution</w:t>
      </w:r>
      <w:r w:rsidRPr="004B7DA5">
        <w:rPr>
          <w:sz w:val="23"/>
          <w:szCs w:val="23"/>
        </w:rPr>
        <w:t xml:space="preserve">, the EPC </w:t>
      </w:r>
      <w:r>
        <w:rPr>
          <w:sz w:val="23"/>
          <w:szCs w:val="23"/>
        </w:rPr>
        <w:t>distribution generates</w:t>
      </w:r>
      <w:r w:rsidRPr="004B7DA5">
        <w:rPr>
          <w:sz w:val="23"/>
          <w:szCs w:val="23"/>
        </w:rPr>
        <w:t xml:space="preserve"> the biggest change. The change under </w:t>
      </w:r>
      <w:r w:rsidR="00326CA9">
        <w:rPr>
          <w:sz w:val="23"/>
          <w:szCs w:val="23"/>
        </w:rPr>
        <w:t xml:space="preserve">the </w:t>
      </w:r>
      <w:r w:rsidR="00326CA9" w:rsidRPr="004B7DA5">
        <w:rPr>
          <w:sz w:val="23"/>
          <w:szCs w:val="23"/>
        </w:rPr>
        <w:t xml:space="preserve">APC </w:t>
      </w:r>
      <w:r>
        <w:rPr>
          <w:sz w:val="23"/>
          <w:szCs w:val="23"/>
        </w:rPr>
        <w:t xml:space="preserve">distribution </w:t>
      </w:r>
      <w:r w:rsidRPr="004B7DA5">
        <w:rPr>
          <w:sz w:val="23"/>
          <w:szCs w:val="23"/>
        </w:rPr>
        <w:t>is smaller</w:t>
      </w:r>
      <w:r>
        <w:rPr>
          <w:sz w:val="23"/>
          <w:szCs w:val="23"/>
        </w:rPr>
        <w:t xml:space="preserve">. </w:t>
      </w:r>
      <w:r w:rsidRPr="004B7DA5">
        <w:rPr>
          <w:sz w:val="23"/>
          <w:szCs w:val="23"/>
        </w:rPr>
        <w:t xml:space="preserve">The </w:t>
      </w:r>
      <w:r w:rsidR="00326CA9" w:rsidRPr="004B7DA5">
        <w:rPr>
          <w:sz w:val="23"/>
          <w:szCs w:val="23"/>
        </w:rPr>
        <w:t xml:space="preserve">partial EPC </w:t>
      </w:r>
      <w:r w:rsidRPr="004B7DA5">
        <w:rPr>
          <w:sz w:val="23"/>
          <w:szCs w:val="23"/>
        </w:rPr>
        <w:t>distribution is the closest (in aggregate</w:t>
      </w:r>
      <w:r w:rsidR="00D71271">
        <w:rPr>
          <w:sz w:val="23"/>
          <w:szCs w:val="23"/>
        </w:rPr>
        <w:t xml:space="preserve"> and for most States</w:t>
      </w:r>
      <w:r w:rsidRPr="004B7DA5">
        <w:rPr>
          <w:sz w:val="23"/>
          <w:szCs w:val="23"/>
        </w:rPr>
        <w:t xml:space="preserve">) to </w:t>
      </w:r>
      <w:r w:rsidR="003D74DB">
        <w:rPr>
          <w:sz w:val="23"/>
          <w:szCs w:val="23"/>
        </w:rPr>
        <w:t>the equalisation distribu</w:t>
      </w:r>
      <w:r>
        <w:rPr>
          <w:sz w:val="23"/>
          <w:szCs w:val="23"/>
        </w:rPr>
        <w:t>tion</w:t>
      </w:r>
      <w:r w:rsidRPr="004B7DA5">
        <w:rPr>
          <w:sz w:val="23"/>
          <w:szCs w:val="23"/>
        </w:rPr>
        <w:t>.</w:t>
      </w:r>
      <w:r w:rsidR="00BA07AD">
        <w:rPr>
          <w:sz w:val="23"/>
          <w:szCs w:val="23"/>
        </w:rPr>
        <w:t xml:space="preserve"> </w:t>
      </w:r>
      <w:r w:rsidR="00C77444" w:rsidRPr="00C77444">
        <w:rPr>
          <w:sz w:val="23"/>
          <w:szCs w:val="23"/>
        </w:rPr>
        <w:t>T</w:t>
      </w:r>
      <w:r w:rsidR="00BA07AD" w:rsidRPr="00C77444">
        <w:rPr>
          <w:sz w:val="23"/>
          <w:szCs w:val="23"/>
        </w:rPr>
        <w:t xml:space="preserve">he APC distribution incorporates individual State policy choices while the Commission’s </w:t>
      </w:r>
      <w:r w:rsidR="00BA07AD" w:rsidRPr="00C77444">
        <w:rPr>
          <w:sz w:val="23"/>
          <w:szCs w:val="23"/>
        </w:rPr>
        <w:lastRenderedPageBreak/>
        <w:t xml:space="preserve">recommended GST distribution removes the effects of </w:t>
      </w:r>
      <w:r w:rsidR="00C77444" w:rsidRPr="00C77444">
        <w:rPr>
          <w:sz w:val="23"/>
          <w:szCs w:val="23"/>
        </w:rPr>
        <w:t>their po</w:t>
      </w:r>
      <w:r w:rsidR="00BA07AD" w:rsidRPr="00C77444">
        <w:rPr>
          <w:sz w:val="23"/>
          <w:szCs w:val="23"/>
        </w:rPr>
        <w:t>licy choices (that is, it is policy neutral)</w:t>
      </w:r>
      <w:r w:rsidR="00C77444">
        <w:rPr>
          <w:sz w:val="23"/>
          <w:szCs w:val="23"/>
        </w:rPr>
        <w:t>. T</w:t>
      </w:r>
      <w:r w:rsidR="00BA07AD" w:rsidRPr="00C77444">
        <w:rPr>
          <w:sz w:val="23"/>
          <w:szCs w:val="23"/>
        </w:rPr>
        <w:t xml:space="preserve">he closeness of these two distributions suggests </w:t>
      </w:r>
      <w:r w:rsidR="00C77444">
        <w:rPr>
          <w:sz w:val="23"/>
          <w:szCs w:val="23"/>
        </w:rPr>
        <w:t>disabilities rather than policy differences are the bigger contributor to differences in what States do</w:t>
      </w:r>
      <w:r w:rsidR="00BA07AD" w:rsidRPr="00C77444">
        <w:rPr>
          <w:sz w:val="23"/>
          <w:szCs w:val="23"/>
        </w:rPr>
        <w:t>.</w:t>
      </w:r>
    </w:p>
    <w:p w:rsidR="003E0500" w:rsidRPr="00A06124" w:rsidRDefault="002331B5" w:rsidP="003E0500">
      <w:pPr>
        <w:pStyle w:val="CGCNumberedPara"/>
        <w:numPr>
          <w:ilvl w:val="1"/>
          <w:numId w:val="3"/>
        </w:numPr>
      </w:pPr>
      <w:r w:rsidRPr="004B7DA5">
        <w:rPr>
          <w:sz w:val="23"/>
          <w:szCs w:val="23"/>
        </w:rPr>
        <w:t xml:space="preserve">Compared with </w:t>
      </w:r>
      <w:r w:rsidR="00DF4AD6">
        <w:rPr>
          <w:sz w:val="23"/>
          <w:szCs w:val="23"/>
        </w:rPr>
        <w:t>an</w:t>
      </w:r>
      <w:r w:rsidRPr="004B7DA5">
        <w:rPr>
          <w:sz w:val="23"/>
          <w:szCs w:val="23"/>
        </w:rPr>
        <w:t xml:space="preserve"> </w:t>
      </w:r>
      <w:r>
        <w:rPr>
          <w:sz w:val="23"/>
          <w:szCs w:val="23"/>
        </w:rPr>
        <w:t>equalisation distribution</w:t>
      </w:r>
      <w:r>
        <w:t>, t</w:t>
      </w:r>
      <w:r w:rsidR="003E0500">
        <w:t>h</w:t>
      </w:r>
      <w:r w:rsidR="008E0B6B">
        <w:t>os</w:t>
      </w:r>
      <w:r w:rsidR="003E0500">
        <w:t>e</w:t>
      </w:r>
      <w:r w:rsidR="008E0B6B">
        <w:t xml:space="preserve"> receiving more GST u</w:t>
      </w:r>
      <w:r w:rsidR="003E0500">
        <w:t xml:space="preserve">nder an EPC distribution would </w:t>
      </w:r>
      <w:r w:rsidR="00BF1DE2">
        <w:t xml:space="preserve">have </w:t>
      </w:r>
      <w:r w:rsidR="003E0500">
        <w:t>be</w:t>
      </w:r>
      <w:r w:rsidR="00BF1DE2">
        <w:t>en</w:t>
      </w:r>
      <w:r w:rsidR="003E0500">
        <w:t xml:space="preserve"> </w:t>
      </w:r>
      <w:r w:rsidR="003E0500" w:rsidRPr="00A55399">
        <w:rPr>
          <w:sz w:val="23"/>
          <w:szCs w:val="23"/>
        </w:rPr>
        <w:t>New South Wales ($2.4</w:t>
      </w:r>
      <w:r w:rsidR="00BA07AD">
        <w:rPr>
          <w:sz w:val="23"/>
          <w:szCs w:val="23"/>
        </w:rPr>
        <w:t> </w:t>
      </w:r>
      <w:r w:rsidR="003E0500" w:rsidRPr="00A55399">
        <w:rPr>
          <w:sz w:val="23"/>
          <w:szCs w:val="23"/>
        </w:rPr>
        <w:t>billion), Victoria ($1.0</w:t>
      </w:r>
      <w:r w:rsidR="00BA07AD">
        <w:rPr>
          <w:sz w:val="23"/>
          <w:szCs w:val="23"/>
        </w:rPr>
        <w:t> </w:t>
      </w:r>
      <w:r w:rsidR="003E0500" w:rsidRPr="00A55399">
        <w:rPr>
          <w:sz w:val="23"/>
          <w:szCs w:val="23"/>
        </w:rPr>
        <w:t>billion) and Western Australia ($4.5</w:t>
      </w:r>
      <w:r w:rsidR="00BA07AD">
        <w:rPr>
          <w:sz w:val="23"/>
          <w:szCs w:val="23"/>
        </w:rPr>
        <w:t> </w:t>
      </w:r>
      <w:r w:rsidR="003E0500" w:rsidRPr="00A55399">
        <w:rPr>
          <w:sz w:val="23"/>
          <w:szCs w:val="23"/>
        </w:rPr>
        <w:t xml:space="preserve">billion). </w:t>
      </w:r>
      <w:r w:rsidR="003E0500">
        <w:t xml:space="preserve">The only </w:t>
      </w:r>
      <w:r w:rsidR="008E0B6B">
        <w:t xml:space="preserve">State to receive more </w:t>
      </w:r>
      <w:r>
        <w:t xml:space="preserve">under </w:t>
      </w:r>
      <w:r w:rsidR="003E0500">
        <w:t xml:space="preserve">a partial EPC distribution would have been </w:t>
      </w:r>
      <w:r w:rsidR="002551FA">
        <w:t xml:space="preserve">the fiscally strongest State — </w:t>
      </w:r>
      <w:r w:rsidR="003E0500" w:rsidRPr="00A55399">
        <w:rPr>
          <w:sz w:val="23"/>
          <w:szCs w:val="23"/>
        </w:rPr>
        <w:t>Western Australia ($3.6</w:t>
      </w:r>
      <w:r w:rsidR="00BA07AD">
        <w:rPr>
          <w:sz w:val="23"/>
          <w:szCs w:val="23"/>
        </w:rPr>
        <w:t> </w:t>
      </w:r>
      <w:r w:rsidR="003E0500" w:rsidRPr="00A55399">
        <w:rPr>
          <w:sz w:val="23"/>
          <w:szCs w:val="23"/>
        </w:rPr>
        <w:t xml:space="preserve">billion). </w:t>
      </w:r>
      <w:r w:rsidR="00D71271">
        <w:rPr>
          <w:sz w:val="23"/>
          <w:szCs w:val="23"/>
        </w:rPr>
        <w:t>Those receiving more under an APC approach would have been</w:t>
      </w:r>
      <w:r w:rsidR="003E0500">
        <w:rPr>
          <w:sz w:val="23"/>
          <w:szCs w:val="23"/>
        </w:rPr>
        <w:t xml:space="preserve"> </w:t>
      </w:r>
      <w:r w:rsidR="003E0500" w:rsidRPr="00A55399">
        <w:rPr>
          <w:sz w:val="23"/>
          <w:szCs w:val="23"/>
        </w:rPr>
        <w:t>New South Wales ($</w:t>
      </w:r>
      <w:r w:rsidR="00D71271">
        <w:rPr>
          <w:sz w:val="23"/>
          <w:szCs w:val="23"/>
        </w:rPr>
        <w:t>1.</w:t>
      </w:r>
      <w:r w:rsidR="003E0500" w:rsidRPr="00A55399">
        <w:rPr>
          <w:sz w:val="23"/>
          <w:szCs w:val="23"/>
        </w:rPr>
        <w:t>0</w:t>
      </w:r>
      <w:r w:rsidR="00BA07AD">
        <w:rPr>
          <w:sz w:val="23"/>
          <w:szCs w:val="23"/>
        </w:rPr>
        <w:t> </w:t>
      </w:r>
      <w:r w:rsidR="003E0500" w:rsidRPr="00A55399">
        <w:rPr>
          <w:sz w:val="23"/>
          <w:szCs w:val="23"/>
        </w:rPr>
        <w:t>billion), Western Australia ($</w:t>
      </w:r>
      <w:r w:rsidR="00D71271">
        <w:rPr>
          <w:sz w:val="23"/>
          <w:szCs w:val="23"/>
        </w:rPr>
        <w:t>1.8</w:t>
      </w:r>
      <w:r w:rsidR="00BA07AD">
        <w:rPr>
          <w:sz w:val="23"/>
          <w:szCs w:val="23"/>
        </w:rPr>
        <w:t> </w:t>
      </w:r>
      <w:r w:rsidR="003E0500" w:rsidRPr="00A55399">
        <w:rPr>
          <w:sz w:val="23"/>
          <w:szCs w:val="23"/>
        </w:rPr>
        <w:t>billion)</w:t>
      </w:r>
      <w:r w:rsidR="0009560A">
        <w:rPr>
          <w:sz w:val="23"/>
          <w:szCs w:val="23"/>
        </w:rPr>
        <w:t>, the ACT ($0.7 billion)</w:t>
      </w:r>
      <w:r w:rsidR="003E0500" w:rsidRPr="00A55399">
        <w:rPr>
          <w:sz w:val="23"/>
          <w:szCs w:val="23"/>
        </w:rPr>
        <w:t xml:space="preserve"> and the Northern Territory ($0.6</w:t>
      </w:r>
      <w:r w:rsidR="00BA07AD">
        <w:rPr>
          <w:sz w:val="23"/>
          <w:szCs w:val="23"/>
        </w:rPr>
        <w:t> </w:t>
      </w:r>
      <w:r w:rsidR="003E0500" w:rsidRPr="00A55399">
        <w:rPr>
          <w:sz w:val="23"/>
          <w:szCs w:val="23"/>
        </w:rPr>
        <w:t>billion).</w:t>
      </w:r>
    </w:p>
    <w:p w:rsidR="003E0500" w:rsidRDefault="003E0500" w:rsidP="003E0500">
      <w:pPr>
        <w:pStyle w:val="Heading4"/>
      </w:pPr>
      <w:bookmarkStart w:id="33" w:name="_Toc477424592"/>
      <w:bookmarkStart w:id="34" w:name="_Toc479663197"/>
      <w:r>
        <w:t>Results for the period 2000-01 to 2017-18</w:t>
      </w:r>
      <w:bookmarkEnd w:id="33"/>
      <w:bookmarkEnd w:id="34"/>
    </w:p>
    <w:p w:rsidR="003E0500" w:rsidRPr="00CD1E75" w:rsidRDefault="003E0500" w:rsidP="003E0500">
      <w:pPr>
        <w:pStyle w:val="CGCNumberedPara"/>
        <w:numPr>
          <w:ilvl w:val="1"/>
          <w:numId w:val="3"/>
        </w:numPr>
      </w:pPr>
      <w:r>
        <w:t xml:space="preserve">Attachment A provides State charts of </w:t>
      </w:r>
      <w:r w:rsidR="003D74DB">
        <w:t>the equalisation distribu</w:t>
      </w:r>
      <w:r>
        <w:t xml:space="preserve">tion, an EPC distribution and an APC distribution for the period since the introduction </w:t>
      </w:r>
      <w:r w:rsidR="002331B5">
        <w:t>of the GST (</w:t>
      </w:r>
      <w:r>
        <w:t>2000</w:t>
      </w:r>
      <w:r>
        <w:noBreakHyphen/>
        <w:t>01</w:t>
      </w:r>
      <w:r w:rsidR="002331B5">
        <w:t>)</w:t>
      </w:r>
      <w:r>
        <w:t xml:space="preserve">. </w:t>
      </w:r>
      <w:r w:rsidR="0009560A">
        <w:fldChar w:fldCharType="begin"/>
      </w:r>
      <w:r w:rsidR="0009560A">
        <w:instrText xml:space="preserve"> REF _Ref476732814 \h </w:instrText>
      </w:r>
      <w:r w:rsidR="0009560A">
        <w:fldChar w:fldCharType="separate"/>
      </w:r>
      <w:r w:rsidR="00DD13C4">
        <w:t>Table </w:t>
      </w:r>
      <w:r w:rsidR="00DD13C4">
        <w:rPr>
          <w:noProof/>
        </w:rPr>
        <w:t>3</w:t>
      </w:r>
      <w:r w:rsidR="0009560A">
        <w:fldChar w:fldCharType="end"/>
      </w:r>
      <w:r w:rsidR="0009560A">
        <w:rPr>
          <w:sz w:val="23"/>
          <w:szCs w:val="23"/>
        </w:rPr>
        <w:t xml:space="preserve"> shows each State’s </w:t>
      </w:r>
      <w:r w:rsidRPr="00C00DE1">
        <w:rPr>
          <w:sz w:val="23"/>
          <w:szCs w:val="23"/>
        </w:rPr>
        <w:t>aggregated distribution.</w:t>
      </w:r>
    </w:p>
    <w:p w:rsidR="003E0500" w:rsidRPr="00D1369D" w:rsidRDefault="003E0500" w:rsidP="003E0500">
      <w:pPr>
        <w:pStyle w:val="CGCNumberedPara"/>
        <w:numPr>
          <w:ilvl w:val="1"/>
          <w:numId w:val="3"/>
        </w:numPr>
      </w:pPr>
      <w:r>
        <w:rPr>
          <w:sz w:val="23"/>
          <w:szCs w:val="23"/>
        </w:rPr>
        <w:t xml:space="preserve">The 2017-18 trends are again evident. </w:t>
      </w:r>
      <w:r>
        <w:t xml:space="preserve">Compared with </w:t>
      </w:r>
      <w:r w:rsidR="00DF4AD6">
        <w:t>an</w:t>
      </w:r>
      <w:r w:rsidR="003D74DB">
        <w:t xml:space="preserve"> equalisation distribu</w:t>
      </w:r>
      <w:r>
        <w:t>tion</w:t>
      </w:r>
      <w:r>
        <w:rPr>
          <w:sz w:val="23"/>
          <w:szCs w:val="23"/>
        </w:rPr>
        <w:t>:</w:t>
      </w:r>
    </w:p>
    <w:p w:rsidR="003E0500" w:rsidRDefault="003E0500" w:rsidP="003E0500">
      <w:pPr>
        <w:pStyle w:val="CGCBulletlist"/>
        <w:numPr>
          <w:ilvl w:val="0"/>
          <w:numId w:val="1"/>
        </w:numPr>
        <w:tabs>
          <w:tab w:val="clear" w:pos="927"/>
        </w:tabs>
        <w:ind w:left="1134" w:hanging="567"/>
      </w:pPr>
      <w:r>
        <w:t xml:space="preserve">the biggest changes occur under the EPC option </w:t>
      </w:r>
    </w:p>
    <w:p w:rsidR="003E0500" w:rsidRDefault="003E0500" w:rsidP="003E0500">
      <w:pPr>
        <w:pStyle w:val="CGCBulletlist"/>
        <w:numPr>
          <w:ilvl w:val="0"/>
          <w:numId w:val="1"/>
        </w:numPr>
        <w:tabs>
          <w:tab w:val="clear" w:pos="927"/>
        </w:tabs>
        <w:ind w:left="1134" w:hanging="567"/>
      </w:pPr>
      <w:r>
        <w:t xml:space="preserve">the changes under the </w:t>
      </w:r>
      <w:r w:rsidR="0009560A">
        <w:t xml:space="preserve">APC </w:t>
      </w:r>
      <w:r>
        <w:t>option are smaller than the EPC option</w:t>
      </w:r>
    </w:p>
    <w:p w:rsidR="003E0500" w:rsidRPr="009A2FF0" w:rsidRDefault="003E0500" w:rsidP="003E0500">
      <w:pPr>
        <w:pStyle w:val="CGCBulletlist"/>
        <w:numPr>
          <w:ilvl w:val="0"/>
          <w:numId w:val="1"/>
        </w:numPr>
        <w:tabs>
          <w:tab w:val="clear" w:pos="927"/>
        </w:tabs>
        <w:ind w:left="1134" w:hanging="567"/>
      </w:pPr>
      <w:proofErr w:type="gramStart"/>
      <w:r>
        <w:t>the</w:t>
      </w:r>
      <w:proofErr w:type="gramEnd"/>
      <w:r>
        <w:t xml:space="preserve"> changes under the </w:t>
      </w:r>
      <w:r w:rsidR="0009560A">
        <w:t xml:space="preserve">partial EPC </w:t>
      </w:r>
      <w:r>
        <w:t xml:space="preserve">option are the closest (in aggregate) to </w:t>
      </w:r>
      <w:r w:rsidR="00DF4AD6">
        <w:t>an</w:t>
      </w:r>
      <w:r w:rsidR="003D74DB">
        <w:t xml:space="preserve"> equalisation distribu</w:t>
      </w:r>
      <w:r>
        <w:t>tion.</w:t>
      </w:r>
    </w:p>
    <w:p w:rsidR="003E0500" w:rsidRDefault="003E0500" w:rsidP="003E0500">
      <w:pPr>
        <w:pStyle w:val="CGCTableHeading"/>
      </w:pPr>
      <w:bookmarkStart w:id="35" w:name="_Ref476732814"/>
      <w:r>
        <w:t>Table </w:t>
      </w:r>
      <w:fldSimple w:instr=" SEQ Table \* ARABIC ">
        <w:r w:rsidR="00DD13C4">
          <w:rPr>
            <w:noProof/>
          </w:rPr>
          <w:t>3</w:t>
        </w:r>
      </w:fldSimple>
      <w:bookmarkEnd w:id="35"/>
      <w:r>
        <w:tab/>
        <w:t>Distribution of the pool, various options, 2000-01 to 2017-18</w:t>
      </w:r>
    </w:p>
    <w:tbl>
      <w:tblPr>
        <w:tblW w:w="5000" w:type="pct"/>
        <w:tblLayout w:type="fixed"/>
        <w:tblCellMar>
          <w:left w:w="0" w:type="dxa"/>
          <w:right w:w="0" w:type="dxa"/>
        </w:tblCellMar>
        <w:tblLook w:val="0000" w:firstRow="0" w:lastRow="0" w:firstColumn="0" w:lastColumn="0" w:noHBand="0" w:noVBand="0"/>
      </w:tblPr>
      <w:tblGrid>
        <w:gridCol w:w="1277"/>
        <w:gridCol w:w="853"/>
        <w:gridCol w:w="853"/>
        <w:gridCol w:w="853"/>
        <w:gridCol w:w="853"/>
        <w:gridCol w:w="853"/>
        <w:gridCol w:w="853"/>
        <w:gridCol w:w="852"/>
        <w:gridCol w:w="852"/>
        <w:gridCol w:w="852"/>
      </w:tblGrid>
      <w:tr w:rsidR="003E0500" w:rsidRPr="00FE3F73" w:rsidTr="00EF0770">
        <w:tc>
          <w:tcPr>
            <w:tcW w:w="713" w:type="pct"/>
            <w:tcBorders>
              <w:top w:val="single" w:sz="6" w:space="0" w:color="auto"/>
              <w:bottom w:val="single" w:sz="6" w:space="0" w:color="auto"/>
            </w:tcBorders>
            <w:vAlign w:val="center"/>
          </w:tcPr>
          <w:p w:rsidR="003E0500" w:rsidRPr="00FE3F73" w:rsidRDefault="003E0500" w:rsidP="00EF0770">
            <w:pPr>
              <w:pStyle w:val="CGCTableStub"/>
              <w:spacing w:line="240" w:lineRule="auto"/>
              <w:ind w:left="193" w:hanging="142"/>
              <w:rPr>
                <w:rFonts w:cstheme="minorHAnsi"/>
              </w:rPr>
            </w:pPr>
            <w:r>
              <w:rPr>
                <w:rFonts w:cstheme="minorHAnsi"/>
              </w:rPr>
              <w:t xml:space="preserve">GST </w:t>
            </w:r>
            <w:proofErr w:type="spellStart"/>
            <w:r>
              <w:rPr>
                <w:rFonts w:cstheme="minorHAnsi"/>
              </w:rPr>
              <w:t>Dist’n</w:t>
            </w:r>
            <w:proofErr w:type="spellEnd"/>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NSW</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Vic</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Qld</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WA</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SA</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proofErr w:type="spellStart"/>
            <w:r w:rsidRPr="00FE3F73">
              <w:rPr>
                <w:rFonts w:cstheme="minorHAnsi"/>
              </w:rPr>
              <w:t>Tas</w:t>
            </w:r>
            <w:proofErr w:type="spellEnd"/>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ACT</w:t>
            </w:r>
          </w:p>
        </w:tc>
        <w:tc>
          <w:tcPr>
            <w:tcW w:w="476" w:type="pct"/>
            <w:tcBorders>
              <w:top w:val="single" w:sz="6" w:space="0" w:color="auto"/>
              <w:bottom w:val="single" w:sz="6" w:space="0" w:color="auto"/>
            </w:tcBorders>
            <w:vAlign w:val="center"/>
          </w:tcPr>
          <w:p w:rsidR="003E0500" w:rsidRPr="00FE3F73" w:rsidRDefault="003E0500" w:rsidP="00EF0770">
            <w:pPr>
              <w:pStyle w:val="TableColHeadings"/>
              <w:rPr>
                <w:rFonts w:cstheme="minorHAnsi"/>
              </w:rPr>
            </w:pPr>
            <w:r w:rsidRPr="00FE3F73">
              <w:rPr>
                <w:rFonts w:cstheme="minorHAnsi"/>
              </w:rPr>
              <w:t>NT</w:t>
            </w:r>
          </w:p>
        </w:tc>
        <w:tc>
          <w:tcPr>
            <w:tcW w:w="476" w:type="pct"/>
            <w:tcBorders>
              <w:top w:val="single" w:sz="6" w:space="0" w:color="auto"/>
              <w:bottom w:val="single" w:sz="6" w:space="0" w:color="auto"/>
            </w:tcBorders>
            <w:vAlign w:val="center"/>
          </w:tcPr>
          <w:p w:rsidR="003E0500" w:rsidRPr="00FE3F73" w:rsidRDefault="00B057BA" w:rsidP="00EF0770">
            <w:pPr>
              <w:pStyle w:val="TableColHeadings"/>
              <w:rPr>
                <w:rFonts w:cstheme="minorHAnsi"/>
              </w:rPr>
            </w:pPr>
            <w:r>
              <w:rPr>
                <w:rFonts w:cstheme="minorHAnsi"/>
              </w:rPr>
              <w:t>Total</w:t>
            </w:r>
          </w:p>
        </w:tc>
      </w:tr>
      <w:tr w:rsidR="003E0500" w:rsidRPr="00FE3F73" w:rsidTr="00EF0770">
        <w:tc>
          <w:tcPr>
            <w:tcW w:w="713" w:type="pct"/>
            <w:tcMar>
              <w:top w:w="0" w:type="dxa"/>
              <w:bottom w:w="0" w:type="dxa"/>
            </w:tcMar>
            <w:vAlign w:val="bottom"/>
          </w:tcPr>
          <w:p w:rsidR="003E0500" w:rsidRPr="00FE3F73" w:rsidRDefault="003E0500" w:rsidP="00EF0770">
            <w:pPr>
              <w:pStyle w:val="CGCTableStub"/>
              <w:spacing w:before="0" w:after="0" w:line="240" w:lineRule="auto"/>
              <w:ind w:left="193" w:hanging="142"/>
              <w:jc w:val="right"/>
              <w:rPr>
                <w:rFonts w:cstheme="minorHAnsi"/>
              </w:rPr>
            </w:pP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c>
          <w:tcPr>
            <w:tcW w:w="476" w:type="pct"/>
            <w:tcMar>
              <w:top w:w="0" w:type="dxa"/>
              <w:bottom w:w="0" w:type="dxa"/>
            </w:tcMar>
            <w:vAlign w:val="bottom"/>
          </w:tcPr>
          <w:p w:rsidR="003E0500" w:rsidRPr="00FE3F73" w:rsidRDefault="003E0500" w:rsidP="00EF0770">
            <w:pPr>
              <w:pStyle w:val="TableRowNormal"/>
              <w:spacing w:before="0" w:after="0" w:line="240" w:lineRule="auto"/>
              <w:ind w:left="0" w:firstLine="0"/>
              <w:rPr>
                <w:rFonts w:cstheme="minorHAnsi"/>
              </w:rPr>
            </w:pPr>
            <w:r>
              <w:rPr>
                <w:rFonts w:cstheme="minorHAnsi"/>
              </w:rPr>
              <w:t>$b</w:t>
            </w:r>
          </w:p>
        </w:tc>
      </w:tr>
      <w:tr w:rsidR="0009560A" w:rsidRPr="00FE3F73" w:rsidTr="00EF0770">
        <w:tc>
          <w:tcPr>
            <w:tcW w:w="713" w:type="pct"/>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r>
              <w:rPr>
                <w:rFonts w:cstheme="minorHAnsi"/>
              </w:rPr>
              <w:t>Equalisation</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254.6</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190.5</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175.0</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61.1</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79.5</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31.4</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16.2</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42.2</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850.5</w:t>
            </w:r>
          </w:p>
        </w:tc>
      </w:tr>
      <w:tr w:rsidR="0009560A" w:rsidRPr="00FE3F73" w:rsidTr="00EF0770">
        <w:tc>
          <w:tcPr>
            <w:tcW w:w="713" w:type="pct"/>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r>
              <w:rPr>
                <w:rFonts w:cstheme="minorHAnsi"/>
              </w:rPr>
              <w:t>EPC</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277.3</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211.4</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168.6</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88.6</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62.7</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19.4</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13.8</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8.7</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850.5</w:t>
            </w:r>
          </w:p>
        </w:tc>
      </w:tr>
      <w:tr w:rsidR="0009560A" w:rsidRPr="00FE3F73" w:rsidTr="00EF0770">
        <w:tc>
          <w:tcPr>
            <w:tcW w:w="713" w:type="pct"/>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r>
              <w:rPr>
                <w:rFonts w:cstheme="minorHAnsi"/>
              </w:rPr>
              <w:t>Partial EPC (a)</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253.2</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193.0</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163.0</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81.1</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74.1</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29.7</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15.0</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41.5</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850.5</w:t>
            </w:r>
          </w:p>
        </w:tc>
      </w:tr>
      <w:tr w:rsidR="0009560A" w:rsidRPr="00FE3F73" w:rsidTr="00EF0770">
        <w:tc>
          <w:tcPr>
            <w:tcW w:w="713" w:type="pct"/>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r>
              <w:rPr>
                <w:rFonts w:cstheme="minorHAnsi"/>
              </w:rPr>
              <w:t>APC</w:t>
            </w:r>
          </w:p>
        </w:tc>
        <w:tc>
          <w:tcPr>
            <w:tcW w:w="476" w:type="pct"/>
            <w:vAlign w:val="bottom"/>
          </w:tcPr>
          <w:p w:rsidR="0009560A" w:rsidRPr="005012F7" w:rsidRDefault="0009560A" w:rsidP="003D74DB">
            <w:pPr>
              <w:pStyle w:val="TableRowNormal"/>
              <w:ind w:left="0" w:firstLine="0"/>
              <w:rPr>
                <w:rFonts w:cstheme="minorHAnsi"/>
              </w:rPr>
            </w:pPr>
            <w:r w:rsidRPr="005012F7">
              <w:rPr>
                <w:rFonts w:cstheme="minorHAnsi"/>
              </w:rPr>
              <w:t>238.3</w:t>
            </w:r>
          </w:p>
        </w:tc>
        <w:tc>
          <w:tcPr>
            <w:tcW w:w="476" w:type="pct"/>
            <w:vAlign w:val="bottom"/>
          </w:tcPr>
          <w:p w:rsidR="0009560A" w:rsidRPr="005012F7" w:rsidRDefault="0009560A" w:rsidP="003D74DB">
            <w:pPr>
              <w:pStyle w:val="TableRowNormal"/>
              <w:ind w:left="0" w:firstLine="0"/>
              <w:rPr>
                <w:rFonts w:cstheme="minorHAnsi"/>
              </w:rPr>
            </w:pPr>
            <w:r w:rsidRPr="005012F7">
              <w:rPr>
                <w:rFonts w:cstheme="minorHAnsi"/>
              </w:rPr>
              <w:t>177.0</w:t>
            </w:r>
          </w:p>
        </w:tc>
        <w:tc>
          <w:tcPr>
            <w:tcW w:w="476" w:type="pct"/>
            <w:vAlign w:val="bottom"/>
          </w:tcPr>
          <w:p w:rsidR="0009560A" w:rsidRPr="005012F7" w:rsidRDefault="0009560A" w:rsidP="003D74DB">
            <w:pPr>
              <w:pStyle w:val="TableRowNormal"/>
              <w:ind w:left="0" w:firstLine="0"/>
              <w:rPr>
                <w:rFonts w:cstheme="minorHAnsi"/>
              </w:rPr>
            </w:pPr>
            <w:r w:rsidRPr="005012F7">
              <w:rPr>
                <w:rFonts w:cstheme="minorHAnsi"/>
              </w:rPr>
              <w:t>185.1</w:t>
            </w:r>
          </w:p>
        </w:tc>
        <w:tc>
          <w:tcPr>
            <w:tcW w:w="476" w:type="pct"/>
            <w:vAlign w:val="bottom"/>
          </w:tcPr>
          <w:p w:rsidR="0009560A" w:rsidRPr="005012F7" w:rsidRDefault="0009560A" w:rsidP="003D74DB">
            <w:pPr>
              <w:pStyle w:val="TableRowNormal"/>
              <w:ind w:left="0" w:firstLine="0"/>
              <w:rPr>
                <w:rFonts w:cstheme="minorHAnsi"/>
              </w:rPr>
            </w:pPr>
            <w:r w:rsidRPr="005012F7">
              <w:rPr>
                <w:rFonts w:cstheme="minorHAnsi"/>
              </w:rPr>
              <w:t>72.1</w:t>
            </w:r>
          </w:p>
        </w:tc>
        <w:tc>
          <w:tcPr>
            <w:tcW w:w="476" w:type="pct"/>
            <w:vAlign w:val="bottom"/>
          </w:tcPr>
          <w:p w:rsidR="0009560A" w:rsidRPr="005012F7" w:rsidRDefault="0009560A" w:rsidP="003D74DB">
            <w:pPr>
              <w:pStyle w:val="TableRowNormal"/>
              <w:ind w:left="0" w:firstLine="0"/>
              <w:rPr>
                <w:rFonts w:cstheme="minorHAnsi"/>
              </w:rPr>
            </w:pPr>
            <w:r w:rsidRPr="005012F7">
              <w:rPr>
                <w:rFonts w:cstheme="minorHAnsi"/>
              </w:rPr>
              <w:t>81.6</w:t>
            </w:r>
          </w:p>
        </w:tc>
        <w:tc>
          <w:tcPr>
            <w:tcW w:w="476" w:type="pct"/>
            <w:vAlign w:val="bottom"/>
          </w:tcPr>
          <w:p w:rsidR="0009560A" w:rsidRPr="005012F7" w:rsidRDefault="0009560A" w:rsidP="003D74DB">
            <w:pPr>
              <w:pStyle w:val="TableRowNormal"/>
              <w:ind w:left="0" w:firstLine="0"/>
              <w:rPr>
                <w:rFonts w:cstheme="minorHAnsi"/>
              </w:rPr>
            </w:pPr>
            <w:r w:rsidRPr="005012F7">
              <w:rPr>
                <w:rFonts w:cstheme="minorHAnsi"/>
              </w:rPr>
              <w:t>30.6</w:t>
            </w:r>
          </w:p>
        </w:tc>
        <w:tc>
          <w:tcPr>
            <w:tcW w:w="476" w:type="pct"/>
            <w:vAlign w:val="bottom"/>
          </w:tcPr>
          <w:p w:rsidR="0009560A" w:rsidRPr="005012F7" w:rsidRDefault="0009560A" w:rsidP="003D74DB">
            <w:pPr>
              <w:pStyle w:val="TableRowNormal"/>
              <w:ind w:left="0" w:firstLine="0"/>
              <w:rPr>
                <w:rFonts w:cstheme="minorHAnsi"/>
              </w:rPr>
            </w:pPr>
            <w:r w:rsidRPr="005012F7">
              <w:rPr>
                <w:rFonts w:cstheme="minorHAnsi"/>
              </w:rPr>
              <w:t>21.4</w:t>
            </w:r>
          </w:p>
        </w:tc>
        <w:tc>
          <w:tcPr>
            <w:tcW w:w="476" w:type="pct"/>
            <w:vAlign w:val="bottom"/>
          </w:tcPr>
          <w:p w:rsidR="0009560A" w:rsidRPr="005012F7" w:rsidRDefault="0009560A" w:rsidP="003D74DB">
            <w:pPr>
              <w:pStyle w:val="TableRowNormal"/>
              <w:ind w:left="0" w:firstLine="0"/>
              <w:rPr>
                <w:rFonts w:cstheme="minorHAnsi"/>
              </w:rPr>
            </w:pPr>
            <w:r w:rsidRPr="005012F7">
              <w:rPr>
                <w:rFonts w:cstheme="minorHAnsi"/>
              </w:rPr>
              <w:t>44.4</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850.5</w:t>
            </w:r>
          </w:p>
        </w:tc>
      </w:tr>
      <w:tr w:rsidR="0009560A" w:rsidRPr="00FE3F73" w:rsidTr="00EF0770">
        <w:tc>
          <w:tcPr>
            <w:tcW w:w="713" w:type="pct"/>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r>
      <w:tr w:rsidR="0009560A" w:rsidRPr="00FE3F73" w:rsidTr="00EF0770">
        <w:tc>
          <w:tcPr>
            <w:tcW w:w="713" w:type="pct"/>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r>
              <w:rPr>
                <w:rFonts w:cstheme="minorHAnsi"/>
              </w:rPr>
              <w:t>Difference</w:t>
            </w: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
        </w:tc>
        <w:tc>
          <w:tcPr>
            <w:tcW w:w="476" w:type="pct"/>
            <w:vAlign w:val="bottom"/>
          </w:tcPr>
          <w:p w:rsidR="0009560A" w:rsidRPr="00C529E1" w:rsidRDefault="0009560A" w:rsidP="00EF0770">
            <w:pPr>
              <w:pStyle w:val="TableRowNormal"/>
              <w:ind w:left="0" w:firstLine="0"/>
              <w:rPr>
                <w:rFonts w:cstheme="minorHAnsi"/>
              </w:rPr>
            </w:pPr>
            <w:proofErr w:type="spellStart"/>
            <w:r>
              <w:rPr>
                <w:rFonts w:cstheme="minorHAnsi"/>
              </w:rPr>
              <w:t>Redis</w:t>
            </w:r>
            <w:r w:rsidR="000A34D1">
              <w:rPr>
                <w:rFonts w:cstheme="minorHAnsi"/>
              </w:rPr>
              <w:t>t</w:t>
            </w:r>
            <w:proofErr w:type="spellEnd"/>
          </w:p>
        </w:tc>
      </w:tr>
      <w:tr w:rsidR="0009560A" w:rsidRPr="00FE3F73" w:rsidTr="00EF0770">
        <w:tc>
          <w:tcPr>
            <w:tcW w:w="713" w:type="pct"/>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r>
              <w:rPr>
                <w:rFonts w:cstheme="minorHAnsi"/>
              </w:rPr>
              <w:t>EPC</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22.6</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20.9</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-6.4</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27.5</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-16.8</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-12.0</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-2.3</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-33.5</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71.1</w:t>
            </w:r>
          </w:p>
        </w:tc>
      </w:tr>
      <w:tr w:rsidR="0009560A" w:rsidRPr="00FE3F73" w:rsidTr="00EF0770">
        <w:tc>
          <w:tcPr>
            <w:tcW w:w="713" w:type="pct"/>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r>
              <w:rPr>
                <w:rFonts w:cstheme="minorHAnsi"/>
              </w:rPr>
              <w:t>Partial EPC (a)</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-1.4</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2.5</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-12.0</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20.0</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-5.4</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-1.7</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-1.2</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-0.8</w:t>
            </w:r>
          </w:p>
        </w:tc>
        <w:tc>
          <w:tcPr>
            <w:tcW w:w="476" w:type="pct"/>
            <w:vAlign w:val="bottom"/>
          </w:tcPr>
          <w:p w:rsidR="0009560A" w:rsidRPr="00DC0D22" w:rsidRDefault="0009560A" w:rsidP="003D74DB">
            <w:pPr>
              <w:pStyle w:val="TableRowNormal"/>
              <w:ind w:left="0" w:firstLine="0"/>
              <w:rPr>
                <w:rFonts w:cstheme="minorHAnsi"/>
              </w:rPr>
            </w:pPr>
            <w:r w:rsidRPr="00DC0D22">
              <w:rPr>
                <w:rFonts w:cstheme="minorHAnsi"/>
              </w:rPr>
              <w:t>22.5</w:t>
            </w:r>
          </w:p>
        </w:tc>
      </w:tr>
      <w:tr w:rsidR="0009560A" w:rsidRPr="00FE3F73" w:rsidTr="00EF0770">
        <w:tc>
          <w:tcPr>
            <w:tcW w:w="713" w:type="pct"/>
            <w:tcBorders>
              <w:bottom w:val="single" w:sz="4" w:space="0" w:color="auto"/>
            </w:tcBorders>
            <w:vAlign w:val="bottom"/>
          </w:tcPr>
          <w:p w:rsidR="0009560A" w:rsidRDefault="0009560A" w:rsidP="00EF0770">
            <w:pPr>
              <w:pStyle w:val="CGCTableStub"/>
              <w:tabs>
                <w:tab w:val="left" w:pos="142"/>
                <w:tab w:val="left" w:pos="425"/>
                <w:tab w:val="left" w:pos="709"/>
                <w:tab w:val="left" w:pos="851"/>
              </w:tabs>
              <w:ind w:left="193" w:hanging="142"/>
              <w:rPr>
                <w:rFonts w:cstheme="minorHAnsi"/>
              </w:rPr>
            </w:pPr>
            <w:r>
              <w:rPr>
                <w:rFonts w:cstheme="minorHAnsi"/>
              </w:rPr>
              <w:t>APC</w:t>
            </w:r>
          </w:p>
        </w:tc>
        <w:tc>
          <w:tcPr>
            <w:tcW w:w="476" w:type="pct"/>
            <w:tcBorders>
              <w:bottom w:val="single" w:sz="4" w:space="0" w:color="auto"/>
            </w:tcBorders>
            <w:vAlign w:val="bottom"/>
          </w:tcPr>
          <w:p w:rsidR="0009560A" w:rsidRPr="005012F7" w:rsidRDefault="0009560A" w:rsidP="003D74DB">
            <w:pPr>
              <w:pStyle w:val="TableRowNormal"/>
              <w:ind w:left="0" w:firstLine="0"/>
              <w:rPr>
                <w:rFonts w:cstheme="minorHAnsi"/>
              </w:rPr>
            </w:pPr>
            <w:r w:rsidRPr="005012F7">
              <w:rPr>
                <w:rFonts w:cstheme="minorHAnsi"/>
              </w:rPr>
              <w:t>-16.3</w:t>
            </w:r>
          </w:p>
        </w:tc>
        <w:tc>
          <w:tcPr>
            <w:tcW w:w="476" w:type="pct"/>
            <w:tcBorders>
              <w:bottom w:val="single" w:sz="4" w:space="0" w:color="auto"/>
            </w:tcBorders>
            <w:vAlign w:val="bottom"/>
          </w:tcPr>
          <w:p w:rsidR="0009560A" w:rsidRPr="005012F7" w:rsidRDefault="0009560A" w:rsidP="003D74DB">
            <w:pPr>
              <w:pStyle w:val="TableRowNormal"/>
              <w:ind w:left="0" w:firstLine="0"/>
              <w:rPr>
                <w:rFonts w:cstheme="minorHAnsi"/>
              </w:rPr>
            </w:pPr>
            <w:r w:rsidRPr="005012F7">
              <w:rPr>
                <w:rFonts w:cstheme="minorHAnsi"/>
              </w:rPr>
              <w:t>-13.5</w:t>
            </w:r>
          </w:p>
        </w:tc>
        <w:tc>
          <w:tcPr>
            <w:tcW w:w="476" w:type="pct"/>
            <w:tcBorders>
              <w:bottom w:val="single" w:sz="4" w:space="0" w:color="auto"/>
            </w:tcBorders>
            <w:vAlign w:val="bottom"/>
          </w:tcPr>
          <w:p w:rsidR="0009560A" w:rsidRPr="005012F7" w:rsidRDefault="0009560A" w:rsidP="003D74DB">
            <w:pPr>
              <w:pStyle w:val="TableRowNormal"/>
              <w:ind w:left="0" w:firstLine="0"/>
              <w:rPr>
                <w:rFonts w:cstheme="minorHAnsi"/>
              </w:rPr>
            </w:pPr>
            <w:r w:rsidRPr="005012F7">
              <w:rPr>
                <w:rFonts w:cstheme="minorHAnsi"/>
              </w:rPr>
              <w:t>10.1</w:t>
            </w:r>
          </w:p>
        </w:tc>
        <w:tc>
          <w:tcPr>
            <w:tcW w:w="476" w:type="pct"/>
            <w:tcBorders>
              <w:bottom w:val="single" w:sz="4" w:space="0" w:color="auto"/>
            </w:tcBorders>
            <w:vAlign w:val="bottom"/>
          </w:tcPr>
          <w:p w:rsidR="0009560A" w:rsidRPr="005012F7" w:rsidRDefault="0009560A" w:rsidP="003D74DB">
            <w:pPr>
              <w:pStyle w:val="TableRowNormal"/>
              <w:ind w:left="0" w:firstLine="0"/>
              <w:rPr>
                <w:rFonts w:cstheme="minorHAnsi"/>
              </w:rPr>
            </w:pPr>
            <w:r w:rsidRPr="005012F7">
              <w:rPr>
                <w:rFonts w:cstheme="minorHAnsi"/>
              </w:rPr>
              <w:t>11.0</w:t>
            </w:r>
          </w:p>
        </w:tc>
        <w:tc>
          <w:tcPr>
            <w:tcW w:w="476" w:type="pct"/>
            <w:tcBorders>
              <w:bottom w:val="single" w:sz="4" w:space="0" w:color="auto"/>
            </w:tcBorders>
            <w:vAlign w:val="bottom"/>
          </w:tcPr>
          <w:p w:rsidR="0009560A" w:rsidRPr="005012F7" w:rsidRDefault="0009560A" w:rsidP="003D74DB">
            <w:pPr>
              <w:pStyle w:val="TableRowNormal"/>
              <w:ind w:left="0" w:firstLine="0"/>
              <w:rPr>
                <w:rFonts w:cstheme="minorHAnsi"/>
              </w:rPr>
            </w:pPr>
            <w:r w:rsidRPr="005012F7">
              <w:rPr>
                <w:rFonts w:cstheme="minorHAnsi"/>
              </w:rPr>
              <w:t>2.1</w:t>
            </w:r>
          </w:p>
        </w:tc>
        <w:tc>
          <w:tcPr>
            <w:tcW w:w="476" w:type="pct"/>
            <w:tcBorders>
              <w:bottom w:val="single" w:sz="4" w:space="0" w:color="auto"/>
            </w:tcBorders>
            <w:vAlign w:val="bottom"/>
          </w:tcPr>
          <w:p w:rsidR="0009560A" w:rsidRPr="005012F7" w:rsidRDefault="0009560A" w:rsidP="003D74DB">
            <w:pPr>
              <w:pStyle w:val="TableRowNormal"/>
              <w:ind w:left="0" w:firstLine="0"/>
              <w:rPr>
                <w:rFonts w:cstheme="minorHAnsi"/>
              </w:rPr>
            </w:pPr>
            <w:r w:rsidRPr="005012F7">
              <w:rPr>
                <w:rFonts w:cstheme="minorHAnsi"/>
              </w:rPr>
              <w:t>-0.8</w:t>
            </w:r>
          </w:p>
        </w:tc>
        <w:tc>
          <w:tcPr>
            <w:tcW w:w="476" w:type="pct"/>
            <w:tcBorders>
              <w:bottom w:val="single" w:sz="4" w:space="0" w:color="auto"/>
            </w:tcBorders>
            <w:vAlign w:val="bottom"/>
          </w:tcPr>
          <w:p w:rsidR="0009560A" w:rsidRPr="005012F7" w:rsidRDefault="0009560A" w:rsidP="003D74DB">
            <w:pPr>
              <w:pStyle w:val="TableRowNormal"/>
              <w:ind w:left="0" w:firstLine="0"/>
              <w:rPr>
                <w:rFonts w:cstheme="minorHAnsi"/>
              </w:rPr>
            </w:pPr>
            <w:r w:rsidRPr="005012F7">
              <w:rPr>
                <w:rFonts w:cstheme="minorHAnsi"/>
              </w:rPr>
              <w:t>5.3</w:t>
            </w:r>
          </w:p>
        </w:tc>
        <w:tc>
          <w:tcPr>
            <w:tcW w:w="476" w:type="pct"/>
            <w:tcBorders>
              <w:bottom w:val="single" w:sz="4" w:space="0" w:color="auto"/>
            </w:tcBorders>
            <w:vAlign w:val="bottom"/>
          </w:tcPr>
          <w:p w:rsidR="0009560A" w:rsidRPr="005012F7" w:rsidRDefault="0009560A" w:rsidP="003D74DB">
            <w:pPr>
              <w:pStyle w:val="TableRowNormal"/>
              <w:ind w:left="0" w:firstLine="0"/>
              <w:rPr>
                <w:rFonts w:cstheme="minorHAnsi"/>
              </w:rPr>
            </w:pPr>
            <w:r w:rsidRPr="005012F7">
              <w:rPr>
                <w:rFonts w:cstheme="minorHAnsi"/>
              </w:rPr>
              <w:t>2.2</w:t>
            </w:r>
          </w:p>
        </w:tc>
        <w:tc>
          <w:tcPr>
            <w:tcW w:w="476" w:type="pct"/>
            <w:tcBorders>
              <w:bottom w:val="single" w:sz="4" w:space="0" w:color="auto"/>
            </w:tcBorders>
            <w:vAlign w:val="bottom"/>
          </w:tcPr>
          <w:p w:rsidR="0009560A" w:rsidRPr="00DC0D22" w:rsidRDefault="0009560A" w:rsidP="003D74DB">
            <w:pPr>
              <w:pStyle w:val="TableRowNormal"/>
              <w:ind w:left="0" w:firstLine="0"/>
              <w:rPr>
                <w:rFonts w:cstheme="minorHAnsi"/>
              </w:rPr>
            </w:pPr>
            <w:r>
              <w:rPr>
                <w:rFonts w:cstheme="minorHAnsi"/>
              </w:rPr>
              <w:t>30.6</w:t>
            </w:r>
          </w:p>
        </w:tc>
      </w:tr>
    </w:tbl>
    <w:p w:rsidR="003E0500" w:rsidRDefault="003E0500" w:rsidP="003E0500">
      <w:pPr>
        <w:pStyle w:val="CGCTableFootnote"/>
      </w:pPr>
      <w:r>
        <w:t>(a)</w:t>
      </w:r>
      <w:r>
        <w:tab/>
        <w:t>The GST pool is used to finance the additional amounts fiscally weak</w:t>
      </w:r>
      <w:r w:rsidR="00BB542E">
        <w:t>er</w:t>
      </w:r>
      <w:r>
        <w:t xml:space="preserve"> States are assessed to require. The balance of the pool is distributed on an equal per capita basis.</w:t>
      </w:r>
    </w:p>
    <w:p w:rsidR="003E0500" w:rsidRDefault="003E0500" w:rsidP="003E0500">
      <w:pPr>
        <w:pStyle w:val="CGCTableFootnote"/>
      </w:pPr>
      <w:r>
        <w:t>Source:</w:t>
      </w:r>
      <w:r>
        <w:tab/>
        <w:t>Commission calculation.</w:t>
      </w:r>
    </w:p>
    <w:p w:rsidR="003E0500" w:rsidRPr="00D1369D" w:rsidRDefault="002331B5" w:rsidP="003E0500">
      <w:pPr>
        <w:pStyle w:val="CGCNumberedPara"/>
        <w:numPr>
          <w:ilvl w:val="1"/>
          <w:numId w:val="3"/>
        </w:numPr>
      </w:pPr>
      <w:r w:rsidRPr="004B7DA5">
        <w:rPr>
          <w:sz w:val="23"/>
          <w:szCs w:val="23"/>
        </w:rPr>
        <w:t xml:space="preserve">Compared with </w:t>
      </w:r>
      <w:r w:rsidR="00DF4AD6">
        <w:rPr>
          <w:sz w:val="23"/>
          <w:szCs w:val="23"/>
        </w:rPr>
        <w:t>an</w:t>
      </w:r>
      <w:r w:rsidRPr="004B7DA5">
        <w:rPr>
          <w:sz w:val="23"/>
          <w:szCs w:val="23"/>
        </w:rPr>
        <w:t xml:space="preserve"> </w:t>
      </w:r>
      <w:r>
        <w:rPr>
          <w:sz w:val="23"/>
          <w:szCs w:val="23"/>
        </w:rPr>
        <w:t>equalisation distribution, t</w:t>
      </w:r>
      <w:r w:rsidR="008E0B6B">
        <w:t xml:space="preserve">hose receiving more GST </w:t>
      </w:r>
      <w:r w:rsidR="003E0500">
        <w:rPr>
          <w:sz w:val="23"/>
          <w:szCs w:val="23"/>
        </w:rPr>
        <w:t xml:space="preserve">under an </w:t>
      </w:r>
      <w:r w:rsidR="003E0500">
        <w:t xml:space="preserve">EPC distribution would have been </w:t>
      </w:r>
      <w:r w:rsidR="003E0500" w:rsidRPr="002C4F69">
        <w:rPr>
          <w:sz w:val="23"/>
          <w:szCs w:val="23"/>
        </w:rPr>
        <w:t>New South Wales</w:t>
      </w:r>
      <w:r w:rsidR="003E0500">
        <w:rPr>
          <w:sz w:val="23"/>
          <w:szCs w:val="23"/>
        </w:rPr>
        <w:t xml:space="preserve"> ($22.6 billion), </w:t>
      </w:r>
      <w:r w:rsidR="003E0500" w:rsidRPr="002C4F69">
        <w:rPr>
          <w:sz w:val="23"/>
          <w:szCs w:val="23"/>
        </w:rPr>
        <w:t>Victoria</w:t>
      </w:r>
      <w:r w:rsidR="003E0500">
        <w:rPr>
          <w:sz w:val="23"/>
          <w:szCs w:val="23"/>
        </w:rPr>
        <w:t xml:space="preserve"> ($20.9 billion) and </w:t>
      </w:r>
      <w:r w:rsidR="003E0500" w:rsidRPr="002C4F69">
        <w:rPr>
          <w:sz w:val="23"/>
          <w:szCs w:val="23"/>
        </w:rPr>
        <w:t>Western Australia</w:t>
      </w:r>
      <w:r w:rsidR="003E0500">
        <w:rPr>
          <w:sz w:val="23"/>
          <w:szCs w:val="23"/>
        </w:rPr>
        <w:t xml:space="preserve"> ($27.5 billion). </w:t>
      </w:r>
    </w:p>
    <w:p w:rsidR="00A11822" w:rsidRPr="00A11822" w:rsidRDefault="00C22910" w:rsidP="003E0500">
      <w:pPr>
        <w:pStyle w:val="CGCNumberedPara"/>
        <w:numPr>
          <w:ilvl w:val="1"/>
          <w:numId w:val="3"/>
        </w:numPr>
      </w:pPr>
      <w:r>
        <w:lastRenderedPageBreak/>
        <w:t>Only two States would receive more GST u</w:t>
      </w:r>
      <w:r w:rsidR="003E0500">
        <w:t>nder a partial EPC distribution</w:t>
      </w:r>
      <w:r>
        <w:t xml:space="preserve">. </w:t>
      </w:r>
      <w:r w:rsidR="003E0500" w:rsidRPr="00B04921">
        <w:rPr>
          <w:sz w:val="23"/>
          <w:szCs w:val="23"/>
        </w:rPr>
        <w:t>Western Australia ($20.0</w:t>
      </w:r>
      <w:r w:rsidR="003E0500">
        <w:rPr>
          <w:sz w:val="23"/>
          <w:szCs w:val="23"/>
        </w:rPr>
        <w:t> </w:t>
      </w:r>
      <w:r w:rsidR="003E0500" w:rsidRPr="00B04921">
        <w:rPr>
          <w:sz w:val="23"/>
          <w:szCs w:val="23"/>
        </w:rPr>
        <w:t>billion) and Victoria ($2.5</w:t>
      </w:r>
      <w:r w:rsidR="003E0500">
        <w:rPr>
          <w:sz w:val="23"/>
          <w:szCs w:val="23"/>
        </w:rPr>
        <w:t> </w:t>
      </w:r>
      <w:r w:rsidR="003E0500" w:rsidRPr="00B04921">
        <w:rPr>
          <w:sz w:val="23"/>
          <w:szCs w:val="23"/>
        </w:rPr>
        <w:t>billion)</w:t>
      </w:r>
      <w:r w:rsidR="0009560A">
        <w:rPr>
          <w:sz w:val="23"/>
          <w:szCs w:val="23"/>
        </w:rPr>
        <w:t xml:space="preserve"> </w:t>
      </w:r>
      <w:r>
        <w:rPr>
          <w:sz w:val="23"/>
          <w:szCs w:val="23"/>
        </w:rPr>
        <w:t>were</w:t>
      </w:r>
      <w:r w:rsidR="00744039">
        <w:rPr>
          <w:sz w:val="23"/>
          <w:szCs w:val="23"/>
        </w:rPr>
        <w:t xml:space="preserve"> the fiscally strongest of the la</w:t>
      </w:r>
      <w:r>
        <w:rPr>
          <w:sz w:val="23"/>
          <w:szCs w:val="23"/>
        </w:rPr>
        <w:t>rge States over this</w:t>
      </w:r>
      <w:r w:rsidR="00744039">
        <w:rPr>
          <w:sz w:val="23"/>
          <w:szCs w:val="23"/>
        </w:rPr>
        <w:t xml:space="preserve"> period</w:t>
      </w:r>
      <w:r w:rsidR="003E0500" w:rsidRPr="00B04921">
        <w:rPr>
          <w:sz w:val="23"/>
          <w:szCs w:val="23"/>
        </w:rPr>
        <w:t xml:space="preserve">. </w:t>
      </w:r>
      <w:r w:rsidR="00F24D2C">
        <w:rPr>
          <w:sz w:val="23"/>
          <w:szCs w:val="23"/>
        </w:rPr>
        <w:t>The less fiscally strong large States over the period, New South Wales and Queensland (a fiscally weaker than average State</w:t>
      </w:r>
      <w:r w:rsidR="0009560A" w:rsidRPr="0009560A">
        <w:rPr>
          <w:sz w:val="23"/>
          <w:szCs w:val="23"/>
        </w:rPr>
        <w:t xml:space="preserve"> </w:t>
      </w:r>
      <w:r w:rsidR="0009560A">
        <w:rPr>
          <w:sz w:val="23"/>
          <w:szCs w:val="23"/>
        </w:rPr>
        <w:t>in the latter years</w:t>
      </w:r>
      <w:r w:rsidR="00F24D2C">
        <w:rPr>
          <w:sz w:val="23"/>
          <w:szCs w:val="23"/>
        </w:rPr>
        <w:t>), would have received less GST</w:t>
      </w:r>
      <w:r w:rsidR="0009560A">
        <w:rPr>
          <w:sz w:val="23"/>
          <w:szCs w:val="23"/>
        </w:rPr>
        <w:t xml:space="preserve">, at $1.4 billion and </w:t>
      </w:r>
      <w:r w:rsidR="00F24D2C">
        <w:rPr>
          <w:sz w:val="23"/>
          <w:szCs w:val="23"/>
        </w:rPr>
        <w:t>$12 billion respectively. The fiscally weaker States over the entire period</w:t>
      </w:r>
      <w:r w:rsidR="00A11822">
        <w:rPr>
          <w:sz w:val="23"/>
          <w:szCs w:val="23"/>
        </w:rPr>
        <w:t xml:space="preserve">, South Australia, Tasmania, the ACT and the Northern Territory, </w:t>
      </w:r>
      <w:r w:rsidR="00F24D2C">
        <w:rPr>
          <w:sz w:val="23"/>
          <w:szCs w:val="23"/>
        </w:rPr>
        <w:t>would all have received less GST revenue under a partial EPC distribution.</w:t>
      </w:r>
    </w:p>
    <w:p w:rsidR="003E0500" w:rsidRPr="00A774D5" w:rsidRDefault="00C22910" w:rsidP="003E0500">
      <w:pPr>
        <w:pStyle w:val="CGCNumberedPara"/>
        <w:numPr>
          <w:ilvl w:val="1"/>
          <w:numId w:val="3"/>
        </w:numPr>
      </w:pPr>
      <w:r>
        <w:rPr>
          <w:sz w:val="23"/>
          <w:szCs w:val="23"/>
        </w:rPr>
        <w:t xml:space="preserve">Compared with </w:t>
      </w:r>
      <w:r w:rsidR="00DF4AD6">
        <w:rPr>
          <w:sz w:val="23"/>
          <w:szCs w:val="23"/>
        </w:rPr>
        <w:t>an</w:t>
      </w:r>
      <w:r w:rsidR="003D74DB">
        <w:rPr>
          <w:sz w:val="23"/>
          <w:szCs w:val="23"/>
        </w:rPr>
        <w:t xml:space="preserve"> equalisation distribu</w:t>
      </w:r>
      <w:r>
        <w:rPr>
          <w:sz w:val="23"/>
          <w:szCs w:val="23"/>
        </w:rPr>
        <w:t xml:space="preserve">tion </w:t>
      </w:r>
      <w:r w:rsidR="0009560A">
        <w:rPr>
          <w:sz w:val="23"/>
          <w:szCs w:val="23"/>
        </w:rPr>
        <w:t>most States would have received more GST</w:t>
      </w:r>
      <w:r w:rsidRPr="00C22910">
        <w:rPr>
          <w:sz w:val="23"/>
          <w:szCs w:val="23"/>
        </w:rPr>
        <w:t xml:space="preserve"> </w:t>
      </w:r>
      <w:r>
        <w:rPr>
          <w:sz w:val="23"/>
          <w:szCs w:val="23"/>
        </w:rPr>
        <w:t>under an APC distribution</w:t>
      </w:r>
      <w:r w:rsidR="003E0500">
        <w:rPr>
          <w:sz w:val="23"/>
          <w:szCs w:val="23"/>
        </w:rPr>
        <w:t>.</w:t>
      </w:r>
      <w:r w:rsidR="0009560A">
        <w:rPr>
          <w:sz w:val="23"/>
          <w:szCs w:val="23"/>
        </w:rPr>
        <w:t xml:space="preserve"> Only </w:t>
      </w:r>
      <w:r w:rsidR="0009560A" w:rsidRPr="0009560A">
        <w:rPr>
          <w:sz w:val="23"/>
          <w:szCs w:val="23"/>
        </w:rPr>
        <w:t>New South Wales</w:t>
      </w:r>
      <w:r w:rsidR="0009560A">
        <w:rPr>
          <w:sz w:val="23"/>
          <w:szCs w:val="23"/>
        </w:rPr>
        <w:t xml:space="preserve"> (-$16.3 billion), Victoria (-$</w:t>
      </w:r>
      <w:r>
        <w:rPr>
          <w:sz w:val="23"/>
          <w:szCs w:val="23"/>
        </w:rPr>
        <w:t>13.5</w:t>
      </w:r>
      <w:r w:rsidR="0009560A">
        <w:rPr>
          <w:sz w:val="23"/>
          <w:szCs w:val="23"/>
        </w:rPr>
        <w:t> billion) and Tasmania</w:t>
      </w:r>
      <w:r w:rsidR="0009560A" w:rsidRPr="0009560A">
        <w:rPr>
          <w:sz w:val="23"/>
          <w:szCs w:val="23"/>
        </w:rPr>
        <w:t xml:space="preserve"> </w:t>
      </w:r>
      <w:r w:rsidR="0009560A">
        <w:rPr>
          <w:sz w:val="23"/>
          <w:szCs w:val="23"/>
        </w:rPr>
        <w:t>(-$0.8 billion)</w:t>
      </w:r>
      <w:r>
        <w:rPr>
          <w:sz w:val="23"/>
          <w:szCs w:val="23"/>
        </w:rPr>
        <w:t xml:space="preserve"> would have received less.</w:t>
      </w:r>
    </w:p>
    <w:p w:rsidR="003E0500" w:rsidRPr="00970E6D" w:rsidRDefault="003E0500" w:rsidP="003E0500">
      <w:pPr>
        <w:pStyle w:val="Heading3"/>
      </w:pPr>
      <w:bookmarkStart w:id="36" w:name="_Toc476746564"/>
      <w:bookmarkStart w:id="37" w:name="_Toc477424594"/>
      <w:bookmarkStart w:id="38" w:name="_Toc479663198"/>
      <w:r>
        <w:t>CONCLUSION</w:t>
      </w:r>
      <w:bookmarkEnd w:id="36"/>
      <w:bookmarkEnd w:id="37"/>
      <w:bookmarkEnd w:id="38"/>
    </w:p>
    <w:p w:rsidR="003E0500" w:rsidRDefault="003E0500" w:rsidP="003E0500">
      <w:pPr>
        <w:pStyle w:val="CGCNumberedPara"/>
        <w:numPr>
          <w:ilvl w:val="1"/>
          <w:numId w:val="3"/>
        </w:numPr>
      </w:pPr>
      <w:r>
        <w:t>The different approaches have big consequences</w:t>
      </w:r>
      <w:r w:rsidR="00EF4FAE">
        <w:t xml:space="preserve"> for GST shares</w:t>
      </w:r>
      <w:r>
        <w:t>. Had the GST been distributed on an EPC basis, New South Wales, Victoria and Western Australia would have collectively received $71.1 billion more since 2000</w:t>
      </w:r>
      <w:r>
        <w:noBreakHyphen/>
        <w:t>01. The fiscally weak</w:t>
      </w:r>
      <w:r w:rsidR="000D18DC">
        <w:t>er</w:t>
      </w:r>
      <w:r>
        <w:t xml:space="preserve"> States would have received $71.1 billion less, meaning they would not have been able to finance the average level of service.</w:t>
      </w:r>
    </w:p>
    <w:p w:rsidR="003E0500" w:rsidRDefault="003E0500" w:rsidP="003E0500">
      <w:pPr>
        <w:pStyle w:val="CGCNumberedPara"/>
        <w:numPr>
          <w:ilvl w:val="1"/>
          <w:numId w:val="3"/>
        </w:numPr>
      </w:pPr>
      <w:r>
        <w:t>Had the GST been distributed on a partial EPC basis, Victoria and Western Australia would have collectively received $22.5 billion more</w:t>
      </w:r>
      <w:r w:rsidRPr="00325130">
        <w:t xml:space="preserve"> </w:t>
      </w:r>
      <w:r>
        <w:t>since 2000</w:t>
      </w:r>
      <w:r>
        <w:noBreakHyphen/>
        <w:t>01. While the fiscally weak</w:t>
      </w:r>
      <w:r w:rsidR="000D18DC">
        <w:t>er</w:t>
      </w:r>
      <w:r>
        <w:t xml:space="preserve"> States</w:t>
      </w:r>
      <w:r w:rsidR="003654B8">
        <w:t xml:space="preserve"> </w:t>
      </w:r>
      <w:r w:rsidR="00AB2E6B">
        <w:t xml:space="preserve">would </w:t>
      </w:r>
      <w:r w:rsidR="003654B8">
        <w:t xml:space="preserve">receive more than a population share of GST, they </w:t>
      </w:r>
      <w:r w:rsidR="00AB2E6B">
        <w:t xml:space="preserve">would </w:t>
      </w:r>
      <w:r w:rsidR="003654B8">
        <w:t>receive less than the Commission’s current approach</w:t>
      </w:r>
      <w:r>
        <w:t>. Under this option, Victoria and Western Australia would be over</w:t>
      </w:r>
      <w:r w:rsidR="000D18DC">
        <w:noBreakHyphen/>
      </w:r>
      <w:r>
        <w:t>equalised. The remaining States</w:t>
      </w:r>
      <w:r w:rsidR="000D18DC">
        <w:t xml:space="preserve">, including New South Wales and Queensland, </w:t>
      </w:r>
      <w:r>
        <w:t>would be under</w:t>
      </w:r>
      <w:r w:rsidR="000D18DC">
        <w:noBreakHyphen/>
      </w:r>
      <w:r>
        <w:t>equalised,</w:t>
      </w:r>
      <w:r w:rsidRPr="00906593">
        <w:t xml:space="preserve"> </w:t>
      </w:r>
      <w:r>
        <w:t>meaning they would not have been able to finance the average level of service</w:t>
      </w:r>
      <w:r w:rsidR="002331B5">
        <w:t xml:space="preserve"> over this period</w:t>
      </w:r>
      <w:r>
        <w:t>.</w:t>
      </w:r>
    </w:p>
    <w:p w:rsidR="003E0500" w:rsidRDefault="00A103A6" w:rsidP="003E0500">
      <w:pPr>
        <w:pStyle w:val="CGCNumberedPara"/>
        <w:numPr>
          <w:ilvl w:val="1"/>
          <w:numId w:val="3"/>
        </w:numPr>
      </w:pPr>
      <w:r>
        <w:t xml:space="preserve">In terms of simpler distributions </w:t>
      </w:r>
      <w:r w:rsidR="003E0500">
        <w:t xml:space="preserve">an APC distribution is an alternative to an EPC distribution. It is simple, but </w:t>
      </w:r>
      <w:r w:rsidR="00AB2E6B">
        <w:t xml:space="preserve">would </w:t>
      </w:r>
      <w:r w:rsidR="003E0500">
        <w:t>provide fiscally weak</w:t>
      </w:r>
      <w:r>
        <w:t>er</w:t>
      </w:r>
      <w:r w:rsidR="003E0500">
        <w:t xml:space="preserve"> States with a level of funding closer to their equalisation outcomes</w:t>
      </w:r>
      <w:r w:rsidR="00AB2E6B">
        <w:t xml:space="preserve"> than an EPC distribution</w:t>
      </w:r>
      <w:r w:rsidR="003E0500">
        <w:t xml:space="preserve">. </w:t>
      </w:r>
      <w:r w:rsidR="00AB2E6B">
        <w:t>I</w:t>
      </w:r>
      <w:r w:rsidR="003E0500">
        <w:t xml:space="preserve">t would allow them the capacity to finance </w:t>
      </w:r>
      <w:r w:rsidR="00AB2E6B">
        <w:t xml:space="preserve">close to </w:t>
      </w:r>
      <w:r w:rsidR="003E0500">
        <w:t xml:space="preserve">the average level of service. On that basis, it might be more appropriate than an EPC distribution. </w:t>
      </w:r>
      <w:r w:rsidR="00D05D97">
        <w:t xml:space="preserve">Compared with an equalisation distribution, an EPC distribution </w:t>
      </w:r>
      <w:r w:rsidR="002331B5">
        <w:t>takes</w:t>
      </w:r>
      <w:r w:rsidR="00D05D97">
        <w:t xml:space="preserve"> no account of differences in State fiscal capacities and an APC assessment </w:t>
      </w:r>
      <w:r w:rsidR="002331B5">
        <w:t>tak</w:t>
      </w:r>
      <w:r w:rsidR="00D05D97">
        <w:t xml:space="preserve">es </w:t>
      </w:r>
      <w:r w:rsidR="002331B5">
        <w:t>no</w:t>
      </w:r>
      <w:r w:rsidR="00D05D97">
        <w:t xml:space="preserve"> account of differences in State policies.</w:t>
      </w:r>
    </w:p>
    <w:p w:rsidR="003E0500" w:rsidRPr="00E674AF" w:rsidRDefault="003E0500" w:rsidP="003E0500">
      <w:pPr>
        <w:tabs>
          <w:tab w:val="clear" w:pos="567"/>
        </w:tabs>
      </w:pPr>
    </w:p>
    <w:p w:rsidR="003E0500" w:rsidRPr="00E674AF" w:rsidRDefault="003E0500" w:rsidP="003E0500">
      <w:pPr>
        <w:tabs>
          <w:tab w:val="clear" w:pos="567"/>
        </w:tabs>
      </w:pPr>
    </w:p>
    <w:p w:rsidR="003E0500" w:rsidRPr="00E674AF" w:rsidRDefault="003E0500" w:rsidP="003E0500">
      <w:pPr>
        <w:tabs>
          <w:tab w:val="clear" w:pos="567"/>
        </w:tabs>
        <w:sectPr w:rsidR="003E0500" w:rsidRPr="00E674AF" w:rsidSect="00EF0770">
          <w:footerReference w:type="default" r:id="rId23"/>
          <w:footerReference w:type="first" r:id="rId24"/>
          <w:pgSz w:w="11899" w:h="16838" w:code="9"/>
          <w:pgMar w:top="1701" w:right="1474" w:bottom="1701" w:left="1474" w:header="709" w:footer="709" w:gutter="0"/>
          <w:pgNumType w:start="1"/>
          <w:cols w:space="708"/>
          <w:titlePg/>
          <w:docGrid w:linePitch="299"/>
        </w:sectPr>
      </w:pPr>
    </w:p>
    <w:p w:rsidR="003E0500" w:rsidRPr="00E674AF" w:rsidRDefault="003E0500" w:rsidP="003E0500">
      <w:pPr>
        <w:pStyle w:val="Heading2"/>
      </w:pPr>
      <w:bookmarkStart w:id="39" w:name="_Toc106707732"/>
      <w:bookmarkStart w:id="40" w:name="_Toc155675943"/>
      <w:bookmarkStart w:id="41" w:name="_Toc174415778"/>
      <w:bookmarkStart w:id="42" w:name="_Toc174415943"/>
      <w:bookmarkStart w:id="43" w:name="_Toc174416628"/>
      <w:bookmarkStart w:id="44" w:name="_Toc174416670"/>
      <w:bookmarkStart w:id="45" w:name="_Toc477424595"/>
      <w:r w:rsidRPr="00E674AF">
        <w:lastRenderedPageBreak/>
        <w:t>ATTACHMENT</w:t>
      </w:r>
      <w:bookmarkEnd w:id="39"/>
      <w:bookmarkEnd w:id="40"/>
      <w:bookmarkEnd w:id="41"/>
      <w:bookmarkEnd w:id="42"/>
      <w:bookmarkEnd w:id="43"/>
      <w:bookmarkEnd w:id="44"/>
      <w:r>
        <w:t xml:space="preserve"> A: </w:t>
      </w:r>
      <w:bookmarkEnd w:id="45"/>
      <w:r>
        <w:t xml:space="preserve">GST DISTRIBUTIONS BY STATE </w:t>
      </w:r>
    </w:p>
    <w:p w:rsidR="003E0500" w:rsidRPr="00E674AF" w:rsidRDefault="003E0500" w:rsidP="003E0500">
      <w:pPr>
        <w:pStyle w:val="CGCNumberedPara"/>
        <w:numPr>
          <w:ilvl w:val="1"/>
          <w:numId w:val="41"/>
        </w:numPr>
      </w:pPr>
      <w:bookmarkStart w:id="46" w:name="_Toc155675724"/>
      <w:bookmarkEnd w:id="46"/>
      <w:r>
        <w:t xml:space="preserve">This attachment provides State charts </w:t>
      </w:r>
      <w:r w:rsidR="002331B5">
        <w:t>that display</w:t>
      </w:r>
      <w:r>
        <w:t xml:space="preserve"> three GST distributions:</w:t>
      </w:r>
    </w:p>
    <w:p w:rsidR="003E0500" w:rsidRDefault="003E0500" w:rsidP="003E0500">
      <w:pPr>
        <w:pStyle w:val="CGCBulletlist"/>
        <w:numPr>
          <w:ilvl w:val="0"/>
          <w:numId w:val="1"/>
        </w:numPr>
        <w:tabs>
          <w:tab w:val="clear" w:pos="927"/>
        </w:tabs>
        <w:ind w:left="1134" w:hanging="567"/>
      </w:pPr>
      <w:bookmarkStart w:id="47" w:name="_Toc155675725"/>
      <w:bookmarkEnd w:id="47"/>
      <w:r>
        <w:t>an equalisation distribution</w:t>
      </w:r>
    </w:p>
    <w:p w:rsidR="003E0500" w:rsidRDefault="003E0500" w:rsidP="003E0500">
      <w:pPr>
        <w:pStyle w:val="CGCBulletlist"/>
        <w:numPr>
          <w:ilvl w:val="0"/>
          <w:numId w:val="1"/>
        </w:numPr>
        <w:tabs>
          <w:tab w:val="clear" w:pos="927"/>
        </w:tabs>
        <w:ind w:left="1134" w:hanging="567"/>
      </w:pPr>
      <w:r>
        <w:t xml:space="preserve">an </w:t>
      </w:r>
      <w:r w:rsidR="008E0B6B">
        <w:t>APC</w:t>
      </w:r>
      <w:r>
        <w:t xml:space="preserve"> distribution</w:t>
      </w:r>
    </w:p>
    <w:p w:rsidR="003E0500" w:rsidRDefault="003E0500" w:rsidP="003E0500">
      <w:pPr>
        <w:pStyle w:val="CGCBulletlist"/>
        <w:numPr>
          <w:ilvl w:val="0"/>
          <w:numId w:val="1"/>
        </w:numPr>
        <w:tabs>
          <w:tab w:val="clear" w:pos="927"/>
        </w:tabs>
        <w:ind w:left="1134" w:hanging="567"/>
      </w:pPr>
      <w:proofErr w:type="gramStart"/>
      <w:r>
        <w:t>an</w:t>
      </w:r>
      <w:proofErr w:type="gramEnd"/>
      <w:r>
        <w:t xml:space="preserve"> EPC distribution. </w:t>
      </w:r>
    </w:p>
    <w:p w:rsidR="008E0B6B" w:rsidRDefault="008E0B6B" w:rsidP="003E0500">
      <w:pPr>
        <w:pStyle w:val="CGCNumberedPara"/>
        <w:numPr>
          <w:ilvl w:val="1"/>
          <w:numId w:val="3"/>
        </w:numPr>
      </w:pPr>
      <w:r>
        <w:t>The partial EPC distribution is not shown because it is close to the equalisation distribution for the fiscally weak</w:t>
      </w:r>
      <w:r w:rsidR="00BB542E">
        <w:t>er</w:t>
      </w:r>
      <w:r>
        <w:t xml:space="preserve"> States and close to the EPC distribution for the fiscally strong States.</w:t>
      </w:r>
    </w:p>
    <w:p w:rsidR="003E0500" w:rsidRDefault="003E0500" w:rsidP="003E0500">
      <w:pPr>
        <w:pStyle w:val="CGCNumberedPara"/>
        <w:numPr>
          <w:ilvl w:val="1"/>
          <w:numId w:val="3"/>
        </w:numPr>
      </w:pPr>
      <w:r>
        <w:t xml:space="preserve">The equalisation distribution is based on the difference between States’ assessed expenses and the revenues available to them — their assessed deficits. The </w:t>
      </w:r>
      <w:r w:rsidR="00227D29">
        <w:t>APC</w:t>
      </w:r>
      <w:r>
        <w:t xml:space="preserve"> distribution is based on States’ actual deficits.</w:t>
      </w:r>
      <w:r w:rsidRPr="002038AD">
        <w:t xml:space="preserve"> </w:t>
      </w:r>
      <w:r>
        <w:t>The EPC distribution is States’ population share of the GST.</w:t>
      </w:r>
    </w:p>
    <w:p w:rsidR="003E0500" w:rsidRDefault="003E0500" w:rsidP="003E0500">
      <w:pPr>
        <w:pStyle w:val="CGCNumberedPara"/>
        <w:numPr>
          <w:ilvl w:val="1"/>
          <w:numId w:val="3"/>
        </w:numPr>
      </w:pPr>
      <w:r>
        <w:t xml:space="preserve">The difference between a </w:t>
      </w:r>
      <w:proofErr w:type="gramStart"/>
      <w:r>
        <w:t>State’s</w:t>
      </w:r>
      <w:proofErr w:type="gramEnd"/>
      <w:r>
        <w:t xml:space="preserve"> assessed expense (revenue) and an EPC assessment is a measure of the effect of </w:t>
      </w:r>
      <w:r w:rsidR="002331B5">
        <w:t>the</w:t>
      </w:r>
      <w:r>
        <w:t xml:space="preserve"> disabilities</w:t>
      </w:r>
      <w:r w:rsidR="002331B5">
        <w:t xml:space="preserve"> it faces</w:t>
      </w:r>
      <w:r>
        <w:t>. The charts</w:t>
      </w:r>
      <w:r w:rsidR="00CB2E25">
        <w:t xml:space="preserve"> show these disabilities are on</w:t>
      </w:r>
      <w:r>
        <w:t>going. The d</w:t>
      </w:r>
      <w:bookmarkStart w:id="48" w:name="_GoBack"/>
      <w:bookmarkEnd w:id="48"/>
      <w:r>
        <w:t xml:space="preserve">ifference between a </w:t>
      </w:r>
      <w:proofErr w:type="gramStart"/>
      <w:r>
        <w:t>State’s</w:t>
      </w:r>
      <w:proofErr w:type="gramEnd"/>
      <w:r>
        <w:t xml:space="preserve"> assessed expense (revenue) and its actual expense (revenue) is a measure</w:t>
      </w:r>
      <w:r w:rsidR="00F0184B">
        <w:t xml:space="preserve"> of the effect of </w:t>
      </w:r>
      <w:r w:rsidR="002331B5">
        <w:t>its policy differences</w:t>
      </w:r>
      <w:r w:rsidR="00F0184B">
        <w:t>.</w:t>
      </w:r>
    </w:p>
    <w:p w:rsidR="003E0500" w:rsidRDefault="003E0500" w:rsidP="003E0500">
      <w:pPr>
        <w:pStyle w:val="CGCNumberedPara"/>
        <w:numPr>
          <w:ilvl w:val="1"/>
          <w:numId w:val="3"/>
        </w:numPr>
      </w:pPr>
      <w:r>
        <w:t xml:space="preserve">For </w:t>
      </w:r>
      <w:r w:rsidR="00F96B6C">
        <w:t>many</w:t>
      </w:r>
      <w:r>
        <w:t xml:space="preserve"> States, the assessed </w:t>
      </w:r>
      <w:r w:rsidR="00F0184B">
        <w:t xml:space="preserve">distribution is closer to the </w:t>
      </w:r>
      <w:r w:rsidR="00227D29">
        <w:t>APC</w:t>
      </w:r>
      <w:r>
        <w:t xml:space="preserve"> distribution</w:t>
      </w:r>
      <w:r w:rsidR="00F0184B">
        <w:t xml:space="preserve"> than the EPC distribution. This </w:t>
      </w:r>
      <w:r w:rsidR="00F96B6C">
        <w:t>suggests</w:t>
      </w:r>
      <w:r w:rsidR="00F0184B">
        <w:t xml:space="preserve"> States’</w:t>
      </w:r>
      <w:r>
        <w:t xml:space="preserve"> </w:t>
      </w:r>
      <w:r w:rsidR="00F96B6C">
        <w:t xml:space="preserve">assessed </w:t>
      </w:r>
      <w:r>
        <w:t xml:space="preserve">fiscal capacities, to some extent, track changes in their </w:t>
      </w:r>
      <w:r w:rsidR="00F0184B">
        <w:t>actual</w:t>
      </w:r>
      <w:r>
        <w:t xml:space="preserve"> circumstances. It is a reason why GST distributions are volatile. Calls to make the GST distribution less volatile risk making the GST distribution less responsive to changes in State circumstances. This would widen the gap between States’ equalisation and </w:t>
      </w:r>
      <w:r w:rsidR="00227D29">
        <w:t>APC</w:t>
      </w:r>
      <w:r>
        <w:t xml:space="preserve"> distributions in these charts.</w:t>
      </w:r>
    </w:p>
    <w:p w:rsidR="003E0500" w:rsidRDefault="003E0500" w:rsidP="003E0500">
      <w:pPr>
        <w:pStyle w:val="CGCNumberedPara"/>
        <w:numPr>
          <w:ilvl w:val="1"/>
          <w:numId w:val="3"/>
        </w:numPr>
      </w:pPr>
      <w:r>
        <w:t xml:space="preserve">The charts show the </w:t>
      </w:r>
      <w:r w:rsidR="00227D29">
        <w:t>APC</w:t>
      </w:r>
      <w:r>
        <w:t xml:space="preserve"> distributions of </w:t>
      </w:r>
      <w:r w:rsidR="00F96B6C">
        <w:t>South Australia</w:t>
      </w:r>
      <w:r>
        <w:t xml:space="preserve">, Tasmania and the Northern Territory are close to their assessed distributions. </w:t>
      </w:r>
      <w:r w:rsidR="00F96B6C">
        <w:t xml:space="preserve">The </w:t>
      </w:r>
      <w:r w:rsidR="00412915">
        <w:t>differences were close for New South Wales, Victoria, Queensland and Western Australia up to the 2010 Review but diverged thereafter before coming back together in the latest inquiry. The biggest divergence</w:t>
      </w:r>
      <w:r w:rsidR="00E7797F">
        <w:t>s</w:t>
      </w:r>
      <w:r w:rsidR="00412915">
        <w:t xml:space="preserve"> </w:t>
      </w:r>
      <w:r w:rsidR="002331B5">
        <w:t>ar</w:t>
      </w:r>
      <w:r w:rsidR="00E7797F">
        <w:t>o</w:t>
      </w:r>
      <w:r w:rsidR="00412915">
        <w:t>s</w:t>
      </w:r>
      <w:r w:rsidR="002331B5">
        <w:t>e</w:t>
      </w:r>
      <w:r w:rsidR="00E7797F">
        <w:t xml:space="preserve"> in</w:t>
      </w:r>
      <w:r w:rsidR="00412915">
        <w:t xml:space="preserve"> </w:t>
      </w:r>
      <w:r>
        <w:t xml:space="preserve">the ACT. </w:t>
      </w:r>
    </w:p>
    <w:p w:rsidR="003E0500" w:rsidRDefault="00412915" w:rsidP="003E0500">
      <w:pPr>
        <w:pStyle w:val="CGCNumberedPara"/>
        <w:numPr>
          <w:ilvl w:val="1"/>
          <w:numId w:val="3"/>
        </w:numPr>
      </w:pPr>
      <w:r>
        <w:t>The reason for the ACT’s divergence in the earlier years was due to</w:t>
      </w:r>
      <w:r w:rsidR="003E0500">
        <w:t xml:space="preserve"> the Commission adopt</w:t>
      </w:r>
      <w:r>
        <w:t>ing</w:t>
      </w:r>
      <w:r w:rsidR="003E0500">
        <w:t xml:space="preserve"> accrual accounting</w:t>
      </w:r>
      <w:r>
        <w:t xml:space="preserve"> and bringing in the ACT’s municipal expenses. Accrual accounting brought</w:t>
      </w:r>
      <w:r w:rsidR="003E0500">
        <w:t xml:space="preserve"> States’ unfunded superannuation liabilities into its equalisation budget. This had a differential effect on States. The assessed expenses of New South Wales and Queensland rose by more than their actual expenses. For other States, their actual expenses rose by more than their assessed expenses. The ACT’s actual expenses rose by around $300 million, while its assessed expenses rose by $150 million. In the 2007 Update the Commission also brought ACT municipal expenses into its equalisation budget, assess</w:t>
      </w:r>
      <w:r w:rsidR="00E964A2">
        <w:t>ing</w:t>
      </w:r>
      <w:r w:rsidR="003E0500">
        <w:t xml:space="preserve"> them EPC. This added to the ACT’s </w:t>
      </w:r>
      <w:r w:rsidR="003E0500">
        <w:lastRenderedPageBreak/>
        <w:t>actual deficit</w:t>
      </w:r>
      <w:r>
        <w:t xml:space="preserve">, but not </w:t>
      </w:r>
      <w:proofErr w:type="gramStart"/>
      <w:r>
        <w:t>its</w:t>
      </w:r>
      <w:proofErr w:type="gramEnd"/>
      <w:r>
        <w:t xml:space="preserve"> assessed deficit. The divergence in the later years appears to be driven by ACT’s spending.</w:t>
      </w:r>
    </w:p>
    <w:p w:rsidR="003E0500" w:rsidRDefault="00E7797F" w:rsidP="003E0500">
      <w:pPr>
        <w:pStyle w:val="CGCNumberedPara"/>
        <w:numPr>
          <w:ilvl w:val="1"/>
          <w:numId w:val="3"/>
        </w:numPr>
      </w:pPr>
      <w:r>
        <w:t>In these charts, t</w:t>
      </w:r>
      <w:r w:rsidR="003E0500">
        <w:t xml:space="preserve">he </w:t>
      </w:r>
      <w:r>
        <w:t>separation between</w:t>
      </w:r>
      <w:r w:rsidR="00F0184B">
        <w:t xml:space="preserve"> States’ APC</w:t>
      </w:r>
      <w:r w:rsidR="003E0500">
        <w:t xml:space="preserve"> and assessed distributions </w:t>
      </w:r>
      <w:r>
        <w:t>and</w:t>
      </w:r>
      <w:r w:rsidR="00F0184B">
        <w:t xml:space="preserve"> an EPC distribution </w:t>
      </w:r>
      <w:r w:rsidR="003E0500">
        <w:t>reinforce</w:t>
      </w:r>
      <w:r w:rsidR="00F0184B">
        <w:t>s</w:t>
      </w:r>
      <w:r w:rsidR="003E0500">
        <w:t xml:space="preserve"> a view that equalisation would not be achieved with an EPC distribution. An EPC distribution would work in a situation where there were no State disabilities. In that scenario, States have equal fiscal capacities</w:t>
      </w:r>
      <w:r w:rsidR="00AB2E6B">
        <w:t>. If</w:t>
      </w:r>
      <w:r w:rsidR="008D0390">
        <w:t xml:space="preserve"> there </w:t>
      </w:r>
      <w:r w:rsidR="00AB2E6B">
        <w:t>we</w:t>
      </w:r>
      <w:r w:rsidR="008D0390">
        <w:t>re no policy variations</w:t>
      </w:r>
      <w:r w:rsidR="00AB2E6B">
        <w:t>,</w:t>
      </w:r>
      <w:r w:rsidR="008D0390">
        <w:t xml:space="preserve"> </w:t>
      </w:r>
      <w:r w:rsidR="003E0500">
        <w:t xml:space="preserve">their actual deficits would </w:t>
      </w:r>
      <w:r w:rsidR="00AB2E6B">
        <w:t xml:space="preserve">also </w:t>
      </w:r>
      <w:r w:rsidR="003E0500">
        <w:t>be EPC. Distributing the GST EPC would be appropriate in th</w:t>
      </w:r>
      <w:r w:rsidR="00AB2E6B">
        <w:t>ose</w:t>
      </w:r>
      <w:r w:rsidR="003E0500">
        <w:t xml:space="preserve"> circumstance</w:t>
      </w:r>
      <w:r w:rsidR="00AB2E6B">
        <w:t>s</w:t>
      </w:r>
      <w:r w:rsidR="003E0500">
        <w:t>.</w:t>
      </w:r>
    </w:p>
    <w:p w:rsidR="003E0500" w:rsidRDefault="003E0500" w:rsidP="003E0500">
      <w:pPr>
        <w:pStyle w:val="CGCNumberedPara"/>
        <w:numPr>
          <w:ilvl w:val="1"/>
          <w:numId w:val="3"/>
        </w:numPr>
      </w:pPr>
      <w:r>
        <w:t>The charts show States’ fiscal capacities can strengthen quickly. The current property boom in New South Wales is strengthening its fiscal capacity and causing its equalisation distribution to diverge from an EPC distribution. Similarly, the mining boom in Western Australia is causing its equalisation distribution to diverge from an EPC distribution. The latter movement is more pronounced because:</w:t>
      </w:r>
    </w:p>
    <w:p w:rsidR="003E0500" w:rsidRDefault="003E0500" w:rsidP="003E0500">
      <w:pPr>
        <w:pStyle w:val="CGCBulletlist"/>
        <w:numPr>
          <w:ilvl w:val="0"/>
          <w:numId w:val="1"/>
        </w:numPr>
      </w:pPr>
      <w:r>
        <w:t xml:space="preserve">the revenue generated by Western Australia’s mining boom is a much bigger share of the State’s total revenue </w:t>
      </w:r>
    </w:p>
    <w:p w:rsidR="003E0500" w:rsidRDefault="003E0500" w:rsidP="003E0500">
      <w:pPr>
        <w:pStyle w:val="CGCBulletlist"/>
        <w:numPr>
          <w:ilvl w:val="0"/>
          <w:numId w:val="1"/>
        </w:numPr>
      </w:pPr>
      <w:r>
        <w:t>States’ mining capacities are more unevenly distributed than their property capacities.</w:t>
      </w:r>
    </w:p>
    <w:p w:rsidR="003E0500" w:rsidRDefault="003E0500" w:rsidP="003E0500">
      <w:pPr>
        <w:pStyle w:val="CGCNumberedPara"/>
        <w:numPr>
          <w:ilvl w:val="1"/>
          <w:numId w:val="3"/>
        </w:numPr>
      </w:pPr>
      <w:r>
        <w:t>The charts also show a States’ fiscal capacity can weaken quickly. Queensland is experiencing a weakening capacity</w:t>
      </w:r>
      <w:r w:rsidR="008D0390">
        <w:t>, largely</w:t>
      </w:r>
      <w:r>
        <w:t xml:space="preserve"> due to the effects of successive natural disasters. </w:t>
      </w:r>
    </w:p>
    <w:p w:rsidR="003E0500" w:rsidRDefault="003E0500" w:rsidP="003E0500">
      <w:pPr>
        <w:pStyle w:val="CGCNumberedPara"/>
        <w:numPr>
          <w:ilvl w:val="1"/>
          <w:numId w:val="3"/>
        </w:numPr>
      </w:pPr>
      <w:r>
        <w:fldChar w:fldCharType="begin"/>
      </w:r>
      <w:r>
        <w:instrText xml:space="preserve"> REF _Ref477264343 \h </w:instrText>
      </w:r>
      <w:r>
        <w:fldChar w:fldCharType="separate"/>
      </w:r>
      <w:r w:rsidR="00DD13C4">
        <w:t>Figure A</w:t>
      </w:r>
      <w:r w:rsidR="00DD13C4">
        <w:noBreakHyphen/>
      </w:r>
      <w:r w:rsidR="00DD13C4">
        <w:rPr>
          <w:noProof/>
        </w:rPr>
        <w:t>1</w:t>
      </w:r>
      <w:r>
        <w:fldChar w:fldCharType="end"/>
      </w:r>
      <w:r>
        <w:t xml:space="preserve"> shows New South Wales had above average capacity for the whole period, meaning it required less than its population share of GST. For that reason, its equalisation and </w:t>
      </w:r>
      <w:r w:rsidR="00227D29">
        <w:t>APC</w:t>
      </w:r>
      <w:r>
        <w:t xml:space="preserve"> distributions lie below an EPC distribution. In recent years, its property boom has strengthened its capacity further, as evidenced by the widening divergence between its equalisation and EPC distributions.</w:t>
      </w:r>
    </w:p>
    <w:p w:rsidR="003E0500" w:rsidRDefault="003E0500" w:rsidP="003E0500">
      <w:pPr>
        <w:pStyle w:val="CGCNumberedPara"/>
        <w:numPr>
          <w:ilvl w:val="1"/>
          <w:numId w:val="3"/>
        </w:numPr>
      </w:pPr>
      <w:r>
        <w:t xml:space="preserve">The equalisation and </w:t>
      </w:r>
      <w:r w:rsidR="00227D29">
        <w:t>APC</w:t>
      </w:r>
      <w:r>
        <w:t xml:space="preserve"> distributions indicate Victoria also had above average fiscal capacity for the period. It too required less than a population share of GST (</w:t>
      </w:r>
      <w:r>
        <w:fldChar w:fldCharType="begin"/>
      </w:r>
      <w:r>
        <w:instrText xml:space="preserve"> REF _Ref477264359 \h </w:instrText>
      </w:r>
      <w:r>
        <w:fldChar w:fldCharType="separate"/>
      </w:r>
      <w:r w:rsidR="00DD13C4">
        <w:t>Figure A</w:t>
      </w:r>
      <w:r w:rsidR="00DD13C4">
        <w:noBreakHyphen/>
      </w:r>
      <w:r w:rsidR="00DD13C4">
        <w:rPr>
          <w:noProof/>
        </w:rPr>
        <w:t>2</w:t>
      </w:r>
      <w:r>
        <w:fldChar w:fldCharType="end"/>
      </w:r>
      <w:r>
        <w:t>).</w:t>
      </w:r>
    </w:p>
    <w:p w:rsidR="003E0500" w:rsidRDefault="003E0500" w:rsidP="003E0500">
      <w:pPr>
        <w:pStyle w:val="CGCNumberedPara"/>
        <w:numPr>
          <w:ilvl w:val="1"/>
          <w:numId w:val="3"/>
        </w:numPr>
      </w:pPr>
      <w:r>
        <w:t xml:space="preserve">Queensland’s fiscal capacity has fluctuated for most of the period. Its equalisation </w:t>
      </w:r>
      <w:r w:rsidR="00F0184B">
        <w:t xml:space="preserve">and APC </w:t>
      </w:r>
      <w:r>
        <w:t>distribution</w:t>
      </w:r>
      <w:r w:rsidR="00F0184B">
        <w:t>s</w:t>
      </w:r>
      <w:r>
        <w:t xml:space="preserve"> </w:t>
      </w:r>
      <w:r w:rsidR="00AB2E6B">
        <w:t>indicate</w:t>
      </w:r>
      <w:r>
        <w:t xml:space="preserve"> below average </w:t>
      </w:r>
      <w:r w:rsidR="00AB2E6B">
        <w:t xml:space="preserve">fiscal capacity for most of the period </w:t>
      </w:r>
      <w:r>
        <w:t>(</w:t>
      </w:r>
      <w:r>
        <w:fldChar w:fldCharType="begin"/>
      </w:r>
      <w:r>
        <w:instrText xml:space="preserve"> REF _Ref477264368 \h </w:instrText>
      </w:r>
      <w:r>
        <w:fldChar w:fldCharType="separate"/>
      </w:r>
      <w:r w:rsidR="00DD13C4">
        <w:t>Figure A</w:t>
      </w:r>
      <w:r w:rsidR="00DD13C4">
        <w:noBreakHyphen/>
      </w:r>
      <w:r w:rsidR="00DD13C4">
        <w:rPr>
          <w:noProof/>
        </w:rPr>
        <w:t>3</w:t>
      </w:r>
      <w:r>
        <w:fldChar w:fldCharType="end"/>
      </w:r>
      <w:r>
        <w:t>). Its fiscal capacity has weakened in recent years as it addresses the effects of natural disasters.</w:t>
      </w:r>
    </w:p>
    <w:p w:rsidR="003E0500" w:rsidRDefault="003E0500" w:rsidP="003E0500">
      <w:pPr>
        <w:pStyle w:val="CGCNumberedPara"/>
        <w:numPr>
          <w:ilvl w:val="1"/>
          <w:numId w:val="3"/>
        </w:numPr>
      </w:pPr>
      <w:r>
        <w:fldChar w:fldCharType="begin"/>
      </w:r>
      <w:r>
        <w:instrText xml:space="preserve"> REF _Ref477264376 \h </w:instrText>
      </w:r>
      <w:r>
        <w:fldChar w:fldCharType="separate"/>
      </w:r>
      <w:r w:rsidR="00DD13C4">
        <w:t>Figure A</w:t>
      </w:r>
      <w:r w:rsidR="00DD13C4">
        <w:noBreakHyphen/>
      </w:r>
      <w:r w:rsidR="00DD13C4">
        <w:rPr>
          <w:noProof/>
        </w:rPr>
        <w:t>4</w:t>
      </w:r>
      <w:r>
        <w:fldChar w:fldCharType="end"/>
      </w:r>
      <w:r>
        <w:t xml:space="preserve"> </w:t>
      </w:r>
      <w:r w:rsidR="008D0390">
        <w:t>indicates</w:t>
      </w:r>
      <w:r>
        <w:t xml:space="preserve"> the decline in Western Australia’s GST share is due </w:t>
      </w:r>
      <w:r w:rsidR="00F0184B">
        <w:t xml:space="preserve">to </w:t>
      </w:r>
      <w:r>
        <w:t xml:space="preserve">an </w:t>
      </w:r>
      <w:r w:rsidR="00AB2E6B">
        <w:t>increasing</w:t>
      </w:r>
      <w:r>
        <w:t xml:space="preserve"> fiscal capacity. Its equalisation and </w:t>
      </w:r>
      <w:r w:rsidR="00227D29">
        <w:t>APC</w:t>
      </w:r>
      <w:r>
        <w:t xml:space="preserve"> distribution would </w:t>
      </w:r>
      <w:r w:rsidR="00F0184B">
        <w:t xml:space="preserve">both </w:t>
      </w:r>
      <w:r>
        <w:t xml:space="preserve">have generated big falls in its GST after the 2006 Update, although the fall under an </w:t>
      </w:r>
      <w:r w:rsidR="00227D29">
        <w:t>APC</w:t>
      </w:r>
      <w:r>
        <w:t xml:space="preserve"> distribution is smaller. While its </w:t>
      </w:r>
      <w:r w:rsidR="00227D29">
        <w:t>APC</w:t>
      </w:r>
      <w:r>
        <w:t xml:space="preserve"> distribution would have delivered it more GST</w:t>
      </w:r>
      <w:r w:rsidR="00F0184B">
        <w:t xml:space="preserve"> in recent years</w:t>
      </w:r>
      <w:r>
        <w:t>, both distributions produce a similar GST</w:t>
      </w:r>
      <w:r w:rsidRPr="00D039C8">
        <w:t xml:space="preserve"> </w:t>
      </w:r>
      <w:r>
        <w:t xml:space="preserve">outcome </w:t>
      </w:r>
      <w:r w:rsidR="00F0184B">
        <w:t>in 2017-18</w:t>
      </w:r>
      <w:r>
        <w:t>.</w:t>
      </w:r>
    </w:p>
    <w:p w:rsidR="003E0500" w:rsidRDefault="003E0500" w:rsidP="003E0500">
      <w:pPr>
        <w:pStyle w:val="CGCNumberedPara"/>
        <w:numPr>
          <w:ilvl w:val="1"/>
          <w:numId w:val="3"/>
        </w:numPr>
      </w:pPr>
      <w:r>
        <w:lastRenderedPageBreak/>
        <w:t xml:space="preserve">The equalisation and </w:t>
      </w:r>
      <w:r w:rsidR="00227D29">
        <w:t>APC</w:t>
      </w:r>
      <w:r>
        <w:t xml:space="preserve"> distributions </w:t>
      </w:r>
      <w:r w:rsidR="008D0390">
        <w:t>indicate</w:t>
      </w:r>
      <w:r>
        <w:t xml:space="preserve"> South Australia had below average fiscal capacity for the period and required more than a population share of GST </w:t>
      </w:r>
      <w:r w:rsidR="00AB2E6B">
        <w:t xml:space="preserve">on both bases </w:t>
      </w:r>
      <w:r>
        <w:t>(</w:t>
      </w:r>
      <w:r>
        <w:fldChar w:fldCharType="begin"/>
      </w:r>
      <w:r>
        <w:instrText xml:space="preserve"> REF _Ref477264390 \h </w:instrText>
      </w:r>
      <w:r>
        <w:fldChar w:fldCharType="separate"/>
      </w:r>
      <w:r w:rsidR="00DD13C4">
        <w:t>Figure A</w:t>
      </w:r>
      <w:r w:rsidR="00DD13C4">
        <w:noBreakHyphen/>
      </w:r>
      <w:r w:rsidR="00DD13C4">
        <w:rPr>
          <w:noProof/>
        </w:rPr>
        <w:t>5</w:t>
      </w:r>
      <w:r>
        <w:fldChar w:fldCharType="end"/>
      </w:r>
      <w:r>
        <w:t>). South Australia’s fiscal capacity has weakened further in recent years, as evidenced by the greater separation between its equalisation and EPC distributions.</w:t>
      </w:r>
    </w:p>
    <w:p w:rsidR="003E0500" w:rsidRDefault="003E0500" w:rsidP="003E0500">
      <w:pPr>
        <w:pStyle w:val="CGCNumberedPara"/>
        <w:numPr>
          <w:ilvl w:val="1"/>
          <w:numId w:val="3"/>
        </w:numPr>
      </w:pPr>
      <w:r>
        <w:t xml:space="preserve">Like South Australia, </w:t>
      </w:r>
      <w:r>
        <w:fldChar w:fldCharType="begin"/>
      </w:r>
      <w:r>
        <w:instrText xml:space="preserve"> REF _Ref477264398 \h </w:instrText>
      </w:r>
      <w:r>
        <w:fldChar w:fldCharType="separate"/>
      </w:r>
      <w:r w:rsidR="00DD13C4">
        <w:t>Figure A</w:t>
      </w:r>
      <w:r w:rsidR="00DD13C4">
        <w:noBreakHyphen/>
      </w:r>
      <w:r w:rsidR="00DD13C4">
        <w:rPr>
          <w:noProof/>
        </w:rPr>
        <w:t>6</w:t>
      </w:r>
      <w:r>
        <w:fldChar w:fldCharType="end"/>
      </w:r>
      <w:r>
        <w:t xml:space="preserve"> </w:t>
      </w:r>
      <w:r w:rsidR="008D0390">
        <w:t>indicates</w:t>
      </w:r>
      <w:r>
        <w:t xml:space="preserve"> that Tasmania has had below average fiscal capacity for the whole period and that its capacity has weakened in recent years. It required more than a population share of GST.</w:t>
      </w:r>
    </w:p>
    <w:p w:rsidR="003E0500" w:rsidRDefault="003E0500" w:rsidP="003E0500">
      <w:pPr>
        <w:pStyle w:val="CGCNumberedPara"/>
        <w:numPr>
          <w:ilvl w:val="1"/>
          <w:numId w:val="3"/>
        </w:numPr>
      </w:pPr>
      <w:r>
        <w:fldChar w:fldCharType="begin"/>
      </w:r>
      <w:r>
        <w:instrText xml:space="preserve"> REF _Ref477264405 \h </w:instrText>
      </w:r>
      <w:r>
        <w:fldChar w:fldCharType="separate"/>
      </w:r>
      <w:r w:rsidR="00DD13C4">
        <w:t>Figure A</w:t>
      </w:r>
      <w:r w:rsidR="00DD13C4">
        <w:noBreakHyphen/>
      </w:r>
      <w:r w:rsidR="00DD13C4">
        <w:rPr>
          <w:noProof/>
        </w:rPr>
        <w:t>7</w:t>
      </w:r>
      <w:r>
        <w:fldChar w:fldCharType="end"/>
      </w:r>
      <w:r>
        <w:t xml:space="preserve"> shows that the ACT had below average capacity for the whole period. There </w:t>
      </w:r>
      <w:r w:rsidR="00F0184B">
        <w:t>are</w:t>
      </w:r>
      <w:r>
        <w:t xml:space="preserve"> big divergence</w:t>
      </w:r>
      <w:r w:rsidR="00F0184B">
        <w:t>s</w:t>
      </w:r>
      <w:r>
        <w:t xml:space="preserve"> between its </w:t>
      </w:r>
      <w:r w:rsidR="00F0184B">
        <w:t>APC</w:t>
      </w:r>
      <w:r>
        <w:t xml:space="preserve"> and equalisation distributions</w:t>
      </w:r>
      <w:r w:rsidR="00F0184B">
        <w:t>.</w:t>
      </w:r>
      <w:r>
        <w:t xml:space="preserve"> </w:t>
      </w:r>
      <w:r w:rsidR="00F0184B">
        <w:t>I</w:t>
      </w:r>
      <w:r>
        <w:t xml:space="preserve">n the early </w:t>
      </w:r>
      <w:r w:rsidR="00452229">
        <w:t>part of this period</w:t>
      </w:r>
      <w:r>
        <w:t xml:space="preserve">, </w:t>
      </w:r>
      <w:r w:rsidR="00F0184B">
        <w:t>this</w:t>
      </w:r>
      <w:r>
        <w:t xml:space="preserve"> was due in part to the inclusion of unfunded superannuation liabilities and in part to the inclusion of municipal expenses. Its fiscal capacity has weakened in recent years.</w:t>
      </w:r>
    </w:p>
    <w:p w:rsidR="003E0500" w:rsidRDefault="003E0500" w:rsidP="003E0500">
      <w:pPr>
        <w:pStyle w:val="CGCNumberedPara"/>
        <w:numPr>
          <w:ilvl w:val="1"/>
          <w:numId w:val="3"/>
        </w:numPr>
      </w:pPr>
      <w:r>
        <w:t>The Northern Territory had the weakest fiscal capacity of any State (</w:t>
      </w:r>
      <w:r>
        <w:fldChar w:fldCharType="begin"/>
      </w:r>
      <w:r>
        <w:instrText xml:space="preserve"> REF _Ref477264414 \h </w:instrText>
      </w:r>
      <w:r>
        <w:fldChar w:fldCharType="separate"/>
      </w:r>
      <w:r w:rsidR="00DD13C4">
        <w:t>Figure A</w:t>
      </w:r>
      <w:r w:rsidR="00DD13C4">
        <w:noBreakHyphen/>
      </w:r>
      <w:r w:rsidR="00DD13C4">
        <w:rPr>
          <w:noProof/>
        </w:rPr>
        <w:t>8</w:t>
      </w:r>
      <w:r>
        <w:fldChar w:fldCharType="end"/>
      </w:r>
      <w:r>
        <w:t xml:space="preserve">). The gap between its equalisation and </w:t>
      </w:r>
      <w:r w:rsidR="00227D29">
        <w:t>APC</w:t>
      </w:r>
      <w:r>
        <w:t xml:space="preserve"> distributions and an EPC distribution is the biggest of any State. While its capacity has tended to weaken through the period, it has strengthened in recent years.</w:t>
      </w:r>
    </w:p>
    <w:p w:rsidR="003E0500" w:rsidRDefault="003E0500" w:rsidP="003E0500">
      <w:pPr>
        <w:pStyle w:val="Heading4"/>
      </w:pPr>
      <w:bookmarkStart w:id="49" w:name="_Toc479663199"/>
      <w:r>
        <w:t>Summary</w:t>
      </w:r>
      <w:bookmarkEnd w:id="49"/>
    </w:p>
    <w:p w:rsidR="003E0500" w:rsidRDefault="003E0500" w:rsidP="003E0500">
      <w:pPr>
        <w:pStyle w:val="CGCNumberedPara"/>
        <w:numPr>
          <w:ilvl w:val="1"/>
          <w:numId w:val="3"/>
        </w:numPr>
      </w:pPr>
      <w:r>
        <w:t>In the State charts</w:t>
      </w:r>
      <w:r w:rsidRPr="00874FDD">
        <w:t xml:space="preserve"> </w:t>
      </w:r>
      <w:r>
        <w:t>the difference between:</w:t>
      </w:r>
    </w:p>
    <w:p w:rsidR="003E0500" w:rsidRDefault="003E0500" w:rsidP="003E0500">
      <w:pPr>
        <w:pStyle w:val="CGCBulletlist"/>
        <w:numPr>
          <w:ilvl w:val="0"/>
          <w:numId w:val="1"/>
        </w:numPr>
        <w:tabs>
          <w:tab w:val="clear" w:pos="927"/>
        </w:tabs>
        <w:ind w:left="1134" w:hanging="567"/>
      </w:pPr>
      <w:r>
        <w:t>a States’ equalisation and an EPC distribution</w:t>
      </w:r>
      <w:r w:rsidRPr="00F424B3">
        <w:t xml:space="preserve"> </w:t>
      </w:r>
      <w:r>
        <w:t xml:space="preserve">is a measure of the effect of the disabilities it </w:t>
      </w:r>
      <w:r w:rsidR="00E7797F">
        <w:t>faces</w:t>
      </w:r>
    </w:p>
    <w:p w:rsidR="003E0500" w:rsidRDefault="003E0500" w:rsidP="003E0500">
      <w:pPr>
        <w:pStyle w:val="CGCBulletlist"/>
        <w:numPr>
          <w:ilvl w:val="0"/>
          <w:numId w:val="1"/>
        </w:numPr>
        <w:tabs>
          <w:tab w:val="clear" w:pos="927"/>
        </w:tabs>
        <w:ind w:left="1134" w:hanging="567"/>
      </w:pPr>
      <w:proofErr w:type="gramStart"/>
      <w:r>
        <w:t>a</w:t>
      </w:r>
      <w:proofErr w:type="gramEnd"/>
      <w:r>
        <w:t xml:space="preserve"> State’s equalisation and its APC distribution is a measure of the effect of its policies.</w:t>
      </w:r>
    </w:p>
    <w:p w:rsidR="003E0500" w:rsidRDefault="003E0500" w:rsidP="003E0500">
      <w:pPr>
        <w:pStyle w:val="CGCNumberedPara"/>
        <w:numPr>
          <w:ilvl w:val="1"/>
          <w:numId w:val="3"/>
        </w:numPr>
      </w:pPr>
      <w:r>
        <w:t xml:space="preserve">For most States, the gap between their assessed and </w:t>
      </w:r>
      <w:r w:rsidR="00227D29">
        <w:t>APC</w:t>
      </w:r>
      <w:r>
        <w:t xml:space="preserve"> distributions is smaller than the gap between their assessed and EPC distributions, implying that disabilities</w:t>
      </w:r>
      <w:r w:rsidR="008D0390">
        <w:t>,</w:t>
      </w:r>
      <w:r>
        <w:t xml:space="preserve"> not policy differences</w:t>
      </w:r>
      <w:r w:rsidR="006B044A">
        <w:t>,</w:t>
      </w:r>
      <w:r>
        <w:t xml:space="preserve"> are </w:t>
      </w:r>
      <w:r w:rsidR="00E7797F">
        <w:t>the</w:t>
      </w:r>
      <w:r>
        <w:t xml:space="preserve"> bigge</w:t>
      </w:r>
      <w:r w:rsidR="00F0184B">
        <w:t>r</w:t>
      </w:r>
      <w:r>
        <w:t xml:space="preserve"> contributor to </w:t>
      </w:r>
      <w:r w:rsidR="00E964A2">
        <w:t>differences in what States do.</w:t>
      </w:r>
    </w:p>
    <w:p w:rsidR="003E0500" w:rsidRDefault="003E0500" w:rsidP="003E0500">
      <w:pPr>
        <w:pStyle w:val="CGCNumberedPara"/>
        <w:numPr>
          <w:ilvl w:val="1"/>
          <w:numId w:val="3"/>
        </w:numPr>
      </w:pPr>
      <w:r>
        <w:t>The charts suggest that disabilities:</w:t>
      </w:r>
    </w:p>
    <w:p w:rsidR="003E0500" w:rsidRDefault="003E0500" w:rsidP="003E0500">
      <w:pPr>
        <w:pStyle w:val="CGCBulletlist"/>
        <w:numPr>
          <w:ilvl w:val="0"/>
          <w:numId w:val="1"/>
        </w:numPr>
        <w:tabs>
          <w:tab w:val="clear" w:pos="927"/>
        </w:tabs>
        <w:ind w:left="1134" w:hanging="567"/>
      </w:pPr>
      <w:r>
        <w:t>explain most of the differences in what States raise and spend</w:t>
      </w:r>
    </w:p>
    <w:p w:rsidR="003E0500" w:rsidRDefault="003E0500" w:rsidP="003E0500">
      <w:pPr>
        <w:pStyle w:val="CGCBulletlist"/>
        <w:numPr>
          <w:ilvl w:val="0"/>
          <w:numId w:val="1"/>
        </w:numPr>
        <w:tabs>
          <w:tab w:val="clear" w:pos="927"/>
        </w:tabs>
        <w:ind w:left="1134" w:hanging="567"/>
      </w:pPr>
      <w:proofErr w:type="gramStart"/>
      <w:r>
        <w:t>persist</w:t>
      </w:r>
      <w:proofErr w:type="gramEnd"/>
      <w:r>
        <w:t xml:space="preserve"> over time.</w:t>
      </w:r>
    </w:p>
    <w:p w:rsidR="003E0500" w:rsidRDefault="00EF4FAE" w:rsidP="003E0500">
      <w:pPr>
        <w:pStyle w:val="CGCNumberedPara"/>
        <w:numPr>
          <w:ilvl w:val="1"/>
          <w:numId w:val="3"/>
        </w:numPr>
      </w:pPr>
      <w:r>
        <w:t>Disabilities reflect circumstances outside a State’s direct control, implying they are likely to persist over time</w:t>
      </w:r>
      <w:r w:rsidR="003E0500">
        <w:t xml:space="preserve">. It is difficult for a State to increase its revenue capacity if it lacks taxable economic activity (property values, mineral endowments </w:t>
      </w:r>
      <w:proofErr w:type="spellStart"/>
      <w:r w:rsidR="003E0500">
        <w:t>etc</w:t>
      </w:r>
      <w:proofErr w:type="spellEnd"/>
      <w:r w:rsidR="003E0500">
        <w:t xml:space="preserve">). It is difficult for a State to lower its service provision costs if it has proportionally more high cost users (such as the elderly, the infirm, Indigenous people or people who live in remote areas). </w:t>
      </w:r>
      <w:r w:rsidR="00F0184B">
        <w:t>However, as t</w:t>
      </w:r>
      <w:r w:rsidR="003E0500">
        <w:t>he State charts show</w:t>
      </w:r>
      <w:r w:rsidR="00F0184B">
        <w:t>,</w:t>
      </w:r>
      <w:r w:rsidR="003E0500">
        <w:t xml:space="preserve"> some disabilities </w:t>
      </w:r>
      <w:r w:rsidR="002E1BA8">
        <w:t>can</w:t>
      </w:r>
      <w:r w:rsidR="003E0500">
        <w:t xml:space="preserve"> change rapidly</w:t>
      </w:r>
      <w:r w:rsidR="00F0184B">
        <w:t xml:space="preserve"> </w:t>
      </w:r>
      <w:r w:rsidR="00E7797F">
        <w:t>(for example,</w:t>
      </w:r>
      <w:r w:rsidR="003E0500">
        <w:t xml:space="preserve"> those </w:t>
      </w:r>
      <w:r w:rsidR="00E7797F">
        <w:t>relating to</w:t>
      </w:r>
      <w:r w:rsidR="003E0500">
        <w:t xml:space="preserve"> mining and property booms and natural disasters</w:t>
      </w:r>
      <w:r w:rsidR="00E7797F">
        <w:t>)</w:t>
      </w:r>
      <w:r w:rsidR="003E0500">
        <w:t xml:space="preserve">. </w:t>
      </w:r>
    </w:p>
    <w:p w:rsidR="003E0500" w:rsidRDefault="003E0500" w:rsidP="003E0500">
      <w:pPr>
        <w:pStyle w:val="CGCNumberedPara"/>
        <w:numPr>
          <w:ilvl w:val="1"/>
          <w:numId w:val="3"/>
        </w:numPr>
      </w:pPr>
      <w:r>
        <w:lastRenderedPageBreak/>
        <w:t xml:space="preserve">The charts suggest most State disabilities are not dissipating. Equalisation provides fiscally weaker States with additional assistance to </w:t>
      </w:r>
      <w:r w:rsidR="000A748B">
        <w:t>compensate them for the</w:t>
      </w:r>
      <w:r>
        <w:t xml:space="preserve"> disabilities</w:t>
      </w:r>
      <w:r w:rsidR="000A748B">
        <w:t xml:space="preserve"> they face</w:t>
      </w:r>
      <w:r>
        <w:t xml:space="preserve"> — differences in costs of providing the average service and differences in revenue raising capacity.</w:t>
      </w:r>
    </w:p>
    <w:p w:rsidR="00AB2E6B" w:rsidRDefault="00AB2E6B" w:rsidP="00AB2E6B">
      <w:pPr>
        <w:pStyle w:val="CGCNumberedPara"/>
        <w:numPr>
          <w:ilvl w:val="0"/>
          <w:numId w:val="0"/>
        </w:numPr>
        <w:ind w:left="567" w:hanging="567"/>
      </w:pPr>
    </w:p>
    <w:p w:rsidR="003E0500" w:rsidRDefault="003E0500" w:rsidP="003E0500">
      <w:pPr>
        <w:pStyle w:val="Caption"/>
      </w:pPr>
      <w:bookmarkStart w:id="50" w:name="_Ref477264343"/>
      <w:r>
        <w:t>Figure A</w:t>
      </w:r>
      <w:r>
        <w:noBreakHyphen/>
      </w:r>
      <w:fldSimple w:instr=" SEQ Figure \r 1 \* ARABIC ">
        <w:r w:rsidR="00DD13C4">
          <w:rPr>
            <w:noProof/>
          </w:rPr>
          <w:t>1</w:t>
        </w:r>
      </w:fldSimple>
      <w:bookmarkEnd w:id="50"/>
      <w:r>
        <w:tab/>
        <w:t>Comparison of GST distributions, New South Wales</w:t>
      </w:r>
    </w:p>
    <w:p w:rsidR="003E0500" w:rsidRDefault="00C5339B" w:rsidP="003E0500">
      <w:pPr>
        <w:pStyle w:val="CGCTableFootnote"/>
      </w:pPr>
      <w:r w:rsidRPr="00C5339B">
        <w:rPr>
          <w:noProof/>
          <w:lang w:eastAsia="en-AU"/>
        </w:rPr>
        <w:drawing>
          <wp:inline distT="0" distB="0" distL="0" distR="0">
            <wp:extent cx="5657850" cy="3562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pPr>
      <w:r>
        <w:t>Source:</w:t>
      </w:r>
      <w:r>
        <w:tab/>
        <w:t>Commission calculation.</w:t>
      </w:r>
    </w:p>
    <w:p w:rsidR="003E0500" w:rsidRDefault="003E0500" w:rsidP="003E0500">
      <w:pPr>
        <w:pStyle w:val="Caption"/>
        <w:ind w:left="720" w:hanging="720"/>
      </w:pPr>
      <w:bookmarkStart w:id="51" w:name="_Ref477264359"/>
      <w:r>
        <w:lastRenderedPageBreak/>
        <w:t>Figure A</w:t>
      </w:r>
      <w:r>
        <w:noBreakHyphen/>
      </w:r>
      <w:fldSimple w:instr=" SEQ Figure \* ARABIC ">
        <w:r w:rsidR="00DD13C4">
          <w:rPr>
            <w:noProof/>
          </w:rPr>
          <w:t>2</w:t>
        </w:r>
      </w:fldSimple>
      <w:bookmarkEnd w:id="51"/>
      <w:r>
        <w:tab/>
        <w:t>Comparison of GST distributions, Victoria</w:t>
      </w:r>
    </w:p>
    <w:p w:rsidR="003E0500" w:rsidRDefault="00C5339B" w:rsidP="003E0500">
      <w:pPr>
        <w:pStyle w:val="CGCTableFootnote"/>
        <w:ind w:left="720" w:hanging="720"/>
      </w:pPr>
      <w:r w:rsidRPr="00C5339B">
        <w:rPr>
          <w:noProof/>
          <w:lang w:eastAsia="en-AU"/>
        </w:rPr>
        <w:drawing>
          <wp:inline distT="0" distB="0" distL="0" distR="0">
            <wp:extent cx="5657850" cy="3562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ind w:left="720" w:hanging="720"/>
      </w:pPr>
      <w:r>
        <w:t>Source:</w:t>
      </w:r>
      <w:r>
        <w:tab/>
        <w:t>Commission calculation.</w:t>
      </w:r>
    </w:p>
    <w:p w:rsidR="003E0500" w:rsidRDefault="003E0500" w:rsidP="003E0500">
      <w:pPr>
        <w:pStyle w:val="CGCNumberedPara"/>
        <w:numPr>
          <w:ilvl w:val="0"/>
          <w:numId w:val="0"/>
        </w:numPr>
        <w:ind w:left="567" w:hanging="567"/>
      </w:pPr>
    </w:p>
    <w:p w:rsidR="003E0500" w:rsidRDefault="003E0500" w:rsidP="003E0500">
      <w:pPr>
        <w:pStyle w:val="Caption"/>
        <w:ind w:left="720" w:hanging="720"/>
      </w:pPr>
      <w:bookmarkStart w:id="52" w:name="_Ref477264368"/>
      <w:r>
        <w:t>Figure A</w:t>
      </w:r>
      <w:r>
        <w:noBreakHyphen/>
      </w:r>
      <w:fldSimple w:instr=" SEQ Figure \* ARABIC ">
        <w:r w:rsidR="00DD13C4">
          <w:rPr>
            <w:noProof/>
          </w:rPr>
          <w:t>3</w:t>
        </w:r>
      </w:fldSimple>
      <w:bookmarkEnd w:id="52"/>
      <w:r>
        <w:tab/>
        <w:t>Comparison of GST distributions, Queensland</w:t>
      </w:r>
    </w:p>
    <w:p w:rsidR="003E0500" w:rsidRDefault="00C5339B" w:rsidP="003E0500">
      <w:pPr>
        <w:pStyle w:val="CGCTableFootnote"/>
        <w:ind w:left="720" w:hanging="720"/>
      </w:pPr>
      <w:r w:rsidRPr="00C5339B">
        <w:rPr>
          <w:noProof/>
          <w:lang w:eastAsia="en-AU"/>
        </w:rPr>
        <w:drawing>
          <wp:inline distT="0" distB="0" distL="0" distR="0">
            <wp:extent cx="5657850" cy="3562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ind w:left="720" w:hanging="720"/>
      </w:pPr>
      <w:r>
        <w:t>Source:</w:t>
      </w:r>
      <w:r>
        <w:tab/>
        <w:t>Commission calculation.</w:t>
      </w:r>
    </w:p>
    <w:p w:rsidR="003E0500" w:rsidRDefault="003E0500" w:rsidP="003E0500">
      <w:pPr>
        <w:pStyle w:val="Caption"/>
        <w:ind w:left="720" w:hanging="720"/>
      </w:pPr>
      <w:bookmarkStart w:id="53" w:name="_Ref477264376"/>
      <w:r>
        <w:lastRenderedPageBreak/>
        <w:t>Figure A</w:t>
      </w:r>
      <w:r>
        <w:noBreakHyphen/>
      </w:r>
      <w:fldSimple w:instr=" SEQ Figure \* ARABIC ">
        <w:r w:rsidR="00DD13C4">
          <w:rPr>
            <w:noProof/>
          </w:rPr>
          <w:t>4</w:t>
        </w:r>
      </w:fldSimple>
      <w:bookmarkEnd w:id="53"/>
      <w:r>
        <w:tab/>
        <w:t>Comparison of GST distributions, Western Australia</w:t>
      </w:r>
    </w:p>
    <w:p w:rsidR="003E0500" w:rsidRDefault="00C5339B" w:rsidP="003E0500">
      <w:pPr>
        <w:pStyle w:val="CGCTableFootnote"/>
        <w:ind w:left="720" w:hanging="720"/>
      </w:pPr>
      <w:r w:rsidRPr="00C5339B">
        <w:rPr>
          <w:noProof/>
          <w:lang w:eastAsia="en-AU"/>
        </w:rPr>
        <w:drawing>
          <wp:inline distT="0" distB="0" distL="0" distR="0">
            <wp:extent cx="5657850" cy="3562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ind w:left="720" w:hanging="720"/>
      </w:pPr>
      <w:r>
        <w:t>Source:</w:t>
      </w:r>
      <w:r>
        <w:tab/>
        <w:t>Commission calculation.</w:t>
      </w:r>
    </w:p>
    <w:p w:rsidR="003E0500" w:rsidRDefault="003E0500" w:rsidP="003E0500">
      <w:pPr>
        <w:pStyle w:val="CGCNumberedPara"/>
        <w:numPr>
          <w:ilvl w:val="0"/>
          <w:numId w:val="0"/>
        </w:numPr>
        <w:ind w:left="567" w:hanging="567"/>
      </w:pPr>
    </w:p>
    <w:p w:rsidR="003E0500" w:rsidRDefault="003E0500" w:rsidP="003E0500">
      <w:pPr>
        <w:pStyle w:val="Caption"/>
        <w:ind w:left="720" w:hanging="720"/>
      </w:pPr>
      <w:bookmarkStart w:id="54" w:name="_Ref477264390"/>
      <w:r>
        <w:t>Figure A</w:t>
      </w:r>
      <w:r>
        <w:noBreakHyphen/>
      </w:r>
      <w:fldSimple w:instr=" SEQ Figure \* ARABIC ">
        <w:r w:rsidR="00DD13C4">
          <w:rPr>
            <w:noProof/>
          </w:rPr>
          <w:t>5</w:t>
        </w:r>
      </w:fldSimple>
      <w:bookmarkEnd w:id="54"/>
      <w:r>
        <w:tab/>
        <w:t>Comparison of GST distributions, South Australia</w:t>
      </w:r>
    </w:p>
    <w:p w:rsidR="003E0500" w:rsidRDefault="00C5339B" w:rsidP="003E0500">
      <w:pPr>
        <w:pStyle w:val="CGCTableFootnote"/>
        <w:ind w:left="720" w:hanging="720"/>
      </w:pPr>
      <w:r w:rsidRPr="00C5339B">
        <w:rPr>
          <w:noProof/>
          <w:lang w:eastAsia="en-AU"/>
        </w:rPr>
        <w:drawing>
          <wp:inline distT="0" distB="0" distL="0" distR="0">
            <wp:extent cx="5657850" cy="3562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ind w:left="720" w:hanging="720"/>
      </w:pPr>
      <w:r>
        <w:t>Source:</w:t>
      </w:r>
      <w:r>
        <w:tab/>
        <w:t>Commission calculation.</w:t>
      </w:r>
    </w:p>
    <w:p w:rsidR="003E0500" w:rsidRDefault="003E0500" w:rsidP="003E0500">
      <w:pPr>
        <w:pStyle w:val="Caption"/>
        <w:ind w:left="720" w:hanging="720"/>
      </w:pPr>
      <w:bookmarkStart w:id="55" w:name="_Ref477264398"/>
      <w:r>
        <w:lastRenderedPageBreak/>
        <w:t>Figure A</w:t>
      </w:r>
      <w:r>
        <w:noBreakHyphen/>
      </w:r>
      <w:fldSimple w:instr=" SEQ Figure \* ARABIC ">
        <w:r w:rsidR="00DD13C4">
          <w:rPr>
            <w:noProof/>
          </w:rPr>
          <w:t>6</w:t>
        </w:r>
      </w:fldSimple>
      <w:bookmarkEnd w:id="55"/>
      <w:r>
        <w:tab/>
        <w:t>Comparison of GST distributions, Tasmania</w:t>
      </w:r>
    </w:p>
    <w:p w:rsidR="003E0500" w:rsidRDefault="00C5339B" w:rsidP="003E0500">
      <w:pPr>
        <w:pStyle w:val="CGCTableFootnote"/>
        <w:ind w:left="720" w:hanging="720"/>
      </w:pPr>
      <w:r w:rsidRPr="00C5339B">
        <w:rPr>
          <w:noProof/>
          <w:lang w:eastAsia="en-AU"/>
        </w:rPr>
        <w:drawing>
          <wp:inline distT="0" distB="0" distL="0" distR="0">
            <wp:extent cx="5657850" cy="3562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ind w:left="720" w:hanging="720"/>
      </w:pPr>
      <w:r>
        <w:t>Source:</w:t>
      </w:r>
      <w:r>
        <w:tab/>
        <w:t>Commission calculation.</w:t>
      </w:r>
    </w:p>
    <w:p w:rsidR="003E0500" w:rsidRDefault="003E0500" w:rsidP="003E0500">
      <w:pPr>
        <w:pStyle w:val="CGCNumberedPara"/>
        <w:numPr>
          <w:ilvl w:val="0"/>
          <w:numId w:val="0"/>
        </w:numPr>
        <w:ind w:left="567" w:hanging="567"/>
      </w:pPr>
    </w:p>
    <w:p w:rsidR="003E0500" w:rsidRDefault="003E0500" w:rsidP="003E0500">
      <w:pPr>
        <w:pStyle w:val="Caption"/>
        <w:ind w:left="720" w:hanging="720"/>
      </w:pPr>
      <w:bookmarkStart w:id="56" w:name="_Ref477264405"/>
      <w:r>
        <w:t>Figure A</w:t>
      </w:r>
      <w:r>
        <w:noBreakHyphen/>
      </w:r>
      <w:fldSimple w:instr=" SEQ Figure \* ARABIC ">
        <w:r w:rsidR="00DD13C4">
          <w:rPr>
            <w:noProof/>
          </w:rPr>
          <w:t>7</w:t>
        </w:r>
      </w:fldSimple>
      <w:bookmarkEnd w:id="56"/>
      <w:r>
        <w:tab/>
        <w:t>Comparison of GST distributions, ACT</w:t>
      </w:r>
    </w:p>
    <w:p w:rsidR="003E0500" w:rsidRDefault="00C5339B" w:rsidP="003E0500">
      <w:pPr>
        <w:pStyle w:val="CGCTableFootnote"/>
        <w:ind w:left="720" w:hanging="720"/>
      </w:pPr>
      <w:r w:rsidRPr="00C5339B">
        <w:rPr>
          <w:noProof/>
          <w:lang w:eastAsia="en-AU"/>
        </w:rPr>
        <w:drawing>
          <wp:inline distT="0" distB="0" distL="0" distR="0">
            <wp:extent cx="5657850" cy="3562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ind w:left="720" w:hanging="720"/>
      </w:pPr>
      <w:r>
        <w:t>Source:</w:t>
      </w:r>
      <w:r>
        <w:tab/>
        <w:t>Commission calculation.</w:t>
      </w:r>
    </w:p>
    <w:p w:rsidR="003E0500" w:rsidRDefault="003E0500" w:rsidP="003E0500">
      <w:pPr>
        <w:pStyle w:val="Caption"/>
        <w:ind w:left="720" w:hanging="720"/>
      </w:pPr>
      <w:bookmarkStart w:id="57" w:name="_Ref477264414"/>
      <w:r>
        <w:lastRenderedPageBreak/>
        <w:t>Figure A</w:t>
      </w:r>
      <w:r>
        <w:noBreakHyphen/>
      </w:r>
      <w:fldSimple w:instr=" SEQ Figure \* ARABIC ">
        <w:r w:rsidR="00DD13C4">
          <w:rPr>
            <w:noProof/>
          </w:rPr>
          <w:t>8</w:t>
        </w:r>
      </w:fldSimple>
      <w:bookmarkEnd w:id="57"/>
      <w:r>
        <w:tab/>
        <w:t>Comparison of GST distributions, Northern Territory</w:t>
      </w:r>
    </w:p>
    <w:p w:rsidR="003E0500" w:rsidRDefault="00C5339B" w:rsidP="003E0500">
      <w:pPr>
        <w:pStyle w:val="CGCTableFootnote"/>
        <w:ind w:left="720" w:hanging="720"/>
      </w:pPr>
      <w:r w:rsidRPr="00C5339B">
        <w:rPr>
          <w:noProof/>
          <w:lang w:eastAsia="en-AU"/>
        </w:rPr>
        <w:drawing>
          <wp:inline distT="0" distB="0" distL="0" distR="0">
            <wp:extent cx="5657850" cy="3562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3E0500" w:rsidRDefault="003E0500" w:rsidP="003E0500">
      <w:pPr>
        <w:pStyle w:val="CGCTableFootnote"/>
        <w:ind w:left="720" w:hanging="720"/>
      </w:pPr>
      <w:r>
        <w:t>Source:</w:t>
      </w:r>
      <w:r>
        <w:tab/>
        <w:t>Commission calculation.</w:t>
      </w:r>
    </w:p>
    <w:p w:rsidR="003E0500" w:rsidRDefault="003E0500" w:rsidP="003E0500">
      <w:pPr>
        <w:pStyle w:val="CGCNumberedPara"/>
        <w:numPr>
          <w:ilvl w:val="0"/>
          <w:numId w:val="0"/>
        </w:numPr>
        <w:ind w:left="567" w:hanging="567"/>
      </w:pPr>
    </w:p>
    <w:sectPr w:rsidR="003E0500" w:rsidSect="0004123E">
      <w:footerReference w:type="default" r:id="rId33"/>
      <w:footerReference w:type="first" r:id="rId34"/>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E25" w:rsidRDefault="00CB2E25">
      <w:r>
        <w:separator/>
      </w:r>
    </w:p>
  </w:endnote>
  <w:endnote w:type="continuationSeparator" w:id="0">
    <w:p w:rsidR="00CB2E25" w:rsidRDefault="00CB2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Default="00CB2E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Pr="00875C0F" w:rsidRDefault="00CB2E25" w:rsidP="00EF077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Pr="00875C0F" w:rsidRDefault="00CB2E25" w:rsidP="00EF0770">
    <w:pPr>
      <w:pStyle w:val="Foo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Pr="00875C0F" w:rsidRDefault="00CB2E25" w:rsidP="00EF0770">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Pr="001E2A9C" w:rsidRDefault="00CB2E25" w:rsidP="00EF0770">
    <w:pPr>
      <w:pStyle w:val="Footer"/>
      <w:jc w:val="right"/>
    </w:pPr>
    <w:r>
      <w:fldChar w:fldCharType="begin"/>
    </w:r>
    <w:r>
      <w:instrText xml:space="preserve"> PAGE   \* MERGEFORMAT </w:instrText>
    </w:r>
    <w:r>
      <w:fldChar w:fldCharType="separate"/>
    </w:r>
    <w:r w:rsidR="00E35D72">
      <w:rPr>
        <w:noProof/>
      </w:rPr>
      <w:t>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Pr="001E2A9C" w:rsidRDefault="00CB2E25" w:rsidP="00EF0770">
    <w:pPr>
      <w:pStyle w:val="Footer"/>
      <w:jc w:val="right"/>
    </w:pPr>
    <w:r>
      <w:fldChar w:fldCharType="begin"/>
    </w:r>
    <w:r>
      <w:instrText xml:space="preserve"> PAGE   \* MERGEFORMAT </w:instrText>
    </w:r>
    <w:r>
      <w:fldChar w:fldCharType="separate"/>
    </w:r>
    <w:r w:rsidR="00E35D72">
      <w:rPr>
        <w:noProof/>
      </w:rPr>
      <w:t>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Pr="001E2A9C" w:rsidRDefault="00CB2E25" w:rsidP="00EF0770">
    <w:pPr>
      <w:pStyle w:val="Footer"/>
      <w:jc w:val="right"/>
    </w:pPr>
    <w:r>
      <w:fldChar w:fldCharType="begin"/>
    </w:r>
    <w:r>
      <w:instrText xml:space="preserve"> PAGE   \* MERGEFORMAT </w:instrText>
    </w:r>
    <w:r>
      <w:fldChar w:fldCharType="separate"/>
    </w:r>
    <w:r w:rsidR="00E35D72">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Pr="0011178C" w:rsidRDefault="00CB2E25" w:rsidP="003929D2">
    <w:pPr>
      <w:pStyle w:val="Footer"/>
      <w:jc w:val="right"/>
    </w:pPr>
    <w:r>
      <w:fldChar w:fldCharType="begin"/>
    </w:r>
    <w:r>
      <w:instrText xml:space="preserve"> PAGE  \* Arabic  \* MERGEFORMAT </w:instrText>
    </w:r>
    <w:r>
      <w:fldChar w:fldCharType="separate"/>
    </w:r>
    <w:r w:rsidR="00E35D72">
      <w:rPr>
        <w:noProof/>
      </w:rPr>
      <w:t>17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Pr="007E487F" w:rsidRDefault="00CB2E25" w:rsidP="00DC0F02">
    <w:pPr>
      <w:pStyle w:val="Footer"/>
      <w:tabs>
        <w:tab w:val="right" w:pos="8931"/>
      </w:tabs>
      <w:rPr>
        <w:sz w:val="20"/>
        <w:szCs w:val="20"/>
      </w:rPr>
    </w:pPr>
    <w:r>
      <w:rPr>
        <w:sz w:val="20"/>
        <w:szCs w:val="20"/>
      </w:rPr>
      <w:tab/>
    </w:r>
    <w:r>
      <w:rPr>
        <w:sz w:val="20"/>
        <w:szCs w:val="20"/>
      </w:rPr>
      <w:tab/>
    </w:r>
    <w:r>
      <w:rPr>
        <w:sz w:val="20"/>
        <w:szCs w:val="20"/>
      </w:rPr>
      <w:tab/>
    </w:r>
    <w:r>
      <w:fldChar w:fldCharType="begin"/>
    </w:r>
    <w:r>
      <w:instrText xml:space="preserve"> PAGE   \* MERGEFORMAT </w:instrText>
    </w:r>
    <w:r>
      <w:fldChar w:fldCharType="separate"/>
    </w:r>
    <w:r w:rsidR="00E35D72">
      <w:rPr>
        <w:noProof/>
      </w:rPr>
      <w:t>10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E25" w:rsidRDefault="00CB2E25">
      <w:r>
        <w:separator/>
      </w:r>
    </w:p>
  </w:footnote>
  <w:footnote w:type="continuationSeparator" w:id="0">
    <w:p w:rsidR="00CB2E25" w:rsidRDefault="00CB2E25">
      <w:r>
        <w:continuationSeparator/>
      </w:r>
    </w:p>
  </w:footnote>
  <w:footnote w:id="1">
    <w:p w:rsidR="00CB2E25" w:rsidRDefault="00CB2E25" w:rsidP="003E0500">
      <w:pPr>
        <w:pStyle w:val="FootnoteText"/>
      </w:pPr>
      <w:r>
        <w:rPr>
          <w:rStyle w:val="FootnoteReference"/>
        </w:rPr>
        <w:footnoteRef/>
      </w:r>
      <w:r>
        <w:t xml:space="preserve"> </w:t>
      </w:r>
      <w:r>
        <w:tab/>
        <w:t xml:space="preserve">This was similar to the equalisation principle the Commission had used in its State </w:t>
      </w:r>
      <w:proofErr w:type="spellStart"/>
      <w:r>
        <w:t>claimancy</w:t>
      </w:r>
      <w:proofErr w:type="spellEnd"/>
      <w:r>
        <w:t xml:space="preserve"> inquiries.</w:t>
      </w:r>
    </w:p>
  </w:footnote>
  <w:footnote w:id="2">
    <w:p w:rsidR="00CB2E25" w:rsidRDefault="00CB2E25" w:rsidP="003E0500">
      <w:pPr>
        <w:pStyle w:val="FootnoteText"/>
      </w:pPr>
      <w:r>
        <w:rPr>
          <w:rStyle w:val="FootnoteReference"/>
        </w:rPr>
        <w:footnoteRef/>
      </w:r>
      <w:r>
        <w:t xml:space="preserve"> </w:t>
      </w:r>
      <w:r>
        <w:tab/>
        <w:t>Under the equalisation principle, States that face higher than average costs of service provision (for example, the Northern Territory) are assessed to have high assessed expenses and, other things being equal, will require more than a population share of GST. States that have higher than average revenue capacity (for example, Western Australia) are assessed to high assessed revenue and, other things being equal, will require less than a population share of GST.</w:t>
      </w:r>
    </w:p>
  </w:footnote>
  <w:footnote w:id="3">
    <w:p w:rsidR="00CB2E25" w:rsidRDefault="00CB2E25" w:rsidP="003E0500">
      <w:pPr>
        <w:pStyle w:val="FootnoteText"/>
      </w:pPr>
      <w:r>
        <w:rPr>
          <w:rStyle w:val="FootnoteReference"/>
        </w:rPr>
        <w:footnoteRef/>
      </w:r>
      <w:r>
        <w:t xml:space="preserve"> </w:t>
      </w:r>
      <w:r>
        <w:tab/>
        <w:t>Most States are consistently assessed as being fiscally stronger or fiscally weaker than average. Three States (Queensland, Western Australia and the ACT) have been assessed as fiscally stronger in some years and fiscally weaker in others.</w:t>
      </w:r>
    </w:p>
  </w:footnote>
  <w:footnote w:id="4">
    <w:p w:rsidR="00CB2E25" w:rsidRDefault="00CB2E25" w:rsidP="003E0500">
      <w:pPr>
        <w:pStyle w:val="FootnoteText"/>
      </w:pPr>
      <w:r>
        <w:rPr>
          <w:rStyle w:val="FootnoteReference"/>
        </w:rPr>
        <w:footnoteRef/>
      </w:r>
      <w:r>
        <w:t xml:space="preserve"> </w:t>
      </w:r>
      <w:r>
        <w:tab/>
        <w:t>GST Distribution Review, Interim Report, Chapters 1 and 2.</w:t>
      </w:r>
    </w:p>
  </w:footnote>
  <w:footnote w:id="5">
    <w:p w:rsidR="00CB2E25" w:rsidRDefault="00CB2E25" w:rsidP="003E0500">
      <w:pPr>
        <w:pStyle w:val="FootnoteText"/>
      </w:pPr>
      <w:r>
        <w:rPr>
          <w:rStyle w:val="FootnoteReference"/>
        </w:rPr>
        <w:footnoteRef/>
      </w:r>
      <w:r>
        <w:t xml:space="preserve"> </w:t>
      </w:r>
      <w:r>
        <w:tab/>
        <w:t>GST Distribution Review, Final Report, October 2012, page 47.</w:t>
      </w:r>
    </w:p>
  </w:footnote>
  <w:footnote w:id="6">
    <w:p w:rsidR="00CB2E25" w:rsidRDefault="00CB2E25" w:rsidP="00AB2E6B">
      <w:pPr>
        <w:pStyle w:val="FootnoteText"/>
      </w:pPr>
      <w:r>
        <w:rPr>
          <w:rStyle w:val="FootnoteReference"/>
        </w:rPr>
        <w:footnoteRef/>
      </w:r>
      <w:r>
        <w:t xml:space="preserve"> </w:t>
      </w:r>
      <w:r>
        <w:tab/>
        <w:t>This option has similarities to Canada’s approach to equalisation, where fiscally weaker provinces are lifted up towards the average but fiscally stronger provinces are not brought down to the average.</w:t>
      </w:r>
    </w:p>
  </w:footnote>
  <w:footnote w:id="7">
    <w:p w:rsidR="00CB2E25" w:rsidRDefault="00CB2E25">
      <w:pPr>
        <w:pStyle w:val="FootnoteText"/>
      </w:pPr>
      <w:r>
        <w:rPr>
          <w:rStyle w:val="FootnoteReference"/>
        </w:rPr>
        <w:footnoteRef/>
      </w:r>
      <w:r>
        <w:t xml:space="preserve"> </w:t>
      </w:r>
      <w:r>
        <w:tab/>
        <w:t>The reason this option provides less GST to fiscally weaker States is because a</w:t>
      </w:r>
      <w:r w:rsidRPr="00261F96">
        <w:t>ll States (including fiscally weak</w:t>
      </w:r>
      <w:r>
        <w:t>er</w:t>
      </w:r>
      <w:r w:rsidRPr="00261F96">
        <w:t xml:space="preserve"> States) share the cost of the </w:t>
      </w:r>
      <w:r>
        <w:t xml:space="preserve">amount </w:t>
      </w:r>
      <w:r w:rsidRPr="00261F96">
        <w:t xml:space="preserve">removed </w:t>
      </w:r>
      <w:r>
        <w:t xml:space="preserve">from the pool </w:t>
      </w:r>
      <w:r w:rsidRPr="00261F96">
        <w:t>on a population basis.</w:t>
      </w:r>
    </w:p>
  </w:footnote>
  <w:footnote w:id="8">
    <w:p w:rsidR="00CB2E25" w:rsidRDefault="00CB2E25">
      <w:pPr>
        <w:pStyle w:val="FootnoteText"/>
      </w:pPr>
      <w:r>
        <w:rPr>
          <w:rStyle w:val="FootnoteReference"/>
        </w:rPr>
        <w:footnoteRef/>
      </w:r>
      <w:r>
        <w:t xml:space="preserve"> </w:t>
      </w:r>
      <w:r>
        <w:tab/>
        <w:t>For each assessment year, States’ assessed expenses, investment and revenues were replaced by their actual expenses, investment and revenues. Net lending was assessed EPC. An annual relativity was derived for each assessment year by dividing by the per capita pool. For each year, a State’s GST distribution was derived by applying its average relativity to an application year population and pool.</w:t>
      </w:r>
    </w:p>
  </w:footnote>
  <w:footnote w:id="9">
    <w:p w:rsidR="00CB2E25" w:rsidRDefault="00CB2E25" w:rsidP="003E0500">
      <w:pPr>
        <w:pStyle w:val="FootnoteText"/>
      </w:pPr>
      <w:r>
        <w:rPr>
          <w:rStyle w:val="FootnoteReference"/>
        </w:rPr>
        <w:footnoteRef/>
      </w:r>
      <w:r>
        <w:t xml:space="preserve"> </w:t>
      </w:r>
      <w:r>
        <w:tab/>
        <w:t>Report on GST Revenue Sharing Relativities, 2015 Review, Volume 1 Main Report, Chapter 1 Achieving Horizontal Fiscal Equalisation, pages 28-29.</w:t>
      </w:r>
    </w:p>
  </w:footnote>
  <w:footnote w:id="10">
    <w:p w:rsidR="00CB2E25" w:rsidRDefault="00CB2E25" w:rsidP="003E0500">
      <w:pPr>
        <w:pStyle w:val="FootnoteText"/>
      </w:pPr>
      <w:r>
        <w:rPr>
          <w:rStyle w:val="FootnoteReference"/>
        </w:rPr>
        <w:footnoteRef/>
      </w:r>
      <w:r>
        <w:t xml:space="preserve"> </w:t>
      </w:r>
      <w:r>
        <w:tab/>
      </w:r>
      <w:r>
        <w:fldChar w:fldCharType="begin"/>
      </w:r>
      <w:r>
        <w:instrText xml:space="preserve"> REF _Ref482168406 \h </w:instrText>
      </w:r>
      <w:r>
        <w:fldChar w:fldCharType="separate"/>
      </w:r>
      <w:r>
        <w:t>Table </w:t>
      </w:r>
      <w:r>
        <w:rPr>
          <w:noProof/>
        </w:rPr>
        <w:t>1</w:t>
      </w:r>
      <w:r>
        <w:fldChar w:fldCharType="end"/>
      </w:r>
      <w:r>
        <w:t xml:space="preserve"> showed fiscally weaker States receive less than the Commission’s recommended distribution because a</w:t>
      </w:r>
      <w:r w:rsidRPr="00261F96">
        <w:t>ll States (including fiscally weak</w:t>
      </w:r>
      <w:r>
        <w:t>er</w:t>
      </w:r>
      <w:r w:rsidRPr="00261F96">
        <w:t xml:space="preserve"> States) share the cost of the </w:t>
      </w:r>
      <w:r>
        <w:t xml:space="preserve">amount </w:t>
      </w:r>
      <w:r w:rsidRPr="00261F96">
        <w:t xml:space="preserve">removed </w:t>
      </w:r>
      <w:r>
        <w:t xml:space="preserve">from the pool </w:t>
      </w:r>
      <w:r w:rsidRPr="00261F96">
        <w:t>on a population basis</w:t>
      </w:r>
      <w:r>
        <w:t>.</w:t>
      </w:r>
    </w:p>
  </w:footnote>
  <w:footnote w:id="11">
    <w:p w:rsidR="00CB2E25" w:rsidRDefault="00CB2E25" w:rsidP="003E0500">
      <w:pPr>
        <w:pStyle w:val="FootnoteText"/>
      </w:pPr>
      <w:r>
        <w:rPr>
          <w:rStyle w:val="FootnoteReference"/>
        </w:rPr>
        <w:footnoteRef/>
      </w:r>
      <w:r>
        <w:t xml:space="preserve"> </w:t>
      </w:r>
      <w:r>
        <w:tab/>
        <w:t>Actual per capita assessments have a history in Australian equalisation. In early reviews, before the Commission was able to collect data to support all its assessments, equal per capita and actual per capita assessments were prevalent.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Default="00CB2E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Default="00CB2E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Default="00CB2E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5" w:rsidRDefault="00CB2E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5">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5">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1"/>
  </w:num>
  <w:num w:numId="4">
    <w:abstractNumId w:val="15"/>
  </w:num>
  <w:num w:numId="5">
    <w:abstractNumId w:val="15"/>
  </w:num>
  <w:num w:numId="6">
    <w:abstractNumId w:val="4"/>
  </w:num>
  <w:num w:numId="7">
    <w:abstractNumId w:val="4"/>
  </w:num>
  <w:num w:numId="8">
    <w:abstractNumId w:val="4"/>
  </w:num>
  <w:num w:numId="9">
    <w:abstractNumId w:val="4"/>
  </w:num>
  <w:num w:numId="10">
    <w:abstractNumId w:val="14"/>
  </w:num>
  <w:num w:numId="11">
    <w:abstractNumId w:val="5"/>
  </w:num>
  <w:num w:numId="12">
    <w:abstractNumId w:val="1"/>
  </w:num>
  <w:num w:numId="13">
    <w:abstractNumId w:val="15"/>
  </w:num>
  <w:num w:numId="14">
    <w:abstractNumId w:val="4"/>
  </w:num>
  <w:num w:numId="15">
    <w:abstractNumId w:val="4"/>
  </w:num>
  <w:num w:numId="16">
    <w:abstractNumId w:val="4"/>
  </w:num>
  <w:num w:numId="17">
    <w:abstractNumId w:val="4"/>
  </w:num>
  <w:num w:numId="18">
    <w:abstractNumId w:val="0"/>
  </w:num>
  <w:num w:numId="19">
    <w:abstractNumId w:val="9"/>
  </w:num>
  <w:num w:numId="20">
    <w:abstractNumId w:val="10"/>
  </w:num>
  <w:num w:numId="21">
    <w:abstractNumId w:val="2"/>
  </w:num>
  <w:num w:numId="22">
    <w:abstractNumId w:val="7"/>
  </w:num>
  <w:num w:numId="23">
    <w:abstractNumId w:val="13"/>
  </w:num>
  <w:num w:numId="24">
    <w:abstractNumId w:val="3"/>
  </w:num>
  <w:num w:numId="25">
    <w:abstractNumId w:val="11"/>
  </w:num>
  <w:num w:numId="26">
    <w:abstractNumId w:val="1"/>
  </w:num>
  <w:num w:numId="27">
    <w:abstractNumId w:val="8"/>
  </w:num>
  <w:num w:numId="28">
    <w:abstractNumId w:val="12"/>
  </w:num>
  <w:num w:numId="29">
    <w:abstractNumId w:val="6"/>
  </w:num>
  <w:num w:numId="30">
    <w:abstractNumId w:val="5"/>
    <w:lvlOverride w:ilvl="0">
      <w:startOverride w:val="1"/>
    </w:lvlOverride>
  </w:num>
  <w:num w:numId="31">
    <w:abstractNumId w:val="14"/>
  </w:num>
  <w:num w:numId="32">
    <w:abstractNumId w:val="1"/>
  </w:num>
  <w:num w:numId="33">
    <w:abstractNumId w:val="5"/>
  </w:num>
  <w:num w:numId="34">
    <w:abstractNumId w:val="15"/>
  </w:num>
  <w:num w:numId="35">
    <w:abstractNumId w:val="9"/>
  </w:num>
  <w:num w:numId="36">
    <w:abstractNumId w:val="14"/>
  </w:num>
  <w:num w:numId="37">
    <w:abstractNumId w:val="1"/>
  </w:num>
  <w:num w:numId="38">
    <w:abstractNumId w:val="5"/>
  </w:num>
  <w:num w:numId="39">
    <w:abstractNumId w:val="15"/>
  </w:num>
  <w:num w:numId="40">
    <w:abstractNumId w:val="9"/>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FB3"/>
    <w:rsid w:val="00016FE0"/>
    <w:rsid w:val="00021A34"/>
    <w:rsid w:val="00022EA9"/>
    <w:rsid w:val="00024745"/>
    <w:rsid w:val="00032F41"/>
    <w:rsid w:val="0004123E"/>
    <w:rsid w:val="00041748"/>
    <w:rsid w:val="00041E84"/>
    <w:rsid w:val="000424EA"/>
    <w:rsid w:val="00056373"/>
    <w:rsid w:val="00061111"/>
    <w:rsid w:val="000624BB"/>
    <w:rsid w:val="000648E8"/>
    <w:rsid w:val="00093796"/>
    <w:rsid w:val="0009560A"/>
    <w:rsid w:val="000A04FB"/>
    <w:rsid w:val="000A34D1"/>
    <w:rsid w:val="000A3898"/>
    <w:rsid w:val="000A52A1"/>
    <w:rsid w:val="000A748B"/>
    <w:rsid w:val="000B2942"/>
    <w:rsid w:val="000B3557"/>
    <w:rsid w:val="000B64E3"/>
    <w:rsid w:val="000D1354"/>
    <w:rsid w:val="000D18DC"/>
    <w:rsid w:val="000D7C54"/>
    <w:rsid w:val="000E0210"/>
    <w:rsid w:val="000E6AA5"/>
    <w:rsid w:val="000E7F56"/>
    <w:rsid w:val="000F1CDA"/>
    <w:rsid w:val="001039C2"/>
    <w:rsid w:val="001040AD"/>
    <w:rsid w:val="0011178C"/>
    <w:rsid w:val="00112CF0"/>
    <w:rsid w:val="001211AB"/>
    <w:rsid w:val="001218B8"/>
    <w:rsid w:val="00124ED1"/>
    <w:rsid w:val="00136497"/>
    <w:rsid w:val="00141BD1"/>
    <w:rsid w:val="001441DA"/>
    <w:rsid w:val="00147115"/>
    <w:rsid w:val="001477CE"/>
    <w:rsid w:val="0016723A"/>
    <w:rsid w:val="00170DC9"/>
    <w:rsid w:val="00171A05"/>
    <w:rsid w:val="00172F3A"/>
    <w:rsid w:val="001730FD"/>
    <w:rsid w:val="00173798"/>
    <w:rsid w:val="00173BE6"/>
    <w:rsid w:val="00173E72"/>
    <w:rsid w:val="001807C0"/>
    <w:rsid w:val="001811DE"/>
    <w:rsid w:val="00187145"/>
    <w:rsid w:val="001A4336"/>
    <w:rsid w:val="001B0110"/>
    <w:rsid w:val="001B0C79"/>
    <w:rsid w:val="001B3048"/>
    <w:rsid w:val="001B696E"/>
    <w:rsid w:val="001B6A56"/>
    <w:rsid w:val="001C469B"/>
    <w:rsid w:val="001C6A71"/>
    <w:rsid w:val="001D638B"/>
    <w:rsid w:val="001D6DFA"/>
    <w:rsid w:val="001E6180"/>
    <w:rsid w:val="001E674B"/>
    <w:rsid w:val="001E68FC"/>
    <w:rsid w:val="001E72B6"/>
    <w:rsid w:val="001F4F5A"/>
    <w:rsid w:val="00204026"/>
    <w:rsid w:val="00212948"/>
    <w:rsid w:val="00217839"/>
    <w:rsid w:val="00225A3B"/>
    <w:rsid w:val="00227D29"/>
    <w:rsid w:val="0023081D"/>
    <w:rsid w:val="002331B5"/>
    <w:rsid w:val="0023329C"/>
    <w:rsid w:val="00236DC0"/>
    <w:rsid w:val="002373A2"/>
    <w:rsid w:val="00242517"/>
    <w:rsid w:val="0024260B"/>
    <w:rsid w:val="0024401F"/>
    <w:rsid w:val="0024569B"/>
    <w:rsid w:val="002551FA"/>
    <w:rsid w:val="00255B5A"/>
    <w:rsid w:val="002671A2"/>
    <w:rsid w:val="00267496"/>
    <w:rsid w:val="00273B3E"/>
    <w:rsid w:val="00275B68"/>
    <w:rsid w:val="002845EA"/>
    <w:rsid w:val="00286EBE"/>
    <w:rsid w:val="00295B70"/>
    <w:rsid w:val="002A2A08"/>
    <w:rsid w:val="002A2D93"/>
    <w:rsid w:val="002A409F"/>
    <w:rsid w:val="002A4E42"/>
    <w:rsid w:val="002A77C3"/>
    <w:rsid w:val="002B10B0"/>
    <w:rsid w:val="002B169C"/>
    <w:rsid w:val="002B6EFD"/>
    <w:rsid w:val="002B6F33"/>
    <w:rsid w:val="002B79F0"/>
    <w:rsid w:val="002B7F3E"/>
    <w:rsid w:val="002C1D9C"/>
    <w:rsid w:val="002C366F"/>
    <w:rsid w:val="002C4CA9"/>
    <w:rsid w:val="002D2270"/>
    <w:rsid w:val="002E1BA8"/>
    <w:rsid w:val="002E25A8"/>
    <w:rsid w:val="002F04DE"/>
    <w:rsid w:val="002F1CD3"/>
    <w:rsid w:val="002F6E28"/>
    <w:rsid w:val="002F7E68"/>
    <w:rsid w:val="00302384"/>
    <w:rsid w:val="00302E5E"/>
    <w:rsid w:val="00307DEF"/>
    <w:rsid w:val="00311D33"/>
    <w:rsid w:val="00313664"/>
    <w:rsid w:val="00314F90"/>
    <w:rsid w:val="00326CA9"/>
    <w:rsid w:val="0033102E"/>
    <w:rsid w:val="00331401"/>
    <w:rsid w:val="00332D6E"/>
    <w:rsid w:val="00333234"/>
    <w:rsid w:val="00335ED1"/>
    <w:rsid w:val="00336F4F"/>
    <w:rsid w:val="00337EF8"/>
    <w:rsid w:val="00342A60"/>
    <w:rsid w:val="0034379D"/>
    <w:rsid w:val="0034646D"/>
    <w:rsid w:val="00347BE5"/>
    <w:rsid w:val="003522E0"/>
    <w:rsid w:val="0035267F"/>
    <w:rsid w:val="0035580D"/>
    <w:rsid w:val="003639FB"/>
    <w:rsid w:val="00363BF7"/>
    <w:rsid w:val="003654B8"/>
    <w:rsid w:val="00382AE5"/>
    <w:rsid w:val="003929D2"/>
    <w:rsid w:val="00393E3E"/>
    <w:rsid w:val="00393FA5"/>
    <w:rsid w:val="003A27BB"/>
    <w:rsid w:val="003B673D"/>
    <w:rsid w:val="003C2577"/>
    <w:rsid w:val="003C4448"/>
    <w:rsid w:val="003C758F"/>
    <w:rsid w:val="003D22D2"/>
    <w:rsid w:val="003D3D91"/>
    <w:rsid w:val="003D4708"/>
    <w:rsid w:val="003D477A"/>
    <w:rsid w:val="003D74DB"/>
    <w:rsid w:val="003E0500"/>
    <w:rsid w:val="003E6615"/>
    <w:rsid w:val="003E79F9"/>
    <w:rsid w:val="003F0BAD"/>
    <w:rsid w:val="003F12E9"/>
    <w:rsid w:val="003F2200"/>
    <w:rsid w:val="003F59F4"/>
    <w:rsid w:val="00404DCD"/>
    <w:rsid w:val="004077D6"/>
    <w:rsid w:val="004121E7"/>
    <w:rsid w:val="00412915"/>
    <w:rsid w:val="00414E51"/>
    <w:rsid w:val="00420F04"/>
    <w:rsid w:val="00423099"/>
    <w:rsid w:val="00423106"/>
    <w:rsid w:val="00424E79"/>
    <w:rsid w:val="0042661C"/>
    <w:rsid w:val="004274B3"/>
    <w:rsid w:val="00443EC1"/>
    <w:rsid w:val="00452229"/>
    <w:rsid w:val="00453264"/>
    <w:rsid w:val="00454FB3"/>
    <w:rsid w:val="00462B54"/>
    <w:rsid w:val="00463064"/>
    <w:rsid w:val="00472461"/>
    <w:rsid w:val="004779AB"/>
    <w:rsid w:val="004809B8"/>
    <w:rsid w:val="004821B9"/>
    <w:rsid w:val="00491D88"/>
    <w:rsid w:val="0049605C"/>
    <w:rsid w:val="004965F7"/>
    <w:rsid w:val="004A2F05"/>
    <w:rsid w:val="004A7048"/>
    <w:rsid w:val="004B0A0A"/>
    <w:rsid w:val="004B1C4B"/>
    <w:rsid w:val="004B60CB"/>
    <w:rsid w:val="004C1CB5"/>
    <w:rsid w:val="004D04A9"/>
    <w:rsid w:val="004D5E9B"/>
    <w:rsid w:val="004E769A"/>
    <w:rsid w:val="00500ACD"/>
    <w:rsid w:val="005012F7"/>
    <w:rsid w:val="00504061"/>
    <w:rsid w:val="00505BAE"/>
    <w:rsid w:val="00506956"/>
    <w:rsid w:val="00515380"/>
    <w:rsid w:val="005176CA"/>
    <w:rsid w:val="0052788B"/>
    <w:rsid w:val="00532D10"/>
    <w:rsid w:val="00537A77"/>
    <w:rsid w:val="00541A14"/>
    <w:rsid w:val="00543F9C"/>
    <w:rsid w:val="00546D39"/>
    <w:rsid w:val="00550E84"/>
    <w:rsid w:val="00551368"/>
    <w:rsid w:val="00556A75"/>
    <w:rsid w:val="005577B0"/>
    <w:rsid w:val="00562084"/>
    <w:rsid w:val="00570EED"/>
    <w:rsid w:val="005716FC"/>
    <w:rsid w:val="00575DEF"/>
    <w:rsid w:val="00576109"/>
    <w:rsid w:val="00583A33"/>
    <w:rsid w:val="005867D2"/>
    <w:rsid w:val="005913A5"/>
    <w:rsid w:val="00592B45"/>
    <w:rsid w:val="005963CC"/>
    <w:rsid w:val="00596E19"/>
    <w:rsid w:val="005A241E"/>
    <w:rsid w:val="005A6FED"/>
    <w:rsid w:val="005B1BC4"/>
    <w:rsid w:val="005B6894"/>
    <w:rsid w:val="005B7121"/>
    <w:rsid w:val="005C13B2"/>
    <w:rsid w:val="005C27E3"/>
    <w:rsid w:val="005C37CB"/>
    <w:rsid w:val="005C459C"/>
    <w:rsid w:val="005D1A9F"/>
    <w:rsid w:val="005D52FA"/>
    <w:rsid w:val="005E266F"/>
    <w:rsid w:val="005E5734"/>
    <w:rsid w:val="005E73CE"/>
    <w:rsid w:val="005F07DC"/>
    <w:rsid w:val="005F64FB"/>
    <w:rsid w:val="0060251E"/>
    <w:rsid w:val="00602DDE"/>
    <w:rsid w:val="00611737"/>
    <w:rsid w:val="00614DE8"/>
    <w:rsid w:val="00622388"/>
    <w:rsid w:val="00622669"/>
    <w:rsid w:val="00622FE1"/>
    <w:rsid w:val="00625CE5"/>
    <w:rsid w:val="00635027"/>
    <w:rsid w:val="00644A7B"/>
    <w:rsid w:val="006556D9"/>
    <w:rsid w:val="00661C46"/>
    <w:rsid w:val="006652D3"/>
    <w:rsid w:val="00666ADC"/>
    <w:rsid w:val="00667CF3"/>
    <w:rsid w:val="006769C4"/>
    <w:rsid w:val="00677627"/>
    <w:rsid w:val="00677BD5"/>
    <w:rsid w:val="0068025E"/>
    <w:rsid w:val="00680342"/>
    <w:rsid w:val="00687951"/>
    <w:rsid w:val="00693C87"/>
    <w:rsid w:val="006A05C7"/>
    <w:rsid w:val="006A607B"/>
    <w:rsid w:val="006A6E27"/>
    <w:rsid w:val="006A72B0"/>
    <w:rsid w:val="006B044A"/>
    <w:rsid w:val="006B1D8A"/>
    <w:rsid w:val="006B3E4D"/>
    <w:rsid w:val="006C52B9"/>
    <w:rsid w:val="006D1DFE"/>
    <w:rsid w:val="006E6BC2"/>
    <w:rsid w:val="006E77BB"/>
    <w:rsid w:val="00701289"/>
    <w:rsid w:val="0070150E"/>
    <w:rsid w:val="00705DB8"/>
    <w:rsid w:val="00713225"/>
    <w:rsid w:val="0072512A"/>
    <w:rsid w:val="00731EE6"/>
    <w:rsid w:val="007355A6"/>
    <w:rsid w:val="00740A71"/>
    <w:rsid w:val="00742DB4"/>
    <w:rsid w:val="00744039"/>
    <w:rsid w:val="007477C5"/>
    <w:rsid w:val="00747938"/>
    <w:rsid w:val="00762AFB"/>
    <w:rsid w:val="00765BA8"/>
    <w:rsid w:val="00766007"/>
    <w:rsid w:val="00770A26"/>
    <w:rsid w:val="00790E19"/>
    <w:rsid w:val="007A1364"/>
    <w:rsid w:val="007A24A0"/>
    <w:rsid w:val="007A4AB2"/>
    <w:rsid w:val="007A5E68"/>
    <w:rsid w:val="007B1BF7"/>
    <w:rsid w:val="007C404B"/>
    <w:rsid w:val="007C4BAE"/>
    <w:rsid w:val="007C6F2E"/>
    <w:rsid w:val="007D1D3B"/>
    <w:rsid w:val="007D5960"/>
    <w:rsid w:val="007E114E"/>
    <w:rsid w:val="007E487F"/>
    <w:rsid w:val="007E4B2D"/>
    <w:rsid w:val="007E587D"/>
    <w:rsid w:val="007E6757"/>
    <w:rsid w:val="007E71E9"/>
    <w:rsid w:val="007F1873"/>
    <w:rsid w:val="007F1D06"/>
    <w:rsid w:val="007F6409"/>
    <w:rsid w:val="008002C0"/>
    <w:rsid w:val="008010D7"/>
    <w:rsid w:val="00803443"/>
    <w:rsid w:val="0080680D"/>
    <w:rsid w:val="00812C05"/>
    <w:rsid w:val="0081322A"/>
    <w:rsid w:val="008162AB"/>
    <w:rsid w:val="00843E6F"/>
    <w:rsid w:val="00846E4A"/>
    <w:rsid w:val="00851AF5"/>
    <w:rsid w:val="00851FB5"/>
    <w:rsid w:val="00854DAA"/>
    <w:rsid w:val="008647DE"/>
    <w:rsid w:val="00864B95"/>
    <w:rsid w:val="008800D3"/>
    <w:rsid w:val="00886CDD"/>
    <w:rsid w:val="0089214D"/>
    <w:rsid w:val="00892EF6"/>
    <w:rsid w:val="00893C0D"/>
    <w:rsid w:val="008A20DA"/>
    <w:rsid w:val="008B5C8F"/>
    <w:rsid w:val="008B5F16"/>
    <w:rsid w:val="008B7722"/>
    <w:rsid w:val="008C0E5C"/>
    <w:rsid w:val="008D0390"/>
    <w:rsid w:val="008D348B"/>
    <w:rsid w:val="008E0B6B"/>
    <w:rsid w:val="008E2BE4"/>
    <w:rsid w:val="008E6B4E"/>
    <w:rsid w:val="008E7970"/>
    <w:rsid w:val="008E7C34"/>
    <w:rsid w:val="008F0C36"/>
    <w:rsid w:val="008F377B"/>
    <w:rsid w:val="00915512"/>
    <w:rsid w:val="009233CC"/>
    <w:rsid w:val="009240D8"/>
    <w:rsid w:val="0092523D"/>
    <w:rsid w:val="0093003D"/>
    <w:rsid w:val="009360D7"/>
    <w:rsid w:val="009362C9"/>
    <w:rsid w:val="00942387"/>
    <w:rsid w:val="0094626F"/>
    <w:rsid w:val="009462D2"/>
    <w:rsid w:val="009652D5"/>
    <w:rsid w:val="009677F8"/>
    <w:rsid w:val="00971146"/>
    <w:rsid w:val="00972A9A"/>
    <w:rsid w:val="00991675"/>
    <w:rsid w:val="00992008"/>
    <w:rsid w:val="00996409"/>
    <w:rsid w:val="00996D00"/>
    <w:rsid w:val="00997044"/>
    <w:rsid w:val="009A03DC"/>
    <w:rsid w:val="009A07D4"/>
    <w:rsid w:val="009A6CF3"/>
    <w:rsid w:val="009B43BF"/>
    <w:rsid w:val="009B4A2D"/>
    <w:rsid w:val="009B5A07"/>
    <w:rsid w:val="009C1E0B"/>
    <w:rsid w:val="009D545A"/>
    <w:rsid w:val="009D6D44"/>
    <w:rsid w:val="009E22FA"/>
    <w:rsid w:val="009E4744"/>
    <w:rsid w:val="009E4EC9"/>
    <w:rsid w:val="009E5D5A"/>
    <w:rsid w:val="009F2262"/>
    <w:rsid w:val="009F4ADA"/>
    <w:rsid w:val="009F6A0D"/>
    <w:rsid w:val="00A07991"/>
    <w:rsid w:val="00A103A6"/>
    <w:rsid w:val="00A10CDE"/>
    <w:rsid w:val="00A11822"/>
    <w:rsid w:val="00A1680D"/>
    <w:rsid w:val="00A23AB0"/>
    <w:rsid w:val="00A266C5"/>
    <w:rsid w:val="00A309C6"/>
    <w:rsid w:val="00A30BFE"/>
    <w:rsid w:val="00A32E4E"/>
    <w:rsid w:val="00A505DE"/>
    <w:rsid w:val="00A5327C"/>
    <w:rsid w:val="00A5721C"/>
    <w:rsid w:val="00A67913"/>
    <w:rsid w:val="00A81A94"/>
    <w:rsid w:val="00A85D0F"/>
    <w:rsid w:val="00A9681E"/>
    <w:rsid w:val="00AA007A"/>
    <w:rsid w:val="00AA35B4"/>
    <w:rsid w:val="00AB073E"/>
    <w:rsid w:val="00AB1A13"/>
    <w:rsid w:val="00AB2E6B"/>
    <w:rsid w:val="00AB4E9F"/>
    <w:rsid w:val="00AC210F"/>
    <w:rsid w:val="00AC319E"/>
    <w:rsid w:val="00AE3A1E"/>
    <w:rsid w:val="00AE734F"/>
    <w:rsid w:val="00AF2656"/>
    <w:rsid w:val="00AF6110"/>
    <w:rsid w:val="00AF6AC6"/>
    <w:rsid w:val="00B00611"/>
    <w:rsid w:val="00B04231"/>
    <w:rsid w:val="00B04354"/>
    <w:rsid w:val="00B057BA"/>
    <w:rsid w:val="00B10132"/>
    <w:rsid w:val="00B249FC"/>
    <w:rsid w:val="00B317E7"/>
    <w:rsid w:val="00B33A57"/>
    <w:rsid w:val="00B34083"/>
    <w:rsid w:val="00B375F0"/>
    <w:rsid w:val="00B37728"/>
    <w:rsid w:val="00B45C64"/>
    <w:rsid w:val="00B46A32"/>
    <w:rsid w:val="00B46B29"/>
    <w:rsid w:val="00B53547"/>
    <w:rsid w:val="00B53597"/>
    <w:rsid w:val="00B55D3E"/>
    <w:rsid w:val="00B62590"/>
    <w:rsid w:val="00B64FAF"/>
    <w:rsid w:val="00B6729F"/>
    <w:rsid w:val="00B706E2"/>
    <w:rsid w:val="00B82627"/>
    <w:rsid w:val="00B8389B"/>
    <w:rsid w:val="00B90AA7"/>
    <w:rsid w:val="00B94335"/>
    <w:rsid w:val="00BA07AD"/>
    <w:rsid w:val="00BA38F6"/>
    <w:rsid w:val="00BA65E5"/>
    <w:rsid w:val="00BB09DF"/>
    <w:rsid w:val="00BB3FC5"/>
    <w:rsid w:val="00BB542E"/>
    <w:rsid w:val="00BC2B3B"/>
    <w:rsid w:val="00BC4579"/>
    <w:rsid w:val="00BD3D24"/>
    <w:rsid w:val="00BF1DE2"/>
    <w:rsid w:val="00C0018A"/>
    <w:rsid w:val="00C00905"/>
    <w:rsid w:val="00C035B5"/>
    <w:rsid w:val="00C11ABD"/>
    <w:rsid w:val="00C14FB2"/>
    <w:rsid w:val="00C176AC"/>
    <w:rsid w:val="00C17707"/>
    <w:rsid w:val="00C21EF9"/>
    <w:rsid w:val="00C222F7"/>
    <w:rsid w:val="00C22910"/>
    <w:rsid w:val="00C24839"/>
    <w:rsid w:val="00C27C23"/>
    <w:rsid w:val="00C3572E"/>
    <w:rsid w:val="00C41C84"/>
    <w:rsid w:val="00C5339B"/>
    <w:rsid w:val="00C554D4"/>
    <w:rsid w:val="00C61458"/>
    <w:rsid w:val="00C61B02"/>
    <w:rsid w:val="00C61DDD"/>
    <w:rsid w:val="00C61F1C"/>
    <w:rsid w:val="00C645D6"/>
    <w:rsid w:val="00C719A2"/>
    <w:rsid w:val="00C72165"/>
    <w:rsid w:val="00C75528"/>
    <w:rsid w:val="00C77444"/>
    <w:rsid w:val="00C83041"/>
    <w:rsid w:val="00C90B42"/>
    <w:rsid w:val="00C9475D"/>
    <w:rsid w:val="00C95056"/>
    <w:rsid w:val="00C951FD"/>
    <w:rsid w:val="00CA7F28"/>
    <w:rsid w:val="00CB0768"/>
    <w:rsid w:val="00CB131F"/>
    <w:rsid w:val="00CB2E25"/>
    <w:rsid w:val="00CB4DCD"/>
    <w:rsid w:val="00CB4F2D"/>
    <w:rsid w:val="00CC1690"/>
    <w:rsid w:val="00CC665A"/>
    <w:rsid w:val="00CE04A0"/>
    <w:rsid w:val="00CE34DC"/>
    <w:rsid w:val="00CE54DA"/>
    <w:rsid w:val="00CF1895"/>
    <w:rsid w:val="00D05D97"/>
    <w:rsid w:val="00D07FB4"/>
    <w:rsid w:val="00D21FA8"/>
    <w:rsid w:val="00D236B7"/>
    <w:rsid w:val="00D23E48"/>
    <w:rsid w:val="00D244BE"/>
    <w:rsid w:val="00D43096"/>
    <w:rsid w:val="00D46AB2"/>
    <w:rsid w:val="00D47815"/>
    <w:rsid w:val="00D656EB"/>
    <w:rsid w:val="00D71271"/>
    <w:rsid w:val="00D771FD"/>
    <w:rsid w:val="00D7796D"/>
    <w:rsid w:val="00D81B18"/>
    <w:rsid w:val="00D83541"/>
    <w:rsid w:val="00D93A16"/>
    <w:rsid w:val="00D9496D"/>
    <w:rsid w:val="00DA0768"/>
    <w:rsid w:val="00DA161A"/>
    <w:rsid w:val="00DA5A94"/>
    <w:rsid w:val="00DA64AE"/>
    <w:rsid w:val="00DB2355"/>
    <w:rsid w:val="00DB3BB4"/>
    <w:rsid w:val="00DC0F02"/>
    <w:rsid w:val="00DC0F8D"/>
    <w:rsid w:val="00DC2284"/>
    <w:rsid w:val="00DC3CA4"/>
    <w:rsid w:val="00DD13C4"/>
    <w:rsid w:val="00DE1C0E"/>
    <w:rsid w:val="00DE4578"/>
    <w:rsid w:val="00DF04EE"/>
    <w:rsid w:val="00DF3E35"/>
    <w:rsid w:val="00DF4AD6"/>
    <w:rsid w:val="00E03ED5"/>
    <w:rsid w:val="00E06243"/>
    <w:rsid w:val="00E07169"/>
    <w:rsid w:val="00E162A4"/>
    <w:rsid w:val="00E1688C"/>
    <w:rsid w:val="00E2098D"/>
    <w:rsid w:val="00E22665"/>
    <w:rsid w:val="00E30499"/>
    <w:rsid w:val="00E30B51"/>
    <w:rsid w:val="00E324BB"/>
    <w:rsid w:val="00E35D72"/>
    <w:rsid w:val="00E377E8"/>
    <w:rsid w:val="00E43464"/>
    <w:rsid w:val="00E47A69"/>
    <w:rsid w:val="00E571BB"/>
    <w:rsid w:val="00E74435"/>
    <w:rsid w:val="00E758AD"/>
    <w:rsid w:val="00E7797F"/>
    <w:rsid w:val="00E77D4E"/>
    <w:rsid w:val="00E91860"/>
    <w:rsid w:val="00E954B7"/>
    <w:rsid w:val="00E964A2"/>
    <w:rsid w:val="00E96FDB"/>
    <w:rsid w:val="00EA107B"/>
    <w:rsid w:val="00EB4A21"/>
    <w:rsid w:val="00EB6D31"/>
    <w:rsid w:val="00EC06CC"/>
    <w:rsid w:val="00EC16F1"/>
    <w:rsid w:val="00ED05D6"/>
    <w:rsid w:val="00ED0C6F"/>
    <w:rsid w:val="00ED2FCC"/>
    <w:rsid w:val="00EE5F75"/>
    <w:rsid w:val="00EF0770"/>
    <w:rsid w:val="00EF2722"/>
    <w:rsid w:val="00EF4FAE"/>
    <w:rsid w:val="00EF6805"/>
    <w:rsid w:val="00F00508"/>
    <w:rsid w:val="00F0184B"/>
    <w:rsid w:val="00F01E52"/>
    <w:rsid w:val="00F042DC"/>
    <w:rsid w:val="00F04309"/>
    <w:rsid w:val="00F07099"/>
    <w:rsid w:val="00F105EA"/>
    <w:rsid w:val="00F11117"/>
    <w:rsid w:val="00F12541"/>
    <w:rsid w:val="00F22035"/>
    <w:rsid w:val="00F22D18"/>
    <w:rsid w:val="00F24D2C"/>
    <w:rsid w:val="00F2557D"/>
    <w:rsid w:val="00F36C87"/>
    <w:rsid w:val="00F46927"/>
    <w:rsid w:val="00F55854"/>
    <w:rsid w:val="00F56813"/>
    <w:rsid w:val="00F70110"/>
    <w:rsid w:val="00F711DA"/>
    <w:rsid w:val="00F72C93"/>
    <w:rsid w:val="00F80A88"/>
    <w:rsid w:val="00F823F5"/>
    <w:rsid w:val="00F9170D"/>
    <w:rsid w:val="00F94368"/>
    <w:rsid w:val="00F9494C"/>
    <w:rsid w:val="00F96B6C"/>
    <w:rsid w:val="00FA15C8"/>
    <w:rsid w:val="00FA2D86"/>
    <w:rsid w:val="00FA348C"/>
    <w:rsid w:val="00FB0AD8"/>
    <w:rsid w:val="00FB1B02"/>
    <w:rsid w:val="00FB4DBB"/>
    <w:rsid w:val="00FC161B"/>
    <w:rsid w:val="00FC38F0"/>
    <w:rsid w:val="00FD0474"/>
    <w:rsid w:val="00FE2C17"/>
    <w:rsid w:val="00FF0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toc 1" w:uiPriority="39"/>
    <w:lsdException w:name="toc 2" w:uiPriority="39"/>
    <w:lsdException w:name="toc 3" w:uiPriority="39"/>
    <w:lsdException w:name="footer" w:uiPriority="99"/>
    <w:lsdException w:name="Default Paragraph Font" w:uiPriority="1"/>
    <w:lsdException w:name="Hyperlink"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32D10"/>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semiHidden/>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qFormat/>
    <w:rsid w:val="00DC0F02"/>
    <w:pPr>
      <w:numPr>
        <w:numId w:val="36"/>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38"/>
      </w:numPr>
      <w:tabs>
        <w:tab w:val="clear" w:pos="567"/>
      </w:tabs>
      <w:spacing w:line="300" w:lineRule="atLeast"/>
    </w:pPr>
    <w:rPr>
      <w:szCs w:val="20"/>
    </w:rPr>
  </w:style>
  <w:style w:type="paragraph" w:customStyle="1" w:styleId="CGCNumberedPara">
    <w:name w:val="CGC Numbered Para"/>
    <w:aliases w:val="CGC Para No"/>
    <w:basedOn w:val="Normal"/>
    <w:qFormat/>
    <w:rsid w:val="00622669"/>
    <w:pPr>
      <w:numPr>
        <w:ilvl w:val="1"/>
        <w:numId w:val="37"/>
      </w:numPr>
      <w:spacing w:before="120"/>
    </w:pPr>
    <w:rPr>
      <w:szCs w:val="24"/>
    </w:rPr>
  </w:style>
  <w:style w:type="paragraph" w:customStyle="1" w:styleId="CGCQuotation">
    <w:name w:val="CGC Quotation"/>
    <w:basedOn w:val="Normal"/>
    <w:next w:val="CGCNumberedPara"/>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qFormat/>
    <w:rsid w:val="00C21EF9"/>
    <w:pPr>
      <w:numPr>
        <w:numId w:val="39"/>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40"/>
      </w:numPr>
      <w:ind w:right="1134"/>
    </w:pPr>
    <w:rPr>
      <w:sz w:val="22"/>
    </w:rPr>
  </w:style>
  <w:style w:type="paragraph" w:customStyle="1" w:styleId="CGCTableFootnote">
    <w:name w:val="CGC Table Footnote"/>
    <w:basedOn w:val="CGCNumberedPara"/>
    <w:next w:val="NoSpacing"/>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rsid w:val="00765BA8"/>
    <w:rPr>
      <w:vertAlign w:val="superscript"/>
    </w:rPr>
  </w:style>
  <w:style w:type="paragraph" w:styleId="FootnoteText">
    <w:name w:val="footnote text"/>
    <w:basedOn w:val="Normal"/>
    <w:link w:val="FootnoteTextChar"/>
    <w:rsid w:val="00622669"/>
    <w:pPr>
      <w:spacing w:after="0" w:line="240" w:lineRule="auto"/>
      <w:ind w:left="567" w:hanging="567"/>
    </w:pPr>
    <w:rPr>
      <w:sz w:val="20"/>
      <w:szCs w:val="20"/>
    </w:rPr>
  </w:style>
  <w:style w:type="paragraph" w:styleId="Header">
    <w:name w:val="header"/>
    <w:basedOn w:val="Normal"/>
    <w:link w:val="HeaderChar"/>
    <w:unhideWhenUsed/>
    <w:rsid w:val="00622669"/>
    <w:pPr>
      <w:tabs>
        <w:tab w:val="clear" w:pos="567"/>
        <w:tab w:val="center" w:pos="4513"/>
        <w:tab w:val="right" w:pos="9026"/>
      </w:tabs>
      <w:spacing w:after="0" w:line="240" w:lineRule="auto"/>
    </w:p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DE1C0E"/>
    <w:pPr>
      <w:tabs>
        <w:tab w:val="clear" w:pos="567"/>
        <w:tab w:val="right" w:pos="8942"/>
      </w:tabs>
      <w:spacing w:after="0"/>
      <w:ind w:left="284"/>
    </w:pPr>
    <w:rPr>
      <w:szCs w:val="20"/>
    </w:rPr>
  </w:style>
  <w:style w:type="paragraph" w:styleId="TOC3">
    <w:name w:val="toc 3"/>
    <w:basedOn w:val="Normal"/>
    <w:next w:val="Normal"/>
    <w:uiPriority w:val="39"/>
    <w:rsid w:val="00DE1C0E"/>
    <w:pPr>
      <w:tabs>
        <w:tab w:val="clear" w:pos="567"/>
        <w:tab w:val="right" w:pos="8942"/>
      </w:tabs>
      <w:spacing w:after="0"/>
      <w:ind w:left="567"/>
    </w:pPr>
    <w:rPr>
      <w:iCs/>
    </w:rPr>
  </w:style>
  <w:style w:type="paragraph" w:styleId="TOC4">
    <w:name w:val="toc 4"/>
    <w:basedOn w:val="Normal"/>
    <w:next w:val="Normal"/>
    <w:rsid w:val="00996409"/>
    <w:pPr>
      <w:tabs>
        <w:tab w:val="clear" w:pos="567"/>
        <w:tab w:val="right" w:pos="8942"/>
      </w:tabs>
      <w:spacing w:after="0"/>
      <w:ind w:left="1134"/>
    </w:p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semiHidden/>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toc 1" w:uiPriority="39"/>
    <w:lsdException w:name="toc 2" w:uiPriority="39"/>
    <w:lsdException w:name="toc 3" w:uiPriority="39"/>
    <w:lsdException w:name="footer" w:uiPriority="99"/>
    <w:lsdException w:name="Default Paragraph Font" w:uiPriority="1"/>
    <w:lsdException w:name="Hyperlink"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32D10"/>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semiHidden/>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qFormat/>
    <w:rsid w:val="00DC0F02"/>
    <w:pPr>
      <w:numPr>
        <w:numId w:val="36"/>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38"/>
      </w:numPr>
      <w:tabs>
        <w:tab w:val="clear" w:pos="567"/>
      </w:tabs>
      <w:spacing w:line="300" w:lineRule="atLeast"/>
    </w:pPr>
    <w:rPr>
      <w:szCs w:val="20"/>
    </w:rPr>
  </w:style>
  <w:style w:type="paragraph" w:customStyle="1" w:styleId="CGCNumberedPara">
    <w:name w:val="CGC Numbered Para"/>
    <w:aliases w:val="CGC Para No"/>
    <w:basedOn w:val="Normal"/>
    <w:qFormat/>
    <w:rsid w:val="00622669"/>
    <w:pPr>
      <w:numPr>
        <w:ilvl w:val="1"/>
        <w:numId w:val="37"/>
      </w:numPr>
      <w:spacing w:before="120"/>
    </w:pPr>
    <w:rPr>
      <w:szCs w:val="24"/>
    </w:rPr>
  </w:style>
  <w:style w:type="paragraph" w:customStyle="1" w:styleId="CGCQuotation">
    <w:name w:val="CGC Quotation"/>
    <w:basedOn w:val="Normal"/>
    <w:next w:val="CGCNumberedPara"/>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qFormat/>
    <w:rsid w:val="00C21EF9"/>
    <w:pPr>
      <w:numPr>
        <w:numId w:val="39"/>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40"/>
      </w:numPr>
      <w:ind w:right="1134"/>
    </w:pPr>
    <w:rPr>
      <w:sz w:val="22"/>
    </w:rPr>
  </w:style>
  <w:style w:type="paragraph" w:customStyle="1" w:styleId="CGCTableFootnote">
    <w:name w:val="CGC Table Footnote"/>
    <w:basedOn w:val="CGCNumberedPara"/>
    <w:next w:val="NoSpacing"/>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rsid w:val="00765BA8"/>
    <w:rPr>
      <w:vertAlign w:val="superscript"/>
    </w:rPr>
  </w:style>
  <w:style w:type="paragraph" w:styleId="FootnoteText">
    <w:name w:val="footnote text"/>
    <w:basedOn w:val="Normal"/>
    <w:link w:val="FootnoteTextChar"/>
    <w:rsid w:val="00622669"/>
    <w:pPr>
      <w:spacing w:after="0" w:line="240" w:lineRule="auto"/>
      <w:ind w:left="567" w:hanging="567"/>
    </w:pPr>
    <w:rPr>
      <w:sz w:val="20"/>
      <w:szCs w:val="20"/>
    </w:rPr>
  </w:style>
  <w:style w:type="paragraph" w:styleId="Header">
    <w:name w:val="header"/>
    <w:basedOn w:val="Normal"/>
    <w:link w:val="HeaderChar"/>
    <w:unhideWhenUsed/>
    <w:rsid w:val="00622669"/>
    <w:pPr>
      <w:tabs>
        <w:tab w:val="clear" w:pos="567"/>
        <w:tab w:val="center" w:pos="4513"/>
        <w:tab w:val="right" w:pos="9026"/>
      </w:tabs>
      <w:spacing w:after="0" w:line="240" w:lineRule="auto"/>
    </w:p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DE1C0E"/>
    <w:pPr>
      <w:tabs>
        <w:tab w:val="clear" w:pos="567"/>
        <w:tab w:val="right" w:pos="8942"/>
      </w:tabs>
      <w:spacing w:after="0"/>
      <w:ind w:left="284"/>
    </w:pPr>
    <w:rPr>
      <w:szCs w:val="20"/>
    </w:rPr>
  </w:style>
  <w:style w:type="paragraph" w:styleId="TOC3">
    <w:name w:val="toc 3"/>
    <w:basedOn w:val="Normal"/>
    <w:next w:val="Normal"/>
    <w:uiPriority w:val="39"/>
    <w:rsid w:val="00DE1C0E"/>
    <w:pPr>
      <w:tabs>
        <w:tab w:val="clear" w:pos="567"/>
        <w:tab w:val="right" w:pos="8942"/>
      </w:tabs>
      <w:spacing w:after="0"/>
      <w:ind w:left="567"/>
    </w:pPr>
    <w:rPr>
      <w:iCs/>
    </w:rPr>
  </w:style>
  <w:style w:type="paragraph" w:styleId="TOC4">
    <w:name w:val="toc 4"/>
    <w:basedOn w:val="Normal"/>
    <w:next w:val="Normal"/>
    <w:rsid w:val="00996409"/>
    <w:pPr>
      <w:tabs>
        <w:tab w:val="clear" w:pos="567"/>
        <w:tab w:val="right" w:pos="8942"/>
      </w:tabs>
      <w:spacing w:after="0"/>
      <w:ind w:left="1134"/>
    </w:p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semiHidden/>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7343">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908422560">
      <w:bodyDiv w:val="1"/>
      <w:marLeft w:val="0"/>
      <w:marRight w:val="0"/>
      <w:marTop w:val="0"/>
      <w:marBottom w:val="0"/>
      <w:divBdr>
        <w:top w:val="none" w:sz="0" w:space="0" w:color="auto"/>
        <w:left w:val="none" w:sz="0" w:space="0" w:color="auto"/>
        <w:bottom w:val="none" w:sz="0" w:space="0" w:color="auto"/>
        <w:right w:val="none" w:sz="0" w:space="0" w:color="auto"/>
      </w:divBdr>
    </w:div>
    <w:div w:id="984940742">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292899116">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96360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reativecommons.org/licenses/by/3.0" TargetMode="External"/><Relationship Id="rId25" Type="http://schemas.openxmlformats.org/officeDocument/2006/relationships/image" Target="media/image5.emf"/><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gcna01\ODrive\Word%20Templates\Official%20Template\Document%20Templates\Agenda%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7570F-893B-4B25-960B-0DF60E08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761</TotalTime>
  <Pages>20</Pages>
  <Words>4344</Words>
  <Characters>24561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vt:lpstr>
    </vt:vector>
  </TitlesOfParts>
  <Company>Hewlett-Packard Company</Company>
  <LinksUpToDate>false</LinksUpToDate>
  <CharactersWithSpaces>28848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Dermot Doherty</dc:creator>
  <cp:lastModifiedBy>Dermot Doherty</cp:lastModifiedBy>
  <cp:revision>40</cp:revision>
  <cp:lastPrinted>2017-05-12T01:16:00Z</cp:lastPrinted>
  <dcterms:created xsi:type="dcterms:W3CDTF">2017-05-03T22:52:00Z</dcterms:created>
  <dcterms:modified xsi:type="dcterms:W3CDTF">2017-05-12T04:41:00Z</dcterms:modified>
</cp:coreProperties>
</file>