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7A628" w14:textId="77777777" w:rsidR="00F41051" w:rsidRDefault="00F41051">
      <w:pPr>
        <w:tabs>
          <w:tab w:val="clear" w:pos="567"/>
        </w:tabs>
        <w:spacing w:after="200" w:line="276" w:lineRule="auto"/>
      </w:pPr>
      <w:bookmarkStart w:id="0" w:name="_Toc106707122"/>
      <w:bookmarkStart w:id="1" w:name="_Toc155675722"/>
      <w:bookmarkStart w:id="2" w:name="_Toc155675934"/>
      <w:bookmarkStart w:id="3" w:name="_Toc155675975"/>
      <w:bookmarkStart w:id="4" w:name="_Toc155676245"/>
      <w:bookmarkStart w:id="5" w:name="_Toc174415768"/>
      <w:bookmarkStart w:id="6" w:name="_GoBack"/>
      <w:bookmarkEnd w:id="6"/>
    </w:p>
    <w:p w14:paraId="75EE26F7" w14:textId="77777777" w:rsidR="00407BAD" w:rsidRPr="00970E6D" w:rsidRDefault="00407BAD" w:rsidP="00407BAD">
      <w:pPr>
        <w:tabs>
          <w:tab w:val="clear" w:pos="567"/>
        </w:tabs>
        <w:jc w:val="center"/>
        <w:rPr>
          <w:b/>
          <w:bCs/>
        </w:rPr>
      </w:pPr>
      <w:r w:rsidRPr="00970E6D">
        <w:rPr>
          <w:noProof/>
          <w:lang w:eastAsia="en-AU"/>
        </w:rPr>
        <w:drawing>
          <wp:inline distT="0" distB="0" distL="0" distR="0" wp14:anchorId="2EB20102" wp14:editId="7DDD6A89">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4C59DB26" w14:textId="77777777" w:rsidR="00407BAD" w:rsidRPr="00970E6D" w:rsidRDefault="00407BAD" w:rsidP="00407BAD">
      <w:pPr>
        <w:tabs>
          <w:tab w:val="clear" w:pos="567"/>
        </w:tabs>
        <w:jc w:val="center"/>
        <w:rPr>
          <w:b/>
          <w:sz w:val="40"/>
          <w:szCs w:val="40"/>
        </w:rPr>
      </w:pPr>
    </w:p>
    <w:p w14:paraId="2E391FBE" w14:textId="77777777" w:rsidR="00407BAD" w:rsidRPr="00970E6D" w:rsidRDefault="00407BAD" w:rsidP="00407BAD">
      <w:pPr>
        <w:tabs>
          <w:tab w:val="clear" w:pos="567"/>
        </w:tabs>
        <w:jc w:val="center"/>
        <w:rPr>
          <w:b/>
          <w:sz w:val="40"/>
          <w:szCs w:val="40"/>
        </w:rPr>
      </w:pPr>
    </w:p>
    <w:p w14:paraId="608374D1" w14:textId="77777777" w:rsidR="00407BAD" w:rsidRPr="00970E6D" w:rsidRDefault="00407BAD" w:rsidP="00407BAD">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2E2569FE" w14:textId="77777777" w:rsidR="00407BAD" w:rsidRPr="00970E6D" w:rsidRDefault="00407BAD" w:rsidP="00407BAD">
      <w:pPr>
        <w:tabs>
          <w:tab w:val="clear" w:pos="567"/>
        </w:tabs>
        <w:jc w:val="center"/>
        <w:rPr>
          <w:b/>
          <w:sz w:val="40"/>
          <w:szCs w:val="40"/>
        </w:rPr>
      </w:pPr>
    </w:p>
    <w:p w14:paraId="6C5FF69C" w14:textId="77777777" w:rsidR="00407BAD" w:rsidRPr="00970E6D" w:rsidRDefault="00407BAD" w:rsidP="00407BAD">
      <w:pPr>
        <w:tabs>
          <w:tab w:val="clear" w:pos="567"/>
        </w:tabs>
        <w:jc w:val="center"/>
        <w:rPr>
          <w:b/>
          <w:sz w:val="40"/>
          <w:szCs w:val="40"/>
        </w:rPr>
      </w:pPr>
    </w:p>
    <w:p w14:paraId="3884A77F" w14:textId="77777777" w:rsidR="00407BAD" w:rsidRPr="00970E6D" w:rsidRDefault="00407BAD" w:rsidP="00407BAD">
      <w:pPr>
        <w:tabs>
          <w:tab w:val="clear" w:pos="567"/>
        </w:tabs>
        <w:jc w:val="center"/>
        <w:rPr>
          <w:b/>
          <w:sz w:val="40"/>
          <w:szCs w:val="40"/>
        </w:rPr>
      </w:pPr>
    </w:p>
    <w:p w14:paraId="541A9178" w14:textId="77777777" w:rsidR="00407BAD" w:rsidRPr="00970E6D" w:rsidRDefault="00407BAD" w:rsidP="00407BAD">
      <w:pPr>
        <w:tabs>
          <w:tab w:val="clear" w:pos="567"/>
        </w:tabs>
        <w:jc w:val="center"/>
        <w:rPr>
          <w:b/>
          <w:sz w:val="40"/>
          <w:szCs w:val="40"/>
        </w:rPr>
      </w:pPr>
    </w:p>
    <w:p w14:paraId="1A4B9CBC" w14:textId="77777777" w:rsidR="00407BAD" w:rsidRPr="00970E6D" w:rsidRDefault="00407BAD" w:rsidP="00407BAD">
      <w:pPr>
        <w:tabs>
          <w:tab w:val="clear" w:pos="567"/>
        </w:tabs>
        <w:jc w:val="center"/>
        <w:rPr>
          <w:bCs/>
          <w:sz w:val="40"/>
          <w:szCs w:val="40"/>
        </w:rPr>
      </w:pPr>
      <w:r>
        <w:rPr>
          <w:b/>
          <w:sz w:val="40"/>
          <w:szCs w:val="40"/>
        </w:rPr>
        <w:t>HOUSING</w:t>
      </w:r>
    </w:p>
    <w:p w14:paraId="61C8A09A" w14:textId="77777777" w:rsidR="00407BAD" w:rsidRPr="00970E6D" w:rsidRDefault="00407BAD" w:rsidP="00407BAD">
      <w:pPr>
        <w:tabs>
          <w:tab w:val="clear" w:pos="567"/>
        </w:tabs>
        <w:jc w:val="center"/>
        <w:rPr>
          <w:b/>
          <w:sz w:val="40"/>
          <w:szCs w:val="40"/>
        </w:rPr>
      </w:pPr>
    </w:p>
    <w:p w14:paraId="68C618A6" w14:textId="77777777" w:rsidR="00407BAD" w:rsidRPr="00970E6D" w:rsidRDefault="00407BAD" w:rsidP="00407BAD">
      <w:pPr>
        <w:tabs>
          <w:tab w:val="clear" w:pos="567"/>
        </w:tabs>
        <w:jc w:val="center"/>
        <w:rPr>
          <w:b/>
          <w:sz w:val="40"/>
          <w:szCs w:val="40"/>
        </w:rPr>
      </w:pPr>
    </w:p>
    <w:p w14:paraId="12AC76F1" w14:textId="77777777" w:rsidR="00407BAD" w:rsidRPr="00970E6D" w:rsidRDefault="00407BAD" w:rsidP="00407BAD">
      <w:pPr>
        <w:tabs>
          <w:tab w:val="clear" w:pos="567"/>
        </w:tabs>
        <w:jc w:val="center"/>
        <w:rPr>
          <w:b/>
          <w:sz w:val="40"/>
          <w:szCs w:val="40"/>
        </w:rPr>
      </w:pPr>
    </w:p>
    <w:p w14:paraId="7D5BBED5" w14:textId="77777777" w:rsidR="00407BAD" w:rsidRPr="00970E6D" w:rsidRDefault="00407BAD" w:rsidP="00407BAD">
      <w:pPr>
        <w:tabs>
          <w:tab w:val="clear" w:pos="567"/>
        </w:tabs>
        <w:jc w:val="center"/>
        <w:rPr>
          <w:b/>
          <w:sz w:val="40"/>
          <w:szCs w:val="40"/>
        </w:rPr>
      </w:pPr>
    </w:p>
    <w:p w14:paraId="43B4F5ED" w14:textId="77777777" w:rsidR="00407BAD" w:rsidRPr="00970E6D" w:rsidRDefault="0049514A" w:rsidP="00407BAD">
      <w:pPr>
        <w:tabs>
          <w:tab w:val="clear" w:pos="567"/>
        </w:tabs>
        <w:jc w:val="center"/>
        <w:rPr>
          <w:b/>
          <w:sz w:val="40"/>
          <w:szCs w:val="40"/>
        </w:rPr>
      </w:pPr>
      <w:r>
        <w:rPr>
          <w:b/>
          <w:sz w:val="40"/>
          <w:szCs w:val="40"/>
        </w:rPr>
        <w:t xml:space="preserve">STAFF </w:t>
      </w:r>
      <w:r w:rsidR="00407BAD">
        <w:rPr>
          <w:b/>
          <w:sz w:val="40"/>
          <w:szCs w:val="40"/>
        </w:rPr>
        <w:t>DRAFT ASSESSMENT PAPER</w:t>
      </w:r>
      <w:r w:rsidR="00407BAD">
        <w:rPr>
          <w:b/>
          <w:sz w:val="40"/>
          <w:szCs w:val="40"/>
        </w:rPr>
        <w:br/>
        <w:t>CGC 20</w:t>
      </w:r>
      <w:r w:rsidR="00407BAD" w:rsidRPr="00970E6D">
        <w:rPr>
          <w:b/>
          <w:sz w:val="40"/>
          <w:szCs w:val="40"/>
        </w:rPr>
        <w:t>1</w:t>
      </w:r>
      <w:r w:rsidR="00407BAD">
        <w:rPr>
          <w:b/>
          <w:sz w:val="40"/>
          <w:szCs w:val="40"/>
        </w:rPr>
        <w:t>8</w:t>
      </w:r>
      <w:r w:rsidR="00407BAD" w:rsidRPr="00970E6D">
        <w:rPr>
          <w:b/>
          <w:sz w:val="40"/>
          <w:szCs w:val="40"/>
        </w:rPr>
        <w:t>-</w:t>
      </w:r>
      <w:r w:rsidR="00407BAD">
        <w:rPr>
          <w:b/>
          <w:sz w:val="40"/>
          <w:szCs w:val="40"/>
        </w:rPr>
        <w:t>01/1</w:t>
      </w:r>
      <w:r w:rsidR="003B2DEE">
        <w:rPr>
          <w:b/>
          <w:sz w:val="40"/>
          <w:szCs w:val="40"/>
        </w:rPr>
        <w:t>4</w:t>
      </w:r>
      <w:r w:rsidR="00407BAD">
        <w:rPr>
          <w:b/>
          <w:sz w:val="40"/>
          <w:szCs w:val="40"/>
        </w:rPr>
        <w:t>-S</w:t>
      </w:r>
    </w:p>
    <w:p w14:paraId="104B6B61" w14:textId="77777777" w:rsidR="00407BAD" w:rsidRPr="00970E6D" w:rsidRDefault="00407BAD" w:rsidP="00407BAD">
      <w:pPr>
        <w:tabs>
          <w:tab w:val="clear" w:pos="567"/>
        </w:tabs>
        <w:jc w:val="center"/>
        <w:rPr>
          <w:b/>
          <w:sz w:val="40"/>
          <w:szCs w:val="40"/>
        </w:rPr>
      </w:pPr>
    </w:p>
    <w:p w14:paraId="38631964" w14:textId="77777777" w:rsidR="00407BAD" w:rsidRPr="00970E6D" w:rsidRDefault="00407BAD" w:rsidP="00407BAD">
      <w:pPr>
        <w:tabs>
          <w:tab w:val="clear" w:pos="567"/>
        </w:tabs>
        <w:jc w:val="center"/>
        <w:rPr>
          <w:b/>
          <w:sz w:val="40"/>
          <w:szCs w:val="40"/>
        </w:rPr>
      </w:pPr>
    </w:p>
    <w:p w14:paraId="4CD1F129" w14:textId="77777777" w:rsidR="00407BAD" w:rsidRPr="00970E6D" w:rsidRDefault="00407BAD" w:rsidP="00407BAD">
      <w:pPr>
        <w:tabs>
          <w:tab w:val="clear" w:pos="567"/>
        </w:tabs>
        <w:jc w:val="center"/>
        <w:rPr>
          <w:sz w:val="40"/>
          <w:szCs w:val="40"/>
        </w:rPr>
      </w:pPr>
    </w:p>
    <w:p w14:paraId="2D1D97F3" w14:textId="77777777" w:rsidR="00407BAD" w:rsidRPr="00970E6D" w:rsidRDefault="00407BAD" w:rsidP="00407BAD">
      <w:pPr>
        <w:tabs>
          <w:tab w:val="clear" w:pos="567"/>
        </w:tabs>
        <w:jc w:val="right"/>
        <w:rPr>
          <w:b/>
          <w:sz w:val="28"/>
          <w:szCs w:val="28"/>
        </w:rPr>
      </w:pPr>
      <w:r>
        <w:rPr>
          <w:b/>
          <w:sz w:val="28"/>
          <w:szCs w:val="28"/>
        </w:rPr>
        <w:t>APRIL 2018</w:t>
      </w:r>
    </w:p>
    <w:p w14:paraId="635B07E3" w14:textId="77777777" w:rsidR="00407BAD" w:rsidRPr="00970E6D" w:rsidRDefault="00407BAD" w:rsidP="00407BAD">
      <w:pPr>
        <w:tabs>
          <w:tab w:val="clear" w:pos="567"/>
        </w:tabs>
      </w:pPr>
    </w:p>
    <w:p w14:paraId="364A7BAA" w14:textId="77777777" w:rsidR="00407BAD" w:rsidRPr="00970E6D" w:rsidRDefault="00407BAD" w:rsidP="00407BAD">
      <w:pPr>
        <w:tabs>
          <w:tab w:val="clear" w:pos="567"/>
        </w:tabs>
        <w:sectPr w:rsidR="00407BAD" w:rsidRPr="00970E6D" w:rsidSect="00407BAD">
          <w:footerReference w:type="default" r:id="rId8"/>
          <w:footerReference w:type="first" r:id="rId9"/>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294883" w:rsidRPr="00970E6D" w14:paraId="2338FBCE" w14:textId="77777777" w:rsidTr="00407BAD">
        <w:tc>
          <w:tcPr>
            <w:tcW w:w="1605" w:type="pct"/>
            <w:tcBorders>
              <w:top w:val="single" w:sz="4" w:space="0" w:color="auto"/>
              <w:left w:val="single" w:sz="4" w:space="0" w:color="auto"/>
              <w:bottom w:val="single" w:sz="4" w:space="0" w:color="auto"/>
              <w:right w:val="single" w:sz="4" w:space="0" w:color="auto"/>
            </w:tcBorders>
          </w:tcPr>
          <w:p w14:paraId="6276E752" w14:textId="77777777" w:rsidR="00294883" w:rsidRPr="00970E6D" w:rsidRDefault="00294883" w:rsidP="00407BAD">
            <w:pPr>
              <w:tabs>
                <w:tab w:val="clear" w:pos="567"/>
              </w:tabs>
            </w:pPr>
            <w:r>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14:paraId="06952855" w14:textId="77777777" w:rsidR="00294883" w:rsidRDefault="00294883" w:rsidP="00407BAD">
            <w:pPr>
              <w:tabs>
                <w:tab w:val="clear" w:pos="567"/>
              </w:tabs>
            </w:pPr>
            <w:r>
              <w:t>20 April 2018</w:t>
            </w:r>
          </w:p>
        </w:tc>
      </w:tr>
      <w:tr w:rsidR="00407BAD" w:rsidRPr="00970E6D" w14:paraId="170896B5" w14:textId="77777777" w:rsidTr="00407BAD">
        <w:tc>
          <w:tcPr>
            <w:tcW w:w="1605" w:type="pct"/>
            <w:tcBorders>
              <w:top w:val="single" w:sz="4" w:space="0" w:color="auto"/>
              <w:left w:val="single" w:sz="4" w:space="0" w:color="auto"/>
              <w:bottom w:val="single" w:sz="4" w:space="0" w:color="auto"/>
              <w:right w:val="single" w:sz="4" w:space="0" w:color="auto"/>
            </w:tcBorders>
          </w:tcPr>
          <w:p w14:paraId="5C20C6C8" w14:textId="77777777" w:rsidR="00407BAD" w:rsidRPr="00970E6D" w:rsidRDefault="00407BAD" w:rsidP="00407BAD">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7076C24A" w14:textId="77777777" w:rsidR="00407BAD" w:rsidRPr="00970E6D" w:rsidRDefault="00407BAD" w:rsidP="00407BAD">
            <w:pPr>
              <w:tabs>
                <w:tab w:val="clear" w:pos="567"/>
              </w:tabs>
            </w:pPr>
            <w:r>
              <w:t>Robert Walters</w:t>
            </w:r>
            <w:r w:rsidRPr="00970E6D">
              <w:t xml:space="preserve">, </w:t>
            </w:r>
            <w:r>
              <w:t>02 6229 8866</w:t>
            </w:r>
            <w:r w:rsidRPr="00970E6D">
              <w:t xml:space="preserve">, </w:t>
            </w:r>
            <w:r>
              <w:t>robert.walters@cgc.gov.au</w:t>
            </w:r>
          </w:p>
        </w:tc>
      </w:tr>
      <w:tr w:rsidR="00407BAD" w:rsidRPr="00970E6D" w14:paraId="7101B717" w14:textId="77777777" w:rsidTr="00407BAD">
        <w:tc>
          <w:tcPr>
            <w:tcW w:w="1605" w:type="pct"/>
            <w:tcBorders>
              <w:top w:val="single" w:sz="4" w:space="0" w:color="auto"/>
              <w:left w:val="single" w:sz="4" w:space="0" w:color="auto"/>
              <w:bottom w:val="single" w:sz="4" w:space="0" w:color="auto"/>
              <w:right w:val="single" w:sz="4" w:space="0" w:color="auto"/>
            </w:tcBorders>
          </w:tcPr>
          <w:p w14:paraId="3F8A611D" w14:textId="77777777" w:rsidR="00407BAD" w:rsidRPr="00970E6D" w:rsidRDefault="00407BAD" w:rsidP="00407BAD">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3ABC7AB0" w14:textId="77777777" w:rsidR="00294883" w:rsidRDefault="00294883" w:rsidP="00407BAD">
            <w:pPr>
              <w:tabs>
                <w:tab w:val="clear" w:pos="567"/>
              </w:tabs>
            </w:pPr>
            <w:r>
              <w:t>31 August 2018</w:t>
            </w:r>
            <w:r w:rsidR="00C67814">
              <w:t xml:space="preserve">. </w:t>
            </w:r>
          </w:p>
          <w:p w14:paraId="6BBB9404" w14:textId="11B75E9F" w:rsidR="00407BAD" w:rsidRPr="00970E6D" w:rsidRDefault="00407BAD" w:rsidP="00407BAD">
            <w:pPr>
              <w:tabs>
                <w:tab w:val="clear" w:pos="567"/>
              </w:tabs>
            </w:pPr>
            <w:r w:rsidRPr="00970E6D">
              <w:t xml:space="preserve">Submissions should be emailed in Word format to </w:t>
            </w:r>
            <w:hyperlink r:id="rId10" w:history="1">
              <w:r w:rsidRPr="00970E6D">
                <w:rPr>
                  <w:rStyle w:val="Hyperlink"/>
                </w:rPr>
                <w:t>secretary@cgc.gov.au</w:t>
              </w:r>
            </w:hyperlink>
            <w:r w:rsidRPr="00970E6D">
              <w:t>.</w:t>
            </w:r>
          </w:p>
          <w:p w14:paraId="162A54BE" w14:textId="77777777" w:rsidR="00407BAD" w:rsidRPr="00970E6D" w:rsidRDefault="00407BAD" w:rsidP="00407BAD">
            <w:pPr>
              <w:tabs>
                <w:tab w:val="clear" w:pos="567"/>
              </w:tabs>
            </w:pPr>
            <w:r w:rsidRPr="00970E6D">
              <w:t xml:space="preserve">Submissions of more than </w:t>
            </w:r>
            <w:r>
              <w:t>10</w:t>
            </w:r>
            <w:r w:rsidRPr="00970E6D">
              <w:t xml:space="preserve"> pages in length should include a summary section.</w:t>
            </w:r>
          </w:p>
        </w:tc>
      </w:tr>
      <w:tr w:rsidR="00407BAD" w:rsidRPr="00970E6D" w14:paraId="234BE0F3" w14:textId="77777777" w:rsidTr="00407BAD">
        <w:tc>
          <w:tcPr>
            <w:tcW w:w="1605" w:type="pct"/>
            <w:tcBorders>
              <w:top w:val="single" w:sz="4" w:space="0" w:color="auto"/>
              <w:left w:val="single" w:sz="4" w:space="0" w:color="auto"/>
              <w:bottom w:val="single" w:sz="4" w:space="0" w:color="auto"/>
              <w:right w:val="single" w:sz="4" w:space="0" w:color="auto"/>
            </w:tcBorders>
          </w:tcPr>
          <w:p w14:paraId="69D9E4CA" w14:textId="77777777" w:rsidR="00407BAD" w:rsidRPr="00970E6D" w:rsidRDefault="00407BAD" w:rsidP="00407BAD">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672B07E6" w14:textId="77777777" w:rsidR="00407BAD" w:rsidRPr="00CF1294" w:rsidRDefault="00294883" w:rsidP="00407BAD">
            <w:pPr>
              <w:tabs>
                <w:tab w:val="clear" w:pos="567"/>
              </w:tabs>
            </w:pPr>
            <w:r>
              <w:t>It is the C</w:t>
            </w:r>
            <w:r w:rsidR="00407BAD" w:rsidRPr="00CF1294">
              <w:t xml:space="preserve">ommission’s normal practice to make State submissions available on its website under the CC BY licence, allowing free use of content by third parties. </w:t>
            </w:r>
          </w:p>
          <w:p w14:paraId="78DAFFAF" w14:textId="77777777" w:rsidR="00407BAD" w:rsidRPr="00CF1294" w:rsidRDefault="00407BAD" w:rsidP="00407BAD">
            <w:pPr>
              <w:tabs>
                <w:tab w:val="clear" w:pos="567"/>
              </w:tabs>
            </w:pPr>
            <w:r w:rsidRPr="00CF1294">
              <w:rPr>
                <w:noProof/>
                <w:lang w:eastAsia="en-AU"/>
              </w:rPr>
              <w:drawing>
                <wp:inline distT="0" distB="0" distL="0" distR="0" wp14:anchorId="324D0E8B" wp14:editId="5133BF3D">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048FC374" w14:textId="28811CA6" w:rsidR="00407BAD" w:rsidRPr="00CF1294" w:rsidRDefault="00407BAD" w:rsidP="00407BAD">
            <w:pPr>
              <w:tabs>
                <w:tab w:val="clear" w:pos="567"/>
              </w:tabs>
            </w:pPr>
            <w:r w:rsidRPr="00CF1294">
              <w:t xml:space="preserve">Further information on the CC BY licence can be found </w:t>
            </w:r>
            <w:r w:rsidRPr="00EC79CF">
              <w:t xml:space="preserve">on the </w:t>
            </w:r>
            <w:hyperlink r:id="rId12"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1A49FBC1" w14:textId="77777777" w:rsidR="00407BAD" w:rsidRPr="00970E6D" w:rsidRDefault="00407BAD" w:rsidP="00294883">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294883">
              <w:t>C</w:t>
            </w:r>
            <w:r w:rsidRPr="00CF1294">
              <w:t>ommission’s website.</w:t>
            </w:r>
          </w:p>
        </w:tc>
      </w:tr>
    </w:tbl>
    <w:p w14:paraId="310188D8" w14:textId="77777777" w:rsidR="00407BAD" w:rsidRPr="00970E6D" w:rsidRDefault="00407BAD" w:rsidP="00407BAD">
      <w:pPr>
        <w:tabs>
          <w:tab w:val="clear" w:pos="567"/>
        </w:tabs>
        <w:sectPr w:rsidR="00407BAD" w:rsidRPr="00970E6D" w:rsidSect="00407BAD">
          <w:footerReference w:type="default" r:id="rId13"/>
          <w:headerReference w:type="first" r:id="rId14"/>
          <w:footerReference w:type="first" r:id="rId15"/>
          <w:pgSz w:w="11899" w:h="16838" w:code="9"/>
          <w:pgMar w:top="1701" w:right="1474" w:bottom="1701" w:left="1474" w:header="709" w:footer="709" w:gutter="0"/>
          <w:cols w:space="708"/>
          <w:vAlign w:val="bottom"/>
          <w:titlePg/>
          <w:docGrid w:linePitch="299"/>
        </w:sectPr>
      </w:pPr>
    </w:p>
    <w:p w14:paraId="22EB93A6" w14:textId="77777777" w:rsidR="00407BAD" w:rsidRPr="00970E6D" w:rsidRDefault="00407BAD" w:rsidP="00407BAD">
      <w:pPr>
        <w:pStyle w:val="Heading1"/>
      </w:pPr>
      <w:bookmarkStart w:id="7" w:name="_Toc505586300"/>
      <w:bookmarkStart w:id="8" w:name="_Toc505589909"/>
      <w:bookmarkStart w:id="9" w:name="_Toc505590092"/>
      <w:bookmarkStart w:id="10" w:name="_Toc505590833"/>
      <w:bookmarkStart w:id="11" w:name="_Toc505590915"/>
      <w:bookmarkStart w:id="12" w:name="_Toc505591155"/>
      <w:bookmarkStart w:id="13" w:name="_Toc506363214"/>
      <w:bookmarkStart w:id="14" w:name="_Toc507519904"/>
      <w:bookmarkStart w:id="15" w:name="_Toc511634830"/>
      <w:r w:rsidRPr="00970E6D">
        <w:lastRenderedPageBreak/>
        <w:t>C</w:t>
      </w:r>
      <w:bookmarkEnd w:id="0"/>
      <w:bookmarkEnd w:id="1"/>
      <w:bookmarkEnd w:id="2"/>
      <w:bookmarkEnd w:id="3"/>
      <w:bookmarkEnd w:id="4"/>
      <w:bookmarkEnd w:id="5"/>
      <w:r>
        <w:t>ontents</w:t>
      </w:r>
      <w:bookmarkEnd w:id="7"/>
      <w:bookmarkEnd w:id="8"/>
      <w:bookmarkEnd w:id="9"/>
      <w:bookmarkEnd w:id="10"/>
      <w:bookmarkEnd w:id="11"/>
      <w:bookmarkEnd w:id="12"/>
      <w:bookmarkEnd w:id="13"/>
      <w:bookmarkEnd w:id="14"/>
      <w:bookmarkEnd w:id="15"/>
    </w:p>
    <w:p w14:paraId="6383CF36" w14:textId="68FD5B6F" w:rsidR="00566C01" w:rsidRDefault="00DD3166">
      <w:pPr>
        <w:pStyle w:val="TOC1"/>
        <w:rPr>
          <w:rFonts w:eastAsiaTheme="minorEastAsia"/>
          <w:b w:val="0"/>
          <w:bCs w:val="0"/>
          <w:caps w:val="0"/>
          <w:noProof/>
          <w:sz w:val="22"/>
          <w:szCs w:val="22"/>
          <w:lang w:eastAsia="en-AU"/>
        </w:rPr>
      </w:pPr>
      <w:r>
        <w:rPr>
          <w:b w:val="0"/>
          <w:bCs w:val="0"/>
          <w:caps w:val="0"/>
        </w:rPr>
        <w:fldChar w:fldCharType="begin"/>
      </w:r>
      <w:r>
        <w:rPr>
          <w:b w:val="0"/>
          <w:bCs w:val="0"/>
          <w:caps w:val="0"/>
        </w:rPr>
        <w:instrText xml:space="preserve"> TOC \f \h \z \u \t "Heading 2,1,Heading 3,1,Heading 4,3" </w:instrText>
      </w:r>
      <w:r>
        <w:rPr>
          <w:b w:val="0"/>
          <w:bCs w:val="0"/>
          <w:caps w:val="0"/>
        </w:rPr>
        <w:fldChar w:fldCharType="separate"/>
      </w:r>
      <w:hyperlink w:anchor="_Toc511732222" w:history="1">
        <w:r w:rsidR="00566C01" w:rsidRPr="00A6694A">
          <w:rPr>
            <w:rStyle w:val="Hyperlink"/>
            <w:noProof/>
          </w:rPr>
          <w:t>HOUSING</w:t>
        </w:r>
        <w:r w:rsidR="00566C01">
          <w:rPr>
            <w:noProof/>
            <w:webHidden/>
          </w:rPr>
          <w:tab/>
        </w:r>
        <w:r w:rsidR="00566C01">
          <w:rPr>
            <w:noProof/>
            <w:webHidden/>
          </w:rPr>
          <w:fldChar w:fldCharType="begin"/>
        </w:r>
        <w:r w:rsidR="00566C01">
          <w:rPr>
            <w:noProof/>
            <w:webHidden/>
          </w:rPr>
          <w:instrText xml:space="preserve"> PAGEREF _Toc511732222 \h </w:instrText>
        </w:r>
        <w:r w:rsidR="00566C01">
          <w:rPr>
            <w:noProof/>
            <w:webHidden/>
          </w:rPr>
        </w:r>
        <w:r w:rsidR="00566C01">
          <w:rPr>
            <w:noProof/>
            <w:webHidden/>
          </w:rPr>
          <w:fldChar w:fldCharType="separate"/>
        </w:r>
        <w:r w:rsidR="00566C01">
          <w:rPr>
            <w:noProof/>
            <w:webHidden/>
          </w:rPr>
          <w:t>1</w:t>
        </w:r>
        <w:r w:rsidR="00566C01">
          <w:rPr>
            <w:noProof/>
            <w:webHidden/>
          </w:rPr>
          <w:fldChar w:fldCharType="end"/>
        </w:r>
      </w:hyperlink>
    </w:p>
    <w:p w14:paraId="52B1443A" w14:textId="432F2C37" w:rsidR="00566C01" w:rsidRDefault="00CE292F">
      <w:pPr>
        <w:pStyle w:val="TOC1"/>
        <w:rPr>
          <w:rFonts w:eastAsiaTheme="minorEastAsia"/>
          <w:b w:val="0"/>
          <w:bCs w:val="0"/>
          <w:caps w:val="0"/>
          <w:noProof/>
          <w:sz w:val="22"/>
          <w:szCs w:val="22"/>
          <w:lang w:eastAsia="en-AU"/>
        </w:rPr>
      </w:pPr>
      <w:hyperlink w:anchor="_Toc511732223" w:history="1">
        <w:r w:rsidR="00566C01" w:rsidRPr="00A6694A">
          <w:rPr>
            <w:rStyle w:val="Hyperlink"/>
            <w:noProof/>
          </w:rPr>
          <w:t>2015 REVIEW APPROACH</w:t>
        </w:r>
        <w:r w:rsidR="00566C01">
          <w:rPr>
            <w:noProof/>
            <w:webHidden/>
          </w:rPr>
          <w:tab/>
        </w:r>
        <w:r w:rsidR="00566C01">
          <w:rPr>
            <w:noProof/>
            <w:webHidden/>
          </w:rPr>
          <w:fldChar w:fldCharType="begin"/>
        </w:r>
        <w:r w:rsidR="00566C01">
          <w:rPr>
            <w:noProof/>
            <w:webHidden/>
          </w:rPr>
          <w:instrText xml:space="preserve"> PAGEREF _Toc511732223 \h </w:instrText>
        </w:r>
        <w:r w:rsidR="00566C01">
          <w:rPr>
            <w:noProof/>
            <w:webHidden/>
          </w:rPr>
        </w:r>
        <w:r w:rsidR="00566C01">
          <w:rPr>
            <w:noProof/>
            <w:webHidden/>
          </w:rPr>
          <w:fldChar w:fldCharType="separate"/>
        </w:r>
        <w:r w:rsidR="00566C01">
          <w:rPr>
            <w:noProof/>
            <w:webHidden/>
          </w:rPr>
          <w:t>1</w:t>
        </w:r>
        <w:r w:rsidR="00566C01">
          <w:rPr>
            <w:noProof/>
            <w:webHidden/>
          </w:rPr>
          <w:fldChar w:fldCharType="end"/>
        </w:r>
      </w:hyperlink>
    </w:p>
    <w:p w14:paraId="75933757" w14:textId="0A7F4437" w:rsidR="00566C01" w:rsidRDefault="00CE292F">
      <w:pPr>
        <w:pStyle w:val="TOC3"/>
        <w:rPr>
          <w:rFonts w:eastAsiaTheme="minorEastAsia"/>
          <w:iCs w:val="0"/>
          <w:caps w:val="0"/>
          <w:noProof/>
          <w:sz w:val="22"/>
          <w:lang w:eastAsia="en-AU"/>
        </w:rPr>
      </w:pPr>
      <w:hyperlink w:anchor="_Toc511732224" w:history="1">
        <w:r w:rsidR="00566C01" w:rsidRPr="00A6694A">
          <w:rPr>
            <w:rStyle w:val="Hyperlink"/>
            <w:noProof/>
          </w:rPr>
          <w:t>Services included in this category</w:t>
        </w:r>
        <w:r w:rsidR="00566C01">
          <w:rPr>
            <w:noProof/>
            <w:webHidden/>
          </w:rPr>
          <w:tab/>
        </w:r>
        <w:r w:rsidR="00566C01">
          <w:rPr>
            <w:noProof/>
            <w:webHidden/>
          </w:rPr>
          <w:fldChar w:fldCharType="begin"/>
        </w:r>
        <w:r w:rsidR="00566C01">
          <w:rPr>
            <w:noProof/>
            <w:webHidden/>
          </w:rPr>
          <w:instrText xml:space="preserve"> PAGEREF _Toc511732224 \h </w:instrText>
        </w:r>
        <w:r w:rsidR="00566C01">
          <w:rPr>
            <w:noProof/>
            <w:webHidden/>
          </w:rPr>
        </w:r>
        <w:r w:rsidR="00566C01">
          <w:rPr>
            <w:noProof/>
            <w:webHidden/>
          </w:rPr>
          <w:fldChar w:fldCharType="separate"/>
        </w:r>
        <w:r w:rsidR="00566C01">
          <w:rPr>
            <w:noProof/>
            <w:webHidden/>
          </w:rPr>
          <w:t>1</w:t>
        </w:r>
        <w:r w:rsidR="00566C01">
          <w:rPr>
            <w:noProof/>
            <w:webHidden/>
          </w:rPr>
          <w:fldChar w:fldCharType="end"/>
        </w:r>
      </w:hyperlink>
    </w:p>
    <w:p w14:paraId="2BBEEF61" w14:textId="36911181" w:rsidR="00566C01" w:rsidRDefault="00CE292F">
      <w:pPr>
        <w:pStyle w:val="TOC3"/>
        <w:rPr>
          <w:rFonts w:eastAsiaTheme="minorEastAsia"/>
          <w:iCs w:val="0"/>
          <w:caps w:val="0"/>
          <w:noProof/>
          <w:sz w:val="22"/>
          <w:lang w:eastAsia="en-AU"/>
        </w:rPr>
      </w:pPr>
      <w:hyperlink w:anchor="_Toc511732225" w:history="1">
        <w:r w:rsidR="00566C01" w:rsidRPr="00A6694A">
          <w:rPr>
            <w:rStyle w:val="Hyperlink"/>
            <w:noProof/>
          </w:rPr>
          <w:t>Category and component expenses</w:t>
        </w:r>
        <w:r w:rsidR="00566C01">
          <w:rPr>
            <w:noProof/>
            <w:webHidden/>
          </w:rPr>
          <w:tab/>
        </w:r>
        <w:r w:rsidR="00566C01">
          <w:rPr>
            <w:noProof/>
            <w:webHidden/>
          </w:rPr>
          <w:fldChar w:fldCharType="begin"/>
        </w:r>
        <w:r w:rsidR="00566C01">
          <w:rPr>
            <w:noProof/>
            <w:webHidden/>
          </w:rPr>
          <w:instrText xml:space="preserve"> PAGEREF _Toc511732225 \h </w:instrText>
        </w:r>
        <w:r w:rsidR="00566C01">
          <w:rPr>
            <w:noProof/>
            <w:webHidden/>
          </w:rPr>
        </w:r>
        <w:r w:rsidR="00566C01">
          <w:rPr>
            <w:noProof/>
            <w:webHidden/>
          </w:rPr>
          <w:fldChar w:fldCharType="separate"/>
        </w:r>
        <w:r w:rsidR="00566C01">
          <w:rPr>
            <w:noProof/>
            <w:webHidden/>
          </w:rPr>
          <w:t>1</w:t>
        </w:r>
        <w:r w:rsidR="00566C01">
          <w:rPr>
            <w:noProof/>
            <w:webHidden/>
          </w:rPr>
          <w:fldChar w:fldCharType="end"/>
        </w:r>
      </w:hyperlink>
    </w:p>
    <w:p w14:paraId="56F22FEF" w14:textId="13B2B4D4" w:rsidR="00566C01" w:rsidRDefault="00CE292F">
      <w:pPr>
        <w:pStyle w:val="TOC3"/>
        <w:rPr>
          <w:rFonts w:eastAsiaTheme="minorEastAsia"/>
          <w:iCs w:val="0"/>
          <w:caps w:val="0"/>
          <w:noProof/>
          <w:sz w:val="22"/>
          <w:lang w:eastAsia="en-AU"/>
        </w:rPr>
      </w:pPr>
      <w:hyperlink w:anchor="_Toc511732226" w:history="1">
        <w:r w:rsidR="00566C01" w:rsidRPr="00A6694A">
          <w:rPr>
            <w:rStyle w:val="Hyperlink"/>
            <w:noProof/>
          </w:rPr>
          <w:t>Data sources and assessment methods</w:t>
        </w:r>
        <w:r w:rsidR="00566C01">
          <w:rPr>
            <w:noProof/>
            <w:webHidden/>
          </w:rPr>
          <w:tab/>
        </w:r>
        <w:r w:rsidR="00566C01">
          <w:rPr>
            <w:noProof/>
            <w:webHidden/>
          </w:rPr>
          <w:fldChar w:fldCharType="begin"/>
        </w:r>
        <w:r w:rsidR="00566C01">
          <w:rPr>
            <w:noProof/>
            <w:webHidden/>
          </w:rPr>
          <w:instrText xml:space="preserve"> PAGEREF _Toc511732226 \h </w:instrText>
        </w:r>
        <w:r w:rsidR="00566C01">
          <w:rPr>
            <w:noProof/>
            <w:webHidden/>
          </w:rPr>
        </w:r>
        <w:r w:rsidR="00566C01">
          <w:rPr>
            <w:noProof/>
            <w:webHidden/>
          </w:rPr>
          <w:fldChar w:fldCharType="separate"/>
        </w:r>
        <w:r w:rsidR="00566C01">
          <w:rPr>
            <w:noProof/>
            <w:webHidden/>
          </w:rPr>
          <w:t>2</w:t>
        </w:r>
        <w:r w:rsidR="00566C01">
          <w:rPr>
            <w:noProof/>
            <w:webHidden/>
          </w:rPr>
          <w:fldChar w:fldCharType="end"/>
        </w:r>
      </w:hyperlink>
    </w:p>
    <w:p w14:paraId="2425B98B" w14:textId="76B75891" w:rsidR="00566C01" w:rsidRDefault="00CE292F">
      <w:pPr>
        <w:pStyle w:val="TOC1"/>
        <w:rPr>
          <w:rFonts w:eastAsiaTheme="minorEastAsia"/>
          <w:b w:val="0"/>
          <w:bCs w:val="0"/>
          <w:caps w:val="0"/>
          <w:noProof/>
          <w:sz w:val="22"/>
          <w:szCs w:val="22"/>
          <w:lang w:eastAsia="en-AU"/>
        </w:rPr>
      </w:pPr>
      <w:hyperlink w:anchor="_Toc511732227" w:history="1">
        <w:r w:rsidR="00566C01" w:rsidRPr="00A6694A">
          <w:rPr>
            <w:rStyle w:val="Hyperlink"/>
            <w:noProof/>
          </w:rPr>
          <w:t>ISSUES AND ANALYSIS</w:t>
        </w:r>
        <w:r w:rsidR="00566C01">
          <w:rPr>
            <w:noProof/>
            <w:webHidden/>
          </w:rPr>
          <w:tab/>
        </w:r>
        <w:r w:rsidR="00566C01">
          <w:rPr>
            <w:noProof/>
            <w:webHidden/>
          </w:rPr>
          <w:fldChar w:fldCharType="begin"/>
        </w:r>
        <w:r w:rsidR="00566C01">
          <w:rPr>
            <w:noProof/>
            <w:webHidden/>
          </w:rPr>
          <w:instrText xml:space="preserve"> PAGEREF _Toc511732227 \h </w:instrText>
        </w:r>
        <w:r w:rsidR="00566C01">
          <w:rPr>
            <w:noProof/>
            <w:webHidden/>
          </w:rPr>
        </w:r>
        <w:r w:rsidR="00566C01">
          <w:rPr>
            <w:noProof/>
            <w:webHidden/>
          </w:rPr>
          <w:fldChar w:fldCharType="separate"/>
        </w:r>
        <w:r w:rsidR="00566C01">
          <w:rPr>
            <w:noProof/>
            <w:webHidden/>
          </w:rPr>
          <w:t>4</w:t>
        </w:r>
        <w:r w:rsidR="00566C01">
          <w:rPr>
            <w:noProof/>
            <w:webHidden/>
          </w:rPr>
          <w:fldChar w:fldCharType="end"/>
        </w:r>
      </w:hyperlink>
    </w:p>
    <w:p w14:paraId="564BDB8B" w14:textId="3A31C090" w:rsidR="00566C01" w:rsidRDefault="00CE292F">
      <w:pPr>
        <w:pStyle w:val="TOC3"/>
        <w:rPr>
          <w:rFonts w:eastAsiaTheme="minorEastAsia"/>
          <w:iCs w:val="0"/>
          <w:caps w:val="0"/>
          <w:noProof/>
          <w:sz w:val="22"/>
          <w:lang w:eastAsia="en-AU"/>
        </w:rPr>
      </w:pPr>
      <w:hyperlink w:anchor="_Toc511732228" w:history="1">
        <w:r w:rsidR="00566C01" w:rsidRPr="00A6694A">
          <w:rPr>
            <w:rStyle w:val="Hyperlink"/>
            <w:noProof/>
          </w:rPr>
          <w:t>Census data versus AIHW data</w:t>
        </w:r>
        <w:r w:rsidR="00566C01">
          <w:rPr>
            <w:noProof/>
            <w:webHidden/>
          </w:rPr>
          <w:tab/>
        </w:r>
        <w:r w:rsidR="00566C01">
          <w:rPr>
            <w:noProof/>
            <w:webHidden/>
          </w:rPr>
          <w:fldChar w:fldCharType="begin"/>
        </w:r>
        <w:r w:rsidR="00566C01">
          <w:rPr>
            <w:noProof/>
            <w:webHidden/>
          </w:rPr>
          <w:instrText xml:space="preserve"> PAGEREF _Toc511732228 \h </w:instrText>
        </w:r>
        <w:r w:rsidR="00566C01">
          <w:rPr>
            <w:noProof/>
            <w:webHidden/>
          </w:rPr>
        </w:r>
        <w:r w:rsidR="00566C01">
          <w:rPr>
            <w:noProof/>
            <w:webHidden/>
          </w:rPr>
          <w:fldChar w:fldCharType="separate"/>
        </w:r>
        <w:r w:rsidR="00566C01">
          <w:rPr>
            <w:noProof/>
            <w:webHidden/>
          </w:rPr>
          <w:t>4</w:t>
        </w:r>
        <w:r w:rsidR="00566C01">
          <w:rPr>
            <w:noProof/>
            <w:webHidden/>
          </w:rPr>
          <w:fldChar w:fldCharType="end"/>
        </w:r>
      </w:hyperlink>
    </w:p>
    <w:p w14:paraId="3732395D" w14:textId="49A5E5A2" w:rsidR="00566C01" w:rsidRDefault="00CE292F">
      <w:pPr>
        <w:pStyle w:val="TOC3"/>
        <w:rPr>
          <w:rFonts w:eastAsiaTheme="minorEastAsia"/>
          <w:iCs w:val="0"/>
          <w:caps w:val="0"/>
          <w:noProof/>
          <w:sz w:val="22"/>
          <w:lang w:eastAsia="en-AU"/>
        </w:rPr>
      </w:pPr>
      <w:hyperlink w:anchor="_Toc511732229" w:history="1">
        <w:r w:rsidR="00566C01" w:rsidRPr="00A6694A">
          <w:rPr>
            <w:rStyle w:val="Hyperlink"/>
            <w:noProof/>
          </w:rPr>
          <w:t>The impact of the cost of land</w:t>
        </w:r>
        <w:r w:rsidR="00566C01">
          <w:rPr>
            <w:noProof/>
            <w:webHidden/>
          </w:rPr>
          <w:tab/>
        </w:r>
        <w:r w:rsidR="00566C01">
          <w:rPr>
            <w:noProof/>
            <w:webHidden/>
          </w:rPr>
          <w:fldChar w:fldCharType="begin"/>
        </w:r>
        <w:r w:rsidR="00566C01">
          <w:rPr>
            <w:noProof/>
            <w:webHidden/>
          </w:rPr>
          <w:instrText xml:space="preserve"> PAGEREF _Toc511732229 \h </w:instrText>
        </w:r>
        <w:r w:rsidR="00566C01">
          <w:rPr>
            <w:noProof/>
            <w:webHidden/>
          </w:rPr>
        </w:r>
        <w:r w:rsidR="00566C01">
          <w:rPr>
            <w:noProof/>
            <w:webHidden/>
          </w:rPr>
          <w:fldChar w:fldCharType="separate"/>
        </w:r>
        <w:r w:rsidR="00566C01">
          <w:rPr>
            <w:noProof/>
            <w:webHidden/>
          </w:rPr>
          <w:t>8</w:t>
        </w:r>
        <w:r w:rsidR="00566C01">
          <w:rPr>
            <w:noProof/>
            <w:webHidden/>
          </w:rPr>
          <w:fldChar w:fldCharType="end"/>
        </w:r>
      </w:hyperlink>
    </w:p>
    <w:p w14:paraId="1CCF84C5" w14:textId="6C2BB4FD" w:rsidR="00566C01" w:rsidRDefault="00CE292F">
      <w:pPr>
        <w:pStyle w:val="TOC3"/>
        <w:rPr>
          <w:rFonts w:eastAsiaTheme="minorEastAsia"/>
          <w:iCs w:val="0"/>
          <w:caps w:val="0"/>
          <w:noProof/>
          <w:sz w:val="22"/>
          <w:lang w:eastAsia="en-AU"/>
        </w:rPr>
      </w:pPr>
      <w:hyperlink w:anchor="_Toc511732230" w:history="1">
        <w:r w:rsidR="00566C01" w:rsidRPr="00A6694A">
          <w:rPr>
            <w:rStyle w:val="Hyperlink"/>
            <w:noProof/>
          </w:rPr>
          <w:t>The impact of policies on affordable housing</w:t>
        </w:r>
        <w:r w:rsidR="00566C01">
          <w:rPr>
            <w:noProof/>
            <w:webHidden/>
          </w:rPr>
          <w:tab/>
        </w:r>
        <w:r w:rsidR="00566C01">
          <w:rPr>
            <w:noProof/>
            <w:webHidden/>
          </w:rPr>
          <w:fldChar w:fldCharType="begin"/>
        </w:r>
        <w:r w:rsidR="00566C01">
          <w:rPr>
            <w:noProof/>
            <w:webHidden/>
          </w:rPr>
          <w:instrText xml:space="preserve"> PAGEREF _Toc511732230 \h </w:instrText>
        </w:r>
        <w:r w:rsidR="00566C01">
          <w:rPr>
            <w:noProof/>
            <w:webHidden/>
          </w:rPr>
        </w:r>
        <w:r w:rsidR="00566C01">
          <w:rPr>
            <w:noProof/>
            <w:webHidden/>
          </w:rPr>
          <w:fldChar w:fldCharType="separate"/>
        </w:r>
        <w:r w:rsidR="00566C01">
          <w:rPr>
            <w:noProof/>
            <w:webHidden/>
          </w:rPr>
          <w:t>10</w:t>
        </w:r>
        <w:r w:rsidR="00566C01">
          <w:rPr>
            <w:noProof/>
            <w:webHidden/>
          </w:rPr>
          <w:fldChar w:fldCharType="end"/>
        </w:r>
      </w:hyperlink>
    </w:p>
    <w:p w14:paraId="60254731" w14:textId="0D3BA1A7" w:rsidR="00566C01" w:rsidRDefault="00CE292F">
      <w:pPr>
        <w:pStyle w:val="TOC3"/>
        <w:rPr>
          <w:rFonts w:eastAsiaTheme="minorEastAsia"/>
          <w:iCs w:val="0"/>
          <w:caps w:val="0"/>
          <w:noProof/>
          <w:sz w:val="22"/>
          <w:lang w:eastAsia="en-AU"/>
        </w:rPr>
      </w:pPr>
      <w:hyperlink w:anchor="_Toc511732231" w:history="1">
        <w:r w:rsidR="00566C01" w:rsidRPr="00A6694A">
          <w:rPr>
            <w:rStyle w:val="Hyperlink"/>
            <w:noProof/>
          </w:rPr>
          <w:t>The assessment for First Home Owner Grants and stamp duty concessions</w:t>
        </w:r>
        <w:r w:rsidR="00566C01">
          <w:rPr>
            <w:noProof/>
            <w:webHidden/>
          </w:rPr>
          <w:tab/>
        </w:r>
        <w:r w:rsidR="00566C01">
          <w:rPr>
            <w:noProof/>
            <w:webHidden/>
          </w:rPr>
          <w:fldChar w:fldCharType="begin"/>
        </w:r>
        <w:r w:rsidR="00566C01">
          <w:rPr>
            <w:noProof/>
            <w:webHidden/>
          </w:rPr>
          <w:instrText xml:space="preserve"> PAGEREF _Toc511732231 \h </w:instrText>
        </w:r>
        <w:r w:rsidR="00566C01">
          <w:rPr>
            <w:noProof/>
            <w:webHidden/>
          </w:rPr>
        </w:r>
        <w:r w:rsidR="00566C01">
          <w:rPr>
            <w:noProof/>
            <w:webHidden/>
          </w:rPr>
          <w:fldChar w:fldCharType="separate"/>
        </w:r>
        <w:r w:rsidR="00566C01">
          <w:rPr>
            <w:noProof/>
            <w:webHidden/>
          </w:rPr>
          <w:t>11</w:t>
        </w:r>
        <w:r w:rsidR="00566C01">
          <w:rPr>
            <w:noProof/>
            <w:webHidden/>
          </w:rPr>
          <w:fldChar w:fldCharType="end"/>
        </w:r>
      </w:hyperlink>
    </w:p>
    <w:p w14:paraId="11290389" w14:textId="0CC374F7" w:rsidR="00566C01" w:rsidRDefault="00CE292F">
      <w:pPr>
        <w:pStyle w:val="TOC3"/>
        <w:rPr>
          <w:rFonts w:eastAsiaTheme="minorEastAsia"/>
          <w:iCs w:val="0"/>
          <w:caps w:val="0"/>
          <w:noProof/>
          <w:sz w:val="22"/>
          <w:lang w:eastAsia="en-AU"/>
        </w:rPr>
      </w:pPr>
      <w:hyperlink w:anchor="_Toc511732232" w:history="1">
        <w:r w:rsidR="00566C01" w:rsidRPr="00A6694A">
          <w:rPr>
            <w:rStyle w:val="Hyperlink"/>
            <w:noProof/>
          </w:rPr>
          <w:t>Updating weights ahead of the Draft Report</w:t>
        </w:r>
        <w:r w:rsidR="00566C01">
          <w:rPr>
            <w:noProof/>
            <w:webHidden/>
          </w:rPr>
          <w:tab/>
        </w:r>
        <w:r w:rsidR="00566C01">
          <w:rPr>
            <w:noProof/>
            <w:webHidden/>
          </w:rPr>
          <w:fldChar w:fldCharType="begin"/>
        </w:r>
        <w:r w:rsidR="00566C01">
          <w:rPr>
            <w:noProof/>
            <w:webHidden/>
          </w:rPr>
          <w:instrText xml:space="preserve"> PAGEREF _Toc511732232 \h </w:instrText>
        </w:r>
        <w:r w:rsidR="00566C01">
          <w:rPr>
            <w:noProof/>
            <w:webHidden/>
          </w:rPr>
        </w:r>
        <w:r w:rsidR="00566C01">
          <w:rPr>
            <w:noProof/>
            <w:webHidden/>
          </w:rPr>
          <w:fldChar w:fldCharType="separate"/>
        </w:r>
        <w:r w:rsidR="00566C01">
          <w:rPr>
            <w:noProof/>
            <w:webHidden/>
          </w:rPr>
          <w:t>11</w:t>
        </w:r>
        <w:r w:rsidR="00566C01">
          <w:rPr>
            <w:noProof/>
            <w:webHidden/>
          </w:rPr>
          <w:fldChar w:fldCharType="end"/>
        </w:r>
      </w:hyperlink>
    </w:p>
    <w:p w14:paraId="6D796559" w14:textId="4DCE77CF" w:rsidR="00566C01" w:rsidRDefault="00CE292F">
      <w:pPr>
        <w:pStyle w:val="TOC3"/>
        <w:rPr>
          <w:rFonts w:eastAsiaTheme="minorEastAsia"/>
          <w:iCs w:val="0"/>
          <w:caps w:val="0"/>
          <w:noProof/>
          <w:sz w:val="22"/>
          <w:lang w:eastAsia="en-AU"/>
        </w:rPr>
      </w:pPr>
      <w:hyperlink w:anchor="_Toc511732233" w:history="1">
        <w:r w:rsidR="00566C01" w:rsidRPr="00A6694A">
          <w:rPr>
            <w:rStyle w:val="Hyperlink"/>
            <w:noProof/>
          </w:rPr>
          <w:t>Other issues considered and settled</w:t>
        </w:r>
        <w:r w:rsidR="00566C01">
          <w:rPr>
            <w:noProof/>
            <w:webHidden/>
          </w:rPr>
          <w:tab/>
        </w:r>
        <w:r w:rsidR="00566C01">
          <w:rPr>
            <w:noProof/>
            <w:webHidden/>
          </w:rPr>
          <w:fldChar w:fldCharType="begin"/>
        </w:r>
        <w:r w:rsidR="00566C01">
          <w:rPr>
            <w:noProof/>
            <w:webHidden/>
          </w:rPr>
          <w:instrText xml:space="preserve"> PAGEREF _Toc511732233 \h </w:instrText>
        </w:r>
        <w:r w:rsidR="00566C01">
          <w:rPr>
            <w:noProof/>
            <w:webHidden/>
          </w:rPr>
        </w:r>
        <w:r w:rsidR="00566C01">
          <w:rPr>
            <w:noProof/>
            <w:webHidden/>
          </w:rPr>
          <w:fldChar w:fldCharType="separate"/>
        </w:r>
        <w:r w:rsidR="00566C01">
          <w:rPr>
            <w:noProof/>
            <w:webHidden/>
          </w:rPr>
          <w:t>12</w:t>
        </w:r>
        <w:r w:rsidR="00566C01">
          <w:rPr>
            <w:noProof/>
            <w:webHidden/>
          </w:rPr>
          <w:fldChar w:fldCharType="end"/>
        </w:r>
      </w:hyperlink>
    </w:p>
    <w:p w14:paraId="65320B94" w14:textId="1BC63227" w:rsidR="00566C01" w:rsidRDefault="00CE292F">
      <w:pPr>
        <w:pStyle w:val="TOC1"/>
        <w:rPr>
          <w:rFonts w:eastAsiaTheme="minorEastAsia"/>
          <w:b w:val="0"/>
          <w:bCs w:val="0"/>
          <w:caps w:val="0"/>
          <w:noProof/>
          <w:sz w:val="22"/>
          <w:szCs w:val="22"/>
          <w:lang w:eastAsia="en-AU"/>
        </w:rPr>
      </w:pPr>
      <w:hyperlink w:anchor="_Toc511732234" w:history="1">
        <w:r w:rsidR="00566C01" w:rsidRPr="00A6694A">
          <w:rPr>
            <w:rStyle w:val="Hyperlink"/>
            <w:noProof/>
          </w:rPr>
          <w:t>Conclusion and way forward</w:t>
        </w:r>
        <w:r w:rsidR="00566C01">
          <w:rPr>
            <w:noProof/>
            <w:webHidden/>
          </w:rPr>
          <w:tab/>
        </w:r>
        <w:r w:rsidR="00566C01">
          <w:rPr>
            <w:noProof/>
            <w:webHidden/>
          </w:rPr>
          <w:fldChar w:fldCharType="begin"/>
        </w:r>
        <w:r w:rsidR="00566C01">
          <w:rPr>
            <w:noProof/>
            <w:webHidden/>
          </w:rPr>
          <w:instrText xml:space="preserve"> PAGEREF _Toc511732234 \h </w:instrText>
        </w:r>
        <w:r w:rsidR="00566C01">
          <w:rPr>
            <w:noProof/>
            <w:webHidden/>
          </w:rPr>
        </w:r>
        <w:r w:rsidR="00566C01">
          <w:rPr>
            <w:noProof/>
            <w:webHidden/>
          </w:rPr>
          <w:fldChar w:fldCharType="separate"/>
        </w:r>
        <w:r w:rsidR="00566C01">
          <w:rPr>
            <w:noProof/>
            <w:webHidden/>
          </w:rPr>
          <w:t>12</w:t>
        </w:r>
        <w:r w:rsidR="00566C01">
          <w:rPr>
            <w:noProof/>
            <w:webHidden/>
          </w:rPr>
          <w:fldChar w:fldCharType="end"/>
        </w:r>
      </w:hyperlink>
    </w:p>
    <w:p w14:paraId="4BF31D88" w14:textId="5F011993" w:rsidR="00566C01" w:rsidRDefault="00CE292F">
      <w:pPr>
        <w:pStyle w:val="TOC3"/>
        <w:rPr>
          <w:rFonts w:eastAsiaTheme="minorEastAsia"/>
          <w:iCs w:val="0"/>
          <w:caps w:val="0"/>
          <w:noProof/>
          <w:sz w:val="22"/>
          <w:lang w:eastAsia="en-AU"/>
        </w:rPr>
      </w:pPr>
      <w:hyperlink w:anchor="_Toc511732235" w:history="1">
        <w:r w:rsidR="00566C01" w:rsidRPr="00A6694A">
          <w:rPr>
            <w:rStyle w:val="Hyperlink"/>
            <w:noProof/>
          </w:rPr>
          <w:t>Proposed assessment structure</w:t>
        </w:r>
        <w:r w:rsidR="00566C01">
          <w:rPr>
            <w:noProof/>
            <w:webHidden/>
          </w:rPr>
          <w:tab/>
        </w:r>
        <w:r w:rsidR="00566C01">
          <w:rPr>
            <w:noProof/>
            <w:webHidden/>
          </w:rPr>
          <w:fldChar w:fldCharType="begin"/>
        </w:r>
        <w:r w:rsidR="00566C01">
          <w:rPr>
            <w:noProof/>
            <w:webHidden/>
          </w:rPr>
          <w:instrText xml:space="preserve"> PAGEREF _Toc511732235 \h </w:instrText>
        </w:r>
        <w:r w:rsidR="00566C01">
          <w:rPr>
            <w:noProof/>
            <w:webHidden/>
          </w:rPr>
        </w:r>
        <w:r w:rsidR="00566C01">
          <w:rPr>
            <w:noProof/>
            <w:webHidden/>
          </w:rPr>
          <w:fldChar w:fldCharType="separate"/>
        </w:r>
        <w:r w:rsidR="00566C01">
          <w:rPr>
            <w:noProof/>
            <w:webHidden/>
          </w:rPr>
          <w:t>12</w:t>
        </w:r>
        <w:r w:rsidR="00566C01">
          <w:rPr>
            <w:noProof/>
            <w:webHidden/>
          </w:rPr>
          <w:fldChar w:fldCharType="end"/>
        </w:r>
      </w:hyperlink>
    </w:p>
    <w:p w14:paraId="48C0D268" w14:textId="5034EC55" w:rsidR="00566C01" w:rsidRDefault="00CE292F">
      <w:pPr>
        <w:pStyle w:val="TOC3"/>
        <w:rPr>
          <w:rFonts w:eastAsiaTheme="minorEastAsia"/>
          <w:iCs w:val="0"/>
          <w:caps w:val="0"/>
          <w:noProof/>
          <w:sz w:val="22"/>
          <w:lang w:eastAsia="en-AU"/>
        </w:rPr>
      </w:pPr>
      <w:hyperlink w:anchor="_Toc511732236" w:history="1">
        <w:r w:rsidR="00566C01" w:rsidRPr="00A6694A">
          <w:rPr>
            <w:rStyle w:val="Hyperlink"/>
            <w:noProof/>
          </w:rPr>
          <w:t>Data / information sought from States</w:t>
        </w:r>
        <w:r w:rsidR="00566C01">
          <w:rPr>
            <w:noProof/>
            <w:webHidden/>
          </w:rPr>
          <w:tab/>
        </w:r>
        <w:r w:rsidR="00566C01">
          <w:rPr>
            <w:noProof/>
            <w:webHidden/>
          </w:rPr>
          <w:fldChar w:fldCharType="begin"/>
        </w:r>
        <w:r w:rsidR="00566C01">
          <w:rPr>
            <w:noProof/>
            <w:webHidden/>
          </w:rPr>
          <w:instrText xml:space="preserve"> PAGEREF _Toc511732236 \h </w:instrText>
        </w:r>
        <w:r w:rsidR="00566C01">
          <w:rPr>
            <w:noProof/>
            <w:webHidden/>
          </w:rPr>
        </w:r>
        <w:r w:rsidR="00566C01">
          <w:rPr>
            <w:noProof/>
            <w:webHidden/>
          </w:rPr>
          <w:fldChar w:fldCharType="separate"/>
        </w:r>
        <w:r w:rsidR="00566C01">
          <w:rPr>
            <w:noProof/>
            <w:webHidden/>
          </w:rPr>
          <w:t>13</w:t>
        </w:r>
        <w:r w:rsidR="00566C01">
          <w:rPr>
            <w:noProof/>
            <w:webHidden/>
          </w:rPr>
          <w:fldChar w:fldCharType="end"/>
        </w:r>
      </w:hyperlink>
    </w:p>
    <w:p w14:paraId="731357C6" w14:textId="471B64BE" w:rsidR="000A3DF3" w:rsidRDefault="00DD3166" w:rsidP="00D9300F">
      <w:pPr>
        <w:sectPr w:rsidR="000A3DF3" w:rsidSect="00A24468">
          <w:footerReference w:type="default" r:id="rId16"/>
          <w:footerReference w:type="first" r:id="rId17"/>
          <w:pgSz w:w="11899" w:h="16838" w:code="9"/>
          <w:pgMar w:top="1701" w:right="1474" w:bottom="1701" w:left="1474" w:header="709" w:footer="709" w:gutter="0"/>
          <w:pgNumType w:start="1"/>
          <w:cols w:space="708"/>
          <w:titlePg/>
          <w:docGrid w:linePitch="299"/>
        </w:sectPr>
      </w:pPr>
      <w:r>
        <w:rPr>
          <w:b/>
          <w:bCs/>
          <w:caps/>
          <w:szCs w:val="20"/>
        </w:rPr>
        <w:fldChar w:fldCharType="end"/>
      </w:r>
    </w:p>
    <w:p w14:paraId="553AA680" w14:textId="46F12417" w:rsidR="00D9300F" w:rsidRDefault="00D9300F" w:rsidP="00D9300F">
      <w:pPr>
        <w:pStyle w:val="Heading2"/>
      </w:pPr>
      <w:bookmarkStart w:id="16" w:name="_Toc511732222"/>
      <w:bookmarkStart w:id="17" w:name="_Toc511634831"/>
      <w:r>
        <w:lastRenderedPageBreak/>
        <w:t>H</w:t>
      </w:r>
      <w:r w:rsidR="00BA6B19">
        <w:t>OUSING</w:t>
      </w:r>
      <w:bookmarkEnd w:id="16"/>
      <w:bookmarkEnd w:id="17"/>
    </w:p>
    <w:p w14:paraId="46125E35" w14:textId="77777777" w:rsidR="00D670F4" w:rsidRPr="00D670F4" w:rsidRDefault="00D670F4" w:rsidP="00D670F4">
      <w:pPr>
        <w:pStyle w:val="CGCNumberedPara"/>
      </w:pPr>
      <w:r w:rsidRPr="00D670F4">
        <w:t>Th</w:t>
      </w:r>
      <w:r w:rsidR="0099795B">
        <w:t>is</w:t>
      </w:r>
      <w:r w:rsidRPr="00D670F4">
        <w:t xml:space="preserve"> paper provides the Commission staff proposals for the assessment of </w:t>
      </w:r>
      <w:r>
        <w:t>Housing</w:t>
      </w:r>
      <w:r w:rsidRPr="00D670F4">
        <w:t xml:space="preserve"> expenses for the 2020 Review.</w:t>
      </w:r>
    </w:p>
    <w:p w14:paraId="49B4EBB3" w14:textId="2C027387" w:rsidR="00221B1D" w:rsidRPr="00D9300F" w:rsidRDefault="00221B1D" w:rsidP="00D9300F">
      <w:pPr>
        <w:pStyle w:val="Heading3"/>
      </w:pPr>
      <w:bookmarkStart w:id="18" w:name="_Toc511732223"/>
      <w:bookmarkStart w:id="19" w:name="_Toc511634832"/>
      <w:r w:rsidRPr="00D9300F">
        <w:t>2015 R</w:t>
      </w:r>
      <w:r w:rsidR="00DB25F9">
        <w:t>EVIEW APPROACH</w:t>
      </w:r>
      <w:bookmarkEnd w:id="18"/>
      <w:bookmarkEnd w:id="19"/>
    </w:p>
    <w:p w14:paraId="3CC300B4" w14:textId="77777777" w:rsidR="00E77C3A" w:rsidRPr="002132CC" w:rsidRDefault="00E77C3A" w:rsidP="00E77C3A">
      <w:pPr>
        <w:pStyle w:val="Heading4"/>
      </w:pPr>
      <w:bookmarkStart w:id="20" w:name="_Toc511634833"/>
      <w:bookmarkStart w:id="21" w:name="_Toc511732224"/>
      <w:r w:rsidRPr="002132CC">
        <w:t>Services included in this category</w:t>
      </w:r>
      <w:bookmarkEnd w:id="20"/>
      <w:bookmarkEnd w:id="21"/>
    </w:p>
    <w:p w14:paraId="1FFEC898" w14:textId="77777777" w:rsidR="00F94EC4" w:rsidRDefault="00755B3D" w:rsidP="008D1C4A">
      <w:pPr>
        <w:pStyle w:val="CGCNumberedPara"/>
        <w:numPr>
          <w:ilvl w:val="1"/>
          <w:numId w:val="3"/>
        </w:numPr>
      </w:pPr>
      <w:r w:rsidRPr="002D5ECA">
        <w:t>The Housing category includes expenses on</w:t>
      </w:r>
      <w:r w:rsidR="00F94EC4">
        <w:t>:</w:t>
      </w:r>
      <w:r w:rsidRPr="002D5ECA">
        <w:t xml:space="preserve"> </w:t>
      </w:r>
    </w:p>
    <w:p w14:paraId="0C622279" w14:textId="77777777" w:rsidR="00F94EC4" w:rsidRDefault="00755B3D" w:rsidP="00F94EC4">
      <w:pPr>
        <w:pStyle w:val="CGCBulletlist"/>
      </w:pPr>
      <w:r w:rsidRPr="002D5ECA">
        <w:t xml:space="preserve">all social housing services provided </w:t>
      </w:r>
      <w:r w:rsidR="00F94EC4">
        <w:t>by</w:t>
      </w:r>
      <w:r w:rsidRPr="002D5ECA">
        <w:t xml:space="preserve"> </w:t>
      </w:r>
      <w:r w:rsidR="00F94EC4">
        <w:t xml:space="preserve">the </w:t>
      </w:r>
      <w:r w:rsidRPr="002D5ECA">
        <w:t xml:space="preserve">general government </w:t>
      </w:r>
      <w:r w:rsidR="00F94EC4">
        <w:t xml:space="preserve">sector </w:t>
      </w:r>
      <w:r w:rsidRPr="002D5ECA">
        <w:t>and public non-financial corporations (PNFCs)</w:t>
      </w:r>
      <w:r w:rsidR="00F94EC4">
        <w:t xml:space="preserve"> and</w:t>
      </w:r>
      <w:r w:rsidR="00E77C3A">
        <w:t xml:space="preserve"> </w:t>
      </w:r>
      <w:r w:rsidR="00E77C3A" w:rsidRPr="002D5ECA">
        <w:t>subsidies to community housing providers</w:t>
      </w:r>
    </w:p>
    <w:p w14:paraId="2BD138BA" w14:textId="77777777" w:rsidR="00F94EC4" w:rsidRDefault="00F94EC4" w:rsidP="00F94EC4">
      <w:pPr>
        <w:pStyle w:val="CGCBulletlist"/>
      </w:pPr>
      <w:r>
        <w:t>f</w:t>
      </w:r>
      <w:r w:rsidR="00252F38">
        <w:t>irst home owner expenses</w:t>
      </w:r>
      <w:r>
        <w:t xml:space="preserve">, such as </w:t>
      </w:r>
      <w:r w:rsidR="00367DDC">
        <w:t>F</w:t>
      </w:r>
      <w:r w:rsidR="00252F38">
        <w:t xml:space="preserve">irst </w:t>
      </w:r>
      <w:r w:rsidR="00367DDC">
        <w:t>H</w:t>
      </w:r>
      <w:r w:rsidR="00252F38">
        <w:t xml:space="preserve">ome </w:t>
      </w:r>
      <w:r w:rsidR="00367DDC">
        <w:t>O</w:t>
      </w:r>
      <w:r w:rsidR="00252F38">
        <w:t xml:space="preserve">wner </w:t>
      </w:r>
      <w:r w:rsidR="00367DDC">
        <w:t>G</w:t>
      </w:r>
      <w:r w:rsidR="00252F38">
        <w:t xml:space="preserve">rants </w:t>
      </w:r>
      <w:r w:rsidR="00367DDC">
        <w:t xml:space="preserve">(FHOGs) </w:t>
      </w:r>
      <w:r w:rsidR="00252F38">
        <w:t>and stamp duty concessions</w:t>
      </w:r>
    </w:p>
    <w:p w14:paraId="1479F6F6" w14:textId="77777777" w:rsidR="00E77C3A" w:rsidRDefault="00E77C3A" w:rsidP="00F94EC4">
      <w:pPr>
        <w:pStyle w:val="CGCBulletlist"/>
      </w:pPr>
      <w:r>
        <w:t>p</w:t>
      </w:r>
      <w:r w:rsidRPr="002D5ECA">
        <w:t xml:space="preserve">rivate rental </w:t>
      </w:r>
      <w:r w:rsidR="00252F38">
        <w:t xml:space="preserve">assistance </w:t>
      </w:r>
      <w:r>
        <w:t xml:space="preserve">and </w:t>
      </w:r>
      <w:r w:rsidR="00252F38">
        <w:t xml:space="preserve">other forms of </w:t>
      </w:r>
      <w:r>
        <w:t xml:space="preserve">home purchase </w:t>
      </w:r>
      <w:r w:rsidRPr="002D5ECA">
        <w:t>assistance</w:t>
      </w:r>
      <w:r>
        <w:t>.</w:t>
      </w:r>
    </w:p>
    <w:p w14:paraId="26040878" w14:textId="77777777" w:rsidR="00834DB7" w:rsidRPr="002D5ECA" w:rsidRDefault="00834DB7" w:rsidP="00834DB7">
      <w:pPr>
        <w:pStyle w:val="CGCNumberedPara"/>
        <w:numPr>
          <w:ilvl w:val="1"/>
          <w:numId w:val="3"/>
        </w:numPr>
      </w:pPr>
      <w:r w:rsidRPr="002D5ECA">
        <w:t xml:space="preserve">The </w:t>
      </w:r>
      <w:r w:rsidR="00F94EC4">
        <w:t>category</w:t>
      </w:r>
      <w:r w:rsidRPr="002D5ECA">
        <w:t xml:space="preserve"> exclude</w:t>
      </w:r>
      <w:r w:rsidR="00F94EC4">
        <w:t>s</w:t>
      </w:r>
      <w:r w:rsidRPr="002D5ECA">
        <w:t xml:space="preserve"> spending on:</w:t>
      </w:r>
    </w:p>
    <w:p w14:paraId="03C5B9EA" w14:textId="77777777" w:rsidR="00834DB7" w:rsidRPr="002D5ECA" w:rsidRDefault="00834DB7" w:rsidP="00834DB7">
      <w:pPr>
        <w:pStyle w:val="CGCBulletlist"/>
      </w:pPr>
      <w:r w:rsidRPr="002D5ECA">
        <w:t xml:space="preserve">accommodation </w:t>
      </w:r>
      <w:r w:rsidR="00F94EC4">
        <w:t>for</w:t>
      </w:r>
      <w:r w:rsidRPr="002D5ECA">
        <w:t xml:space="preserve"> State employees, such as teachers and police officers in remote areas, which is assessed in the relevant functional categories</w:t>
      </w:r>
    </w:p>
    <w:p w14:paraId="537A0313" w14:textId="77777777" w:rsidR="00834DB7" w:rsidRPr="002D5ECA" w:rsidRDefault="00834DB7" w:rsidP="00834DB7">
      <w:pPr>
        <w:pStyle w:val="CGCBulletlist"/>
      </w:pPr>
      <w:r w:rsidRPr="002D5ECA">
        <w:t xml:space="preserve">residential institutions mainly providing living quarters for people with special needs such as the young or the disabled </w:t>
      </w:r>
    </w:p>
    <w:p w14:paraId="0AD4CB2B" w14:textId="77777777" w:rsidR="00834DB7" w:rsidRPr="002D5ECA" w:rsidRDefault="00834DB7" w:rsidP="00834DB7">
      <w:pPr>
        <w:pStyle w:val="CGCBulletlist"/>
      </w:pPr>
      <w:r w:rsidRPr="002D5ECA">
        <w:t xml:space="preserve">homeless persons assistance. </w:t>
      </w:r>
    </w:p>
    <w:p w14:paraId="2082ED3E" w14:textId="77777777" w:rsidR="000F526F" w:rsidRPr="002D5ECA" w:rsidRDefault="000F526F" w:rsidP="000F526F">
      <w:pPr>
        <w:pStyle w:val="CGCNumberedPara"/>
      </w:pPr>
      <w:r w:rsidRPr="002D5ECA">
        <w:t xml:space="preserve">Revenue </w:t>
      </w:r>
      <w:r w:rsidRPr="000F526F">
        <w:t>from</w:t>
      </w:r>
      <w:r w:rsidRPr="002D5ECA">
        <w:t xml:space="preserve"> rents </w:t>
      </w:r>
      <w:r w:rsidR="00F94EC4">
        <w:t xml:space="preserve">for social housing </w:t>
      </w:r>
      <w:r w:rsidRPr="002D5ECA">
        <w:t xml:space="preserve">is </w:t>
      </w:r>
      <w:r>
        <w:t>also included</w:t>
      </w:r>
      <w:r w:rsidRPr="002D5ECA">
        <w:t>.</w:t>
      </w:r>
    </w:p>
    <w:p w14:paraId="59D414FA" w14:textId="77777777" w:rsidR="00E77C3A" w:rsidRPr="00C3140C" w:rsidRDefault="00E77C3A" w:rsidP="00E77C3A">
      <w:pPr>
        <w:pStyle w:val="Heading4"/>
      </w:pPr>
      <w:bookmarkStart w:id="22" w:name="_Toc511634834"/>
      <w:bookmarkStart w:id="23" w:name="_Toc511732225"/>
      <w:r w:rsidRPr="00C3140C">
        <w:t>Category and component expenses</w:t>
      </w:r>
      <w:bookmarkEnd w:id="22"/>
      <w:bookmarkEnd w:id="23"/>
    </w:p>
    <w:p w14:paraId="3835902A" w14:textId="77777777" w:rsidR="00252F38" w:rsidRPr="00443053" w:rsidRDefault="00F76C9C" w:rsidP="00252F38">
      <w:pPr>
        <w:pStyle w:val="CGCNumberedPara"/>
        <w:numPr>
          <w:ilvl w:val="1"/>
          <w:numId w:val="3"/>
        </w:numPr>
      </w:pPr>
      <w:r w:rsidRPr="00443053">
        <w:t xml:space="preserve">Assessments </w:t>
      </w:r>
      <w:r w:rsidR="008876D5">
        <w:t>are</w:t>
      </w:r>
      <w:r w:rsidR="00252F38" w:rsidRPr="00443053">
        <w:t xml:space="preserve"> made for each of </w:t>
      </w:r>
      <w:r w:rsidR="00252F38">
        <w:t>the following</w:t>
      </w:r>
      <w:r w:rsidR="00252F38" w:rsidRPr="00443053">
        <w:t xml:space="preserve"> components</w:t>
      </w:r>
      <w:r w:rsidR="00252F38">
        <w:t>:</w:t>
      </w:r>
      <w:r w:rsidR="00252F38" w:rsidRPr="00443053">
        <w:t xml:space="preserve"> </w:t>
      </w:r>
    </w:p>
    <w:p w14:paraId="79E870D3" w14:textId="77777777" w:rsidR="00252F38" w:rsidRDefault="00252F38" w:rsidP="00252F38">
      <w:pPr>
        <w:pStyle w:val="CGCBulletlist"/>
      </w:pPr>
      <w:r>
        <w:t>gross</w:t>
      </w:r>
      <w:r w:rsidRPr="004569D0">
        <w:t xml:space="preserve"> </w:t>
      </w:r>
      <w:r>
        <w:t xml:space="preserve">operating expenses net of depreciation </w:t>
      </w:r>
      <w:r w:rsidR="00F76C9C">
        <w:t>(services expenses)</w:t>
      </w:r>
    </w:p>
    <w:p w14:paraId="653D3920" w14:textId="77777777" w:rsidR="00252F38" w:rsidRDefault="00252F38" w:rsidP="00252F38">
      <w:pPr>
        <w:pStyle w:val="CGCBulletlist"/>
      </w:pPr>
      <w:r>
        <w:t>revenue</w:t>
      </w:r>
    </w:p>
    <w:p w14:paraId="78C55ECF" w14:textId="77777777" w:rsidR="00252F38" w:rsidRDefault="00252F38" w:rsidP="00252F38">
      <w:pPr>
        <w:pStyle w:val="CGCBulletlist"/>
      </w:pPr>
      <w:r>
        <w:t>first home owner expenses.</w:t>
      </w:r>
    </w:p>
    <w:p w14:paraId="46D31167" w14:textId="7516D9EE" w:rsidR="008D1C4A" w:rsidRDefault="00123CFD" w:rsidP="008D1C4A">
      <w:pPr>
        <w:pStyle w:val="CGCNumberedPara"/>
        <w:numPr>
          <w:ilvl w:val="1"/>
          <w:numId w:val="3"/>
        </w:numPr>
      </w:pPr>
      <w:r>
        <w:t>I</w:t>
      </w:r>
      <w:r w:rsidR="008D1C4A">
        <w:t>nvestment and depreciation expenses</w:t>
      </w:r>
      <w:r w:rsidR="00F94EC4">
        <w:t xml:space="preserve"> for housing are included in the </w:t>
      </w:r>
      <w:r w:rsidR="00F3313F">
        <w:t>c</w:t>
      </w:r>
      <w:r w:rsidR="00F94EC4">
        <w:t>apital assessments</w:t>
      </w:r>
      <w:r w:rsidR="008D1C4A">
        <w:t>.</w:t>
      </w:r>
    </w:p>
    <w:p w14:paraId="2A4F6CF8" w14:textId="5B5FE09C" w:rsidR="00221B1D" w:rsidRPr="00741FF2" w:rsidRDefault="00221B1D" w:rsidP="00221B1D">
      <w:pPr>
        <w:pStyle w:val="CGCNumberedPara"/>
        <w:numPr>
          <w:ilvl w:val="1"/>
          <w:numId w:val="3"/>
        </w:numPr>
      </w:pPr>
      <w:r w:rsidRPr="00741FF2">
        <w:fldChar w:fldCharType="begin"/>
      </w:r>
      <w:r w:rsidRPr="00741FF2">
        <w:instrText xml:space="preserve"> REF _Ref322431260 \h </w:instrText>
      </w:r>
      <w:r>
        <w:instrText xml:space="preserve"> \* MERGEFORMAT </w:instrText>
      </w:r>
      <w:r w:rsidRPr="00741FF2">
        <w:fldChar w:fldCharType="separate"/>
      </w:r>
      <w:r w:rsidR="00566C01" w:rsidRPr="00741FF2">
        <w:t xml:space="preserve">Table </w:t>
      </w:r>
      <w:r w:rsidR="00566C01">
        <w:t>1</w:t>
      </w:r>
      <w:r w:rsidRPr="00741FF2">
        <w:fldChar w:fldCharType="end"/>
      </w:r>
      <w:r w:rsidRPr="00741FF2">
        <w:t xml:space="preserve"> shows </w:t>
      </w:r>
      <w:r w:rsidR="00936820">
        <w:t xml:space="preserve">the breakdown of </w:t>
      </w:r>
      <w:r w:rsidRPr="00741FF2">
        <w:t xml:space="preserve">State expenses </w:t>
      </w:r>
      <w:r>
        <w:t>in 201</w:t>
      </w:r>
      <w:r w:rsidR="00024320">
        <w:t>6</w:t>
      </w:r>
      <w:r>
        <w:noBreakHyphen/>
        <w:t>1</w:t>
      </w:r>
      <w:r w:rsidR="00024320">
        <w:t>7</w:t>
      </w:r>
      <w:r w:rsidRPr="00741FF2">
        <w:t xml:space="preserve">. </w:t>
      </w:r>
    </w:p>
    <w:p w14:paraId="441423AF" w14:textId="373B74C1" w:rsidR="00221B1D" w:rsidRPr="00741FF2" w:rsidRDefault="00221B1D" w:rsidP="0009508C">
      <w:pPr>
        <w:pStyle w:val="CGCTableHeading"/>
      </w:pPr>
      <w:bookmarkStart w:id="24" w:name="_Ref322431260"/>
      <w:r w:rsidRPr="00741FF2">
        <w:lastRenderedPageBreak/>
        <w:t xml:space="preserve">Table </w:t>
      </w:r>
      <w:r w:rsidR="00CE292F">
        <w:fldChar w:fldCharType="begin"/>
      </w:r>
      <w:r w:rsidR="00CE292F">
        <w:instrText xml:space="preserve"> SEQ Table \r 1 \* ARABIC </w:instrText>
      </w:r>
      <w:r w:rsidR="00CE292F">
        <w:fldChar w:fldCharType="separate"/>
      </w:r>
      <w:r w:rsidR="00566C01">
        <w:rPr>
          <w:noProof/>
        </w:rPr>
        <w:t>1</w:t>
      </w:r>
      <w:r w:rsidR="00CE292F">
        <w:rPr>
          <w:noProof/>
        </w:rPr>
        <w:fldChar w:fldCharType="end"/>
      </w:r>
      <w:bookmarkEnd w:id="24"/>
      <w:r w:rsidRPr="00741FF2">
        <w:tab/>
      </w:r>
      <w:r w:rsidR="00F94EC4">
        <w:t>Housing c</w:t>
      </w:r>
      <w:r w:rsidRPr="00741FF2">
        <w:t>ategory expenses</w:t>
      </w:r>
      <w:r w:rsidR="00F94EC4">
        <w:t xml:space="preserve"> by component</w:t>
      </w:r>
      <w:r w:rsidRPr="00741FF2">
        <w:t>, 201</w:t>
      </w:r>
      <w:r w:rsidR="00024320">
        <w:t>6</w:t>
      </w:r>
      <w:r w:rsidRPr="00741FF2">
        <w:t>-1</w:t>
      </w:r>
      <w:r w:rsidR="00024320">
        <w:t>7</w:t>
      </w:r>
    </w:p>
    <w:tbl>
      <w:tblPr>
        <w:tblW w:w="5008" w:type="pct"/>
        <w:tblInd w:w="-15" w:type="dxa"/>
        <w:tblLayout w:type="fixed"/>
        <w:tblLook w:val="04A0" w:firstRow="1" w:lastRow="0" w:firstColumn="1" w:lastColumn="0" w:noHBand="0" w:noVBand="1"/>
      </w:tblPr>
      <w:tblGrid>
        <w:gridCol w:w="6389"/>
        <w:gridCol w:w="2793"/>
      </w:tblGrid>
      <w:tr w:rsidR="0009508C" w:rsidRPr="0009508C" w14:paraId="437887B6" w14:textId="77777777" w:rsidTr="0009508C">
        <w:trPr>
          <w:trHeight w:val="375"/>
        </w:trPr>
        <w:tc>
          <w:tcPr>
            <w:tcW w:w="3469" w:type="pct"/>
            <w:tcBorders>
              <w:top w:val="single" w:sz="4" w:space="0" w:color="auto"/>
              <w:left w:val="nil"/>
              <w:bottom w:val="single" w:sz="4" w:space="0" w:color="auto"/>
              <w:right w:val="nil"/>
            </w:tcBorders>
            <w:shd w:val="clear" w:color="auto" w:fill="auto"/>
            <w:vAlign w:val="center"/>
            <w:hideMark/>
          </w:tcPr>
          <w:p w14:paraId="76FBBE80" w14:textId="77777777" w:rsidR="0009508C" w:rsidRPr="0009508C" w:rsidRDefault="0009508C" w:rsidP="00356477">
            <w:pPr>
              <w:keepNext/>
              <w:keepLines/>
              <w:tabs>
                <w:tab w:val="clear" w:pos="567"/>
              </w:tabs>
              <w:spacing w:after="0" w:line="240" w:lineRule="auto"/>
              <w:ind w:firstLineChars="100" w:firstLine="200"/>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 </w:t>
            </w:r>
          </w:p>
        </w:tc>
        <w:tc>
          <w:tcPr>
            <w:tcW w:w="1517" w:type="pct"/>
            <w:tcBorders>
              <w:top w:val="single" w:sz="4" w:space="0" w:color="auto"/>
              <w:left w:val="nil"/>
              <w:bottom w:val="single" w:sz="4" w:space="0" w:color="auto"/>
              <w:right w:val="nil"/>
            </w:tcBorders>
            <w:shd w:val="clear" w:color="auto" w:fill="auto"/>
            <w:vAlign w:val="center"/>
            <w:hideMark/>
          </w:tcPr>
          <w:p w14:paraId="32C82678"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Amount</w:t>
            </w:r>
          </w:p>
        </w:tc>
      </w:tr>
      <w:tr w:rsidR="0009508C" w:rsidRPr="0009508C" w14:paraId="0B6839C0" w14:textId="77777777" w:rsidTr="0009508C">
        <w:trPr>
          <w:trHeight w:val="255"/>
        </w:trPr>
        <w:tc>
          <w:tcPr>
            <w:tcW w:w="3469" w:type="pct"/>
            <w:tcBorders>
              <w:top w:val="nil"/>
              <w:left w:val="nil"/>
              <w:bottom w:val="nil"/>
              <w:right w:val="nil"/>
            </w:tcBorders>
            <w:shd w:val="clear" w:color="auto" w:fill="auto"/>
            <w:vAlign w:val="center"/>
            <w:hideMark/>
          </w:tcPr>
          <w:p w14:paraId="01FB1ADA" w14:textId="77777777" w:rsidR="0009508C" w:rsidRPr="0009508C" w:rsidRDefault="0009508C" w:rsidP="00356477">
            <w:pPr>
              <w:keepNext/>
              <w:keepLines/>
              <w:tabs>
                <w:tab w:val="clear" w:pos="567"/>
              </w:tabs>
              <w:spacing w:after="0" w:line="240" w:lineRule="auto"/>
              <w:ind w:firstLineChars="100" w:firstLine="200"/>
              <w:jc w:val="right"/>
              <w:rPr>
                <w:rFonts w:ascii="Calibri" w:eastAsia="Times New Roman" w:hAnsi="Calibri" w:cs="Times New Roman"/>
                <w:color w:val="000000"/>
                <w:sz w:val="20"/>
                <w:szCs w:val="20"/>
                <w:lang w:eastAsia="en-AU"/>
              </w:rPr>
            </w:pPr>
          </w:p>
        </w:tc>
        <w:tc>
          <w:tcPr>
            <w:tcW w:w="1517" w:type="pct"/>
            <w:tcBorders>
              <w:top w:val="nil"/>
              <w:left w:val="nil"/>
              <w:bottom w:val="nil"/>
              <w:right w:val="nil"/>
            </w:tcBorders>
            <w:shd w:val="clear" w:color="auto" w:fill="auto"/>
            <w:vAlign w:val="center"/>
            <w:hideMark/>
          </w:tcPr>
          <w:p w14:paraId="1941C67C"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$m</w:t>
            </w:r>
          </w:p>
        </w:tc>
      </w:tr>
      <w:tr w:rsidR="0009508C" w:rsidRPr="0009508C" w14:paraId="7E83715E" w14:textId="77777777" w:rsidTr="0009508C">
        <w:trPr>
          <w:trHeight w:val="315"/>
        </w:trPr>
        <w:tc>
          <w:tcPr>
            <w:tcW w:w="3469" w:type="pct"/>
            <w:tcBorders>
              <w:top w:val="nil"/>
              <w:left w:val="nil"/>
              <w:bottom w:val="nil"/>
              <w:right w:val="nil"/>
            </w:tcBorders>
            <w:shd w:val="clear" w:color="auto" w:fill="auto"/>
            <w:noWrap/>
            <w:vAlign w:val="bottom"/>
            <w:hideMark/>
          </w:tcPr>
          <w:p w14:paraId="387C35CB" w14:textId="77777777" w:rsidR="0009508C" w:rsidRPr="0009508C" w:rsidRDefault="0009508C" w:rsidP="00356477">
            <w:pPr>
              <w:keepNext/>
              <w:keepLines/>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Service expenses</w:t>
            </w:r>
          </w:p>
        </w:tc>
        <w:tc>
          <w:tcPr>
            <w:tcW w:w="1517" w:type="pct"/>
            <w:tcBorders>
              <w:top w:val="nil"/>
              <w:left w:val="nil"/>
              <w:bottom w:val="nil"/>
              <w:right w:val="nil"/>
            </w:tcBorders>
            <w:shd w:val="clear" w:color="auto" w:fill="auto"/>
            <w:vAlign w:val="bottom"/>
            <w:hideMark/>
          </w:tcPr>
          <w:p w14:paraId="10288BAF"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Arial"/>
                <w:color w:val="000000"/>
                <w:sz w:val="20"/>
                <w:szCs w:val="20"/>
                <w:lang w:eastAsia="en-AU"/>
              </w:rPr>
              <w:t>5 452</w:t>
            </w:r>
          </w:p>
        </w:tc>
      </w:tr>
      <w:tr w:rsidR="0009508C" w:rsidRPr="0009508C" w14:paraId="100C9E20" w14:textId="77777777" w:rsidTr="0009508C">
        <w:trPr>
          <w:trHeight w:val="315"/>
        </w:trPr>
        <w:tc>
          <w:tcPr>
            <w:tcW w:w="3469" w:type="pct"/>
            <w:tcBorders>
              <w:top w:val="nil"/>
              <w:left w:val="nil"/>
              <w:bottom w:val="nil"/>
              <w:right w:val="nil"/>
            </w:tcBorders>
            <w:shd w:val="clear" w:color="auto" w:fill="auto"/>
            <w:noWrap/>
            <w:vAlign w:val="bottom"/>
            <w:hideMark/>
          </w:tcPr>
          <w:p w14:paraId="13A11737" w14:textId="77777777" w:rsidR="0009508C" w:rsidRPr="0009508C" w:rsidRDefault="0009508C" w:rsidP="00356477">
            <w:pPr>
              <w:keepNext/>
              <w:keepLines/>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Revenue</w:t>
            </w:r>
          </w:p>
        </w:tc>
        <w:tc>
          <w:tcPr>
            <w:tcW w:w="1517" w:type="pct"/>
            <w:tcBorders>
              <w:top w:val="nil"/>
              <w:left w:val="nil"/>
              <w:bottom w:val="nil"/>
              <w:right w:val="nil"/>
            </w:tcBorders>
            <w:shd w:val="clear" w:color="auto" w:fill="auto"/>
            <w:vAlign w:val="bottom"/>
            <w:hideMark/>
          </w:tcPr>
          <w:p w14:paraId="26045A65"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Arial"/>
                <w:color w:val="000000"/>
                <w:sz w:val="20"/>
                <w:szCs w:val="20"/>
                <w:lang w:eastAsia="en-AU"/>
              </w:rPr>
              <w:t>-3 241</w:t>
            </w:r>
          </w:p>
        </w:tc>
      </w:tr>
      <w:tr w:rsidR="0009508C" w:rsidRPr="0009508C" w14:paraId="769647D9" w14:textId="77777777" w:rsidTr="0009508C">
        <w:trPr>
          <w:trHeight w:val="315"/>
        </w:trPr>
        <w:tc>
          <w:tcPr>
            <w:tcW w:w="3469" w:type="pct"/>
            <w:tcBorders>
              <w:top w:val="nil"/>
              <w:left w:val="nil"/>
              <w:bottom w:val="nil"/>
              <w:right w:val="nil"/>
            </w:tcBorders>
            <w:shd w:val="clear" w:color="auto" w:fill="auto"/>
            <w:noWrap/>
            <w:vAlign w:val="bottom"/>
            <w:hideMark/>
          </w:tcPr>
          <w:p w14:paraId="4F1AE566" w14:textId="77777777" w:rsidR="0009508C" w:rsidRPr="0009508C" w:rsidRDefault="0009508C" w:rsidP="00356477">
            <w:pPr>
              <w:keepNext/>
              <w:keepLines/>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First home owner expenses</w:t>
            </w:r>
          </w:p>
        </w:tc>
        <w:tc>
          <w:tcPr>
            <w:tcW w:w="1517" w:type="pct"/>
            <w:tcBorders>
              <w:top w:val="nil"/>
              <w:left w:val="nil"/>
              <w:bottom w:val="nil"/>
              <w:right w:val="nil"/>
            </w:tcBorders>
            <w:shd w:val="clear" w:color="auto" w:fill="auto"/>
            <w:vAlign w:val="bottom"/>
            <w:hideMark/>
          </w:tcPr>
          <w:p w14:paraId="55DF6799"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Arial"/>
                <w:color w:val="000000"/>
                <w:sz w:val="20"/>
                <w:szCs w:val="20"/>
                <w:lang w:eastAsia="en-AU"/>
              </w:rPr>
              <w:t>1 216</w:t>
            </w:r>
          </w:p>
        </w:tc>
      </w:tr>
      <w:tr w:rsidR="0009508C" w:rsidRPr="0009508C" w14:paraId="4CC631C6" w14:textId="77777777" w:rsidTr="0009508C">
        <w:trPr>
          <w:trHeight w:val="315"/>
        </w:trPr>
        <w:tc>
          <w:tcPr>
            <w:tcW w:w="3469" w:type="pct"/>
            <w:tcBorders>
              <w:top w:val="nil"/>
              <w:left w:val="nil"/>
              <w:bottom w:val="single" w:sz="4" w:space="0" w:color="auto"/>
              <w:right w:val="nil"/>
            </w:tcBorders>
            <w:shd w:val="clear" w:color="auto" w:fill="auto"/>
            <w:noWrap/>
            <w:vAlign w:val="bottom"/>
            <w:hideMark/>
          </w:tcPr>
          <w:p w14:paraId="7E4F45EA" w14:textId="77777777" w:rsidR="0009508C" w:rsidRPr="0009508C" w:rsidRDefault="0009508C" w:rsidP="00356477">
            <w:pPr>
              <w:keepNext/>
              <w:keepLines/>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Total</w:t>
            </w:r>
          </w:p>
        </w:tc>
        <w:tc>
          <w:tcPr>
            <w:tcW w:w="1517" w:type="pct"/>
            <w:tcBorders>
              <w:top w:val="single" w:sz="4" w:space="0" w:color="auto"/>
              <w:left w:val="nil"/>
              <w:bottom w:val="single" w:sz="4" w:space="0" w:color="auto"/>
              <w:right w:val="nil"/>
            </w:tcBorders>
            <w:shd w:val="clear" w:color="auto" w:fill="auto"/>
            <w:vAlign w:val="bottom"/>
            <w:hideMark/>
          </w:tcPr>
          <w:p w14:paraId="423A2C67" w14:textId="77777777" w:rsidR="0009508C" w:rsidRPr="0009508C" w:rsidRDefault="0009508C"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Calibri"/>
                <w:color w:val="000000"/>
                <w:sz w:val="20"/>
                <w:szCs w:val="20"/>
                <w:lang w:eastAsia="en-AU"/>
              </w:rPr>
              <w:t>3 427</w:t>
            </w:r>
          </w:p>
        </w:tc>
      </w:tr>
    </w:tbl>
    <w:p w14:paraId="6A706845" w14:textId="77777777" w:rsidR="00221B1D" w:rsidRPr="00C85E80" w:rsidRDefault="00221B1D" w:rsidP="00356477">
      <w:pPr>
        <w:pStyle w:val="CGCTableFootnote"/>
        <w:keepNext/>
        <w:keepLines/>
      </w:pPr>
      <w:r w:rsidRPr="00741FF2">
        <w:t xml:space="preserve">Note: </w:t>
      </w:r>
      <w:r w:rsidRPr="00741FF2">
        <w:tab/>
      </w:r>
      <w:r w:rsidR="00F76C9C" w:rsidRPr="00741FF2">
        <w:t xml:space="preserve">Excludes </w:t>
      </w:r>
      <w:r w:rsidRPr="00741FF2">
        <w:t>depreciation expenses.</w:t>
      </w:r>
    </w:p>
    <w:p w14:paraId="755D1C1E" w14:textId="77777777" w:rsidR="00221B1D" w:rsidRPr="00C85E80" w:rsidRDefault="00221B1D" w:rsidP="00356477">
      <w:pPr>
        <w:pStyle w:val="CGCTableFootnote"/>
        <w:keepNext/>
        <w:keepLines/>
      </w:pPr>
      <w:r w:rsidRPr="00741FF2">
        <w:t>Source:</w:t>
      </w:r>
      <w:r w:rsidRPr="00741FF2">
        <w:tab/>
      </w:r>
      <w:r w:rsidR="00F20D90">
        <w:t>Australian Bureau of Statistics (ABS) Government Finance Statistics</w:t>
      </w:r>
      <w:r w:rsidRPr="00741FF2">
        <w:t xml:space="preserve"> data</w:t>
      </w:r>
      <w:r>
        <w:t xml:space="preserve">, </w:t>
      </w:r>
      <w:r w:rsidR="00F94EC4">
        <w:t>adjusted to exclude</w:t>
      </w:r>
      <w:r>
        <w:t xml:space="preserve"> e</w:t>
      </w:r>
      <w:r w:rsidRPr="00A843A5">
        <w:t xml:space="preserve">xpenses funded by </w:t>
      </w:r>
      <w:r w:rsidR="00F94EC4">
        <w:t>‘</w:t>
      </w:r>
      <w:r w:rsidR="00F76C9C" w:rsidRPr="00A843A5">
        <w:t xml:space="preserve">no </w:t>
      </w:r>
      <w:r w:rsidRPr="00A843A5">
        <w:t>Impact</w:t>
      </w:r>
      <w:r w:rsidR="00F94EC4">
        <w:t>’</w:t>
      </w:r>
      <w:r w:rsidRPr="00A843A5">
        <w:t xml:space="preserve"> Commonwealth payments</w:t>
      </w:r>
      <w:r w:rsidRPr="00741FF2">
        <w:t>.</w:t>
      </w:r>
      <w:r>
        <w:t xml:space="preserve"> </w:t>
      </w:r>
    </w:p>
    <w:p w14:paraId="100CB12C" w14:textId="77777777" w:rsidR="00E11681" w:rsidRDefault="00E11681" w:rsidP="00E11681">
      <w:pPr>
        <w:pStyle w:val="Heading4"/>
      </w:pPr>
      <w:bookmarkStart w:id="25" w:name="_Toc511634835"/>
      <w:bookmarkStart w:id="26" w:name="_Toc511732226"/>
      <w:r>
        <w:t>Data sources and assessment methods</w:t>
      </w:r>
      <w:bookmarkEnd w:id="25"/>
      <w:bookmarkEnd w:id="26"/>
    </w:p>
    <w:p w14:paraId="51F5ABA4" w14:textId="77777777" w:rsidR="00E77C3A" w:rsidRPr="00E77C3A" w:rsidRDefault="00E77C3A" w:rsidP="00E11681">
      <w:pPr>
        <w:pStyle w:val="Heading5"/>
      </w:pPr>
      <w:r>
        <w:t>Service</w:t>
      </w:r>
      <w:r w:rsidR="008D1C4A" w:rsidRPr="00A31EF6">
        <w:t xml:space="preserve"> expenses</w:t>
      </w:r>
      <w:r w:rsidR="008D1C4A" w:rsidRPr="00E77C3A">
        <w:t xml:space="preserve"> </w:t>
      </w:r>
    </w:p>
    <w:p w14:paraId="58C6976E" w14:textId="77777777" w:rsidR="000F526F" w:rsidRPr="002D5ECA" w:rsidRDefault="000F526F" w:rsidP="000F526F">
      <w:pPr>
        <w:pStyle w:val="CGCNumberedPara"/>
        <w:numPr>
          <w:ilvl w:val="1"/>
          <w:numId w:val="3"/>
        </w:numPr>
      </w:pPr>
      <w:r>
        <w:t xml:space="preserve">This component includes State expenses on </w:t>
      </w:r>
      <w:r w:rsidR="00D57599">
        <w:t xml:space="preserve">all </w:t>
      </w:r>
      <w:r w:rsidRPr="002D5ECA">
        <w:t xml:space="preserve">four types of social housing. </w:t>
      </w:r>
    </w:p>
    <w:p w14:paraId="55AC4388" w14:textId="77777777" w:rsidR="000F526F" w:rsidRPr="002D5ECA" w:rsidRDefault="000F526F" w:rsidP="000F526F">
      <w:pPr>
        <w:pStyle w:val="CGCBulletlist"/>
      </w:pPr>
      <w:r w:rsidRPr="002D5ECA">
        <w:t>Public housing</w:t>
      </w:r>
      <w:r w:rsidR="00C809D8">
        <w:t>, which</w:t>
      </w:r>
      <w:r w:rsidRPr="002D5ECA">
        <w:t xml:space="preserve"> </w:t>
      </w:r>
      <w:r w:rsidR="00C809D8">
        <w:t>is</w:t>
      </w:r>
      <w:r w:rsidRPr="002D5ECA">
        <w:t xml:space="preserve"> the public rental housing owned </w:t>
      </w:r>
      <w:r w:rsidR="00216433">
        <w:t>(</w:t>
      </w:r>
      <w:r w:rsidRPr="002D5ECA">
        <w:t>or leased</w:t>
      </w:r>
      <w:r w:rsidR="00216433">
        <w:t>) and managed</w:t>
      </w:r>
      <w:r w:rsidRPr="002D5ECA">
        <w:t xml:space="preserve"> by State governments. </w:t>
      </w:r>
      <w:r w:rsidR="007F3D7C">
        <w:t xml:space="preserve">It is provided both by the general government sector and PNFCs. </w:t>
      </w:r>
      <w:r w:rsidRPr="002D5ECA">
        <w:t>Most States provide public housing through public housing authorities, but Queensland, Tasmania and the Northern Territory provide it through State government departments.</w:t>
      </w:r>
    </w:p>
    <w:p w14:paraId="4CA799D0" w14:textId="77777777" w:rsidR="000F526F" w:rsidRPr="002D5ECA" w:rsidRDefault="000F526F" w:rsidP="000F526F">
      <w:pPr>
        <w:pStyle w:val="CGCBulletlist"/>
      </w:pPr>
      <w:r w:rsidRPr="002D5ECA">
        <w:t>State</w:t>
      </w:r>
      <w:r w:rsidRPr="002D5ECA">
        <w:noBreakHyphen/>
        <w:t>owned and managed Indigenous housing (SOMIH).</w:t>
      </w:r>
      <w:r w:rsidR="007F3D7C">
        <w:t xml:space="preserve"> In 2017, SOMIH operated in New South Wales, Queensland, South Australia, Tasmania and the Northern Territory.</w:t>
      </w:r>
    </w:p>
    <w:p w14:paraId="54C49F7F" w14:textId="77777777" w:rsidR="000F526F" w:rsidRPr="002D5ECA" w:rsidRDefault="000F526F" w:rsidP="000F526F">
      <w:pPr>
        <w:pStyle w:val="CGCBulletlist"/>
      </w:pPr>
      <w:r w:rsidRPr="002D5ECA">
        <w:t>Indigenous community housing organisation (ICHO) dwellings.</w:t>
      </w:r>
    </w:p>
    <w:p w14:paraId="1627AA4C" w14:textId="77777777" w:rsidR="000F526F" w:rsidRPr="002D5ECA" w:rsidRDefault="000F526F" w:rsidP="000F526F">
      <w:pPr>
        <w:pStyle w:val="CGCBulletlist"/>
      </w:pPr>
      <w:r w:rsidRPr="002D5ECA">
        <w:t xml:space="preserve">Mainstream community housing managed by not-for-profit organisations. It offers medium- or long-term tenure for low-income individuals and families. </w:t>
      </w:r>
    </w:p>
    <w:p w14:paraId="0ABCF350" w14:textId="77777777" w:rsidR="000F526F" w:rsidRDefault="000F526F" w:rsidP="000F526F">
      <w:pPr>
        <w:pStyle w:val="CGCNumberedPara"/>
      </w:pPr>
      <w:r w:rsidRPr="002D5ECA">
        <w:t>Public housing is the dominant component of the social housing stock but community housing has been growing rapidly in recent years</w:t>
      </w:r>
      <w:r>
        <w:t>.</w:t>
      </w:r>
      <w:r w:rsidR="007F3D7C">
        <w:t xml:space="preserve"> </w:t>
      </w:r>
    </w:p>
    <w:p w14:paraId="0DCF0567" w14:textId="0838B1BE" w:rsidR="00C809D8" w:rsidRDefault="008D1C4A" w:rsidP="007927C3">
      <w:pPr>
        <w:pStyle w:val="CGCNumberedPara"/>
      </w:pPr>
      <w:r>
        <w:t>The assessment recognise</w:t>
      </w:r>
      <w:r w:rsidR="008876D5">
        <w:t>s</w:t>
      </w:r>
      <w:r w:rsidRPr="002D5ECA">
        <w:t xml:space="preserve"> </w:t>
      </w:r>
      <w:r w:rsidR="007F3D7C">
        <w:t xml:space="preserve">that </w:t>
      </w:r>
      <w:r>
        <w:t xml:space="preserve">the </w:t>
      </w:r>
      <w:r w:rsidR="00C809D8" w:rsidRPr="00E37AD8">
        <w:t xml:space="preserve">use and cost of providing </w:t>
      </w:r>
      <w:r w:rsidR="00C809D8">
        <w:t xml:space="preserve">social </w:t>
      </w:r>
      <w:r w:rsidR="00C809D8" w:rsidRPr="00E37AD8">
        <w:t>housing services</w:t>
      </w:r>
      <w:r w:rsidR="00C809D8">
        <w:t xml:space="preserve"> </w:t>
      </w:r>
      <w:r w:rsidR="00ED0D35">
        <w:t xml:space="preserve">is </w:t>
      </w:r>
      <w:r w:rsidR="00C809D8">
        <w:t xml:space="preserve">affected by the </w:t>
      </w:r>
      <w:r w:rsidRPr="00E37AD8">
        <w:t xml:space="preserve">income, Indigenous status and </w:t>
      </w:r>
      <w:r w:rsidR="000828F8">
        <w:t>location</w:t>
      </w:r>
      <w:r w:rsidRPr="00E37AD8">
        <w:t xml:space="preserve"> </w:t>
      </w:r>
      <w:r w:rsidR="00C809D8">
        <w:t>of households</w:t>
      </w:r>
      <w:r w:rsidRPr="00E37AD8">
        <w:t xml:space="preserve">. </w:t>
      </w:r>
    </w:p>
    <w:p w14:paraId="5A0F02E1" w14:textId="7459CED5" w:rsidR="008E7ABE" w:rsidRPr="008E7ABE" w:rsidRDefault="007F1130" w:rsidP="00F75C43">
      <w:pPr>
        <w:pStyle w:val="CGCNumberedPara"/>
      </w:pPr>
      <w:r>
        <w:t xml:space="preserve">Social housing use is measured using </w:t>
      </w:r>
      <w:r w:rsidR="001F5982">
        <w:t xml:space="preserve">ABS Census data on </w:t>
      </w:r>
      <w:r w:rsidR="00123CFD">
        <w:t xml:space="preserve">the number of </w:t>
      </w:r>
      <w:r w:rsidR="00C809D8">
        <w:t xml:space="preserve">households in </w:t>
      </w:r>
      <w:r w:rsidR="006E4A1C">
        <w:t>social</w:t>
      </w:r>
      <w:r w:rsidR="00123CFD">
        <w:t xml:space="preserve"> housing</w:t>
      </w:r>
      <w:r w:rsidR="006E4A1C">
        <w:t xml:space="preserve"> broken down by </w:t>
      </w:r>
      <w:r w:rsidR="00123CFD" w:rsidRPr="00E37AD8">
        <w:t xml:space="preserve">income, Indigenous status and </w:t>
      </w:r>
      <w:r w:rsidR="000828F8">
        <w:t>location</w:t>
      </w:r>
      <w:r w:rsidR="006E4A1C">
        <w:t xml:space="preserve">. </w:t>
      </w:r>
      <w:r w:rsidR="008E7ABE">
        <w:t xml:space="preserve">For this purpose, </w:t>
      </w:r>
      <w:r w:rsidR="0009508C">
        <w:t>low-income</w:t>
      </w:r>
      <w:r w:rsidR="008C7DB3">
        <w:t xml:space="preserve"> households are defined </w:t>
      </w:r>
      <w:r w:rsidR="008E7ABE">
        <w:t xml:space="preserve">as those with an </w:t>
      </w:r>
      <w:r w:rsidR="008C7DB3">
        <w:t xml:space="preserve">equivalised </w:t>
      </w:r>
      <w:r w:rsidR="00F75C43">
        <w:t>t</w:t>
      </w:r>
      <w:r w:rsidR="00F75C43" w:rsidRPr="00F75C43">
        <w:t xml:space="preserve">otal </w:t>
      </w:r>
      <w:r w:rsidR="00F75C43">
        <w:t>h</w:t>
      </w:r>
      <w:r w:rsidR="00F75C43" w:rsidRPr="00F75C43">
        <w:t xml:space="preserve">ousehold </w:t>
      </w:r>
      <w:r w:rsidR="00F75C43">
        <w:t>i</w:t>
      </w:r>
      <w:r w:rsidR="00F75C43" w:rsidRPr="00F75C43">
        <w:t>ncome</w:t>
      </w:r>
      <w:r w:rsidR="00A15B40">
        <w:rPr>
          <w:rStyle w:val="FootnoteReference"/>
        </w:rPr>
        <w:footnoteReference w:id="1"/>
      </w:r>
      <w:r w:rsidR="00F75C43" w:rsidRPr="00F75C43">
        <w:t xml:space="preserve"> </w:t>
      </w:r>
      <w:r w:rsidR="008C7DB3">
        <w:t>of less than $</w:t>
      </w:r>
      <w:r w:rsidR="000F526F">
        <w:t>650 </w:t>
      </w:r>
      <w:r w:rsidR="008C7DB3">
        <w:t xml:space="preserve">per week </w:t>
      </w:r>
      <w:r w:rsidR="008E7ABE">
        <w:t xml:space="preserve">at the time of </w:t>
      </w:r>
      <w:r w:rsidR="008C7DB3">
        <w:t xml:space="preserve">the </w:t>
      </w:r>
      <w:r w:rsidR="000F526F">
        <w:t>2016 </w:t>
      </w:r>
      <w:r w:rsidR="008C7DB3">
        <w:t>Census</w:t>
      </w:r>
      <w:r w:rsidR="008E7ABE">
        <w:t xml:space="preserve">. This </w:t>
      </w:r>
      <w:r>
        <w:t xml:space="preserve">definition </w:t>
      </w:r>
      <w:r w:rsidR="008C7DB3">
        <w:t>broadly accord</w:t>
      </w:r>
      <w:r w:rsidR="008E7ABE">
        <w:t>s</w:t>
      </w:r>
      <w:r w:rsidR="008C7DB3">
        <w:t xml:space="preserve"> with </w:t>
      </w:r>
      <w:r w:rsidR="008E7ABE">
        <w:t xml:space="preserve">the </w:t>
      </w:r>
      <w:r w:rsidR="008C7DB3" w:rsidRPr="002D5ECA">
        <w:t xml:space="preserve">average income eligibility thresholds for access to public housing </w:t>
      </w:r>
      <w:r w:rsidR="008E7ABE">
        <w:t>by</w:t>
      </w:r>
      <w:r w:rsidR="008C7DB3" w:rsidRPr="002D5ECA">
        <w:t xml:space="preserve"> a single person</w:t>
      </w:r>
      <w:r w:rsidR="008C7DB3">
        <w:t xml:space="preserve">. </w:t>
      </w:r>
      <w:r w:rsidR="001F5982">
        <w:rPr>
          <w:rFonts w:cstheme="minorHAnsi"/>
        </w:rPr>
        <w:t xml:space="preserve">The Census household data are inflated by State population growth </w:t>
      </w:r>
      <w:r w:rsidR="007927C3">
        <w:rPr>
          <w:rFonts w:cstheme="minorHAnsi"/>
        </w:rPr>
        <w:t xml:space="preserve">to obtain data for each assessment year. </w:t>
      </w:r>
    </w:p>
    <w:p w14:paraId="0CEE5000" w14:textId="77777777" w:rsidR="007927C3" w:rsidRDefault="008E7ABE" w:rsidP="007927C3">
      <w:pPr>
        <w:pStyle w:val="CGCNumberedPara"/>
      </w:pPr>
      <w:r>
        <w:lastRenderedPageBreak/>
        <w:t xml:space="preserve">The </w:t>
      </w:r>
      <w:r w:rsidR="008D1C4A" w:rsidRPr="00B2691B">
        <w:t>extra costs of maintaining housing for Indigenous tenants</w:t>
      </w:r>
      <w:r w:rsidRPr="008E7ABE">
        <w:t xml:space="preserve"> </w:t>
      </w:r>
      <w:r>
        <w:t>are taken into account by applying a</w:t>
      </w:r>
      <w:r w:rsidR="00452C3F">
        <w:t>n Indigenous</w:t>
      </w:r>
      <w:r w:rsidRPr="00E37AD8">
        <w:t xml:space="preserve"> cost weight </w:t>
      </w:r>
      <w:r w:rsidR="00076AE9">
        <w:t xml:space="preserve">to the number of </w:t>
      </w:r>
      <w:r w:rsidR="00076AE9" w:rsidRPr="007927C3">
        <w:rPr>
          <w:rFonts w:cstheme="minorHAnsi"/>
        </w:rPr>
        <w:t>Indigenous households living in Indigenous-specific dwellings</w:t>
      </w:r>
      <w:r w:rsidR="008D1C4A" w:rsidRPr="002D5ECA">
        <w:t>.</w:t>
      </w:r>
      <w:r w:rsidR="008D1C4A">
        <w:t xml:space="preserve"> </w:t>
      </w:r>
      <w:r w:rsidR="002D77C0">
        <w:t xml:space="preserve">The </w:t>
      </w:r>
      <w:r w:rsidR="00076AE9">
        <w:t xml:space="preserve">number of those households is estimated using data in the </w:t>
      </w:r>
      <w:r w:rsidR="002D77C0">
        <w:t>Productivity Commission</w:t>
      </w:r>
      <w:r w:rsidR="00076AE9">
        <w:t>’s</w:t>
      </w:r>
      <w:r w:rsidR="007927C3">
        <w:t xml:space="preserve"> </w:t>
      </w:r>
      <w:r w:rsidR="007927C3" w:rsidRPr="00FD2101">
        <w:rPr>
          <w:i/>
        </w:rPr>
        <w:t>Report on Government Services</w:t>
      </w:r>
      <w:r w:rsidR="00452C3F" w:rsidRPr="00452C3F">
        <w:t>.</w:t>
      </w:r>
      <w:r w:rsidR="007927C3">
        <w:t xml:space="preserve"> </w:t>
      </w:r>
    </w:p>
    <w:p w14:paraId="2D7FD6CF" w14:textId="77777777" w:rsidR="00B54DDC" w:rsidRDefault="00BC55BE" w:rsidP="00BC55BE">
      <w:pPr>
        <w:pStyle w:val="CGCNumberedPara"/>
      </w:pPr>
      <w:r w:rsidRPr="00BC55BE">
        <w:t xml:space="preserve">Maintenance costs, which are estimated as 25% of State expenses on social housing, are affected by influences such as wage level differences and the cost of materials. The latter are better captured by differences in construction costs, which </w:t>
      </w:r>
      <w:r w:rsidR="00496521">
        <w:t>the Commission</w:t>
      </w:r>
      <w:r w:rsidRPr="00BC55BE">
        <w:t xml:space="preserve"> derive</w:t>
      </w:r>
      <w:r w:rsidR="00496521">
        <w:t>d</w:t>
      </w:r>
      <w:r w:rsidRPr="00BC55BE">
        <w:t xml:space="preserve"> from data in the Rawlinsons Australian Construction Handbook. Using judgement, the factor appl</w:t>
      </w:r>
      <w:r w:rsidR="00496521">
        <w:t>ied</w:t>
      </w:r>
      <w:r w:rsidRPr="00BC55BE">
        <w:t xml:space="preserve"> to maintenance expenses </w:t>
      </w:r>
      <w:r w:rsidR="00496521">
        <w:t>was</w:t>
      </w:r>
      <w:r w:rsidRPr="00BC55BE">
        <w:t xml:space="preserve"> derived as a 50% weighting of the housing location factor and a 50% weighting of the Rawlinson’s </w:t>
      </w:r>
      <w:r>
        <w:t>constructions cost factor.</w:t>
      </w:r>
      <w:r w:rsidR="00353879" w:rsidRPr="00971AD0">
        <w:t xml:space="preserve"> </w:t>
      </w:r>
    </w:p>
    <w:p w14:paraId="1C608FA1" w14:textId="77777777" w:rsidR="00E77C3A" w:rsidRDefault="00E77C3A" w:rsidP="00353879">
      <w:pPr>
        <w:pStyle w:val="Heading5"/>
      </w:pPr>
      <w:r>
        <w:t>Revenue</w:t>
      </w:r>
    </w:p>
    <w:p w14:paraId="3F72D174" w14:textId="4E2FFA24" w:rsidR="00902436" w:rsidRDefault="00833C71" w:rsidP="008D1C4A">
      <w:pPr>
        <w:pStyle w:val="CGCNumberedPara"/>
        <w:numPr>
          <w:ilvl w:val="1"/>
          <w:numId w:val="3"/>
        </w:numPr>
      </w:pPr>
      <w:r>
        <w:t xml:space="preserve">Social </w:t>
      </w:r>
      <w:r w:rsidR="007F1130">
        <w:t xml:space="preserve">housing </w:t>
      </w:r>
      <w:r w:rsidR="00902436">
        <w:t>is</w:t>
      </w:r>
      <w:r w:rsidR="007F1130">
        <w:t xml:space="preserve"> targeted at </w:t>
      </w:r>
      <w:r w:rsidR="0009508C">
        <w:t>low-income</w:t>
      </w:r>
      <w:r w:rsidR="007F1130">
        <w:t xml:space="preserve"> households </w:t>
      </w:r>
      <w:r w:rsidR="00902436">
        <w:t xml:space="preserve">and </w:t>
      </w:r>
      <w:r w:rsidR="007F1130">
        <w:t xml:space="preserve">rents </w:t>
      </w:r>
      <w:r w:rsidR="00902436">
        <w:t xml:space="preserve">are </w:t>
      </w:r>
      <w:r w:rsidR="007F1130">
        <w:t xml:space="preserve">set as </w:t>
      </w:r>
      <w:r w:rsidR="007F1130" w:rsidRPr="00CA76D7">
        <w:t>a proportion of</w:t>
      </w:r>
      <w:r w:rsidR="007F1130">
        <w:t xml:space="preserve"> household</w:t>
      </w:r>
      <w:r w:rsidR="007F1130" w:rsidRPr="00CA76D7">
        <w:t xml:space="preserve"> income</w:t>
      </w:r>
      <w:r>
        <w:t>.</w:t>
      </w:r>
    </w:p>
    <w:p w14:paraId="32DA314C" w14:textId="77777777" w:rsidR="00902436" w:rsidRDefault="00902436" w:rsidP="008D1C4A">
      <w:pPr>
        <w:pStyle w:val="CGCNumberedPara"/>
        <w:numPr>
          <w:ilvl w:val="1"/>
          <w:numId w:val="3"/>
        </w:numPr>
      </w:pPr>
      <w:r>
        <w:t xml:space="preserve">The revenue assessment recognises the effects of </w:t>
      </w:r>
      <w:r w:rsidR="00272850">
        <w:t xml:space="preserve">household </w:t>
      </w:r>
      <w:r w:rsidRPr="00E37AD8">
        <w:rPr>
          <w:iCs/>
        </w:rPr>
        <w:t>income, Indigenous status and remoteness</w:t>
      </w:r>
      <w:r>
        <w:rPr>
          <w:iCs/>
        </w:rPr>
        <w:t xml:space="preserve"> on rent revenue.</w:t>
      </w:r>
      <w:r w:rsidR="00272850">
        <w:rPr>
          <w:iCs/>
        </w:rPr>
        <w:t xml:space="preserve"> </w:t>
      </w:r>
      <w:r w:rsidR="00272850">
        <w:t>Again, ABS Census data are used to measure household numbers.</w:t>
      </w:r>
    </w:p>
    <w:p w14:paraId="77A2087F" w14:textId="77777777" w:rsidR="00E77C3A" w:rsidRDefault="00A31EF6" w:rsidP="00E11681">
      <w:pPr>
        <w:pStyle w:val="Heading5"/>
      </w:pPr>
      <w:r>
        <w:t>First home owner expenses</w:t>
      </w:r>
    </w:p>
    <w:p w14:paraId="1E2CF2D0" w14:textId="77777777" w:rsidR="00272850" w:rsidRDefault="00C67AD6" w:rsidP="00C67AD6">
      <w:pPr>
        <w:pStyle w:val="CGCNumberedPara"/>
      </w:pPr>
      <w:r>
        <w:t xml:space="preserve">Data on </w:t>
      </w:r>
      <w:r w:rsidR="00272850">
        <w:t xml:space="preserve">the costs to States of </w:t>
      </w:r>
      <w:r w:rsidR="00367DDC">
        <w:t>FHOGs</w:t>
      </w:r>
      <w:r>
        <w:t xml:space="preserve"> and stamp duty c</w:t>
      </w:r>
      <w:r w:rsidRPr="00C67AD6">
        <w:t xml:space="preserve">oncessions </w:t>
      </w:r>
      <w:r w:rsidR="008876D5">
        <w:t>are</w:t>
      </w:r>
      <w:r w:rsidR="007927C3">
        <w:t xml:space="preserve"> obtained via State data request</w:t>
      </w:r>
      <w:r>
        <w:t>s</w:t>
      </w:r>
      <w:r w:rsidR="007927C3">
        <w:t xml:space="preserve">. </w:t>
      </w:r>
    </w:p>
    <w:p w14:paraId="3D6BE703" w14:textId="77777777" w:rsidR="008D1C4A" w:rsidRDefault="00272850" w:rsidP="00C67AD6">
      <w:pPr>
        <w:pStyle w:val="CGCNumberedPara"/>
      </w:pPr>
      <w:r>
        <w:t>These expenses are assessed on a</w:t>
      </w:r>
      <w:r w:rsidR="008D1C4A">
        <w:t xml:space="preserve">n </w:t>
      </w:r>
      <w:r w:rsidR="003C0DA1">
        <w:t>equal per capita (</w:t>
      </w:r>
      <w:r w:rsidR="008D1C4A" w:rsidRPr="00E37AD8">
        <w:t>EPC</w:t>
      </w:r>
      <w:r w:rsidR="003C0DA1">
        <w:t>)</w:t>
      </w:r>
      <w:r w:rsidR="008D1C4A" w:rsidRPr="00E37AD8">
        <w:t xml:space="preserve"> </w:t>
      </w:r>
      <w:r>
        <w:t xml:space="preserve">basis because </w:t>
      </w:r>
      <w:r w:rsidR="000B45FC">
        <w:t>the Commission</w:t>
      </w:r>
      <w:r w:rsidR="008D1C4A">
        <w:t xml:space="preserve"> </w:t>
      </w:r>
      <w:r w:rsidR="00755B3D">
        <w:t>w</w:t>
      </w:r>
      <w:r w:rsidR="000B45FC">
        <w:t>as</w:t>
      </w:r>
      <w:r w:rsidR="00755B3D">
        <w:t xml:space="preserve"> unable to</w:t>
      </w:r>
      <w:r w:rsidR="008D1C4A">
        <w:t xml:space="preserve"> find</w:t>
      </w:r>
      <w:r w:rsidR="008D1C4A" w:rsidRPr="00E37AD8">
        <w:t xml:space="preserve"> </w:t>
      </w:r>
      <w:r w:rsidR="00755B3D">
        <w:t>a</w:t>
      </w:r>
      <w:r w:rsidR="008D1C4A" w:rsidRPr="00E37AD8">
        <w:t xml:space="preserve"> policy neutral</w:t>
      </w:r>
      <w:r>
        <w:t>,</w:t>
      </w:r>
      <w:r w:rsidR="008D1C4A" w:rsidRPr="00E37AD8">
        <w:t xml:space="preserve"> reliable measure of </w:t>
      </w:r>
      <w:r>
        <w:t>factors which may drive them</w:t>
      </w:r>
      <w:r w:rsidR="00C67814">
        <w:t xml:space="preserve">. </w:t>
      </w:r>
    </w:p>
    <w:p w14:paraId="6F8A2292" w14:textId="77777777" w:rsidR="00E11681" w:rsidRPr="00E11681" w:rsidRDefault="008D1C4A" w:rsidP="00E11681">
      <w:pPr>
        <w:pStyle w:val="Heading5"/>
        <w:rPr>
          <w:i w:val="0"/>
        </w:rPr>
      </w:pPr>
      <w:r w:rsidRPr="00E11681">
        <w:rPr>
          <w:iCs/>
        </w:rPr>
        <w:t>Investment and depreciation</w:t>
      </w:r>
    </w:p>
    <w:p w14:paraId="215D3BFE" w14:textId="7CB1C87C" w:rsidR="000C4F32" w:rsidRDefault="008D1C4A" w:rsidP="008D1C4A">
      <w:pPr>
        <w:pStyle w:val="CGCNumberedPara"/>
        <w:numPr>
          <w:ilvl w:val="1"/>
          <w:numId w:val="3"/>
        </w:numPr>
      </w:pPr>
      <w:r>
        <w:t>Investment</w:t>
      </w:r>
      <w:bookmarkStart w:id="27" w:name="_Ref460246683"/>
      <w:r>
        <w:rPr>
          <w:rStyle w:val="FootnoteReference"/>
        </w:rPr>
        <w:footnoteReference w:id="2"/>
      </w:r>
      <w:bookmarkEnd w:id="27"/>
      <w:r>
        <w:t xml:space="preserve"> and depreciation expenses </w:t>
      </w:r>
      <w:r w:rsidR="008876D5">
        <w:t>are</w:t>
      </w:r>
      <w:r>
        <w:t xml:space="preserve"> </w:t>
      </w:r>
      <w:r w:rsidRPr="007873CE">
        <w:t xml:space="preserve">assessed </w:t>
      </w:r>
      <w:r w:rsidR="00740F75">
        <w:t xml:space="preserve">as part of the assessments for the </w:t>
      </w:r>
      <w:r w:rsidR="00ED0D35">
        <w:t>c</w:t>
      </w:r>
      <w:r w:rsidR="00740F75">
        <w:t xml:space="preserve">apital categories. Those assessments measure the need for housing investment and depreciation by reference to the cost weighted number of households in social housing derived for the </w:t>
      </w:r>
      <w:r w:rsidR="00740F75" w:rsidRPr="007873CE">
        <w:t>Housing category</w:t>
      </w:r>
      <w:r w:rsidR="00740F75">
        <w:t xml:space="preserve">’s services expenses </w:t>
      </w:r>
      <w:r w:rsidR="00740F75" w:rsidRPr="007873CE">
        <w:t>component</w:t>
      </w:r>
      <w:r w:rsidR="00740F75">
        <w:t xml:space="preserve">. </w:t>
      </w:r>
      <w:r w:rsidR="000C4F32">
        <w:t xml:space="preserve">The following cost weights </w:t>
      </w:r>
      <w:r w:rsidR="0022560E">
        <w:t xml:space="preserve">are </w:t>
      </w:r>
      <w:r w:rsidR="000C4F32">
        <w:t>applied in the assessment.</w:t>
      </w:r>
    </w:p>
    <w:p w14:paraId="10D349FB" w14:textId="77777777" w:rsidR="000C4F32" w:rsidRDefault="008D1C4A" w:rsidP="000C4F32">
      <w:pPr>
        <w:pStyle w:val="CGCBulletlist"/>
      </w:pPr>
      <w:r w:rsidRPr="007873CE">
        <w:t>Indigenous cost weight</w:t>
      </w:r>
      <w:r w:rsidR="00237F64">
        <w:t xml:space="preserve">. It is </w:t>
      </w:r>
      <w:r w:rsidRPr="007873CE">
        <w:t xml:space="preserve">applied </w:t>
      </w:r>
      <w:r w:rsidR="00353879">
        <w:t>only</w:t>
      </w:r>
      <w:r w:rsidR="00353879" w:rsidRPr="007873CE">
        <w:t xml:space="preserve"> </w:t>
      </w:r>
      <w:r w:rsidRPr="007873CE">
        <w:t>to housing built specifically for Indigenous tenants (</w:t>
      </w:r>
      <w:r w:rsidR="003C0DA1">
        <w:t>SOMIH</w:t>
      </w:r>
      <w:r w:rsidR="00755B3D" w:rsidRPr="002D5ECA">
        <w:t xml:space="preserve"> </w:t>
      </w:r>
      <w:r w:rsidRPr="007873CE">
        <w:t xml:space="preserve">and </w:t>
      </w:r>
      <w:r w:rsidR="00740F75">
        <w:t xml:space="preserve">dwellings managed by funded </w:t>
      </w:r>
      <w:r w:rsidR="006065D0">
        <w:t>ICHOs</w:t>
      </w:r>
      <w:r w:rsidRPr="007873CE">
        <w:t xml:space="preserve">) </w:t>
      </w:r>
      <w:r w:rsidR="000C4F32">
        <w:t>because</w:t>
      </w:r>
      <w:r w:rsidRPr="007873CE">
        <w:t xml:space="preserve"> </w:t>
      </w:r>
      <w:r w:rsidR="00237F64">
        <w:lastRenderedPageBreak/>
        <w:t>this type of housing</w:t>
      </w:r>
      <w:r w:rsidRPr="007873CE">
        <w:t xml:space="preserve"> is often larger and with higher specifications than public housing or mainstream community housing. </w:t>
      </w:r>
    </w:p>
    <w:p w14:paraId="14C9D955" w14:textId="77777777" w:rsidR="000C4F32" w:rsidRDefault="000C4F32" w:rsidP="000C4F32">
      <w:pPr>
        <w:pStyle w:val="CGCBulletlist"/>
      </w:pPr>
      <w:r>
        <w:t>A capital cost disability</w:t>
      </w:r>
      <w:r w:rsidR="00237F64">
        <w:t>. It</w:t>
      </w:r>
      <w:r>
        <w:t xml:space="preserve"> allows for i</w:t>
      </w:r>
      <w:r w:rsidR="008D1C4A" w:rsidRPr="007873CE">
        <w:t>nterstate differences in wage levels, the price of materials and other</w:t>
      </w:r>
      <w:r w:rsidR="008D1C4A" w:rsidRPr="00F46B46">
        <w:t xml:space="preserve"> unavoidable factors affecting the cost of infrastructure.</w:t>
      </w:r>
      <w:r w:rsidR="008D1C4A">
        <w:t xml:space="preserve"> </w:t>
      </w:r>
      <w:r>
        <w:t>It</w:t>
      </w:r>
      <w:r w:rsidR="008D1C4A">
        <w:t xml:space="preserve"> </w:t>
      </w:r>
      <w:r w:rsidR="008876D5">
        <w:t>is</w:t>
      </w:r>
      <w:r w:rsidR="008D1C4A" w:rsidRPr="00971AD0">
        <w:t xml:space="preserve"> a simple average of the Rawlinsons-based </w:t>
      </w:r>
      <w:r w:rsidR="008D1C4A">
        <w:t xml:space="preserve">construction </w:t>
      </w:r>
      <w:r w:rsidR="008D1C4A" w:rsidRPr="00971AD0">
        <w:t xml:space="preserve">cost factors and the </w:t>
      </w:r>
      <w:r>
        <w:t xml:space="preserve">Commission’s </w:t>
      </w:r>
      <w:r w:rsidR="00ED4998">
        <w:t xml:space="preserve">wage costs and regional </w:t>
      </w:r>
      <w:r w:rsidR="008D1C4A" w:rsidRPr="00971AD0">
        <w:t>cost</w:t>
      </w:r>
      <w:r w:rsidR="00ED4998">
        <w:t>s</w:t>
      </w:r>
      <w:r w:rsidR="008D1C4A" w:rsidRPr="00971AD0">
        <w:t xml:space="preserve"> factors. </w:t>
      </w:r>
    </w:p>
    <w:p w14:paraId="1EA35FBB" w14:textId="77777777" w:rsidR="000C4F32" w:rsidRDefault="000C4F32" w:rsidP="008D1C4A">
      <w:pPr>
        <w:pStyle w:val="CGCNumberedPara"/>
        <w:numPr>
          <w:ilvl w:val="1"/>
          <w:numId w:val="3"/>
        </w:numPr>
      </w:pPr>
      <w:r>
        <w:t>T</w:t>
      </w:r>
      <w:r w:rsidR="00171224">
        <w:t>he I</w:t>
      </w:r>
      <w:r w:rsidR="008D1C4A">
        <w:t>nvestment assessment r</w:t>
      </w:r>
      <w:r w:rsidR="008D1C4A" w:rsidRPr="004C662B">
        <w:t>ecognise</w:t>
      </w:r>
      <w:r w:rsidR="008876D5">
        <w:t>s</w:t>
      </w:r>
      <w:r w:rsidR="008D1C4A" w:rsidRPr="004C662B">
        <w:t xml:space="preserve"> the impact of differences between States in population growth on the need for infrastructure. </w:t>
      </w:r>
    </w:p>
    <w:p w14:paraId="7C9C5834" w14:textId="4B654664" w:rsidR="008D1C4A" w:rsidRDefault="000B45FC" w:rsidP="008D1C4A">
      <w:pPr>
        <w:pStyle w:val="CGCNumberedPara"/>
        <w:numPr>
          <w:ilvl w:val="1"/>
          <w:numId w:val="3"/>
        </w:numPr>
      </w:pPr>
      <w:r>
        <w:t xml:space="preserve">The </w:t>
      </w:r>
      <w:r w:rsidR="00ED0D35">
        <w:t>f</w:t>
      </w:r>
      <w:r w:rsidR="008D1C4A">
        <w:t xml:space="preserve">irst home owner </w:t>
      </w:r>
      <w:r>
        <w:t>assessment</w:t>
      </w:r>
      <w:r w:rsidR="008D1C4A" w:rsidRPr="00833439">
        <w:t xml:space="preserve"> </w:t>
      </w:r>
      <w:r w:rsidR="000C4F32">
        <w:t>do</w:t>
      </w:r>
      <w:r>
        <w:t>es</w:t>
      </w:r>
      <w:r w:rsidR="000C4F32">
        <w:t xml:space="preserve"> not affect</w:t>
      </w:r>
      <w:r w:rsidR="008D1C4A" w:rsidRPr="00833439">
        <w:t xml:space="preserve"> State infrastructure requirements</w:t>
      </w:r>
      <w:r w:rsidR="008D1C4A">
        <w:t>.</w:t>
      </w:r>
    </w:p>
    <w:p w14:paraId="14F0C9D7" w14:textId="77777777" w:rsidR="00E11681" w:rsidRDefault="00E11681" w:rsidP="00407BAD">
      <w:pPr>
        <w:pStyle w:val="Heading5"/>
      </w:pPr>
      <w:r>
        <w:t xml:space="preserve">GST </w:t>
      </w:r>
      <w:r w:rsidR="00D670F4">
        <w:t>re</w:t>
      </w:r>
      <w:r>
        <w:t>distribution</w:t>
      </w:r>
    </w:p>
    <w:p w14:paraId="747BF5D3" w14:textId="23ED9250" w:rsidR="00E11681" w:rsidRDefault="00A31EF6" w:rsidP="00E11681">
      <w:pPr>
        <w:pStyle w:val="CGCNumberedPara"/>
        <w:numPr>
          <w:ilvl w:val="1"/>
          <w:numId w:val="3"/>
        </w:numPr>
      </w:pPr>
      <w:r>
        <w:fldChar w:fldCharType="begin"/>
      </w:r>
      <w:r>
        <w:instrText xml:space="preserve"> REF _Ref496100394 \h </w:instrText>
      </w:r>
      <w:r>
        <w:fldChar w:fldCharType="separate"/>
      </w:r>
      <w:r w:rsidR="00566C01">
        <w:t xml:space="preserve">Table </w:t>
      </w:r>
      <w:r w:rsidR="00566C01">
        <w:rPr>
          <w:noProof/>
        </w:rPr>
        <w:t>2</w:t>
      </w:r>
      <w:r>
        <w:fldChar w:fldCharType="end"/>
      </w:r>
      <w:r>
        <w:t xml:space="preserve"> </w:t>
      </w:r>
      <w:r w:rsidR="00E11681">
        <w:t xml:space="preserve">shows the GST redistributed by each component of the </w:t>
      </w:r>
      <w:r w:rsidR="000C4F32">
        <w:t>H</w:t>
      </w:r>
      <w:r>
        <w:t>ousing</w:t>
      </w:r>
      <w:r w:rsidR="00E11681">
        <w:t xml:space="preserve"> </w:t>
      </w:r>
      <w:r w:rsidR="000B45FC">
        <w:t>category</w:t>
      </w:r>
      <w:r w:rsidR="00E11681">
        <w:t>.</w:t>
      </w:r>
    </w:p>
    <w:p w14:paraId="52928CBF" w14:textId="4795A7F1" w:rsidR="00E11681" w:rsidRDefault="00E11681" w:rsidP="00E11681">
      <w:pPr>
        <w:pStyle w:val="CGCTableHeading"/>
      </w:pPr>
      <w:bookmarkStart w:id="28" w:name="_Ref496100394"/>
      <w:r>
        <w:t xml:space="preserve">Table </w:t>
      </w:r>
      <w:r w:rsidR="00CE292F">
        <w:fldChar w:fldCharType="begin"/>
      </w:r>
      <w:r w:rsidR="00CE292F">
        <w:instrText xml:space="preserve"> SEQ Table \* ARABIC </w:instrText>
      </w:r>
      <w:r w:rsidR="00CE292F">
        <w:fldChar w:fldCharType="separate"/>
      </w:r>
      <w:r w:rsidR="00566C01">
        <w:rPr>
          <w:noProof/>
        </w:rPr>
        <w:t>2</w:t>
      </w:r>
      <w:r w:rsidR="00CE292F">
        <w:rPr>
          <w:noProof/>
        </w:rPr>
        <w:fldChar w:fldCharType="end"/>
      </w:r>
      <w:bookmarkEnd w:id="28"/>
      <w:r>
        <w:tab/>
        <w:t xml:space="preserve">GST </w:t>
      </w:r>
      <w:r w:rsidR="0009508C">
        <w:t>re</w:t>
      </w:r>
      <w:r>
        <w:t>distribution, Housing category</w:t>
      </w:r>
    </w:p>
    <w:tbl>
      <w:tblPr>
        <w:tblW w:w="8960" w:type="dxa"/>
        <w:tblInd w:w="93" w:type="dxa"/>
        <w:tblLook w:val="04A0" w:firstRow="1" w:lastRow="0" w:firstColumn="1" w:lastColumn="0" w:noHBand="0" w:noVBand="1"/>
      </w:tblPr>
      <w:tblGrid>
        <w:gridCol w:w="2600"/>
        <w:gridCol w:w="700"/>
        <w:gridCol w:w="780"/>
        <w:gridCol w:w="680"/>
        <w:gridCol w:w="680"/>
        <w:gridCol w:w="680"/>
        <w:gridCol w:w="620"/>
        <w:gridCol w:w="680"/>
        <w:gridCol w:w="720"/>
        <w:gridCol w:w="820"/>
      </w:tblGrid>
      <w:tr w:rsidR="0009508C" w:rsidRPr="0009508C" w14:paraId="26390EE1" w14:textId="77777777" w:rsidTr="0009508C">
        <w:trPr>
          <w:trHeight w:val="379"/>
        </w:trPr>
        <w:tc>
          <w:tcPr>
            <w:tcW w:w="2600" w:type="dxa"/>
            <w:tcBorders>
              <w:top w:val="single" w:sz="4" w:space="0" w:color="auto"/>
              <w:left w:val="nil"/>
              <w:bottom w:val="single" w:sz="4" w:space="0" w:color="auto"/>
              <w:right w:val="nil"/>
            </w:tcBorders>
            <w:shd w:val="clear" w:color="auto" w:fill="auto"/>
            <w:noWrap/>
            <w:vAlign w:val="center"/>
            <w:hideMark/>
          </w:tcPr>
          <w:p w14:paraId="1E3A44B5"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bookmarkStart w:id="29" w:name="RANGE!A1:J6"/>
            <w:r w:rsidRPr="0009508C">
              <w:rPr>
                <w:rFonts w:ascii="Calibri" w:eastAsia="Times New Roman" w:hAnsi="Calibri" w:cstheme="minorHAnsi"/>
                <w:color w:val="000000"/>
                <w:sz w:val="20"/>
                <w:szCs w:val="20"/>
                <w:lang w:eastAsia="en-AU"/>
              </w:rPr>
              <w:t> </w:t>
            </w:r>
            <w:bookmarkEnd w:id="29"/>
          </w:p>
        </w:tc>
        <w:tc>
          <w:tcPr>
            <w:tcW w:w="700" w:type="dxa"/>
            <w:tcBorders>
              <w:top w:val="single" w:sz="4" w:space="0" w:color="auto"/>
              <w:left w:val="nil"/>
              <w:bottom w:val="single" w:sz="4" w:space="0" w:color="auto"/>
              <w:right w:val="nil"/>
            </w:tcBorders>
            <w:shd w:val="clear" w:color="auto" w:fill="auto"/>
            <w:noWrap/>
            <w:vAlign w:val="center"/>
            <w:hideMark/>
          </w:tcPr>
          <w:p w14:paraId="3C6A8F2C"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14:paraId="5F036665"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Vic</w:t>
            </w:r>
          </w:p>
        </w:tc>
        <w:tc>
          <w:tcPr>
            <w:tcW w:w="680" w:type="dxa"/>
            <w:tcBorders>
              <w:top w:val="single" w:sz="4" w:space="0" w:color="auto"/>
              <w:left w:val="nil"/>
              <w:bottom w:val="single" w:sz="4" w:space="0" w:color="auto"/>
              <w:right w:val="nil"/>
            </w:tcBorders>
            <w:shd w:val="clear" w:color="auto" w:fill="auto"/>
            <w:noWrap/>
            <w:vAlign w:val="center"/>
            <w:hideMark/>
          </w:tcPr>
          <w:p w14:paraId="207C219C"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Qld</w:t>
            </w:r>
          </w:p>
        </w:tc>
        <w:tc>
          <w:tcPr>
            <w:tcW w:w="680" w:type="dxa"/>
            <w:tcBorders>
              <w:top w:val="single" w:sz="4" w:space="0" w:color="auto"/>
              <w:left w:val="nil"/>
              <w:bottom w:val="single" w:sz="4" w:space="0" w:color="auto"/>
              <w:right w:val="nil"/>
            </w:tcBorders>
            <w:shd w:val="clear" w:color="auto" w:fill="auto"/>
            <w:noWrap/>
            <w:vAlign w:val="center"/>
            <w:hideMark/>
          </w:tcPr>
          <w:p w14:paraId="55222D3F"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14:paraId="1B2E9FF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SA</w:t>
            </w:r>
          </w:p>
        </w:tc>
        <w:tc>
          <w:tcPr>
            <w:tcW w:w="620" w:type="dxa"/>
            <w:tcBorders>
              <w:top w:val="single" w:sz="4" w:space="0" w:color="auto"/>
              <w:left w:val="nil"/>
              <w:bottom w:val="single" w:sz="4" w:space="0" w:color="auto"/>
              <w:right w:val="nil"/>
            </w:tcBorders>
            <w:shd w:val="clear" w:color="auto" w:fill="auto"/>
            <w:noWrap/>
            <w:vAlign w:val="center"/>
            <w:hideMark/>
          </w:tcPr>
          <w:p w14:paraId="66BC2EB5"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Tas</w:t>
            </w:r>
          </w:p>
        </w:tc>
        <w:tc>
          <w:tcPr>
            <w:tcW w:w="680" w:type="dxa"/>
            <w:tcBorders>
              <w:top w:val="single" w:sz="4" w:space="0" w:color="auto"/>
              <w:left w:val="nil"/>
              <w:bottom w:val="single" w:sz="4" w:space="0" w:color="auto"/>
              <w:right w:val="nil"/>
            </w:tcBorders>
            <w:shd w:val="clear" w:color="auto" w:fill="auto"/>
            <w:noWrap/>
            <w:vAlign w:val="center"/>
            <w:hideMark/>
          </w:tcPr>
          <w:p w14:paraId="5C58BD6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14:paraId="53661418"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14:paraId="0E1DBF1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Redist</w:t>
            </w:r>
          </w:p>
        </w:tc>
      </w:tr>
      <w:tr w:rsidR="0009508C" w:rsidRPr="0009508C" w14:paraId="25851640" w14:textId="77777777" w:rsidTr="0009508C">
        <w:trPr>
          <w:trHeight w:val="259"/>
        </w:trPr>
        <w:tc>
          <w:tcPr>
            <w:tcW w:w="2600" w:type="dxa"/>
            <w:tcBorders>
              <w:top w:val="nil"/>
              <w:left w:val="nil"/>
              <w:bottom w:val="nil"/>
              <w:right w:val="nil"/>
            </w:tcBorders>
            <w:shd w:val="clear" w:color="auto" w:fill="auto"/>
            <w:noWrap/>
            <w:vAlign w:val="bottom"/>
            <w:hideMark/>
          </w:tcPr>
          <w:p w14:paraId="75FC9DAF"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p>
        </w:tc>
        <w:tc>
          <w:tcPr>
            <w:tcW w:w="700" w:type="dxa"/>
            <w:tcBorders>
              <w:top w:val="nil"/>
              <w:left w:val="nil"/>
              <w:bottom w:val="nil"/>
              <w:right w:val="nil"/>
            </w:tcBorders>
            <w:shd w:val="clear" w:color="auto" w:fill="auto"/>
            <w:noWrap/>
            <w:vAlign w:val="bottom"/>
            <w:hideMark/>
          </w:tcPr>
          <w:p w14:paraId="773A3B8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780" w:type="dxa"/>
            <w:tcBorders>
              <w:top w:val="nil"/>
              <w:left w:val="nil"/>
              <w:bottom w:val="nil"/>
              <w:right w:val="nil"/>
            </w:tcBorders>
            <w:shd w:val="clear" w:color="auto" w:fill="auto"/>
            <w:noWrap/>
            <w:vAlign w:val="bottom"/>
            <w:hideMark/>
          </w:tcPr>
          <w:p w14:paraId="1009CAA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62B0868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29265179"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3E1053A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620" w:type="dxa"/>
            <w:tcBorders>
              <w:top w:val="nil"/>
              <w:left w:val="nil"/>
              <w:bottom w:val="nil"/>
              <w:right w:val="nil"/>
            </w:tcBorders>
            <w:shd w:val="clear" w:color="auto" w:fill="auto"/>
            <w:noWrap/>
            <w:vAlign w:val="bottom"/>
            <w:hideMark/>
          </w:tcPr>
          <w:p w14:paraId="1366904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60B8CBE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720" w:type="dxa"/>
            <w:tcBorders>
              <w:top w:val="nil"/>
              <w:left w:val="nil"/>
              <w:bottom w:val="nil"/>
              <w:right w:val="nil"/>
            </w:tcBorders>
            <w:shd w:val="clear" w:color="auto" w:fill="auto"/>
            <w:noWrap/>
            <w:vAlign w:val="bottom"/>
            <w:hideMark/>
          </w:tcPr>
          <w:p w14:paraId="2C724E68"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3836B330"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$m</w:t>
            </w:r>
          </w:p>
        </w:tc>
      </w:tr>
      <w:tr w:rsidR="0009508C" w:rsidRPr="0009508C" w14:paraId="64E42E05" w14:textId="77777777" w:rsidTr="0009508C">
        <w:trPr>
          <w:trHeight w:val="315"/>
        </w:trPr>
        <w:tc>
          <w:tcPr>
            <w:tcW w:w="2600" w:type="dxa"/>
            <w:tcBorders>
              <w:top w:val="nil"/>
              <w:left w:val="nil"/>
              <w:bottom w:val="nil"/>
              <w:right w:val="nil"/>
            </w:tcBorders>
            <w:shd w:val="clear" w:color="auto" w:fill="auto"/>
            <w:vAlign w:val="bottom"/>
            <w:hideMark/>
          </w:tcPr>
          <w:p w14:paraId="7DB3589B" w14:textId="77777777" w:rsidR="0009508C" w:rsidRPr="0009508C" w:rsidRDefault="0009508C" w:rsidP="0009508C">
            <w:pPr>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heme="minorHAnsi"/>
                <w:color w:val="000000"/>
                <w:sz w:val="20"/>
                <w:szCs w:val="20"/>
                <w:lang w:eastAsia="en-AU"/>
              </w:rPr>
              <w:t>Service expenses</w:t>
            </w:r>
          </w:p>
        </w:tc>
        <w:tc>
          <w:tcPr>
            <w:tcW w:w="700" w:type="dxa"/>
            <w:tcBorders>
              <w:top w:val="nil"/>
              <w:left w:val="nil"/>
              <w:bottom w:val="nil"/>
              <w:right w:val="nil"/>
            </w:tcBorders>
            <w:shd w:val="clear" w:color="auto" w:fill="auto"/>
            <w:vAlign w:val="bottom"/>
            <w:hideMark/>
          </w:tcPr>
          <w:p w14:paraId="645B3DD3"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-99</w:t>
            </w:r>
          </w:p>
        </w:tc>
        <w:tc>
          <w:tcPr>
            <w:tcW w:w="780" w:type="dxa"/>
            <w:tcBorders>
              <w:top w:val="nil"/>
              <w:left w:val="nil"/>
              <w:bottom w:val="nil"/>
              <w:right w:val="nil"/>
            </w:tcBorders>
            <w:shd w:val="clear" w:color="auto" w:fill="auto"/>
            <w:vAlign w:val="bottom"/>
            <w:hideMark/>
          </w:tcPr>
          <w:p w14:paraId="1B5FA9E3"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-182</w:t>
            </w:r>
          </w:p>
        </w:tc>
        <w:tc>
          <w:tcPr>
            <w:tcW w:w="680" w:type="dxa"/>
            <w:tcBorders>
              <w:top w:val="nil"/>
              <w:left w:val="nil"/>
              <w:bottom w:val="nil"/>
              <w:right w:val="nil"/>
            </w:tcBorders>
            <w:shd w:val="clear" w:color="auto" w:fill="auto"/>
            <w:vAlign w:val="bottom"/>
            <w:hideMark/>
          </w:tcPr>
          <w:p w14:paraId="400521F6"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55</w:t>
            </w:r>
          </w:p>
        </w:tc>
        <w:tc>
          <w:tcPr>
            <w:tcW w:w="680" w:type="dxa"/>
            <w:tcBorders>
              <w:top w:val="nil"/>
              <w:left w:val="nil"/>
              <w:bottom w:val="nil"/>
              <w:right w:val="nil"/>
            </w:tcBorders>
            <w:shd w:val="clear" w:color="auto" w:fill="auto"/>
            <w:vAlign w:val="bottom"/>
            <w:hideMark/>
          </w:tcPr>
          <w:p w14:paraId="1FF4B28F"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62</w:t>
            </w:r>
          </w:p>
        </w:tc>
        <w:tc>
          <w:tcPr>
            <w:tcW w:w="680" w:type="dxa"/>
            <w:tcBorders>
              <w:top w:val="nil"/>
              <w:left w:val="nil"/>
              <w:bottom w:val="nil"/>
              <w:right w:val="nil"/>
            </w:tcBorders>
            <w:shd w:val="clear" w:color="auto" w:fill="auto"/>
            <w:vAlign w:val="bottom"/>
            <w:hideMark/>
          </w:tcPr>
          <w:p w14:paraId="0972E9C6"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76</w:t>
            </w:r>
          </w:p>
        </w:tc>
        <w:tc>
          <w:tcPr>
            <w:tcW w:w="620" w:type="dxa"/>
            <w:tcBorders>
              <w:top w:val="nil"/>
              <w:left w:val="nil"/>
              <w:bottom w:val="nil"/>
              <w:right w:val="nil"/>
            </w:tcBorders>
            <w:shd w:val="clear" w:color="auto" w:fill="auto"/>
            <w:vAlign w:val="bottom"/>
            <w:hideMark/>
          </w:tcPr>
          <w:p w14:paraId="187F11E5"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9</w:t>
            </w:r>
          </w:p>
        </w:tc>
        <w:tc>
          <w:tcPr>
            <w:tcW w:w="680" w:type="dxa"/>
            <w:tcBorders>
              <w:top w:val="nil"/>
              <w:left w:val="nil"/>
              <w:bottom w:val="nil"/>
              <w:right w:val="nil"/>
            </w:tcBorders>
            <w:shd w:val="clear" w:color="auto" w:fill="auto"/>
            <w:vAlign w:val="bottom"/>
            <w:hideMark/>
          </w:tcPr>
          <w:p w14:paraId="5DDE442C"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-31</w:t>
            </w:r>
          </w:p>
        </w:tc>
        <w:tc>
          <w:tcPr>
            <w:tcW w:w="720" w:type="dxa"/>
            <w:tcBorders>
              <w:top w:val="nil"/>
              <w:left w:val="nil"/>
              <w:bottom w:val="nil"/>
              <w:right w:val="nil"/>
            </w:tcBorders>
            <w:shd w:val="clear" w:color="auto" w:fill="auto"/>
            <w:vAlign w:val="bottom"/>
            <w:hideMark/>
          </w:tcPr>
          <w:p w14:paraId="32EA3ED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110</w:t>
            </w:r>
          </w:p>
        </w:tc>
        <w:tc>
          <w:tcPr>
            <w:tcW w:w="820" w:type="dxa"/>
            <w:tcBorders>
              <w:top w:val="nil"/>
              <w:left w:val="nil"/>
              <w:bottom w:val="nil"/>
              <w:right w:val="nil"/>
            </w:tcBorders>
            <w:shd w:val="clear" w:color="auto" w:fill="auto"/>
            <w:vAlign w:val="bottom"/>
            <w:hideMark/>
          </w:tcPr>
          <w:p w14:paraId="5F79F62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312</w:t>
            </w:r>
          </w:p>
        </w:tc>
      </w:tr>
      <w:tr w:rsidR="0009508C" w:rsidRPr="0009508C" w14:paraId="28BF4C55" w14:textId="77777777" w:rsidTr="0009508C">
        <w:trPr>
          <w:trHeight w:val="315"/>
        </w:trPr>
        <w:tc>
          <w:tcPr>
            <w:tcW w:w="2600" w:type="dxa"/>
            <w:tcBorders>
              <w:top w:val="nil"/>
              <w:left w:val="nil"/>
              <w:bottom w:val="nil"/>
              <w:right w:val="nil"/>
            </w:tcBorders>
            <w:shd w:val="clear" w:color="auto" w:fill="auto"/>
            <w:vAlign w:val="bottom"/>
            <w:hideMark/>
          </w:tcPr>
          <w:p w14:paraId="20C67473" w14:textId="77777777" w:rsidR="0009508C" w:rsidRPr="0009508C" w:rsidRDefault="0009508C" w:rsidP="0009508C">
            <w:pPr>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Revenue</w:t>
            </w:r>
          </w:p>
        </w:tc>
        <w:tc>
          <w:tcPr>
            <w:tcW w:w="700" w:type="dxa"/>
            <w:tcBorders>
              <w:top w:val="nil"/>
              <w:left w:val="nil"/>
              <w:bottom w:val="nil"/>
              <w:right w:val="nil"/>
            </w:tcBorders>
            <w:shd w:val="clear" w:color="auto" w:fill="auto"/>
            <w:vAlign w:val="bottom"/>
            <w:hideMark/>
          </w:tcPr>
          <w:p w14:paraId="786E1233"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27</w:t>
            </w:r>
          </w:p>
        </w:tc>
        <w:tc>
          <w:tcPr>
            <w:tcW w:w="780" w:type="dxa"/>
            <w:tcBorders>
              <w:top w:val="nil"/>
              <w:left w:val="nil"/>
              <w:bottom w:val="nil"/>
              <w:right w:val="nil"/>
            </w:tcBorders>
            <w:shd w:val="clear" w:color="auto" w:fill="auto"/>
            <w:vAlign w:val="bottom"/>
            <w:hideMark/>
          </w:tcPr>
          <w:p w14:paraId="31BD3819"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44</w:t>
            </w:r>
          </w:p>
        </w:tc>
        <w:tc>
          <w:tcPr>
            <w:tcW w:w="680" w:type="dxa"/>
            <w:tcBorders>
              <w:top w:val="nil"/>
              <w:left w:val="nil"/>
              <w:bottom w:val="nil"/>
              <w:right w:val="nil"/>
            </w:tcBorders>
            <w:shd w:val="clear" w:color="auto" w:fill="auto"/>
            <w:vAlign w:val="bottom"/>
            <w:hideMark/>
          </w:tcPr>
          <w:p w14:paraId="431DDD7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-16</w:t>
            </w:r>
          </w:p>
        </w:tc>
        <w:tc>
          <w:tcPr>
            <w:tcW w:w="680" w:type="dxa"/>
            <w:tcBorders>
              <w:top w:val="nil"/>
              <w:left w:val="nil"/>
              <w:bottom w:val="nil"/>
              <w:right w:val="nil"/>
            </w:tcBorders>
            <w:shd w:val="clear" w:color="auto" w:fill="auto"/>
            <w:vAlign w:val="bottom"/>
            <w:hideMark/>
          </w:tcPr>
          <w:p w14:paraId="6BC50107"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-11</w:t>
            </w:r>
          </w:p>
        </w:tc>
        <w:tc>
          <w:tcPr>
            <w:tcW w:w="680" w:type="dxa"/>
            <w:tcBorders>
              <w:top w:val="nil"/>
              <w:left w:val="nil"/>
              <w:bottom w:val="nil"/>
              <w:right w:val="nil"/>
            </w:tcBorders>
            <w:shd w:val="clear" w:color="auto" w:fill="auto"/>
            <w:vAlign w:val="bottom"/>
            <w:hideMark/>
          </w:tcPr>
          <w:p w14:paraId="7FC56698"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-48</w:t>
            </w:r>
          </w:p>
        </w:tc>
        <w:tc>
          <w:tcPr>
            <w:tcW w:w="620" w:type="dxa"/>
            <w:tcBorders>
              <w:top w:val="nil"/>
              <w:left w:val="nil"/>
              <w:bottom w:val="nil"/>
              <w:right w:val="nil"/>
            </w:tcBorders>
            <w:shd w:val="clear" w:color="auto" w:fill="auto"/>
            <w:vAlign w:val="bottom"/>
            <w:hideMark/>
          </w:tcPr>
          <w:p w14:paraId="52FDDB90"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3</w:t>
            </w:r>
          </w:p>
        </w:tc>
        <w:tc>
          <w:tcPr>
            <w:tcW w:w="680" w:type="dxa"/>
            <w:tcBorders>
              <w:top w:val="nil"/>
              <w:left w:val="nil"/>
              <w:bottom w:val="nil"/>
              <w:right w:val="nil"/>
            </w:tcBorders>
            <w:shd w:val="clear" w:color="auto" w:fill="auto"/>
            <w:vAlign w:val="bottom"/>
            <w:hideMark/>
          </w:tcPr>
          <w:p w14:paraId="6FDD1760"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13</w:t>
            </w:r>
          </w:p>
        </w:tc>
        <w:tc>
          <w:tcPr>
            <w:tcW w:w="720" w:type="dxa"/>
            <w:tcBorders>
              <w:top w:val="nil"/>
              <w:left w:val="nil"/>
              <w:bottom w:val="nil"/>
              <w:right w:val="nil"/>
            </w:tcBorders>
            <w:shd w:val="clear" w:color="auto" w:fill="auto"/>
            <w:vAlign w:val="bottom"/>
            <w:hideMark/>
          </w:tcPr>
          <w:p w14:paraId="0FD6A594"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-13</w:t>
            </w:r>
          </w:p>
        </w:tc>
        <w:tc>
          <w:tcPr>
            <w:tcW w:w="820" w:type="dxa"/>
            <w:tcBorders>
              <w:top w:val="nil"/>
              <w:left w:val="nil"/>
              <w:bottom w:val="nil"/>
              <w:right w:val="nil"/>
            </w:tcBorders>
            <w:shd w:val="clear" w:color="auto" w:fill="auto"/>
            <w:vAlign w:val="bottom"/>
            <w:hideMark/>
          </w:tcPr>
          <w:p w14:paraId="389AE13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89</w:t>
            </w:r>
          </w:p>
        </w:tc>
      </w:tr>
      <w:tr w:rsidR="0009508C" w:rsidRPr="0009508C" w14:paraId="6156C0F2" w14:textId="77777777" w:rsidTr="0009508C">
        <w:trPr>
          <w:trHeight w:val="315"/>
        </w:trPr>
        <w:tc>
          <w:tcPr>
            <w:tcW w:w="2600" w:type="dxa"/>
            <w:tcBorders>
              <w:top w:val="nil"/>
              <w:left w:val="nil"/>
              <w:bottom w:val="nil"/>
              <w:right w:val="nil"/>
            </w:tcBorders>
            <w:shd w:val="clear" w:color="auto" w:fill="auto"/>
            <w:vAlign w:val="bottom"/>
            <w:hideMark/>
          </w:tcPr>
          <w:p w14:paraId="4DE01FB0" w14:textId="77777777" w:rsidR="0009508C" w:rsidRPr="0009508C" w:rsidRDefault="0009508C" w:rsidP="0009508C">
            <w:pPr>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First home owner expenses</w:t>
            </w:r>
          </w:p>
        </w:tc>
        <w:tc>
          <w:tcPr>
            <w:tcW w:w="700" w:type="dxa"/>
            <w:tcBorders>
              <w:top w:val="nil"/>
              <w:left w:val="nil"/>
              <w:bottom w:val="nil"/>
              <w:right w:val="nil"/>
            </w:tcBorders>
            <w:shd w:val="clear" w:color="auto" w:fill="auto"/>
            <w:vAlign w:val="bottom"/>
            <w:hideMark/>
          </w:tcPr>
          <w:p w14:paraId="2A2C6F5E"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780" w:type="dxa"/>
            <w:tcBorders>
              <w:top w:val="nil"/>
              <w:left w:val="nil"/>
              <w:bottom w:val="nil"/>
              <w:right w:val="nil"/>
            </w:tcBorders>
            <w:shd w:val="clear" w:color="auto" w:fill="auto"/>
            <w:vAlign w:val="bottom"/>
            <w:hideMark/>
          </w:tcPr>
          <w:p w14:paraId="05B9271E"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680" w:type="dxa"/>
            <w:tcBorders>
              <w:top w:val="nil"/>
              <w:left w:val="nil"/>
              <w:bottom w:val="nil"/>
              <w:right w:val="nil"/>
            </w:tcBorders>
            <w:shd w:val="clear" w:color="auto" w:fill="auto"/>
            <w:vAlign w:val="bottom"/>
            <w:hideMark/>
          </w:tcPr>
          <w:p w14:paraId="2B1E65B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680" w:type="dxa"/>
            <w:tcBorders>
              <w:top w:val="nil"/>
              <w:left w:val="nil"/>
              <w:bottom w:val="nil"/>
              <w:right w:val="nil"/>
            </w:tcBorders>
            <w:shd w:val="clear" w:color="auto" w:fill="auto"/>
            <w:vAlign w:val="bottom"/>
            <w:hideMark/>
          </w:tcPr>
          <w:p w14:paraId="48300F31"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680" w:type="dxa"/>
            <w:tcBorders>
              <w:top w:val="nil"/>
              <w:left w:val="nil"/>
              <w:bottom w:val="nil"/>
              <w:right w:val="nil"/>
            </w:tcBorders>
            <w:shd w:val="clear" w:color="auto" w:fill="auto"/>
            <w:vAlign w:val="bottom"/>
            <w:hideMark/>
          </w:tcPr>
          <w:p w14:paraId="76C3A71C"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620" w:type="dxa"/>
            <w:tcBorders>
              <w:top w:val="nil"/>
              <w:left w:val="nil"/>
              <w:bottom w:val="nil"/>
              <w:right w:val="nil"/>
            </w:tcBorders>
            <w:shd w:val="clear" w:color="auto" w:fill="auto"/>
            <w:vAlign w:val="bottom"/>
            <w:hideMark/>
          </w:tcPr>
          <w:p w14:paraId="4AEED4F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680" w:type="dxa"/>
            <w:tcBorders>
              <w:top w:val="nil"/>
              <w:left w:val="nil"/>
              <w:bottom w:val="nil"/>
              <w:right w:val="nil"/>
            </w:tcBorders>
            <w:shd w:val="clear" w:color="auto" w:fill="auto"/>
            <w:vAlign w:val="bottom"/>
            <w:hideMark/>
          </w:tcPr>
          <w:p w14:paraId="476D8C1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720" w:type="dxa"/>
            <w:tcBorders>
              <w:top w:val="nil"/>
              <w:left w:val="nil"/>
              <w:bottom w:val="nil"/>
              <w:right w:val="nil"/>
            </w:tcBorders>
            <w:shd w:val="clear" w:color="auto" w:fill="auto"/>
            <w:vAlign w:val="bottom"/>
            <w:hideMark/>
          </w:tcPr>
          <w:p w14:paraId="50A4C95D"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vAlign w:val="bottom"/>
            <w:hideMark/>
          </w:tcPr>
          <w:p w14:paraId="5CCDE1A8"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0</w:t>
            </w:r>
          </w:p>
        </w:tc>
      </w:tr>
      <w:tr w:rsidR="0009508C" w:rsidRPr="0009508C" w14:paraId="1B20E2FF" w14:textId="77777777" w:rsidTr="0009508C">
        <w:trPr>
          <w:trHeight w:val="315"/>
        </w:trPr>
        <w:tc>
          <w:tcPr>
            <w:tcW w:w="2600" w:type="dxa"/>
            <w:tcBorders>
              <w:top w:val="nil"/>
              <w:left w:val="nil"/>
              <w:bottom w:val="single" w:sz="4" w:space="0" w:color="auto"/>
              <w:right w:val="nil"/>
            </w:tcBorders>
            <w:shd w:val="clear" w:color="auto" w:fill="auto"/>
            <w:vAlign w:val="bottom"/>
            <w:hideMark/>
          </w:tcPr>
          <w:p w14:paraId="5834F8BA" w14:textId="77777777" w:rsidR="0009508C" w:rsidRPr="0009508C" w:rsidRDefault="0009508C" w:rsidP="0009508C">
            <w:pPr>
              <w:tabs>
                <w:tab w:val="clear" w:pos="567"/>
              </w:tabs>
              <w:spacing w:after="0" w:line="240" w:lineRule="auto"/>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Total</w:t>
            </w:r>
          </w:p>
        </w:tc>
        <w:tc>
          <w:tcPr>
            <w:tcW w:w="700" w:type="dxa"/>
            <w:tcBorders>
              <w:top w:val="single" w:sz="4" w:space="0" w:color="auto"/>
              <w:left w:val="nil"/>
              <w:bottom w:val="single" w:sz="4" w:space="0" w:color="auto"/>
              <w:right w:val="nil"/>
            </w:tcBorders>
            <w:shd w:val="clear" w:color="auto" w:fill="auto"/>
            <w:vAlign w:val="bottom"/>
            <w:hideMark/>
          </w:tcPr>
          <w:p w14:paraId="0336D83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-72</w:t>
            </w:r>
          </w:p>
        </w:tc>
        <w:tc>
          <w:tcPr>
            <w:tcW w:w="780" w:type="dxa"/>
            <w:tcBorders>
              <w:top w:val="single" w:sz="4" w:space="0" w:color="auto"/>
              <w:left w:val="nil"/>
              <w:bottom w:val="single" w:sz="4" w:space="0" w:color="auto"/>
              <w:right w:val="nil"/>
            </w:tcBorders>
            <w:shd w:val="clear" w:color="auto" w:fill="auto"/>
            <w:vAlign w:val="bottom"/>
            <w:hideMark/>
          </w:tcPr>
          <w:p w14:paraId="6A120F0C"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-137</w:t>
            </w:r>
          </w:p>
        </w:tc>
        <w:tc>
          <w:tcPr>
            <w:tcW w:w="680" w:type="dxa"/>
            <w:tcBorders>
              <w:top w:val="single" w:sz="4" w:space="0" w:color="auto"/>
              <w:left w:val="nil"/>
              <w:bottom w:val="single" w:sz="4" w:space="0" w:color="auto"/>
              <w:right w:val="nil"/>
            </w:tcBorders>
            <w:shd w:val="clear" w:color="auto" w:fill="auto"/>
            <w:vAlign w:val="bottom"/>
            <w:hideMark/>
          </w:tcPr>
          <w:p w14:paraId="51D8215E"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39</w:t>
            </w:r>
          </w:p>
        </w:tc>
        <w:tc>
          <w:tcPr>
            <w:tcW w:w="680" w:type="dxa"/>
            <w:tcBorders>
              <w:top w:val="single" w:sz="4" w:space="0" w:color="auto"/>
              <w:left w:val="nil"/>
              <w:bottom w:val="single" w:sz="4" w:space="0" w:color="auto"/>
              <w:right w:val="nil"/>
            </w:tcBorders>
            <w:shd w:val="clear" w:color="auto" w:fill="auto"/>
            <w:vAlign w:val="bottom"/>
            <w:hideMark/>
          </w:tcPr>
          <w:p w14:paraId="6B84F41A"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51</w:t>
            </w:r>
          </w:p>
        </w:tc>
        <w:tc>
          <w:tcPr>
            <w:tcW w:w="680" w:type="dxa"/>
            <w:tcBorders>
              <w:top w:val="single" w:sz="4" w:space="0" w:color="auto"/>
              <w:left w:val="nil"/>
              <w:bottom w:val="single" w:sz="4" w:space="0" w:color="auto"/>
              <w:right w:val="nil"/>
            </w:tcBorders>
            <w:shd w:val="clear" w:color="auto" w:fill="auto"/>
            <w:vAlign w:val="bottom"/>
            <w:hideMark/>
          </w:tcPr>
          <w:p w14:paraId="66958B4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27</w:t>
            </w:r>
          </w:p>
        </w:tc>
        <w:tc>
          <w:tcPr>
            <w:tcW w:w="620" w:type="dxa"/>
            <w:tcBorders>
              <w:top w:val="single" w:sz="4" w:space="0" w:color="auto"/>
              <w:left w:val="nil"/>
              <w:bottom w:val="single" w:sz="4" w:space="0" w:color="auto"/>
              <w:right w:val="nil"/>
            </w:tcBorders>
            <w:shd w:val="clear" w:color="auto" w:fill="auto"/>
            <w:vAlign w:val="bottom"/>
            <w:hideMark/>
          </w:tcPr>
          <w:p w14:paraId="120DB436"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12</w:t>
            </w:r>
          </w:p>
        </w:tc>
        <w:tc>
          <w:tcPr>
            <w:tcW w:w="680" w:type="dxa"/>
            <w:tcBorders>
              <w:top w:val="single" w:sz="4" w:space="0" w:color="auto"/>
              <w:left w:val="nil"/>
              <w:bottom w:val="single" w:sz="4" w:space="0" w:color="auto"/>
              <w:right w:val="nil"/>
            </w:tcBorders>
            <w:shd w:val="clear" w:color="auto" w:fill="auto"/>
            <w:vAlign w:val="bottom"/>
            <w:hideMark/>
          </w:tcPr>
          <w:p w14:paraId="32C727AD"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-18</w:t>
            </w:r>
          </w:p>
        </w:tc>
        <w:tc>
          <w:tcPr>
            <w:tcW w:w="720" w:type="dxa"/>
            <w:tcBorders>
              <w:top w:val="single" w:sz="4" w:space="0" w:color="auto"/>
              <w:left w:val="nil"/>
              <w:bottom w:val="single" w:sz="4" w:space="0" w:color="auto"/>
              <w:right w:val="nil"/>
            </w:tcBorders>
            <w:shd w:val="clear" w:color="auto" w:fill="auto"/>
            <w:vAlign w:val="bottom"/>
            <w:hideMark/>
          </w:tcPr>
          <w:p w14:paraId="1D49EA32"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97</w:t>
            </w:r>
          </w:p>
        </w:tc>
        <w:tc>
          <w:tcPr>
            <w:tcW w:w="820" w:type="dxa"/>
            <w:tcBorders>
              <w:top w:val="single" w:sz="4" w:space="0" w:color="auto"/>
              <w:left w:val="nil"/>
              <w:bottom w:val="single" w:sz="4" w:space="0" w:color="auto"/>
              <w:right w:val="nil"/>
            </w:tcBorders>
            <w:shd w:val="clear" w:color="auto" w:fill="auto"/>
            <w:vAlign w:val="bottom"/>
            <w:hideMark/>
          </w:tcPr>
          <w:p w14:paraId="37AA4B8B" w14:textId="77777777" w:rsidR="0009508C" w:rsidRPr="0009508C" w:rsidRDefault="0009508C" w:rsidP="0009508C">
            <w:pPr>
              <w:tabs>
                <w:tab w:val="clear" w:pos="567"/>
              </w:tabs>
              <w:spacing w:after="0" w:line="240" w:lineRule="auto"/>
              <w:jc w:val="right"/>
              <w:rPr>
                <w:rFonts w:ascii="Calibri" w:eastAsia="Times New Roman" w:hAnsi="Calibri" w:cs="Times New Roman"/>
                <w:color w:val="000000"/>
                <w:sz w:val="20"/>
                <w:szCs w:val="20"/>
                <w:lang w:eastAsia="en-AU"/>
              </w:rPr>
            </w:pPr>
            <w:r w:rsidRPr="0009508C">
              <w:rPr>
                <w:rFonts w:ascii="Calibri" w:eastAsia="Times New Roman" w:hAnsi="Calibri" w:cs="Times New Roman"/>
                <w:color w:val="000000"/>
                <w:sz w:val="20"/>
                <w:szCs w:val="20"/>
                <w:lang w:eastAsia="en-AU"/>
              </w:rPr>
              <w:t>227</w:t>
            </w:r>
          </w:p>
        </w:tc>
      </w:tr>
    </w:tbl>
    <w:p w14:paraId="57B11FC3" w14:textId="77777777" w:rsidR="000C4F32" w:rsidRDefault="000C4F32" w:rsidP="00E11681">
      <w:pPr>
        <w:pStyle w:val="CGCTableFootnote"/>
      </w:pPr>
      <w:r>
        <w:t xml:space="preserve">Note: </w:t>
      </w:r>
      <w:r w:rsidR="00E255E6">
        <w:tab/>
        <w:t>The GST impact of housing investment and depreciation is excluded.</w:t>
      </w:r>
    </w:p>
    <w:p w14:paraId="411C4E7C" w14:textId="77777777" w:rsidR="00E11681" w:rsidRDefault="00E11681" w:rsidP="00E11681">
      <w:pPr>
        <w:pStyle w:val="CGCTableFootnote"/>
      </w:pPr>
      <w:r>
        <w:t>Source:</w:t>
      </w:r>
      <w:r>
        <w:tab/>
      </w:r>
      <w:r w:rsidR="00353879">
        <w:t xml:space="preserve">Commission calculation, </w:t>
      </w:r>
      <w:r>
        <w:t>2018 Update.</w:t>
      </w:r>
    </w:p>
    <w:p w14:paraId="5FD4CE72" w14:textId="6366107A" w:rsidR="004A6016" w:rsidRPr="004A6016" w:rsidRDefault="0009508C">
      <w:pPr>
        <w:pStyle w:val="Heading3"/>
      </w:pPr>
      <w:bookmarkStart w:id="30" w:name="_Toc511732227"/>
      <w:bookmarkStart w:id="31" w:name="_Toc511634836"/>
      <w:r>
        <w:t>I</w:t>
      </w:r>
      <w:r w:rsidR="004A6016">
        <w:t>SSUES AND ANALYSIS</w:t>
      </w:r>
      <w:bookmarkEnd w:id="30"/>
      <w:bookmarkEnd w:id="31"/>
    </w:p>
    <w:p w14:paraId="58BF92FC" w14:textId="77777777" w:rsidR="00E255E6" w:rsidRDefault="00592A4F" w:rsidP="00B54DDC">
      <w:pPr>
        <w:pStyle w:val="CGCNumberedPara"/>
      </w:pPr>
      <w:r w:rsidRPr="00741FF2">
        <w:t xml:space="preserve">The </w:t>
      </w:r>
      <w:r>
        <w:t>main</w:t>
      </w:r>
      <w:r w:rsidRPr="00741FF2">
        <w:t xml:space="preserve"> issue</w:t>
      </w:r>
      <w:r w:rsidR="00E255E6">
        <w:t>s</w:t>
      </w:r>
      <w:r w:rsidRPr="00741FF2">
        <w:t xml:space="preserve"> to be considered </w:t>
      </w:r>
      <w:r w:rsidR="00E255E6">
        <w:t>are:</w:t>
      </w:r>
    </w:p>
    <w:p w14:paraId="4876C49C" w14:textId="77777777" w:rsidR="00592A4F" w:rsidRDefault="006E4A1C" w:rsidP="00E255E6">
      <w:pPr>
        <w:pStyle w:val="CGCBulletlist"/>
      </w:pPr>
      <w:r>
        <w:t>t</w:t>
      </w:r>
      <w:r w:rsidR="00592A4F">
        <w:t xml:space="preserve">he relative merits of </w:t>
      </w:r>
      <w:r>
        <w:t xml:space="preserve">Census and </w:t>
      </w:r>
      <w:r w:rsidR="00353879">
        <w:t>Australian Institute of Health and Welfare (</w:t>
      </w:r>
      <w:r>
        <w:t>AIHW</w:t>
      </w:r>
      <w:r w:rsidR="00353879">
        <w:t>)</w:t>
      </w:r>
      <w:r>
        <w:t xml:space="preserve"> </w:t>
      </w:r>
      <w:r w:rsidR="00E255E6">
        <w:t xml:space="preserve">data on </w:t>
      </w:r>
      <w:r>
        <w:t>household numbers</w:t>
      </w:r>
    </w:p>
    <w:p w14:paraId="0F616034" w14:textId="77777777" w:rsidR="00E255E6" w:rsidRDefault="00E255E6" w:rsidP="00E255E6">
      <w:pPr>
        <w:pStyle w:val="CGCBulletlist"/>
      </w:pPr>
      <w:r>
        <w:t>the impact of the cost of land</w:t>
      </w:r>
    </w:p>
    <w:p w14:paraId="25B461F7" w14:textId="77777777" w:rsidR="00E255E6" w:rsidRDefault="00E255E6" w:rsidP="00E255E6">
      <w:pPr>
        <w:pStyle w:val="CGCBulletlist"/>
      </w:pPr>
      <w:r>
        <w:t>the impact of policies on affordable housing</w:t>
      </w:r>
    </w:p>
    <w:p w14:paraId="141F079E" w14:textId="77777777" w:rsidR="00E255E6" w:rsidRDefault="00E255E6" w:rsidP="00E255E6">
      <w:pPr>
        <w:pStyle w:val="CGCBulletlist"/>
      </w:pPr>
      <w:r>
        <w:t xml:space="preserve">the assessment of </w:t>
      </w:r>
      <w:r w:rsidR="00367DDC">
        <w:t>FHOGs</w:t>
      </w:r>
      <w:r>
        <w:t xml:space="preserve"> and stamp duty concessions.</w:t>
      </w:r>
    </w:p>
    <w:p w14:paraId="0573E56F" w14:textId="77777777" w:rsidR="00461208" w:rsidRDefault="00461208" w:rsidP="00461208">
      <w:pPr>
        <w:pStyle w:val="CGCNumberedPara"/>
      </w:pPr>
      <w:r>
        <w:t xml:space="preserve">The </w:t>
      </w:r>
      <w:r w:rsidR="00632083">
        <w:t xml:space="preserve">review </w:t>
      </w:r>
      <w:r>
        <w:t xml:space="preserve">also affords an opportunity to update the Indigenous cost weight </w:t>
      </w:r>
      <w:r w:rsidR="007A3645">
        <w:t xml:space="preserve">and the estimate of the </w:t>
      </w:r>
      <w:r>
        <w:t xml:space="preserve">share </w:t>
      </w:r>
      <w:r w:rsidRPr="002D5ECA">
        <w:t>of housing expenses</w:t>
      </w:r>
      <w:r>
        <w:t xml:space="preserve"> represented by maintenance costs.</w:t>
      </w:r>
    </w:p>
    <w:p w14:paraId="4A358D2B" w14:textId="77777777" w:rsidR="00260326" w:rsidRDefault="00260326" w:rsidP="00260326">
      <w:pPr>
        <w:pStyle w:val="Heading4"/>
      </w:pPr>
      <w:bookmarkStart w:id="32" w:name="_Toc511634837"/>
      <w:bookmarkStart w:id="33" w:name="_Toc511732228"/>
      <w:r>
        <w:t>Census data v</w:t>
      </w:r>
      <w:r w:rsidR="00ED0D35">
        <w:t>er</w:t>
      </w:r>
      <w:r>
        <w:t>s</w:t>
      </w:r>
      <w:r w:rsidR="00ED0D35">
        <w:t>us</w:t>
      </w:r>
      <w:r>
        <w:t xml:space="preserve"> AIHW data</w:t>
      </w:r>
      <w:bookmarkEnd w:id="32"/>
      <w:bookmarkEnd w:id="33"/>
    </w:p>
    <w:p w14:paraId="03758D28" w14:textId="67B21C6D" w:rsidR="00B928FB" w:rsidRDefault="00F5210F" w:rsidP="00B928FB">
      <w:pPr>
        <w:pStyle w:val="CGCNumberedPara"/>
      </w:pPr>
      <w:r>
        <w:t xml:space="preserve">Data on households in social housing are available from the Census and the AIHW. </w:t>
      </w:r>
      <w:r w:rsidR="005C4F8F">
        <w:t>However, s</w:t>
      </w:r>
      <w:r w:rsidR="00B928FB">
        <w:t>ignificant discrep</w:t>
      </w:r>
      <w:r w:rsidR="00F47DE9">
        <w:t>ancies between the</w:t>
      </w:r>
      <w:r w:rsidR="005C4F8F">
        <w:t xml:space="preserve"> two data sets </w:t>
      </w:r>
      <w:r w:rsidR="00B928FB">
        <w:t>were found in the 2015 Review</w:t>
      </w:r>
      <w:r w:rsidR="005C4F8F">
        <w:t>, and the size of the discrepancies varied across States</w:t>
      </w:r>
      <w:r w:rsidR="00B64CF6">
        <w:t xml:space="preserve"> (see </w:t>
      </w:r>
      <w:r w:rsidR="00B64CF6">
        <w:fldChar w:fldCharType="begin"/>
      </w:r>
      <w:r w:rsidR="00B64CF6">
        <w:instrText xml:space="preserve"> REF _Ref477876201 \h </w:instrText>
      </w:r>
      <w:r w:rsidR="00B64CF6">
        <w:fldChar w:fldCharType="separate"/>
      </w:r>
      <w:r w:rsidR="00566C01" w:rsidRPr="003E5A23">
        <w:t xml:space="preserve">Table </w:t>
      </w:r>
      <w:r w:rsidR="00566C01">
        <w:rPr>
          <w:noProof/>
        </w:rPr>
        <w:t>3</w:t>
      </w:r>
      <w:r w:rsidR="00B64CF6">
        <w:fldChar w:fldCharType="end"/>
      </w:r>
      <w:r w:rsidR="00B64CF6">
        <w:t xml:space="preserve">). </w:t>
      </w:r>
    </w:p>
    <w:p w14:paraId="4FB4E589" w14:textId="6501492E" w:rsidR="00565422" w:rsidRPr="003E5A23" w:rsidRDefault="00565422" w:rsidP="00565422">
      <w:pPr>
        <w:pStyle w:val="Caption"/>
        <w:spacing w:before="120"/>
      </w:pPr>
      <w:bookmarkStart w:id="34" w:name="_Ref477876201"/>
      <w:r w:rsidRPr="003E5A23">
        <w:lastRenderedPageBreak/>
        <w:t xml:space="preserve">Table </w:t>
      </w:r>
      <w:r w:rsidR="00CE292F">
        <w:fldChar w:fldCharType="begin"/>
      </w:r>
      <w:r w:rsidR="00CE292F">
        <w:instrText xml:space="preserve"> SEQ Table \* ARABIC </w:instrText>
      </w:r>
      <w:r w:rsidR="00CE292F">
        <w:fldChar w:fldCharType="separate"/>
      </w:r>
      <w:r w:rsidR="00566C01">
        <w:rPr>
          <w:noProof/>
        </w:rPr>
        <w:t>3</w:t>
      </w:r>
      <w:r w:rsidR="00CE292F">
        <w:rPr>
          <w:noProof/>
        </w:rPr>
        <w:fldChar w:fldCharType="end"/>
      </w:r>
      <w:bookmarkEnd w:id="34"/>
      <w:r w:rsidRPr="003E5A23">
        <w:tab/>
        <w:t xml:space="preserve">Comparison of Census and AIHW data on social housing </w:t>
      </w:r>
      <w:r w:rsidR="00EB76A9">
        <w:t>household</w:t>
      </w:r>
      <w:r w:rsidRPr="003E5A23">
        <w:t xml:space="preserve"> numbers, </w:t>
      </w:r>
      <w:r>
        <w:t>30 </w:t>
      </w:r>
      <w:r w:rsidRPr="003E5A23">
        <w:t>June</w:t>
      </w:r>
      <w:r>
        <w:t> </w:t>
      </w:r>
      <w:r w:rsidRPr="003E5A23">
        <w:t>2011</w:t>
      </w:r>
    </w:p>
    <w:tbl>
      <w:tblPr>
        <w:tblW w:w="5026" w:type="pct"/>
        <w:tblInd w:w="-23" w:type="dxa"/>
        <w:tblLayout w:type="fixed"/>
        <w:tblCellMar>
          <w:left w:w="0" w:type="dxa"/>
          <w:right w:w="0" w:type="dxa"/>
        </w:tblCellMar>
        <w:tblLook w:val="04A0" w:firstRow="1" w:lastRow="0" w:firstColumn="1" w:lastColumn="0" w:noHBand="0" w:noVBand="1"/>
      </w:tblPr>
      <w:tblGrid>
        <w:gridCol w:w="1730"/>
        <w:gridCol w:w="886"/>
        <w:gridCol w:w="785"/>
        <w:gridCol w:w="785"/>
        <w:gridCol w:w="785"/>
        <w:gridCol w:w="785"/>
        <w:gridCol w:w="785"/>
        <w:gridCol w:w="785"/>
        <w:gridCol w:w="785"/>
        <w:gridCol w:w="887"/>
      </w:tblGrid>
      <w:tr w:rsidR="00915150" w:rsidRPr="00F9577B" w14:paraId="273B5D95" w14:textId="77777777" w:rsidTr="00705489">
        <w:trPr>
          <w:trHeight w:val="379"/>
        </w:trPr>
        <w:tc>
          <w:tcPr>
            <w:tcW w:w="961" w:type="pct"/>
            <w:tcBorders>
              <w:top w:val="single" w:sz="4" w:space="0" w:color="auto"/>
              <w:left w:val="nil"/>
              <w:bottom w:val="single" w:sz="4" w:space="0" w:color="auto"/>
              <w:right w:val="nil"/>
            </w:tcBorders>
            <w:shd w:val="clear" w:color="auto" w:fill="auto"/>
            <w:noWrap/>
            <w:vAlign w:val="center"/>
            <w:hideMark/>
          </w:tcPr>
          <w:p w14:paraId="2FFE03E2" w14:textId="77777777" w:rsidR="00915150" w:rsidRPr="00F9577B" w:rsidRDefault="00915150" w:rsidP="00BA19C1">
            <w:pPr>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35" w:name="RANGE!A9:J13"/>
            <w:r w:rsidRPr="00F9577B">
              <w:rPr>
                <w:rFonts w:ascii="Calibri" w:eastAsia="Times New Roman" w:hAnsi="Calibri" w:cs="Times New Roman"/>
                <w:color w:val="000000"/>
                <w:sz w:val="20"/>
                <w:szCs w:val="20"/>
                <w:lang w:eastAsia="en-AU"/>
              </w:rPr>
              <w:t> </w:t>
            </w:r>
            <w:bookmarkEnd w:id="35"/>
          </w:p>
        </w:tc>
        <w:tc>
          <w:tcPr>
            <w:tcW w:w="492" w:type="pct"/>
            <w:tcBorders>
              <w:top w:val="single" w:sz="4" w:space="0" w:color="auto"/>
              <w:left w:val="nil"/>
              <w:bottom w:val="single" w:sz="4" w:space="0" w:color="auto"/>
              <w:right w:val="nil"/>
            </w:tcBorders>
            <w:shd w:val="clear" w:color="auto" w:fill="auto"/>
            <w:noWrap/>
            <w:vAlign w:val="center"/>
            <w:hideMark/>
          </w:tcPr>
          <w:p w14:paraId="3EE7BD7C"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NSW</w:t>
            </w:r>
          </w:p>
        </w:tc>
        <w:tc>
          <w:tcPr>
            <w:tcW w:w="436" w:type="pct"/>
            <w:tcBorders>
              <w:top w:val="single" w:sz="4" w:space="0" w:color="auto"/>
              <w:left w:val="nil"/>
              <w:bottom w:val="single" w:sz="4" w:space="0" w:color="auto"/>
              <w:right w:val="nil"/>
            </w:tcBorders>
            <w:shd w:val="clear" w:color="auto" w:fill="auto"/>
            <w:noWrap/>
            <w:vAlign w:val="center"/>
            <w:hideMark/>
          </w:tcPr>
          <w:p w14:paraId="5B5D035B"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Vic</w:t>
            </w:r>
          </w:p>
        </w:tc>
        <w:tc>
          <w:tcPr>
            <w:tcW w:w="436" w:type="pct"/>
            <w:tcBorders>
              <w:top w:val="single" w:sz="4" w:space="0" w:color="auto"/>
              <w:left w:val="nil"/>
              <w:bottom w:val="single" w:sz="4" w:space="0" w:color="auto"/>
              <w:right w:val="nil"/>
            </w:tcBorders>
            <w:shd w:val="clear" w:color="auto" w:fill="auto"/>
            <w:noWrap/>
            <w:vAlign w:val="center"/>
            <w:hideMark/>
          </w:tcPr>
          <w:p w14:paraId="1A569493"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Qld</w:t>
            </w:r>
          </w:p>
        </w:tc>
        <w:tc>
          <w:tcPr>
            <w:tcW w:w="436" w:type="pct"/>
            <w:tcBorders>
              <w:top w:val="single" w:sz="4" w:space="0" w:color="auto"/>
              <w:left w:val="nil"/>
              <w:bottom w:val="single" w:sz="4" w:space="0" w:color="auto"/>
              <w:right w:val="nil"/>
            </w:tcBorders>
            <w:shd w:val="clear" w:color="auto" w:fill="auto"/>
            <w:noWrap/>
            <w:vAlign w:val="center"/>
            <w:hideMark/>
          </w:tcPr>
          <w:p w14:paraId="068E8F11"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WA</w:t>
            </w:r>
          </w:p>
        </w:tc>
        <w:tc>
          <w:tcPr>
            <w:tcW w:w="436" w:type="pct"/>
            <w:tcBorders>
              <w:top w:val="single" w:sz="4" w:space="0" w:color="auto"/>
              <w:left w:val="nil"/>
              <w:bottom w:val="single" w:sz="4" w:space="0" w:color="auto"/>
              <w:right w:val="nil"/>
            </w:tcBorders>
            <w:shd w:val="clear" w:color="auto" w:fill="auto"/>
            <w:noWrap/>
            <w:vAlign w:val="center"/>
            <w:hideMark/>
          </w:tcPr>
          <w:p w14:paraId="2613337A"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SA</w:t>
            </w:r>
          </w:p>
        </w:tc>
        <w:tc>
          <w:tcPr>
            <w:tcW w:w="436" w:type="pct"/>
            <w:tcBorders>
              <w:top w:val="single" w:sz="4" w:space="0" w:color="auto"/>
              <w:left w:val="nil"/>
              <w:bottom w:val="single" w:sz="4" w:space="0" w:color="auto"/>
              <w:right w:val="nil"/>
            </w:tcBorders>
            <w:shd w:val="clear" w:color="auto" w:fill="auto"/>
            <w:noWrap/>
            <w:vAlign w:val="center"/>
            <w:hideMark/>
          </w:tcPr>
          <w:p w14:paraId="49AAA0EB"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Tas</w:t>
            </w:r>
          </w:p>
        </w:tc>
        <w:tc>
          <w:tcPr>
            <w:tcW w:w="436" w:type="pct"/>
            <w:tcBorders>
              <w:top w:val="single" w:sz="4" w:space="0" w:color="auto"/>
              <w:left w:val="nil"/>
              <w:bottom w:val="single" w:sz="4" w:space="0" w:color="auto"/>
              <w:right w:val="nil"/>
            </w:tcBorders>
            <w:shd w:val="clear" w:color="auto" w:fill="auto"/>
            <w:noWrap/>
            <w:vAlign w:val="center"/>
            <w:hideMark/>
          </w:tcPr>
          <w:p w14:paraId="31EC29CB"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ACT</w:t>
            </w:r>
          </w:p>
        </w:tc>
        <w:tc>
          <w:tcPr>
            <w:tcW w:w="436" w:type="pct"/>
            <w:tcBorders>
              <w:top w:val="single" w:sz="4" w:space="0" w:color="auto"/>
              <w:left w:val="nil"/>
              <w:bottom w:val="single" w:sz="4" w:space="0" w:color="auto"/>
              <w:right w:val="nil"/>
            </w:tcBorders>
            <w:shd w:val="clear" w:color="auto" w:fill="auto"/>
            <w:noWrap/>
            <w:vAlign w:val="center"/>
            <w:hideMark/>
          </w:tcPr>
          <w:p w14:paraId="4C0C2318"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NT (a)</w:t>
            </w:r>
          </w:p>
        </w:tc>
        <w:tc>
          <w:tcPr>
            <w:tcW w:w="493" w:type="pct"/>
            <w:tcBorders>
              <w:top w:val="single" w:sz="4" w:space="0" w:color="auto"/>
              <w:left w:val="nil"/>
              <w:bottom w:val="single" w:sz="4" w:space="0" w:color="auto"/>
              <w:right w:val="nil"/>
            </w:tcBorders>
            <w:shd w:val="clear" w:color="auto" w:fill="auto"/>
            <w:noWrap/>
            <w:vAlign w:val="center"/>
            <w:hideMark/>
          </w:tcPr>
          <w:p w14:paraId="08AB1B1A"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Total</w:t>
            </w:r>
          </w:p>
        </w:tc>
      </w:tr>
      <w:tr w:rsidR="00915150" w:rsidRPr="00F9577B" w14:paraId="1651570A" w14:textId="77777777" w:rsidTr="00705489">
        <w:trPr>
          <w:trHeight w:val="259"/>
        </w:trPr>
        <w:tc>
          <w:tcPr>
            <w:tcW w:w="961" w:type="pct"/>
            <w:tcBorders>
              <w:top w:val="nil"/>
              <w:left w:val="nil"/>
              <w:bottom w:val="nil"/>
              <w:right w:val="nil"/>
            </w:tcBorders>
            <w:shd w:val="clear" w:color="auto" w:fill="auto"/>
            <w:noWrap/>
            <w:vAlign w:val="bottom"/>
            <w:hideMark/>
          </w:tcPr>
          <w:p w14:paraId="2B81EC41" w14:textId="77777777" w:rsidR="00915150" w:rsidRPr="00F9577B" w:rsidRDefault="00915150" w:rsidP="00BA19C1">
            <w:pPr>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492" w:type="pct"/>
            <w:tcBorders>
              <w:top w:val="nil"/>
              <w:left w:val="nil"/>
              <w:bottom w:val="nil"/>
              <w:right w:val="nil"/>
            </w:tcBorders>
            <w:shd w:val="clear" w:color="auto" w:fill="auto"/>
            <w:noWrap/>
            <w:vAlign w:val="bottom"/>
            <w:hideMark/>
          </w:tcPr>
          <w:p w14:paraId="32514C43"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73E7673A"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0F700174"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56F46979"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797F38D8"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20B4BA45"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505AB006"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36" w:type="pct"/>
            <w:tcBorders>
              <w:top w:val="nil"/>
              <w:left w:val="nil"/>
              <w:bottom w:val="nil"/>
              <w:right w:val="nil"/>
            </w:tcBorders>
            <w:shd w:val="clear" w:color="auto" w:fill="auto"/>
            <w:noWrap/>
            <w:vAlign w:val="bottom"/>
            <w:hideMark/>
          </w:tcPr>
          <w:p w14:paraId="421FB08B"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c>
          <w:tcPr>
            <w:tcW w:w="493" w:type="pct"/>
            <w:tcBorders>
              <w:top w:val="nil"/>
              <w:left w:val="nil"/>
              <w:bottom w:val="nil"/>
              <w:right w:val="nil"/>
            </w:tcBorders>
            <w:shd w:val="clear" w:color="auto" w:fill="auto"/>
            <w:noWrap/>
            <w:vAlign w:val="bottom"/>
            <w:hideMark/>
          </w:tcPr>
          <w:p w14:paraId="54C4A095"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No.</w:t>
            </w:r>
          </w:p>
        </w:tc>
      </w:tr>
      <w:tr w:rsidR="00705489" w:rsidRPr="00F9577B" w14:paraId="021D321B" w14:textId="77777777" w:rsidTr="00705489">
        <w:trPr>
          <w:trHeight w:val="315"/>
        </w:trPr>
        <w:tc>
          <w:tcPr>
            <w:tcW w:w="961" w:type="pct"/>
            <w:tcBorders>
              <w:top w:val="nil"/>
              <w:left w:val="nil"/>
              <w:bottom w:val="nil"/>
              <w:right w:val="nil"/>
            </w:tcBorders>
            <w:shd w:val="clear" w:color="auto" w:fill="auto"/>
            <w:vAlign w:val="bottom"/>
            <w:hideMark/>
          </w:tcPr>
          <w:p w14:paraId="4984C51E" w14:textId="77777777" w:rsidR="00705489" w:rsidRPr="00F9577B" w:rsidRDefault="00705489" w:rsidP="00BA19C1">
            <w:pPr>
              <w:tabs>
                <w:tab w:val="clear" w:pos="567"/>
              </w:tabs>
              <w:spacing w:after="0" w:line="240" w:lineRule="auto"/>
              <w:ind w:left="193" w:hanging="142"/>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Census households</w:t>
            </w:r>
          </w:p>
        </w:tc>
        <w:tc>
          <w:tcPr>
            <w:tcW w:w="492" w:type="pct"/>
            <w:tcBorders>
              <w:top w:val="nil"/>
              <w:left w:val="nil"/>
              <w:bottom w:val="nil"/>
              <w:right w:val="nil"/>
            </w:tcBorders>
            <w:shd w:val="clear" w:color="auto" w:fill="auto"/>
            <w:vAlign w:val="bottom"/>
            <w:hideMark/>
          </w:tcPr>
          <w:p w14:paraId="058AE95E" w14:textId="77777777"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127 025</w:t>
            </w:r>
          </w:p>
        </w:tc>
        <w:tc>
          <w:tcPr>
            <w:tcW w:w="436" w:type="pct"/>
            <w:tcBorders>
              <w:top w:val="nil"/>
              <w:left w:val="nil"/>
              <w:bottom w:val="nil"/>
              <w:right w:val="nil"/>
            </w:tcBorders>
            <w:shd w:val="clear" w:color="auto" w:fill="auto"/>
            <w:vAlign w:val="bottom"/>
            <w:hideMark/>
          </w:tcPr>
          <w:p w14:paraId="3D2769FB" w14:textId="77777777"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64 339</w:t>
            </w:r>
          </w:p>
        </w:tc>
        <w:tc>
          <w:tcPr>
            <w:tcW w:w="436" w:type="pct"/>
            <w:tcBorders>
              <w:top w:val="nil"/>
              <w:left w:val="nil"/>
              <w:bottom w:val="nil"/>
              <w:right w:val="nil"/>
            </w:tcBorders>
            <w:shd w:val="clear" w:color="auto" w:fill="auto"/>
            <w:vAlign w:val="bottom"/>
            <w:hideMark/>
          </w:tcPr>
          <w:p w14:paraId="2C1989D1" w14:textId="77777777"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64 140</w:t>
            </w:r>
          </w:p>
        </w:tc>
        <w:tc>
          <w:tcPr>
            <w:tcW w:w="436" w:type="pct"/>
            <w:tcBorders>
              <w:top w:val="nil"/>
              <w:left w:val="nil"/>
              <w:bottom w:val="nil"/>
              <w:right w:val="nil"/>
            </w:tcBorders>
            <w:shd w:val="clear" w:color="auto" w:fill="auto"/>
            <w:vAlign w:val="bottom"/>
            <w:hideMark/>
          </w:tcPr>
          <w:p w14:paraId="6AC8E347" w14:textId="0D6DDE59"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37 454</w:t>
            </w:r>
          </w:p>
        </w:tc>
        <w:tc>
          <w:tcPr>
            <w:tcW w:w="436" w:type="pct"/>
            <w:tcBorders>
              <w:top w:val="nil"/>
              <w:left w:val="nil"/>
              <w:bottom w:val="nil"/>
              <w:right w:val="nil"/>
            </w:tcBorders>
            <w:shd w:val="clear" w:color="auto" w:fill="auto"/>
            <w:vAlign w:val="bottom"/>
            <w:hideMark/>
          </w:tcPr>
          <w:p w14:paraId="37C3F828" w14:textId="19B35A4C"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45 146</w:t>
            </w:r>
          </w:p>
        </w:tc>
        <w:tc>
          <w:tcPr>
            <w:tcW w:w="436" w:type="pct"/>
            <w:tcBorders>
              <w:top w:val="nil"/>
              <w:left w:val="nil"/>
              <w:bottom w:val="nil"/>
              <w:right w:val="nil"/>
            </w:tcBorders>
            <w:shd w:val="clear" w:color="auto" w:fill="auto"/>
            <w:vAlign w:val="bottom"/>
            <w:hideMark/>
          </w:tcPr>
          <w:p w14:paraId="7413D698" w14:textId="471E98E4"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11 890</w:t>
            </w:r>
          </w:p>
        </w:tc>
        <w:tc>
          <w:tcPr>
            <w:tcW w:w="436" w:type="pct"/>
            <w:tcBorders>
              <w:top w:val="nil"/>
              <w:left w:val="nil"/>
              <w:bottom w:val="nil"/>
              <w:right w:val="nil"/>
            </w:tcBorders>
            <w:shd w:val="clear" w:color="auto" w:fill="auto"/>
            <w:vAlign w:val="bottom"/>
            <w:hideMark/>
          </w:tcPr>
          <w:p w14:paraId="381C6AAC" w14:textId="4CBC8A86"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10 083</w:t>
            </w:r>
          </w:p>
        </w:tc>
        <w:tc>
          <w:tcPr>
            <w:tcW w:w="436" w:type="pct"/>
            <w:tcBorders>
              <w:top w:val="nil"/>
              <w:left w:val="nil"/>
              <w:bottom w:val="nil"/>
              <w:right w:val="nil"/>
            </w:tcBorders>
            <w:shd w:val="clear" w:color="auto" w:fill="auto"/>
            <w:vAlign w:val="bottom"/>
            <w:hideMark/>
          </w:tcPr>
          <w:p w14:paraId="3535203A" w14:textId="413E9106"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9 425</w:t>
            </w:r>
          </w:p>
        </w:tc>
        <w:tc>
          <w:tcPr>
            <w:tcW w:w="493" w:type="pct"/>
            <w:tcBorders>
              <w:top w:val="nil"/>
              <w:left w:val="nil"/>
              <w:bottom w:val="nil"/>
              <w:right w:val="nil"/>
            </w:tcBorders>
            <w:shd w:val="clear" w:color="auto" w:fill="auto"/>
            <w:vAlign w:val="bottom"/>
            <w:hideMark/>
          </w:tcPr>
          <w:p w14:paraId="52221F72" w14:textId="12D8F494"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369 502</w:t>
            </w:r>
          </w:p>
        </w:tc>
      </w:tr>
      <w:tr w:rsidR="00915150" w:rsidRPr="00F9577B" w14:paraId="3A17026A" w14:textId="77777777" w:rsidTr="00705489">
        <w:trPr>
          <w:trHeight w:val="315"/>
        </w:trPr>
        <w:tc>
          <w:tcPr>
            <w:tcW w:w="961" w:type="pct"/>
            <w:tcBorders>
              <w:top w:val="nil"/>
              <w:left w:val="nil"/>
              <w:bottom w:val="nil"/>
              <w:right w:val="nil"/>
            </w:tcBorders>
            <w:shd w:val="clear" w:color="auto" w:fill="auto"/>
            <w:vAlign w:val="bottom"/>
            <w:hideMark/>
          </w:tcPr>
          <w:p w14:paraId="3517F98B" w14:textId="77777777" w:rsidR="00915150" w:rsidRPr="00F9577B" w:rsidRDefault="00915150" w:rsidP="00BA19C1">
            <w:pPr>
              <w:tabs>
                <w:tab w:val="clear" w:pos="567"/>
              </w:tabs>
              <w:spacing w:after="0" w:line="240" w:lineRule="auto"/>
              <w:ind w:left="193" w:hanging="142"/>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AIHW households</w:t>
            </w:r>
          </w:p>
        </w:tc>
        <w:tc>
          <w:tcPr>
            <w:tcW w:w="492" w:type="pct"/>
            <w:tcBorders>
              <w:top w:val="nil"/>
              <w:left w:val="nil"/>
              <w:bottom w:val="nil"/>
              <w:right w:val="nil"/>
            </w:tcBorders>
            <w:shd w:val="clear" w:color="auto" w:fill="auto"/>
            <w:vAlign w:val="bottom"/>
            <w:hideMark/>
          </w:tcPr>
          <w:p w14:paraId="73CD2B21" w14:textId="77777777" w:rsidR="00915150" w:rsidRPr="00F9577B" w:rsidRDefault="00915150" w:rsidP="00BA19C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142 424</w:t>
            </w:r>
          </w:p>
        </w:tc>
        <w:tc>
          <w:tcPr>
            <w:tcW w:w="436" w:type="pct"/>
            <w:tcBorders>
              <w:top w:val="nil"/>
              <w:left w:val="nil"/>
              <w:bottom w:val="nil"/>
              <w:right w:val="nil"/>
            </w:tcBorders>
            <w:shd w:val="clear" w:color="auto" w:fill="auto"/>
            <w:vAlign w:val="bottom"/>
            <w:hideMark/>
          </w:tcPr>
          <w:p w14:paraId="20FC7578"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75 068</w:t>
            </w:r>
          </w:p>
        </w:tc>
        <w:tc>
          <w:tcPr>
            <w:tcW w:w="436" w:type="pct"/>
            <w:tcBorders>
              <w:top w:val="nil"/>
              <w:left w:val="nil"/>
              <w:bottom w:val="nil"/>
              <w:right w:val="nil"/>
            </w:tcBorders>
            <w:shd w:val="clear" w:color="auto" w:fill="auto"/>
            <w:vAlign w:val="bottom"/>
            <w:hideMark/>
          </w:tcPr>
          <w:p w14:paraId="10334667"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68 656</w:t>
            </w:r>
          </w:p>
        </w:tc>
        <w:tc>
          <w:tcPr>
            <w:tcW w:w="436" w:type="pct"/>
            <w:tcBorders>
              <w:top w:val="nil"/>
              <w:left w:val="nil"/>
              <w:bottom w:val="nil"/>
              <w:right w:val="nil"/>
            </w:tcBorders>
            <w:shd w:val="clear" w:color="auto" w:fill="auto"/>
            <w:vAlign w:val="bottom"/>
            <w:hideMark/>
          </w:tcPr>
          <w:p w14:paraId="1A208DAD"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39 878</w:t>
            </w:r>
          </w:p>
        </w:tc>
        <w:tc>
          <w:tcPr>
            <w:tcW w:w="436" w:type="pct"/>
            <w:tcBorders>
              <w:top w:val="nil"/>
              <w:left w:val="nil"/>
              <w:bottom w:val="nil"/>
              <w:right w:val="nil"/>
            </w:tcBorders>
            <w:shd w:val="clear" w:color="auto" w:fill="auto"/>
            <w:vAlign w:val="bottom"/>
            <w:hideMark/>
          </w:tcPr>
          <w:p w14:paraId="6DE7D86C"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47 102</w:t>
            </w:r>
          </w:p>
        </w:tc>
        <w:tc>
          <w:tcPr>
            <w:tcW w:w="436" w:type="pct"/>
            <w:tcBorders>
              <w:top w:val="nil"/>
              <w:left w:val="nil"/>
              <w:bottom w:val="nil"/>
              <w:right w:val="nil"/>
            </w:tcBorders>
            <w:shd w:val="clear" w:color="auto" w:fill="auto"/>
            <w:vAlign w:val="bottom"/>
            <w:hideMark/>
          </w:tcPr>
          <w:p w14:paraId="72669860"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12 165</w:t>
            </w:r>
          </w:p>
        </w:tc>
        <w:tc>
          <w:tcPr>
            <w:tcW w:w="436" w:type="pct"/>
            <w:tcBorders>
              <w:top w:val="nil"/>
              <w:left w:val="nil"/>
              <w:bottom w:val="nil"/>
              <w:right w:val="nil"/>
            </w:tcBorders>
            <w:shd w:val="clear" w:color="auto" w:fill="auto"/>
            <w:vAlign w:val="bottom"/>
            <w:hideMark/>
          </w:tcPr>
          <w:p w14:paraId="64F07F80"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11 464</w:t>
            </w:r>
          </w:p>
        </w:tc>
        <w:tc>
          <w:tcPr>
            <w:tcW w:w="436" w:type="pct"/>
            <w:tcBorders>
              <w:top w:val="nil"/>
              <w:left w:val="nil"/>
              <w:bottom w:val="nil"/>
              <w:right w:val="nil"/>
            </w:tcBorders>
            <w:shd w:val="clear" w:color="auto" w:fill="auto"/>
            <w:vAlign w:val="bottom"/>
            <w:hideMark/>
          </w:tcPr>
          <w:p w14:paraId="79584F9A"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12 198</w:t>
            </w:r>
          </w:p>
        </w:tc>
        <w:tc>
          <w:tcPr>
            <w:tcW w:w="493" w:type="pct"/>
            <w:tcBorders>
              <w:top w:val="nil"/>
              <w:left w:val="nil"/>
              <w:bottom w:val="nil"/>
              <w:right w:val="nil"/>
            </w:tcBorders>
            <w:shd w:val="clear" w:color="auto" w:fill="auto"/>
            <w:vAlign w:val="bottom"/>
            <w:hideMark/>
          </w:tcPr>
          <w:p w14:paraId="4BF2BBAF" w14:textId="77777777" w:rsidR="00915150" w:rsidRPr="00F9577B" w:rsidRDefault="00915150" w:rsidP="00BA19C1">
            <w:pPr>
              <w:tabs>
                <w:tab w:val="clear" w:pos="567"/>
              </w:tabs>
              <w:spacing w:after="0" w:line="240" w:lineRule="auto"/>
              <w:jc w:val="right"/>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403 955</w:t>
            </w:r>
          </w:p>
        </w:tc>
      </w:tr>
      <w:tr w:rsidR="00705489" w:rsidRPr="00F9577B" w14:paraId="13896AAD" w14:textId="77777777" w:rsidTr="00705489">
        <w:trPr>
          <w:trHeight w:val="315"/>
        </w:trPr>
        <w:tc>
          <w:tcPr>
            <w:tcW w:w="961" w:type="pct"/>
            <w:tcBorders>
              <w:top w:val="nil"/>
              <w:left w:val="nil"/>
              <w:bottom w:val="single" w:sz="4" w:space="0" w:color="auto"/>
              <w:right w:val="nil"/>
            </w:tcBorders>
            <w:shd w:val="clear" w:color="auto" w:fill="auto"/>
            <w:vAlign w:val="bottom"/>
            <w:hideMark/>
          </w:tcPr>
          <w:p w14:paraId="1FC46E2F" w14:textId="77777777" w:rsidR="00705489" w:rsidRPr="00F9577B" w:rsidRDefault="00705489" w:rsidP="00BA19C1">
            <w:pPr>
              <w:tabs>
                <w:tab w:val="clear" w:pos="567"/>
              </w:tabs>
              <w:spacing w:after="0" w:line="240" w:lineRule="auto"/>
              <w:ind w:left="193" w:hanging="142"/>
              <w:rPr>
                <w:rFonts w:ascii="Calibri" w:eastAsia="Times New Roman" w:hAnsi="Calibri" w:cs="Times New Roman"/>
                <w:color w:val="000000"/>
                <w:sz w:val="20"/>
                <w:szCs w:val="20"/>
                <w:lang w:eastAsia="en-AU"/>
              </w:rPr>
            </w:pPr>
            <w:r w:rsidRPr="00F9577B">
              <w:rPr>
                <w:rFonts w:ascii="Calibri" w:eastAsia="Times New Roman" w:hAnsi="Calibri" w:cs="Times New Roman"/>
                <w:color w:val="000000"/>
                <w:sz w:val="20"/>
                <w:szCs w:val="20"/>
                <w:lang w:eastAsia="en-AU"/>
              </w:rPr>
              <w:t>% difference</w:t>
            </w:r>
          </w:p>
        </w:tc>
        <w:tc>
          <w:tcPr>
            <w:tcW w:w="492" w:type="pct"/>
            <w:tcBorders>
              <w:top w:val="nil"/>
              <w:left w:val="nil"/>
              <w:bottom w:val="single" w:sz="4" w:space="0" w:color="auto"/>
              <w:right w:val="nil"/>
            </w:tcBorders>
            <w:shd w:val="clear" w:color="auto" w:fill="auto"/>
            <w:vAlign w:val="bottom"/>
            <w:hideMark/>
          </w:tcPr>
          <w:p w14:paraId="4DC3B41A" w14:textId="6C6D7802"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12.1</w:t>
            </w:r>
          </w:p>
        </w:tc>
        <w:tc>
          <w:tcPr>
            <w:tcW w:w="436" w:type="pct"/>
            <w:tcBorders>
              <w:top w:val="nil"/>
              <w:left w:val="nil"/>
              <w:bottom w:val="single" w:sz="4" w:space="0" w:color="auto"/>
              <w:right w:val="nil"/>
            </w:tcBorders>
            <w:shd w:val="clear" w:color="auto" w:fill="auto"/>
            <w:vAlign w:val="bottom"/>
            <w:hideMark/>
          </w:tcPr>
          <w:p w14:paraId="67E117AB" w14:textId="63095984"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16.7</w:t>
            </w:r>
          </w:p>
        </w:tc>
        <w:tc>
          <w:tcPr>
            <w:tcW w:w="436" w:type="pct"/>
            <w:tcBorders>
              <w:top w:val="nil"/>
              <w:left w:val="nil"/>
              <w:bottom w:val="single" w:sz="4" w:space="0" w:color="auto"/>
              <w:right w:val="nil"/>
            </w:tcBorders>
            <w:shd w:val="clear" w:color="auto" w:fill="auto"/>
            <w:vAlign w:val="bottom"/>
            <w:hideMark/>
          </w:tcPr>
          <w:p w14:paraId="4155ED3D" w14:textId="632A7F8A"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7.0</w:t>
            </w:r>
          </w:p>
        </w:tc>
        <w:tc>
          <w:tcPr>
            <w:tcW w:w="436" w:type="pct"/>
            <w:tcBorders>
              <w:top w:val="nil"/>
              <w:left w:val="nil"/>
              <w:bottom w:val="single" w:sz="4" w:space="0" w:color="auto"/>
              <w:right w:val="nil"/>
            </w:tcBorders>
            <w:shd w:val="clear" w:color="auto" w:fill="auto"/>
            <w:vAlign w:val="bottom"/>
            <w:hideMark/>
          </w:tcPr>
          <w:p w14:paraId="187B0924" w14:textId="6F009350"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6.5</w:t>
            </w:r>
          </w:p>
        </w:tc>
        <w:tc>
          <w:tcPr>
            <w:tcW w:w="436" w:type="pct"/>
            <w:tcBorders>
              <w:top w:val="nil"/>
              <w:left w:val="nil"/>
              <w:bottom w:val="single" w:sz="4" w:space="0" w:color="auto"/>
              <w:right w:val="nil"/>
            </w:tcBorders>
            <w:shd w:val="clear" w:color="auto" w:fill="auto"/>
            <w:vAlign w:val="bottom"/>
            <w:hideMark/>
          </w:tcPr>
          <w:p w14:paraId="431A6499" w14:textId="69D5D4E5"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4.3</w:t>
            </w:r>
          </w:p>
        </w:tc>
        <w:tc>
          <w:tcPr>
            <w:tcW w:w="436" w:type="pct"/>
            <w:tcBorders>
              <w:top w:val="nil"/>
              <w:left w:val="nil"/>
              <w:bottom w:val="single" w:sz="4" w:space="0" w:color="auto"/>
              <w:right w:val="nil"/>
            </w:tcBorders>
            <w:shd w:val="clear" w:color="auto" w:fill="auto"/>
            <w:vAlign w:val="bottom"/>
            <w:hideMark/>
          </w:tcPr>
          <w:p w14:paraId="66921619" w14:textId="230A7D41"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2.3</w:t>
            </w:r>
          </w:p>
        </w:tc>
        <w:tc>
          <w:tcPr>
            <w:tcW w:w="436" w:type="pct"/>
            <w:tcBorders>
              <w:top w:val="nil"/>
              <w:left w:val="nil"/>
              <w:bottom w:val="single" w:sz="4" w:space="0" w:color="auto"/>
              <w:right w:val="nil"/>
            </w:tcBorders>
            <w:shd w:val="clear" w:color="auto" w:fill="auto"/>
            <w:vAlign w:val="bottom"/>
            <w:hideMark/>
          </w:tcPr>
          <w:p w14:paraId="0D66B917" w14:textId="4E9EB234"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13.7</w:t>
            </w:r>
          </w:p>
        </w:tc>
        <w:tc>
          <w:tcPr>
            <w:tcW w:w="436" w:type="pct"/>
            <w:tcBorders>
              <w:top w:val="nil"/>
              <w:left w:val="nil"/>
              <w:bottom w:val="single" w:sz="4" w:space="0" w:color="auto"/>
              <w:right w:val="nil"/>
            </w:tcBorders>
            <w:shd w:val="clear" w:color="auto" w:fill="auto"/>
            <w:vAlign w:val="bottom"/>
            <w:hideMark/>
          </w:tcPr>
          <w:p w14:paraId="38D7726F" w14:textId="355A3E37"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29.4</w:t>
            </w:r>
          </w:p>
        </w:tc>
        <w:tc>
          <w:tcPr>
            <w:tcW w:w="493" w:type="pct"/>
            <w:tcBorders>
              <w:top w:val="nil"/>
              <w:left w:val="nil"/>
              <w:bottom w:val="single" w:sz="4" w:space="0" w:color="auto"/>
              <w:right w:val="nil"/>
            </w:tcBorders>
            <w:shd w:val="clear" w:color="auto" w:fill="auto"/>
            <w:vAlign w:val="bottom"/>
            <w:hideMark/>
          </w:tcPr>
          <w:p w14:paraId="3C4DE650" w14:textId="5A0E2561" w:rsidR="00705489" w:rsidRPr="00F9577B" w:rsidRDefault="00705489" w:rsidP="00BA19C1">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9.3</w:t>
            </w:r>
          </w:p>
        </w:tc>
      </w:tr>
    </w:tbl>
    <w:p w14:paraId="19CE19A2" w14:textId="77777777" w:rsidR="00565422" w:rsidRDefault="00565422" w:rsidP="004F1ECC">
      <w:pPr>
        <w:pStyle w:val="CGCTableFootnote"/>
        <w:keepNext/>
      </w:pPr>
      <w:r w:rsidRPr="00EE18DE">
        <w:t>Note:</w:t>
      </w:r>
      <w:r w:rsidRPr="00EE18DE">
        <w:tab/>
      </w:r>
      <w:r w:rsidR="00AB1DB8">
        <w:t xml:space="preserve">Census data </w:t>
      </w:r>
      <w:r w:rsidR="00017360">
        <w:t xml:space="preserve">cover </w:t>
      </w:r>
      <w:r w:rsidR="00AB1DB8" w:rsidRPr="00AB1DB8">
        <w:t>State housing authorit</w:t>
      </w:r>
      <w:r w:rsidR="00017360">
        <w:t>ies</w:t>
      </w:r>
      <w:r w:rsidR="00AB1DB8">
        <w:t xml:space="preserve"> and </w:t>
      </w:r>
      <w:r w:rsidR="00AB1DB8" w:rsidRPr="00AB1DB8">
        <w:t>Housing co</w:t>
      </w:r>
      <w:r w:rsidR="000F77C8">
        <w:noBreakHyphen/>
      </w:r>
      <w:r w:rsidR="00AB1DB8" w:rsidRPr="00AB1DB8">
        <w:t>operative/community/church group</w:t>
      </w:r>
      <w:r w:rsidR="00017360">
        <w:t>s</w:t>
      </w:r>
      <w:r w:rsidR="00AB1DB8">
        <w:t>.</w:t>
      </w:r>
    </w:p>
    <w:p w14:paraId="12BA2AD4" w14:textId="77777777" w:rsidR="00565422" w:rsidRPr="00EE18DE" w:rsidRDefault="00565422" w:rsidP="004F1ECC">
      <w:pPr>
        <w:pStyle w:val="CGCTableFootnote"/>
        <w:keepNext/>
      </w:pPr>
      <w:r>
        <w:tab/>
      </w:r>
      <w:r w:rsidRPr="00EE18DE">
        <w:t xml:space="preserve">AIHW </w:t>
      </w:r>
      <w:r w:rsidR="003C0DA1">
        <w:t>ICHO</w:t>
      </w:r>
      <w:r w:rsidR="00807B51" w:rsidRPr="00807B51">
        <w:t xml:space="preserve"> data for all States are the number of permanent dwellings mana</w:t>
      </w:r>
      <w:r w:rsidR="00807B51">
        <w:t>ged by funded ICH</w:t>
      </w:r>
      <w:r w:rsidR="003C0DA1">
        <w:t>Os</w:t>
      </w:r>
      <w:r w:rsidRPr="00EE18DE">
        <w:rPr>
          <w:lang w:val="en"/>
        </w:rPr>
        <w:t>.</w:t>
      </w:r>
      <w:r>
        <w:rPr>
          <w:lang w:val="en"/>
        </w:rPr>
        <w:t xml:space="preserve"> </w:t>
      </w:r>
    </w:p>
    <w:p w14:paraId="0B09CBBA" w14:textId="77777777" w:rsidR="00724A24" w:rsidRDefault="00724A24" w:rsidP="004F1ECC">
      <w:pPr>
        <w:pStyle w:val="CGCTableFootnote"/>
        <w:keepNext/>
      </w:pPr>
      <w:r>
        <w:t>(a)</w:t>
      </w:r>
      <w:r>
        <w:tab/>
      </w:r>
      <w:r w:rsidRPr="00724A24">
        <w:t xml:space="preserve">AIHW </w:t>
      </w:r>
      <w:r>
        <w:t xml:space="preserve">note </w:t>
      </w:r>
      <w:r w:rsidR="0062702C">
        <w:t>their</w:t>
      </w:r>
      <w:r w:rsidRPr="00724A24">
        <w:t xml:space="preserve"> data</w:t>
      </w:r>
      <w:r>
        <w:t xml:space="preserve"> for the Northern Territory</w:t>
      </w:r>
      <w:r w:rsidRPr="00724A24">
        <w:t xml:space="preserve"> exclude around 5</w:t>
      </w:r>
      <w:r>
        <w:t> </w:t>
      </w:r>
      <w:r w:rsidRPr="00724A24">
        <w:t xml:space="preserve">000 remote </w:t>
      </w:r>
      <w:r w:rsidR="0062702C">
        <w:t>Indigenous</w:t>
      </w:r>
      <w:r w:rsidRPr="00724A24">
        <w:t xml:space="preserve"> dwellings</w:t>
      </w:r>
      <w:r>
        <w:t>. T</w:t>
      </w:r>
      <w:r w:rsidRPr="00724A24">
        <w:t xml:space="preserve">hese </w:t>
      </w:r>
      <w:r>
        <w:t xml:space="preserve">5 000 </w:t>
      </w:r>
      <w:r w:rsidRPr="00724A24">
        <w:t xml:space="preserve">dwellings </w:t>
      </w:r>
      <w:r>
        <w:t>are included</w:t>
      </w:r>
      <w:r w:rsidR="00017360">
        <w:t xml:space="preserve"> in this table</w:t>
      </w:r>
      <w:r w:rsidRPr="00724A24">
        <w:t>.</w:t>
      </w:r>
    </w:p>
    <w:p w14:paraId="11D967B4" w14:textId="77777777" w:rsidR="00565422" w:rsidRPr="00EE18DE" w:rsidRDefault="00565422" w:rsidP="00565422">
      <w:pPr>
        <w:pStyle w:val="CGCTableFootnote"/>
      </w:pPr>
      <w:r w:rsidRPr="00EE18DE">
        <w:t>Source:</w:t>
      </w:r>
      <w:r w:rsidRPr="00EE18DE">
        <w:tab/>
        <w:t>ABS, 2011 Census</w:t>
      </w:r>
      <w:r w:rsidR="00E339CC">
        <w:t>;</w:t>
      </w:r>
      <w:r w:rsidRPr="00EE18DE">
        <w:t xml:space="preserve"> Productivity Commission, </w:t>
      </w:r>
      <w:r w:rsidRPr="00EE18DE">
        <w:rPr>
          <w:i/>
        </w:rPr>
        <w:t>Report on Government Services 201</w:t>
      </w:r>
      <w:r w:rsidR="000D0ABC">
        <w:rPr>
          <w:i/>
        </w:rPr>
        <w:t>8</w:t>
      </w:r>
      <w:r w:rsidRPr="00EE18DE">
        <w:t>, Table</w:t>
      </w:r>
      <w:r w:rsidR="00EB76A9">
        <w:t>s</w:t>
      </w:r>
      <w:r w:rsidRPr="00EE18DE">
        <w:t xml:space="preserve"> 18A.</w:t>
      </w:r>
      <w:r w:rsidR="0054273E">
        <w:t>4</w:t>
      </w:r>
      <w:r w:rsidR="00EB76A9">
        <w:t xml:space="preserve"> and 18A.</w:t>
      </w:r>
      <w:r w:rsidR="0054273E">
        <w:t>3</w:t>
      </w:r>
      <w:r w:rsidRPr="00EE18DE">
        <w:t>.</w:t>
      </w:r>
    </w:p>
    <w:p w14:paraId="3B7A5EB3" w14:textId="77777777" w:rsidR="008D1C4A" w:rsidRDefault="005C4F8F" w:rsidP="00B928FB">
      <w:pPr>
        <w:pStyle w:val="CGCNumberedPara"/>
      </w:pPr>
      <w:r>
        <w:t xml:space="preserve">Even though the AIHW data were available annually, the Census data </w:t>
      </w:r>
      <w:r w:rsidR="00EA2CB4">
        <w:t xml:space="preserve">were used </w:t>
      </w:r>
      <w:r>
        <w:t xml:space="preserve">in </w:t>
      </w:r>
      <w:r w:rsidR="00EE5E03">
        <w:t xml:space="preserve">the 2015 Review because they were more comprehensive for community housing and the number of </w:t>
      </w:r>
      <w:r w:rsidR="00EE5E03" w:rsidRPr="002D5ECA">
        <w:t>households with unknown Indigenous status</w:t>
      </w:r>
      <w:r w:rsidR="00EE5E03">
        <w:t xml:space="preserve"> was </w:t>
      </w:r>
      <w:r>
        <w:t>much</w:t>
      </w:r>
      <w:r w:rsidR="00EE5E03">
        <w:t xml:space="preserve"> lower. </w:t>
      </w:r>
    </w:p>
    <w:p w14:paraId="608FC06F" w14:textId="141F0751" w:rsidR="00071907" w:rsidRDefault="00EA2CB4" w:rsidP="0078358A">
      <w:pPr>
        <w:pStyle w:val="CGCNumberedPara"/>
      </w:pPr>
      <w:r>
        <w:t>That approach needs to be revisited because</w:t>
      </w:r>
      <w:r w:rsidR="005C4F8F">
        <w:t xml:space="preserve"> the discrepancies between t</w:t>
      </w:r>
      <w:r w:rsidR="00B64CF6">
        <w:t>he 2016</w:t>
      </w:r>
      <w:r w:rsidR="00530571">
        <w:t> </w:t>
      </w:r>
      <w:r w:rsidR="00B64CF6">
        <w:t xml:space="preserve">Census </w:t>
      </w:r>
      <w:r w:rsidR="005C4F8F">
        <w:t>data and the AIHW data are larger than previously</w:t>
      </w:r>
      <w:r w:rsidR="00E675C6">
        <w:t>,</w:t>
      </w:r>
      <w:r w:rsidR="00B64CF6">
        <w:t xml:space="preserve"> </w:t>
      </w:r>
      <w:r w:rsidR="00E675C6">
        <w:t xml:space="preserve">especially for community housing </w:t>
      </w:r>
      <w:r w:rsidR="00B64CF6">
        <w:t>(</w:t>
      </w:r>
      <w:r w:rsidR="00DC7D2A">
        <w:t xml:space="preserve">see </w:t>
      </w:r>
      <w:r w:rsidR="00DC7D2A">
        <w:fldChar w:fldCharType="begin"/>
      </w:r>
      <w:r w:rsidR="00DC7D2A">
        <w:instrText xml:space="preserve"> REF _Ref508014241 \h </w:instrText>
      </w:r>
      <w:r w:rsidR="00DC7D2A">
        <w:fldChar w:fldCharType="separate"/>
      </w:r>
      <w:r w:rsidR="00566C01" w:rsidRPr="003E5A23">
        <w:t xml:space="preserve">Table </w:t>
      </w:r>
      <w:r w:rsidR="00566C01">
        <w:rPr>
          <w:noProof/>
        </w:rPr>
        <w:t>4</w:t>
      </w:r>
      <w:r w:rsidR="00DC7D2A">
        <w:fldChar w:fldCharType="end"/>
      </w:r>
      <w:r w:rsidR="00B64CF6">
        <w:t xml:space="preserve">). </w:t>
      </w:r>
      <w:r w:rsidR="00264387">
        <w:t xml:space="preserve">The </w:t>
      </w:r>
      <w:r w:rsidR="00017360">
        <w:t xml:space="preserve">2016 Census </w:t>
      </w:r>
      <w:r w:rsidR="000B45FC">
        <w:t xml:space="preserve">count of households living in </w:t>
      </w:r>
      <w:r w:rsidR="00530571">
        <w:t>Housing co</w:t>
      </w:r>
      <w:r w:rsidR="00530571">
        <w:noBreakHyphen/>
      </w:r>
      <w:r w:rsidR="00264387" w:rsidRPr="00AB1DB8">
        <w:t>operative/community/church group</w:t>
      </w:r>
      <w:r w:rsidR="00264387">
        <w:t xml:space="preserve"> </w:t>
      </w:r>
      <w:r w:rsidR="00017360">
        <w:t>is lower than</w:t>
      </w:r>
      <w:r w:rsidR="00264387">
        <w:t xml:space="preserve"> the 2011 Census count, despite the recent growth in community housing numbers.</w:t>
      </w:r>
      <w:r w:rsidR="00C5349B">
        <w:t xml:space="preserve"> </w:t>
      </w:r>
    </w:p>
    <w:p w14:paraId="05D64023" w14:textId="77777777" w:rsidR="00A3497D" w:rsidRDefault="00A3497D" w:rsidP="00A3497D">
      <w:pPr>
        <w:pStyle w:val="CGCNumberedPara"/>
        <w:numPr>
          <w:ilvl w:val="1"/>
          <w:numId w:val="3"/>
        </w:numPr>
      </w:pPr>
      <w:bookmarkStart w:id="36" w:name="_Ref489886812"/>
      <w:r>
        <w:t xml:space="preserve">The discrepancies suggest two main factors </w:t>
      </w:r>
      <w:r w:rsidR="007F3D7C">
        <w:t xml:space="preserve">may be </w:t>
      </w:r>
      <w:r>
        <w:t>at play.</w:t>
      </w:r>
      <w:r>
        <w:rPr>
          <w:rStyle w:val="FootnoteReference"/>
        </w:rPr>
        <w:footnoteReference w:id="3"/>
      </w:r>
      <w:r>
        <w:t xml:space="preserve"> </w:t>
      </w:r>
    </w:p>
    <w:p w14:paraId="07674214" w14:textId="77777777" w:rsidR="00BC55BE" w:rsidRPr="00522796" w:rsidRDefault="00BC55BE" w:rsidP="00522796">
      <w:pPr>
        <w:pStyle w:val="CGCBulletlist"/>
      </w:pPr>
      <w:r w:rsidRPr="00522796">
        <w:t xml:space="preserve">First, </w:t>
      </w:r>
      <w:r w:rsidR="00362C15" w:rsidRPr="00522796">
        <w:t>t</w:t>
      </w:r>
      <w:r w:rsidRPr="00522796">
        <w:t xml:space="preserve">he Census household/dwelling counts are affected by the incidence of non-responding (including non-response to the tenure and landlord type question) and unoccupied dwellings. </w:t>
      </w:r>
    </w:p>
    <w:p w14:paraId="1F5EB80F" w14:textId="77777777" w:rsidR="00A3497D" w:rsidRDefault="00BC55BE" w:rsidP="00A3497D">
      <w:pPr>
        <w:pStyle w:val="CGCBulletlist"/>
      </w:pPr>
      <w:r>
        <w:t>Second</w:t>
      </w:r>
      <w:r w:rsidR="00A3497D">
        <w:t xml:space="preserve">, in completing their Census forms, many community housing tenants (especially </w:t>
      </w:r>
      <w:r w:rsidR="00DB13FF">
        <w:t>ICHO</w:t>
      </w:r>
      <w:r w:rsidR="00A3497D">
        <w:t xml:space="preserve"> tenants) may think their properties are regular private sector rentals rather than government-supported community housing. This is illustrated by the observation that 2016 Census data show only 7 285 Indigenous community housing households </w:t>
      </w:r>
      <w:r w:rsidR="00DB13FF">
        <w:t>whereas</w:t>
      </w:r>
      <w:r w:rsidR="00A3497D">
        <w:t xml:space="preserve"> the AIHW data show around 2</w:t>
      </w:r>
      <w:r w:rsidR="008F4492">
        <w:t>1</w:t>
      </w:r>
      <w:r w:rsidR="00A3497D">
        <w:t xml:space="preserve"> 000 Indigenous community housing households in mainstream community housing and </w:t>
      </w:r>
      <w:r w:rsidR="00A3497D" w:rsidRPr="003B3DF1">
        <w:t>Indigenous community housing</w:t>
      </w:r>
      <w:r w:rsidR="00A3497D">
        <w:t>.</w:t>
      </w:r>
    </w:p>
    <w:p w14:paraId="0FC7D32C" w14:textId="3B249917" w:rsidR="004F41C7" w:rsidRPr="003E5A23" w:rsidRDefault="004F41C7" w:rsidP="00B801D4">
      <w:pPr>
        <w:pStyle w:val="Caption"/>
        <w:spacing w:before="120"/>
      </w:pPr>
      <w:bookmarkStart w:id="37" w:name="_Ref508014241"/>
      <w:r w:rsidRPr="003E5A23">
        <w:lastRenderedPageBreak/>
        <w:t xml:space="preserve">Table </w:t>
      </w:r>
      <w:r w:rsidR="00CE292F">
        <w:fldChar w:fldCharType="begin"/>
      </w:r>
      <w:r w:rsidR="00CE292F">
        <w:instrText xml:space="preserve"> SEQ Table \* ARABIC </w:instrText>
      </w:r>
      <w:r w:rsidR="00CE292F">
        <w:fldChar w:fldCharType="separate"/>
      </w:r>
      <w:r w:rsidR="00566C01">
        <w:rPr>
          <w:noProof/>
        </w:rPr>
        <w:t>4</w:t>
      </w:r>
      <w:r w:rsidR="00CE292F">
        <w:rPr>
          <w:noProof/>
        </w:rPr>
        <w:fldChar w:fldCharType="end"/>
      </w:r>
      <w:bookmarkEnd w:id="36"/>
      <w:bookmarkEnd w:id="37"/>
      <w:r w:rsidRPr="003E5A23">
        <w:tab/>
        <w:t xml:space="preserve">Comparison of Census and AIHW data on social housing </w:t>
      </w:r>
      <w:r>
        <w:t>household</w:t>
      </w:r>
      <w:r w:rsidRPr="003E5A23">
        <w:t xml:space="preserve"> numbers, </w:t>
      </w:r>
      <w:r>
        <w:t>30 </w:t>
      </w:r>
      <w:r w:rsidRPr="003E5A23">
        <w:t>June</w:t>
      </w:r>
      <w:r>
        <w:t> </w:t>
      </w:r>
      <w:r w:rsidRPr="003E5A23">
        <w:t>201</w:t>
      </w:r>
      <w:r>
        <w:t>6</w:t>
      </w:r>
    </w:p>
    <w:tbl>
      <w:tblPr>
        <w:tblW w:w="8920" w:type="dxa"/>
        <w:tblLayout w:type="fixed"/>
        <w:tblCellMar>
          <w:left w:w="0" w:type="dxa"/>
          <w:right w:w="0" w:type="dxa"/>
        </w:tblCellMar>
        <w:tblLook w:val="04A0" w:firstRow="1" w:lastRow="0" w:firstColumn="1" w:lastColumn="0" w:noHBand="0" w:noVBand="1"/>
      </w:tblPr>
      <w:tblGrid>
        <w:gridCol w:w="1840"/>
        <w:gridCol w:w="880"/>
        <w:gridCol w:w="760"/>
        <w:gridCol w:w="760"/>
        <w:gridCol w:w="760"/>
        <w:gridCol w:w="760"/>
        <w:gridCol w:w="760"/>
        <w:gridCol w:w="760"/>
        <w:gridCol w:w="760"/>
        <w:gridCol w:w="880"/>
      </w:tblGrid>
      <w:tr w:rsidR="00B801D4" w:rsidRPr="00B801D4" w14:paraId="7DA98A6B" w14:textId="77777777" w:rsidTr="00BA19C1">
        <w:trPr>
          <w:trHeight w:val="379"/>
        </w:trPr>
        <w:tc>
          <w:tcPr>
            <w:tcW w:w="1840" w:type="dxa"/>
            <w:tcBorders>
              <w:top w:val="single" w:sz="4" w:space="0" w:color="auto"/>
              <w:left w:val="nil"/>
              <w:bottom w:val="single" w:sz="4" w:space="0" w:color="auto"/>
              <w:right w:val="nil"/>
            </w:tcBorders>
            <w:shd w:val="clear" w:color="auto" w:fill="auto"/>
            <w:noWrap/>
            <w:vAlign w:val="center"/>
            <w:hideMark/>
          </w:tcPr>
          <w:p w14:paraId="249859EE" w14:textId="77777777" w:rsidR="00B801D4" w:rsidRPr="00B801D4" w:rsidRDefault="00B801D4" w:rsidP="0035647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38" w:name="RANGE!A1:J14"/>
            <w:r w:rsidRPr="00B801D4">
              <w:rPr>
                <w:rFonts w:ascii="Calibri" w:eastAsia="Times New Roman" w:hAnsi="Calibri" w:cs="Times New Roman"/>
                <w:color w:val="000000"/>
                <w:sz w:val="20"/>
                <w:szCs w:val="20"/>
                <w:lang w:eastAsia="en-AU"/>
              </w:rPr>
              <w:t> </w:t>
            </w:r>
            <w:bookmarkEnd w:id="38"/>
          </w:p>
        </w:tc>
        <w:tc>
          <w:tcPr>
            <w:tcW w:w="880" w:type="dxa"/>
            <w:tcBorders>
              <w:top w:val="single" w:sz="4" w:space="0" w:color="auto"/>
              <w:left w:val="nil"/>
              <w:bottom w:val="single" w:sz="4" w:space="0" w:color="auto"/>
              <w:right w:val="nil"/>
            </w:tcBorders>
            <w:shd w:val="clear" w:color="auto" w:fill="auto"/>
            <w:noWrap/>
            <w:vAlign w:val="center"/>
            <w:hideMark/>
          </w:tcPr>
          <w:p w14:paraId="03BED09D"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14:paraId="4A55BFA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14:paraId="56A60803"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14:paraId="3A8E4A9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14:paraId="7FD01AC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14:paraId="6D9F5C2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Tas</w:t>
            </w:r>
          </w:p>
        </w:tc>
        <w:tc>
          <w:tcPr>
            <w:tcW w:w="760" w:type="dxa"/>
            <w:tcBorders>
              <w:top w:val="single" w:sz="4" w:space="0" w:color="auto"/>
              <w:left w:val="nil"/>
              <w:bottom w:val="single" w:sz="4" w:space="0" w:color="auto"/>
              <w:right w:val="nil"/>
            </w:tcBorders>
            <w:shd w:val="clear" w:color="auto" w:fill="auto"/>
            <w:noWrap/>
            <w:vAlign w:val="center"/>
            <w:hideMark/>
          </w:tcPr>
          <w:p w14:paraId="159EBF0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14:paraId="06122876"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NT (a)</w:t>
            </w:r>
          </w:p>
        </w:tc>
        <w:tc>
          <w:tcPr>
            <w:tcW w:w="880" w:type="dxa"/>
            <w:tcBorders>
              <w:top w:val="single" w:sz="4" w:space="0" w:color="auto"/>
              <w:left w:val="nil"/>
              <w:bottom w:val="single" w:sz="4" w:space="0" w:color="auto"/>
              <w:right w:val="nil"/>
            </w:tcBorders>
            <w:shd w:val="clear" w:color="auto" w:fill="auto"/>
            <w:noWrap/>
            <w:vAlign w:val="center"/>
            <w:hideMark/>
          </w:tcPr>
          <w:p w14:paraId="01A6F8F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Total</w:t>
            </w:r>
          </w:p>
        </w:tc>
      </w:tr>
      <w:tr w:rsidR="00B801D4" w:rsidRPr="00B801D4" w14:paraId="0FEA31B7" w14:textId="77777777" w:rsidTr="00BA19C1">
        <w:trPr>
          <w:trHeight w:val="259"/>
        </w:trPr>
        <w:tc>
          <w:tcPr>
            <w:tcW w:w="1840" w:type="dxa"/>
            <w:tcBorders>
              <w:top w:val="nil"/>
              <w:left w:val="nil"/>
              <w:bottom w:val="nil"/>
              <w:right w:val="nil"/>
            </w:tcBorders>
            <w:shd w:val="clear" w:color="auto" w:fill="auto"/>
            <w:noWrap/>
            <w:vAlign w:val="bottom"/>
            <w:hideMark/>
          </w:tcPr>
          <w:p w14:paraId="6C302CA5" w14:textId="77777777" w:rsidR="00B801D4" w:rsidRPr="00B801D4" w:rsidRDefault="00B801D4" w:rsidP="0035647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880" w:type="dxa"/>
            <w:tcBorders>
              <w:top w:val="nil"/>
              <w:left w:val="nil"/>
              <w:bottom w:val="nil"/>
              <w:right w:val="nil"/>
            </w:tcBorders>
            <w:shd w:val="clear" w:color="auto" w:fill="auto"/>
            <w:noWrap/>
            <w:vAlign w:val="bottom"/>
            <w:hideMark/>
          </w:tcPr>
          <w:p w14:paraId="0F2DB26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6721C1A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150F124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7E3C721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6FF125A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113E877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26DF5CDC"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760" w:type="dxa"/>
            <w:tcBorders>
              <w:top w:val="nil"/>
              <w:left w:val="nil"/>
              <w:bottom w:val="nil"/>
              <w:right w:val="nil"/>
            </w:tcBorders>
            <w:shd w:val="clear" w:color="auto" w:fill="auto"/>
            <w:noWrap/>
            <w:vAlign w:val="bottom"/>
            <w:hideMark/>
          </w:tcPr>
          <w:p w14:paraId="61FA371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c>
          <w:tcPr>
            <w:tcW w:w="880" w:type="dxa"/>
            <w:tcBorders>
              <w:top w:val="nil"/>
              <w:left w:val="nil"/>
              <w:bottom w:val="nil"/>
              <w:right w:val="nil"/>
            </w:tcBorders>
            <w:shd w:val="clear" w:color="auto" w:fill="auto"/>
            <w:noWrap/>
            <w:vAlign w:val="bottom"/>
            <w:hideMark/>
          </w:tcPr>
          <w:p w14:paraId="57205F0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No.</w:t>
            </w:r>
          </w:p>
        </w:tc>
      </w:tr>
      <w:tr w:rsidR="00B801D4" w:rsidRPr="00B801D4" w14:paraId="56AB71EF" w14:textId="77777777" w:rsidTr="00BA19C1">
        <w:trPr>
          <w:trHeight w:val="315"/>
        </w:trPr>
        <w:tc>
          <w:tcPr>
            <w:tcW w:w="1840" w:type="dxa"/>
            <w:tcBorders>
              <w:top w:val="nil"/>
              <w:left w:val="nil"/>
              <w:bottom w:val="nil"/>
              <w:right w:val="nil"/>
            </w:tcBorders>
            <w:shd w:val="clear" w:color="auto" w:fill="auto"/>
            <w:vAlign w:val="bottom"/>
            <w:hideMark/>
          </w:tcPr>
          <w:p w14:paraId="2681E65D" w14:textId="77777777" w:rsidR="00B801D4" w:rsidRPr="00B801D4" w:rsidRDefault="00B801D4"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Census households</w:t>
            </w:r>
          </w:p>
        </w:tc>
        <w:tc>
          <w:tcPr>
            <w:tcW w:w="880" w:type="dxa"/>
            <w:tcBorders>
              <w:top w:val="nil"/>
              <w:left w:val="nil"/>
              <w:bottom w:val="nil"/>
              <w:right w:val="nil"/>
            </w:tcBorders>
            <w:shd w:val="clear" w:color="auto" w:fill="auto"/>
            <w:vAlign w:val="bottom"/>
            <w:hideMark/>
          </w:tcPr>
          <w:p w14:paraId="606F500E"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295F13DC"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3F89B28B"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20934D3F"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4E07400E"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07312E9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04D4C746"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71ED844B"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80" w:type="dxa"/>
            <w:tcBorders>
              <w:top w:val="nil"/>
              <w:left w:val="nil"/>
              <w:bottom w:val="nil"/>
              <w:right w:val="nil"/>
            </w:tcBorders>
            <w:shd w:val="clear" w:color="auto" w:fill="auto"/>
            <w:vAlign w:val="bottom"/>
            <w:hideMark/>
          </w:tcPr>
          <w:p w14:paraId="3FF9367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r>
      <w:tr w:rsidR="00B801D4" w:rsidRPr="00B801D4" w14:paraId="4B1C4C6B" w14:textId="77777777" w:rsidTr="00BA19C1">
        <w:trPr>
          <w:trHeight w:val="315"/>
        </w:trPr>
        <w:tc>
          <w:tcPr>
            <w:tcW w:w="1840" w:type="dxa"/>
            <w:tcBorders>
              <w:top w:val="nil"/>
              <w:left w:val="nil"/>
              <w:bottom w:val="nil"/>
              <w:right w:val="nil"/>
            </w:tcBorders>
            <w:shd w:val="clear" w:color="auto" w:fill="auto"/>
            <w:vAlign w:val="bottom"/>
            <w:hideMark/>
          </w:tcPr>
          <w:p w14:paraId="0A3EBD96" w14:textId="77777777" w:rsidR="00B801D4" w:rsidRPr="00B801D4" w:rsidRDefault="00B801D4"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State housing</w:t>
            </w:r>
          </w:p>
        </w:tc>
        <w:tc>
          <w:tcPr>
            <w:tcW w:w="880" w:type="dxa"/>
            <w:tcBorders>
              <w:top w:val="nil"/>
              <w:left w:val="nil"/>
              <w:bottom w:val="nil"/>
              <w:right w:val="nil"/>
            </w:tcBorders>
            <w:shd w:val="clear" w:color="auto" w:fill="auto"/>
            <w:vAlign w:val="bottom"/>
            <w:hideMark/>
          </w:tcPr>
          <w:p w14:paraId="23FBDC37" w14:textId="77777777" w:rsidR="00B801D4" w:rsidRPr="00B801D4" w:rsidRDefault="00B801D4" w:rsidP="00B801D4">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105 347</w:t>
            </w:r>
          </w:p>
        </w:tc>
        <w:tc>
          <w:tcPr>
            <w:tcW w:w="760" w:type="dxa"/>
            <w:tcBorders>
              <w:top w:val="nil"/>
              <w:left w:val="nil"/>
              <w:bottom w:val="nil"/>
              <w:right w:val="nil"/>
            </w:tcBorders>
            <w:shd w:val="clear" w:color="auto" w:fill="auto"/>
            <w:vAlign w:val="bottom"/>
            <w:hideMark/>
          </w:tcPr>
          <w:p w14:paraId="103BF0B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52 140</w:t>
            </w:r>
          </w:p>
        </w:tc>
        <w:tc>
          <w:tcPr>
            <w:tcW w:w="760" w:type="dxa"/>
            <w:tcBorders>
              <w:top w:val="nil"/>
              <w:left w:val="nil"/>
              <w:bottom w:val="nil"/>
              <w:right w:val="nil"/>
            </w:tcBorders>
            <w:shd w:val="clear" w:color="auto" w:fill="auto"/>
            <w:vAlign w:val="bottom"/>
            <w:hideMark/>
          </w:tcPr>
          <w:p w14:paraId="668E61F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53 092</w:t>
            </w:r>
          </w:p>
        </w:tc>
        <w:tc>
          <w:tcPr>
            <w:tcW w:w="760" w:type="dxa"/>
            <w:tcBorders>
              <w:top w:val="nil"/>
              <w:left w:val="nil"/>
              <w:bottom w:val="nil"/>
              <w:right w:val="nil"/>
            </w:tcBorders>
            <w:shd w:val="clear" w:color="auto" w:fill="auto"/>
            <w:vAlign w:val="bottom"/>
            <w:hideMark/>
          </w:tcPr>
          <w:p w14:paraId="7F501CA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31 186</w:t>
            </w:r>
          </w:p>
        </w:tc>
        <w:tc>
          <w:tcPr>
            <w:tcW w:w="760" w:type="dxa"/>
            <w:tcBorders>
              <w:top w:val="nil"/>
              <w:left w:val="nil"/>
              <w:bottom w:val="nil"/>
              <w:right w:val="nil"/>
            </w:tcBorders>
            <w:shd w:val="clear" w:color="auto" w:fill="auto"/>
            <w:vAlign w:val="bottom"/>
            <w:hideMark/>
          </w:tcPr>
          <w:p w14:paraId="3F677AFF"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33 872</w:t>
            </w:r>
          </w:p>
        </w:tc>
        <w:tc>
          <w:tcPr>
            <w:tcW w:w="760" w:type="dxa"/>
            <w:tcBorders>
              <w:top w:val="nil"/>
              <w:left w:val="nil"/>
              <w:bottom w:val="nil"/>
              <w:right w:val="nil"/>
            </w:tcBorders>
            <w:shd w:val="clear" w:color="auto" w:fill="auto"/>
            <w:vAlign w:val="bottom"/>
            <w:hideMark/>
          </w:tcPr>
          <w:p w14:paraId="7FE6641F"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9 263</w:t>
            </w:r>
          </w:p>
        </w:tc>
        <w:tc>
          <w:tcPr>
            <w:tcW w:w="760" w:type="dxa"/>
            <w:tcBorders>
              <w:top w:val="nil"/>
              <w:left w:val="nil"/>
              <w:bottom w:val="nil"/>
              <w:right w:val="nil"/>
            </w:tcBorders>
            <w:shd w:val="clear" w:color="auto" w:fill="auto"/>
            <w:vAlign w:val="bottom"/>
            <w:hideMark/>
          </w:tcPr>
          <w:p w14:paraId="449BF126"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8 576</w:t>
            </w:r>
          </w:p>
        </w:tc>
        <w:tc>
          <w:tcPr>
            <w:tcW w:w="760" w:type="dxa"/>
            <w:tcBorders>
              <w:top w:val="nil"/>
              <w:left w:val="nil"/>
              <w:bottom w:val="nil"/>
              <w:right w:val="nil"/>
            </w:tcBorders>
            <w:shd w:val="clear" w:color="auto" w:fill="auto"/>
            <w:vAlign w:val="bottom"/>
            <w:hideMark/>
          </w:tcPr>
          <w:p w14:paraId="2D7F0A4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7 645</w:t>
            </w:r>
          </w:p>
        </w:tc>
        <w:tc>
          <w:tcPr>
            <w:tcW w:w="880" w:type="dxa"/>
            <w:tcBorders>
              <w:top w:val="nil"/>
              <w:left w:val="nil"/>
              <w:bottom w:val="nil"/>
              <w:right w:val="nil"/>
            </w:tcBorders>
            <w:shd w:val="clear" w:color="auto" w:fill="auto"/>
            <w:vAlign w:val="bottom"/>
            <w:hideMark/>
          </w:tcPr>
          <w:p w14:paraId="7DB95C7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301 121</w:t>
            </w:r>
          </w:p>
        </w:tc>
      </w:tr>
      <w:tr w:rsidR="00B801D4" w:rsidRPr="00B801D4" w14:paraId="5CACBAEE" w14:textId="77777777" w:rsidTr="00BA19C1">
        <w:trPr>
          <w:trHeight w:val="315"/>
        </w:trPr>
        <w:tc>
          <w:tcPr>
            <w:tcW w:w="1840" w:type="dxa"/>
            <w:tcBorders>
              <w:top w:val="nil"/>
              <w:left w:val="nil"/>
              <w:bottom w:val="nil"/>
              <w:right w:val="nil"/>
            </w:tcBorders>
            <w:shd w:val="clear" w:color="auto" w:fill="auto"/>
            <w:vAlign w:val="bottom"/>
            <w:hideMark/>
          </w:tcPr>
          <w:p w14:paraId="17AC77F8" w14:textId="77777777" w:rsidR="00B801D4" w:rsidRPr="00B801D4" w:rsidRDefault="00B801D4"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Community housing</w:t>
            </w:r>
          </w:p>
        </w:tc>
        <w:tc>
          <w:tcPr>
            <w:tcW w:w="880" w:type="dxa"/>
            <w:tcBorders>
              <w:top w:val="nil"/>
              <w:left w:val="nil"/>
              <w:bottom w:val="nil"/>
              <w:right w:val="nil"/>
            </w:tcBorders>
            <w:shd w:val="clear" w:color="auto" w:fill="auto"/>
            <w:vAlign w:val="bottom"/>
            <w:hideMark/>
          </w:tcPr>
          <w:p w14:paraId="4E83296E"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17 692</w:t>
            </w:r>
          </w:p>
        </w:tc>
        <w:tc>
          <w:tcPr>
            <w:tcW w:w="760" w:type="dxa"/>
            <w:tcBorders>
              <w:top w:val="nil"/>
              <w:left w:val="nil"/>
              <w:bottom w:val="nil"/>
              <w:right w:val="nil"/>
            </w:tcBorders>
            <w:shd w:val="clear" w:color="auto" w:fill="auto"/>
            <w:vAlign w:val="bottom"/>
            <w:hideMark/>
          </w:tcPr>
          <w:p w14:paraId="18D92D9E"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9 886</w:t>
            </w:r>
          </w:p>
        </w:tc>
        <w:tc>
          <w:tcPr>
            <w:tcW w:w="760" w:type="dxa"/>
            <w:tcBorders>
              <w:top w:val="nil"/>
              <w:left w:val="nil"/>
              <w:bottom w:val="nil"/>
              <w:right w:val="nil"/>
            </w:tcBorders>
            <w:shd w:val="clear" w:color="auto" w:fill="auto"/>
            <w:vAlign w:val="bottom"/>
            <w:hideMark/>
          </w:tcPr>
          <w:p w14:paraId="5EB7B2E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8 690</w:t>
            </w:r>
          </w:p>
        </w:tc>
        <w:tc>
          <w:tcPr>
            <w:tcW w:w="760" w:type="dxa"/>
            <w:tcBorders>
              <w:top w:val="nil"/>
              <w:left w:val="nil"/>
              <w:bottom w:val="nil"/>
              <w:right w:val="nil"/>
            </w:tcBorders>
            <w:shd w:val="clear" w:color="auto" w:fill="auto"/>
            <w:vAlign w:val="bottom"/>
            <w:hideMark/>
          </w:tcPr>
          <w:p w14:paraId="48574413"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4 524</w:t>
            </w:r>
          </w:p>
        </w:tc>
        <w:tc>
          <w:tcPr>
            <w:tcW w:w="760" w:type="dxa"/>
            <w:tcBorders>
              <w:top w:val="nil"/>
              <w:left w:val="nil"/>
              <w:bottom w:val="nil"/>
              <w:right w:val="nil"/>
            </w:tcBorders>
            <w:shd w:val="clear" w:color="auto" w:fill="auto"/>
            <w:vAlign w:val="bottom"/>
            <w:hideMark/>
          </w:tcPr>
          <w:p w14:paraId="56DB65EB"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6 734</w:t>
            </w:r>
          </w:p>
        </w:tc>
        <w:tc>
          <w:tcPr>
            <w:tcW w:w="760" w:type="dxa"/>
            <w:tcBorders>
              <w:top w:val="nil"/>
              <w:left w:val="nil"/>
              <w:bottom w:val="nil"/>
              <w:right w:val="nil"/>
            </w:tcBorders>
            <w:shd w:val="clear" w:color="auto" w:fill="auto"/>
            <w:vAlign w:val="bottom"/>
            <w:hideMark/>
          </w:tcPr>
          <w:p w14:paraId="39E1BA1E"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1 743</w:t>
            </w:r>
          </w:p>
        </w:tc>
        <w:tc>
          <w:tcPr>
            <w:tcW w:w="760" w:type="dxa"/>
            <w:tcBorders>
              <w:top w:val="nil"/>
              <w:left w:val="nil"/>
              <w:bottom w:val="nil"/>
              <w:right w:val="nil"/>
            </w:tcBorders>
            <w:shd w:val="clear" w:color="auto" w:fill="auto"/>
            <w:vAlign w:val="bottom"/>
            <w:hideMark/>
          </w:tcPr>
          <w:p w14:paraId="23ADF14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553</w:t>
            </w:r>
          </w:p>
        </w:tc>
        <w:tc>
          <w:tcPr>
            <w:tcW w:w="760" w:type="dxa"/>
            <w:tcBorders>
              <w:top w:val="nil"/>
              <w:left w:val="nil"/>
              <w:bottom w:val="nil"/>
              <w:right w:val="nil"/>
            </w:tcBorders>
            <w:shd w:val="clear" w:color="auto" w:fill="auto"/>
            <w:vAlign w:val="bottom"/>
            <w:hideMark/>
          </w:tcPr>
          <w:p w14:paraId="630D3B1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1 214</w:t>
            </w:r>
          </w:p>
        </w:tc>
        <w:tc>
          <w:tcPr>
            <w:tcW w:w="880" w:type="dxa"/>
            <w:tcBorders>
              <w:top w:val="nil"/>
              <w:left w:val="nil"/>
              <w:bottom w:val="nil"/>
              <w:right w:val="nil"/>
            </w:tcBorders>
            <w:shd w:val="clear" w:color="auto" w:fill="auto"/>
            <w:vAlign w:val="bottom"/>
            <w:hideMark/>
          </w:tcPr>
          <w:p w14:paraId="0DA060C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51 036</w:t>
            </w:r>
          </w:p>
        </w:tc>
      </w:tr>
      <w:tr w:rsidR="00B801D4" w:rsidRPr="00B801D4" w14:paraId="185F9C74" w14:textId="77777777" w:rsidTr="00BA19C1">
        <w:trPr>
          <w:trHeight w:val="315"/>
        </w:trPr>
        <w:tc>
          <w:tcPr>
            <w:tcW w:w="1840" w:type="dxa"/>
            <w:tcBorders>
              <w:top w:val="nil"/>
              <w:left w:val="nil"/>
              <w:bottom w:val="nil"/>
              <w:right w:val="nil"/>
            </w:tcBorders>
            <w:shd w:val="clear" w:color="auto" w:fill="auto"/>
            <w:vAlign w:val="bottom"/>
            <w:hideMark/>
          </w:tcPr>
          <w:p w14:paraId="698C2F19" w14:textId="77777777" w:rsidR="00B801D4" w:rsidRPr="00B801D4" w:rsidRDefault="00B801D4"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Total</w:t>
            </w:r>
          </w:p>
        </w:tc>
        <w:tc>
          <w:tcPr>
            <w:tcW w:w="880" w:type="dxa"/>
            <w:tcBorders>
              <w:top w:val="single" w:sz="4" w:space="0" w:color="auto"/>
              <w:left w:val="nil"/>
              <w:bottom w:val="nil"/>
              <w:right w:val="nil"/>
            </w:tcBorders>
            <w:shd w:val="clear" w:color="auto" w:fill="auto"/>
            <w:vAlign w:val="bottom"/>
            <w:hideMark/>
          </w:tcPr>
          <w:p w14:paraId="41F7CED6"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123 039</w:t>
            </w:r>
          </w:p>
        </w:tc>
        <w:tc>
          <w:tcPr>
            <w:tcW w:w="760" w:type="dxa"/>
            <w:tcBorders>
              <w:top w:val="single" w:sz="4" w:space="0" w:color="auto"/>
              <w:left w:val="nil"/>
              <w:bottom w:val="nil"/>
              <w:right w:val="nil"/>
            </w:tcBorders>
            <w:shd w:val="clear" w:color="auto" w:fill="auto"/>
            <w:vAlign w:val="bottom"/>
            <w:hideMark/>
          </w:tcPr>
          <w:p w14:paraId="5AC6D22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62 026</w:t>
            </w:r>
          </w:p>
        </w:tc>
        <w:tc>
          <w:tcPr>
            <w:tcW w:w="760" w:type="dxa"/>
            <w:tcBorders>
              <w:top w:val="single" w:sz="4" w:space="0" w:color="auto"/>
              <w:left w:val="nil"/>
              <w:bottom w:val="nil"/>
              <w:right w:val="nil"/>
            </w:tcBorders>
            <w:shd w:val="clear" w:color="auto" w:fill="auto"/>
            <w:vAlign w:val="bottom"/>
            <w:hideMark/>
          </w:tcPr>
          <w:p w14:paraId="18788639"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61 782</w:t>
            </w:r>
          </w:p>
        </w:tc>
        <w:tc>
          <w:tcPr>
            <w:tcW w:w="760" w:type="dxa"/>
            <w:tcBorders>
              <w:top w:val="single" w:sz="4" w:space="0" w:color="auto"/>
              <w:left w:val="nil"/>
              <w:bottom w:val="nil"/>
              <w:right w:val="nil"/>
            </w:tcBorders>
            <w:shd w:val="clear" w:color="auto" w:fill="auto"/>
            <w:vAlign w:val="bottom"/>
            <w:hideMark/>
          </w:tcPr>
          <w:p w14:paraId="62C1F5B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35 710</w:t>
            </w:r>
          </w:p>
        </w:tc>
        <w:tc>
          <w:tcPr>
            <w:tcW w:w="760" w:type="dxa"/>
            <w:tcBorders>
              <w:top w:val="single" w:sz="4" w:space="0" w:color="auto"/>
              <w:left w:val="nil"/>
              <w:bottom w:val="nil"/>
              <w:right w:val="nil"/>
            </w:tcBorders>
            <w:shd w:val="clear" w:color="auto" w:fill="auto"/>
            <w:vAlign w:val="bottom"/>
            <w:hideMark/>
          </w:tcPr>
          <w:p w14:paraId="45FBA85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40 606</w:t>
            </w:r>
          </w:p>
        </w:tc>
        <w:tc>
          <w:tcPr>
            <w:tcW w:w="760" w:type="dxa"/>
            <w:tcBorders>
              <w:top w:val="single" w:sz="4" w:space="0" w:color="auto"/>
              <w:left w:val="nil"/>
              <w:bottom w:val="nil"/>
              <w:right w:val="nil"/>
            </w:tcBorders>
            <w:shd w:val="clear" w:color="auto" w:fill="auto"/>
            <w:vAlign w:val="bottom"/>
            <w:hideMark/>
          </w:tcPr>
          <w:p w14:paraId="627538E3"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11 006</w:t>
            </w:r>
          </w:p>
        </w:tc>
        <w:tc>
          <w:tcPr>
            <w:tcW w:w="760" w:type="dxa"/>
            <w:tcBorders>
              <w:top w:val="single" w:sz="4" w:space="0" w:color="auto"/>
              <w:left w:val="nil"/>
              <w:bottom w:val="nil"/>
              <w:right w:val="nil"/>
            </w:tcBorders>
            <w:shd w:val="clear" w:color="auto" w:fill="auto"/>
            <w:vAlign w:val="bottom"/>
            <w:hideMark/>
          </w:tcPr>
          <w:p w14:paraId="46145A4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9 129</w:t>
            </w:r>
          </w:p>
        </w:tc>
        <w:tc>
          <w:tcPr>
            <w:tcW w:w="760" w:type="dxa"/>
            <w:tcBorders>
              <w:top w:val="single" w:sz="4" w:space="0" w:color="auto"/>
              <w:left w:val="nil"/>
              <w:bottom w:val="nil"/>
              <w:right w:val="nil"/>
            </w:tcBorders>
            <w:shd w:val="clear" w:color="auto" w:fill="auto"/>
            <w:vAlign w:val="bottom"/>
            <w:hideMark/>
          </w:tcPr>
          <w:p w14:paraId="15D7E1EF"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8 859</w:t>
            </w:r>
          </w:p>
        </w:tc>
        <w:tc>
          <w:tcPr>
            <w:tcW w:w="880" w:type="dxa"/>
            <w:tcBorders>
              <w:top w:val="single" w:sz="4" w:space="0" w:color="auto"/>
              <w:left w:val="nil"/>
              <w:bottom w:val="nil"/>
              <w:right w:val="nil"/>
            </w:tcBorders>
            <w:shd w:val="clear" w:color="auto" w:fill="auto"/>
            <w:vAlign w:val="bottom"/>
            <w:hideMark/>
          </w:tcPr>
          <w:p w14:paraId="160351A3"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352 157</w:t>
            </w:r>
          </w:p>
        </w:tc>
      </w:tr>
      <w:tr w:rsidR="00B801D4" w:rsidRPr="00B801D4" w14:paraId="25863470" w14:textId="77777777" w:rsidTr="00BA19C1">
        <w:trPr>
          <w:trHeight w:val="315"/>
        </w:trPr>
        <w:tc>
          <w:tcPr>
            <w:tcW w:w="1840" w:type="dxa"/>
            <w:tcBorders>
              <w:top w:val="nil"/>
              <w:left w:val="nil"/>
              <w:bottom w:val="nil"/>
              <w:right w:val="nil"/>
            </w:tcBorders>
            <w:shd w:val="clear" w:color="auto" w:fill="auto"/>
            <w:vAlign w:val="bottom"/>
            <w:hideMark/>
          </w:tcPr>
          <w:p w14:paraId="2701D77F" w14:textId="77777777" w:rsidR="00B801D4" w:rsidRPr="00B801D4" w:rsidRDefault="00B801D4"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AIHW households</w:t>
            </w:r>
          </w:p>
        </w:tc>
        <w:tc>
          <w:tcPr>
            <w:tcW w:w="880" w:type="dxa"/>
            <w:tcBorders>
              <w:top w:val="nil"/>
              <w:left w:val="nil"/>
              <w:bottom w:val="nil"/>
              <w:right w:val="nil"/>
            </w:tcBorders>
            <w:shd w:val="clear" w:color="auto" w:fill="auto"/>
            <w:vAlign w:val="bottom"/>
            <w:hideMark/>
          </w:tcPr>
          <w:p w14:paraId="0CB4F65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155A000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38BEEEE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0FDF9A7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10348CF6"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4B107DC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52B60EEA"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2D66F5C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80" w:type="dxa"/>
            <w:tcBorders>
              <w:top w:val="nil"/>
              <w:left w:val="nil"/>
              <w:bottom w:val="nil"/>
              <w:right w:val="nil"/>
            </w:tcBorders>
            <w:shd w:val="clear" w:color="auto" w:fill="auto"/>
            <w:vAlign w:val="bottom"/>
            <w:hideMark/>
          </w:tcPr>
          <w:p w14:paraId="61EEE9A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r>
      <w:tr w:rsidR="00B801D4" w:rsidRPr="00B801D4" w14:paraId="1809FAB5" w14:textId="77777777" w:rsidTr="00BA19C1">
        <w:trPr>
          <w:trHeight w:val="315"/>
        </w:trPr>
        <w:tc>
          <w:tcPr>
            <w:tcW w:w="1840" w:type="dxa"/>
            <w:tcBorders>
              <w:top w:val="nil"/>
              <w:left w:val="nil"/>
              <w:bottom w:val="nil"/>
              <w:right w:val="nil"/>
            </w:tcBorders>
            <w:shd w:val="clear" w:color="auto" w:fill="auto"/>
            <w:vAlign w:val="bottom"/>
            <w:hideMark/>
          </w:tcPr>
          <w:p w14:paraId="289669D5" w14:textId="77777777" w:rsidR="00B801D4" w:rsidRPr="00B801D4" w:rsidRDefault="00B801D4"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State housing</w:t>
            </w:r>
          </w:p>
        </w:tc>
        <w:tc>
          <w:tcPr>
            <w:tcW w:w="880" w:type="dxa"/>
            <w:tcBorders>
              <w:top w:val="nil"/>
              <w:left w:val="nil"/>
              <w:bottom w:val="nil"/>
              <w:right w:val="nil"/>
            </w:tcBorders>
            <w:shd w:val="clear" w:color="auto" w:fill="auto"/>
            <w:vAlign w:val="bottom"/>
            <w:hideMark/>
          </w:tcPr>
          <w:p w14:paraId="2D66CC4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113 143</w:t>
            </w:r>
          </w:p>
        </w:tc>
        <w:tc>
          <w:tcPr>
            <w:tcW w:w="760" w:type="dxa"/>
            <w:tcBorders>
              <w:top w:val="nil"/>
              <w:left w:val="nil"/>
              <w:bottom w:val="nil"/>
              <w:right w:val="nil"/>
            </w:tcBorders>
            <w:shd w:val="clear" w:color="auto" w:fill="auto"/>
            <w:vAlign w:val="bottom"/>
            <w:hideMark/>
          </w:tcPr>
          <w:p w14:paraId="5BB66BBF"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62 995</w:t>
            </w:r>
          </w:p>
        </w:tc>
        <w:tc>
          <w:tcPr>
            <w:tcW w:w="760" w:type="dxa"/>
            <w:tcBorders>
              <w:top w:val="nil"/>
              <w:left w:val="nil"/>
              <w:bottom w:val="nil"/>
              <w:right w:val="nil"/>
            </w:tcBorders>
            <w:shd w:val="clear" w:color="auto" w:fill="auto"/>
            <w:vAlign w:val="bottom"/>
            <w:hideMark/>
          </w:tcPr>
          <w:p w14:paraId="0050569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53 326</w:t>
            </w:r>
          </w:p>
        </w:tc>
        <w:tc>
          <w:tcPr>
            <w:tcW w:w="760" w:type="dxa"/>
            <w:tcBorders>
              <w:top w:val="nil"/>
              <w:left w:val="nil"/>
              <w:bottom w:val="nil"/>
              <w:right w:val="nil"/>
            </w:tcBorders>
            <w:shd w:val="clear" w:color="auto" w:fill="auto"/>
            <w:vAlign w:val="bottom"/>
            <w:hideMark/>
          </w:tcPr>
          <w:p w14:paraId="25163D97"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32 208</w:t>
            </w:r>
          </w:p>
        </w:tc>
        <w:tc>
          <w:tcPr>
            <w:tcW w:w="760" w:type="dxa"/>
            <w:tcBorders>
              <w:top w:val="nil"/>
              <w:left w:val="nil"/>
              <w:bottom w:val="nil"/>
              <w:right w:val="nil"/>
            </w:tcBorders>
            <w:shd w:val="clear" w:color="auto" w:fill="auto"/>
            <w:vAlign w:val="bottom"/>
            <w:hideMark/>
          </w:tcPr>
          <w:p w14:paraId="61458AD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37 646</w:t>
            </w:r>
          </w:p>
        </w:tc>
        <w:tc>
          <w:tcPr>
            <w:tcW w:w="760" w:type="dxa"/>
            <w:tcBorders>
              <w:top w:val="nil"/>
              <w:left w:val="nil"/>
              <w:bottom w:val="nil"/>
              <w:right w:val="nil"/>
            </w:tcBorders>
            <w:shd w:val="clear" w:color="auto" w:fill="auto"/>
            <w:vAlign w:val="bottom"/>
            <w:hideMark/>
          </w:tcPr>
          <w:p w14:paraId="43EB6EA9"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7 259</w:t>
            </w:r>
          </w:p>
        </w:tc>
        <w:tc>
          <w:tcPr>
            <w:tcW w:w="760" w:type="dxa"/>
            <w:tcBorders>
              <w:top w:val="nil"/>
              <w:left w:val="nil"/>
              <w:bottom w:val="nil"/>
              <w:right w:val="nil"/>
            </w:tcBorders>
            <w:shd w:val="clear" w:color="auto" w:fill="auto"/>
            <w:vAlign w:val="bottom"/>
            <w:hideMark/>
          </w:tcPr>
          <w:p w14:paraId="3A01111A"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10 606</w:t>
            </w:r>
          </w:p>
        </w:tc>
        <w:tc>
          <w:tcPr>
            <w:tcW w:w="760" w:type="dxa"/>
            <w:tcBorders>
              <w:top w:val="nil"/>
              <w:left w:val="nil"/>
              <w:bottom w:val="nil"/>
              <w:right w:val="nil"/>
            </w:tcBorders>
            <w:shd w:val="clear" w:color="auto" w:fill="auto"/>
            <w:vAlign w:val="bottom"/>
            <w:hideMark/>
          </w:tcPr>
          <w:p w14:paraId="55F9E5C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9 728</w:t>
            </w:r>
          </w:p>
        </w:tc>
        <w:tc>
          <w:tcPr>
            <w:tcW w:w="880" w:type="dxa"/>
            <w:tcBorders>
              <w:top w:val="nil"/>
              <w:left w:val="nil"/>
              <w:bottom w:val="nil"/>
              <w:right w:val="nil"/>
            </w:tcBorders>
            <w:shd w:val="clear" w:color="auto" w:fill="auto"/>
            <w:vAlign w:val="bottom"/>
            <w:hideMark/>
          </w:tcPr>
          <w:p w14:paraId="6EF0697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326 911</w:t>
            </w:r>
          </w:p>
        </w:tc>
      </w:tr>
      <w:tr w:rsidR="00B801D4" w:rsidRPr="00B801D4" w14:paraId="2DA2A492" w14:textId="77777777" w:rsidTr="00BA19C1">
        <w:trPr>
          <w:trHeight w:val="315"/>
        </w:trPr>
        <w:tc>
          <w:tcPr>
            <w:tcW w:w="1840" w:type="dxa"/>
            <w:tcBorders>
              <w:top w:val="nil"/>
              <w:left w:val="nil"/>
              <w:bottom w:val="nil"/>
              <w:right w:val="nil"/>
            </w:tcBorders>
            <w:shd w:val="clear" w:color="auto" w:fill="auto"/>
            <w:vAlign w:val="bottom"/>
            <w:hideMark/>
          </w:tcPr>
          <w:p w14:paraId="51E39F89" w14:textId="77777777" w:rsidR="00B801D4" w:rsidRPr="00B801D4" w:rsidRDefault="00B801D4"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Community housing</w:t>
            </w:r>
          </w:p>
        </w:tc>
        <w:tc>
          <w:tcPr>
            <w:tcW w:w="880" w:type="dxa"/>
            <w:tcBorders>
              <w:top w:val="nil"/>
              <w:left w:val="nil"/>
              <w:bottom w:val="nil"/>
              <w:right w:val="nil"/>
            </w:tcBorders>
            <w:shd w:val="clear" w:color="auto" w:fill="auto"/>
            <w:vAlign w:val="bottom"/>
            <w:hideMark/>
          </w:tcPr>
          <w:p w14:paraId="246C23F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29 901</w:t>
            </w:r>
          </w:p>
        </w:tc>
        <w:tc>
          <w:tcPr>
            <w:tcW w:w="760" w:type="dxa"/>
            <w:tcBorders>
              <w:top w:val="nil"/>
              <w:left w:val="nil"/>
              <w:bottom w:val="nil"/>
              <w:right w:val="nil"/>
            </w:tcBorders>
            <w:shd w:val="clear" w:color="auto" w:fill="auto"/>
            <w:vAlign w:val="bottom"/>
            <w:hideMark/>
          </w:tcPr>
          <w:p w14:paraId="63AB678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15 415</w:t>
            </w:r>
          </w:p>
        </w:tc>
        <w:tc>
          <w:tcPr>
            <w:tcW w:w="760" w:type="dxa"/>
            <w:tcBorders>
              <w:top w:val="nil"/>
              <w:left w:val="nil"/>
              <w:bottom w:val="nil"/>
              <w:right w:val="nil"/>
            </w:tcBorders>
            <w:shd w:val="clear" w:color="auto" w:fill="auto"/>
            <w:vAlign w:val="bottom"/>
            <w:hideMark/>
          </w:tcPr>
          <w:p w14:paraId="41AEBE5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16 306</w:t>
            </w:r>
          </w:p>
        </w:tc>
        <w:tc>
          <w:tcPr>
            <w:tcW w:w="760" w:type="dxa"/>
            <w:tcBorders>
              <w:top w:val="nil"/>
              <w:left w:val="nil"/>
              <w:bottom w:val="nil"/>
              <w:right w:val="nil"/>
            </w:tcBorders>
            <w:shd w:val="clear" w:color="auto" w:fill="auto"/>
            <w:vAlign w:val="bottom"/>
            <w:hideMark/>
          </w:tcPr>
          <w:p w14:paraId="67C900D2"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9 607</w:t>
            </w:r>
          </w:p>
        </w:tc>
        <w:tc>
          <w:tcPr>
            <w:tcW w:w="760" w:type="dxa"/>
            <w:tcBorders>
              <w:top w:val="nil"/>
              <w:left w:val="nil"/>
              <w:bottom w:val="nil"/>
              <w:right w:val="nil"/>
            </w:tcBorders>
            <w:shd w:val="clear" w:color="auto" w:fill="auto"/>
            <w:vAlign w:val="bottom"/>
            <w:hideMark/>
          </w:tcPr>
          <w:p w14:paraId="253163BD"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7 898</w:t>
            </w:r>
          </w:p>
        </w:tc>
        <w:tc>
          <w:tcPr>
            <w:tcW w:w="760" w:type="dxa"/>
            <w:tcBorders>
              <w:top w:val="nil"/>
              <w:left w:val="nil"/>
              <w:bottom w:val="nil"/>
              <w:right w:val="nil"/>
            </w:tcBorders>
            <w:shd w:val="clear" w:color="auto" w:fill="auto"/>
            <w:vAlign w:val="bottom"/>
            <w:hideMark/>
          </w:tcPr>
          <w:p w14:paraId="72CC0F4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5 812</w:t>
            </w:r>
          </w:p>
        </w:tc>
        <w:tc>
          <w:tcPr>
            <w:tcW w:w="760" w:type="dxa"/>
            <w:tcBorders>
              <w:top w:val="nil"/>
              <w:left w:val="nil"/>
              <w:bottom w:val="nil"/>
              <w:right w:val="nil"/>
            </w:tcBorders>
            <w:shd w:val="clear" w:color="auto" w:fill="auto"/>
            <w:vAlign w:val="bottom"/>
            <w:hideMark/>
          </w:tcPr>
          <w:p w14:paraId="19729A1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634</w:t>
            </w:r>
          </w:p>
        </w:tc>
        <w:tc>
          <w:tcPr>
            <w:tcW w:w="760" w:type="dxa"/>
            <w:tcBorders>
              <w:top w:val="nil"/>
              <w:left w:val="nil"/>
              <w:bottom w:val="nil"/>
              <w:right w:val="nil"/>
            </w:tcBorders>
            <w:shd w:val="clear" w:color="auto" w:fill="auto"/>
            <w:vAlign w:val="bottom"/>
            <w:hideMark/>
          </w:tcPr>
          <w:p w14:paraId="5C8E3DE5"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2 299</w:t>
            </w:r>
          </w:p>
        </w:tc>
        <w:tc>
          <w:tcPr>
            <w:tcW w:w="880" w:type="dxa"/>
            <w:tcBorders>
              <w:top w:val="nil"/>
              <w:left w:val="nil"/>
              <w:bottom w:val="nil"/>
              <w:right w:val="nil"/>
            </w:tcBorders>
            <w:shd w:val="clear" w:color="auto" w:fill="auto"/>
            <w:vAlign w:val="bottom"/>
            <w:hideMark/>
          </w:tcPr>
          <w:p w14:paraId="57E9565A"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87 872</w:t>
            </w:r>
          </w:p>
        </w:tc>
      </w:tr>
      <w:tr w:rsidR="00B801D4" w:rsidRPr="00B801D4" w14:paraId="04CA0075" w14:textId="77777777" w:rsidTr="00BA19C1">
        <w:trPr>
          <w:trHeight w:val="315"/>
        </w:trPr>
        <w:tc>
          <w:tcPr>
            <w:tcW w:w="1840" w:type="dxa"/>
            <w:tcBorders>
              <w:top w:val="nil"/>
              <w:left w:val="nil"/>
              <w:bottom w:val="nil"/>
              <w:right w:val="nil"/>
            </w:tcBorders>
            <w:shd w:val="clear" w:color="auto" w:fill="auto"/>
            <w:vAlign w:val="bottom"/>
            <w:hideMark/>
          </w:tcPr>
          <w:p w14:paraId="539041C4" w14:textId="77777777" w:rsidR="00B801D4" w:rsidRPr="00B801D4" w:rsidRDefault="00B801D4"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Total</w:t>
            </w:r>
          </w:p>
        </w:tc>
        <w:tc>
          <w:tcPr>
            <w:tcW w:w="880" w:type="dxa"/>
            <w:tcBorders>
              <w:top w:val="single" w:sz="4" w:space="0" w:color="auto"/>
              <w:left w:val="nil"/>
              <w:bottom w:val="nil"/>
              <w:right w:val="nil"/>
            </w:tcBorders>
            <w:shd w:val="clear" w:color="auto" w:fill="auto"/>
            <w:vAlign w:val="bottom"/>
            <w:hideMark/>
          </w:tcPr>
          <w:p w14:paraId="6037D60A"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143 044</w:t>
            </w:r>
          </w:p>
        </w:tc>
        <w:tc>
          <w:tcPr>
            <w:tcW w:w="760" w:type="dxa"/>
            <w:tcBorders>
              <w:top w:val="single" w:sz="4" w:space="0" w:color="auto"/>
              <w:left w:val="nil"/>
              <w:bottom w:val="nil"/>
              <w:right w:val="nil"/>
            </w:tcBorders>
            <w:shd w:val="clear" w:color="auto" w:fill="auto"/>
            <w:vAlign w:val="bottom"/>
            <w:hideMark/>
          </w:tcPr>
          <w:p w14:paraId="591B35AB"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78 410</w:t>
            </w:r>
          </w:p>
        </w:tc>
        <w:tc>
          <w:tcPr>
            <w:tcW w:w="760" w:type="dxa"/>
            <w:tcBorders>
              <w:top w:val="single" w:sz="4" w:space="0" w:color="auto"/>
              <w:left w:val="nil"/>
              <w:bottom w:val="nil"/>
              <w:right w:val="nil"/>
            </w:tcBorders>
            <w:shd w:val="clear" w:color="auto" w:fill="auto"/>
            <w:vAlign w:val="bottom"/>
            <w:hideMark/>
          </w:tcPr>
          <w:p w14:paraId="03E6BA84"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69 632</w:t>
            </w:r>
          </w:p>
        </w:tc>
        <w:tc>
          <w:tcPr>
            <w:tcW w:w="760" w:type="dxa"/>
            <w:tcBorders>
              <w:top w:val="single" w:sz="4" w:space="0" w:color="auto"/>
              <w:left w:val="nil"/>
              <w:bottom w:val="nil"/>
              <w:right w:val="nil"/>
            </w:tcBorders>
            <w:shd w:val="clear" w:color="auto" w:fill="auto"/>
            <w:vAlign w:val="bottom"/>
            <w:hideMark/>
          </w:tcPr>
          <w:p w14:paraId="458E01D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41 815</w:t>
            </w:r>
          </w:p>
        </w:tc>
        <w:tc>
          <w:tcPr>
            <w:tcW w:w="760" w:type="dxa"/>
            <w:tcBorders>
              <w:top w:val="single" w:sz="4" w:space="0" w:color="auto"/>
              <w:left w:val="nil"/>
              <w:bottom w:val="nil"/>
              <w:right w:val="nil"/>
            </w:tcBorders>
            <w:shd w:val="clear" w:color="auto" w:fill="auto"/>
            <w:vAlign w:val="bottom"/>
            <w:hideMark/>
          </w:tcPr>
          <w:p w14:paraId="73E87AAD"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45 544</w:t>
            </w:r>
          </w:p>
        </w:tc>
        <w:tc>
          <w:tcPr>
            <w:tcW w:w="760" w:type="dxa"/>
            <w:tcBorders>
              <w:top w:val="single" w:sz="4" w:space="0" w:color="auto"/>
              <w:left w:val="nil"/>
              <w:bottom w:val="nil"/>
              <w:right w:val="nil"/>
            </w:tcBorders>
            <w:shd w:val="clear" w:color="auto" w:fill="auto"/>
            <w:vAlign w:val="bottom"/>
            <w:hideMark/>
          </w:tcPr>
          <w:p w14:paraId="38B7313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13 071</w:t>
            </w:r>
          </w:p>
        </w:tc>
        <w:tc>
          <w:tcPr>
            <w:tcW w:w="760" w:type="dxa"/>
            <w:tcBorders>
              <w:top w:val="single" w:sz="4" w:space="0" w:color="auto"/>
              <w:left w:val="nil"/>
              <w:bottom w:val="nil"/>
              <w:right w:val="nil"/>
            </w:tcBorders>
            <w:shd w:val="clear" w:color="auto" w:fill="auto"/>
            <w:vAlign w:val="bottom"/>
            <w:hideMark/>
          </w:tcPr>
          <w:p w14:paraId="66E6DF78"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11 240</w:t>
            </w:r>
          </w:p>
        </w:tc>
        <w:tc>
          <w:tcPr>
            <w:tcW w:w="760" w:type="dxa"/>
            <w:tcBorders>
              <w:top w:val="single" w:sz="4" w:space="0" w:color="auto"/>
              <w:left w:val="nil"/>
              <w:bottom w:val="nil"/>
              <w:right w:val="nil"/>
            </w:tcBorders>
            <w:shd w:val="clear" w:color="auto" w:fill="auto"/>
            <w:vAlign w:val="bottom"/>
            <w:hideMark/>
          </w:tcPr>
          <w:p w14:paraId="4217E10D"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12 027</w:t>
            </w:r>
          </w:p>
        </w:tc>
        <w:tc>
          <w:tcPr>
            <w:tcW w:w="880" w:type="dxa"/>
            <w:tcBorders>
              <w:top w:val="single" w:sz="4" w:space="0" w:color="auto"/>
              <w:left w:val="nil"/>
              <w:bottom w:val="nil"/>
              <w:right w:val="nil"/>
            </w:tcBorders>
            <w:shd w:val="clear" w:color="auto" w:fill="auto"/>
            <w:vAlign w:val="bottom"/>
            <w:hideMark/>
          </w:tcPr>
          <w:p w14:paraId="29217D2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414 783</w:t>
            </w:r>
          </w:p>
        </w:tc>
      </w:tr>
      <w:tr w:rsidR="00B801D4" w:rsidRPr="00B801D4" w14:paraId="31BF2939" w14:textId="77777777" w:rsidTr="00BA19C1">
        <w:trPr>
          <w:trHeight w:val="315"/>
        </w:trPr>
        <w:tc>
          <w:tcPr>
            <w:tcW w:w="1840" w:type="dxa"/>
            <w:tcBorders>
              <w:top w:val="nil"/>
              <w:left w:val="nil"/>
              <w:bottom w:val="nil"/>
              <w:right w:val="nil"/>
            </w:tcBorders>
            <w:shd w:val="clear" w:color="auto" w:fill="auto"/>
            <w:vAlign w:val="bottom"/>
            <w:hideMark/>
          </w:tcPr>
          <w:p w14:paraId="54803516" w14:textId="77777777" w:rsidR="00B801D4" w:rsidRPr="00B801D4" w:rsidRDefault="00B801D4"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 difference</w:t>
            </w:r>
          </w:p>
        </w:tc>
        <w:tc>
          <w:tcPr>
            <w:tcW w:w="880" w:type="dxa"/>
            <w:tcBorders>
              <w:top w:val="nil"/>
              <w:left w:val="nil"/>
              <w:bottom w:val="nil"/>
              <w:right w:val="nil"/>
            </w:tcBorders>
            <w:shd w:val="clear" w:color="auto" w:fill="auto"/>
            <w:vAlign w:val="bottom"/>
            <w:hideMark/>
          </w:tcPr>
          <w:p w14:paraId="558169C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60C2E60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2FFEACD9"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5839DDAB"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3EF9C4FC"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0F06C58D"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11D56913"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14:paraId="432CAFE1"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80" w:type="dxa"/>
            <w:tcBorders>
              <w:top w:val="nil"/>
              <w:left w:val="nil"/>
              <w:bottom w:val="nil"/>
              <w:right w:val="nil"/>
            </w:tcBorders>
            <w:shd w:val="clear" w:color="auto" w:fill="auto"/>
            <w:vAlign w:val="bottom"/>
            <w:hideMark/>
          </w:tcPr>
          <w:p w14:paraId="24642A80" w14:textId="77777777" w:rsidR="00B801D4" w:rsidRPr="00B801D4" w:rsidRDefault="00B801D4"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r>
      <w:tr w:rsidR="00832437" w:rsidRPr="00B801D4" w14:paraId="6039FA87" w14:textId="77777777" w:rsidTr="00BA19C1">
        <w:trPr>
          <w:trHeight w:val="315"/>
        </w:trPr>
        <w:tc>
          <w:tcPr>
            <w:tcW w:w="1840" w:type="dxa"/>
            <w:tcBorders>
              <w:top w:val="nil"/>
              <w:left w:val="nil"/>
              <w:bottom w:val="nil"/>
              <w:right w:val="nil"/>
            </w:tcBorders>
            <w:shd w:val="clear" w:color="auto" w:fill="auto"/>
            <w:vAlign w:val="bottom"/>
            <w:hideMark/>
          </w:tcPr>
          <w:p w14:paraId="0D9D3671" w14:textId="77777777" w:rsidR="00832437" w:rsidRPr="00B801D4" w:rsidRDefault="00832437"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State housing</w:t>
            </w:r>
          </w:p>
        </w:tc>
        <w:tc>
          <w:tcPr>
            <w:tcW w:w="880" w:type="dxa"/>
            <w:tcBorders>
              <w:top w:val="nil"/>
              <w:left w:val="nil"/>
              <w:bottom w:val="nil"/>
              <w:right w:val="nil"/>
            </w:tcBorders>
            <w:shd w:val="clear" w:color="auto" w:fill="auto"/>
            <w:vAlign w:val="bottom"/>
            <w:hideMark/>
          </w:tcPr>
          <w:p w14:paraId="633E5282"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-6.9</w:t>
            </w:r>
          </w:p>
        </w:tc>
        <w:tc>
          <w:tcPr>
            <w:tcW w:w="760" w:type="dxa"/>
            <w:tcBorders>
              <w:top w:val="nil"/>
              <w:left w:val="nil"/>
              <w:bottom w:val="nil"/>
              <w:right w:val="nil"/>
            </w:tcBorders>
            <w:shd w:val="clear" w:color="auto" w:fill="auto"/>
            <w:vAlign w:val="bottom"/>
            <w:hideMark/>
          </w:tcPr>
          <w:p w14:paraId="68F02DAD"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-17.2</w:t>
            </w:r>
          </w:p>
        </w:tc>
        <w:tc>
          <w:tcPr>
            <w:tcW w:w="760" w:type="dxa"/>
            <w:tcBorders>
              <w:top w:val="nil"/>
              <w:left w:val="nil"/>
              <w:bottom w:val="nil"/>
              <w:right w:val="nil"/>
            </w:tcBorders>
            <w:shd w:val="clear" w:color="auto" w:fill="auto"/>
            <w:vAlign w:val="bottom"/>
            <w:hideMark/>
          </w:tcPr>
          <w:p w14:paraId="611527A1"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-0.4</w:t>
            </w:r>
          </w:p>
        </w:tc>
        <w:tc>
          <w:tcPr>
            <w:tcW w:w="760" w:type="dxa"/>
            <w:tcBorders>
              <w:top w:val="nil"/>
              <w:left w:val="nil"/>
              <w:bottom w:val="nil"/>
              <w:right w:val="nil"/>
            </w:tcBorders>
            <w:shd w:val="clear" w:color="auto" w:fill="auto"/>
            <w:vAlign w:val="bottom"/>
            <w:hideMark/>
          </w:tcPr>
          <w:p w14:paraId="039E26E8"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-3.2</w:t>
            </w:r>
          </w:p>
        </w:tc>
        <w:tc>
          <w:tcPr>
            <w:tcW w:w="760" w:type="dxa"/>
            <w:tcBorders>
              <w:top w:val="nil"/>
              <w:left w:val="nil"/>
              <w:bottom w:val="nil"/>
              <w:right w:val="nil"/>
            </w:tcBorders>
            <w:shd w:val="clear" w:color="auto" w:fill="auto"/>
            <w:vAlign w:val="bottom"/>
            <w:hideMark/>
          </w:tcPr>
          <w:p w14:paraId="65473678"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-10.0</w:t>
            </w:r>
          </w:p>
        </w:tc>
        <w:tc>
          <w:tcPr>
            <w:tcW w:w="760" w:type="dxa"/>
            <w:tcBorders>
              <w:top w:val="nil"/>
              <w:left w:val="nil"/>
              <w:bottom w:val="nil"/>
              <w:right w:val="nil"/>
            </w:tcBorders>
            <w:shd w:val="clear" w:color="auto" w:fill="auto"/>
            <w:vAlign w:val="bottom"/>
            <w:hideMark/>
          </w:tcPr>
          <w:p w14:paraId="78018F87"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27.6</w:t>
            </w:r>
          </w:p>
        </w:tc>
        <w:tc>
          <w:tcPr>
            <w:tcW w:w="760" w:type="dxa"/>
            <w:tcBorders>
              <w:top w:val="nil"/>
              <w:left w:val="nil"/>
              <w:bottom w:val="nil"/>
              <w:right w:val="nil"/>
            </w:tcBorders>
            <w:shd w:val="clear" w:color="auto" w:fill="auto"/>
            <w:vAlign w:val="bottom"/>
            <w:hideMark/>
          </w:tcPr>
          <w:p w14:paraId="6EEC2A7F"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-19.1</w:t>
            </w:r>
          </w:p>
        </w:tc>
        <w:tc>
          <w:tcPr>
            <w:tcW w:w="760" w:type="dxa"/>
            <w:tcBorders>
              <w:top w:val="nil"/>
              <w:left w:val="nil"/>
              <w:bottom w:val="nil"/>
              <w:right w:val="nil"/>
            </w:tcBorders>
            <w:shd w:val="clear" w:color="auto" w:fill="auto"/>
            <w:vAlign w:val="bottom"/>
            <w:hideMark/>
          </w:tcPr>
          <w:p w14:paraId="75273F19"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-21.4</w:t>
            </w:r>
          </w:p>
        </w:tc>
        <w:tc>
          <w:tcPr>
            <w:tcW w:w="880" w:type="dxa"/>
            <w:tcBorders>
              <w:top w:val="nil"/>
              <w:left w:val="nil"/>
              <w:bottom w:val="nil"/>
              <w:right w:val="nil"/>
            </w:tcBorders>
            <w:shd w:val="clear" w:color="auto" w:fill="auto"/>
            <w:vAlign w:val="bottom"/>
            <w:hideMark/>
          </w:tcPr>
          <w:p w14:paraId="7DAC90BF"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-7.9</w:t>
            </w:r>
          </w:p>
        </w:tc>
      </w:tr>
      <w:tr w:rsidR="00832437" w:rsidRPr="00B801D4" w14:paraId="7783C2B4" w14:textId="77777777" w:rsidTr="00BA19C1">
        <w:trPr>
          <w:trHeight w:val="315"/>
        </w:trPr>
        <w:tc>
          <w:tcPr>
            <w:tcW w:w="1840" w:type="dxa"/>
            <w:tcBorders>
              <w:top w:val="nil"/>
              <w:left w:val="nil"/>
              <w:bottom w:val="nil"/>
              <w:right w:val="nil"/>
            </w:tcBorders>
            <w:shd w:val="clear" w:color="auto" w:fill="auto"/>
            <w:vAlign w:val="bottom"/>
            <w:hideMark/>
          </w:tcPr>
          <w:p w14:paraId="2B4CF2B9" w14:textId="77777777" w:rsidR="00832437" w:rsidRPr="00B801D4" w:rsidRDefault="00832437" w:rsidP="00356477">
            <w:pPr>
              <w:keepNext/>
              <w:keepLines/>
              <w:tabs>
                <w:tab w:val="clear" w:pos="567"/>
              </w:tabs>
              <w:spacing w:after="0" w:line="240" w:lineRule="auto"/>
              <w:ind w:left="193"/>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Community housing</w:t>
            </w:r>
          </w:p>
        </w:tc>
        <w:tc>
          <w:tcPr>
            <w:tcW w:w="880" w:type="dxa"/>
            <w:tcBorders>
              <w:top w:val="nil"/>
              <w:left w:val="nil"/>
              <w:bottom w:val="nil"/>
              <w:right w:val="nil"/>
            </w:tcBorders>
            <w:shd w:val="clear" w:color="auto" w:fill="auto"/>
            <w:vAlign w:val="bottom"/>
            <w:hideMark/>
          </w:tcPr>
          <w:p w14:paraId="42086957"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-40.8</w:t>
            </w:r>
          </w:p>
        </w:tc>
        <w:tc>
          <w:tcPr>
            <w:tcW w:w="760" w:type="dxa"/>
            <w:tcBorders>
              <w:top w:val="nil"/>
              <w:left w:val="nil"/>
              <w:bottom w:val="nil"/>
              <w:right w:val="nil"/>
            </w:tcBorders>
            <w:shd w:val="clear" w:color="auto" w:fill="auto"/>
            <w:vAlign w:val="bottom"/>
            <w:hideMark/>
          </w:tcPr>
          <w:p w14:paraId="57BE090B"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-35.9</w:t>
            </w:r>
          </w:p>
        </w:tc>
        <w:tc>
          <w:tcPr>
            <w:tcW w:w="760" w:type="dxa"/>
            <w:tcBorders>
              <w:top w:val="nil"/>
              <w:left w:val="nil"/>
              <w:bottom w:val="nil"/>
              <w:right w:val="nil"/>
            </w:tcBorders>
            <w:shd w:val="clear" w:color="auto" w:fill="auto"/>
            <w:vAlign w:val="bottom"/>
            <w:hideMark/>
          </w:tcPr>
          <w:p w14:paraId="306DCE0D"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-46.7</w:t>
            </w:r>
          </w:p>
        </w:tc>
        <w:tc>
          <w:tcPr>
            <w:tcW w:w="760" w:type="dxa"/>
            <w:tcBorders>
              <w:top w:val="nil"/>
              <w:left w:val="nil"/>
              <w:bottom w:val="nil"/>
              <w:right w:val="nil"/>
            </w:tcBorders>
            <w:shd w:val="clear" w:color="auto" w:fill="auto"/>
            <w:vAlign w:val="bottom"/>
            <w:hideMark/>
          </w:tcPr>
          <w:p w14:paraId="7F86A781"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-52.9</w:t>
            </w:r>
          </w:p>
        </w:tc>
        <w:tc>
          <w:tcPr>
            <w:tcW w:w="760" w:type="dxa"/>
            <w:tcBorders>
              <w:top w:val="nil"/>
              <w:left w:val="nil"/>
              <w:bottom w:val="nil"/>
              <w:right w:val="nil"/>
            </w:tcBorders>
            <w:shd w:val="clear" w:color="auto" w:fill="auto"/>
            <w:vAlign w:val="bottom"/>
            <w:hideMark/>
          </w:tcPr>
          <w:p w14:paraId="6BD4F772"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-14.7</w:t>
            </w:r>
          </w:p>
        </w:tc>
        <w:tc>
          <w:tcPr>
            <w:tcW w:w="760" w:type="dxa"/>
            <w:tcBorders>
              <w:top w:val="nil"/>
              <w:left w:val="nil"/>
              <w:bottom w:val="nil"/>
              <w:right w:val="nil"/>
            </w:tcBorders>
            <w:shd w:val="clear" w:color="auto" w:fill="auto"/>
            <w:vAlign w:val="bottom"/>
            <w:hideMark/>
          </w:tcPr>
          <w:p w14:paraId="6425CCB8"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-70.0</w:t>
            </w:r>
          </w:p>
        </w:tc>
        <w:tc>
          <w:tcPr>
            <w:tcW w:w="760" w:type="dxa"/>
            <w:tcBorders>
              <w:top w:val="nil"/>
              <w:left w:val="nil"/>
              <w:bottom w:val="nil"/>
              <w:right w:val="nil"/>
            </w:tcBorders>
            <w:shd w:val="clear" w:color="auto" w:fill="auto"/>
            <w:vAlign w:val="bottom"/>
            <w:hideMark/>
          </w:tcPr>
          <w:p w14:paraId="192B95DF"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-12.8</w:t>
            </w:r>
          </w:p>
        </w:tc>
        <w:tc>
          <w:tcPr>
            <w:tcW w:w="760" w:type="dxa"/>
            <w:tcBorders>
              <w:top w:val="nil"/>
              <w:left w:val="nil"/>
              <w:bottom w:val="nil"/>
              <w:right w:val="nil"/>
            </w:tcBorders>
            <w:shd w:val="clear" w:color="auto" w:fill="auto"/>
            <w:vAlign w:val="bottom"/>
            <w:hideMark/>
          </w:tcPr>
          <w:p w14:paraId="38215C7C"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-47.2</w:t>
            </w:r>
          </w:p>
        </w:tc>
        <w:tc>
          <w:tcPr>
            <w:tcW w:w="880" w:type="dxa"/>
            <w:tcBorders>
              <w:top w:val="nil"/>
              <w:left w:val="nil"/>
              <w:bottom w:val="nil"/>
              <w:right w:val="nil"/>
            </w:tcBorders>
            <w:shd w:val="clear" w:color="auto" w:fill="auto"/>
            <w:vAlign w:val="bottom"/>
            <w:hideMark/>
          </w:tcPr>
          <w:p w14:paraId="72E5DE08"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-41.9</w:t>
            </w:r>
          </w:p>
        </w:tc>
      </w:tr>
      <w:tr w:rsidR="00832437" w:rsidRPr="00B801D4" w14:paraId="7ECD4628" w14:textId="77777777" w:rsidTr="00BA19C1">
        <w:trPr>
          <w:trHeight w:val="315"/>
        </w:trPr>
        <w:tc>
          <w:tcPr>
            <w:tcW w:w="1840" w:type="dxa"/>
            <w:tcBorders>
              <w:top w:val="nil"/>
              <w:left w:val="nil"/>
              <w:bottom w:val="single" w:sz="4" w:space="0" w:color="auto"/>
              <w:right w:val="nil"/>
            </w:tcBorders>
            <w:shd w:val="clear" w:color="auto" w:fill="auto"/>
            <w:vAlign w:val="bottom"/>
            <w:hideMark/>
          </w:tcPr>
          <w:p w14:paraId="14D15F84" w14:textId="77777777" w:rsidR="00832437" w:rsidRPr="00B801D4" w:rsidRDefault="00832437" w:rsidP="00356477">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801D4">
              <w:rPr>
                <w:rFonts w:ascii="Calibri" w:eastAsia="Times New Roman" w:hAnsi="Calibri" w:cs="Times New Roman"/>
                <w:color w:val="000000"/>
                <w:sz w:val="20"/>
                <w:szCs w:val="20"/>
                <w:lang w:eastAsia="en-AU"/>
              </w:rPr>
              <w:t>Total</w:t>
            </w:r>
          </w:p>
        </w:tc>
        <w:tc>
          <w:tcPr>
            <w:tcW w:w="880" w:type="dxa"/>
            <w:tcBorders>
              <w:top w:val="single" w:sz="4" w:space="0" w:color="auto"/>
              <w:left w:val="nil"/>
              <w:bottom w:val="single" w:sz="4" w:space="0" w:color="auto"/>
              <w:right w:val="nil"/>
            </w:tcBorders>
            <w:shd w:val="clear" w:color="auto" w:fill="auto"/>
            <w:vAlign w:val="bottom"/>
            <w:hideMark/>
          </w:tcPr>
          <w:p w14:paraId="3F4A02A0"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-14.0</w:t>
            </w:r>
          </w:p>
        </w:tc>
        <w:tc>
          <w:tcPr>
            <w:tcW w:w="760" w:type="dxa"/>
            <w:tcBorders>
              <w:top w:val="single" w:sz="4" w:space="0" w:color="auto"/>
              <w:left w:val="nil"/>
              <w:bottom w:val="single" w:sz="4" w:space="0" w:color="auto"/>
              <w:right w:val="nil"/>
            </w:tcBorders>
            <w:shd w:val="clear" w:color="auto" w:fill="auto"/>
            <w:vAlign w:val="bottom"/>
            <w:hideMark/>
          </w:tcPr>
          <w:p w14:paraId="15538C65"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-20.9</w:t>
            </w:r>
          </w:p>
        </w:tc>
        <w:tc>
          <w:tcPr>
            <w:tcW w:w="760" w:type="dxa"/>
            <w:tcBorders>
              <w:top w:val="single" w:sz="4" w:space="0" w:color="auto"/>
              <w:left w:val="nil"/>
              <w:bottom w:val="single" w:sz="4" w:space="0" w:color="auto"/>
              <w:right w:val="nil"/>
            </w:tcBorders>
            <w:shd w:val="clear" w:color="auto" w:fill="auto"/>
            <w:vAlign w:val="bottom"/>
            <w:hideMark/>
          </w:tcPr>
          <w:p w14:paraId="413DB11E"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-11.3</w:t>
            </w:r>
          </w:p>
        </w:tc>
        <w:tc>
          <w:tcPr>
            <w:tcW w:w="760" w:type="dxa"/>
            <w:tcBorders>
              <w:top w:val="single" w:sz="4" w:space="0" w:color="auto"/>
              <w:left w:val="nil"/>
              <w:bottom w:val="single" w:sz="4" w:space="0" w:color="auto"/>
              <w:right w:val="nil"/>
            </w:tcBorders>
            <w:shd w:val="clear" w:color="auto" w:fill="auto"/>
            <w:vAlign w:val="bottom"/>
            <w:hideMark/>
          </w:tcPr>
          <w:p w14:paraId="76C0AF1A"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-14.6</w:t>
            </w:r>
          </w:p>
        </w:tc>
        <w:tc>
          <w:tcPr>
            <w:tcW w:w="760" w:type="dxa"/>
            <w:tcBorders>
              <w:top w:val="single" w:sz="4" w:space="0" w:color="auto"/>
              <w:left w:val="nil"/>
              <w:bottom w:val="single" w:sz="4" w:space="0" w:color="auto"/>
              <w:right w:val="nil"/>
            </w:tcBorders>
            <w:shd w:val="clear" w:color="auto" w:fill="auto"/>
            <w:vAlign w:val="bottom"/>
            <w:hideMark/>
          </w:tcPr>
          <w:p w14:paraId="590A652A"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-10.8</w:t>
            </w:r>
          </w:p>
        </w:tc>
        <w:tc>
          <w:tcPr>
            <w:tcW w:w="760" w:type="dxa"/>
            <w:tcBorders>
              <w:top w:val="single" w:sz="4" w:space="0" w:color="auto"/>
              <w:left w:val="nil"/>
              <w:bottom w:val="single" w:sz="4" w:space="0" w:color="auto"/>
              <w:right w:val="nil"/>
            </w:tcBorders>
            <w:shd w:val="clear" w:color="auto" w:fill="auto"/>
            <w:vAlign w:val="bottom"/>
            <w:hideMark/>
          </w:tcPr>
          <w:p w14:paraId="7ED7EBAC"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-15.8</w:t>
            </w:r>
          </w:p>
        </w:tc>
        <w:tc>
          <w:tcPr>
            <w:tcW w:w="760" w:type="dxa"/>
            <w:tcBorders>
              <w:top w:val="single" w:sz="4" w:space="0" w:color="auto"/>
              <w:left w:val="nil"/>
              <w:bottom w:val="single" w:sz="4" w:space="0" w:color="auto"/>
              <w:right w:val="nil"/>
            </w:tcBorders>
            <w:shd w:val="clear" w:color="auto" w:fill="auto"/>
            <w:vAlign w:val="bottom"/>
            <w:hideMark/>
          </w:tcPr>
          <w:p w14:paraId="3C792982"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-18.8</w:t>
            </w:r>
          </w:p>
        </w:tc>
        <w:tc>
          <w:tcPr>
            <w:tcW w:w="760" w:type="dxa"/>
            <w:tcBorders>
              <w:top w:val="single" w:sz="4" w:space="0" w:color="auto"/>
              <w:left w:val="nil"/>
              <w:bottom w:val="single" w:sz="4" w:space="0" w:color="auto"/>
              <w:right w:val="nil"/>
            </w:tcBorders>
            <w:shd w:val="clear" w:color="auto" w:fill="auto"/>
            <w:vAlign w:val="bottom"/>
            <w:hideMark/>
          </w:tcPr>
          <w:p w14:paraId="0F3A3C2B"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-26.3</w:t>
            </w:r>
          </w:p>
        </w:tc>
        <w:tc>
          <w:tcPr>
            <w:tcW w:w="880" w:type="dxa"/>
            <w:tcBorders>
              <w:top w:val="single" w:sz="4" w:space="0" w:color="auto"/>
              <w:left w:val="nil"/>
              <w:bottom w:val="single" w:sz="4" w:space="0" w:color="auto"/>
              <w:right w:val="nil"/>
            </w:tcBorders>
            <w:shd w:val="clear" w:color="auto" w:fill="auto"/>
            <w:vAlign w:val="bottom"/>
            <w:hideMark/>
          </w:tcPr>
          <w:p w14:paraId="4822EC3A" w14:textId="77777777" w:rsidR="00832437" w:rsidRPr="00B801D4" w:rsidRDefault="00832437" w:rsidP="00356477">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-15.1</w:t>
            </w:r>
          </w:p>
        </w:tc>
      </w:tr>
    </w:tbl>
    <w:p w14:paraId="24096B9D" w14:textId="77777777" w:rsidR="004F41C7" w:rsidRDefault="004F41C7" w:rsidP="00356477">
      <w:pPr>
        <w:pStyle w:val="CGCTableFootnote"/>
        <w:keepNext/>
        <w:keepLines/>
      </w:pPr>
      <w:r w:rsidRPr="00EE18DE">
        <w:t>Note:</w:t>
      </w:r>
      <w:r w:rsidRPr="00EE18DE">
        <w:tab/>
      </w:r>
      <w:r w:rsidR="00017360">
        <w:t xml:space="preserve">Census data cover </w:t>
      </w:r>
      <w:r w:rsidR="00017360" w:rsidRPr="00AB1DB8">
        <w:t>State housing authorit</w:t>
      </w:r>
      <w:r w:rsidR="00017360">
        <w:t xml:space="preserve">ies and </w:t>
      </w:r>
      <w:r w:rsidR="00017360" w:rsidRPr="00AB1DB8">
        <w:t>Housing co</w:t>
      </w:r>
      <w:r w:rsidR="00017360">
        <w:noBreakHyphen/>
      </w:r>
      <w:r w:rsidR="00017360" w:rsidRPr="00AB1DB8">
        <w:t>operative/community/church group</w:t>
      </w:r>
      <w:r w:rsidR="00017360">
        <w:t>s.</w:t>
      </w:r>
    </w:p>
    <w:p w14:paraId="18721BE9" w14:textId="77777777" w:rsidR="00CF5E28" w:rsidRDefault="004F41C7" w:rsidP="00356477">
      <w:pPr>
        <w:pStyle w:val="CGCTableFootnote"/>
        <w:keepNext/>
        <w:keepLines/>
      </w:pPr>
      <w:r>
        <w:tab/>
      </w:r>
      <w:r w:rsidR="001D55F5">
        <w:t>AIHW State housing data are the sum of public housing and SOMIH household numbers</w:t>
      </w:r>
      <w:r w:rsidR="00017360">
        <w:t>. Its</w:t>
      </w:r>
      <w:r w:rsidR="001D55F5">
        <w:t xml:space="preserve"> community housing data are the sum of mainstream commu</w:t>
      </w:r>
      <w:r w:rsidR="004E0659">
        <w:t>nity housing and ICHO households.</w:t>
      </w:r>
    </w:p>
    <w:p w14:paraId="6CA5841F" w14:textId="77777777" w:rsidR="005745A1" w:rsidRPr="005745A1" w:rsidRDefault="005745A1" w:rsidP="00356477">
      <w:pPr>
        <w:pStyle w:val="CGCTableFootnote"/>
        <w:keepNext/>
        <w:keepLines/>
      </w:pPr>
      <w:r>
        <w:tab/>
      </w:r>
      <w:r w:rsidRPr="00EE18DE">
        <w:t xml:space="preserve">AIHW </w:t>
      </w:r>
      <w:r w:rsidRPr="00807B51">
        <w:t>ICH</w:t>
      </w:r>
      <w:r w:rsidR="003C0DA1">
        <w:t>O</w:t>
      </w:r>
      <w:r w:rsidRPr="00807B51">
        <w:t xml:space="preserve"> data for all States are the number of permanent dwellings mana</w:t>
      </w:r>
      <w:r>
        <w:t>ged by funded ICH</w:t>
      </w:r>
      <w:r w:rsidR="003C0DA1">
        <w:t>Os</w:t>
      </w:r>
      <w:r w:rsidRPr="00EE18DE">
        <w:rPr>
          <w:lang w:val="en"/>
        </w:rPr>
        <w:t>.</w:t>
      </w:r>
    </w:p>
    <w:p w14:paraId="24CA883C" w14:textId="77777777" w:rsidR="004F41C7" w:rsidRDefault="004F41C7" w:rsidP="00356477">
      <w:pPr>
        <w:pStyle w:val="CGCTableFootnote"/>
        <w:keepNext/>
        <w:keepLines/>
      </w:pPr>
      <w:r>
        <w:t>(a)</w:t>
      </w:r>
      <w:r>
        <w:tab/>
      </w:r>
      <w:r w:rsidR="00DB13FF" w:rsidRPr="00C73A00">
        <w:t xml:space="preserve">AIHW SOMIH data </w:t>
      </w:r>
      <w:r w:rsidR="00DB13FF">
        <w:t xml:space="preserve">for the Northern Territory </w:t>
      </w:r>
      <w:r w:rsidR="00DB13FF" w:rsidRPr="00C73A00">
        <w:t xml:space="preserve">are </w:t>
      </w:r>
      <w:r w:rsidR="00DB13FF">
        <w:t xml:space="preserve">dwelling numbers </w:t>
      </w:r>
      <w:r w:rsidR="00DB13FF" w:rsidRPr="00C73A00">
        <w:t>for June 2017.</w:t>
      </w:r>
      <w:r w:rsidR="00DB13FF">
        <w:t xml:space="preserve"> Mainstream c</w:t>
      </w:r>
      <w:r w:rsidR="00DB13FF" w:rsidRPr="00C73A00">
        <w:t>ommunity housing household numbers for the Northern Territory are not available</w:t>
      </w:r>
      <w:r w:rsidR="00DB13FF">
        <w:t>; t</w:t>
      </w:r>
      <w:r w:rsidR="00DB13FF" w:rsidRPr="00C73A00">
        <w:t>he figure included in the table is the number of dwellings.</w:t>
      </w:r>
    </w:p>
    <w:p w14:paraId="08D919BA" w14:textId="77777777" w:rsidR="004F41C7" w:rsidRPr="00EE18DE" w:rsidRDefault="004F41C7" w:rsidP="00356477">
      <w:pPr>
        <w:pStyle w:val="CGCTableFootnote"/>
        <w:keepNext/>
        <w:keepLines/>
      </w:pPr>
      <w:r w:rsidRPr="00EE18DE">
        <w:t>Source:</w:t>
      </w:r>
      <w:r w:rsidRPr="00EE18DE">
        <w:tab/>
        <w:t>ABS, 201</w:t>
      </w:r>
      <w:r>
        <w:t>6</w:t>
      </w:r>
      <w:r w:rsidRPr="00EE18DE">
        <w:t xml:space="preserve"> Census</w:t>
      </w:r>
      <w:r w:rsidR="00E339CC">
        <w:t>;</w:t>
      </w:r>
      <w:r w:rsidRPr="00EE18DE">
        <w:t xml:space="preserve"> Productivity Commission, </w:t>
      </w:r>
      <w:r w:rsidRPr="00EE18DE">
        <w:rPr>
          <w:i/>
        </w:rPr>
        <w:t>Report on Government Services 201</w:t>
      </w:r>
      <w:r w:rsidR="00C73A00">
        <w:rPr>
          <w:i/>
        </w:rPr>
        <w:t>8</w:t>
      </w:r>
      <w:r w:rsidRPr="00EE18DE">
        <w:t>, Table</w:t>
      </w:r>
      <w:r>
        <w:t>s </w:t>
      </w:r>
      <w:r w:rsidRPr="00EE18DE">
        <w:t>18A.</w:t>
      </w:r>
      <w:r>
        <w:t>4 and 18A.</w:t>
      </w:r>
      <w:r w:rsidRPr="00EE18DE">
        <w:t>3.</w:t>
      </w:r>
    </w:p>
    <w:p w14:paraId="5ED28E2D" w14:textId="77777777" w:rsidR="00260326" w:rsidRDefault="00CC406B" w:rsidP="00260326">
      <w:pPr>
        <w:pStyle w:val="CGCNumberedPara"/>
      </w:pPr>
      <w:r>
        <w:t xml:space="preserve">Nevertheless, the </w:t>
      </w:r>
      <w:r w:rsidR="00057183">
        <w:t>2016 </w:t>
      </w:r>
      <w:r>
        <w:t xml:space="preserve">Census </w:t>
      </w:r>
      <w:r w:rsidR="00462DAE">
        <w:t xml:space="preserve">data </w:t>
      </w:r>
      <w:r>
        <w:t xml:space="preserve">show a consistent </w:t>
      </w:r>
      <w:r w:rsidR="00F8213B" w:rsidRPr="00840434">
        <w:t xml:space="preserve">and comprehensive </w:t>
      </w:r>
      <w:r>
        <w:t xml:space="preserve">picture of </w:t>
      </w:r>
      <w:r w:rsidR="00852214">
        <w:t>the key characteristics of social housing households</w:t>
      </w:r>
      <w:r w:rsidR="00522796">
        <w:t xml:space="preserve"> counted</w:t>
      </w:r>
      <w:r w:rsidR="00AD2059">
        <w:t>.</w:t>
      </w:r>
      <w:r w:rsidR="00710F94">
        <w:rPr>
          <w:rStyle w:val="FootnoteReference"/>
        </w:rPr>
        <w:footnoteReference w:id="4"/>
      </w:r>
    </w:p>
    <w:p w14:paraId="4EA54B2F" w14:textId="77777777" w:rsidR="00852214" w:rsidRDefault="00057183" w:rsidP="00057183">
      <w:pPr>
        <w:pStyle w:val="CGCBulletlist"/>
      </w:pPr>
      <w:r w:rsidRPr="00057183">
        <w:t xml:space="preserve">Indigenous </w:t>
      </w:r>
      <w:r>
        <w:t>households account</w:t>
      </w:r>
      <w:r w:rsidR="00B260A3">
        <w:t>ed</w:t>
      </w:r>
      <w:r>
        <w:t xml:space="preserve"> for 15.</w:t>
      </w:r>
      <w:r w:rsidR="002E484C">
        <w:t>9</w:t>
      </w:r>
      <w:r>
        <w:t>% of s</w:t>
      </w:r>
      <w:r w:rsidRPr="00057183">
        <w:t>ocial housing households</w:t>
      </w:r>
      <w:r>
        <w:t xml:space="preserve"> (compared to 15.1% in the 2011 Census)</w:t>
      </w:r>
    </w:p>
    <w:p w14:paraId="36422710" w14:textId="13A5750D" w:rsidR="00057183" w:rsidRDefault="00B260A3" w:rsidP="00057183">
      <w:pPr>
        <w:pStyle w:val="CGCBulletlist"/>
      </w:pPr>
      <w:r>
        <w:t xml:space="preserve">82.6% of social housing households were on </w:t>
      </w:r>
      <w:r w:rsidR="0009508C">
        <w:t>low income</w:t>
      </w:r>
      <w:r>
        <w:t xml:space="preserve">s (defined to be those </w:t>
      </w:r>
      <w:r w:rsidRPr="002D5ECA">
        <w:t xml:space="preserve">with an equivalised income </w:t>
      </w:r>
      <w:r>
        <w:t>of less than $650 per week</w:t>
      </w:r>
      <w:r w:rsidR="001279A9">
        <w:t xml:space="preserve">), </w:t>
      </w:r>
      <w:r>
        <w:t>compared to 84.6% in 2011</w:t>
      </w:r>
      <w:r w:rsidR="001279A9">
        <w:t xml:space="preserve"> (</w:t>
      </w:r>
      <w:r>
        <w:t xml:space="preserve">defined to be </w:t>
      </w:r>
      <w:r w:rsidRPr="002D5ECA">
        <w:t xml:space="preserve">those with an equivalised income </w:t>
      </w:r>
      <w:r>
        <w:t>of less than $600 per week)</w:t>
      </w:r>
      <w:r w:rsidR="001279A9">
        <w:t xml:space="preserve"> (</w:t>
      </w:r>
      <w:r w:rsidR="00793CFE">
        <w:t>see</w:t>
      </w:r>
      <w:r w:rsidR="00503522">
        <w:t xml:space="preserve"> </w:t>
      </w:r>
      <w:r w:rsidR="00503522">
        <w:fldChar w:fldCharType="begin"/>
      </w:r>
      <w:r w:rsidR="00503522">
        <w:instrText xml:space="preserve"> REF _Ref511730898 \h </w:instrText>
      </w:r>
      <w:r w:rsidR="00503522">
        <w:fldChar w:fldCharType="separate"/>
      </w:r>
      <w:r w:rsidR="00566C01">
        <w:t xml:space="preserve">Table </w:t>
      </w:r>
      <w:r w:rsidR="00566C01">
        <w:rPr>
          <w:noProof/>
        </w:rPr>
        <w:t>5</w:t>
      </w:r>
      <w:r w:rsidR="00503522">
        <w:fldChar w:fldCharType="end"/>
      </w:r>
      <w:r w:rsidR="001279A9">
        <w:t>)</w:t>
      </w:r>
    </w:p>
    <w:p w14:paraId="22E15440" w14:textId="7BA51D93" w:rsidR="00B260A3" w:rsidRDefault="00710F94" w:rsidP="00B260A3">
      <w:pPr>
        <w:pStyle w:val="CGCSubbulletlist"/>
      </w:pPr>
      <w:r>
        <w:t>a</w:t>
      </w:r>
      <w:r w:rsidR="00B260A3">
        <w:t>n equivalised income of less than $650 per week broadly aligns with</w:t>
      </w:r>
      <w:r w:rsidR="00B260A3" w:rsidRPr="002D5ECA">
        <w:t xml:space="preserve"> average income eligibility thresholds for access to </w:t>
      </w:r>
      <w:r w:rsidR="00DB1D7E">
        <w:t>social</w:t>
      </w:r>
      <w:r w:rsidR="00B260A3" w:rsidRPr="002D5ECA">
        <w:t xml:space="preserve"> housing for a single person</w:t>
      </w:r>
      <w:r w:rsidR="00CE6C5D">
        <w:t xml:space="preserve"> </w:t>
      </w:r>
      <w:r w:rsidR="00B260A3">
        <w:t>(</w:t>
      </w:r>
      <w:r w:rsidR="00E42CB9">
        <w:fldChar w:fldCharType="begin"/>
      </w:r>
      <w:r w:rsidR="00E42CB9">
        <w:instrText xml:space="preserve"> REF _Ref511731130 \h </w:instrText>
      </w:r>
      <w:r w:rsidR="00E42CB9">
        <w:fldChar w:fldCharType="separate"/>
      </w:r>
      <w:r w:rsidR="00566C01">
        <w:t xml:space="preserve">Table </w:t>
      </w:r>
      <w:r w:rsidR="00566C01">
        <w:rPr>
          <w:noProof/>
        </w:rPr>
        <w:t>6</w:t>
      </w:r>
      <w:r w:rsidR="00E42CB9">
        <w:fldChar w:fldCharType="end"/>
      </w:r>
      <w:r w:rsidR="00B260A3">
        <w:t>)</w:t>
      </w:r>
      <w:r w:rsidR="0009508C">
        <w:t>.</w:t>
      </w:r>
    </w:p>
    <w:p w14:paraId="3969E102" w14:textId="086C8FDC" w:rsidR="00B260A3" w:rsidRDefault="00710F94" w:rsidP="00B260A3">
      <w:pPr>
        <w:pStyle w:val="CGCSubbulletlist"/>
      </w:pPr>
      <w:r>
        <w:t>this</w:t>
      </w:r>
      <w:r w:rsidRPr="002D5ECA">
        <w:t xml:space="preserve"> </w:t>
      </w:r>
      <w:r w:rsidR="0009508C">
        <w:t>low-income</w:t>
      </w:r>
      <w:r>
        <w:t xml:space="preserve"> </w:t>
      </w:r>
      <w:r w:rsidRPr="002D5ECA">
        <w:t>threshold equates to the bottom 3</w:t>
      </w:r>
      <w:r>
        <w:t>4</w:t>
      </w:r>
      <w:r w:rsidRPr="002D5ECA">
        <w:t>% of households in the 201</w:t>
      </w:r>
      <w:r>
        <w:t>6 </w:t>
      </w:r>
      <w:r w:rsidRPr="002D5ECA">
        <w:t>Census</w:t>
      </w:r>
      <w:r w:rsidR="00381563">
        <w:t xml:space="preserve"> (</w:t>
      </w:r>
      <w:r w:rsidR="00381563" w:rsidRPr="002D5ECA">
        <w:t>the bottom 37% of households in the 2011 Census</w:t>
      </w:r>
      <w:r w:rsidR="00381563">
        <w:t>)</w:t>
      </w:r>
      <w:r>
        <w:t>.</w:t>
      </w:r>
    </w:p>
    <w:p w14:paraId="540C4ACF" w14:textId="77777777" w:rsidR="009E3004" w:rsidRDefault="009E3004" w:rsidP="001279A9">
      <w:pPr>
        <w:pStyle w:val="CGCTableFootnote"/>
      </w:pPr>
      <w:bookmarkStart w:id="39" w:name="_Ref458607966"/>
    </w:p>
    <w:p w14:paraId="34CCB7DC" w14:textId="43A01F8A" w:rsidR="009E3004" w:rsidRDefault="009E3004" w:rsidP="00356477">
      <w:pPr>
        <w:pStyle w:val="Caption"/>
      </w:pPr>
      <w:bookmarkStart w:id="40" w:name="_Ref511730898"/>
      <w:r>
        <w:lastRenderedPageBreak/>
        <w:t xml:space="preserve">Table </w:t>
      </w:r>
      <w:r w:rsidR="00CE292F">
        <w:fldChar w:fldCharType="begin"/>
      </w:r>
      <w:r w:rsidR="00CE292F">
        <w:instrText xml:space="preserve"> SEQ Table \* ARABIC </w:instrText>
      </w:r>
      <w:r w:rsidR="00CE292F">
        <w:fldChar w:fldCharType="separate"/>
      </w:r>
      <w:r w:rsidR="00566C01">
        <w:rPr>
          <w:noProof/>
        </w:rPr>
        <w:t>5</w:t>
      </w:r>
      <w:r w:rsidR="00CE292F">
        <w:rPr>
          <w:noProof/>
        </w:rPr>
        <w:fldChar w:fldCharType="end"/>
      </w:r>
      <w:bookmarkEnd w:id="40"/>
      <w:r>
        <w:tab/>
      </w:r>
      <w:r w:rsidRPr="00194C5E">
        <w:t>Low-income share of social housing households, 2016 Census</w:t>
      </w:r>
    </w:p>
    <w:tbl>
      <w:tblPr>
        <w:tblW w:w="8820" w:type="dxa"/>
        <w:tblInd w:w="108" w:type="dxa"/>
        <w:tblLook w:val="04A0" w:firstRow="1" w:lastRow="0" w:firstColumn="1" w:lastColumn="0" w:noHBand="0" w:noVBand="1"/>
      </w:tblPr>
      <w:tblGrid>
        <w:gridCol w:w="2520"/>
        <w:gridCol w:w="700"/>
        <w:gridCol w:w="700"/>
        <w:gridCol w:w="700"/>
        <w:gridCol w:w="700"/>
        <w:gridCol w:w="700"/>
        <w:gridCol w:w="700"/>
        <w:gridCol w:w="700"/>
        <w:gridCol w:w="700"/>
        <w:gridCol w:w="700"/>
      </w:tblGrid>
      <w:tr w:rsidR="009E3004" w:rsidRPr="009E3004" w14:paraId="2B2563A4" w14:textId="77777777" w:rsidTr="009E3004">
        <w:trPr>
          <w:trHeight w:val="379"/>
        </w:trPr>
        <w:tc>
          <w:tcPr>
            <w:tcW w:w="2520" w:type="dxa"/>
            <w:tcBorders>
              <w:top w:val="single" w:sz="4" w:space="0" w:color="auto"/>
              <w:left w:val="nil"/>
              <w:bottom w:val="single" w:sz="4" w:space="0" w:color="auto"/>
              <w:right w:val="nil"/>
            </w:tcBorders>
            <w:shd w:val="clear" w:color="auto" w:fill="auto"/>
            <w:noWrap/>
            <w:vAlign w:val="center"/>
            <w:hideMark/>
          </w:tcPr>
          <w:p w14:paraId="7EA5D556"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bookmarkStart w:id="41" w:name="RANGE!A3:J5"/>
            <w:r w:rsidRPr="009E3004">
              <w:rPr>
                <w:rFonts w:ascii="Calibri" w:eastAsia="Times New Roman" w:hAnsi="Calibri" w:cstheme="minorHAnsi"/>
                <w:color w:val="000000"/>
                <w:sz w:val="20"/>
                <w:szCs w:val="20"/>
                <w:lang w:eastAsia="en-AU"/>
              </w:rPr>
              <w:t> </w:t>
            </w:r>
            <w:bookmarkEnd w:id="41"/>
          </w:p>
        </w:tc>
        <w:tc>
          <w:tcPr>
            <w:tcW w:w="700" w:type="dxa"/>
            <w:tcBorders>
              <w:top w:val="single" w:sz="4" w:space="0" w:color="auto"/>
              <w:left w:val="nil"/>
              <w:bottom w:val="single" w:sz="4" w:space="0" w:color="auto"/>
              <w:right w:val="nil"/>
            </w:tcBorders>
            <w:shd w:val="clear" w:color="auto" w:fill="auto"/>
            <w:noWrap/>
            <w:vAlign w:val="center"/>
            <w:hideMark/>
          </w:tcPr>
          <w:p w14:paraId="3AF6366F"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14:paraId="12931346"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14:paraId="2F571AD4"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14:paraId="3BAD0BE9"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14:paraId="78AEBBC3"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14:paraId="62662B0A"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Tas</w:t>
            </w:r>
          </w:p>
        </w:tc>
        <w:tc>
          <w:tcPr>
            <w:tcW w:w="700" w:type="dxa"/>
            <w:tcBorders>
              <w:top w:val="single" w:sz="4" w:space="0" w:color="auto"/>
              <w:left w:val="nil"/>
              <w:bottom w:val="single" w:sz="4" w:space="0" w:color="auto"/>
              <w:right w:val="nil"/>
            </w:tcBorders>
            <w:shd w:val="clear" w:color="auto" w:fill="auto"/>
            <w:noWrap/>
            <w:vAlign w:val="center"/>
            <w:hideMark/>
          </w:tcPr>
          <w:p w14:paraId="048DFA93"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14:paraId="55D28802"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NT</w:t>
            </w:r>
          </w:p>
        </w:tc>
        <w:tc>
          <w:tcPr>
            <w:tcW w:w="700" w:type="dxa"/>
            <w:tcBorders>
              <w:top w:val="single" w:sz="4" w:space="0" w:color="auto"/>
              <w:left w:val="nil"/>
              <w:bottom w:val="single" w:sz="4" w:space="0" w:color="auto"/>
              <w:right w:val="nil"/>
            </w:tcBorders>
            <w:shd w:val="clear" w:color="auto" w:fill="auto"/>
            <w:noWrap/>
            <w:vAlign w:val="center"/>
            <w:hideMark/>
          </w:tcPr>
          <w:p w14:paraId="08B88DD2"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Total</w:t>
            </w:r>
          </w:p>
        </w:tc>
      </w:tr>
      <w:tr w:rsidR="009E3004" w:rsidRPr="009E3004" w14:paraId="63600BCA" w14:textId="77777777" w:rsidTr="009E3004">
        <w:trPr>
          <w:trHeight w:val="259"/>
        </w:trPr>
        <w:tc>
          <w:tcPr>
            <w:tcW w:w="2520" w:type="dxa"/>
            <w:tcBorders>
              <w:top w:val="nil"/>
              <w:left w:val="nil"/>
              <w:bottom w:val="nil"/>
              <w:right w:val="nil"/>
            </w:tcBorders>
            <w:shd w:val="clear" w:color="auto" w:fill="auto"/>
            <w:noWrap/>
            <w:vAlign w:val="bottom"/>
            <w:hideMark/>
          </w:tcPr>
          <w:p w14:paraId="546C66D0"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p>
        </w:tc>
        <w:tc>
          <w:tcPr>
            <w:tcW w:w="700" w:type="dxa"/>
            <w:tcBorders>
              <w:top w:val="nil"/>
              <w:left w:val="nil"/>
              <w:bottom w:val="nil"/>
              <w:right w:val="nil"/>
            </w:tcBorders>
            <w:shd w:val="clear" w:color="auto" w:fill="auto"/>
            <w:noWrap/>
            <w:vAlign w:val="bottom"/>
            <w:hideMark/>
          </w:tcPr>
          <w:p w14:paraId="5DB12A67"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70B4A062"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5C79D02D"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483442DC"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17F5DD12"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4E2ECBA3"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74470CB8"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64BFED3F"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c>
          <w:tcPr>
            <w:tcW w:w="700" w:type="dxa"/>
            <w:tcBorders>
              <w:top w:val="nil"/>
              <w:left w:val="nil"/>
              <w:bottom w:val="nil"/>
              <w:right w:val="nil"/>
            </w:tcBorders>
            <w:shd w:val="clear" w:color="auto" w:fill="auto"/>
            <w:noWrap/>
            <w:vAlign w:val="bottom"/>
            <w:hideMark/>
          </w:tcPr>
          <w:p w14:paraId="31FD7436"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theme="minorHAnsi"/>
                <w:color w:val="000000"/>
                <w:sz w:val="20"/>
                <w:szCs w:val="20"/>
                <w:lang w:eastAsia="en-AU"/>
              </w:rPr>
              <w:t>%</w:t>
            </w:r>
          </w:p>
        </w:tc>
      </w:tr>
      <w:tr w:rsidR="009E3004" w:rsidRPr="009E3004" w14:paraId="02B8553E" w14:textId="77777777" w:rsidTr="009E3004">
        <w:trPr>
          <w:trHeight w:val="555"/>
        </w:trPr>
        <w:tc>
          <w:tcPr>
            <w:tcW w:w="2520" w:type="dxa"/>
            <w:tcBorders>
              <w:top w:val="nil"/>
              <w:left w:val="nil"/>
              <w:bottom w:val="single" w:sz="4" w:space="0" w:color="auto"/>
              <w:right w:val="nil"/>
            </w:tcBorders>
            <w:shd w:val="clear" w:color="auto" w:fill="auto"/>
            <w:vAlign w:val="bottom"/>
            <w:hideMark/>
          </w:tcPr>
          <w:p w14:paraId="76B12BDB" w14:textId="77777777" w:rsidR="009E3004" w:rsidRPr="009E3004" w:rsidRDefault="009E3004" w:rsidP="009E3004">
            <w:pPr>
              <w:tabs>
                <w:tab w:val="clear" w:pos="567"/>
              </w:tabs>
              <w:spacing w:after="0" w:line="240" w:lineRule="auto"/>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Low-income share of social housing households</w:t>
            </w:r>
          </w:p>
        </w:tc>
        <w:tc>
          <w:tcPr>
            <w:tcW w:w="700" w:type="dxa"/>
            <w:tcBorders>
              <w:top w:val="nil"/>
              <w:left w:val="nil"/>
              <w:bottom w:val="single" w:sz="4" w:space="0" w:color="auto"/>
              <w:right w:val="nil"/>
            </w:tcBorders>
            <w:shd w:val="clear" w:color="auto" w:fill="auto"/>
            <w:vAlign w:val="bottom"/>
            <w:hideMark/>
          </w:tcPr>
          <w:p w14:paraId="05EC6AD8"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82.8</w:t>
            </w:r>
          </w:p>
        </w:tc>
        <w:tc>
          <w:tcPr>
            <w:tcW w:w="700" w:type="dxa"/>
            <w:tcBorders>
              <w:top w:val="nil"/>
              <w:left w:val="nil"/>
              <w:bottom w:val="single" w:sz="4" w:space="0" w:color="auto"/>
              <w:right w:val="nil"/>
            </w:tcBorders>
            <w:shd w:val="clear" w:color="auto" w:fill="auto"/>
            <w:vAlign w:val="bottom"/>
            <w:hideMark/>
          </w:tcPr>
          <w:p w14:paraId="59CBA4BA"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83.6</w:t>
            </w:r>
          </w:p>
        </w:tc>
        <w:tc>
          <w:tcPr>
            <w:tcW w:w="700" w:type="dxa"/>
            <w:tcBorders>
              <w:top w:val="nil"/>
              <w:left w:val="nil"/>
              <w:bottom w:val="single" w:sz="4" w:space="0" w:color="auto"/>
              <w:right w:val="nil"/>
            </w:tcBorders>
            <w:shd w:val="clear" w:color="auto" w:fill="auto"/>
            <w:vAlign w:val="bottom"/>
            <w:hideMark/>
          </w:tcPr>
          <w:p w14:paraId="747B5F9D"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81.8</w:t>
            </w:r>
          </w:p>
        </w:tc>
        <w:tc>
          <w:tcPr>
            <w:tcW w:w="700" w:type="dxa"/>
            <w:tcBorders>
              <w:top w:val="nil"/>
              <w:left w:val="nil"/>
              <w:bottom w:val="single" w:sz="4" w:space="0" w:color="auto"/>
              <w:right w:val="nil"/>
            </w:tcBorders>
            <w:shd w:val="clear" w:color="auto" w:fill="auto"/>
            <w:vAlign w:val="bottom"/>
            <w:hideMark/>
          </w:tcPr>
          <w:p w14:paraId="3C100764"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81.4</w:t>
            </w:r>
          </w:p>
        </w:tc>
        <w:tc>
          <w:tcPr>
            <w:tcW w:w="700" w:type="dxa"/>
            <w:tcBorders>
              <w:top w:val="nil"/>
              <w:left w:val="nil"/>
              <w:bottom w:val="single" w:sz="4" w:space="0" w:color="auto"/>
              <w:right w:val="nil"/>
            </w:tcBorders>
            <w:shd w:val="clear" w:color="auto" w:fill="auto"/>
            <w:vAlign w:val="bottom"/>
            <w:hideMark/>
          </w:tcPr>
          <w:p w14:paraId="4DF85CD2"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83.1</w:t>
            </w:r>
          </w:p>
        </w:tc>
        <w:tc>
          <w:tcPr>
            <w:tcW w:w="700" w:type="dxa"/>
            <w:tcBorders>
              <w:top w:val="nil"/>
              <w:left w:val="nil"/>
              <w:bottom w:val="single" w:sz="4" w:space="0" w:color="auto"/>
              <w:right w:val="nil"/>
            </w:tcBorders>
            <w:shd w:val="clear" w:color="auto" w:fill="auto"/>
            <w:vAlign w:val="bottom"/>
            <w:hideMark/>
          </w:tcPr>
          <w:p w14:paraId="4C0DC7CB"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85.8</w:t>
            </w:r>
          </w:p>
        </w:tc>
        <w:tc>
          <w:tcPr>
            <w:tcW w:w="700" w:type="dxa"/>
            <w:tcBorders>
              <w:top w:val="nil"/>
              <w:left w:val="nil"/>
              <w:bottom w:val="single" w:sz="4" w:space="0" w:color="auto"/>
              <w:right w:val="nil"/>
            </w:tcBorders>
            <w:shd w:val="clear" w:color="auto" w:fill="auto"/>
            <w:vAlign w:val="bottom"/>
            <w:hideMark/>
          </w:tcPr>
          <w:p w14:paraId="47B698FA"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76.8</w:t>
            </w:r>
          </w:p>
        </w:tc>
        <w:tc>
          <w:tcPr>
            <w:tcW w:w="700" w:type="dxa"/>
            <w:tcBorders>
              <w:top w:val="nil"/>
              <w:left w:val="nil"/>
              <w:bottom w:val="single" w:sz="4" w:space="0" w:color="auto"/>
              <w:right w:val="nil"/>
            </w:tcBorders>
            <w:shd w:val="clear" w:color="auto" w:fill="auto"/>
            <w:vAlign w:val="bottom"/>
            <w:hideMark/>
          </w:tcPr>
          <w:p w14:paraId="43178DAE"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83.2</w:t>
            </w:r>
          </w:p>
        </w:tc>
        <w:tc>
          <w:tcPr>
            <w:tcW w:w="700" w:type="dxa"/>
            <w:tcBorders>
              <w:top w:val="nil"/>
              <w:left w:val="nil"/>
              <w:bottom w:val="single" w:sz="4" w:space="0" w:color="auto"/>
              <w:right w:val="nil"/>
            </w:tcBorders>
            <w:shd w:val="clear" w:color="auto" w:fill="auto"/>
            <w:vAlign w:val="bottom"/>
            <w:hideMark/>
          </w:tcPr>
          <w:p w14:paraId="79A32466" w14:textId="77777777" w:rsidR="009E3004" w:rsidRPr="009E3004" w:rsidRDefault="009E3004" w:rsidP="009E3004">
            <w:pPr>
              <w:tabs>
                <w:tab w:val="clear" w:pos="567"/>
              </w:tabs>
              <w:spacing w:after="0" w:line="240" w:lineRule="auto"/>
              <w:jc w:val="right"/>
              <w:rPr>
                <w:rFonts w:ascii="Calibri" w:eastAsia="Times New Roman" w:hAnsi="Calibri" w:cs="Calibri"/>
                <w:color w:val="000000"/>
                <w:sz w:val="20"/>
                <w:szCs w:val="20"/>
                <w:lang w:eastAsia="en-AU"/>
              </w:rPr>
            </w:pPr>
            <w:r w:rsidRPr="009E3004">
              <w:rPr>
                <w:rFonts w:ascii="Calibri" w:eastAsia="Times New Roman" w:hAnsi="Calibri" w:cs="Calibri"/>
                <w:color w:val="000000"/>
                <w:sz w:val="20"/>
                <w:szCs w:val="20"/>
                <w:lang w:eastAsia="en-AU"/>
              </w:rPr>
              <w:t xml:space="preserve">  82.6</w:t>
            </w:r>
          </w:p>
        </w:tc>
      </w:tr>
    </w:tbl>
    <w:p w14:paraId="3F874569" w14:textId="324515BD" w:rsidR="001279A9" w:rsidRDefault="001279A9" w:rsidP="001279A9">
      <w:pPr>
        <w:pStyle w:val="CGCTableFootnote"/>
      </w:pPr>
      <w:r>
        <w:t>Source:</w:t>
      </w:r>
      <w:r>
        <w:tab/>
        <w:t>CGC calculations.</w:t>
      </w:r>
    </w:p>
    <w:p w14:paraId="16C07523" w14:textId="1C399353" w:rsidR="00EF2DFE" w:rsidRDefault="00EF2DFE" w:rsidP="00356477">
      <w:pPr>
        <w:pStyle w:val="Caption"/>
      </w:pPr>
      <w:bookmarkStart w:id="42" w:name="_Ref511731130"/>
      <w:bookmarkEnd w:id="39"/>
      <w:r>
        <w:t xml:space="preserve">Table </w:t>
      </w:r>
      <w:r w:rsidR="00CE292F">
        <w:fldChar w:fldCharType="begin"/>
      </w:r>
      <w:r w:rsidR="00CE292F">
        <w:instrText xml:space="preserve"> SEQ Table \* ARABIC </w:instrText>
      </w:r>
      <w:r w:rsidR="00CE292F">
        <w:fldChar w:fldCharType="separate"/>
      </w:r>
      <w:r w:rsidR="00566C01">
        <w:rPr>
          <w:noProof/>
        </w:rPr>
        <w:t>6</w:t>
      </w:r>
      <w:r w:rsidR="00CE292F">
        <w:rPr>
          <w:noProof/>
        </w:rPr>
        <w:fldChar w:fldCharType="end"/>
      </w:r>
      <w:bookmarkEnd w:id="42"/>
      <w:r>
        <w:tab/>
      </w:r>
      <w:r w:rsidRPr="00B13ADF">
        <w:t>Social housing gross weekly income eligibility limits, 2016</w:t>
      </w:r>
    </w:p>
    <w:tbl>
      <w:tblPr>
        <w:tblW w:w="8840" w:type="dxa"/>
        <w:tblInd w:w="108" w:type="dxa"/>
        <w:tblLook w:val="04A0" w:firstRow="1" w:lastRow="0" w:firstColumn="1" w:lastColumn="0" w:noHBand="0" w:noVBand="1"/>
      </w:tblPr>
      <w:tblGrid>
        <w:gridCol w:w="2880"/>
        <w:gridCol w:w="720"/>
        <w:gridCol w:w="780"/>
        <w:gridCol w:w="660"/>
        <w:gridCol w:w="840"/>
        <w:gridCol w:w="720"/>
        <w:gridCol w:w="800"/>
        <w:gridCol w:w="720"/>
        <w:gridCol w:w="720"/>
      </w:tblGrid>
      <w:tr w:rsidR="00243A5B" w:rsidRPr="00243A5B" w14:paraId="690C4DD3" w14:textId="77777777" w:rsidTr="00243A5B">
        <w:trPr>
          <w:trHeight w:val="379"/>
        </w:trPr>
        <w:tc>
          <w:tcPr>
            <w:tcW w:w="2880" w:type="dxa"/>
            <w:tcBorders>
              <w:top w:val="single" w:sz="4" w:space="0" w:color="auto"/>
              <w:left w:val="nil"/>
              <w:bottom w:val="single" w:sz="4" w:space="0" w:color="auto"/>
              <w:right w:val="nil"/>
            </w:tcBorders>
            <w:shd w:val="clear" w:color="auto" w:fill="auto"/>
            <w:noWrap/>
            <w:vAlign w:val="center"/>
            <w:hideMark/>
          </w:tcPr>
          <w:p w14:paraId="5E6E3B97"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bookmarkStart w:id="43" w:name="RANGE!A13:I18"/>
            <w:r w:rsidRPr="00243A5B">
              <w:rPr>
                <w:rFonts w:ascii="Calibri" w:eastAsia="Times New Roman" w:hAnsi="Calibri" w:cstheme="minorHAnsi"/>
                <w:color w:val="000000"/>
                <w:sz w:val="20"/>
                <w:szCs w:val="20"/>
                <w:lang w:eastAsia="en-AU"/>
              </w:rPr>
              <w:t> </w:t>
            </w:r>
            <w:bookmarkEnd w:id="43"/>
          </w:p>
        </w:tc>
        <w:tc>
          <w:tcPr>
            <w:tcW w:w="720" w:type="dxa"/>
            <w:tcBorders>
              <w:top w:val="single" w:sz="4" w:space="0" w:color="auto"/>
              <w:left w:val="nil"/>
              <w:bottom w:val="single" w:sz="4" w:space="0" w:color="auto"/>
              <w:right w:val="nil"/>
            </w:tcBorders>
            <w:shd w:val="clear" w:color="auto" w:fill="auto"/>
            <w:noWrap/>
            <w:vAlign w:val="center"/>
            <w:hideMark/>
          </w:tcPr>
          <w:p w14:paraId="45F0F36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14:paraId="47B7D286"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Vic (a)</w:t>
            </w:r>
          </w:p>
        </w:tc>
        <w:tc>
          <w:tcPr>
            <w:tcW w:w="660" w:type="dxa"/>
            <w:tcBorders>
              <w:top w:val="single" w:sz="4" w:space="0" w:color="auto"/>
              <w:left w:val="nil"/>
              <w:bottom w:val="single" w:sz="4" w:space="0" w:color="auto"/>
              <w:right w:val="nil"/>
            </w:tcBorders>
            <w:shd w:val="clear" w:color="auto" w:fill="auto"/>
            <w:noWrap/>
            <w:vAlign w:val="center"/>
            <w:hideMark/>
          </w:tcPr>
          <w:p w14:paraId="7214396A"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14:paraId="0CEB9671"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WA (b)</w:t>
            </w:r>
          </w:p>
        </w:tc>
        <w:tc>
          <w:tcPr>
            <w:tcW w:w="720" w:type="dxa"/>
            <w:tcBorders>
              <w:top w:val="single" w:sz="4" w:space="0" w:color="auto"/>
              <w:left w:val="nil"/>
              <w:bottom w:val="single" w:sz="4" w:space="0" w:color="auto"/>
              <w:right w:val="nil"/>
            </w:tcBorders>
            <w:shd w:val="clear" w:color="auto" w:fill="auto"/>
            <w:noWrap/>
            <w:vAlign w:val="center"/>
            <w:hideMark/>
          </w:tcPr>
          <w:p w14:paraId="44F7152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SA</w:t>
            </w:r>
          </w:p>
        </w:tc>
        <w:tc>
          <w:tcPr>
            <w:tcW w:w="800" w:type="dxa"/>
            <w:tcBorders>
              <w:top w:val="single" w:sz="4" w:space="0" w:color="auto"/>
              <w:left w:val="nil"/>
              <w:bottom w:val="single" w:sz="4" w:space="0" w:color="auto"/>
              <w:right w:val="nil"/>
            </w:tcBorders>
            <w:shd w:val="clear" w:color="auto" w:fill="auto"/>
            <w:noWrap/>
            <w:vAlign w:val="center"/>
            <w:hideMark/>
          </w:tcPr>
          <w:p w14:paraId="55F2C05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Tas (e)</w:t>
            </w:r>
          </w:p>
        </w:tc>
        <w:tc>
          <w:tcPr>
            <w:tcW w:w="720" w:type="dxa"/>
            <w:tcBorders>
              <w:top w:val="single" w:sz="4" w:space="0" w:color="auto"/>
              <w:left w:val="nil"/>
              <w:bottom w:val="single" w:sz="4" w:space="0" w:color="auto"/>
              <w:right w:val="nil"/>
            </w:tcBorders>
            <w:shd w:val="clear" w:color="auto" w:fill="auto"/>
            <w:noWrap/>
            <w:vAlign w:val="center"/>
            <w:hideMark/>
          </w:tcPr>
          <w:p w14:paraId="5CCAE27D"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14:paraId="6E5FB76A"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NT (f)</w:t>
            </w:r>
          </w:p>
        </w:tc>
      </w:tr>
      <w:tr w:rsidR="00243A5B" w:rsidRPr="00243A5B" w14:paraId="1B0F93A9" w14:textId="77777777" w:rsidTr="00243A5B">
        <w:trPr>
          <w:trHeight w:val="259"/>
        </w:trPr>
        <w:tc>
          <w:tcPr>
            <w:tcW w:w="2880" w:type="dxa"/>
            <w:tcBorders>
              <w:top w:val="nil"/>
              <w:left w:val="nil"/>
              <w:bottom w:val="nil"/>
              <w:right w:val="nil"/>
            </w:tcBorders>
            <w:shd w:val="clear" w:color="auto" w:fill="auto"/>
            <w:noWrap/>
            <w:vAlign w:val="bottom"/>
            <w:hideMark/>
          </w:tcPr>
          <w:p w14:paraId="18127C49"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noWrap/>
            <w:vAlign w:val="bottom"/>
            <w:hideMark/>
          </w:tcPr>
          <w:p w14:paraId="1836ADD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780" w:type="dxa"/>
            <w:tcBorders>
              <w:top w:val="nil"/>
              <w:left w:val="nil"/>
              <w:bottom w:val="nil"/>
              <w:right w:val="nil"/>
            </w:tcBorders>
            <w:shd w:val="clear" w:color="auto" w:fill="auto"/>
            <w:noWrap/>
            <w:vAlign w:val="bottom"/>
            <w:hideMark/>
          </w:tcPr>
          <w:p w14:paraId="04B73F10"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660" w:type="dxa"/>
            <w:tcBorders>
              <w:top w:val="nil"/>
              <w:left w:val="nil"/>
              <w:bottom w:val="nil"/>
              <w:right w:val="nil"/>
            </w:tcBorders>
            <w:shd w:val="clear" w:color="auto" w:fill="auto"/>
            <w:noWrap/>
            <w:vAlign w:val="bottom"/>
            <w:hideMark/>
          </w:tcPr>
          <w:p w14:paraId="04FB004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840" w:type="dxa"/>
            <w:tcBorders>
              <w:top w:val="nil"/>
              <w:left w:val="nil"/>
              <w:bottom w:val="nil"/>
              <w:right w:val="nil"/>
            </w:tcBorders>
            <w:shd w:val="clear" w:color="auto" w:fill="auto"/>
            <w:noWrap/>
            <w:vAlign w:val="bottom"/>
            <w:hideMark/>
          </w:tcPr>
          <w:p w14:paraId="2C45CDB4"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720" w:type="dxa"/>
            <w:tcBorders>
              <w:top w:val="nil"/>
              <w:left w:val="nil"/>
              <w:bottom w:val="nil"/>
              <w:right w:val="nil"/>
            </w:tcBorders>
            <w:shd w:val="clear" w:color="auto" w:fill="auto"/>
            <w:noWrap/>
            <w:vAlign w:val="bottom"/>
            <w:hideMark/>
          </w:tcPr>
          <w:p w14:paraId="0CF1312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800" w:type="dxa"/>
            <w:tcBorders>
              <w:top w:val="nil"/>
              <w:left w:val="nil"/>
              <w:bottom w:val="nil"/>
              <w:right w:val="nil"/>
            </w:tcBorders>
            <w:shd w:val="clear" w:color="auto" w:fill="auto"/>
            <w:noWrap/>
            <w:vAlign w:val="bottom"/>
            <w:hideMark/>
          </w:tcPr>
          <w:p w14:paraId="1BF893CB"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720" w:type="dxa"/>
            <w:tcBorders>
              <w:top w:val="nil"/>
              <w:left w:val="nil"/>
              <w:bottom w:val="nil"/>
              <w:right w:val="nil"/>
            </w:tcBorders>
            <w:shd w:val="clear" w:color="auto" w:fill="auto"/>
            <w:noWrap/>
            <w:vAlign w:val="bottom"/>
            <w:hideMark/>
          </w:tcPr>
          <w:p w14:paraId="2A4AA3AC"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c>
          <w:tcPr>
            <w:tcW w:w="720" w:type="dxa"/>
            <w:tcBorders>
              <w:top w:val="nil"/>
              <w:left w:val="nil"/>
              <w:bottom w:val="nil"/>
              <w:right w:val="nil"/>
            </w:tcBorders>
            <w:shd w:val="clear" w:color="auto" w:fill="auto"/>
            <w:noWrap/>
            <w:vAlign w:val="bottom"/>
            <w:hideMark/>
          </w:tcPr>
          <w:p w14:paraId="0C75B78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theme="minorHAnsi"/>
                <w:color w:val="000000"/>
                <w:sz w:val="20"/>
                <w:szCs w:val="20"/>
                <w:lang w:eastAsia="en-AU"/>
              </w:rPr>
              <w:t>$</w:t>
            </w:r>
          </w:p>
        </w:tc>
      </w:tr>
      <w:tr w:rsidR="00243A5B" w:rsidRPr="00243A5B" w14:paraId="2F671458" w14:textId="77777777" w:rsidTr="00243A5B">
        <w:trPr>
          <w:trHeight w:val="315"/>
        </w:trPr>
        <w:tc>
          <w:tcPr>
            <w:tcW w:w="2880" w:type="dxa"/>
            <w:tcBorders>
              <w:top w:val="nil"/>
              <w:left w:val="nil"/>
              <w:bottom w:val="nil"/>
              <w:right w:val="nil"/>
            </w:tcBorders>
            <w:shd w:val="clear" w:color="auto" w:fill="auto"/>
            <w:vAlign w:val="bottom"/>
            <w:hideMark/>
          </w:tcPr>
          <w:p w14:paraId="3FA08267" w14:textId="77777777" w:rsidR="00243A5B" w:rsidRPr="00243A5B" w:rsidRDefault="00243A5B" w:rsidP="00243A5B">
            <w:pPr>
              <w:tabs>
                <w:tab w:val="clear" w:pos="567"/>
              </w:tabs>
              <w:spacing w:after="0" w:line="240" w:lineRule="auto"/>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Single person</w:t>
            </w:r>
          </w:p>
        </w:tc>
        <w:tc>
          <w:tcPr>
            <w:tcW w:w="720" w:type="dxa"/>
            <w:tcBorders>
              <w:top w:val="nil"/>
              <w:left w:val="nil"/>
              <w:bottom w:val="nil"/>
              <w:right w:val="nil"/>
            </w:tcBorders>
            <w:shd w:val="clear" w:color="auto" w:fill="auto"/>
            <w:vAlign w:val="bottom"/>
            <w:hideMark/>
          </w:tcPr>
          <w:p w14:paraId="0BB77240"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610</w:t>
            </w:r>
          </w:p>
        </w:tc>
        <w:tc>
          <w:tcPr>
            <w:tcW w:w="780" w:type="dxa"/>
            <w:tcBorders>
              <w:top w:val="nil"/>
              <w:left w:val="nil"/>
              <w:bottom w:val="nil"/>
              <w:right w:val="nil"/>
            </w:tcBorders>
            <w:shd w:val="clear" w:color="auto" w:fill="auto"/>
            <w:vAlign w:val="bottom"/>
            <w:hideMark/>
          </w:tcPr>
          <w:p w14:paraId="17A6CA02"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549</w:t>
            </w:r>
          </w:p>
        </w:tc>
        <w:tc>
          <w:tcPr>
            <w:tcW w:w="660" w:type="dxa"/>
            <w:tcBorders>
              <w:top w:val="nil"/>
              <w:left w:val="nil"/>
              <w:bottom w:val="nil"/>
              <w:right w:val="nil"/>
            </w:tcBorders>
            <w:shd w:val="clear" w:color="auto" w:fill="auto"/>
            <w:vAlign w:val="bottom"/>
            <w:hideMark/>
          </w:tcPr>
          <w:p w14:paraId="74A0708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609</w:t>
            </w:r>
          </w:p>
        </w:tc>
        <w:tc>
          <w:tcPr>
            <w:tcW w:w="840" w:type="dxa"/>
            <w:tcBorders>
              <w:top w:val="nil"/>
              <w:left w:val="nil"/>
              <w:bottom w:val="nil"/>
              <w:right w:val="nil"/>
            </w:tcBorders>
            <w:shd w:val="clear" w:color="auto" w:fill="auto"/>
            <w:vAlign w:val="bottom"/>
            <w:hideMark/>
          </w:tcPr>
          <w:p w14:paraId="4A093DDC"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430</w:t>
            </w:r>
          </w:p>
        </w:tc>
        <w:tc>
          <w:tcPr>
            <w:tcW w:w="720" w:type="dxa"/>
            <w:tcBorders>
              <w:top w:val="nil"/>
              <w:left w:val="nil"/>
              <w:bottom w:val="nil"/>
              <w:right w:val="nil"/>
            </w:tcBorders>
            <w:shd w:val="clear" w:color="auto" w:fill="auto"/>
            <w:vAlign w:val="bottom"/>
            <w:hideMark/>
          </w:tcPr>
          <w:p w14:paraId="5F970CE4"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978</w:t>
            </w:r>
          </w:p>
        </w:tc>
        <w:tc>
          <w:tcPr>
            <w:tcW w:w="800" w:type="dxa"/>
            <w:tcBorders>
              <w:top w:val="nil"/>
              <w:left w:val="nil"/>
              <w:bottom w:val="nil"/>
              <w:right w:val="nil"/>
            </w:tcBorders>
            <w:shd w:val="clear" w:color="auto" w:fill="auto"/>
            <w:vAlign w:val="bottom"/>
            <w:hideMark/>
          </w:tcPr>
          <w:p w14:paraId="40D67D37"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536</w:t>
            </w:r>
          </w:p>
        </w:tc>
        <w:tc>
          <w:tcPr>
            <w:tcW w:w="720" w:type="dxa"/>
            <w:tcBorders>
              <w:top w:val="nil"/>
              <w:left w:val="nil"/>
              <w:bottom w:val="nil"/>
              <w:right w:val="nil"/>
            </w:tcBorders>
            <w:shd w:val="clear" w:color="auto" w:fill="auto"/>
            <w:vAlign w:val="bottom"/>
            <w:hideMark/>
          </w:tcPr>
          <w:p w14:paraId="7F8E8084"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706</w:t>
            </w:r>
          </w:p>
        </w:tc>
        <w:tc>
          <w:tcPr>
            <w:tcW w:w="720" w:type="dxa"/>
            <w:tcBorders>
              <w:top w:val="nil"/>
              <w:left w:val="nil"/>
              <w:bottom w:val="nil"/>
              <w:right w:val="nil"/>
            </w:tcBorders>
            <w:shd w:val="clear" w:color="auto" w:fill="auto"/>
            <w:vAlign w:val="bottom"/>
            <w:hideMark/>
          </w:tcPr>
          <w:p w14:paraId="18E54A7B"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766</w:t>
            </w:r>
          </w:p>
        </w:tc>
      </w:tr>
      <w:tr w:rsidR="00243A5B" w:rsidRPr="00243A5B" w14:paraId="71821AFB" w14:textId="77777777" w:rsidTr="00243A5B">
        <w:trPr>
          <w:trHeight w:val="315"/>
        </w:trPr>
        <w:tc>
          <w:tcPr>
            <w:tcW w:w="2880" w:type="dxa"/>
            <w:tcBorders>
              <w:top w:val="nil"/>
              <w:left w:val="nil"/>
              <w:bottom w:val="nil"/>
              <w:right w:val="nil"/>
            </w:tcBorders>
            <w:shd w:val="clear" w:color="auto" w:fill="auto"/>
            <w:vAlign w:val="bottom"/>
            <w:hideMark/>
          </w:tcPr>
          <w:p w14:paraId="20844EA2" w14:textId="77777777" w:rsidR="00243A5B" w:rsidRPr="00243A5B" w:rsidRDefault="00243A5B" w:rsidP="00243A5B">
            <w:pPr>
              <w:tabs>
                <w:tab w:val="clear" w:pos="567"/>
              </w:tabs>
              <w:spacing w:after="0" w:line="240" w:lineRule="auto"/>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Couple, no dependants</w:t>
            </w:r>
          </w:p>
        </w:tc>
        <w:tc>
          <w:tcPr>
            <w:tcW w:w="720" w:type="dxa"/>
            <w:tcBorders>
              <w:top w:val="nil"/>
              <w:left w:val="nil"/>
              <w:bottom w:val="nil"/>
              <w:right w:val="nil"/>
            </w:tcBorders>
            <w:shd w:val="clear" w:color="auto" w:fill="auto"/>
            <w:vAlign w:val="bottom"/>
            <w:hideMark/>
          </w:tcPr>
          <w:p w14:paraId="0EC96E74"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840</w:t>
            </w:r>
          </w:p>
        </w:tc>
        <w:tc>
          <w:tcPr>
            <w:tcW w:w="780" w:type="dxa"/>
            <w:tcBorders>
              <w:top w:val="nil"/>
              <w:left w:val="nil"/>
              <w:bottom w:val="nil"/>
              <w:right w:val="nil"/>
            </w:tcBorders>
            <w:shd w:val="clear" w:color="auto" w:fill="auto"/>
            <w:vAlign w:val="bottom"/>
            <w:hideMark/>
          </w:tcPr>
          <w:p w14:paraId="609F0432"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949</w:t>
            </w:r>
          </w:p>
        </w:tc>
        <w:tc>
          <w:tcPr>
            <w:tcW w:w="660" w:type="dxa"/>
            <w:tcBorders>
              <w:top w:val="nil"/>
              <w:left w:val="nil"/>
              <w:bottom w:val="nil"/>
              <w:right w:val="nil"/>
            </w:tcBorders>
            <w:shd w:val="clear" w:color="auto" w:fill="auto"/>
            <w:vAlign w:val="bottom"/>
            <w:hideMark/>
          </w:tcPr>
          <w:p w14:paraId="4F70EAD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755</w:t>
            </w:r>
          </w:p>
        </w:tc>
        <w:tc>
          <w:tcPr>
            <w:tcW w:w="840" w:type="dxa"/>
            <w:tcBorders>
              <w:top w:val="nil"/>
              <w:left w:val="nil"/>
              <w:bottom w:val="nil"/>
              <w:right w:val="nil"/>
            </w:tcBorders>
            <w:shd w:val="clear" w:color="auto" w:fill="auto"/>
            <w:vAlign w:val="bottom"/>
            <w:hideMark/>
          </w:tcPr>
          <w:p w14:paraId="39EF5EC1"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580 (c)</w:t>
            </w:r>
          </w:p>
        </w:tc>
        <w:tc>
          <w:tcPr>
            <w:tcW w:w="720" w:type="dxa"/>
            <w:tcBorders>
              <w:top w:val="nil"/>
              <w:left w:val="nil"/>
              <w:bottom w:val="nil"/>
              <w:right w:val="nil"/>
            </w:tcBorders>
            <w:shd w:val="clear" w:color="auto" w:fill="auto"/>
            <w:vAlign w:val="bottom"/>
            <w:hideMark/>
          </w:tcPr>
          <w:p w14:paraId="2F12E19D"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1 279</w:t>
            </w:r>
          </w:p>
        </w:tc>
        <w:tc>
          <w:tcPr>
            <w:tcW w:w="800" w:type="dxa"/>
            <w:tcBorders>
              <w:top w:val="nil"/>
              <w:left w:val="nil"/>
              <w:bottom w:val="nil"/>
              <w:right w:val="nil"/>
            </w:tcBorders>
            <w:shd w:val="clear" w:color="auto" w:fill="auto"/>
            <w:vAlign w:val="bottom"/>
            <w:hideMark/>
          </w:tcPr>
          <w:p w14:paraId="0266132A"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926</w:t>
            </w:r>
          </w:p>
        </w:tc>
        <w:tc>
          <w:tcPr>
            <w:tcW w:w="720" w:type="dxa"/>
            <w:tcBorders>
              <w:top w:val="nil"/>
              <w:left w:val="nil"/>
              <w:bottom w:val="nil"/>
              <w:right w:val="nil"/>
            </w:tcBorders>
            <w:shd w:val="clear" w:color="auto" w:fill="auto"/>
            <w:vAlign w:val="bottom"/>
            <w:hideMark/>
          </w:tcPr>
          <w:p w14:paraId="20F9DE8B"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883</w:t>
            </w:r>
          </w:p>
        </w:tc>
        <w:tc>
          <w:tcPr>
            <w:tcW w:w="720" w:type="dxa"/>
            <w:tcBorders>
              <w:top w:val="nil"/>
              <w:left w:val="nil"/>
              <w:bottom w:val="nil"/>
              <w:right w:val="nil"/>
            </w:tcBorders>
            <w:shd w:val="clear" w:color="auto" w:fill="auto"/>
            <w:vAlign w:val="bottom"/>
            <w:hideMark/>
          </w:tcPr>
          <w:p w14:paraId="2CDB3B6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995</w:t>
            </w:r>
          </w:p>
        </w:tc>
      </w:tr>
      <w:tr w:rsidR="00243A5B" w:rsidRPr="00243A5B" w14:paraId="43B1A1D0" w14:textId="77777777" w:rsidTr="00243A5B">
        <w:trPr>
          <w:trHeight w:val="315"/>
        </w:trPr>
        <w:tc>
          <w:tcPr>
            <w:tcW w:w="2880" w:type="dxa"/>
            <w:tcBorders>
              <w:top w:val="nil"/>
              <w:left w:val="nil"/>
              <w:bottom w:val="nil"/>
              <w:right w:val="nil"/>
            </w:tcBorders>
            <w:shd w:val="clear" w:color="auto" w:fill="auto"/>
            <w:vAlign w:val="bottom"/>
            <w:hideMark/>
          </w:tcPr>
          <w:p w14:paraId="2751FD1B" w14:textId="77777777" w:rsidR="00243A5B" w:rsidRPr="00243A5B" w:rsidRDefault="00243A5B" w:rsidP="00243A5B">
            <w:pPr>
              <w:tabs>
                <w:tab w:val="clear" w:pos="567"/>
              </w:tabs>
              <w:spacing w:after="0" w:line="240" w:lineRule="auto"/>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Single parent with two children</w:t>
            </w:r>
          </w:p>
        </w:tc>
        <w:tc>
          <w:tcPr>
            <w:tcW w:w="720" w:type="dxa"/>
            <w:tcBorders>
              <w:top w:val="nil"/>
              <w:left w:val="nil"/>
              <w:bottom w:val="nil"/>
              <w:right w:val="nil"/>
            </w:tcBorders>
            <w:shd w:val="clear" w:color="auto" w:fill="auto"/>
            <w:vAlign w:val="bottom"/>
            <w:hideMark/>
          </w:tcPr>
          <w:p w14:paraId="0F67BA45"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1 010</w:t>
            </w:r>
          </w:p>
        </w:tc>
        <w:tc>
          <w:tcPr>
            <w:tcW w:w="780" w:type="dxa"/>
            <w:tcBorders>
              <w:top w:val="nil"/>
              <w:left w:val="nil"/>
              <w:bottom w:val="nil"/>
              <w:right w:val="nil"/>
            </w:tcBorders>
            <w:shd w:val="clear" w:color="auto" w:fill="auto"/>
            <w:vAlign w:val="bottom"/>
            <w:hideMark/>
          </w:tcPr>
          <w:p w14:paraId="1961AB28"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1 018</w:t>
            </w:r>
          </w:p>
        </w:tc>
        <w:tc>
          <w:tcPr>
            <w:tcW w:w="660" w:type="dxa"/>
            <w:tcBorders>
              <w:top w:val="nil"/>
              <w:left w:val="nil"/>
              <w:bottom w:val="nil"/>
              <w:right w:val="nil"/>
            </w:tcBorders>
            <w:shd w:val="clear" w:color="auto" w:fill="auto"/>
            <w:vAlign w:val="bottom"/>
            <w:hideMark/>
          </w:tcPr>
          <w:p w14:paraId="52EFD8F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877</w:t>
            </w:r>
          </w:p>
        </w:tc>
        <w:tc>
          <w:tcPr>
            <w:tcW w:w="840" w:type="dxa"/>
            <w:tcBorders>
              <w:top w:val="nil"/>
              <w:left w:val="nil"/>
              <w:bottom w:val="nil"/>
              <w:right w:val="nil"/>
            </w:tcBorders>
            <w:shd w:val="clear" w:color="auto" w:fill="auto"/>
            <w:vAlign w:val="bottom"/>
            <w:hideMark/>
          </w:tcPr>
          <w:p w14:paraId="5662BDB0"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695</w:t>
            </w:r>
          </w:p>
        </w:tc>
        <w:tc>
          <w:tcPr>
            <w:tcW w:w="720" w:type="dxa"/>
            <w:tcBorders>
              <w:top w:val="nil"/>
              <w:left w:val="nil"/>
              <w:bottom w:val="nil"/>
              <w:right w:val="nil"/>
            </w:tcBorders>
            <w:shd w:val="clear" w:color="auto" w:fill="auto"/>
            <w:vAlign w:val="bottom"/>
            <w:hideMark/>
          </w:tcPr>
          <w:p w14:paraId="2513F9DB"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1 429</w:t>
            </w:r>
          </w:p>
        </w:tc>
        <w:tc>
          <w:tcPr>
            <w:tcW w:w="800" w:type="dxa"/>
            <w:tcBorders>
              <w:top w:val="nil"/>
              <w:left w:val="nil"/>
              <w:bottom w:val="nil"/>
              <w:right w:val="nil"/>
            </w:tcBorders>
            <w:shd w:val="clear" w:color="auto" w:fill="auto"/>
            <w:vAlign w:val="bottom"/>
            <w:hideMark/>
          </w:tcPr>
          <w:p w14:paraId="0A651623"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960</w:t>
            </w:r>
          </w:p>
        </w:tc>
        <w:tc>
          <w:tcPr>
            <w:tcW w:w="720" w:type="dxa"/>
            <w:tcBorders>
              <w:top w:val="nil"/>
              <w:left w:val="nil"/>
              <w:bottom w:val="nil"/>
              <w:right w:val="nil"/>
            </w:tcBorders>
            <w:shd w:val="clear" w:color="auto" w:fill="auto"/>
            <w:vAlign w:val="bottom"/>
            <w:hideMark/>
          </w:tcPr>
          <w:p w14:paraId="630EEC71"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1 001</w:t>
            </w:r>
          </w:p>
        </w:tc>
        <w:tc>
          <w:tcPr>
            <w:tcW w:w="720" w:type="dxa"/>
            <w:tcBorders>
              <w:top w:val="nil"/>
              <w:left w:val="nil"/>
              <w:bottom w:val="nil"/>
              <w:right w:val="nil"/>
            </w:tcBorders>
            <w:shd w:val="clear" w:color="auto" w:fill="auto"/>
            <w:vAlign w:val="bottom"/>
            <w:hideMark/>
          </w:tcPr>
          <w:p w14:paraId="4E919FF0"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1 158</w:t>
            </w:r>
          </w:p>
        </w:tc>
      </w:tr>
      <w:tr w:rsidR="00243A5B" w:rsidRPr="00243A5B" w14:paraId="457E1822" w14:textId="77777777" w:rsidTr="00243A5B">
        <w:trPr>
          <w:trHeight w:val="315"/>
        </w:trPr>
        <w:tc>
          <w:tcPr>
            <w:tcW w:w="2880" w:type="dxa"/>
            <w:tcBorders>
              <w:top w:val="nil"/>
              <w:left w:val="nil"/>
              <w:bottom w:val="single" w:sz="4" w:space="0" w:color="auto"/>
              <w:right w:val="nil"/>
            </w:tcBorders>
            <w:shd w:val="clear" w:color="auto" w:fill="auto"/>
            <w:vAlign w:val="bottom"/>
            <w:hideMark/>
          </w:tcPr>
          <w:p w14:paraId="10998A6C" w14:textId="77777777" w:rsidR="00243A5B" w:rsidRPr="00243A5B" w:rsidRDefault="00243A5B" w:rsidP="00243A5B">
            <w:pPr>
              <w:tabs>
                <w:tab w:val="clear" w:pos="567"/>
              </w:tabs>
              <w:spacing w:after="0" w:line="240" w:lineRule="auto"/>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Couple with two children</w:t>
            </w:r>
          </w:p>
        </w:tc>
        <w:tc>
          <w:tcPr>
            <w:tcW w:w="720" w:type="dxa"/>
            <w:tcBorders>
              <w:top w:val="nil"/>
              <w:left w:val="nil"/>
              <w:bottom w:val="single" w:sz="4" w:space="0" w:color="auto"/>
              <w:right w:val="nil"/>
            </w:tcBorders>
            <w:shd w:val="clear" w:color="auto" w:fill="auto"/>
            <w:vAlign w:val="bottom"/>
            <w:hideMark/>
          </w:tcPr>
          <w:p w14:paraId="6D600D40"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1 240</w:t>
            </w:r>
          </w:p>
        </w:tc>
        <w:tc>
          <w:tcPr>
            <w:tcW w:w="780" w:type="dxa"/>
            <w:tcBorders>
              <w:top w:val="nil"/>
              <w:left w:val="nil"/>
              <w:bottom w:val="single" w:sz="4" w:space="0" w:color="auto"/>
              <w:right w:val="nil"/>
            </w:tcBorders>
            <w:shd w:val="clear" w:color="auto" w:fill="auto"/>
            <w:vAlign w:val="bottom"/>
            <w:hideMark/>
          </w:tcPr>
          <w:p w14:paraId="18E93D0C"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1 018</w:t>
            </w:r>
          </w:p>
        </w:tc>
        <w:tc>
          <w:tcPr>
            <w:tcW w:w="660" w:type="dxa"/>
            <w:tcBorders>
              <w:top w:val="nil"/>
              <w:left w:val="nil"/>
              <w:bottom w:val="single" w:sz="4" w:space="0" w:color="auto"/>
              <w:right w:val="nil"/>
            </w:tcBorders>
            <w:shd w:val="clear" w:color="auto" w:fill="auto"/>
            <w:vAlign w:val="bottom"/>
            <w:hideMark/>
          </w:tcPr>
          <w:p w14:paraId="46D7C54F"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999</w:t>
            </w:r>
          </w:p>
        </w:tc>
        <w:tc>
          <w:tcPr>
            <w:tcW w:w="840" w:type="dxa"/>
            <w:tcBorders>
              <w:top w:val="nil"/>
              <w:left w:val="nil"/>
              <w:bottom w:val="single" w:sz="4" w:space="0" w:color="auto"/>
              <w:right w:val="nil"/>
            </w:tcBorders>
            <w:shd w:val="clear" w:color="auto" w:fill="auto"/>
            <w:vAlign w:val="bottom"/>
            <w:hideMark/>
          </w:tcPr>
          <w:p w14:paraId="5EB93A45"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815 (d)</w:t>
            </w:r>
          </w:p>
        </w:tc>
        <w:tc>
          <w:tcPr>
            <w:tcW w:w="720" w:type="dxa"/>
            <w:tcBorders>
              <w:top w:val="nil"/>
              <w:left w:val="nil"/>
              <w:bottom w:val="single" w:sz="4" w:space="0" w:color="auto"/>
              <w:right w:val="nil"/>
            </w:tcBorders>
            <w:shd w:val="clear" w:color="auto" w:fill="auto"/>
            <w:vAlign w:val="bottom"/>
            <w:hideMark/>
          </w:tcPr>
          <w:p w14:paraId="02FD495A"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1 580</w:t>
            </w:r>
          </w:p>
        </w:tc>
        <w:tc>
          <w:tcPr>
            <w:tcW w:w="800" w:type="dxa"/>
            <w:tcBorders>
              <w:top w:val="nil"/>
              <w:left w:val="nil"/>
              <w:bottom w:val="single" w:sz="4" w:space="0" w:color="auto"/>
              <w:right w:val="nil"/>
            </w:tcBorders>
            <w:shd w:val="clear" w:color="auto" w:fill="auto"/>
            <w:vAlign w:val="bottom"/>
            <w:hideMark/>
          </w:tcPr>
          <w:p w14:paraId="49F3C4D5"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 xml:space="preserve">  994</w:t>
            </w:r>
          </w:p>
        </w:tc>
        <w:tc>
          <w:tcPr>
            <w:tcW w:w="720" w:type="dxa"/>
            <w:tcBorders>
              <w:top w:val="nil"/>
              <w:left w:val="nil"/>
              <w:bottom w:val="single" w:sz="4" w:space="0" w:color="auto"/>
              <w:right w:val="nil"/>
            </w:tcBorders>
            <w:shd w:val="clear" w:color="auto" w:fill="auto"/>
            <w:vAlign w:val="bottom"/>
            <w:hideMark/>
          </w:tcPr>
          <w:p w14:paraId="27D2EFA2"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1 119</w:t>
            </w:r>
          </w:p>
        </w:tc>
        <w:tc>
          <w:tcPr>
            <w:tcW w:w="720" w:type="dxa"/>
            <w:tcBorders>
              <w:top w:val="nil"/>
              <w:left w:val="nil"/>
              <w:bottom w:val="single" w:sz="4" w:space="0" w:color="auto"/>
              <w:right w:val="nil"/>
            </w:tcBorders>
            <w:shd w:val="clear" w:color="auto" w:fill="auto"/>
            <w:vAlign w:val="bottom"/>
            <w:hideMark/>
          </w:tcPr>
          <w:p w14:paraId="623FD292" w14:textId="77777777" w:rsidR="00243A5B" w:rsidRPr="00243A5B" w:rsidRDefault="00243A5B" w:rsidP="00243A5B">
            <w:pPr>
              <w:tabs>
                <w:tab w:val="clear" w:pos="567"/>
              </w:tabs>
              <w:spacing w:after="0" w:line="240" w:lineRule="auto"/>
              <w:jc w:val="right"/>
              <w:rPr>
                <w:rFonts w:ascii="Calibri" w:eastAsia="Times New Roman" w:hAnsi="Calibri" w:cs="Calibri"/>
                <w:color w:val="000000"/>
                <w:sz w:val="20"/>
                <w:szCs w:val="20"/>
                <w:lang w:eastAsia="en-AU"/>
              </w:rPr>
            </w:pPr>
            <w:r w:rsidRPr="00243A5B">
              <w:rPr>
                <w:rFonts w:ascii="Calibri" w:eastAsia="Times New Roman" w:hAnsi="Calibri" w:cs="Calibri"/>
                <w:color w:val="000000"/>
                <w:sz w:val="20"/>
                <w:szCs w:val="20"/>
                <w:lang w:eastAsia="en-AU"/>
              </w:rPr>
              <w:t>1 329</w:t>
            </w:r>
          </w:p>
        </w:tc>
      </w:tr>
    </w:tbl>
    <w:p w14:paraId="7510418B" w14:textId="275360B5" w:rsidR="00DB1D7E" w:rsidRDefault="00DB1D7E" w:rsidP="000A3712">
      <w:pPr>
        <w:pStyle w:val="CGCTableFootnote"/>
      </w:pPr>
      <w:r>
        <w:t>(a)</w:t>
      </w:r>
      <w:r>
        <w:tab/>
        <w:t xml:space="preserve">The limits shown in the table are the income limits for ‘Priority Access’ housing which is for people most in </w:t>
      </w:r>
      <w:r w:rsidRPr="000A3712">
        <w:t>need</w:t>
      </w:r>
      <w:r>
        <w:t xml:space="preserve"> of housing. Higher limits apply to ‘</w:t>
      </w:r>
      <w:r w:rsidRPr="00476FF1">
        <w:t>Register of Interest</w:t>
      </w:r>
      <w:r>
        <w:t>’</w:t>
      </w:r>
      <w:r w:rsidRPr="00476FF1">
        <w:t xml:space="preserve"> housing</w:t>
      </w:r>
      <w:r>
        <w:t xml:space="preserve"> which is </w:t>
      </w:r>
      <w:r w:rsidRPr="0094776B">
        <w:t>for people who do not have an urgent housing need</w:t>
      </w:r>
      <w:r>
        <w:t>.</w:t>
      </w:r>
    </w:p>
    <w:p w14:paraId="0BAF6184" w14:textId="77777777" w:rsidR="00DB1D7E" w:rsidRDefault="00DB1D7E" w:rsidP="000A3712">
      <w:pPr>
        <w:pStyle w:val="CGCTableFootnote"/>
      </w:pPr>
      <w:r>
        <w:t>(b)</w:t>
      </w:r>
      <w:r>
        <w:tab/>
      </w:r>
      <w:r w:rsidRPr="00D06DFC">
        <w:t>Around 40% more for North West and remote areas.</w:t>
      </w:r>
      <w:r>
        <w:t xml:space="preserve"> Higher income limits apply for people with a disability.</w:t>
      </w:r>
    </w:p>
    <w:p w14:paraId="623CCDB5" w14:textId="77777777" w:rsidR="00DB1D7E" w:rsidRPr="00D06DFC" w:rsidRDefault="00DB1D7E" w:rsidP="000A3712">
      <w:pPr>
        <w:pStyle w:val="CGCTableFootnote"/>
      </w:pPr>
      <w:r w:rsidRPr="00D06DFC">
        <w:t>(</w:t>
      </w:r>
      <w:r>
        <w:t>c</w:t>
      </w:r>
      <w:r w:rsidRPr="00D06DFC">
        <w:t>)</w:t>
      </w:r>
      <w:r w:rsidRPr="00D06DFC">
        <w:tab/>
        <w:t xml:space="preserve">$580 for single income, $670 for dual income. </w:t>
      </w:r>
    </w:p>
    <w:p w14:paraId="51AC80E7" w14:textId="77777777" w:rsidR="00DB1D7E" w:rsidRDefault="00DB1D7E" w:rsidP="000A3712">
      <w:pPr>
        <w:pStyle w:val="CGCTableFootnote"/>
      </w:pPr>
      <w:r w:rsidRPr="00D06DFC">
        <w:t>(</w:t>
      </w:r>
      <w:r>
        <w:t>d</w:t>
      </w:r>
      <w:r w:rsidRPr="00D06DFC">
        <w:t>)</w:t>
      </w:r>
      <w:r w:rsidRPr="00D06DFC">
        <w:tab/>
        <w:t xml:space="preserve">$815 for </w:t>
      </w:r>
      <w:r w:rsidRPr="000A3712">
        <w:t>single</w:t>
      </w:r>
      <w:r w:rsidRPr="00D06DFC">
        <w:t xml:space="preserve"> income, $930 for dual income. </w:t>
      </w:r>
    </w:p>
    <w:p w14:paraId="61DA0A30" w14:textId="77777777" w:rsidR="00DB1D7E" w:rsidRPr="00BB2D1F" w:rsidRDefault="00DB1D7E" w:rsidP="00DB1D7E">
      <w:pPr>
        <w:pStyle w:val="CGCTableFootnote"/>
      </w:pPr>
      <w:r>
        <w:t>(e)</w:t>
      </w:r>
      <w:r>
        <w:tab/>
        <w:t xml:space="preserve">Eligibility for public housing is limited to Commonwealth Health Care Card holders, but income limits also apply. For consistency purposes, the income limits provided by the Tasmanian </w:t>
      </w:r>
      <w:r w:rsidRPr="00BB2D1F">
        <w:t>Department of Treasury and Finance</w:t>
      </w:r>
      <w:r>
        <w:t xml:space="preserve"> in April 2017 in their response to </w:t>
      </w:r>
      <w:r w:rsidRPr="008346A3">
        <w:rPr>
          <w:rStyle w:val="Hyperlink"/>
          <w:color w:val="auto"/>
          <w:u w:val="none"/>
        </w:rPr>
        <w:t xml:space="preserve">the </w:t>
      </w:r>
      <w:r>
        <w:t>Commission staff’s review of what States do (</w:t>
      </w:r>
      <w:r w:rsidR="00AA2621">
        <w:t xml:space="preserve">Staff Research Paper </w:t>
      </w:r>
      <w:r w:rsidRPr="00356477">
        <w:rPr>
          <w:i/>
        </w:rPr>
        <w:t>CGC 2016-14-S</w:t>
      </w:r>
      <w:r w:rsidR="00AA2621">
        <w:t>,</w:t>
      </w:r>
      <w:r w:rsidRPr="0068542B">
        <w:t xml:space="preserve"> </w:t>
      </w:r>
      <w:r w:rsidRPr="008346A3">
        <w:rPr>
          <w:i/>
        </w:rPr>
        <w:t>What States Do - Housing Services</w:t>
      </w:r>
      <w:r>
        <w:t xml:space="preserve">) have been included. Community housing providers may have </w:t>
      </w:r>
      <w:r w:rsidRPr="00D1594F">
        <w:t>different eligibility criteria</w:t>
      </w:r>
      <w:r>
        <w:t>.</w:t>
      </w:r>
    </w:p>
    <w:p w14:paraId="04C5BF57" w14:textId="77777777" w:rsidR="00DB1D7E" w:rsidRDefault="00DB1D7E" w:rsidP="000A3712">
      <w:pPr>
        <w:pStyle w:val="CGCTableFootnote"/>
      </w:pPr>
      <w:r>
        <w:t>(f)</w:t>
      </w:r>
      <w:r>
        <w:tab/>
        <w:t xml:space="preserve">Eligibility </w:t>
      </w:r>
      <w:r w:rsidRPr="000A3712">
        <w:t>limits</w:t>
      </w:r>
      <w:r>
        <w:t xml:space="preserve"> are public housing eligibility limits.</w:t>
      </w:r>
    </w:p>
    <w:p w14:paraId="314A0F4C" w14:textId="77777777" w:rsidR="00DB1D7E" w:rsidRDefault="00DB1D7E" w:rsidP="00DB1D7E">
      <w:pPr>
        <w:pStyle w:val="CGCTableFootnote"/>
      </w:pPr>
      <w:r w:rsidRPr="002D5ECA">
        <w:t>Source:</w:t>
      </w:r>
      <w:r w:rsidRPr="002D5ECA">
        <w:tab/>
        <w:t xml:space="preserve">State </w:t>
      </w:r>
      <w:r>
        <w:t>government</w:t>
      </w:r>
      <w:r w:rsidRPr="002D5ECA">
        <w:t xml:space="preserve"> websites</w:t>
      </w:r>
      <w:r>
        <w:t>, March 2018</w:t>
      </w:r>
      <w:r w:rsidRPr="002D5ECA">
        <w:t>.</w:t>
      </w:r>
    </w:p>
    <w:p w14:paraId="1DC596DB" w14:textId="703F0D83" w:rsidR="001753B4" w:rsidRDefault="001753B4" w:rsidP="00F75C43">
      <w:pPr>
        <w:pStyle w:val="CGCNumberedPara"/>
      </w:pPr>
      <w:r>
        <w:t xml:space="preserve">While the AIHW data also contain dissections of households in social housing by </w:t>
      </w:r>
      <w:r w:rsidR="00F75C43">
        <w:t>equivalised t</w:t>
      </w:r>
      <w:r w:rsidR="00F75C43" w:rsidRPr="00F75C43">
        <w:t xml:space="preserve">otal </w:t>
      </w:r>
      <w:r w:rsidR="00F75C43">
        <w:t>h</w:t>
      </w:r>
      <w:r w:rsidR="00F75C43" w:rsidRPr="00F75C43">
        <w:t xml:space="preserve">ousehold </w:t>
      </w:r>
      <w:r w:rsidR="00F75C43">
        <w:t>i</w:t>
      </w:r>
      <w:r w:rsidR="00F75C43" w:rsidRPr="00F75C43">
        <w:t>ncome</w:t>
      </w:r>
      <w:r>
        <w:t>, Indigen</w:t>
      </w:r>
      <w:r w:rsidR="00BA19C1">
        <w:t>ous status</w:t>
      </w:r>
      <w:r>
        <w:t xml:space="preserve"> and remoteness, there are significant gaps in the data for some States. For example,</w:t>
      </w:r>
      <w:r w:rsidR="00556826">
        <w:t xml:space="preserve"> </w:t>
      </w:r>
      <w:r w:rsidR="00556826" w:rsidRPr="00F359D1">
        <w:t xml:space="preserve">households with unknown Indigenous status </w:t>
      </w:r>
      <w:r w:rsidR="00556826">
        <w:t xml:space="preserve">account for </w:t>
      </w:r>
      <w:r w:rsidR="00A3497D">
        <w:t>close to 30%</w:t>
      </w:r>
      <w:r w:rsidR="00556826" w:rsidRPr="00F359D1">
        <w:t xml:space="preserve"> of public housing households</w:t>
      </w:r>
      <w:r w:rsidR="00556826" w:rsidRPr="00556826">
        <w:t xml:space="preserve"> </w:t>
      </w:r>
      <w:r w:rsidR="00556826">
        <w:t>in</w:t>
      </w:r>
      <w:r w:rsidR="00556826" w:rsidRPr="00F359D1">
        <w:t xml:space="preserve"> the AIHW data</w:t>
      </w:r>
      <w:r w:rsidR="00A90333">
        <w:rPr>
          <w:rStyle w:val="FootnoteReference"/>
        </w:rPr>
        <w:footnoteReference w:id="5"/>
      </w:r>
      <w:r w:rsidR="00556826" w:rsidRPr="00F359D1">
        <w:t xml:space="preserve"> (</w:t>
      </w:r>
      <w:r w:rsidR="00556826">
        <w:t xml:space="preserve">compared to </w:t>
      </w:r>
      <w:r w:rsidR="00556826" w:rsidRPr="00F359D1">
        <w:t>0.9% of the Census total households number</w:t>
      </w:r>
      <w:r w:rsidR="001A01FB">
        <w:t>,</w:t>
      </w:r>
      <w:r w:rsidR="00556826" w:rsidRPr="00F359D1">
        <w:rPr>
          <w:rStyle w:val="FootnoteReference"/>
        </w:rPr>
        <w:footnoteReference w:id="6"/>
      </w:r>
      <w:r w:rsidR="00556826" w:rsidRPr="00F359D1">
        <w:t xml:space="preserve"> although the Census P</w:t>
      </w:r>
      <w:r w:rsidR="00556826">
        <w:t xml:space="preserve">ost-Enumeration </w:t>
      </w:r>
      <w:r w:rsidR="00556826" w:rsidRPr="00F359D1">
        <w:t>S</w:t>
      </w:r>
      <w:r w:rsidR="00556826">
        <w:t>urvey</w:t>
      </w:r>
      <w:r w:rsidR="00556826" w:rsidRPr="00F359D1">
        <w:t xml:space="preserve"> indicates a significant Indigenous undercount)</w:t>
      </w:r>
      <w:r w:rsidR="00556826">
        <w:t xml:space="preserve">. </w:t>
      </w:r>
      <w:r w:rsidR="0054423F">
        <w:t xml:space="preserve">Nor are there </w:t>
      </w:r>
      <w:r w:rsidR="00FF1A8B">
        <w:t xml:space="preserve">comprehensive </w:t>
      </w:r>
      <w:r w:rsidR="0054423F">
        <w:t>dissections by socio</w:t>
      </w:r>
      <w:r w:rsidR="00A3497D">
        <w:noBreakHyphen/>
      </w:r>
      <w:r w:rsidR="0054423F">
        <w:t>economic characteristic</w:t>
      </w:r>
      <w:r w:rsidR="00A3497D">
        <w:t>s</w:t>
      </w:r>
      <w:r w:rsidR="0054423F">
        <w:t xml:space="preserve"> of households in mainstream community housing in Queensland </w:t>
      </w:r>
      <w:r w:rsidR="00FF1A8B">
        <w:rPr>
          <w:rFonts w:ascii="Calibri" w:hAnsi="Calibri"/>
          <w:color w:val="1F497D"/>
        </w:rPr>
        <w:t xml:space="preserve">while no </w:t>
      </w:r>
      <w:r w:rsidR="00FF1A8B">
        <w:t xml:space="preserve">dissections are available for </w:t>
      </w:r>
      <w:r w:rsidR="0054423F">
        <w:t xml:space="preserve">mainstream community housing and </w:t>
      </w:r>
      <w:r w:rsidR="00FF1A8B">
        <w:t>SOMIH</w:t>
      </w:r>
      <w:r w:rsidR="0054423F">
        <w:t xml:space="preserve"> in the Northern Territory. </w:t>
      </w:r>
    </w:p>
    <w:p w14:paraId="40391698" w14:textId="77777777" w:rsidR="0054423F" w:rsidRDefault="0054423F" w:rsidP="009360BF">
      <w:pPr>
        <w:pStyle w:val="CGCNumberedPara"/>
      </w:pPr>
      <w:r>
        <w:t>Overall, staff have concluded:</w:t>
      </w:r>
    </w:p>
    <w:p w14:paraId="69248BB0" w14:textId="77777777" w:rsidR="0054423F" w:rsidRDefault="00A3497D" w:rsidP="0054423F">
      <w:pPr>
        <w:pStyle w:val="CGCBulletlist"/>
      </w:pPr>
      <w:r>
        <w:lastRenderedPageBreak/>
        <w:t xml:space="preserve">The </w:t>
      </w:r>
      <w:r w:rsidR="0054423F">
        <w:t>AIHW data provide a more complete picture of the total number of social housing dwellings, especially for Indigenous community housing</w:t>
      </w:r>
      <w:r>
        <w:t>.</w:t>
      </w:r>
      <w:r w:rsidR="0054423F">
        <w:t xml:space="preserve"> </w:t>
      </w:r>
    </w:p>
    <w:p w14:paraId="3A0FC597" w14:textId="2AD89F9B" w:rsidR="00556826" w:rsidRDefault="00A3497D" w:rsidP="00556826">
      <w:pPr>
        <w:pStyle w:val="CGCBulletlist"/>
      </w:pPr>
      <w:r>
        <w:t xml:space="preserve">The </w:t>
      </w:r>
      <w:r w:rsidR="0054423F">
        <w:t xml:space="preserve">Census data </w:t>
      </w:r>
      <w:r w:rsidR="00FF6E5C">
        <w:t xml:space="preserve">generally </w:t>
      </w:r>
      <w:r w:rsidR="0054423F">
        <w:t xml:space="preserve">provide a more reliable </w:t>
      </w:r>
      <w:r w:rsidR="00556826">
        <w:t xml:space="preserve">and </w:t>
      </w:r>
      <w:r w:rsidR="00556826" w:rsidRPr="00F359D1">
        <w:t xml:space="preserve">more comprehensive </w:t>
      </w:r>
      <w:r w:rsidR="00123A1D">
        <w:t xml:space="preserve">picture of the </w:t>
      </w:r>
      <w:r w:rsidR="00556826" w:rsidRPr="00F359D1">
        <w:t>socio</w:t>
      </w:r>
      <w:r w:rsidR="00556826">
        <w:noBreakHyphen/>
      </w:r>
      <w:r w:rsidR="00556826" w:rsidRPr="00F359D1">
        <w:t>economic characteristic</w:t>
      </w:r>
      <w:r w:rsidR="00FF1A8B">
        <w:t>s</w:t>
      </w:r>
      <w:r w:rsidR="00556826" w:rsidRPr="00F359D1">
        <w:t xml:space="preserve"> (income, Indigen</w:t>
      </w:r>
      <w:r w:rsidR="00BA19C1">
        <w:t>ous status</w:t>
      </w:r>
      <w:r w:rsidR="00556826" w:rsidRPr="00F359D1">
        <w:t xml:space="preserve"> and remoteness) </w:t>
      </w:r>
      <w:r w:rsidR="00123A1D">
        <w:t xml:space="preserve">of households in social housing </w:t>
      </w:r>
      <w:r w:rsidR="00556826" w:rsidRPr="00F359D1">
        <w:t>than the AIHW data</w:t>
      </w:r>
      <w:r w:rsidR="00123A1D">
        <w:t>. They also</w:t>
      </w:r>
      <w:r w:rsidR="00556826" w:rsidRPr="00107B33">
        <w:t xml:space="preserve"> provide a comprehensive breakdown by rent range, thereby enabling rents to be taken into account in the housing revenue assessment.</w:t>
      </w:r>
    </w:p>
    <w:p w14:paraId="0A1C05DB" w14:textId="77777777" w:rsidR="00556826" w:rsidRDefault="00556826" w:rsidP="009360BF">
      <w:pPr>
        <w:pStyle w:val="CGCNumberedPara"/>
      </w:pPr>
      <w:r>
        <w:t>Staff, therefore, propose combin</w:t>
      </w:r>
      <w:r w:rsidR="00A83F62">
        <w:t>ing</w:t>
      </w:r>
      <w:r>
        <w:t xml:space="preserve"> the more reliable features of both data sets. </w:t>
      </w:r>
      <w:r w:rsidR="00840434">
        <w:t xml:space="preserve">Under this approach, </w:t>
      </w:r>
      <w:r w:rsidR="00840434" w:rsidRPr="00F136C8">
        <w:t xml:space="preserve">the </w:t>
      </w:r>
      <w:r w:rsidR="00840434">
        <w:t xml:space="preserve">more detailed </w:t>
      </w:r>
      <w:r w:rsidR="00840434" w:rsidRPr="00F136C8">
        <w:t xml:space="preserve">Census data </w:t>
      </w:r>
      <w:r w:rsidR="00840434">
        <w:t xml:space="preserve">would be scaled up </w:t>
      </w:r>
      <w:r w:rsidR="00840434" w:rsidRPr="00F136C8">
        <w:t xml:space="preserve">to accord, to the extent possible and appropriate, with available AIHW </w:t>
      </w:r>
      <w:r w:rsidR="00BB148C">
        <w:t xml:space="preserve">data for each State on households in </w:t>
      </w:r>
      <w:r w:rsidR="00840434" w:rsidRPr="00F136C8">
        <w:t xml:space="preserve">State housing </w:t>
      </w:r>
      <w:r w:rsidR="00840434">
        <w:t xml:space="preserve">(public housing plus </w:t>
      </w:r>
      <w:r w:rsidR="00BB2057">
        <w:t>SOMIH</w:t>
      </w:r>
      <w:r w:rsidR="00840434">
        <w:t xml:space="preserve">) </w:t>
      </w:r>
      <w:r w:rsidR="00840434" w:rsidRPr="00F136C8">
        <w:t xml:space="preserve">and community housing </w:t>
      </w:r>
      <w:r w:rsidR="00840434">
        <w:t xml:space="preserve">(mainstream community housing plus </w:t>
      </w:r>
      <w:r w:rsidR="006065D0">
        <w:t>ICHOs</w:t>
      </w:r>
      <w:r w:rsidR="00BB148C">
        <w:t>)</w:t>
      </w:r>
      <w:r w:rsidR="00840434" w:rsidRPr="00F136C8">
        <w:t>.</w:t>
      </w:r>
      <w:r w:rsidR="00D35EA4">
        <w:t xml:space="preserve"> The scaling up could be done in every update because the AIHW data are available annually.</w:t>
      </w:r>
    </w:p>
    <w:p w14:paraId="7019476C" w14:textId="77777777" w:rsidR="00840434" w:rsidRDefault="00BB148C" w:rsidP="009360BF">
      <w:pPr>
        <w:pStyle w:val="CGCNumberedPara"/>
      </w:pPr>
      <w:r>
        <w:t xml:space="preserve">It is acknowledged this approach </w:t>
      </w:r>
      <w:r w:rsidR="00904163">
        <w:t xml:space="preserve">applies </w:t>
      </w:r>
      <w:r>
        <w:t xml:space="preserve">the socio-demographic characteristics of </w:t>
      </w:r>
      <w:r w:rsidR="00904163">
        <w:t xml:space="preserve">the households covered by the Census data to the extra </w:t>
      </w:r>
      <w:r>
        <w:t xml:space="preserve">households </w:t>
      </w:r>
      <w:r w:rsidR="00904163">
        <w:t xml:space="preserve">included by the scaling process. Staff further propose to test the validity of that assumption and make adjustments to mitigate any </w:t>
      </w:r>
      <w:r w:rsidR="0046250F">
        <w:t>undue</w:t>
      </w:r>
      <w:r w:rsidR="00904163">
        <w:t xml:space="preserve"> effects by reference to the detailed socio</w:t>
      </w:r>
      <w:r w:rsidR="00D35EA4">
        <w:noBreakHyphen/>
      </w:r>
      <w:r w:rsidR="00904163">
        <w:t xml:space="preserve">economic data in the AIHW collections </w:t>
      </w:r>
      <w:r w:rsidR="00D35EA4">
        <w:t>that</w:t>
      </w:r>
      <w:r w:rsidR="00904163">
        <w:t xml:space="preserve"> are considered reliable and comprehensive. </w:t>
      </w:r>
      <w:r w:rsidR="00A83F62">
        <w:t>Sufficient work has not yet been completed to determine what, if any, adjustments might be desirable.</w:t>
      </w:r>
    </w:p>
    <w:p w14:paraId="6C521655" w14:textId="381CB51D" w:rsidR="00555ED1" w:rsidRDefault="00C4127E" w:rsidP="00356477">
      <w:pPr>
        <w:pStyle w:val="CGCNumberedPara"/>
      </w:pPr>
      <w:r>
        <w:t>The revenue assessment would require a similar scaling of</w:t>
      </w:r>
      <w:r w:rsidRPr="00C4127E">
        <w:t xml:space="preserve"> </w:t>
      </w:r>
      <w:r>
        <w:t>Census rent data to accord with available AIHW data</w:t>
      </w:r>
      <w:r w:rsidR="00C67814">
        <w:t>.</w:t>
      </w:r>
    </w:p>
    <w:tbl>
      <w:tblPr>
        <w:tblW w:w="0" w:type="auto"/>
        <w:shd w:val="clear" w:color="auto" w:fill="D9F3E6"/>
        <w:tblLayout w:type="fixed"/>
        <w:tblLook w:val="0000" w:firstRow="0" w:lastRow="0" w:firstColumn="0" w:lastColumn="0" w:noHBand="0" w:noVBand="0"/>
      </w:tblPr>
      <w:tblGrid>
        <w:gridCol w:w="9167"/>
      </w:tblGrid>
      <w:tr w:rsidR="00C4127E" w:rsidRPr="00E07022" w14:paraId="56038821" w14:textId="77777777" w:rsidTr="00741623">
        <w:tc>
          <w:tcPr>
            <w:tcW w:w="9167" w:type="dxa"/>
            <w:shd w:val="clear" w:color="auto" w:fill="D9F3E6"/>
          </w:tcPr>
          <w:p w14:paraId="242FBA1C" w14:textId="77777777" w:rsidR="00C4127E" w:rsidRPr="00E07022" w:rsidRDefault="00C4127E" w:rsidP="00741623">
            <w:r w:rsidRPr="00E07022">
              <w:t>Staff propose to recommend the Commission:</w:t>
            </w:r>
          </w:p>
        </w:tc>
      </w:tr>
      <w:tr w:rsidR="00C4127E" w:rsidRPr="00E07022" w14:paraId="751F2E73" w14:textId="77777777" w:rsidTr="00741623">
        <w:tc>
          <w:tcPr>
            <w:tcW w:w="9167" w:type="dxa"/>
            <w:shd w:val="clear" w:color="auto" w:fill="D9F3E6"/>
          </w:tcPr>
          <w:p w14:paraId="608A5086" w14:textId="405CDF98" w:rsidR="00C4127E" w:rsidRDefault="00C4127E" w:rsidP="00741623">
            <w:pPr>
              <w:pStyle w:val="CGCBulletlist"/>
            </w:pPr>
            <w:r>
              <w:t>agree to</w:t>
            </w:r>
            <w:r w:rsidRPr="00F136C8">
              <w:t xml:space="preserve"> </w:t>
            </w:r>
            <w:r>
              <w:t xml:space="preserve">develop an approach which </w:t>
            </w:r>
            <w:r w:rsidRPr="00F136C8">
              <w:t>scal</w:t>
            </w:r>
            <w:r>
              <w:t>es</w:t>
            </w:r>
            <w:r w:rsidRPr="00F136C8">
              <w:t xml:space="preserve"> the </w:t>
            </w:r>
            <w:r>
              <w:t xml:space="preserve">more detailed </w:t>
            </w:r>
            <w:r w:rsidRPr="00F136C8">
              <w:t xml:space="preserve">Census data to accord, to the extent possible and appropriate, with available AIHW </w:t>
            </w:r>
            <w:r>
              <w:t xml:space="preserve">data for each State on households in </w:t>
            </w:r>
            <w:r w:rsidRPr="00F136C8">
              <w:t xml:space="preserve">State housing </w:t>
            </w:r>
            <w:r>
              <w:t xml:space="preserve">(public housing plus </w:t>
            </w:r>
            <w:r w:rsidR="00BB2057">
              <w:t>SOMIH</w:t>
            </w:r>
            <w:r>
              <w:t xml:space="preserve">) </w:t>
            </w:r>
            <w:r w:rsidRPr="00F136C8">
              <w:t xml:space="preserve">and community housing </w:t>
            </w:r>
            <w:r>
              <w:t xml:space="preserve">(mainstream community housing plus </w:t>
            </w:r>
            <w:r w:rsidR="006065D0">
              <w:t>ICHOs</w:t>
            </w:r>
            <w:r>
              <w:t>)</w:t>
            </w:r>
            <w:r w:rsidRPr="00F136C8">
              <w:t>.</w:t>
            </w:r>
          </w:p>
          <w:p w14:paraId="35400C28" w14:textId="45FA9DB0" w:rsidR="00C4127E" w:rsidRPr="00E07022" w:rsidRDefault="00C4127E" w:rsidP="00741623">
            <w:pPr>
              <w:pStyle w:val="CGCBulletlist"/>
            </w:pPr>
            <w:r>
              <w:t>agree to staff undertaking further investigations into the possible scaling of Census rent data to accord with available AIHW data.</w:t>
            </w:r>
          </w:p>
        </w:tc>
      </w:tr>
    </w:tbl>
    <w:p w14:paraId="4845DC66" w14:textId="77777777" w:rsidR="009C42D7" w:rsidRDefault="009C42D7" w:rsidP="009C42D7">
      <w:pPr>
        <w:pStyle w:val="Heading4"/>
      </w:pPr>
      <w:bookmarkStart w:id="44" w:name="_Toc511634838"/>
      <w:bookmarkStart w:id="45" w:name="_Toc511732229"/>
      <w:r>
        <w:t>The impact of the cost of land</w:t>
      </w:r>
      <w:bookmarkEnd w:id="44"/>
      <w:bookmarkEnd w:id="45"/>
    </w:p>
    <w:p w14:paraId="3B25212D" w14:textId="77777777" w:rsidR="003915B8" w:rsidRPr="008346A3" w:rsidRDefault="008346A3" w:rsidP="003915B8">
      <w:pPr>
        <w:pStyle w:val="CGCNumberedPara"/>
        <w:numPr>
          <w:ilvl w:val="1"/>
          <w:numId w:val="3"/>
        </w:numPr>
        <w:rPr>
          <w:rStyle w:val="Hyperlink"/>
          <w:color w:val="auto"/>
          <w:u w:val="none"/>
        </w:rPr>
      </w:pPr>
      <w:r w:rsidRPr="008346A3">
        <w:rPr>
          <w:rStyle w:val="Hyperlink"/>
          <w:color w:val="auto"/>
          <w:u w:val="none"/>
        </w:rPr>
        <w:t xml:space="preserve">The 2015 Review assessment of investment in land is on </w:t>
      </w:r>
      <w:r w:rsidR="00171224">
        <w:rPr>
          <w:rStyle w:val="Hyperlink"/>
          <w:color w:val="auto"/>
          <w:u w:val="none"/>
        </w:rPr>
        <w:t>an EPC</w:t>
      </w:r>
      <w:r w:rsidRPr="008346A3">
        <w:rPr>
          <w:rStyle w:val="Hyperlink"/>
          <w:color w:val="auto"/>
          <w:u w:val="none"/>
        </w:rPr>
        <w:t xml:space="preserve"> basis.</w:t>
      </w:r>
      <w:r w:rsidR="006631EA">
        <w:rPr>
          <w:rStyle w:val="Hyperlink"/>
          <w:color w:val="auto"/>
          <w:u w:val="none"/>
        </w:rPr>
        <w:t xml:space="preserve"> </w:t>
      </w:r>
      <w:r w:rsidR="003915B8" w:rsidRPr="008346A3">
        <w:rPr>
          <w:rStyle w:val="Hyperlink"/>
          <w:color w:val="auto"/>
          <w:u w:val="none"/>
        </w:rPr>
        <w:t xml:space="preserve">In its response to the </w:t>
      </w:r>
      <w:r w:rsidR="003915B8">
        <w:t>Commission staff’s review of what States do (</w:t>
      </w:r>
      <w:r w:rsidR="00AA2621">
        <w:t xml:space="preserve">Staff research paper </w:t>
      </w:r>
      <w:r w:rsidR="003915B8" w:rsidRPr="00356477">
        <w:rPr>
          <w:i/>
        </w:rPr>
        <w:t>CGC</w:t>
      </w:r>
      <w:r w:rsidR="00AA2621" w:rsidRPr="00356477">
        <w:rPr>
          <w:i/>
        </w:rPr>
        <w:t> </w:t>
      </w:r>
      <w:r w:rsidR="003915B8" w:rsidRPr="00356477">
        <w:rPr>
          <w:i/>
        </w:rPr>
        <w:t>2016</w:t>
      </w:r>
      <w:r w:rsidR="00AA2621" w:rsidRPr="00356477">
        <w:rPr>
          <w:i/>
        </w:rPr>
        <w:noBreakHyphen/>
      </w:r>
      <w:r w:rsidR="003915B8" w:rsidRPr="00356477">
        <w:rPr>
          <w:i/>
        </w:rPr>
        <w:t>14</w:t>
      </w:r>
      <w:r w:rsidR="00AA2621" w:rsidRPr="00356477">
        <w:rPr>
          <w:i/>
        </w:rPr>
        <w:noBreakHyphen/>
      </w:r>
      <w:r w:rsidR="003915B8" w:rsidRPr="00356477">
        <w:rPr>
          <w:i/>
        </w:rPr>
        <w:t>S</w:t>
      </w:r>
      <w:r w:rsidR="00AA2621" w:rsidRPr="00356477">
        <w:rPr>
          <w:i/>
        </w:rPr>
        <w:t>,</w:t>
      </w:r>
      <w:r w:rsidR="003915B8" w:rsidRPr="0068542B">
        <w:t xml:space="preserve"> </w:t>
      </w:r>
      <w:r w:rsidR="003915B8" w:rsidRPr="008346A3">
        <w:rPr>
          <w:i/>
        </w:rPr>
        <w:t>What States Do - Housing Services</w:t>
      </w:r>
      <w:r w:rsidR="003915B8">
        <w:t xml:space="preserve">), New South Wales argued </w:t>
      </w:r>
      <w:r w:rsidR="006631EA">
        <w:t xml:space="preserve">that </w:t>
      </w:r>
      <w:r w:rsidR="003915B8" w:rsidRPr="008346A3">
        <w:rPr>
          <w:rStyle w:val="Hyperlink"/>
          <w:color w:val="auto"/>
          <w:u w:val="none"/>
        </w:rPr>
        <w:t>the user cost of land is the most significant element in the provision of social housing in urban areas. It argued that higher underlying land prices</w:t>
      </w:r>
      <w:r w:rsidR="003915B8" w:rsidRPr="00FF1A19">
        <w:t xml:space="preserve"> </w:t>
      </w:r>
      <w:r w:rsidR="003915B8" w:rsidRPr="008346A3">
        <w:rPr>
          <w:rStyle w:val="Hyperlink"/>
          <w:color w:val="auto"/>
          <w:u w:val="none"/>
        </w:rPr>
        <w:t xml:space="preserve">in metropolitan Sydney result in higher housing rental prices compared to markets in other States. This, </w:t>
      </w:r>
      <w:r w:rsidR="003915B8" w:rsidRPr="008346A3">
        <w:rPr>
          <w:rStyle w:val="Hyperlink"/>
          <w:color w:val="auto"/>
          <w:u w:val="none"/>
        </w:rPr>
        <w:lastRenderedPageBreak/>
        <w:t>combined with contribution limits for tenants, means that the current assessment methodology may be underestimating the long term cost of service delivery.</w:t>
      </w:r>
      <w:r w:rsidR="003915B8">
        <w:rPr>
          <w:rStyle w:val="FootnoteReference"/>
        </w:rPr>
        <w:footnoteReference w:id="7"/>
      </w:r>
      <w:r w:rsidR="003915B8" w:rsidRPr="008346A3">
        <w:rPr>
          <w:rStyle w:val="Hyperlink"/>
          <w:color w:val="auto"/>
          <w:u w:val="none"/>
        </w:rPr>
        <w:t xml:space="preserve"> </w:t>
      </w:r>
    </w:p>
    <w:p w14:paraId="1A76994F" w14:textId="3A80501D" w:rsidR="003915B8" w:rsidRPr="00782452" w:rsidRDefault="003915B8" w:rsidP="003915B8">
      <w:pPr>
        <w:pStyle w:val="CGCNumberedPara"/>
        <w:numPr>
          <w:ilvl w:val="1"/>
          <w:numId w:val="3"/>
        </w:numPr>
        <w:rPr>
          <w:rStyle w:val="Hyperlink"/>
          <w:color w:val="auto"/>
          <w:u w:val="none"/>
        </w:rPr>
      </w:pPr>
      <w:r>
        <w:rPr>
          <w:rStyle w:val="Hyperlink"/>
          <w:color w:val="auto"/>
          <w:u w:val="none"/>
        </w:rPr>
        <w:t xml:space="preserve">While the value of land underneath social housing dwellings may differ between States, it would not </w:t>
      </w:r>
      <w:r w:rsidR="000E2A0E">
        <w:rPr>
          <w:rStyle w:val="Hyperlink"/>
          <w:color w:val="auto"/>
          <w:u w:val="none"/>
        </w:rPr>
        <w:t>affect</w:t>
      </w:r>
      <w:r>
        <w:rPr>
          <w:rStyle w:val="Hyperlink"/>
          <w:color w:val="auto"/>
          <w:u w:val="none"/>
        </w:rPr>
        <w:t xml:space="preserve"> the recurrent cost of providing</w:t>
      </w:r>
      <w:r w:rsidR="008346A3">
        <w:rPr>
          <w:rStyle w:val="Hyperlink"/>
          <w:color w:val="auto"/>
          <w:u w:val="none"/>
        </w:rPr>
        <w:t xml:space="preserve"> </w:t>
      </w:r>
      <w:r>
        <w:rPr>
          <w:rStyle w:val="Hyperlink"/>
          <w:color w:val="auto"/>
          <w:u w:val="none"/>
        </w:rPr>
        <w:t>services. The user cost of capital is a notional amount that is not reflected in the States’ actual expenses.</w:t>
      </w:r>
      <w:r w:rsidRPr="00760997">
        <w:rPr>
          <w:rStyle w:val="Hyperlink"/>
          <w:color w:val="auto"/>
          <w:u w:val="none"/>
        </w:rPr>
        <w:t xml:space="preserve"> </w:t>
      </w:r>
      <w:r>
        <w:rPr>
          <w:rStyle w:val="Hyperlink"/>
          <w:color w:val="auto"/>
          <w:u w:val="none"/>
        </w:rPr>
        <w:t>In addition, land is not depreciated</w:t>
      </w:r>
      <w:r w:rsidR="00EA0E3F">
        <w:rPr>
          <w:rStyle w:val="Hyperlink"/>
          <w:color w:val="auto"/>
          <w:u w:val="none"/>
        </w:rPr>
        <w:t>.</w:t>
      </w:r>
    </w:p>
    <w:p w14:paraId="52E43CFF" w14:textId="678E46F1" w:rsidR="006631EA" w:rsidRDefault="003915B8" w:rsidP="003915B8">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Differential land prices would </w:t>
      </w:r>
      <w:r w:rsidR="000E2A0E">
        <w:rPr>
          <w:rStyle w:val="Heading6Char"/>
          <w:rFonts w:eastAsiaTheme="minorHAnsi" w:cstheme="minorBidi"/>
          <w:b w:val="0"/>
          <w:i w:val="0"/>
          <w:iCs w:val="0"/>
          <w:color w:val="auto"/>
          <w:sz w:val="24"/>
        </w:rPr>
        <w:t>affect</w:t>
      </w:r>
      <w:r>
        <w:rPr>
          <w:rStyle w:val="Heading6Char"/>
          <w:rFonts w:eastAsiaTheme="minorHAnsi" w:cstheme="minorBidi"/>
          <w:b w:val="0"/>
          <w:i w:val="0"/>
          <w:iCs w:val="0"/>
          <w:color w:val="auto"/>
          <w:sz w:val="24"/>
        </w:rPr>
        <w:t xml:space="preserve"> the </w:t>
      </w:r>
      <w:r w:rsidR="000E2A0E">
        <w:rPr>
          <w:rStyle w:val="Heading6Char"/>
          <w:rFonts w:eastAsiaTheme="minorHAnsi" w:cstheme="minorBidi"/>
          <w:b w:val="0"/>
          <w:i w:val="0"/>
          <w:iCs w:val="0"/>
          <w:color w:val="auto"/>
          <w:sz w:val="24"/>
        </w:rPr>
        <w:t xml:space="preserve">value of the </w:t>
      </w:r>
      <w:r>
        <w:rPr>
          <w:rStyle w:val="Heading6Char"/>
          <w:rFonts w:eastAsiaTheme="minorHAnsi" w:cstheme="minorBidi"/>
          <w:b w:val="0"/>
          <w:i w:val="0"/>
          <w:iCs w:val="0"/>
          <w:color w:val="auto"/>
          <w:sz w:val="24"/>
        </w:rPr>
        <w:t>purchase and sale of land. However, ABS Government Financ</w:t>
      </w:r>
      <w:r w:rsidR="00613C7C">
        <w:rPr>
          <w:rStyle w:val="Heading6Char"/>
          <w:rFonts w:eastAsiaTheme="minorHAnsi" w:cstheme="minorBidi"/>
          <w:b w:val="0"/>
          <w:i w:val="0"/>
          <w:iCs w:val="0"/>
          <w:color w:val="auto"/>
          <w:sz w:val="24"/>
        </w:rPr>
        <w:t>e</w:t>
      </w:r>
      <w:r>
        <w:rPr>
          <w:rStyle w:val="Heading6Char"/>
          <w:rFonts w:eastAsiaTheme="minorHAnsi" w:cstheme="minorBidi"/>
          <w:b w:val="0"/>
          <w:i w:val="0"/>
          <w:iCs w:val="0"/>
          <w:color w:val="auto"/>
          <w:sz w:val="24"/>
        </w:rPr>
        <w:t xml:space="preserve"> Statistics (GFS) data show</w:t>
      </w:r>
      <w:r w:rsidR="006631EA">
        <w:rPr>
          <w:rStyle w:val="Heading6Char"/>
          <w:rFonts w:eastAsiaTheme="minorHAnsi" w:cstheme="minorBidi"/>
          <w:b w:val="0"/>
          <w:i w:val="0"/>
          <w:iCs w:val="0"/>
          <w:color w:val="auto"/>
          <w:sz w:val="24"/>
        </w:rPr>
        <w:t xml:space="preserve"> that between 2013-14 and 2015-16:</w:t>
      </w:r>
    </w:p>
    <w:p w14:paraId="1904DF8D" w14:textId="77777777" w:rsidR="00731340" w:rsidRDefault="006631EA" w:rsidP="006631EA">
      <w:pPr>
        <w:pStyle w:val="CGCBulletlist"/>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costs of land purchases have </w:t>
      </w:r>
      <w:r w:rsidR="00D70088">
        <w:rPr>
          <w:rStyle w:val="Heading6Char"/>
          <w:rFonts w:eastAsiaTheme="minorHAnsi" w:cstheme="minorBidi"/>
          <w:b w:val="0"/>
          <w:i w:val="0"/>
          <w:iCs w:val="0"/>
          <w:color w:val="auto"/>
          <w:sz w:val="24"/>
        </w:rPr>
        <w:t>averaged</w:t>
      </w:r>
      <w:r>
        <w:rPr>
          <w:rStyle w:val="Heading6Char"/>
          <w:rFonts w:eastAsiaTheme="minorHAnsi" w:cstheme="minorBidi"/>
          <w:b w:val="0"/>
          <w:i w:val="0"/>
          <w:iCs w:val="0"/>
          <w:color w:val="auto"/>
          <w:sz w:val="24"/>
        </w:rPr>
        <w:t xml:space="preserve"> less than $</w:t>
      </w:r>
      <w:r w:rsidR="00D70088">
        <w:rPr>
          <w:rStyle w:val="Heading6Char"/>
          <w:rFonts w:eastAsiaTheme="minorHAnsi" w:cstheme="minorBidi"/>
          <w:b w:val="0"/>
          <w:i w:val="0"/>
          <w:iCs w:val="0"/>
          <w:color w:val="auto"/>
          <w:sz w:val="24"/>
        </w:rPr>
        <w:t>5</w:t>
      </w:r>
      <w:r>
        <w:rPr>
          <w:rStyle w:val="Heading6Char"/>
          <w:rFonts w:eastAsiaTheme="minorHAnsi" w:cstheme="minorBidi"/>
          <w:b w:val="0"/>
          <w:i w:val="0"/>
          <w:iCs w:val="0"/>
          <w:color w:val="auto"/>
          <w:sz w:val="24"/>
        </w:rPr>
        <w:t xml:space="preserve">00 million </w:t>
      </w:r>
    </w:p>
    <w:p w14:paraId="6B00E0B0" w14:textId="77777777" w:rsidR="00731340" w:rsidRDefault="00731340" w:rsidP="006631EA">
      <w:pPr>
        <w:pStyle w:val="CGCBulletlist"/>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this expenditure was </w:t>
      </w:r>
      <w:r w:rsidR="00D70088">
        <w:rPr>
          <w:rStyle w:val="Heading6Char"/>
          <w:rFonts w:eastAsiaTheme="minorHAnsi" w:cstheme="minorBidi"/>
          <w:b w:val="0"/>
          <w:i w:val="0"/>
          <w:iCs w:val="0"/>
          <w:color w:val="auto"/>
          <w:sz w:val="24"/>
        </w:rPr>
        <w:t xml:space="preserve">largely </w:t>
      </w:r>
      <w:r>
        <w:rPr>
          <w:rStyle w:val="Heading6Char"/>
          <w:rFonts w:eastAsiaTheme="minorHAnsi" w:cstheme="minorBidi"/>
          <w:b w:val="0"/>
          <w:i w:val="0"/>
          <w:iCs w:val="0"/>
          <w:color w:val="auto"/>
          <w:sz w:val="24"/>
        </w:rPr>
        <w:t>offset by the receipts from the sale of land</w:t>
      </w:r>
    </w:p>
    <w:p w14:paraId="1BB8B02F" w14:textId="57EEC594" w:rsidR="00731340" w:rsidRDefault="00731340" w:rsidP="006631EA">
      <w:pPr>
        <w:pStyle w:val="CGCBulletlist"/>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as a result, </w:t>
      </w:r>
      <w:r w:rsidR="008346A3">
        <w:rPr>
          <w:rStyle w:val="Heading6Char"/>
          <w:rFonts w:eastAsiaTheme="minorHAnsi" w:cstheme="minorBidi"/>
          <w:b w:val="0"/>
          <w:i w:val="0"/>
          <w:iCs w:val="0"/>
          <w:color w:val="auto"/>
          <w:sz w:val="24"/>
        </w:rPr>
        <w:t xml:space="preserve">net investment in land is </w:t>
      </w:r>
      <w:r>
        <w:rPr>
          <w:rStyle w:val="Heading6Char"/>
          <w:rFonts w:eastAsiaTheme="minorHAnsi" w:cstheme="minorBidi"/>
          <w:b w:val="0"/>
          <w:i w:val="0"/>
          <w:iCs w:val="0"/>
          <w:color w:val="auto"/>
          <w:sz w:val="24"/>
        </w:rPr>
        <w:t>very small</w:t>
      </w:r>
      <w:r w:rsidR="003915B8">
        <w:rPr>
          <w:rStyle w:val="Heading6Char"/>
          <w:rFonts w:eastAsiaTheme="minorHAnsi" w:cstheme="minorBidi"/>
          <w:b w:val="0"/>
          <w:i w:val="0"/>
          <w:iCs w:val="0"/>
          <w:color w:val="auto"/>
          <w:sz w:val="24"/>
        </w:rPr>
        <w:t xml:space="preserve"> </w:t>
      </w:r>
      <w:r>
        <w:rPr>
          <w:rStyle w:val="Heading6Char"/>
          <w:rFonts w:eastAsiaTheme="minorHAnsi" w:cstheme="minorBidi"/>
          <w:b w:val="0"/>
          <w:i w:val="0"/>
          <w:iCs w:val="0"/>
          <w:color w:val="auto"/>
          <w:sz w:val="24"/>
        </w:rPr>
        <w:t>(see</w:t>
      </w:r>
      <w:r w:rsidR="00EB083C">
        <w:rPr>
          <w:rStyle w:val="Heading6Char"/>
          <w:rFonts w:eastAsiaTheme="minorHAnsi" w:cstheme="minorBidi"/>
          <w:b w:val="0"/>
          <w:i w:val="0"/>
          <w:iCs w:val="0"/>
          <w:color w:val="auto"/>
          <w:sz w:val="24"/>
        </w:rPr>
        <w:t xml:space="preserve"> </w:t>
      </w:r>
      <w:r w:rsidR="000C4F19">
        <w:rPr>
          <w:rStyle w:val="Heading6Char"/>
          <w:rFonts w:eastAsiaTheme="minorHAnsi" w:cstheme="minorBidi"/>
          <w:b w:val="0"/>
          <w:i w:val="0"/>
          <w:iCs w:val="0"/>
          <w:color w:val="auto"/>
          <w:sz w:val="24"/>
        </w:rPr>
        <w:fldChar w:fldCharType="begin"/>
      </w:r>
      <w:r w:rsidR="000C4F19">
        <w:rPr>
          <w:rStyle w:val="Heading6Char"/>
          <w:rFonts w:eastAsiaTheme="minorHAnsi" w:cstheme="minorBidi"/>
          <w:b w:val="0"/>
          <w:i w:val="0"/>
          <w:iCs w:val="0"/>
          <w:color w:val="auto"/>
          <w:sz w:val="24"/>
        </w:rPr>
        <w:instrText xml:space="preserve"> REF _Ref511732178 \h </w:instrText>
      </w:r>
      <w:r w:rsidR="000C4F19">
        <w:rPr>
          <w:rStyle w:val="Heading6Char"/>
          <w:rFonts w:eastAsiaTheme="minorHAnsi" w:cstheme="minorBidi"/>
          <w:b w:val="0"/>
          <w:i w:val="0"/>
          <w:iCs w:val="0"/>
          <w:color w:val="auto"/>
          <w:sz w:val="24"/>
        </w:rPr>
      </w:r>
      <w:r w:rsidR="000C4F19">
        <w:rPr>
          <w:rStyle w:val="Heading6Char"/>
          <w:rFonts w:eastAsiaTheme="minorHAnsi" w:cstheme="minorBidi"/>
          <w:b w:val="0"/>
          <w:i w:val="0"/>
          <w:iCs w:val="0"/>
          <w:color w:val="auto"/>
          <w:sz w:val="24"/>
        </w:rPr>
        <w:fldChar w:fldCharType="separate"/>
      </w:r>
      <w:r w:rsidR="00566C01">
        <w:t xml:space="preserve">Table </w:t>
      </w:r>
      <w:r w:rsidR="00566C01">
        <w:rPr>
          <w:noProof/>
        </w:rPr>
        <w:t>7</w:t>
      </w:r>
      <w:r w:rsidR="000C4F19">
        <w:rPr>
          <w:rStyle w:val="Heading6Char"/>
          <w:rFonts w:eastAsiaTheme="minorHAnsi" w:cstheme="minorBidi"/>
          <w:b w:val="0"/>
          <w:i w:val="0"/>
          <w:iCs w:val="0"/>
          <w:color w:val="auto"/>
          <w:sz w:val="24"/>
        </w:rPr>
        <w:fldChar w:fldCharType="end"/>
      </w:r>
      <w:r>
        <w:rPr>
          <w:rStyle w:val="Heading6Char"/>
          <w:rFonts w:eastAsiaTheme="minorHAnsi" w:cstheme="minorBidi"/>
          <w:b w:val="0"/>
          <w:i w:val="0"/>
          <w:iCs w:val="0"/>
          <w:color w:val="auto"/>
          <w:sz w:val="24"/>
        </w:rPr>
        <w:t>)</w:t>
      </w:r>
      <w:r w:rsidR="003915B8">
        <w:rPr>
          <w:rStyle w:val="Heading6Char"/>
          <w:rFonts w:eastAsiaTheme="minorHAnsi" w:cstheme="minorBidi"/>
          <w:b w:val="0"/>
          <w:i w:val="0"/>
          <w:iCs w:val="0"/>
          <w:color w:val="auto"/>
          <w:sz w:val="24"/>
        </w:rPr>
        <w:t xml:space="preserve">. </w:t>
      </w:r>
    </w:p>
    <w:p w14:paraId="174BB273" w14:textId="3A509C4A" w:rsidR="00731340" w:rsidRDefault="003915B8" w:rsidP="003915B8">
      <w:pPr>
        <w:pStyle w:val="CGCNumberedPara"/>
        <w:numPr>
          <w:ilvl w:val="1"/>
          <w:numId w:val="3"/>
        </w:numPr>
        <w:rPr>
          <w:rStyle w:val="Heading6Char"/>
          <w:rFonts w:eastAsiaTheme="minorHAnsi" w:cstheme="minorBidi"/>
          <w:b w:val="0"/>
          <w:i w:val="0"/>
          <w:iCs w:val="0"/>
          <w:color w:val="auto"/>
          <w:sz w:val="24"/>
        </w:rPr>
      </w:pPr>
      <w:r w:rsidRPr="00731340">
        <w:rPr>
          <w:rStyle w:val="Heading6Char"/>
          <w:rFonts w:eastAsiaTheme="minorHAnsi" w:cstheme="minorBidi"/>
          <w:b w:val="0"/>
          <w:i w:val="0"/>
          <w:iCs w:val="0"/>
          <w:color w:val="auto"/>
          <w:sz w:val="24"/>
        </w:rPr>
        <w:t>Therefore, a disability assessment would not be material.</w:t>
      </w:r>
      <w:r w:rsidR="00731340" w:rsidRPr="00731340">
        <w:rPr>
          <w:rStyle w:val="Heading6Char"/>
          <w:rFonts w:eastAsiaTheme="minorHAnsi" w:cstheme="minorBidi"/>
          <w:b w:val="0"/>
          <w:i w:val="0"/>
          <w:iCs w:val="0"/>
          <w:color w:val="auto"/>
          <w:sz w:val="24"/>
        </w:rPr>
        <w:t xml:space="preserve"> </w:t>
      </w:r>
    </w:p>
    <w:p w14:paraId="68EB3802" w14:textId="67710B05" w:rsidR="007467E1" w:rsidRDefault="007467E1" w:rsidP="00356477">
      <w:pPr>
        <w:pStyle w:val="Caption"/>
      </w:pPr>
      <w:bookmarkStart w:id="46" w:name="_Ref511732178"/>
      <w:r>
        <w:t xml:space="preserve">Table </w:t>
      </w:r>
      <w:r w:rsidR="00CE292F">
        <w:fldChar w:fldCharType="begin"/>
      </w:r>
      <w:r w:rsidR="00CE292F">
        <w:instrText xml:space="preserve"> SEQ Table \* ARABIC </w:instrText>
      </w:r>
      <w:r w:rsidR="00CE292F">
        <w:fldChar w:fldCharType="separate"/>
      </w:r>
      <w:r w:rsidR="00566C01">
        <w:rPr>
          <w:noProof/>
        </w:rPr>
        <w:t>7</w:t>
      </w:r>
      <w:r w:rsidR="00CE292F">
        <w:rPr>
          <w:noProof/>
        </w:rPr>
        <w:fldChar w:fldCharType="end"/>
      </w:r>
      <w:bookmarkEnd w:id="46"/>
      <w:r>
        <w:tab/>
      </w:r>
      <w:r w:rsidRPr="00014448">
        <w:t>General government and PNFC purchase and sale of land for housing purposes by State</w:t>
      </w:r>
    </w:p>
    <w:tbl>
      <w:tblPr>
        <w:tblW w:w="8880" w:type="dxa"/>
        <w:tblInd w:w="108" w:type="dxa"/>
        <w:tblLook w:val="04A0" w:firstRow="1" w:lastRow="0" w:firstColumn="1" w:lastColumn="0" w:noHBand="0" w:noVBand="1"/>
      </w:tblPr>
      <w:tblGrid>
        <w:gridCol w:w="1540"/>
        <w:gridCol w:w="780"/>
        <w:gridCol w:w="780"/>
        <w:gridCol w:w="720"/>
        <w:gridCol w:w="600"/>
        <w:gridCol w:w="680"/>
        <w:gridCol w:w="680"/>
        <w:gridCol w:w="880"/>
        <w:gridCol w:w="720"/>
        <w:gridCol w:w="1500"/>
      </w:tblGrid>
      <w:tr w:rsidR="007467E1" w:rsidRPr="007467E1" w14:paraId="424477BB" w14:textId="77777777" w:rsidTr="007467E1">
        <w:trPr>
          <w:trHeight w:val="379"/>
        </w:trPr>
        <w:tc>
          <w:tcPr>
            <w:tcW w:w="1540" w:type="dxa"/>
            <w:tcBorders>
              <w:top w:val="single" w:sz="4" w:space="0" w:color="auto"/>
              <w:left w:val="nil"/>
              <w:bottom w:val="single" w:sz="4" w:space="0" w:color="auto"/>
              <w:right w:val="nil"/>
            </w:tcBorders>
            <w:shd w:val="clear" w:color="auto" w:fill="auto"/>
            <w:noWrap/>
            <w:vAlign w:val="center"/>
            <w:hideMark/>
          </w:tcPr>
          <w:p w14:paraId="0968F78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 </w:t>
            </w:r>
          </w:p>
        </w:tc>
        <w:tc>
          <w:tcPr>
            <w:tcW w:w="780" w:type="dxa"/>
            <w:tcBorders>
              <w:top w:val="single" w:sz="4" w:space="0" w:color="auto"/>
              <w:left w:val="nil"/>
              <w:bottom w:val="single" w:sz="4" w:space="0" w:color="auto"/>
              <w:right w:val="nil"/>
            </w:tcBorders>
            <w:shd w:val="clear" w:color="auto" w:fill="auto"/>
            <w:noWrap/>
            <w:vAlign w:val="center"/>
            <w:hideMark/>
          </w:tcPr>
          <w:p w14:paraId="1AEB99F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14:paraId="5B7EF9A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14:paraId="313CD38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Qld</w:t>
            </w:r>
          </w:p>
        </w:tc>
        <w:tc>
          <w:tcPr>
            <w:tcW w:w="600" w:type="dxa"/>
            <w:tcBorders>
              <w:top w:val="single" w:sz="4" w:space="0" w:color="auto"/>
              <w:left w:val="nil"/>
              <w:bottom w:val="single" w:sz="4" w:space="0" w:color="auto"/>
              <w:right w:val="nil"/>
            </w:tcBorders>
            <w:shd w:val="clear" w:color="auto" w:fill="auto"/>
            <w:noWrap/>
            <w:vAlign w:val="center"/>
            <w:hideMark/>
          </w:tcPr>
          <w:p w14:paraId="058C146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14:paraId="69F6660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14:paraId="2CB56C32"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Tas</w:t>
            </w:r>
          </w:p>
        </w:tc>
        <w:tc>
          <w:tcPr>
            <w:tcW w:w="880" w:type="dxa"/>
            <w:tcBorders>
              <w:top w:val="single" w:sz="4" w:space="0" w:color="auto"/>
              <w:left w:val="nil"/>
              <w:bottom w:val="single" w:sz="4" w:space="0" w:color="auto"/>
              <w:right w:val="nil"/>
            </w:tcBorders>
            <w:shd w:val="clear" w:color="auto" w:fill="auto"/>
            <w:noWrap/>
            <w:vAlign w:val="center"/>
            <w:hideMark/>
          </w:tcPr>
          <w:p w14:paraId="4704767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ACT (a)</w:t>
            </w:r>
          </w:p>
        </w:tc>
        <w:tc>
          <w:tcPr>
            <w:tcW w:w="720" w:type="dxa"/>
            <w:tcBorders>
              <w:top w:val="single" w:sz="4" w:space="0" w:color="auto"/>
              <w:left w:val="nil"/>
              <w:bottom w:val="single" w:sz="4" w:space="0" w:color="auto"/>
              <w:right w:val="nil"/>
            </w:tcBorders>
            <w:shd w:val="clear" w:color="auto" w:fill="auto"/>
            <w:noWrap/>
            <w:vAlign w:val="center"/>
            <w:hideMark/>
          </w:tcPr>
          <w:p w14:paraId="11422EF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NT</w:t>
            </w:r>
          </w:p>
        </w:tc>
        <w:tc>
          <w:tcPr>
            <w:tcW w:w="1500" w:type="dxa"/>
            <w:tcBorders>
              <w:top w:val="single" w:sz="4" w:space="0" w:color="auto"/>
              <w:left w:val="nil"/>
              <w:bottom w:val="single" w:sz="4" w:space="0" w:color="auto"/>
              <w:right w:val="nil"/>
            </w:tcBorders>
            <w:shd w:val="clear" w:color="auto" w:fill="auto"/>
            <w:noWrap/>
            <w:vAlign w:val="center"/>
            <w:hideMark/>
          </w:tcPr>
          <w:p w14:paraId="331185B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Total  excl ACT</w:t>
            </w:r>
          </w:p>
        </w:tc>
      </w:tr>
      <w:tr w:rsidR="007467E1" w:rsidRPr="007467E1" w14:paraId="388111B3" w14:textId="77777777" w:rsidTr="007467E1">
        <w:trPr>
          <w:trHeight w:val="259"/>
        </w:trPr>
        <w:tc>
          <w:tcPr>
            <w:tcW w:w="1540" w:type="dxa"/>
            <w:tcBorders>
              <w:top w:val="nil"/>
              <w:left w:val="nil"/>
              <w:bottom w:val="nil"/>
              <w:right w:val="nil"/>
            </w:tcBorders>
            <w:shd w:val="clear" w:color="auto" w:fill="auto"/>
            <w:noWrap/>
            <w:vAlign w:val="bottom"/>
            <w:hideMark/>
          </w:tcPr>
          <w:p w14:paraId="57B2132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80" w:type="dxa"/>
            <w:tcBorders>
              <w:top w:val="nil"/>
              <w:left w:val="nil"/>
              <w:bottom w:val="nil"/>
              <w:right w:val="nil"/>
            </w:tcBorders>
            <w:shd w:val="clear" w:color="auto" w:fill="auto"/>
            <w:noWrap/>
            <w:vAlign w:val="bottom"/>
            <w:hideMark/>
          </w:tcPr>
          <w:p w14:paraId="6594BCC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780" w:type="dxa"/>
            <w:tcBorders>
              <w:top w:val="nil"/>
              <w:left w:val="nil"/>
              <w:bottom w:val="nil"/>
              <w:right w:val="nil"/>
            </w:tcBorders>
            <w:shd w:val="clear" w:color="auto" w:fill="auto"/>
            <w:noWrap/>
            <w:vAlign w:val="bottom"/>
            <w:hideMark/>
          </w:tcPr>
          <w:p w14:paraId="161B8F7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720" w:type="dxa"/>
            <w:tcBorders>
              <w:top w:val="nil"/>
              <w:left w:val="nil"/>
              <w:bottom w:val="nil"/>
              <w:right w:val="nil"/>
            </w:tcBorders>
            <w:shd w:val="clear" w:color="auto" w:fill="auto"/>
            <w:noWrap/>
            <w:vAlign w:val="bottom"/>
            <w:hideMark/>
          </w:tcPr>
          <w:p w14:paraId="3A5C7CC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600" w:type="dxa"/>
            <w:tcBorders>
              <w:top w:val="nil"/>
              <w:left w:val="nil"/>
              <w:bottom w:val="nil"/>
              <w:right w:val="nil"/>
            </w:tcBorders>
            <w:shd w:val="clear" w:color="auto" w:fill="auto"/>
            <w:noWrap/>
            <w:vAlign w:val="bottom"/>
            <w:hideMark/>
          </w:tcPr>
          <w:p w14:paraId="092C04B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78BD7DD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680" w:type="dxa"/>
            <w:tcBorders>
              <w:top w:val="nil"/>
              <w:left w:val="nil"/>
              <w:bottom w:val="nil"/>
              <w:right w:val="nil"/>
            </w:tcBorders>
            <w:shd w:val="clear" w:color="auto" w:fill="auto"/>
            <w:noWrap/>
            <w:vAlign w:val="bottom"/>
            <w:hideMark/>
          </w:tcPr>
          <w:p w14:paraId="1891F5D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880" w:type="dxa"/>
            <w:tcBorders>
              <w:top w:val="nil"/>
              <w:left w:val="nil"/>
              <w:bottom w:val="nil"/>
              <w:right w:val="nil"/>
            </w:tcBorders>
            <w:shd w:val="clear" w:color="auto" w:fill="auto"/>
            <w:noWrap/>
            <w:vAlign w:val="bottom"/>
            <w:hideMark/>
          </w:tcPr>
          <w:p w14:paraId="3290939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720" w:type="dxa"/>
            <w:tcBorders>
              <w:top w:val="nil"/>
              <w:left w:val="nil"/>
              <w:bottom w:val="nil"/>
              <w:right w:val="nil"/>
            </w:tcBorders>
            <w:shd w:val="clear" w:color="auto" w:fill="auto"/>
            <w:noWrap/>
            <w:vAlign w:val="bottom"/>
            <w:hideMark/>
          </w:tcPr>
          <w:p w14:paraId="6F79FB7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c>
          <w:tcPr>
            <w:tcW w:w="1500" w:type="dxa"/>
            <w:tcBorders>
              <w:top w:val="nil"/>
              <w:left w:val="nil"/>
              <w:bottom w:val="nil"/>
              <w:right w:val="nil"/>
            </w:tcBorders>
            <w:shd w:val="clear" w:color="auto" w:fill="auto"/>
            <w:noWrap/>
            <w:vAlign w:val="bottom"/>
            <w:hideMark/>
          </w:tcPr>
          <w:p w14:paraId="35AFE8C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theme="minorHAnsi"/>
                <w:color w:val="000000"/>
                <w:sz w:val="20"/>
                <w:szCs w:val="20"/>
                <w:lang w:eastAsia="en-AU"/>
              </w:rPr>
              <w:t>$m</w:t>
            </w:r>
          </w:p>
        </w:tc>
      </w:tr>
      <w:tr w:rsidR="007467E1" w:rsidRPr="007467E1" w14:paraId="3C3A2C7C" w14:textId="77777777" w:rsidTr="007467E1">
        <w:trPr>
          <w:trHeight w:val="315"/>
        </w:trPr>
        <w:tc>
          <w:tcPr>
            <w:tcW w:w="1540" w:type="dxa"/>
            <w:tcBorders>
              <w:top w:val="nil"/>
              <w:left w:val="nil"/>
              <w:bottom w:val="nil"/>
              <w:right w:val="nil"/>
            </w:tcBorders>
            <w:shd w:val="clear" w:color="auto" w:fill="auto"/>
            <w:vAlign w:val="bottom"/>
            <w:hideMark/>
          </w:tcPr>
          <w:p w14:paraId="4A90D4D9"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Purchase</w:t>
            </w:r>
          </w:p>
        </w:tc>
        <w:tc>
          <w:tcPr>
            <w:tcW w:w="780" w:type="dxa"/>
            <w:tcBorders>
              <w:top w:val="nil"/>
              <w:left w:val="nil"/>
              <w:bottom w:val="nil"/>
              <w:right w:val="nil"/>
            </w:tcBorders>
            <w:shd w:val="clear" w:color="auto" w:fill="auto"/>
            <w:vAlign w:val="bottom"/>
            <w:hideMark/>
          </w:tcPr>
          <w:p w14:paraId="314253FD"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p>
        </w:tc>
        <w:tc>
          <w:tcPr>
            <w:tcW w:w="780" w:type="dxa"/>
            <w:tcBorders>
              <w:top w:val="nil"/>
              <w:left w:val="nil"/>
              <w:bottom w:val="nil"/>
              <w:right w:val="nil"/>
            </w:tcBorders>
            <w:shd w:val="clear" w:color="auto" w:fill="auto"/>
            <w:vAlign w:val="bottom"/>
            <w:hideMark/>
          </w:tcPr>
          <w:p w14:paraId="589CCB81"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1237EF5B"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00" w:type="dxa"/>
            <w:tcBorders>
              <w:top w:val="nil"/>
              <w:left w:val="nil"/>
              <w:bottom w:val="nil"/>
              <w:right w:val="nil"/>
            </w:tcBorders>
            <w:shd w:val="clear" w:color="auto" w:fill="auto"/>
            <w:vAlign w:val="bottom"/>
            <w:hideMark/>
          </w:tcPr>
          <w:p w14:paraId="06E62139"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45952CCC"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06E46495"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880" w:type="dxa"/>
            <w:tcBorders>
              <w:top w:val="nil"/>
              <w:left w:val="nil"/>
              <w:bottom w:val="nil"/>
              <w:right w:val="nil"/>
            </w:tcBorders>
            <w:shd w:val="clear" w:color="auto" w:fill="auto"/>
            <w:vAlign w:val="bottom"/>
            <w:hideMark/>
          </w:tcPr>
          <w:p w14:paraId="02F34CC6"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4AD4F496"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66B80239"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r>
      <w:tr w:rsidR="007467E1" w:rsidRPr="007467E1" w14:paraId="4ED6E07D" w14:textId="77777777" w:rsidTr="007467E1">
        <w:trPr>
          <w:trHeight w:val="315"/>
        </w:trPr>
        <w:tc>
          <w:tcPr>
            <w:tcW w:w="1540" w:type="dxa"/>
            <w:tcBorders>
              <w:top w:val="nil"/>
              <w:left w:val="nil"/>
              <w:bottom w:val="nil"/>
              <w:right w:val="nil"/>
            </w:tcBorders>
            <w:shd w:val="clear" w:color="auto" w:fill="auto"/>
            <w:vAlign w:val="bottom"/>
            <w:hideMark/>
          </w:tcPr>
          <w:p w14:paraId="1EC95A7B"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bookmarkStart w:id="47" w:name="RANGE!A4:A6"/>
            <w:r w:rsidRPr="007467E1">
              <w:rPr>
                <w:rFonts w:ascii="Calibri" w:eastAsia="Times New Roman" w:hAnsi="Calibri" w:cs="Calibri"/>
                <w:color w:val="000000"/>
                <w:sz w:val="20"/>
                <w:szCs w:val="20"/>
                <w:lang w:eastAsia="en-AU"/>
              </w:rPr>
              <w:t>2013-14</w:t>
            </w:r>
            <w:bookmarkEnd w:id="47"/>
          </w:p>
        </w:tc>
        <w:tc>
          <w:tcPr>
            <w:tcW w:w="780" w:type="dxa"/>
            <w:tcBorders>
              <w:top w:val="nil"/>
              <w:left w:val="nil"/>
              <w:bottom w:val="nil"/>
              <w:right w:val="nil"/>
            </w:tcBorders>
            <w:shd w:val="clear" w:color="auto" w:fill="auto"/>
            <w:vAlign w:val="bottom"/>
            <w:hideMark/>
          </w:tcPr>
          <w:p w14:paraId="2DA0D47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40</w:t>
            </w:r>
          </w:p>
        </w:tc>
        <w:tc>
          <w:tcPr>
            <w:tcW w:w="780" w:type="dxa"/>
            <w:tcBorders>
              <w:top w:val="nil"/>
              <w:left w:val="nil"/>
              <w:bottom w:val="nil"/>
              <w:right w:val="nil"/>
            </w:tcBorders>
            <w:shd w:val="clear" w:color="auto" w:fill="auto"/>
            <w:vAlign w:val="bottom"/>
            <w:hideMark/>
          </w:tcPr>
          <w:p w14:paraId="0E037A0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-37</w:t>
            </w:r>
          </w:p>
        </w:tc>
        <w:tc>
          <w:tcPr>
            <w:tcW w:w="720" w:type="dxa"/>
            <w:tcBorders>
              <w:top w:val="nil"/>
              <w:left w:val="nil"/>
              <w:bottom w:val="nil"/>
              <w:right w:val="nil"/>
            </w:tcBorders>
            <w:shd w:val="clear" w:color="auto" w:fill="auto"/>
            <w:vAlign w:val="bottom"/>
            <w:hideMark/>
          </w:tcPr>
          <w:p w14:paraId="366E0DA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216</w:t>
            </w:r>
          </w:p>
        </w:tc>
        <w:tc>
          <w:tcPr>
            <w:tcW w:w="600" w:type="dxa"/>
            <w:tcBorders>
              <w:top w:val="nil"/>
              <w:left w:val="nil"/>
              <w:bottom w:val="nil"/>
              <w:right w:val="nil"/>
            </w:tcBorders>
            <w:shd w:val="clear" w:color="auto" w:fill="auto"/>
            <w:vAlign w:val="bottom"/>
            <w:hideMark/>
          </w:tcPr>
          <w:p w14:paraId="370DA93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222160A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7585869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10</w:t>
            </w:r>
          </w:p>
        </w:tc>
        <w:tc>
          <w:tcPr>
            <w:tcW w:w="880" w:type="dxa"/>
            <w:tcBorders>
              <w:top w:val="nil"/>
              <w:left w:val="nil"/>
              <w:bottom w:val="nil"/>
              <w:right w:val="nil"/>
            </w:tcBorders>
            <w:shd w:val="clear" w:color="auto" w:fill="auto"/>
            <w:vAlign w:val="bottom"/>
            <w:hideMark/>
          </w:tcPr>
          <w:p w14:paraId="1E8910D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0B58EF8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136</w:t>
            </w:r>
          </w:p>
        </w:tc>
        <w:tc>
          <w:tcPr>
            <w:tcW w:w="1500" w:type="dxa"/>
            <w:tcBorders>
              <w:top w:val="nil"/>
              <w:left w:val="nil"/>
              <w:bottom w:val="nil"/>
              <w:right w:val="nil"/>
            </w:tcBorders>
            <w:shd w:val="clear" w:color="auto" w:fill="auto"/>
            <w:vAlign w:val="bottom"/>
            <w:hideMark/>
          </w:tcPr>
          <w:p w14:paraId="6DEA414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365</w:t>
            </w:r>
          </w:p>
        </w:tc>
      </w:tr>
      <w:tr w:rsidR="007467E1" w:rsidRPr="007467E1" w14:paraId="22186DB9" w14:textId="77777777" w:rsidTr="007467E1">
        <w:trPr>
          <w:trHeight w:val="315"/>
        </w:trPr>
        <w:tc>
          <w:tcPr>
            <w:tcW w:w="1540" w:type="dxa"/>
            <w:tcBorders>
              <w:top w:val="nil"/>
              <w:left w:val="nil"/>
              <w:bottom w:val="nil"/>
              <w:right w:val="nil"/>
            </w:tcBorders>
            <w:shd w:val="clear" w:color="auto" w:fill="auto"/>
            <w:vAlign w:val="bottom"/>
            <w:hideMark/>
          </w:tcPr>
          <w:p w14:paraId="246EEEF5"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2014-15</w:t>
            </w:r>
          </w:p>
        </w:tc>
        <w:tc>
          <w:tcPr>
            <w:tcW w:w="780" w:type="dxa"/>
            <w:tcBorders>
              <w:top w:val="nil"/>
              <w:left w:val="nil"/>
              <w:bottom w:val="nil"/>
              <w:right w:val="nil"/>
            </w:tcBorders>
            <w:shd w:val="clear" w:color="auto" w:fill="auto"/>
            <w:vAlign w:val="bottom"/>
            <w:hideMark/>
          </w:tcPr>
          <w:p w14:paraId="4ED1F4C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96</w:t>
            </w:r>
          </w:p>
        </w:tc>
        <w:tc>
          <w:tcPr>
            <w:tcW w:w="780" w:type="dxa"/>
            <w:tcBorders>
              <w:top w:val="nil"/>
              <w:left w:val="nil"/>
              <w:bottom w:val="nil"/>
              <w:right w:val="nil"/>
            </w:tcBorders>
            <w:shd w:val="clear" w:color="auto" w:fill="auto"/>
            <w:vAlign w:val="bottom"/>
            <w:hideMark/>
          </w:tcPr>
          <w:p w14:paraId="67A89D4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-8</w:t>
            </w:r>
          </w:p>
        </w:tc>
        <w:tc>
          <w:tcPr>
            <w:tcW w:w="720" w:type="dxa"/>
            <w:tcBorders>
              <w:top w:val="nil"/>
              <w:left w:val="nil"/>
              <w:bottom w:val="nil"/>
              <w:right w:val="nil"/>
            </w:tcBorders>
            <w:shd w:val="clear" w:color="auto" w:fill="auto"/>
            <w:vAlign w:val="bottom"/>
            <w:hideMark/>
          </w:tcPr>
          <w:p w14:paraId="4AA7B4D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212</w:t>
            </w:r>
          </w:p>
        </w:tc>
        <w:tc>
          <w:tcPr>
            <w:tcW w:w="600" w:type="dxa"/>
            <w:tcBorders>
              <w:top w:val="nil"/>
              <w:left w:val="nil"/>
              <w:bottom w:val="nil"/>
              <w:right w:val="nil"/>
            </w:tcBorders>
            <w:shd w:val="clear" w:color="auto" w:fill="auto"/>
            <w:vAlign w:val="bottom"/>
            <w:hideMark/>
          </w:tcPr>
          <w:p w14:paraId="1ED09CF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44220D1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w:t>
            </w:r>
          </w:p>
        </w:tc>
        <w:tc>
          <w:tcPr>
            <w:tcW w:w="680" w:type="dxa"/>
            <w:tcBorders>
              <w:top w:val="nil"/>
              <w:left w:val="nil"/>
              <w:bottom w:val="nil"/>
              <w:right w:val="nil"/>
            </w:tcBorders>
            <w:shd w:val="clear" w:color="auto" w:fill="auto"/>
            <w:vAlign w:val="bottom"/>
            <w:hideMark/>
          </w:tcPr>
          <w:p w14:paraId="695DEE8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16</w:t>
            </w:r>
          </w:p>
        </w:tc>
        <w:tc>
          <w:tcPr>
            <w:tcW w:w="880" w:type="dxa"/>
            <w:tcBorders>
              <w:top w:val="nil"/>
              <w:left w:val="nil"/>
              <w:bottom w:val="nil"/>
              <w:right w:val="nil"/>
            </w:tcBorders>
            <w:shd w:val="clear" w:color="auto" w:fill="auto"/>
            <w:vAlign w:val="bottom"/>
            <w:hideMark/>
          </w:tcPr>
          <w:p w14:paraId="53944E1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7B859AA7"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95</w:t>
            </w:r>
          </w:p>
        </w:tc>
        <w:tc>
          <w:tcPr>
            <w:tcW w:w="1500" w:type="dxa"/>
            <w:tcBorders>
              <w:top w:val="nil"/>
              <w:left w:val="nil"/>
              <w:bottom w:val="nil"/>
              <w:right w:val="nil"/>
            </w:tcBorders>
            <w:shd w:val="clear" w:color="auto" w:fill="auto"/>
            <w:vAlign w:val="bottom"/>
            <w:hideMark/>
          </w:tcPr>
          <w:p w14:paraId="4F8AFCF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412</w:t>
            </w:r>
          </w:p>
        </w:tc>
      </w:tr>
      <w:tr w:rsidR="007467E1" w:rsidRPr="007467E1" w14:paraId="6DABB752" w14:textId="77777777" w:rsidTr="007467E1">
        <w:trPr>
          <w:trHeight w:val="315"/>
        </w:trPr>
        <w:tc>
          <w:tcPr>
            <w:tcW w:w="1540" w:type="dxa"/>
            <w:tcBorders>
              <w:top w:val="nil"/>
              <w:left w:val="nil"/>
              <w:bottom w:val="nil"/>
              <w:right w:val="nil"/>
            </w:tcBorders>
            <w:shd w:val="clear" w:color="auto" w:fill="auto"/>
            <w:vAlign w:val="bottom"/>
            <w:hideMark/>
          </w:tcPr>
          <w:p w14:paraId="1E3616B2"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2015-16</w:t>
            </w:r>
          </w:p>
        </w:tc>
        <w:tc>
          <w:tcPr>
            <w:tcW w:w="780" w:type="dxa"/>
            <w:tcBorders>
              <w:top w:val="nil"/>
              <w:left w:val="nil"/>
              <w:bottom w:val="nil"/>
              <w:right w:val="nil"/>
            </w:tcBorders>
            <w:shd w:val="clear" w:color="auto" w:fill="auto"/>
            <w:vAlign w:val="bottom"/>
            <w:hideMark/>
          </w:tcPr>
          <w:p w14:paraId="1C115EE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65</w:t>
            </w:r>
          </w:p>
        </w:tc>
        <w:tc>
          <w:tcPr>
            <w:tcW w:w="780" w:type="dxa"/>
            <w:tcBorders>
              <w:top w:val="nil"/>
              <w:left w:val="nil"/>
              <w:bottom w:val="nil"/>
              <w:right w:val="nil"/>
            </w:tcBorders>
            <w:shd w:val="clear" w:color="auto" w:fill="auto"/>
            <w:vAlign w:val="bottom"/>
            <w:hideMark/>
          </w:tcPr>
          <w:p w14:paraId="61721B7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w:t>
            </w:r>
          </w:p>
        </w:tc>
        <w:tc>
          <w:tcPr>
            <w:tcW w:w="720" w:type="dxa"/>
            <w:tcBorders>
              <w:top w:val="nil"/>
              <w:left w:val="nil"/>
              <w:bottom w:val="nil"/>
              <w:right w:val="nil"/>
            </w:tcBorders>
            <w:shd w:val="clear" w:color="auto" w:fill="auto"/>
            <w:vAlign w:val="bottom"/>
            <w:hideMark/>
          </w:tcPr>
          <w:p w14:paraId="71942E0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304</w:t>
            </w:r>
          </w:p>
        </w:tc>
        <w:tc>
          <w:tcPr>
            <w:tcW w:w="600" w:type="dxa"/>
            <w:tcBorders>
              <w:top w:val="nil"/>
              <w:left w:val="nil"/>
              <w:bottom w:val="nil"/>
              <w:right w:val="nil"/>
            </w:tcBorders>
            <w:shd w:val="clear" w:color="auto" w:fill="auto"/>
            <w:vAlign w:val="bottom"/>
            <w:hideMark/>
          </w:tcPr>
          <w:p w14:paraId="5CB7545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w:t>
            </w:r>
          </w:p>
        </w:tc>
        <w:tc>
          <w:tcPr>
            <w:tcW w:w="680" w:type="dxa"/>
            <w:tcBorders>
              <w:top w:val="nil"/>
              <w:left w:val="nil"/>
              <w:bottom w:val="nil"/>
              <w:right w:val="nil"/>
            </w:tcBorders>
            <w:shd w:val="clear" w:color="auto" w:fill="auto"/>
            <w:vAlign w:val="bottom"/>
            <w:hideMark/>
          </w:tcPr>
          <w:p w14:paraId="002B0FE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w:t>
            </w:r>
          </w:p>
        </w:tc>
        <w:tc>
          <w:tcPr>
            <w:tcW w:w="680" w:type="dxa"/>
            <w:tcBorders>
              <w:top w:val="nil"/>
              <w:left w:val="nil"/>
              <w:bottom w:val="nil"/>
              <w:right w:val="nil"/>
            </w:tcBorders>
            <w:shd w:val="clear" w:color="auto" w:fill="auto"/>
            <w:vAlign w:val="bottom"/>
            <w:hideMark/>
          </w:tcPr>
          <w:p w14:paraId="0F0EE92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10</w:t>
            </w:r>
          </w:p>
        </w:tc>
        <w:tc>
          <w:tcPr>
            <w:tcW w:w="880" w:type="dxa"/>
            <w:tcBorders>
              <w:top w:val="nil"/>
              <w:left w:val="nil"/>
              <w:bottom w:val="nil"/>
              <w:right w:val="nil"/>
            </w:tcBorders>
            <w:shd w:val="clear" w:color="auto" w:fill="auto"/>
            <w:vAlign w:val="bottom"/>
            <w:hideMark/>
          </w:tcPr>
          <w:p w14:paraId="4A12CF17"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4E9F725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152</w:t>
            </w:r>
          </w:p>
        </w:tc>
        <w:tc>
          <w:tcPr>
            <w:tcW w:w="1500" w:type="dxa"/>
            <w:tcBorders>
              <w:top w:val="nil"/>
              <w:left w:val="nil"/>
              <w:bottom w:val="nil"/>
              <w:right w:val="nil"/>
            </w:tcBorders>
            <w:shd w:val="clear" w:color="auto" w:fill="auto"/>
            <w:vAlign w:val="bottom"/>
            <w:hideMark/>
          </w:tcPr>
          <w:p w14:paraId="55F3310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532</w:t>
            </w:r>
          </w:p>
        </w:tc>
      </w:tr>
      <w:tr w:rsidR="007467E1" w:rsidRPr="007467E1" w14:paraId="08DC1241" w14:textId="77777777" w:rsidTr="007467E1">
        <w:trPr>
          <w:trHeight w:val="315"/>
        </w:trPr>
        <w:tc>
          <w:tcPr>
            <w:tcW w:w="1540" w:type="dxa"/>
            <w:tcBorders>
              <w:top w:val="nil"/>
              <w:left w:val="nil"/>
              <w:bottom w:val="nil"/>
              <w:right w:val="nil"/>
            </w:tcBorders>
            <w:shd w:val="clear" w:color="auto" w:fill="auto"/>
            <w:vAlign w:val="bottom"/>
            <w:hideMark/>
          </w:tcPr>
          <w:p w14:paraId="6FA4BB53"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Sale</w:t>
            </w:r>
          </w:p>
        </w:tc>
        <w:tc>
          <w:tcPr>
            <w:tcW w:w="780" w:type="dxa"/>
            <w:tcBorders>
              <w:top w:val="nil"/>
              <w:left w:val="nil"/>
              <w:bottom w:val="nil"/>
              <w:right w:val="nil"/>
            </w:tcBorders>
            <w:shd w:val="clear" w:color="auto" w:fill="auto"/>
            <w:vAlign w:val="bottom"/>
            <w:hideMark/>
          </w:tcPr>
          <w:p w14:paraId="1DB346C8"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p>
        </w:tc>
        <w:tc>
          <w:tcPr>
            <w:tcW w:w="780" w:type="dxa"/>
            <w:tcBorders>
              <w:top w:val="nil"/>
              <w:left w:val="nil"/>
              <w:bottom w:val="nil"/>
              <w:right w:val="nil"/>
            </w:tcBorders>
            <w:shd w:val="clear" w:color="auto" w:fill="auto"/>
            <w:vAlign w:val="bottom"/>
            <w:hideMark/>
          </w:tcPr>
          <w:p w14:paraId="01AF223A"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36C0CE0F"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00" w:type="dxa"/>
            <w:tcBorders>
              <w:top w:val="nil"/>
              <w:left w:val="nil"/>
              <w:bottom w:val="nil"/>
              <w:right w:val="nil"/>
            </w:tcBorders>
            <w:shd w:val="clear" w:color="auto" w:fill="auto"/>
            <w:vAlign w:val="bottom"/>
            <w:hideMark/>
          </w:tcPr>
          <w:p w14:paraId="1DADD7C4"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313B3B2B"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4859A69B"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880" w:type="dxa"/>
            <w:tcBorders>
              <w:top w:val="nil"/>
              <w:left w:val="nil"/>
              <w:bottom w:val="nil"/>
              <w:right w:val="nil"/>
            </w:tcBorders>
            <w:shd w:val="clear" w:color="auto" w:fill="auto"/>
            <w:vAlign w:val="bottom"/>
            <w:hideMark/>
          </w:tcPr>
          <w:p w14:paraId="325954D0"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28177480"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26DD0A2C"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r>
      <w:tr w:rsidR="007467E1" w:rsidRPr="007467E1" w14:paraId="180E3E30" w14:textId="77777777" w:rsidTr="007467E1">
        <w:trPr>
          <w:trHeight w:val="315"/>
        </w:trPr>
        <w:tc>
          <w:tcPr>
            <w:tcW w:w="1540" w:type="dxa"/>
            <w:tcBorders>
              <w:top w:val="nil"/>
              <w:left w:val="nil"/>
              <w:bottom w:val="nil"/>
              <w:right w:val="nil"/>
            </w:tcBorders>
            <w:shd w:val="clear" w:color="auto" w:fill="auto"/>
            <w:vAlign w:val="bottom"/>
            <w:hideMark/>
          </w:tcPr>
          <w:p w14:paraId="7DB4FA09"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2013-14</w:t>
            </w:r>
          </w:p>
        </w:tc>
        <w:tc>
          <w:tcPr>
            <w:tcW w:w="780" w:type="dxa"/>
            <w:tcBorders>
              <w:top w:val="nil"/>
              <w:left w:val="nil"/>
              <w:bottom w:val="nil"/>
              <w:right w:val="nil"/>
            </w:tcBorders>
            <w:shd w:val="clear" w:color="auto" w:fill="auto"/>
            <w:vAlign w:val="bottom"/>
            <w:hideMark/>
          </w:tcPr>
          <w:p w14:paraId="22E934D7"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-29</w:t>
            </w:r>
          </w:p>
        </w:tc>
        <w:tc>
          <w:tcPr>
            <w:tcW w:w="780" w:type="dxa"/>
            <w:tcBorders>
              <w:top w:val="nil"/>
              <w:left w:val="nil"/>
              <w:bottom w:val="nil"/>
              <w:right w:val="nil"/>
            </w:tcBorders>
            <w:shd w:val="clear" w:color="auto" w:fill="auto"/>
            <w:vAlign w:val="bottom"/>
            <w:hideMark/>
          </w:tcPr>
          <w:p w14:paraId="679CE27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-71</w:t>
            </w:r>
          </w:p>
        </w:tc>
        <w:tc>
          <w:tcPr>
            <w:tcW w:w="720" w:type="dxa"/>
            <w:tcBorders>
              <w:top w:val="nil"/>
              <w:left w:val="nil"/>
              <w:bottom w:val="nil"/>
              <w:right w:val="nil"/>
            </w:tcBorders>
            <w:shd w:val="clear" w:color="auto" w:fill="auto"/>
            <w:vAlign w:val="bottom"/>
            <w:hideMark/>
          </w:tcPr>
          <w:p w14:paraId="08A8B837"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-98</w:t>
            </w:r>
          </w:p>
        </w:tc>
        <w:tc>
          <w:tcPr>
            <w:tcW w:w="600" w:type="dxa"/>
            <w:tcBorders>
              <w:top w:val="nil"/>
              <w:left w:val="nil"/>
              <w:bottom w:val="nil"/>
              <w:right w:val="nil"/>
            </w:tcBorders>
            <w:shd w:val="clear" w:color="auto" w:fill="auto"/>
            <w:vAlign w:val="bottom"/>
            <w:hideMark/>
          </w:tcPr>
          <w:p w14:paraId="4BAFC64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3157A49C"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-91</w:t>
            </w:r>
          </w:p>
        </w:tc>
        <w:tc>
          <w:tcPr>
            <w:tcW w:w="680" w:type="dxa"/>
            <w:tcBorders>
              <w:top w:val="nil"/>
              <w:left w:val="nil"/>
              <w:bottom w:val="nil"/>
              <w:right w:val="nil"/>
            </w:tcBorders>
            <w:shd w:val="clear" w:color="auto" w:fill="auto"/>
            <w:vAlign w:val="bottom"/>
            <w:hideMark/>
          </w:tcPr>
          <w:p w14:paraId="0A52BB5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-15</w:t>
            </w:r>
          </w:p>
        </w:tc>
        <w:tc>
          <w:tcPr>
            <w:tcW w:w="880" w:type="dxa"/>
            <w:tcBorders>
              <w:top w:val="nil"/>
              <w:left w:val="nil"/>
              <w:bottom w:val="nil"/>
              <w:right w:val="nil"/>
            </w:tcBorders>
            <w:shd w:val="clear" w:color="auto" w:fill="auto"/>
            <w:vAlign w:val="bottom"/>
            <w:hideMark/>
          </w:tcPr>
          <w:p w14:paraId="22E96A5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6FA284B8"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48CA684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-325</w:t>
            </w:r>
          </w:p>
        </w:tc>
      </w:tr>
      <w:tr w:rsidR="007467E1" w:rsidRPr="007467E1" w14:paraId="436CB7EB" w14:textId="77777777" w:rsidTr="007467E1">
        <w:trPr>
          <w:trHeight w:val="315"/>
        </w:trPr>
        <w:tc>
          <w:tcPr>
            <w:tcW w:w="1540" w:type="dxa"/>
            <w:tcBorders>
              <w:top w:val="nil"/>
              <w:left w:val="nil"/>
              <w:bottom w:val="nil"/>
              <w:right w:val="nil"/>
            </w:tcBorders>
            <w:shd w:val="clear" w:color="auto" w:fill="auto"/>
            <w:vAlign w:val="bottom"/>
            <w:hideMark/>
          </w:tcPr>
          <w:p w14:paraId="7574703B"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2014-15</w:t>
            </w:r>
          </w:p>
        </w:tc>
        <w:tc>
          <w:tcPr>
            <w:tcW w:w="780" w:type="dxa"/>
            <w:tcBorders>
              <w:top w:val="nil"/>
              <w:left w:val="nil"/>
              <w:bottom w:val="nil"/>
              <w:right w:val="nil"/>
            </w:tcBorders>
            <w:shd w:val="clear" w:color="auto" w:fill="auto"/>
            <w:vAlign w:val="bottom"/>
            <w:hideMark/>
          </w:tcPr>
          <w:p w14:paraId="0F027B8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-42</w:t>
            </w:r>
          </w:p>
        </w:tc>
        <w:tc>
          <w:tcPr>
            <w:tcW w:w="780" w:type="dxa"/>
            <w:tcBorders>
              <w:top w:val="nil"/>
              <w:left w:val="nil"/>
              <w:bottom w:val="nil"/>
              <w:right w:val="nil"/>
            </w:tcBorders>
            <w:shd w:val="clear" w:color="auto" w:fill="auto"/>
            <w:vAlign w:val="bottom"/>
            <w:hideMark/>
          </w:tcPr>
          <w:p w14:paraId="6D489EE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-65</w:t>
            </w:r>
          </w:p>
        </w:tc>
        <w:tc>
          <w:tcPr>
            <w:tcW w:w="720" w:type="dxa"/>
            <w:tcBorders>
              <w:top w:val="nil"/>
              <w:left w:val="nil"/>
              <w:bottom w:val="nil"/>
              <w:right w:val="nil"/>
            </w:tcBorders>
            <w:shd w:val="clear" w:color="auto" w:fill="auto"/>
            <w:vAlign w:val="bottom"/>
            <w:hideMark/>
          </w:tcPr>
          <w:p w14:paraId="1605407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-91</w:t>
            </w:r>
          </w:p>
        </w:tc>
        <w:tc>
          <w:tcPr>
            <w:tcW w:w="600" w:type="dxa"/>
            <w:tcBorders>
              <w:top w:val="nil"/>
              <w:left w:val="nil"/>
              <w:bottom w:val="nil"/>
              <w:right w:val="nil"/>
            </w:tcBorders>
            <w:shd w:val="clear" w:color="auto" w:fill="auto"/>
            <w:vAlign w:val="bottom"/>
            <w:hideMark/>
          </w:tcPr>
          <w:p w14:paraId="6285E2D3"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455BA633"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-75</w:t>
            </w:r>
          </w:p>
        </w:tc>
        <w:tc>
          <w:tcPr>
            <w:tcW w:w="680" w:type="dxa"/>
            <w:tcBorders>
              <w:top w:val="nil"/>
              <w:left w:val="nil"/>
              <w:bottom w:val="nil"/>
              <w:right w:val="nil"/>
            </w:tcBorders>
            <w:shd w:val="clear" w:color="auto" w:fill="auto"/>
            <w:vAlign w:val="bottom"/>
            <w:hideMark/>
          </w:tcPr>
          <w:p w14:paraId="6803BB6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-22</w:t>
            </w:r>
          </w:p>
        </w:tc>
        <w:tc>
          <w:tcPr>
            <w:tcW w:w="880" w:type="dxa"/>
            <w:tcBorders>
              <w:top w:val="nil"/>
              <w:left w:val="nil"/>
              <w:bottom w:val="nil"/>
              <w:right w:val="nil"/>
            </w:tcBorders>
            <w:shd w:val="clear" w:color="auto" w:fill="auto"/>
            <w:vAlign w:val="bottom"/>
            <w:hideMark/>
          </w:tcPr>
          <w:p w14:paraId="723A610C"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44A9ED64"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4604DBB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-326</w:t>
            </w:r>
          </w:p>
        </w:tc>
      </w:tr>
      <w:tr w:rsidR="007467E1" w:rsidRPr="007467E1" w14:paraId="4A2F74BA" w14:textId="77777777" w:rsidTr="007467E1">
        <w:trPr>
          <w:trHeight w:val="315"/>
        </w:trPr>
        <w:tc>
          <w:tcPr>
            <w:tcW w:w="1540" w:type="dxa"/>
            <w:tcBorders>
              <w:top w:val="nil"/>
              <w:left w:val="nil"/>
              <w:bottom w:val="nil"/>
              <w:right w:val="nil"/>
            </w:tcBorders>
            <w:shd w:val="clear" w:color="auto" w:fill="auto"/>
            <w:vAlign w:val="bottom"/>
            <w:hideMark/>
          </w:tcPr>
          <w:p w14:paraId="3CD88910"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2015-16</w:t>
            </w:r>
          </w:p>
        </w:tc>
        <w:tc>
          <w:tcPr>
            <w:tcW w:w="780" w:type="dxa"/>
            <w:tcBorders>
              <w:top w:val="nil"/>
              <w:left w:val="nil"/>
              <w:bottom w:val="nil"/>
              <w:right w:val="nil"/>
            </w:tcBorders>
            <w:shd w:val="clear" w:color="auto" w:fill="auto"/>
            <w:vAlign w:val="bottom"/>
            <w:hideMark/>
          </w:tcPr>
          <w:p w14:paraId="5A0F0AB8"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-136</w:t>
            </w:r>
          </w:p>
        </w:tc>
        <w:tc>
          <w:tcPr>
            <w:tcW w:w="780" w:type="dxa"/>
            <w:tcBorders>
              <w:top w:val="nil"/>
              <w:left w:val="nil"/>
              <w:bottom w:val="nil"/>
              <w:right w:val="nil"/>
            </w:tcBorders>
            <w:shd w:val="clear" w:color="auto" w:fill="auto"/>
            <w:vAlign w:val="bottom"/>
            <w:hideMark/>
          </w:tcPr>
          <w:p w14:paraId="0E1B21D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-58</w:t>
            </w:r>
          </w:p>
        </w:tc>
        <w:tc>
          <w:tcPr>
            <w:tcW w:w="720" w:type="dxa"/>
            <w:tcBorders>
              <w:top w:val="nil"/>
              <w:left w:val="nil"/>
              <w:bottom w:val="nil"/>
              <w:right w:val="nil"/>
            </w:tcBorders>
            <w:shd w:val="clear" w:color="auto" w:fill="auto"/>
            <w:vAlign w:val="bottom"/>
            <w:hideMark/>
          </w:tcPr>
          <w:p w14:paraId="41EF0024"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-99</w:t>
            </w:r>
          </w:p>
        </w:tc>
        <w:tc>
          <w:tcPr>
            <w:tcW w:w="600" w:type="dxa"/>
            <w:tcBorders>
              <w:top w:val="nil"/>
              <w:left w:val="nil"/>
              <w:bottom w:val="nil"/>
              <w:right w:val="nil"/>
            </w:tcBorders>
            <w:shd w:val="clear" w:color="auto" w:fill="auto"/>
            <w:vAlign w:val="bottom"/>
            <w:hideMark/>
          </w:tcPr>
          <w:p w14:paraId="08E52B4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5ABA70ED"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-70</w:t>
            </w:r>
          </w:p>
        </w:tc>
        <w:tc>
          <w:tcPr>
            <w:tcW w:w="680" w:type="dxa"/>
            <w:tcBorders>
              <w:top w:val="nil"/>
              <w:left w:val="nil"/>
              <w:bottom w:val="nil"/>
              <w:right w:val="nil"/>
            </w:tcBorders>
            <w:shd w:val="clear" w:color="auto" w:fill="auto"/>
            <w:vAlign w:val="bottom"/>
            <w:hideMark/>
          </w:tcPr>
          <w:p w14:paraId="3D8B1308"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-17</w:t>
            </w:r>
          </w:p>
        </w:tc>
        <w:tc>
          <w:tcPr>
            <w:tcW w:w="880" w:type="dxa"/>
            <w:tcBorders>
              <w:top w:val="nil"/>
              <w:left w:val="nil"/>
              <w:bottom w:val="nil"/>
              <w:right w:val="nil"/>
            </w:tcBorders>
            <w:shd w:val="clear" w:color="auto" w:fill="auto"/>
            <w:vAlign w:val="bottom"/>
            <w:hideMark/>
          </w:tcPr>
          <w:p w14:paraId="1B65F911"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3210CEE1"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49DD4F13"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-390</w:t>
            </w:r>
          </w:p>
        </w:tc>
      </w:tr>
      <w:tr w:rsidR="007467E1" w:rsidRPr="007467E1" w14:paraId="4775F559" w14:textId="77777777" w:rsidTr="007467E1">
        <w:trPr>
          <w:trHeight w:val="315"/>
        </w:trPr>
        <w:tc>
          <w:tcPr>
            <w:tcW w:w="1540" w:type="dxa"/>
            <w:tcBorders>
              <w:top w:val="nil"/>
              <w:left w:val="nil"/>
              <w:bottom w:val="nil"/>
              <w:right w:val="nil"/>
            </w:tcBorders>
            <w:shd w:val="clear" w:color="auto" w:fill="auto"/>
            <w:vAlign w:val="bottom"/>
            <w:hideMark/>
          </w:tcPr>
          <w:p w14:paraId="199DE1D5"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Net investment</w:t>
            </w:r>
          </w:p>
        </w:tc>
        <w:tc>
          <w:tcPr>
            <w:tcW w:w="780" w:type="dxa"/>
            <w:tcBorders>
              <w:top w:val="nil"/>
              <w:left w:val="nil"/>
              <w:bottom w:val="nil"/>
              <w:right w:val="nil"/>
            </w:tcBorders>
            <w:shd w:val="clear" w:color="auto" w:fill="auto"/>
            <w:vAlign w:val="bottom"/>
            <w:hideMark/>
          </w:tcPr>
          <w:p w14:paraId="58ED6F2F" w14:textId="77777777" w:rsidR="007467E1" w:rsidRPr="007467E1" w:rsidRDefault="007467E1" w:rsidP="007467E1">
            <w:pPr>
              <w:tabs>
                <w:tab w:val="clear" w:pos="567"/>
              </w:tabs>
              <w:spacing w:after="0" w:line="240" w:lineRule="auto"/>
              <w:rPr>
                <w:rFonts w:ascii="Calibri" w:eastAsia="Times New Roman" w:hAnsi="Calibri" w:cs="Calibri"/>
                <w:color w:val="000000"/>
                <w:sz w:val="20"/>
                <w:szCs w:val="20"/>
                <w:lang w:eastAsia="en-AU"/>
              </w:rPr>
            </w:pPr>
          </w:p>
        </w:tc>
        <w:tc>
          <w:tcPr>
            <w:tcW w:w="780" w:type="dxa"/>
            <w:tcBorders>
              <w:top w:val="nil"/>
              <w:left w:val="nil"/>
              <w:bottom w:val="nil"/>
              <w:right w:val="nil"/>
            </w:tcBorders>
            <w:shd w:val="clear" w:color="auto" w:fill="auto"/>
            <w:vAlign w:val="bottom"/>
            <w:hideMark/>
          </w:tcPr>
          <w:p w14:paraId="27CF50DE"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575E129D"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00" w:type="dxa"/>
            <w:tcBorders>
              <w:top w:val="nil"/>
              <w:left w:val="nil"/>
              <w:bottom w:val="nil"/>
              <w:right w:val="nil"/>
            </w:tcBorders>
            <w:shd w:val="clear" w:color="auto" w:fill="auto"/>
            <w:vAlign w:val="bottom"/>
            <w:hideMark/>
          </w:tcPr>
          <w:p w14:paraId="4EFCF331"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590A76B1"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vAlign w:val="bottom"/>
            <w:hideMark/>
          </w:tcPr>
          <w:p w14:paraId="0178409E"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880" w:type="dxa"/>
            <w:tcBorders>
              <w:top w:val="nil"/>
              <w:left w:val="nil"/>
              <w:bottom w:val="nil"/>
              <w:right w:val="nil"/>
            </w:tcBorders>
            <w:shd w:val="clear" w:color="auto" w:fill="auto"/>
            <w:vAlign w:val="bottom"/>
            <w:hideMark/>
          </w:tcPr>
          <w:p w14:paraId="7D53987B"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720" w:type="dxa"/>
            <w:tcBorders>
              <w:top w:val="nil"/>
              <w:left w:val="nil"/>
              <w:bottom w:val="nil"/>
              <w:right w:val="nil"/>
            </w:tcBorders>
            <w:shd w:val="clear" w:color="auto" w:fill="auto"/>
            <w:vAlign w:val="bottom"/>
            <w:hideMark/>
          </w:tcPr>
          <w:p w14:paraId="0B0D9189"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c>
          <w:tcPr>
            <w:tcW w:w="1500" w:type="dxa"/>
            <w:tcBorders>
              <w:top w:val="nil"/>
              <w:left w:val="nil"/>
              <w:bottom w:val="nil"/>
              <w:right w:val="nil"/>
            </w:tcBorders>
            <w:shd w:val="clear" w:color="auto" w:fill="auto"/>
            <w:vAlign w:val="bottom"/>
            <w:hideMark/>
          </w:tcPr>
          <w:p w14:paraId="2294F489" w14:textId="77777777" w:rsidR="007467E1" w:rsidRPr="007467E1" w:rsidRDefault="007467E1" w:rsidP="007467E1">
            <w:pPr>
              <w:tabs>
                <w:tab w:val="clear" w:pos="567"/>
              </w:tabs>
              <w:spacing w:after="0" w:line="240" w:lineRule="auto"/>
              <w:jc w:val="right"/>
              <w:rPr>
                <w:rFonts w:ascii="Times New Roman" w:eastAsia="Times New Roman" w:hAnsi="Times New Roman" w:cs="Times New Roman"/>
                <w:sz w:val="20"/>
                <w:szCs w:val="20"/>
                <w:lang w:eastAsia="en-AU"/>
              </w:rPr>
            </w:pPr>
          </w:p>
        </w:tc>
      </w:tr>
      <w:tr w:rsidR="007467E1" w:rsidRPr="007467E1" w14:paraId="54A88C08" w14:textId="77777777" w:rsidTr="007467E1">
        <w:trPr>
          <w:trHeight w:val="315"/>
        </w:trPr>
        <w:tc>
          <w:tcPr>
            <w:tcW w:w="1540" w:type="dxa"/>
            <w:tcBorders>
              <w:top w:val="nil"/>
              <w:left w:val="nil"/>
              <w:bottom w:val="nil"/>
              <w:right w:val="nil"/>
            </w:tcBorders>
            <w:shd w:val="clear" w:color="auto" w:fill="auto"/>
            <w:vAlign w:val="bottom"/>
            <w:hideMark/>
          </w:tcPr>
          <w:p w14:paraId="13523F69"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2013-14</w:t>
            </w:r>
          </w:p>
        </w:tc>
        <w:tc>
          <w:tcPr>
            <w:tcW w:w="780" w:type="dxa"/>
            <w:tcBorders>
              <w:top w:val="nil"/>
              <w:left w:val="nil"/>
              <w:bottom w:val="nil"/>
              <w:right w:val="nil"/>
            </w:tcBorders>
            <w:shd w:val="clear" w:color="auto" w:fill="auto"/>
            <w:vAlign w:val="bottom"/>
            <w:hideMark/>
          </w:tcPr>
          <w:p w14:paraId="55575E1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10</w:t>
            </w:r>
          </w:p>
        </w:tc>
        <w:tc>
          <w:tcPr>
            <w:tcW w:w="780" w:type="dxa"/>
            <w:tcBorders>
              <w:top w:val="nil"/>
              <w:left w:val="nil"/>
              <w:bottom w:val="nil"/>
              <w:right w:val="nil"/>
            </w:tcBorders>
            <w:shd w:val="clear" w:color="auto" w:fill="auto"/>
            <w:vAlign w:val="bottom"/>
            <w:hideMark/>
          </w:tcPr>
          <w:p w14:paraId="13C13BA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-108</w:t>
            </w:r>
          </w:p>
        </w:tc>
        <w:tc>
          <w:tcPr>
            <w:tcW w:w="720" w:type="dxa"/>
            <w:tcBorders>
              <w:top w:val="nil"/>
              <w:left w:val="nil"/>
              <w:bottom w:val="nil"/>
              <w:right w:val="nil"/>
            </w:tcBorders>
            <w:shd w:val="clear" w:color="auto" w:fill="auto"/>
            <w:vAlign w:val="bottom"/>
            <w:hideMark/>
          </w:tcPr>
          <w:p w14:paraId="771A17F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117</w:t>
            </w:r>
          </w:p>
        </w:tc>
        <w:tc>
          <w:tcPr>
            <w:tcW w:w="600" w:type="dxa"/>
            <w:tcBorders>
              <w:top w:val="nil"/>
              <w:left w:val="nil"/>
              <w:bottom w:val="nil"/>
              <w:right w:val="nil"/>
            </w:tcBorders>
            <w:shd w:val="clear" w:color="auto" w:fill="auto"/>
            <w:vAlign w:val="bottom"/>
            <w:hideMark/>
          </w:tcPr>
          <w:p w14:paraId="3F16FFB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705D730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-91</w:t>
            </w:r>
          </w:p>
        </w:tc>
        <w:tc>
          <w:tcPr>
            <w:tcW w:w="680" w:type="dxa"/>
            <w:tcBorders>
              <w:top w:val="nil"/>
              <w:left w:val="nil"/>
              <w:bottom w:val="nil"/>
              <w:right w:val="nil"/>
            </w:tcBorders>
            <w:shd w:val="clear" w:color="auto" w:fill="auto"/>
            <w:vAlign w:val="bottom"/>
            <w:hideMark/>
          </w:tcPr>
          <w:p w14:paraId="4C1312C2"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-5</w:t>
            </w:r>
          </w:p>
        </w:tc>
        <w:tc>
          <w:tcPr>
            <w:tcW w:w="880" w:type="dxa"/>
            <w:tcBorders>
              <w:top w:val="nil"/>
              <w:left w:val="nil"/>
              <w:bottom w:val="nil"/>
              <w:right w:val="nil"/>
            </w:tcBorders>
            <w:shd w:val="clear" w:color="auto" w:fill="auto"/>
            <w:vAlign w:val="bottom"/>
            <w:hideMark/>
          </w:tcPr>
          <w:p w14:paraId="12C38B4C"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72C3AEE2"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115</w:t>
            </w:r>
          </w:p>
        </w:tc>
        <w:tc>
          <w:tcPr>
            <w:tcW w:w="1500" w:type="dxa"/>
            <w:tcBorders>
              <w:top w:val="nil"/>
              <w:left w:val="nil"/>
              <w:bottom w:val="nil"/>
              <w:right w:val="nil"/>
            </w:tcBorders>
            <w:shd w:val="clear" w:color="auto" w:fill="auto"/>
            <w:vAlign w:val="bottom"/>
            <w:hideMark/>
          </w:tcPr>
          <w:p w14:paraId="581910DB"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39</w:t>
            </w:r>
          </w:p>
        </w:tc>
      </w:tr>
      <w:tr w:rsidR="007467E1" w:rsidRPr="007467E1" w14:paraId="71D1E296" w14:textId="77777777" w:rsidTr="007467E1">
        <w:trPr>
          <w:trHeight w:val="315"/>
        </w:trPr>
        <w:tc>
          <w:tcPr>
            <w:tcW w:w="1540" w:type="dxa"/>
            <w:tcBorders>
              <w:top w:val="nil"/>
              <w:left w:val="nil"/>
              <w:bottom w:val="nil"/>
              <w:right w:val="nil"/>
            </w:tcBorders>
            <w:shd w:val="clear" w:color="auto" w:fill="auto"/>
            <w:vAlign w:val="bottom"/>
            <w:hideMark/>
          </w:tcPr>
          <w:p w14:paraId="6110ED04"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2014-15</w:t>
            </w:r>
          </w:p>
        </w:tc>
        <w:tc>
          <w:tcPr>
            <w:tcW w:w="780" w:type="dxa"/>
            <w:tcBorders>
              <w:top w:val="nil"/>
              <w:left w:val="nil"/>
              <w:bottom w:val="nil"/>
              <w:right w:val="nil"/>
            </w:tcBorders>
            <w:shd w:val="clear" w:color="auto" w:fill="auto"/>
            <w:vAlign w:val="bottom"/>
            <w:hideMark/>
          </w:tcPr>
          <w:p w14:paraId="616191A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54</w:t>
            </w:r>
          </w:p>
        </w:tc>
        <w:tc>
          <w:tcPr>
            <w:tcW w:w="780" w:type="dxa"/>
            <w:tcBorders>
              <w:top w:val="nil"/>
              <w:left w:val="nil"/>
              <w:bottom w:val="nil"/>
              <w:right w:val="nil"/>
            </w:tcBorders>
            <w:shd w:val="clear" w:color="auto" w:fill="auto"/>
            <w:vAlign w:val="bottom"/>
            <w:hideMark/>
          </w:tcPr>
          <w:p w14:paraId="771EE19A"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-73</w:t>
            </w:r>
          </w:p>
        </w:tc>
        <w:tc>
          <w:tcPr>
            <w:tcW w:w="720" w:type="dxa"/>
            <w:tcBorders>
              <w:top w:val="nil"/>
              <w:left w:val="nil"/>
              <w:bottom w:val="nil"/>
              <w:right w:val="nil"/>
            </w:tcBorders>
            <w:shd w:val="clear" w:color="auto" w:fill="auto"/>
            <w:vAlign w:val="bottom"/>
            <w:hideMark/>
          </w:tcPr>
          <w:p w14:paraId="76C1DAE3"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121</w:t>
            </w:r>
          </w:p>
        </w:tc>
        <w:tc>
          <w:tcPr>
            <w:tcW w:w="600" w:type="dxa"/>
            <w:tcBorders>
              <w:top w:val="nil"/>
              <w:left w:val="nil"/>
              <w:bottom w:val="nil"/>
              <w:right w:val="nil"/>
            </w:tcBorders>
            <w:shd w:val="clear" w:color="auto" w:fill="auto"/>
            <w:vAlign w:val="bottom"/>
            <w:hideMark/>
          </w:tcPr>
          <w:p w14:paraId="05F71FB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0</w:t>
            </w:r>
          </w:p>
        </w:tc>
        <w:tc>
          <w:tcPr>
            <w:tcW w:w="680" w:type="dxa"/>
            <w:tcBorders>
              <w:top w:val="nil"/>
              <w:left w:val="nil"/>
              <w:bottom w:val="nil"/>
              <w:right w:val="nil"/>
            </w:tcBorders>
            <w:shd w:val="clear" w:color="auto" w:fill="auto"/>
            <w:vAlign w:val="bottom"/>
            <w:hideMark/>
          </w:tcPr>
          <w:p w14:paraId="74897770"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-74</w:t>
            </w:r>
          </w:p>
        </w:tc>
        <w:tc>
          <w:tcPr>
            <w:tcW w:w="680" w:type="dxa"/>
            <w:tcBorders>
              <w:top w:val="nil"/>
              <w:left w:val="nil"/>
              <w:bottom w:val="nil"/>
              <w:right w:val="nil"/>
            </w:tcBorders>
            <w:shd w:val="clear" w:color="auto" w:fill="auto"/>
            <w:vAlign w:val="bottom"/>
            <w:hideMark/>
          </w:tcPr>
          <w:p w14:paraId="58B80576"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-6</w:t>
            </w:r>
          </w:p>
        </w:tc>
        <w:tc>
          <w:tcPr>
            <w:tcW w:w="880" w:type="dxa"/>
            <w:tcBorders>
              <w:top w:val="nil"/>
              <w:left w:val="nil"/>
              <w:bottom w:val="nil"/>
              <w:right w:val="nil"/>
            </w:tcBorders>
            <w:shd w:val="clear" w:color="auto" w:fill="auto"/>
            <w:vAlign w:val="bottom"/>
            <w:hideMark/>
          </w:tcPr>
          <w:p w14:paraId="26B670C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p>
        </w:tc>
        <w:tc>
          <w:tcPr>
            <w:tcW w:w="720" w:type="dxa"/>
            <w:tcBorders>
              <w:top w:val="nil"/>
              <w:left w:val="nil"/>
              <w:bottom w:val="nil"/>
              <w:right w:val="nil"/>
            </w:tcBorders>
            <w:shd w:val="clear" w:color="auto" w:fill="auto"/>
            <w:vAlign w:val="bottom"/>
            <w:hideMark/>
          </w:tcPr>
          <w:p w14:paraId="40119E98"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64</w:t>
            </w:r>
          </w:p>
        </w:tc>
        <w:tc>
          <w:tcPr>
            <w:tcW w:w="1500" w:type="dxa"/>
            <w:tcBorders>
              <w:top w:val="nil"/>
              <w:left w:val="nil"/>
              <w:bottom w:val="nil"/>
              <w:right w:val="nil"/>
            </w:tcBorders>
            <w:shd w:val="clear" w:color="auto" w:fill="auto"/>
            <w:vAlign w:val="bottom"/>
            <w:hideMark/>
          </w:tcPr>
          <w:p w14:paraId="7EFE034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86</w:t>
            </w:r>
          </w:p>
        </w:tc>
      </w:tr>
      <w:tr w:rsidR="007467E1" w:rsidRPr="007467E1" w14:paraId="2F46EA79" w14:textId="77777777" w:rsidTr="007467E1">
        <w:trPr>
          <w:trHeight w:val="315"/>
        </w:trPr>
        <w:tc>
          <w:tcPr>
            <w:tcW w:w="1540" w:type="dxa"/>
            <w:tcBorders>
              <w:top w:val="nil"/>
              <w:left w:val="nil"/>
              <w:bottom w:val="single" w:sz="4" w:space="0" w:color="auto"/>
              <w:right w:val="nil"/>
            </w:tcBorders>
            <w:shd w:val="clear" w:color="auto" w:fill="auto"/>
            <w:vAlign w:val="bottom"/>
            <w:hideMark/>
          </w:tcPr>
          <w:p w14:paraId="1BEE7C1F" w14:textId="77777777" w:rsidR="007467E1" w:rsidRPr="007467E1" w:rsidRDefault="007467E1" w:rsidP="007467E1">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2015-16</w:t>
            </w:r>
          </w:p>
        </w:tc>
        <w:tc>
          <w:tcPr>
            <w:tcW w:w="780" w:type="dxa"/>
            <w:tcBorders>
              <w:top w:val="nil"/>
              <w:left w:val="nil"/>
              <w:bottom w:val="single" w:sz="4" w:space="0" w:color="auto"/>
              <w:right w:val="nil"/>
            </w:tcBorders>
            <w:shd w:val="clear" w:color="auto" w:fill="auto"/>
            <w:vAlign w:val="bottom"/>
            <w:hideMark/>
          </w:tcPr>
          <w:p w14:paraId="271C6CD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-71</w:t>
            </w:r>
          </w:p>
        </w:tc>
        <w:tc>
          <w:tcPr>
            <w:tcW w:w="780" w:type="dxa"/>
            <w:tcBorders>
              <w:top w:val="nil"/>
              <w:left w:val="nil"/>
              <w:bottom w:val="single" w:sz="4" w:space="0" w:color="auto"/>
              <w:right w:val="nil"/>
            </w:tcBorders>
            <w:shd w:val="clear" w:color="auto" w:fill="auto"/>
            <w:vAlign w:val="bottom"/>
            <w:hideMark/>
          </w:tcPr>
          <w:p w14:paraId="0887EA5E"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-58</w:t>
            </w:r>
          </w:p>
        </w:tc>
        <w:tc>
          <w:tcPr>
            <w:tcW w:w="720" w:type="dxa"/>
            <w:tcBorders>
              <w:top w:val="nil"/>
              <w:left w:val="nil"/>
              <w:bottom w:val="single" w:sz="4" w:space="0" w:color="auto"/>
              <w:right w:val="nil"/>
            </w:tcBorders>
            <w:shd w:val="clear" w:color="auto" w:fill="auto"/>
            <w:vAlign w:val="bottom"/>
            <w:hideMark/>
          </w:tcPr>
          <w:p w14:paraId="6136DA75"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205</w:t>
            </w:r>
          </w:p>
        </w:tc>
        <w:tc>
          <w:tcPr>
            <w:tcW w:w="600" w:type="dxa"/>
            <w:tcBorders>
              <w:top w:val="nil"/>
              <w:left w:val="nil"/>
              <w:bottom w:val="single" w:sz="4" w:space="0" w:color="auto"/>
              <w:right w:val="nil"/>
            </w:tcBorders>
            <w:shd w:val="clear" w:color="auto" w:fill="auto"/>
            <w:vAlign w:val="bottom"/>
            <w:hideMark/>
          </w:tcPr>
          <w:p w14:paraId="1067B132"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w:t>
            </w:r>
          </w:p>
        </w:tc>
        <w:tc>
          <w:tcPr>
            <w:tcW w:w="680" w:type="dxa"/>
            <w:tcBorders>
              <w:top w:val="nil"/>
              <w:left w:val="nil"/>
              <w:bottom w:val="single" w:sz="4" w:space="0" w:color="auto"/>
              <w:right w:val="nil"/>
            </w:tcBorders>
            <w:shd w:val="clear" w:color="auto" w:fill="auto"/>
            <w:vAlign w:val="bottom"/>
            <w:hideMark/>
          </w:tcPr>
          <w:p w14:paraId="750573D9"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-69</w:t>
            </w:r>
          </w:p>
        </w:tc>
        <w:tc>
          <w:tcPr>
            <w:tcW w:w="680" w:type="dxa"/>
            <w:tcBorders>
              <w:top w:val="nil"/>
              <w:left w:val="nil"/>
              <w:bottom w:val="single" w:sz="4" w:space="0" w:color="auto"/>
              <w:right w:val="nil"/>
            </w:tcBorders>
            <w:shd w:val="clear" w:color="auto" w:fill="auto"/>
            <w:vAlign w:val="bottom"/>
            <w:hideMark/>
          </w:tcPr>
          <w:p w14:paraId="6D3A3DD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-7</w:t>
            </w:r>
          </w:p>
        </w:tc>
        <w:tc>
          <w:tcPr>
            <w:tcW w:w="880" w:type="dxa"/>
            <w:tcBorders>
              <w:top w:val="nil"/>
              <w:left w:val="nil"/>
              <w:bottom w:val="single" w:sz="4" w:space="0" w:color="auto"/>
              <w:right w:val="nil"/>
            </w:tcBorders>
            <w:shd w:val="clear" w:color="auto" w:fill="auto"/>
            <w:vAlign w:val="bottom"/>
            <w:hideMark/>
          </w:tcPr>
          <w:p w14:paraId="6E647F88"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 </w:t>
            </w:r>
          </w:p>
        </w:tc>
        <w:tc>
          <w:tcPr>
            <w:tcW w:w="720" w:type="dxa"/>
            <w:tcBorders>
              <w:top w:val="nil"/>
              <w:left w:val="nil"/>
              <w:bottom w:val="single" w:sz="4" w:space="0" w:color="auto"/>
              <w:right w:val="nil"/>
            </w:tcBorders>
            <w:shd w:val="clear" w:color="auto" w:fill="auto"/>
            <w:vAlign w:val="bottom"/>
            <w:hideMark/>
          </w:tcPr>
          <w:p w14:paraId="207D776C"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141</w:t>
            </w:r>
          </w:p>
        </w:tc>
        <w:tc>
          <w:tcPr>
            <w:tcW w:w="1500" w:type="dxa"/>
            <w:tcBorders>
              <w:top w:val="nil"/>
              <w:left w:val="nil"/>
              <w:bottom w:val="single" w:sz="4" w:space="0" w:color="auto"/>
              <w:right w:val="nil"/>
            </w:tcBorders>
            <w:shd w:val="clear" w:color="auto" w:fill="auto"/>
            <w:vAlign w:val="bottom"/>
            <w:hideMark/>
          </w:tcPr>
          <w:p w14:paraId="085B3D2F" w14:textId="77777777" w:rsidR="007467E1" w:rsidRPr="007467E1" w:rsidRDefault="007467E1" w:rsidP="007467E1">
            <w:pPr>
              <w:tabs>
                <w:tab w:val="clear" w:pos="567"/>
              </w:tabs>
              <w:spacing w:after="0" w:line="240" w:lineRule="auto"/>
              <w:jc w:val="right"/>
              <w:rPr>
                <w:rFonts w:ascii="Calibri" w:eastAsia="Times New Roman" w:hAnsi="Calibri" w:cs="Calibri"/>
                <w:color w:val="000000"/>
                <w:sz w:val="20"/>
                <w:szCs w:val="20"/>
                <w:lang w:eastAsia="en-AU"/>
              </w:rPr>
            </w:pPr>
            <w:r w:rsidRPr="007467E1">
              <w:rPr>
                <w:rFonts w:ascii="Calibri" w:eastAsia="Times New Roman" w:hAnsi="Calibri" w:cs="Calibri"/>
                <w:color w:val="000000"/>
                <w:sz w:val="20"/>
                <w:szCs w:val="20"/>
                <w:lang w:eastAsia="en-AU"/>
              </w:rPr>
              <w:t>142</w:t>
            </w:r>
          </w:p>
        </w:tc>
      </w:tr>
    </w:tbl>
    <w:p w14:paraId="3F944301" w14:textId="1E21C74A" w:rsidR="00D70088" w:rsidRDefault="00D70088" w:rsidP="003915B8">
      <w:pPr>
        <w:pStyle w:val="CGCTableFootnote"/>
      </w:pPr>
      <w:r>
        <w:t>(a)</w:t>
      </w:r>
      <w:r>
        <w:tab/>
        <w:t xml:space="preserve">Data for </w:t>
      </w:r>
      <w:r w:rsidR="004075B6">
        <w:t xml:space="preserve">the </w:t>
      </w:r>
      <w:r>
        <w:t xml:space="preserve">ACT </w:t>
      </w:r>
      <w:r w:rsidR="004075B6">
        <w:t xml:space="preserve">have been </w:t>
      </w:r>
      <w:r>
        <w:t>omitted as there appear to be some associated classification issues.</w:t>
      </w:r>
    </w:p>
    <w:p w14:paraId="35DB5ACD" w14:textId="77777777" w:rsidR="003915B8" w:rsidRDefault="003915B8" w:rsidP="003915B8">
      <w:pPr>
        <w:pStyle w:val="CGCTableFootnote"/>
      </w:pPr>
      <w:r>
        <w:t>Source:</w:t>
      </w:r>
      <w:r>
        <w:tab/>
        <w:t>ABS GFS.</w:t>
      </w:r>
    </w:p>
    <w:tbl>
      <w:tblPr>
        <w:tblW w:w="0" w:type="auto"/>
        <w:shd w:val="clear" w:color="auto" w:fill="D9F3E6"/>
        <w:tblLayout w:type="fixed"/>
        <w:tblLook w:val="0000" w:firstRow="0" w:lastRow="0" w:firstColumn="0" w:lastColumn="0" w:noHBand="0" w:noVBand="0"/>
      </w:tblPr>
      <w:tblGrid>
        <w:gridCol w:w="9167"/>
      </w:tblGrid>
      <w:tr w:rsidR="003915B8" w:rsidRPr="005B5CD9" w14:paraId="7724CDDC" w14:textId="77777777" w:rsidTr="00741623">
        <w:tc>
          <w:tcPr>
            <w:tcW w:w="9167" w:type="dxa"/>
            <w:shd w:val="clear" w:color="auto" w:fill="D9F3E6"/>
          </w:tcPr>
          <w:p w14:paraId="2DC1995A" w14:textId="39D8B2BC" w:rsidR="003915B8" w:rsidRPr="005B5CD9" w:rsidRDefault="00524B97" w:rsidP="00FF1A8B">
            <w:pPr>
              <w:keepNext/>
              <w:keepLines/>
            </w:pPr>
            <w:r w:rsidRPr="006B3612">
              <w:rPr>
                <w:rStyle w:val="Heading6Char"/>
                <w:rFonts w:eastAsiaTheme="minorHAnsi" w:cstheme="minorBidi"/>
                <w:b w:val="0"/>
                <w:i w:val="0"/>
                <w:iCs w:val="0"/>
                <w:color w:val="auto"/>
                <w:sz w:val="24"/>
                <w:szCs w:val="24"/>
              </w:rPr>
              <w:lastRenderedPageBreak/>
              <w:t xml:space="preserve">States are welcome to develop a case for the assessment of the impact of land prices on the costs of providing housing services. </w:t>
            </w:r>
            <w:r w:rsidR="003915B8" w:rsidRPr="005B5CD9">
              <w:t>Staff propose to recommend the Commission:</w:t>
            </w:r>
          </w:p>
        </w:tc>
      </w:tr>
      <w:tr w:rsidR="003915B8" w:rsidRPr="005B5CD9" w14:paraId="7700D3E2" w14:textId="77777777" w:rsidTr="00741623">
        <w:tc>
          <w:tcPr>
            <w:tcW w:w="9167" w:type="dxa"/>
            <w:shd w:val="clear" w:color="auto" w:fill="D9F3E6"/>
          </w:tcPr>
          <w:p w14:paraId="59FA6BA7" w14:textId="77777777" w:rsidR="003915B8" w:rsidRPr="005B5CD9" w:rsidRDefault="003915B8" w:rsidP="00FF1A8B">
            <w:pPr>
              <w:pStyle w:val="CGCBulletlist"/>
              <w:keepNext/>
              <w:keepLines/>
            </w:pPr>
            <w:r>
              <w:t xml:space="preserve">not pursue a differential assessment of housing related land costs because </w:t>
            </w:r>
            <w:r w:rsidR="008346A3">
              <w:t xml:space="preserve">recurrent expenses would not be affected by land prices and </w:t>
            </w:r>
            <w:r>
              <w:t>net investment in land is too small for an assessment to be material.</w:t>
            </w:r>
          </w:p>
        </w:tc>
      </w:tr>
    </w:tbl>
    <w:p w14:paraId="75CD8CB8" w14:textId="77777777" w:rsidR="009C42D7" w:rsidRDefault="009C42D7" w:rsidP="00747C7F">
      <w:pPr>
        <w:pStyle w:val="Heading4"/>
      </w:pPr>
      <w:bookmarkStart w:id="48" w:name="_Toc511634839"/>
      <w:bookmarkStart w:id="49" w:name="_Toc511732230"/>
      <w:r>
        <w:t>The impact of policies on affordable housing</w:t>
      </w:r>
      <w:bookmarkEnd w:id="48"/>
      <w:bookmarkEnd w:id="49"/>
    </w:p>
    <w:p w14:paraId="699C665A" w14:textId="77777777" w:rsidR="00D41157" w:rsidRDefault="00D41157" w:rsidP="00D41157">
      <w:pPr>
        <w:pStyle w:val="CGCNumberedPara"/>
        <w:numPr>
          <w:ilvl w:val="1"/>
          <w:numId w:val="3"/>
        </w:numPr>
      </w:pPr>
      <w:r>
        <w:t>Commission staff’s review of what States do (</w:t>
      </w:r>
      <w:r w:rsidR="00AA2621">
        <w:t xml:space="preserve">Staff Research Paper </w:t>
      </w:r>
      <w:r w:rsidRPr="00356477">
        <w:rPr>
          <w:i/>
        </w:rPr>
        <w:t>CGC 2016-14-S</w:t>
      </w:r>
      <w:r w:rsidR="00AA2621" w:rsidRPr="00356477">
        <w:rPr>
          <w:i/>
        </w:rPr>
        <w:t>,</w:t>
      </w:r>
      <w:r w:rsidRPr="0068542B">
        <w:t xml:space="preserve"> </w:t>
      </w:r>
      <w:r w:rsidRPr="00FA04E6">
        <w:rPr>
          <w:i/>
        </w:rPr>
        <w:t>What States Do - Housing Services</w:t>
      </w:r>
      <w:r>
        <w:t xml:space="preserve">) suggested that Commonwealth and State governments are now giving greater policy and funding attention to affordable housing. For example, a number of States are working more intensively with the community and private sectors to </w:t>
      </w:r>
      <w:r w:rsidRPr="008A4C81">
        <w:t>increase the supply of affordable housing</w:t>
      </w:r>
      <w:r>
        <w:t xml:space="preserve">, while the </w:t>
      </w:r>
      <w:r w:rsidRPr="000070AE">
        <w:t>National Affordable Housing Agreement</w:t>
      </w:r>
      <w:r>
        <w:t xml:space="preserve"> and the successor National Housing and Homelessness Agreement both include a specific focus on affordable housing.</w:t>
      </w:r>
    </w:p>
    <w:p w14:paraId="300F801C" w14:textId="494D9769" w:rsidR="00D41157" w:rsidRPr="007551EC" w:rsidRDefault="00D41157" w:rsidP="00D41157">
      <w:pPr>
        <w:pStyle w:val="CGCNumberedPara"/>
        <w:numPr>
          <w:ilvl w:val="1"/>
          <w:numId w:val="3"/>
        </w:numPr>
      </w:pPr>
      <w:r w:rsidRPr="00CA76D7">
        <w:t xml:space="preserve">Affordable housing </w:t>
      </w:r>
      <w:r>
        <w:t xml:space="preserve">refers to housing </w:t>
      </w:r>
      <w:r w:rsidRPr="00CA76D7">
        <w:t>targeted at low</w:t>
      </w:r>
      <w:r>
        <w:noBreakHyphen/>
        <w:t>to</w:t>
      </w:r>
      <w:r>
        <w:noBreakHyphen/>
      </w:r>
      <w:r w:rsidRPr="00CA76D7">
        <w:t>moderate income households</w:t>
      </w:r>
      <w:r w:rsidRPr="002408EF">
        <w:t xml:space="preserve"> </w:t>
      </w:r>
      <w:r w:rsidRPr="006507CE">
        <w:t>with rents set as a proportion of market rent</w:t>
      </w:r>
      <w:r>
        <w:t xml:space="preserve">. In contrast, traditional social housing is targeted at </w:t>
      </w:r>
      <w:r w:rsidR="0009508C">
        <w:t>low-income</w:t>
      </w:r>
      <w:r>
        <w:t xml:space="preserve"> households </w:t>
      </w:r>
      <w:r w:rsidRPr="006507CE">
        <w:t>with rents set as a proportion of household income</w:t>
      </w:r>
      <w:r>
        <w:t>. Affordable housing is u</w:t>
      </w:r>
      <w:r w:rsidRPr="00D05840">
        <w:t xml:space="preserve">sually managed by </w:t>
      </w:r>
      <w:r>
        <w:t xml:space="preserve">community housing providers, and dwellings can be </w:t>
      </w:r>
      <w:r w:rsidRPr="00466EF0">
        <w:t>owned by private developers or investors, local governments, charitable organisations or community housing providers</w:t>
      </w:r>
      <w:r>
        <w:t>.</w:t>
      </w:r>
      <w:r>
        <w:rPr>
          <w:rStyle w:val="FootnoteReference"/>
        </w:rPr>
        <w:footnoteReference w:id="8"/>
      </w:r>
      <w:r>
        <w:t xml:space="preserve"> </w:t>
      </w:r>
    </w:p>
    <w:p w14:paraId="5DB27DD9" w14:textId="77777777" w:rsidR="00D41157" w:rsidRDefault="00D41157" w:rsidP="00D41157">
      <w:pPr>
        <w:pStyle w:val="CGCNumberedPara"/>
        <w:numPr>
          <w:ilvl w:val="1"/>
          <w:numId w:val="3"/>
        </w:numPr>
      </w:pPr>
      <w:r>
        <w:t xml:space="preserve">At this juncture, </w:t>
      </w:r>
      <w:r w:rsidR="00E82ADE">
        <w:t xml:space="preserve">staff </w:t>
      </w:r>
      <w:r>
        <w:t>have no information on State spending on affordable housing. However, we would assume that it would be small, especially compared with spending on social housing. Most affordable housing for low</w:t>
      </w:r>
      <w:r>
        <w:noBreakHyphen/>
        <w:t>to</w:t>
      </w:r>
      <w:r>
        <w:noBreakHyphen/>
        <w:t xml:space="preserve">moderate income households </w:t>
      </w:r>
      <w:r w:rsidRPr="006507CE">
        <w:t>with rents set as a proportion of market rent</w:t>
      </w:r>
      <w:r>
        <w:t xml:space="preserve"> and supported through government funding</w:t>
      </w:r>
      <w:r w:rsidRPr="006507CE">
        <w:t xml:space="preserve"> </w:t>
      </w:r>
      <w:r>
        <w:t>has to date been developed under the</w:t>
      </w:r>
      <w:r w:rsidRPr="004A79E5">
        <w:t xml:space="preserve"> </w:t>
      </w:r>
      <w:r>
        <w:t>National Rental Affordability Scheme (</w:t>
      </w:r>
      <w:r w:rsidRPr="007551EC">
        <w:t>NRAS</w:t>
      </w:r>
      <w:r>
        <w:t xml:space="preserve">). </w:t>
      </w:r>
      <w:r w:rsidRPr="00D63E71">
        <w:t xml:space="preserve">A number of States </w:t>
      </w:r>
      <w:r>
        <w:t xml:space="preserve">(and local governments) </w:t>
      </w:r>
      <w:r w:rsidRPr="00D63E71">
        <w:t xml:space="preserve">have however also introduced </w:t>
      </w:r>
      <w:r>
        <w:t>their own</w:t>
      </w:r>
      <w:r w:rsidRPr="00D63E71">
        <w:t xml:space="preserve"> ‘affordable housing’ programs</w:t>
      </w:r>
      <w:r>
        <w:t>, incentives and planning mechanisms</w:t>
      </w:r>
      <w:r w:rsidRPr="00D63E71">
        <w:t>.</w:t>
      </w:r>
      <w:r>
        <w:t xml:space="preserve"> </w:t>
      </w:r>
    </w:p>
    <w:p w14:paraId="2392D935" w14:textId="40B66B11" w:rsidR="00D41157" w:rsidRPr="00FD4CA6" w:rsidRDefault="00D41157" w:rsidP="00D41157">
      <w:pPr>
        <w:pStyle w:val="CGCNumberedPara"/>
        <w:numPr>
          <w:ilvl w:val="1"/>
          <w:numId w:val="3"/>
        </w:numPr>
      </w:pPr>
      <w:r>
        <w:t xml:space="preserve">AIHW’s mainstream </w:t>
      </w:r>
      <w:r w:rsidRPr="004F2A62">
        <w:t xml:space="preserve">community housing </w:t>
      </w:r>
      <w:r>
        <w:t xml:space="preserve">dwellings </w:t>
      </w:r>
      <w:r w:rsidRPr="004F2A62">
        <w:t>data</w:t>
      </w:r>
      <w:r>
        <w:t xml:space="preserve"> have some limitations in this area. At this juncture, there are significant inconsistencies in reporting on NRAS dwellings between jurisdictions. It is also u</w:t>
      </w:r>
      <w:r w:rsidRPr="00FD4CA6">
        <w:t>nclear whether other affordable housing so defined is included in the data</w:t>
      </w:r>
      <w:r>
        <w:t>.</w:t>
      </w:r>
    </w:p>
    <w:p w14:paraId="53A384E5" w14:textId="77777777" w:rsidR="00D41157" w:rsidRDefault="00D41157" w:rsidP="00D41157">
      <w:pPr>
        <w:pStyle w:val="CGCNumberedPara"/>
        <w:numPr>
          <w:ilvl w:val="1"/>
          <w:numId w:val="3"/>
        </w:numPr>
      </w:pPr>
      <w:r>
        <w:t>Therefore, staff consider it appropriate not to make a separate assessment of spending on affordable housing. Our proposal is to treat those expenses the same way as those for social housing.</w:t>
      </w:r>
      <w:r w:rsidRPr="006507CE">
        <w:t xml:space="preserve"> </w:t>
      </w:r>
    </w:p>
    <w:p w14:paraId="432E1956" w14:textId="77777777" w:rsidR="00D41157" w:rsidRPr="009265F9" w:rsidRDefault="00D41157" w:rsidP="00D41157">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lastRenderedPageBreak/>
        <w:t>States are welcome to provide further information on this issue.</w:t>
      </w:r>
    </w:p>
    <w:tbl>
      <w:tblPr>
        <w:tblW w:w="0" w:type="auto"/>
        <w:shd w:val="clear" w:color="auto" w:fill="D9F3E6"/>
        <w:tblLayout w:type="fixed"/>
        <w:tblLook w:val="0000" w:firstRow="0" w:lastRow="0" w:firstColumn="0" w:lastColumn="0" w:noHBand="0" w:noVBand="0"/>
      </w:tblPr>
      <w:tblGrid>
        <w:gridCol w:w="9167"/>
      </w:tblGrid>
      <w:tr w:rsidR="00C67814" w:rsidRPr="005B5CD9" w14:paraId="34046277" w14:textId="77777777" w:rsidTr="0035152F">
        <w:tc>
          <w:tcPr>
            <w:tcW w:w="9167" w:type="dxa"/>
            <w:shd w:val="clear" w:color="auto" w:fill="D9F3E6"/>
          </w:tcPr>
          <w:p w14:paraId="5A8ED168" w14:textId="77777777" w:rsidR="00C67814" w:rsidRPr="005B5CD9" w:rsidRDefault="00C67814" w:rsidP="0035152F">
            <w:r w:rsidRPr="005B5CD9">
              <w:t>Staff propose to recommend the Commission:</w:t>
            </w:r>
          </w:p>
        </w:tc>
      </w:tr>
      <w:tr w:rsidR="00C67814" w:rsidRPr="005B5CD9" w14:paraId="34B7EC30" w14:textId="77777777" w:rsidTr="0035152F">
        <w:tc>
          <w:tcPr>
            <w:tcW w:w="9167" w:type="dxa"/>
            <w:shd w:val="clear" w:color="auto" w:fill="D9F3E6"/>
          </w:tcPr>
          <w:p w14:paraId="27424759" w14:textId="77777777" w:rsidR="00C67814" w:rsidRPr="005B5CD9" w:rsidRDefault="00C67814" w:rsidP="0035152F">
            <w:pPr>
              <w:pStyle w:val="CGCBulletlist"/>
            </w:pPr>
            <w:r>
              <w:t>not pursue a separate assessment of affordable housing because State expenses are likely to be small.</w:t>
            </w:r>
          </w:p>
        </w:tc>
      </w:tr>
    </w:tbl>
    <w:p w14:paraId="0EECB286" w14:textId="77777777" w:rsidR="009C42D7" w:rsidRDefault="009C42D7" w:rsidP="00747C7F">
      <w:pPr>
        <w:pStyle w:val="Heading4"/>
        <w:widowControl/>
      </w:pPr>
      <w:bookmarkStart w:id="50" w:name="_Toc511634840"/>
      <w:bookmarkStart w:id="51" w:name="_Toc511732231"/>
      <w:r>
        <w:t>The assessment for First Home Owner Grants and stamp duty concessions</w:t>
      </w:r>
      <w:bookmarkEnd w:id="50"/>
      <w:bookmarkEnd w:id="51"/>
    </w:p>
    <w:p w14:paraId="2989844A" w14:textId="77777777" w:rsidR="009C42D7" w:rsidRDefault="009C42D7" w:rsidP="009C42D7">
      <w:pPr>
        <w:pStyle w:val="CGCNumberedPara"/>
      </w:pPr>
      <w:r>
        <w:t xml:space="preserve">State expenses arising from </w:t>
      </w:r>
      <w:r w:rsidR="00367DDC">
        <w:t>FHOGs</w:t>
      </w:r>
      <w:r>
        <w:t xml:space="preserve"> and stamp duty concessions expenses are currently assessed on an EPC basis and therefore do not affect the GST distribution. Most States accepted this was the most appropriate approach in the 2015 Review</w:t>
      </w:r>
      <w:r w:rsidR="00C67814">
        <w:t xml:space="preserve">. </w:t>
      </w:r>
    </w:p>
    <w:p w14:paraId="1BA4DAE9" w14:textId="77777777" w:rsidR="009C42D7" w:rsidRDefault="009C42D7" w:rsidP="009C42D7">
      <w:pPr>
        <w:pStyle w:val="CGCNumberedPara"/>
      </w:pPr>
      <w:r>
        <w:t>Staff consider an EPC assessment remains the most appropriate approach</w:t>
      </w:r>
      <w:r w:rsidR="00C67814">
        <w:t xml:space="preserve">. </w:t>
      </w:r>
    </w:p>
    <w:p w14:paraId="1E6ECFD3" w14:textId="77777777" w:rsidR="009C42D7" w:rsidRDefault="00526491" w:rsidP="009C42D7">
      <w:pPr>
        <w:pStyle w:val="CGCBulletlist"/>
      </w:pPr>
      <w:r>
        <w:t>T</w:t>
      </w:r>
      <w:r w:rsidR="009C42D7">
        <w:t xml:space="preserve">he only </w:t>
      </w:r>
      <w:r>
        <w:t xml:space="preserve">available </w:t>
      </w:r>
      <w:r w:rsidR="009C42D7">
        <w:t xml:space="preserve">dataset on first home owners </w:t>
      </w:r>
      <w:r>
        <w:t>which might be used in a differential assessment (ABS data on dwellings financed by first home buyers) was</w:t>
      </w:r>
      <w:r w:rsidR="009C42D7">
        <w:t xml:space="preserve"> found to be not fit for purpose</w:t>
      </w:r>
      <w:r>
        <w:t>, partly because it covers much more than the newly built homes to which the grants are now restricted</w:t>
      </w:r>
      <w:r w:rsidR="00C67814">
        <w:t xml:space="preserve">. </w:t>
      </w:r>
      <w:r w:rsidR="009C42D7">
        <w:t xml:space="preserve"> </w:t>
      </w:r>
    </w:p>
    <w:p w14:paraId="1C278774" w14:textId="77777777" w:rsidR="009C42D7" w:rsidRDefault="00526491" w:rsidP="00526491">
      <w:pPr>
        <w:pStyle w:val="CGCBulletlist"/>
      </w:pPr>
      <w:r w:rsidRPr="00526491">
        <w:t xml:space="preserve">An </w:t>
      </w:r>
      <w:r w:rsidR="009C42D7" w:rsidRPr="00526491">
        <w:t xml:space="preserve">actual per capita assessment </w:t>
      </w:r>
      <w:r>
        <w:t xml:space="preserve">is not </w:t>
      </w:r>
      <w:r w:rsidR="009C42D7" w:rsidRPr="00526491">
        <w:t>appropriate</w:t>
      </w:r>
      <w:r>
        <w:t xml:space="preserve"> because it would be affected by the differences between States in their policies on grants and concessions</w:t>
      </w:r>
      <w:r w:rsidR="00C67814">
        <w:t xml:space="preserve">. </w:t>
      </w:r>
      <w:r>
        <w:t>Furthermore, the GST impact of such an assessment would be immaterial</w:t>
      </w:r>
      <w:r w:rsidR="000E2A0E">
        <w:t xml:space="preserve"> —</w:t>
      </w:r>
      <w:r>
        <w:softHyphen/>
        <w:t xml:space="preserve"> it would have been </w:t>
      </w:r>
      <w:r w:rsidR="009C42D7" w:rsidRPr="00526491">
        <w:t xml:space="preserve">only just material in the 2015 Review and the associated expenses have fallen somewhat since then. </w:t>
      </w:r>
    </w:p>
    <w:tbl>
      <w:tblPr>
        <w:tblW w:w="0" w:type="auto"/>
        <w:shd w:val="clear" w:color="auto" w:fill="D9F3E6"/>
        <w:tblLayout w:type="fixed"/>
        <w:tblLook w:val="0000" w:firstRow="0" w:lastRow="0" w:firstColumn="0" w:lastColumn="0" w:noHBand="0" w:noVBand="0"/>
      </w:tblPr>
      <w:tblGrid>
        <w:gridCol w:w="9167"/>
      </w:tblGrid>
      <w:tr w:rsidR="009C42D7" w:rsidRPr="005B5CD9" w14:paraId="6F655387" w14:textId="77777777" w:rsidTr="00741623">
        <w:tc>
          <w:tcPr>
            <w:tcW w:w="9167" w:type="dxa"/>
            <w:shd w:val="clear" w:color="auto" w:fill="D9F3E6"/>
          </w:tcPr>
          <w:p w14:paraId="714B4364" w14:textId="77777777" w:rsidR="009C42D7" w:rsidRPr="005B5CD9" w:rsidRDefault="009C42D7" w:rsidP="00741623">
            <w:r w:rsidRPr="005B5CD9">
              <w:t>Staff propose to recommend the Commission:</w:t>
            </w:r>
          </w:p>
        </w:tc>
      </w:tr>
      <w:tr w:rsidR="009C42D7" w:rsidRPr="005B5CD9" w14:paraId="15896A9B" w14:textId="77777777" w:rsidTr="00741623">
        <w:tc>
          <w:tcPr>
            <w:tcW w:w="9167" w:type="dxa"/>
            <w:shd w:val="clear" w:color="auto" w:fill="D9F3E6"/>
          </w:tcPr>
          <w:p w14:paraId="1D425A28" w14:textId="77777777" w:rsidR="009C42D7" w:rsidRPr="005B5CD9" w:rsidRDefault="009C42D7" w:rsidP="00936313">
            <w:pPr>
              <w:pStyle w:val="CGCBulletlist"/>
            </w:pPr>
            <w:r>
              <w:t xml:space="preserve">retain the EPC </w:t>
            </w:r>
            <w:r w:rsidRPr="007504D4">
              <w:t xml:space="preserve">assessment of </w:t>
            </w:r>
            <w:r w:rsidR="00367DDC">
              <w:t>FHOGs</w:t>
            </w:r>
            <w:r w:rsidRPr="007504D4">
              <w:t xml:space="preserve"> and stamp duty concessions expenses</w:t>
            </w:r>
            <w:r>
              <w:t>.</w:t>
            </w:r>
          </w:p>
        </w:tc>
      </w:tr>
    </w:tbl>
    <w:p w14:paraId="53CB6704" w14:textId="77777777" w:rsidR="004D3A9B" w:rsidRDefault="004D3A9B" w:rsidP="00501EF6">
      <w:pPr>
        <w:pStyle w:val="Heading4"/>
      </w:pPr>
      <w:bookmarkStart w:id="52" w:name="_Toc511634841"/>
      <w:bookmarkStart w:id="53" w:name="_Toc511732232"/>
      <w:r>
        <w:t>Updating weights ahead of the Draft Report</w:t>
      </w:r>
      <w:bookmarkEnd w:id="52"/>
      <w:bookmarkEnd w:id="53"/>
    </w:p>
    <w:p w14:paraId="3D3BF2D3" w14:textId="77777777" w:rsidR="00501EF6" w:rsidRDefault="00501EF6" w:rsidP="004D3A9B">
      <w:pPr>
        <w:pStyle w:val="Heading5"/>
      </w:pPr>
      <w:r>
        <w:t>Indigenous cost weight</w:t>
      </w:r>
    </w:p>
    <w:p w14:paraId="3FDF517C" w14:textId="77777777" w:rsidR="00A3205A" w:rsidRDefault="00A3205A" w:rsidP="00F651FA">
      <w:pPr>
        <w:pStyle w:val="CGCNumberedPara"/>
      </w:pPr>
      <w:r>
        <w:t>Western Australia and the Northern Territory have previously argued the Indigenous cost weights are too low and did not take account of the larger Indigenous household sizes</w:t>
      </w:r>
      <w:r w:rsidR="00C67814">
        <w:t xml:space="preserve">. </w:t>
      </w:r>
      <w:r>
        <w:t xml:space="preserve">Conversely, Tasmania has queried the </w:t>
      </w:r>
      <w:r w:rsidRPr="00FC5762">
        <w:t>wide divergence</w:t>
      </w:r>
      <w:r>
        <w:t xml:space="preserve"> across States</w:t>
      </w:r>
      <w:r w:rsidRPr="00FC5762">
        <w:t xml:space="preserve"> in the av</w:t>
      </w:r>
      <w:r>
        <w:t>erage cost differential between</w:t>
      </w:r>
      <w:r w:rsidRPr="002D5ECA">
        <w:t xml:space="preserve"> </w:t>
      </w:r>
      <w:r w:rsidR="00362C15">
        <w:t>SOMIH</w:t>
      </w:r>
      <w:r>
        <w:t xml:space="preserve"> </w:t>
      </w:r>
      <w:r w:rsidRPr="00FC5762">
        <w:t>and non</w:t>
      </w:r>
      <w:r>
        <w:noBreakHyphen/>
        <w:t>I</w:t>
      </w:r>
      <w:r w:rsidRPr="00FC5762">
        <w:t>ndigenous public housing</w:t>
      </w:r>
      <w:r>
        <w:t>.</w:t>
      </w:r>
    </w:p>
    <w:p w14:paraId="7545CACD" w14:textId="77777777" w:rsidR="00F651FA" w:rsidRDefault="00E82ADE" w:rsidP="00F651FA">
      <w:pPr>
        <w:pStyle w:val="CGCNumberedPara"/>
      </w:pPr>
      <w:r>
        <w:t xml:space="preserve">Staff </w:t>
      </w:r>
      <w:r w:rsidR="00F651FA">
        <w:t>intend to update the Indigenous cost weight</w:t>
      </w:r>
      <w:r w:rsidR="004834E5">
        <w:t>, calculated as</w:t>
      </w:r>
      <w:r w:rsidR="00AF66EB">
        <w:t xml:space="preserve"> </w:t>
      </w:r>
      <w:r w:rsidR="00AF66EB" w:rsidRPr="002D5ECA">
        <w:t xml:space="preserve">operating expenses per </w:t>
      </w:r>
      <w:r w:rsidR="00362C15">
        <w:t>SOMIH</w:t>
      </w:r>
      <w:r w:rsidR="00936313">
        <w:t xml:space="preserve"> </w:t>
      </w:r>
      <w:r w:rsidR="00AF66EB" w:rsidRPr="002D5ECA">
        <w:t xml:space="preserve">dwelling </w:t>
      </w:r>
      <w:r w:rsidR="004834E5">
        <w:t>relative to operating expenses per</w:t>
      </w:r>
      <w:r w:rsidR="00AF66EB" w:rsidRPr="002D5ECA">
        <w:t xml:space="preserve"> publ</w:t>
      </w:r>
      <w:r w:rsidR="004834E5">
        <w:t>ic housing dwelling (e</w:t>
      </w:r>
      <w:r w:rsidR="004834E5" w:rsidRPr="00D130F4">
        <w:t xml:space="preserve">xcluding Indigenous households living in </w:t>
      </w:r>
      <w:r w:rsidR="004834E5">
        <w:t>public housing), using more recent State data</w:t>
      </w:r>
      <w:r w:rsidR="00C67814">
        <w:t xml:space="preserve">. </w:t>
      </w:r>
    </w:p>
    <w:p w14:paraId="118202A0" w14:textId="77777777" w:rsidR="004D3A9B" w:rsidRDefault="004D3A9B" w:rsidP="004D3A9B">
      <w:pPr>
        <w:pStyle w:val="Heading5"/>
      </w:pPr>
      <w:r>
        <w:lastRenderedPageBreak/>
        <w:t>Location factor</w:t>
      </w:r>
    </w:p>
    <w:p w14:paraId="43AB7A2F" w14:textId="77777777" w:rsidR="007B3273" w:rsidRDefault="00E82ADE" w:rsidP="007F42C2">
      <w:pPr>
        <w:pStyle w:val="CGCNumberedPara"/>
      </w:pPr>
      <w:r>
        <w:t xml:space="preserve">Staff </w:t>
      </w:r>
      <w:r w:rsidR="004D3A9B">
        <w:t>propose</w:t>
      </w:r>
      <w:r w:rsidR="007F42C2">
        <w:t xml:space="preserve"> updat</w:t>
      </w:r>
      <w:r w:rsidR="004D3A9B">
        <w:t>ing</w:t>
      </w:r>
      <w:r w:rsidR="007F42C2">
        <w:t xml:space="preserve"> the share </w:t>
      </w:r>
      <w:r w:rsidR="007F42C2" w:rsidRPr="002D5ECA">
        <w:t>of housing expenses</w:t>
      </w:r>
      <w:r w:rsidR="007F42C2">
        <w:t xml:space="preserve"> represented by maintenance costs (currently an estimated</w:t>
      </w:r>
      <w:r w:rsidR="007F42C2" w:rsidRPr="002D5ECA">
        <w:t xml:space="preserve"> 25%</w:t>
      </w:r>
      <w:r w:rsidR="007F42C2">
        <w:t>).</w:t>
      </w:r>
      <w:r w:rsidR="009A3817">
        <w:t xml:space="preserve"> </w:t>
      </w:r>
      <w:r w:rsidR="00167EE4">
        <w:t xml:space="preserve">This share is based on State-provided data </w:t>
      </w:r>
      <w:r w:rsidR="00167EE4" w:rsidRPr="006C621D">
        <w:t>on maintenance and tenancy management costs per dwelling</w:t>
      </w:r>
      <w:r w:rsidR="00167EE4">
        <w:t xml:space="preserve">. </w:t>
      </w:r>
    </w:p>
    <w:p w14:paraId="247B308C" w14:textId="336C60D7" w:rsidR="007F42C2" w:rsidRDefault="00DA270A" w:rsidP="007F42C2">
      <w:pPr>
        <w:pStyle w:val="CGCNumberedPara"/>
      </w:pPr>
      <w:r>
        <w:t>Staff</w:t>
      </w:r>
      <w:r w:rsidR="00167EE4">
        <w:t xml:space="preserve"> </w:t>
      </w:r>
      <w:r w:rsidR="007B3273">
        <w:t xml:space="preserve">propose to seek </w:t>
      </w:r>
      <w:r w:rsidR="00A3205A">
        <w:t xml:space="preserve">data </w:t>
      </w:r>
      <w:r w:rsidR="007B3273">
        <w:t>from States</w:t>
      </w:r>
      <w:r w:rsidR="00167EE4">
        <w:t xml:space="preserve"> </w:t>
      </w:r>
      <w:r w:rsidR="00A3205A">
        <w:t xml:space="preserve">on the </w:t>
      </w:r>
      <w:r w:rsidR="00167EE4">
        <w:t>maintenance and management costs for public housing and</w:t>
      </w:r>
      <w:r w:rsidR="00167EE4" w:rsidRPr="006C621D">
        <w:t xml:space="preserve"> </w:t>
      </w:r>
      <w:r w:rsidR="001D1E79">
        <w:t>SOMIH</w:t>
      </w:r>
      <w:r w:rsidR="00A3205A">
        <w:t xml:space="preserve"> </w:t>
      </w:r>
      <w:r w:rsidR="00167EE4">
        <w:t>dwellings (a</w:t>
      </w:r>
      <w:r w:rsidR="00A3205A">
        <w:t>nd</w:t>
      </w:r>
      <w:r w:rsidR="00167EE4">
        <w:t xml:space="preserve"> I</w:t>
      </w:r>
      <w:r w:rsidR="00A3205A">
        <w:t xml:space="preserve">ndigenous community housing </w:t>
      </w:r>
      <w:r w:rsidR="00167EE4">
        <w:t>dwellings where available</w:t>
      </w:r>
      <w:r w:rsidR="00167EE4" w:rsidRPr="00735561">
        <w:t>)</w:t>
      </w:r>
      <w:r w:rsidR="00167EE4">
        <w:t>,</w:t>
      </w:r>
      <w:r w:rsidR="00171224">
        <w:t xml:space="preserve"> </w:t>
      </w:r>
      <w:r w:rsidR="00A3205A">
        <w:t>dissected</w:t>
      </w:r>
      <w:r w:rsidR="00167EE4" w:rsidRPr="00735561">
        <w:t xml:space="preserve"> </w:t>
      </w:r>
      <w:r w:rsidR="00167EE4" w:rsidRPr="006C621D">
        <w:rPr>
          <w:rFonts w:cstheme="minorHAnsi"/>
        </w:rPr>
        <w:t>by region and Indigen</w:t>
      </w:r>
      <w:r w:rsidR="00BA19C1">
        <w:rPr>
          <w:rFonts w:cstheme="minorHAnsi"/>
        </w:rPr>
        <w:t>ous status</w:t>
      </w:r>
      <w:r w:rsidR="00C67814">
        <w:rPr>
          <w:rFonts w:cstheme="minorHAnsi"/>
        </w:rPr>
        <w:t xml:space="preserve">. </w:t>
      </w:r>
      <w:r w:rsidR="00A3205A">
        <w:rPr>
          <w:rFonts w:cstheme="minorHAnsi"/>
        </w:rPr>
        <w:t xml:space="preserve">We will also seek details of </w:t>
      </w:r>
      <w:r w:rsidR="00167EE4" w:rsidRPr="006C621D">
        <w:rPr>
          <w:rFonts w:cstheme="minorHAnsi"/>
        </w:rPr>
        <w:t>the number of dwellings used to derive th</w:t>
      </w:r>
      <w:r w:rsidR="007217A2">
        <w:rPr>
          <w:rFonts w:cstheme="minorHAnsi"/>
        </w:rPr>
        <w:t>o</w:t>
      </w:r>
      <w:r w:rsidR="00167EE4" w:rsidRPr="006C621D">
        <w:rPr>
          <w:rFonts w:cstheme="minorHAnsi"/>
        </w:rPr>
        <w:t>se costs</w:t>
      </w:r>
      <w:r w:rsidR="00FA4062">
        <w:rPr>
          <w:rFonts w:cstheme="minorHAnsi"/>
        </w:rPr>
        <w:t xml:space="preserve">. The Indigenous breakdown </w:t>
      </w:r>
      <w:r w:rsidR="007217A2">
        <w:rPr>
          <w:rFonts w:cstheme="minorHAnsi"/>
        </w:rPr>
        <w:t>will be</w:t>
      </w:r>
      <w:r w:rsidR="00FA4062">
        <w:rPr>
          <w:rFonts w:cstheme="minorHAnsi"/>
        </w:rPr>
        <w:t xml:space="preserve"> used in the calculation of the Indigenous cost weight.</w:t>
      </w:r>
    </w:p>
    <w:tbl>
      <w:tblPr>
        <w:tblW w:w="0" w:type="auto"/>
        <w:shd w:val="clear" w:color="auto" w:fill="D9F3E6"/>
        <w:tblLayout w:type="fixed"/>
        <w:tblLook w:val="0000" w:firstRow="0" w:lastRow="0" w:firstColumn="0" w:lastColumn="0" w:noHBand="0" w:noVBand="0"/>
      </w:tblPr>
      <w:tblGrid>
        <w:gridCol w:w="9167"/>
      </w:tblGrid>
      <w:tr w:rsidR="005B5CD9" w:rsidRPr="005B5CD9" w14:paraId="5F5243E4" w14:textId="77777777" w:rsidTr="005B5CD9">
        <w:tc>
          <w:tcPr>
            <w:tcW w:w="9167" w:type="dxa"/>
            <w:shd w:val="clear" w:color="auto" w:fill="D9F3E6"/>
          </w:tcPr>
          <w:p w14:paraId="25022BAD" w14:textId="77777777" w:rsidR="005B5CD9" w:rsidRPr="005B5CD9" w:rsidRDefault="005B5CD9" w:rsidP="00B260A3">
            <w:r w:rsidRPr="005B5CD9">
              <w:t>Staff propose to recommend the Commission:</w:t>
            </w:r>
          </w:p>
        </w:tc>
      </w:tr>
      <w:tr w:rsidR="005B5CD9" w:rsidRPr="005B5CD9" w14:paraId="0ADCC760" w14:textId="77777777" w:rsidTr="005B5CD9">
        <w:tc>
          <w:tcPr>
            <w:tcW w:w="9167" w:type="dxa"/>
            <w:shd w:val="clear" w:color="auto" w:fill="D9F3E6"/>
          </w:tcPr>
          <w:p w14:paraId="72037CEF" w14:textId="77777777" w:rsidR="005B5CD9" w:rsidRPr="005B5CD9" w:rsidRDefault="00617121" w:rsidP="00DF4DBB">
            <w:pPr>
              <w:pStyle w:val="CGCBulletlist"/>
            </w:pPr>
            <w:r>
              <w:t>a</w:t>
            </w:r>
            <w:r w:rsidR="0087271D">
              <w:t>gree to updat</w:t>
            </w:r>
            <w:r w:rsidR="00DF4DBB">
              <w:t>e</w:t>
            </w:r>
            <w:r w:rsidR="0087271D">
              <w:t xml:space="preserve"> the Indigenous cost weight and the location factor using the latest available data.</w:t>
            </w:r>
          </w:p>
        </w:tc>
      </w:tr>
    </w:tbl>
    <w:p w14:paraId="52D96CBD" w14:textId="77777777" w:rsidR="00FB2DC5" w:rsidRDefault="00FB2DC5" w:rsidP="00FB2DC5">
      <w:pPr>
        <w:pStyle w:val="Heading4"/>
      </w:pPr>
      <w:bookmarkStart w:id="54" w:name="_Toc511634842"/>
      <w:bookmarkStart w:id="55" w:name="_Toc511732233"/>
      <w:r>
        <w:t>Other issues considered and settled</w:t>
      </w:r>
      <w:bookmarkEnd w:id="54"/>
      <w:bookmarkEnd w:id="55"/>
    </w:p>
    <w:p w14:paraId="7A2D77B5" w14:textId="06C6A160" w:rsidR="00FB2DC5" w:rsidRDefault="00FF11F5" w:rsidP="00FB2DC5">
      <w:pPr>
        <w:pStyle w:val="CGCNumberedPara"/>
        <w:numPr>
          <w:ilvl w:val="1"/>
          <w:numId w:val="3"/>
        </w:numPr>
      </w:pPr>
      <w:r>
        <w:t>A location disability will be retained in the social housing expense assessment</w:t>
      </w:r>
      <w:r w:rsidR="00CD18E4">
        <w:t>.</w:t>
      </w:r>
    </w:p>
    <w:p w14:paraId="3D564DEB" w14:textId="77777777" w:rsidR="00FB2DC5" w:rsidRDefault="00FB2DC5" w:rsidP="00407BAD">
      <w:pPr>
        <w:pStyle w:val="Heading3"/>
      </w:pPr>
      <w:bookmarkStart w:id="56" w:name="_Toc511634843"/>
      <w:bookmarkStart w:id="57" w:name="_Toc511732234"/>
      <w:r w:rsidRPr="00FE3214">
        <w:t>Conclusion and way forward</w:t>
      </w:r>
      <w:bookmarkEnd w:id="56"/>
      <w:bookmarkEnd w:id="57"/>
    </w:p>
    <w:p w14:paraId="32F81141" w14:textId="77777777" w:rsidR="00FB2DC5" w:rsidRDefault="00790C13" w:rsidP="00790C13">
      <w:pPr>
        <w:pStyle w:val="CGCNumberedPara"/>
      </w:pPr>
      <w:r>
        <w:t xml:space="preserve">The only issue requiring fresh attention in staff’s view is how best to combine Census data with AIHW data, with their respective limitations, to obtain a breakdown of </w:t>
      </w:r>
      <w:r w:rsidRPr="00790C13">
        <w:t>social housing household</w:t>
      </w:r>
      <w:r>
        <w:t>s by Indigenous status, income and remoteness to undertake the assessment.</w:t>
      </w:r>
    </w:p>
    <w:p w14:paraId="71BABF21" w14:textId="77777777" w:rsidR="00DF4DBB" w:rsidRDefault="00DF4DBB" w:rsidP="00DF4DBB">
      <w:pPr>
        <w:pStyle w:val="CGCNumberedPara"/>
      </w:pPr>
      <w:r>
        <w:t xml:space="preserve">Staff will undertake some more detailed work comparing the Census and AIHW data with a view to </w:t>
      </w:r>
      <w:r w:rsidRPr="00DF4DBB">
        <w:t>scaling</w:t>
      </w:r>
      <w:r w:rsidR="00322CF2">
        <w:t>, to as fine a level as possible,</w:t>
      </w:r>
      <w:r w:rsidRPr="00DF4DBB">
        <w:t xml:space="preserve"> Census dissections to AIHW total State housing (public housing </w:t>
      </w:r>
      <w:r>
        <w:t>plus</w:t>
      </w:r>
      <w:r w:rsidRPr="00DF4DBB">
        <w:t xml:space="preserve"> SOMIH) household numbers at the State level and total community housing (mainstream </w:t>
      </w:r>
      <w:r>
        <w:t>plus</w:t>
      </w:r>
      <w:r w:rsidRPr="00DF4DBB">
        <w:t xml:space="preserve"> </w:t>
      </w:r>
      <w:r>
        <w:t>ICHO</w:t>
      </w:r>
      <w:r w:rsidRPr="00DF4DBB">
        <w:t>) household</w:t>
      </w:r>
      <w:r w:rsidR="00322CF2">
        <w:t>/dwelling</w:t>
      </w:r>
      <w:r w:rsidRPr="00DF4DBB">
        <w:t xml:space="preserve"> numbers at the State level</w:t>
      </w:r>
      <w:r w:rsidR="00322CF2">
        <w:t>.</w:t>
      </w:r>
    </w:p>
    <w:p w14:paraId="244350FF" w14:textId="77777777" w:rsidR="002F52F6" w:rsidRPr="00741FF2" w:rsidRDefault="002F52F6" w:rsidP="002F52F6">
      <w:pPr>
        <w:pStyle w:val="Heading4"/>
      </w:pPr>
      <w:bookmarkStart w:id="58" w:name="_Toc511634844"/>
      <w:bookmarkStart w:id="59" w:name="_Toc511732235"/>
      <w:r w:rsidRPr="00741FF2">
        <w:t>Proposed assessment structure</w:t>
      </w:r>
      <w:bookmarkEnd w:id="58"/>
      <w:bookmarkEnd w:id="59"/>
    </w:p>
    <w:p w14:paraId="458711CA" w14:textId="77777777" w:rsidR="002F52F6" w:rsidRPr="00741FF2" w:rsidRDefault="002F52F6" w:rsidP="002F52F6">
      <w:pPr>
        <w:pStyle w:val="CGCNumberedPara"/>
        <w:numPr>
          <w:ilvl w:val="1"/>
          <w:numId w:val="3"/>
        </w:numPr>
      </w:pPr>
      <w:r w:rsidRPr="00741FF2">
        <w:t xml:space="preserve">Staff propose the following assessment structure in the </w:t>
      </w:r>
      <w:r>
        <w:t>2020 R</w:t>
      </w:r>
      <w:r w:rsidRPr="00741FF2">
        <w:t xml:space="preserve">eview. </w:t>
      </w:r>
    </w:p>
    <w:p w14:paraId="69C25356" w14:textId="0D299082" w:rsidR="002F52F6" w:rsidRPr="00741FF2" w:rsidRDefault="002F52F6" w:rsidP="002F52F6">
      <w:pPr>
        <w:pStyle w:val="CGCTableHeading"/>
      </w:pPr>
      <w:bookmarkStart w:id="60" w:name="_Ref341260689"/>
      <w:r w:rsidRPr="00741FF2">
        <w:lastRenderedPageBreak/>
        <w:t xml:space="preserve">Table </w:t>
      </w:r>
      <w:r w:rsidR="00CE292F">
        <w:fldChar w:fldCharType="begin"/>
      </w:r>
      <w:r w:rsidR="00CE292F">
        <w:instrText xml:space="preserve"> SEQ Table \* ARABIC </w:instrText>
      </w:r>
      <w:r w:rsidR="00CE292F">
        <w:fldChar w:fldCharType="separate"/>
      </w:r>
      <w:r w:rsidR="00566C01">
        <w:rPr>
          <w:noProof/>
        </w:rPr>
        <w:t>8</w:t>
      </w:r>
      <w:r w:rsidR="00CE292F">
        <w:rPr>
          <w:noProof/>
        </w:rPr>
        <w:fldChar w:fldCharType="end"/>
      </w:r>
      <w:bookmarkEnd w:id="60"/>
      <w:r w:rsidRPr="00741FF2">
        <w:tab/>
        <w:t xml:space="preserve">Proposed </w:t>
      </w:r>
      <w:r>
        <w:t>Housing</w:t>
      </w:r>
      <w:r w:rsidRPr="00741FF2">
        <w:t xml:space="preserve"> category structure</w:t>
      </w:r>
    </w:p>
    <w:tbl>
      <w:tblPr>
        <w:tblW w:w="5000" w:type="pct"/>
        <w:tblLook w:val="04A0" w:firstRow="1" w:lastRow="0" w:firstColumn="1" w:lastColumn="0" w:noHBand="0" w:noVBand="1"/>
      </w:tblPr>
      <w:tblGrid>
        <w:gridCol w:w="2092"/>
        <w:gridCol w:w="2257"/>
        <w:gridCol w:w="4818"/>
      </w:tblGrid>
      <w:tr w:rsidR="002F52F6" w:rsidRPr="002D5ECA" w14:paraId="15EF644A" w14:textId="77777777" w:rsidTr="00356477">
        <w:trPr>
          <w:trHeight w:val="363"/>
        </w:trPr>
        <w:tc>
          <w:tcPr>
            <w:tcW w:w="1141" w:type="pct"/>
            <w:tcBorders>
              <w:top w:val="single" w:sz="4" w:space="0" w:color="auto"/>
              <w:left w:val="nil"/>
              <w:bottom w:val="single" w:sz="4" w:space="0" w:color="auto"/>
              <w:right w:val="nil"/>
            </w:tcBorders>
            <w:shd w:val="clear" w:color="auto" w:fill="auto"/>
            <w:vAlign w:val="center"/>
            <w:hideMark/>
          </w:tcPr>
          <w:p w14:paraId="5F040C17" w14:textId="77777777" w:rsidR="002F52F6" w:rsidRPr="002D5ECA" w:rsidRDefault="002F52F6" w:rsidP="00356477">
            <w:pPr>
              <w:keepNext/>
              <w:keepLines/>
              <w:tabs>
                <w:tab w:val="left" w:pos="284"/>
              </w:tabs>
              <w:spacing w:before="60" w:after="60" w:line="240" w:lineRule="auto"/>
              <w:rPr>
                <w:rFonts w:ascii="Calibri" w:eastAsia="Calibri" w:hAnsi="Calibri" w:cs="Times New Roman"/>
                <w:sz w:val="20"/>
                <w:szCs w:val="20"/>
                <w:lang w:eastAsia="en-AU"/>
              </w:rPr>
            </w:pPr>
            <w:bookmarkStart w:id="61" w:name="RANGE!A13:D18"/>
            <w:r w:rsidRPr="002D5ECA">
              <w:rPr>
                <w:rFonts w:ascii="Calibri" w:eastAsia="Calibri" w:hAnsi="Calibri" w:cs="Times New Roman"/>
                <w:sz w:val="20"/>
                <w:szCs w:val="20"/>
                <w:lang w:eastAsia="en-AU"/>
              </w:rPr>
              <w:t>Component</w:t>
            </w:r>
            <w:bookmarkEnd w:id="61"/>
          </w:p>
        </w:tc>
        <w:tc>
          <w:tcPr>
            <w:tcW w:w="1231" w:type="pct"/>
            <w:tcBorders>
              <w:top w:val="single" w:sz="4" w:space="0" w:color="auto"/>
              <w:left w:val="nil"/>
              <w:bottom w:val="single" w:sz="4" w:space="0" w:color="auto"/>
              <w:right w:val="nil"/>
            </w:tcBorders>
            <w:shd w:val="clear" w:color="auto" w:fill="auto"/>
            <w:vAlign w:val="center"/>
            <w:hideMark/>
          </w:tcPr>
          <w:p w14:paraId="3950C63E" w14:textId="77777777" w:rsidR="002F52F6" w:rsidRPr="002D5ECA" w:rsidRDefault="002F52F6" w:rsidP="00356477">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Disability</w:t>
            </w:r>
          </w:p>
        </w:tc>
        <w:tc>
          <w:tcPr>
            <w:tcW w:w="2628" w:type="pct"/>
            <w:tcBorders>
              <w:top w:val="single" w:sz="4" w:space="0" w:color="auto"/>
              <w:left w:val="nil"/>
              <w:bottom w:val="single" w:sz="4" w:space="0" w:color="auto"/>
              <w:right w:val="nil"/>
            </w:tcBorders>
            <w:shd w:val="clear" w:color="auto" w:fill="auto"/>
            <w:vAlign w:val="center"/>
            <w:hideMark/>
          </w:tcPr>
          <w:p w14:paraId="6AD203F9" w14:textId="77777777" w:rsidR="002F52F6" w:rsidRPr="002D5ECA" w:rsidRDefault="002F52F6" w:rsidP="00356477">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Influence measured by disability</w:t>
            </w:r>
          </w:p>
        </w:tc>
      </w:tr>
      <w:tr w:rsidR="002F52F6" w:rsidRPr="002D5ECA" w14:paraId="596FB378" w14:textId="77777777" w:rsidTr="002F52F6">
        <w:trPr>
          <w:trHeight w:val="737"/>
        </w:trPr>
        <w:tc>
          <w:tcPr>
            <w:tcW w:w="1141" w:type="pct"/>
            <w:tcBorders>
              <w:top w:val="nil"/>
              <w:left w:val="nil"/>
              <w:bottom w:val="nil"/>
              <w:right w:val="nil"/>
            </w:tcBorders>
            <w:shd w:val="clear" w:color="auto" w:fill="auto"/>
            <w:hideMark/>
          </w:tcPr>
          <w:p w14:paraId="1BE7360A" w14:textId="77777777" w:rsidR="002F52F6" w:rsidRPr="002D5ECA" w:rsidRDefault="002F52F6" w:rsidP="00556471">
            <w:pPr>
              <w:keepNext/>
              <w:keepLines/>
              <w:tabs>
                <w:tab w:val="clear" w:pos="567"/>
              </w:tabs>
              <w:spacing w:before="60" w:after="60" w:line="240" w:lineRule="auto"/>
              <w:ind w:left="142"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Social housing expenses</w:t>
            </w:r>
          </w:p>
        </w:tc>
        <w:tc>
          <w:tcPr>
            <w:tcW w:w="1231" w:type="pct"/>
            <w:tcBorders>
              <w:top w:val="nil"/>
              <w:left w:val="nil"/>
              <w:bottom w:val="nil"/>
              <w:right w:val="nil"/>
            </w:tcBorders>
            <w:shd w:val="clear" w:color="auto" w:fill="auto"/>
            <w:hideMark/>
          </w:tcPr>
          <w:p w14:paraId="1010D83B" w14:textId="77777777" w:rsidR="002F52F6" w:rsidRPr="002D5ECA" w:rsidRDefault="00EB0E19" w:rsidP="00556471">
            <w:pPr>
              <w:keepNext/>
              <w:keepLines/>
              <w:tabs>
                <w:tab w:val="clear" w:pos="567"/>
              </w:tabs>
              <w:spacing w:before="60" w:after="6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SDC</w:t>
            </w:r>
          </w:p>
        </w:tc>
        <w:tc>
          <w:tcPr>
            <w:tcW w:w="2628" w:type="pct"/>
            <w:tcBorders>
              <w:top w:val="nil"/>
              <w:left w:val="nil"/>
              <w:bottom w:val="nil"/>
              <w:right w:val="nil"/>
            </w:tcBorders>
            <w:shd w:val="clear" w:color="auto" w:fill="auto"/>
            <w:hideMark/>
          </w:tcPr>
          <w:p w14:paraId="7144048E" w14:textId="77777777" w:rsidR="002F52F6" w:rsidRPr="002D5ECA" w:rsidRDefault="002F52F6" w:rsidP="0055647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Recognises that income, Indigenous status and remoteness affect the use and cost of providing housing services. An Indigenous cost weight is applied.</w:t>
            </w:r>
          </w:p>
        </w:tc>
      </w:tr>
      <w:tr w:rsidR="002F52F6" w:rsidRPr="002D5ECA" w14:paraId="079D82A8" w14:textId="77777777" w:rsidTr="002F52F6">
        <w:trPr>
          <w:trHeight w:val="680"/>
        </w:trPr>
        <w:tc>
          <w:tcPr>
            <w:tcW w:w="1141" w:type="pct"/>
            <w:tcBorders>
              <w:top w:val="nil"/>
              <w:left w:val="nil"/>
              <w:bottom w:val="single" w:sz="4" w:space="0" w:color="auto"/>
              <w:right w:val="nil"/>
            </w:tcBorders>
            <w:shd w:val="clear" w:color="auto" w:fill="auto"/>
            <w:hideMark/>
          </w:tcPr>
          <w:p w14:paraId="2D44F469" w14:textId="77777777" w:rsidR="002F52F6" w:rsidRPr="002D5ECA" w:rsidRDefault="002F52F6" w:rsidP="009B61F1">
            <w:pPr>
              <w:keepNext/>
              <w:keepLines/>
              <w:tabs>
                <w:tab w:val="clear" w:pos="567"/>
              </w:tabs>
              <w:spacing w:before="60" w:after="60" w:line="240" w:lineRule="auto"/>
              <w:ind w:left="142" w:hanging="142"/>
              <w:rPr>
                <w:rFonts w:ascii="Calibri" w:eastAsia="Times New Roman" w:hAnsi="Calibri" w:cs="Times New Roman"/>
                <w:sz w:val="20"/>
                <w:szCs w:val="20"/>
                <w:lang w:eastAsia="en-AU"/>
              </w:rPr>
            </w:pPr>
          </w:p>
        </w:tc>
        <w:tc>
          <w:tcPr>
            <w:tcW w:w="1231" w:type="pct"/>
            <w:tcBorders>
              <w:top w:val="nil"/>
              <w:left w:val="nil"/>
              <w:bottom w:val="single" w:sz="4" w:space="0" w:color="auto"/>
              <w:right w:val="nil"/>
            </w:tcBorders>
            <w:shd w:val="clear" w:color="auto" w:fill="auto"/>
            <w:hideMark/>
          </w:tcPr>
          <w:p w14:paraId="4961369D" w14:textId="77777777" w:rsidR="002F52F6" w:rsidRPr="002D5ECA" w:rsidRDefault="002F52F6" w:rsidP="009B61F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Location</w:t>
            </w:r>
          </w:p>
        </w:tc>
        <w:tc>
          <w:tcPr>
            <w:tcW w:w="2628" w:type="pct"/>
            <w:tcBorders>
              <w:top w:val="nil"/>
              <w:left w:val="nil"/>
              <w:bottom w:val="single" w:sz="4" w:space="0" w:color="auto"/>
              <w:right w:val="nil"/>
            </w:tcBorders>
            <w:shd w:val="clear" w:color="auto" w:fill="auto"/>
            <w:hideMark/>
          </w:tcPr>
          <w:p w14:paraId="3178F00A" w14:textId="77777777" w:rsidR="002F52F6" w:rsidRPr="002D5ECA" w:rsidRDefault="002F52F6" w:rsidP="009B61F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Recognises the differences in wage costs between States and in the cost of providing services to different areas within a State.</w:t>
            </w:r>
          </w:p>
        </w:tc>
      </w:tr>
      <w:tr w:rsidR="002F52F6" w:rsidRPr="002D5ECA" w14:paraId="22B4AAE8" w14:textId="77777777" w:rsidTr="002F52F6">
        <w:trPr>
          <w:trHeight w:val="737"/>
        </w:trPr>
        <w:tc>
          <w:tcPr>
            <w:tcW w:w="1141" w:type="pct"/>
            <w:tcBorders>
              <w:top w:val="single" w:sz="4" w:space="0" w:color="auto"/>
              <w:left w:val="nil"/>
              <w:bottom w:val="single" w:sz="4" w:space="0" w:color="auto"/>
              <w:right w:val="nil"/>
            </w:tcBorders>
            <w:shd w:val="clear" w:color="auto" w:fill="auto"/>
            <w:hideMark/>
          </w:tcPr>
          <w:p w14:paraId="40AA2466" w14:textId="77777777" w:rsidR="002F52F6" w:rsidRPr="002D5ECA" w:rsidRDefault="002F52F6" w:rsidP="009B61F1">
            <w:pPr>
              <w:keepNext/>
              <w:keepLines/>
              <w:tabs>
                <w:tab w:val="clear" w:pos="567"/>
              </w:tabs>
              <w:spacing w:before="60" w:after="60" w:line="240" w:lineRule="auto"/>
              <w:ind w:left="142"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Revenue</w:t>
            </w:r>
          </w:p>
        </w:tc>
        <w:tc>
          <w:tcPr>
            <w:tcW w:w="1231" w:type="pct"/>
            <w:tcBorders>
              <w:top w:val="single" w:sz="4" w:space="0" w:color="auto"/>
              <w:left w:val="nil"/>
              <w:bottom w:val="single" w:sz="4" w:space="0" w:color="auto"/>
              <w:right w:val="nil"/>
            </w:tcBorders>
            <w:shd w:val="clear" w:color="auto" w:fill="auto"/>
            <w:hideMark/>
          </w:tcPr>
          <w:p w14:paraId="5A432DD3" w14:textId="77777777" w:rsidR="002F52F6" w:rsidRPr="002D5ECA" w:rsidRDefault="00EB0E19" w:rsidP="009B61F1">
            <w:pPr>
              <w:keepNext/>
              <w:keepLines/>
              <w:tabs>
                <w:tab w:val="clear" w:pos="567"/>
              </w:tabs>
              <w:spacing w:before="60" w:after="6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SDC</w:t>
            </w:r>
          </w:p>
        </w:tc>
        <w:tc>
          <w:tcPr>
            <w:tcW w:w="2628" w:type="pct"/>
            <w:tcBorders>
              <w:top w:val="single" w:sz="4" w:space="0" w:color="auto"/>
              <w:left w:val="nil"/>
              <w:bottom w:val="single" w:sz="4" w:space="0" w:color="auto"/>
              <w:right w:val="nil"/>
            </w:tcBorders>
            <w:shd w:val="clear" w:color="auto" w:fill="auto"/>
            <w:hideMark/>
          </w:tcPr>
          <w:p w14:paraId="5E41F083" w14:textId="77777777" w:rsidR="002F52F6" w:rsidRPr="002D5ECA" w:rsidRDefault="002F52F6" w:rsidP="009B61F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Recognises that income, Indigenous status and remoteness affect the number of social housing households as well as the rent paid by households.</w:t>
            </w:r>
          </w:p>
        </w:tc>
      </w:tr>
      <w:tr w:rsidR="002F52F6" w:rsidRPr="002D5ECA" w14:paraId="6D27A1EB" w14:textId="77777777" w:rsidTr="002F52F6">
        <w:trPr>
          <w:trHeight w:val="510"/>
        </w:trPr>
        <w:tc>
          <w:tcPr>
            <w:tcW w:w="1141" w:type="pct"/>
            <w:tcBorders>
              <w:top w:val="nil"/>
              <w:left w:val="nil"/>
              <w:bottom w:val="single" w:sz="4" w:space="0" w:color="auto"/>
              <w:right w:val="nil"/>
            </w:tcBorders>
            <w:shd w:val="clear" w:color="auto" w:fill="auto"/>
            <w:hideMark/>
          </w:tcPr>
          <w:p w14:paraId="080D4D8B" w14:textId="77777777" w:rsidR="002F52F6" w:rsidRPr="002D5ECA" w:rsidRDefault="002F52F6" w:rsidP="009B61F1">
            <w:pPr>
              <w:keepNext/>
              <w:keepLines/>
              <w:tabs>
                <w:tab w:val="clear" w:pos="567"/>
              </w:tabs>
              <w:spacing w:before="60" w:after="60" w:line="240" w:lineRule="auto"/>
              <w:ind w:left="142" w:hanging="142"/>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First home owner expenses</w:t>
            </w:r>
          </w:p>
        </w:tc>
        <w:tc>
          <w:tcPr>
            <w:tcW w:w="1231" w:type="pct"/>
            <w:tcBorders>
              <w:top w:val="nil"/>
              <w:left w:val="nil"/>
              <w:bottom w:val="single" w:sz="4" w:space="0" w:color="auto"/>
              <w:right w:val="nil"/>
            </w:tcBorders>
            <w:shd w:val="clear" w:color="auto" w:fill="auto"/>
            <w:hideMark/>
          </w:tcPr>
          <w:p w14:paraId="01647703" w14:textId="77777777" w:rsidR="002F52F6" w:rsidRPr="002D5ECA" w:rsidRDefault="002F52F6" w:rsidP="009B61F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None</w:t>
            </w:r>
          </w:p>
        </w:tc>
        <w:tc>
          <w:tcPr>
            <w:tcW w:w="2628" w:type="pct"/>
            <w:tcBorders>
              <w:top w:val="nil"/>
              <w:left w:val="nil"/>
              <w:bottom w:val="single" w:sz="4" w:space="0" w:color="auto"/>
              <w:right w:val="nil"/>
            </w:tcBorders>
            <w:shd w:val="clear" w:color="auto" w:fill="auto"/>
            <w:hideMark/>
          </w:tcPr>
          <w:p w14:paraId="06365355" w14:textId="77777777" w:rsidR="002F52F6" w:rsidRPr="002D5ECA" w:rsidRDefault="002F52F6" w:rsidP="009B61F1">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EPC assessment as there is no policy neutral reliable measure of first home owner</w:t>
            </w:r>
            <w:r w:rsidR="00691697">
              <w:rPr>
                <w:rFonts w:ascii="Calibri" w:eastAsia="Times New Roman" w:hAnsi="Calibri" w:cs="Times New Roman"/>
                <w:sz w:val="20"/>
                <w:szCs w:val="20"/>
                <w:lang w:eastAsia="en-AU"/>
              </w:rPr>
              <w:t xml:space="preserve"> expense</w:t>
            </w:r>
            <w:r w:rsidRPr="002D5ECA">
              <w:rPr>
                <w:rFonts w:ascii="Calibri" w:eastAsia="Times New Roman" w:hAnsi="Calibri" w:cs="Times New Roman"/>
                <w:sz w:val="20"/>
                <w:szCs w:val="20"/>
                <w:lang w:eastAsia="en-AU"/>
              </w:rPr>
              <w:t>s.</w:t>
            </w:r>
          </w:p>
        </w:tc>
      </w:tr>
    </w:tbl>
    <w:p w14:paraId="370EF32A" w14:textId="77777777" w:rsidR="00A00B51" w:rsidRDefault="00A00B51" w:rsidP="00A00B51">
      <w:pPr>
        <w:pStyle w:val="Heading4"/>
      </w:pPr>
      <w:bookmarkStart w:id="62" w:name="_Toc505591064"/>
      <w:bookmarkStart w:id="63" w:name="_Toc511634845"/>
      <w:bookmarkStart w:id="64" w:name="_Toc511732236"/>
      <w:r>
        <w:t>Data / information sought from States</w:t>
      </w:r>
      <w:bookmarkEnd w:id="62"/>
      <w:bookmarkEnd w:id="63"/>
      <w:bookmarkEnd w:id="64"/>
    </w:p>
    <w:p w14:paraId="53935265" w14:textId="7FB57734" w:rsidR="00FB5DEA" w:rsidRPr="00FB5DEA" w:rsidRDefault="00E82ADE" w:rsidP="00FB5DEA">
      <w:pPr>
        <w:pStyle w:val="CGCNumberedPara"/>
      </w:pPr>
      <w:r>
        <w:t xml:space="preserve">Staff </w:t>
      </w:r>
      <w:r w:rsidR="00FB5DEA">
        <w:t xml:space="preserve">propose seeking updated data </w:t>
      </w:r>
      <w:r w:rsidR="00DA270A">
        <w:t xml:space="preserve">later this year </w:t>
      </w:r>
      <w:r w:rsidR="004834E5">
        <w:t xml:space="preserve">on operating expenses per </w:t>
      </w:r>
      <w:r w:rsidR="001D1E79">
        <w:t>SOMIH</w:t>
      </w:r>
      <w:r w:rsidR="004834E5">
        <w:t xml:space="preserve"> dwelling and per non-Indigenous household in public housing </w:t>
      </w:r>
      <w:r w:rsidR="001D1E79">
        <w:t xml:space="preserve">dwellings </w:t>
      </w:r>
      <w:r w:rsidR="00FB5DEA">
        <w:t xml:space="preserve">to review the size of the Indigenous cost weight and to update the share </w:t>
      </w:r>
      <w:r w:rsidR="00FB5DEA" w:rsidRPr="002D5ECA">
        <w:t>of housing expenses</w:t>
      </w:r>
      <w:r w:rsidR="00FB5DEA">
        <w:t xml:space="preserve"> represented by maintenance costs.</w:t>
      </w:r>
    </w:p>
    <w:p w14:paraId="55CCD91D" w14:textId="77777777" w:rsidR="00A00B51" w:rsidRDefault="00A00B51" w:rsidP="002F52F6"/>
    <w:sectPr w:rsidR="00A00B51" w:rsidSect="00A24468">
      <w:footerReference w:type="default" r:id="rId18"/>
      <w:footerReference w:type="first" r:id="rId19"/>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3731" w14:textId="77777777" w:rsidR="00705489" w:rsidRDefault="00705489">
      <w:r>
        <w:separator/>
      </w:r>
    </w:p>
  </w:endnote>
  <w:endnote w:type="continuationSeparator" w:id="0">
    <w:p w14:paraId="65A55AED" w14:textId="77777777" w:rsidR="00705489" w:rsidRDefault="0070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805F" w14:textId="77777777" w:rsidR="00705489" w:rsidRPr="003929D2" w:rsidRDefault="00705489" w:rsidP="0062702C">
    <w:pPr>
      <w:pStyle w:val="Footer"/>
      <w:jc w:val="right"/>
      <w:rPr>
        <w:b/>
      </w:rPr>
    </w:pPr>
  </w:p>
  <w:p w14:paraId="29498605" w14:textId="77777777" w:rsidR="00705489" w:rsidRPr="00875C0F" w:rsidRDefault="00705489" w:rsidP="00407BA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63767827"/>
      <w:docPartObj>
        <w:docPartGallery w:val="Page Numbers (Bottom of Page)"/>
        <w:docPartUnique/>
      </w:docPartObj>
    </w:sdtPr>
    <w:sdtEndPr/>
    <w:sdtContent>
      <w:p w14:paraId="1BCBDF60" w14:textId="77777777" w:rsidR="00705489" w:rsidRDefault="00705489" w:rsidP="00294883">
        <w:pPr>
          <w:pStyle w:val="Footer"/>
        </w:pPr>
      </w:p>
      <w:p w14:paraId="77452F27" w14:textId="77777777" w:rsidR="00705489" w:rsidRPr="00875C0F" w:rsidRDefault="00CE292F" w:rsidP="00407BAD">
        <w:pPr>
          <w:pStyle w:val="Foo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44CD" w14:textId="77777777" w:rsidR="00705489" w:rsidRPr="003929D2" w:rsidRDefault="00705489" w:rsidP="0062702C">
    <w:pPr>
      <w:pStyle w:val="Footer"/>
      <w:jc w:val="right"/>
      <w:rPr>
        <w:b/>
      </w:rPr>
    </w:pPr>
  </w:p>
  <w:p w14:paraId="0345153D" w14:textId="77777777" w:rsidR="00705489" w:rsidRPr="00875C0F" w:rsidRDefault="00705489" w:rsidP="00407BA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F7C1" w14:textId="77777777" w:rsidR="00705489" w:rsidRPr="003929D2" w:rsidRDefault="00705489" w:rsidP="0062702C">
    <w:pPr>
      <w:pStyle w:val="Footer"/>
      <w:jc w:val="right"/>
      <w:rPr>
        <w:b/>
      </w:rPr>
    </w:pPr>
  </w:p>
  <w:p w14:paraId="51887856" w14:textId="77777777" w:rsidR="00705489" w:rsidRPr="00875C0F" w:rsidRDefault="00705489" w:rsidP="00407BA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5932" w14:textId="29E23AE5" w:rsidR="00705489" w:rsidRPr="00875C0F" w:rsidRDefault="00705489" w:rsidP="00356477">
    <w:pPr>
      <w:pStyle w:val="Footer"/>
    </w:pP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4C71" w14:textId="0AA6DAD4" w:rsidR="00705489" w:rsidRPr="003929D2" w:rsidRDefault="00705489" w:rsidP="0062702C">
    <w:pPr>
      <w:pStyle w:val="Footer"/>
      <w:jc w:val="right"/>
      <w:rPr>
        <w:b/>
      </w:rPr>
    </w:pPr>
  </w:p>
  <w:p w14:paraId="35F82EB8" w14:textId="77777777" w:rsidR="00705489" w:rsidRPr="00875C0F" w:rsidRDefault="00705489" w:rsidP="00407BA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D173" w14:textId="64941FF0" w:rsidR="00705489" w:rsidRPr="00875C0F" w:rsidRDefault="00705489" w:rsidP="00356477">
    <w:pPr>
      <w:pStyle w:val="Footer"/>
    </w:pPr>
    <w:r>
      <w:rPr>
        <w:sz w:val="20"/>
        <w:szCs w:val="20"/>
      </w:rPr>
      <w:tab/>
    </w:r>
    <w:r>
      <w:rPr>
        <w:sz w:val="20"/>
        <w:szCs w:val="20"/>
      </w:rPr>
      <w:tab/>
    </w:r>
    <w:r>
      <w:fldChar w:fldCharType="begin"/>
    </w:r>
    <w:r>
      <w:instrText xml:space="preserve"> PAGE   \* MERGEFORMAT </w:instrText>
    </w:r>
    <w:r>
      <w:fldChar w:fldCharType="separate"/>
    </w:r>
    <w:r w:rsidR="00CE292F">
      <w:rPr>
        <w:noProof/>
      </w:rPr>
      <w:t>13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72D7" w14:textId="518077BC" w:rsidR="00705489" w:rsidRPr="00875C0F" w:rsidRDefault="00705489" w:rsidP="00356477">
    <w:pPr>
      <w:pStyle w:val="Footer"/>
    </w:pPr>
    <w:r>
      <w:rPr>
        <w:sz w:val="20"/>
        <w:szCs w:val="20"/>
      </w:rPr>
      <w:tab/>
    </w:r>
    <w:r>
      <w:rPr>
        <w:sz w:val="20"/>
        <w:szCs w:val="20"/>
      </w:rPr>
      <w:tab/>
    </w:r>
    <w:r>
      <w:fldChar w:fldCharType="begin"/>
    </w:r>
    <w:r>
      <w:instrText xml:space="preserve"> PAGE   \* MERGEFORMAT </w:instrText>
    </w:r>
    <w:r>
      <w:fldChar w:fldCharType="separate"/>
    </w:r>
    <w:r w:rsidR="00CE292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FAFB" w14:textId="77777777" w:rsidR="00705489" w:rsidRDefault="00705489">
      <w:r>
        <w:separator/>
      </w:r>
    </w:p>
  </w:footnote>
  <w:footnote w:type="continuationSeparator" w:id="0">
    <w:p w14:paraId="27D65EE2" w14:textId="77777777" w:rsidR="00705489" w:rsidRDefault="00705489">
      <w:r>
        <w:continuationSeparator/>
      </w:r>
    </w:p>
  </w:footnote>
  <w:footnote w:id="1">
    <w:p w14:paraId="03587C49" w14:textId="77777777" w:rsidR="00705489" w:rsidRDefault="00705489">
      <w:pPr>
        <w:pStyle w:val="FootnoteText"/>
      </w:pPr>
      <w:r>
        <w:rPr>
          <w:rStyle w:val="FootnoteReference"/>
        </w:rPr>
        <w:footnoteRef/>
      </w:r>
      <w:r>
        <w:t xml:space="preserve"> </w:t>
      </w:r>
      <w:r>
        <w:tab/>
        <w:t xml:space="preserve">An equivalising factor is used </w:t>
      </w:r>
      <w:r w:rsidRPr="00A15B40">
        <w:t>to adjust the actual incomes of households in a way that enables analysis of the relative wellbeing of households of different size and composition.</w:t>
      </w:r>
    </w:p>
  </w:footnote>
  <w:footnote w:id="2">
    <w:p w14:paraId="74A4B8E9" w14:textId="294C3572" w:rsidR="00705489" w:rsidRDefault="00705489" w:rsidP="008D1C4A">
      <w:pPr>
        <w:pStyle w:val="FootnoteText"/>
      </w:pPr>
      <w:r>
        <w:rPr>
          <w:rStyle w:val="FootnoteReference"/>
        </w:rPr>
        <w:footnoteRef/>
      </w:r>
      <w:r>
        <w:t xml:space="preserve"> </w:t>
      </w:r>
      <w:r>
        <w:tab/>
      </w:r>
      <w:r>
        <w:rPr>
          <w:rFonts w:cstheme="minorHAnsi"/>
        </w:rPr>
        <w:t>A quarter</w:t>
      </w:r>
      <w:r w:rsidRPr="00D40DB1">
        <w:rPr>
          <w:rFonts w:cstheme="minorHAnsi"/>
        </w:rPr>
        <w:t xml:space="preserve"> of </w:t>
      </w:r>
      <w:r>
        <w:t>National partnership on remote Indigenous housing (</w:t>
      </w:r>
      <w:r w:rsidRPr="00D40DB1">
        <w:rPr>
          <w:rFonts w:cstheme="minorHAnsi"/>
        </w:rPr>
        <w:t>NPARIH</w:t>
      </w:r>
      <w:r>
        <w:rPr>
          <w:rFonts w:cstheme="minorHAnsi"/>
        </w:rPr>
        <w:t>)</w:t>
      </w:r>
      <w:r w:rsidRPr="00D40DB1">
        <w:rPr>
          <w:rFonts w:cstheme="minorHAnsi"/>
        </w:rPr>
        <w:t xml:space="preserve"> funding </w:t>
      </w:r>
      <w:r>
        <w:rPr>
          <w:rFonts w:cstheme="minorHAnsi"/>
        </w:rPr>
        <w:t xml:space="preserve">was excluded </w:t>
      </w:r>
      <w:r w:rsidRPr="00D40DB1">
        <w:rPr>
          <w:rFonts w:cstheme="minorHAnsi"/>
        </w:rPr>
        <w:t xml:space="preserve">from State investment spending and from the NPP treated as </w:t>
      </w:r>
      <w:r>
        <w:rPr>
          <w:rFonts w:cstheme="minorHAnsi"/>
        </w:rPr>
        <w:t xml:space="preserve">affecting </w:t>
      </w:r>
      <w:r w:rsidRPr="00D40DB1">
        <w:rPr>
          <w:rFonts w:cstheme="minorHAnsi"/>
        </w:rPr>
        <w:t>the GST distribution</w:t>
      </w:r>
      <w:r>
        <w:rPr>
          <w:rFonts w:cstheme="minorHAnsi"/>
        </w:rPr>
        <w:t xml:space="preserve">, based on </w:t>
      </w:r>
      <w:r>
        <w:t xml:space="preserve">new housing constituting some 50% of NPARIH funds at the national level, part of which was geared to </w:t>
      </w:r>
      <w:r w:rsidRPr="00C71DF1">
        <w:t>lifting the overall stock in each State so that service standards approach</w:t>
      </w:r>
      <w:r>
        <w:t>ed</w:t>
      </w:r>
      <w:r w:rsidRPr="00C71DF1">
        <w:t xml:space="preserve"> or equal</w:t>
      </w:r>
      <w:r>
        <w:t>led</w:t>
      </w:r>
      <w:r w:rsidRPr="00C71DF1">
        <w:t xml:space="preserve"> those provide</w:t>
      </w:r>
      <w:r>
        <w:t>d in non-</w:t>
      </w:r>
      <w:r w:rsidRPr="00C71DF1">
        <w:t>remote communities</w:t>
      </w:r>
      <w:r>
        <w:t>.</w:t>
      </w:r>
    </w:p>
  </w:footnote>
  <w:footnote w:id="3">
    <w:p w14:paraId="6E56ABEB" w14:textId="77777777" w:rsidR="00705489" w:rsidRPr="00294883" w:rsidRDefault="00705489" w:rsidP="00A3497D">
      <w:pPr>
        <w:pStyle w:val="FootnoteText"/>
      </w:pPr>
      <w:r>
        <w:rPr>
          <w:rStyle w:val="FootnoteReference"/>
        </w:rPr>
        <w:footnoteRef/>
      </w:r>
      <w:r>
        <w:t xml:space="preserve"> </w:t>
      </w:r>
      <w:r>
        <w:tab/>
      </w:r>
      <w:r w:rsidRPr="00294883">
        <w:t xml:space="preserve">Another factor contributing to the discrepancies is that there is no neat fit between the Census categories and AIHW social housing collections. For example, Census </w:t>
      </w:r>
      <w:r w:rsidRPr="00AB1DB8">
        <w:t>State housing authorit</w:t>
      </w:r>
      <w:r>
        <w:t xml:space="preserve">ies household </w:t>
      </w:r>
      <w:r w:rsidRPr="00294883">
        <w:t xml:space="preserve">counts may include tenants of land councils which report in the AIHW Indigenous Community Housing collection. </w:t>
      </w:r>
    </w:p>
  </w:footnote>
  <w:footnote w:id="4">
    <w:p w14:paraId="0E0E3828" w14:textId="77777777" w:rsidR="00705489" w:rsidRDefault="00705489">
      <w:pPr>
        <w:pStyle w:val="FootnoteText"/>
      </w:pPr>
      <w:r w:rsidRPr="00294883">
        <w:rPr>
          <w:rStyle w:val="FootnoteReference"/>
        </w:rPr>
        <w:footnoteRef/>
      </w:r>
      <w:r w:rsidRPr="00294883">
        <w:t xml:space="preserve"> </w:t>
      </w:r>
      <w:r w:rsidRPr="00294883">
        <w:tab/>
        <w:t>Census data by remoteness are not currently available.</w:t>
      </w:r>
    </w:p>
  </w:footnote>
  <w:footnote w:id="5">
    <w:p w14:paraId="528D0BA8" w14:textId="3F49DF0D" w:rsidR="00705489" w:rsidRDefault="00705489">
      <w:pPr>
        <w:pStyle w:val="FootnoteText"/>
      </w:pPr>
      <w:r>
        <w:rPr>
          <w:rStyle w:val="FootnoteReference"/>
        </w:rPr>
        <w:footnoteRef/>
      </w:r>
      <w:r>
        <w:t xml:space="preserve"> </w:t>
      </w:r>
      <w:r>
        <w:tab/>
        <w:t xml:space="preserve">The </w:t>
      </w:r>
      <w:r w:rsidRPr="00AE126A">
        <w:t xml:space="preserve">rate of unknown </w:t>
      </w:r>
      <w:r>
        <w:t>I</w:t>
      </w:r>
      <w:r w:rsidRPr="00AE126A">
        <w:t>ndigen</w:t>
      </w:r>
      <w:r>
        <w:t>ous</w:t>
      </w:r>
      <w:r w:rsidRPr="00AE126A">
        <w:t xml:space="preserve"> status across the </w:t>
      </w:r>
      <w:r>
        <w:t>public housing</w:t>
      </w:r>
      <w:r w:rsidRPr="00AE126A">
        <w:t xml:space="preserve"> collection is around 16% for </w:t>
      </w:r>
      <w:r>
        <w:t>Victoria</w:t>
      </w:r>
      <w:r w:rsidRPr="00AE126A">
        <w:t xml:space="preserve">, </w:t>
      </w:r>
      <w:r>
        <w:t>Tasmania</w:t>
      </w:r>
      <w:r w:rsidRPr="00AE126A">
        <w:t xml:space="preserve">, </w:t>
      </w:r>
      <w:r>
        <w:t>South Australia</w:t>
      </w:r>
      <w:r w:rsidRPr="00AE126A">
        <w:t xml:space="preserve">, </w:t>
      </w:r>
      <w:r>
        <w:t>Western Australia</w:t>
      </w:r>
      <w:r w:rsidRPr="00AE126A">
        <w:t xml:space="preserve">, </w:t>
      </w:r>
      <w:r>
        <w:t>the Northern Territory</w:t>
      </w:r>
      <w:r w:rsidRPr="00AE126A">
        <w:t xml:space="preserve">, </w:t>
      </w:r>
      <w:r>
        <w:t>Queensland</w:t>
      </w:r>
      <w:r w:rsidRPr="00AE126A">
        <w:t xml:space="preserve"> and </w:t>
      </w:r>
      <w:r>
        <w:t xml:space="preserve">the </w:t>
      </w:r>
      <w:r w:rsidRPr="00AE126A">
        <w:t>ACT combined</w:t>
      </w:r>
      <w:r>
        <w:t>; f</w:t>
      </w:r>
      <w:r w:rsidRPr="00AE126A">
        <w:t xml:space="preserve">or </w:t>
      </w:r>
      <w:r>
        <w:t>New South Wales</w:t>
      </w:r>
      <w:r w:rsidRPr="00AE126A">
        <w:t xml:space="preserve"> it is 100%</w:t>
      </w:r>
      <w:r>
        <w:t>.</w:t>
      </w:r>
    </w:p>
  </w:footnote>
  <w:footnote w:id="6">
    <w:p w14:paraId="0804FD8F" w14:textId="36E312AA" w:rsidR="00705489" w:rsidRDefault="00705489" w:rsidP="00556826">
      <w:pPr>
        <w:pStyle w:val="FootnoteText"/>
      </w:pPr>
      <w:r>
        <w:rPr>
          <w:rStyle w:val="FootnoteReference"/>
        </w:rPr>
        <w:footnoteRef/>
      </w:r>
      <w:r>
        <w:t xml:space="preserve"> </w:t>
      </w:r>
      <w:r>
        <w:tab/>
        <w:t xml:space="preserve">ABS, </w:t>
      </w:r>
      <w:hyperlink r:id="rId1" w:history="1">
        <w:r w:rsidRPr="00BA19C1">
          <w:rPr>
            <w:rStyle w:val="Hyperlink"/>
            <w:i/>
          </w:rPr>
          <w:t>Census of Population and Housing: Understanding the Census and Census Data,</w:t>
        </w:r>
      </w:hyperlink>
      <w:r w:rsidRPr="00356477">
        <w:t xml:space="preserve"> Australia</w:t>
      </w:r>
      <w:r w:rsidRPr="00F359D1">
        <w:rPr>
          <w:i/>
        </w:rPr>
        <w:t>, 2016</w:t>
      </w:r>
      <w:r>
        <w:t>, Cat. No. 2900.0, (</w:t>
      </w:r>
      <w:r w:rsidRPr="00356477">
        <w:t>http://www.abs.gov.au/ausstats/abs@.nsf/Lookup/2900.0main+</w:t>
      </w:r>
    </w:p>
    <w:p w14:paraId="427FFC0A" w14:textId="77777777" w:rsidR="00705489" w:rsidRDefault="00705489" w:rsidP="00BA19C1">
      <w:pPr>
        <w:pStyle w:val="FootnoteText"/>
      </w:pPr>
      <w:r>
        <w:tab/>
      </w:r>
      <w:r w:rsidRPr="00356477">
        <w:t>features100362016</w:t>
      </w:r>
      <w:r>
        <w:rPr>
          <w:rStyle w:val="Hyperlink"/>
        </w:rPr>
        <w:t>)</w:t>
      </w:r>
      <w:r>
        <w:t>, [accessed February 2017].</w:t>
      </w:r>
    </w:p>
  </w:footnote>
  <w:footnote w:id="7">
    <w:p w14:paraId="42F4E21A" w14:textId="77777777" w:rsidR="00705489" w:rsidRDefault="00705489" w:rsidP="003915B8">
      <w:pPr>
        <w:pStyle w:val="FootnoteText"/>
      </w:pPr>
      <w:r>
        <w:rPr>
          <w:rStyle w:val="FootnoteReference"/>
        </w:rPr>
        <w:footnoteRef/>
      </w:r>
      <w:r>
        <w:t xml:space="preserve"> </w:t>
      </w:r>
      <w:r>
        <w:tab/>
        <w:t xml:space="preserve">New South Wales’ comments on Staff Research Paper </w:t>
      </w:r>
      <w:r w:rsidRPr="00356477">
        <w:rPr>
          <w:i/>
        </w:rPr>
        <w:t>CGC 2016</w:t>
      </w:r>
      <w:r w:rsidRPr="00356477">
        <w:rPr>
          <w:i/>
        </w:rPr>
        <w:noBreakHyphen/>
        <w:t>14</w:t>
      </w:r>
      <w:r w:rsidRPr="00356477">
        <w:rPr>
          <w:i/>
        </w:rPr>
        <w:noBreakHyphen/>
        <w:t>S,</w:t>
      </w:r>
      <w:r>
        <w:t xml:space="preserve"> </w:t>
      </w:r>
      <w:r w:rsidRPr="002B5CA9">
        <w:rPr>
          <w:i/>
        </w:rPr>
        <w:t xml:space="preserve">What States Do - </w:t>
      </w:r>
      <w:r>
        <w:rPr>
          <w:i/>
        </w:rPr>
        <w:t>Housing</w:t>
      </w:r>
      <w:r w:rsidRPr="002B5CA9">
        <w:rPr>
          <w:i/>
        </w:rPr>
        <w:t xml:space="preserve"> Services</w:t>
      </w:r>
      <w:r>
        <w:t>.</w:t>
      </w:r>
    </w:p>
  </w:footnote>
  <w:footnote w:id="8">
    <w:p w14:paraId="4792CA73" w14:textId="11E1269F" w:rsidR="00705489" w:rsidRDefault="00705489" w:rsidP="00D41157">
      <w:pPr>
        <w:pStyle w:val="FootnoteText"/>
      </w:pPr>
      <w:r>
        <w:rPr>
          <w:rStyle w:val="FootnoteReference"/>
        </w:rPr>
        <w:footnoteRef/>
      </w:r>
      <w:r>
        <w:t xml:space="preserve"> </w:t>
      </w:r>
      <w:r>
        <w:tab/>
        <w:t xml:space="preserve">See Community Housing Federation of Australia, </w:t>
      </w:r>
      <w:r w:rsidRPr="00FA7780">
        <w:rPr>
          <w:i/>
        </w:rPr>
        <w:t>Allocation, Eligibility, and Rent Setting in the Australian Community Housing Sector</w:t>
      </w:r>
      <w:r>
        <w:t xml:space="preserve">, April 2014. Available from the </w:t>
      </w:r>
      <w:hyperlink r:id="rId2" w:history="1">
        <w:r w:rsidRPr="00613C7C">
          <w:rPr>
            <w:rStyle w:val="Hyperlink"/>
          </w:rPr>
          <w:t>Parliament of Australia website</w:t>
        </w:r>
      </w:hyperlink>
      <w:r>
        <w:t>, (</w:t>
      </w:r>
      <w:r w:rsidRPr="00356477">
        <w:t>https://www.aph.gov.au/</w:t>
      </w:r>
      <w:r>
        <w:t>) [accessed August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E34D" w14:textId="77777777" w:rsidR="00705489" w:rsidRDefault="0070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17EA6"/>
    <w:multiLevelType w:val="multilevel"/>
    <w:tmpl w:val="5D20209A"/>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4A"/>
    <w:rsid w:val="00002416"/>
    <w:rsid w:val="00016FE0"/>
    <w:rsid w:val="00017360"/>
    <w:rsid w:val="0002106D"/>
    <w:rsid w:val="00021A5F"/>
    <w:rsid w:val="00022EA9"/>
    <w:rsid w:val="00024320"/>
    <w:rsid w:val="00024745"/>
    <w:rsid w:val="00026EAB"/>
    <w:rsid w:val="00027FC6"/>
    <w:rsid w:val="00032F41"/>
    <w:rsid w:val="0004123E"/>
    <w:rsid w:val="00041748"/>
    <w:rsid w:val="00041E84"/>
    <w:rsid w:val="000421CC"/>
    <w:rsid w:val="000424EA"/>
    <w:rsid w:val="0004580A"/>
    <w:rsid w:val="0005258F"/>
    <w:rsid w:val="0005629D"/>
    <w:rsid w:val="00056373"/>
    <w:rsid w:val="00057183"/>
    <w:rsid w:val="00061111"/>
    <w:rsid w:val="000624BB"/>
    <w:rsid w:val="000648E8"/>
    <w:rsid w:val="00071907"/>
    <w:rsid w:val="00075702"/>
    <w:rsid w:val="0007581D"/>
    <w:rsid w:val="00076AE9"/>
    <w:rsid w:val="0007759A"/>
    <w:rsid w:val="000828F8"/>
    <w:rsid w:val="00087577"/>
    <w:rsid w:val="000936AD"/>
    <w:rsid w:val="00093796"/>
    <w:rsid w:val="0009508C"/>
    <w:rsid w:val="000A3712"/>
    <w:rsid w:val="000A3898"/>
    <w:rsid w:val="000A3DF3"/>
    <w:rsid w:val="000A4085"/>
    <w:rsid w:val="000A52A1"/>
    <w:rsid w:val="000A5AD0"/>
    <w:rsid w:val="000A7514"/>
    <w:rsid w:val="000B0E82"/>
    <w:rsid w:val="000B2942"/>
    <w:rsid w:val="000B3557"/>
    <w:rsid w:val="000B45FC"/>
    <w:rsid w:val="000B4F69"/>
    <w:rsid w:val="000B64E3"/>
    <w:rsid w:val="000B6BB6"/>
    <w:rsid w:val="000B746D"/>
    <w:rsid w:val="000C4F19"/>
    <w:rsid w:val="000C4F32"/>
    <w:rsid w:val="000C71D6"/>
    <w:rsid w:val="000D0ABC"/>
    <w:rsid w:val="000D1354"/>
    <w:rsid w:val="000D1EA6"/>
    <w:rsid w:val="000D3BA8"/>
    <w:rsid w:val="000D7ABB"/>
    <w:rsid w:val="000D7C54"/>
    <w:rsid w:val="000E0210"/>
    <w:rsid w:val="000E2A0E"/>
    <w:rsid w:val="000E648E"/>
    <w:rsid w:val="000E6AA5"/>
    <w:rsid w:val="000E7F56"/>
    <w:rsid w:val="000F1CDA"/>
    <w:rsid w:val="000F526F"/>
    <w:rsid w:val="000F60B4"/>
    <w:rsid w:val="000F77C8"/>
    <w:rsid w:val="001039C2"/>
    <w:rsid w:val="001040AD"/>
    <w:rsid w:val="0010621D"/>
    <w:rsid w:val="00107B33"/>
    <w:rsid w:val="0011178C"/>
    <w:rsid w:val="00112CF0"/>
    <w:rsid w:val="00116A07"/>
    <w:rsid w:val="001211AB"/>
    <w:rsid w:val="001218B8"/>
    <w:rsid w:val="0012236D"/>
    <w:rsid w:val="00122FCA"/>
    <w:rsid w:val="00123A1D"/>
    <w:rsid w:val="00123CFD"/>
    <w:rsid w:val="00124ED1"/>
    <w:rsid w:val="001279A9"/>
    <w:rsid w:val="00130C38"/>
    <w:rsid w:val="00134C64"/>
    <w:rsid w:val="00136497"/>
    <w:rsid w:val="00141BD1"/>
    <w:rsid w:val="001462FF"/>
    <w:rsid w:val="00147115"/>
    <w:rsid w:val="001477CE"/>
    <w:rsid w:val="00163ED5"/>
    <w:rsid w:val="0016723A"/>
    <w:rsid w:val="00167EE4"/>
    <w:rsid w:val="00170043"/>
    <w:rsid w:val="00170BAF"/>
    <w:rsid w:val="00171224"/>
    <w:rsid w:val="00171A05"/>
    <w:rsid w:val="00171FF1"/>
    <w:rsid w:val="001726F2"/>
    <w:rsid w:val="00172F3A"/>
    <w:rsid w:val="001730FD"/>
    <w:rsid w:val="00173798"/>
    <w:rsid w:val="00173BE6"/>
    <w:rsid w:val="00173E72"/>
    <w:rsid w:val="00174625"/>
    <w:rsid w:val="001753B4"/>
    <w:rsid w:val="00177898"/>
    <w:rsid w:val="001807C0"/>
    <w:rsid w:val="001811DE"/>
    <w:rsid w:val="00185C5E"/>
    <w:rsid w:val="00187145"/>
    <w:rsid w:val="001936F4"/>
    <w:rsid w:val="00193DA9"/>
    <w:rsid w:val="00197DBA"/>
    <w:rsid w:val="00197EF0"/>
    <w:rsid w:val="001A01FB"/>
    <w:rsid w:val="001A59FC"/>
    <w:rsid w:val="001A62E7"/>
    <w:rsid w:val="001B0110"/>
    <w:rsid w:val="001B3048"/>
    <w:rsid w:val="001B5B78"/>
    <w:rsid w:val="001B696E"/>
    <w:rsid w:val="001B69DA"/>
    <w:rsid w:val="001B6A56"/>
    <w:rsid w:val="001C3251"/>
    <w:rsid w:val="001C36F9"/>
    <w:rsid w:val="001C469B"/>
    <w:rsid w:val="001C6A71"/>
    <w:rsid w:val="001C6C60"/>
    <w:rsid w:val="001D0174"/>
    <w:rsid w:val="001D1E79"/>
    <w:rsid w:val="001D338E"/>
    <w:rsid w:val="001D55F5"/>
    <w:rsid w:val="001D638B"/>
    <w:rsid w:val="001D6DFA"/>
    <w:rsid w:val="001E2E63"/>
    <w:rsid w:val="001E6180"/>
    <w:rsid w:val="001E674B"/>
    <w:rsid w:val="001E68FC"/>
    <w:rsid w:val="001E7CF9"/>
    <w:rsid w:val="001F451F"/>
    <w:rsid w:val="001F5434"/>
    <w:rsid w:val="001F5982"/>
    <w:rsid w:val="00203C4E"/>
    <w:rsid w:val="00204026"/>
    <w:rsid w:val="00212948"/>
    <w:rsid w:val="00216433"/>
    <w:rsid w:val="0021745A"/>
    <w:rsid w:val="00217839"/>
    <w:rsid w:val="00221B1D"/>
    <w:rsid w:val="0022560E"/>
    <w:rsid w:val="00225A3B"/>
    <w:rsid w:val="0022785A"/>
    <w:rsid w:val="0023081D"/>
    <w:rsid w:val="00231451"/>
    <w:rsid w:val="00231EEF"/>
    <w:rsid w:val="0023329C"/>
    <w:rsid w:val="00236DC0"/>
    <w:rsid w:val="002373A2"/>
    <w:rsid w:val="00237EA8"/>
    <w:rsid w:val="00237F64"/>
    <w:rsid w:val="002412EF"/>
    <w:rsid w:val="00242459"/>
    <w:rsid w:val="00242517"/>
    <w:rsid w:val="0024260B"/>
    <w:rsid w:val="00243199"/>
    <w:rsid w:val="00243A5B"/>
    <w:rsid w:val="0024401F"/>
    <w:rsid w:val="0024569B"/>
    <w:rsid w:val="00250715"/>
    <w:rsid w:val="00252F38"/>
    <w:rsid w:val="00254193"/>
    <w:rsid w:val="00255B5A"/>
    <w:rsid w:val="00256427"/>
    <w:rsid w:val="00260326"/>
    <w:rsid w:val="00263C63"/>
    <w:rsid w:val="00264387"/>
    <w:rsid w:val="002671A2"/>
    <w:rsid w:val="00267496"/>
    <w:rsid w:val="00272850"/>
    <w:rsid w:val="002734F6"/>
    <w:rsid w:val="00274211"/>
    <w:rsid w:val="00275B68"/>
    <w:rsid w:val="002808E3"/>
    <w:rsid w:val="002845EA"/>
    <w:rsid w:val="0028483D"/>
    <w:rsid w:val="00286EBE"/>
    <w:rsid w:val="00290068"/>
    <w:rsid w:val="00291C18"/>
    <w:rsid w:val="00294883"/>
    <w:rsid w:val="00295241"/>
    <w:rsid w:val="00295B70"/>
    <w:rsid w:val="002A0067"/>
    <w:rsid w:val="002A0A46"/>
    <w:rsid w:val="002A2A08"/>
    <w:rsid w:val="002A2D93"/>
    <w:rsid w:val="002A4E42"/>
    <w:rsid w:val="002A6232"/>
    <w:rsid w:val="002A77C3"/>
    <w:rsid w:val="002B105F"/>
    <w:rsid w:val="002B10B0"/>
    <w:rsid w:val="002B169C"/>
    <w:rsid w:val="002B6EFD"/>
    <w:rsid w:val="002B6F33"/>
    <w:rsid w:val="002B79F0"/>
    <w:rsid w:val="002B7F3E"/>
    <w:rsid w:val="002C1D9C"/>
    <w:rsid w:val="002C366F"/>
    <w:rsid w:val="002C4CA9"/>
    <w:rsid w:val="002D2270"/>
    <w:rsid w:val="002D4F13"/>
    <w:rsid w:val="002D634E"/>
    <w:rsid w:val="002D77C0"/>
    <w:rsid w:val="002E25A8"/>
    <w:rsid w:val="002E484C"/>
    <w:rsid w:val="002F04DE"/>
    <w:rsid w:val="002F14F9"/>
    <w:rsid w:val="002F1CD3"/>
    <w:rsid w:val="002F1FCC"/>
    <w:rsid w:val="002F52F6"/>
    <w:rsid w:val="002F6E28"/>
    <w:rsid w:val="002F7E68"/>
    <w:rsid w:val="0030015D"/>
    <w:rsid w:val="00302E5E"/>
    <w:rsid w:val="00303230"/>
    <w:rsid w:val="00307DEF"/>
    <w:rsid w:val="00311D33"/>
    <w:rsid w:val="00313664"/>
    <w:rsid w:val="00314F90"/>
    <w:rsid w:val="00322CF2"/>
    <w:rsid w:val="0033102E"/>
    <w:rsid w:val="00331401"/>
    <w:rsid w:val="00331412"/>
    <w:rsid w:val="00333234"/>
    <w:rsid w:val="00335ED1"/>
    <w:rsid w:val="00337EF8"/>
    <w:rsid w:val="00342A60"/>
    <w:rsid w:val="0034379D"/>
    <w:rsid w:val="0034646D"/>
    <w:rsid w:val="00347731"/>
    <w:rsid w:val="00347BE5"/>
    <w:rsid w:val="0035152F"/>
    <w:rsid w:val="003516F8"/>
    <w:rsid w:val="003522E0"/>
    <w:rsid w:val="0035267F"/>
    <w:rsid w:val="00352885"/>
    <w:rsid w:val="00353879"/>
    <w:rsid w:val="0035580D"/>
    <w:rsid w:val="00356477"/>
    <w:rsid w:val="003564CF"/>
    <w:rsid w:val="00362C15"/>
    <w:rsid w:val="003639FB"/>
    <w:rsid w:val="00363BF7"/>
    <w:rsid w:val="00367DDC"/>
    <w:rsid w:val="00370FDE"/>
    <w:rsid w:val="00373814"/>
    <w:rsid w:val="00376C80"/>
    <w:rsid w:val="00381563"/>
    <w:rsid w:val="00382AE5"/>
    <w:rsid w:val="00383C17"/>
    <w:rsid w:val="003908FE"/>
    <w:rsid w:val="003915B8"/>
    <w:rsid w:val="003929D2"/>
    <w:rsid w:val="00393FA5"/>
    <w:rsid w:val="003949FF"/>
    <w:rsid w:val="003952F3"/>
    <w:rsid w:val="003957DD"/>
    <w:rsid w:val="00397FB3"/>
    <w:rsid w:val="003A10DB"/>
    <w:rsid w:val="003A12A4"/>
    <w:rsid w:val="003A27BB"/>
    <w:rsid w:val="003A5B17"/>
    <w:rsid w:val="003A6019"/>
    <w:rsid w:val="003B2DEE"/>
    <w:rsid w:val="003B3DF1"/>
    <w:rsid w:val="003B6140"/>
    <w:rsid w:val="003B673D"/>
    <w:rsid w:val="003B7585"/>
    <w:rsid w:val="003C0DA1"/>
    <w:rsid w:val="003C0F5E"/>
    <w:rsid w:val="003C2577"/>
    <w:rsid w:val="003C2C74"/>
    <w:rsid w:val="003C4448"/>
    <w:rsid w:val="003D3B98"/>
    <w:rsid w:val="003D3D91"/>
    <w:rsid w:val="003D4708"/>
    <w:rsid w:val="003D477A"/>
    <w:rsid w:val="003E6615"/>
    <w:rsid w:val="003E79F9"/>
    <w:rsid w:val="003F07F3"/>
    <w:rsid w:val="003F12E9"/>
    <w:rsid w:val="003F2C7A"/>
    <w:rsid w:val="003F59F4"/>
    <w:rsid w:val="003F6A5E"/>
    <w:rsid w:val="00403BF5"/>
    <w:rsid w:val="00403C8E"/>
    <w:rsid w:val="00403F56"/>
    <w:rsid w:val="00404B9C"/>
    <w:rsid w:val="00404DCD"/>
    <w:rsid w:val="00405B6F"/>
    <w:rsid w:val="004075B6"/>
    <w:rsid w:val="004077D6"/>
    <w:rsid w:val="00407BAD"/>
    <w:rsid w:val="004121E7"/>
    <w:rsid w:val="00414E51"/>
    <w:rsid w:val="00420F04"/>
    <w:rsid w:val="00423099"/>
    <w:rsid w:val="004246A1"/>
    <w:rsid w:val="00424E79"/>
    <w:rsid w:val="0042661C"/>
    <w:rsid w:val="004274B3"/>
    <w:rsid w:val="00432066"/>
    <w:rsid w:val="004408A5"/>
    <w:rsid w:val="0044357B"/>
    <w:rsid w:val="00443EC1"/>
    <w:rsid w:val="00445969"/>
    <w:rsid w:val="00451688"/>
    <w:rsid w:val="004520BA"/>
    <w:rsid w:val="00452C3F"/>
    <w:rsid w:val="00453264"/>
    <w:rsid w:val="00454E11"/>
    <w:rsid w:val="00461208"/>
    <w:rsid w:val="00461AA6"/>
    <w:rsid w:val="0046250F"/>
    <w:rsid w:val="00462B54"/>
    <w:rsid w:val="00462C3D"/>
    <w:rsid w:val="00462DAE"/>
    <w:rsid w:val="00463064"/>
    <w:rsid w:val="00463977"/>
    <w:rsid w:val="00472461"/>
    <w:rsid w:val="00473BA8"/>
    <w:rsid w:val="00477E79"/>
    <w:rsid w:val="004809B8"/>
    <w:rsid w:val="00480F73"/>
    <w:rsid w:val="004816A3"/>
    <w:rsid w:val="004821B9"/>
    <w:rsid w:val="00482E84"/>
    <w:rsid w:val="004834E5"/>
    <w:rsid w:val="00491D88"/>
    <w:rsid w:val="0049514A"/>
    <w:rsid w:val="00495A2E"/>
    <w:rsid w:val="0049605C"/>
    <w:rsid w:val="00496521"/>
    <w:rsid w:val="004965F7"/>
    <w:rsid w:val="004A6016"/>
    <w:rsid w:val="004A6EEE"/>
    <w:rsid w:val="004A7048"/>
    <w:rsid w:val="004B0A0A"/>
    <w:rsid w:val="004B1C4B"/>
    <w:rsid w:val="004B60CB"/>
    <w:rsid w:val="004C1CB5"/>
    <w:rsid w:val="004D0AE7"/>
    <w:rsid w:val="004D3A9B"/>
    <w:rsid w:val="004E0659"/>
    <w:rsid w:val="004E121F"/>
    <w:rsid w:val="004E2D39"/>
    <w:rsid w:val="004E3CF0"/>
    <w:rsid w:val="004E70D3"/>
    <w:rsid w:val="004E769A"/>
    <w:rsid w:val="004E7BF1"/>
    <w:rsid w:val="004F01EB"/>
    <w:rsid w:val="004F1ECC"/>
    <w:rsid w:val="004F41C7"/>
    <w:rsid w:val="005004CD"/>
    <w:rsid w:val="00500ACD"/>
    <w:rsid w:val="00501EF6"/>
    <w:rsid w:val="00503522"/>
    <w:rsid w:val="0050356E"/>
    <w:rsid w:val="00504061"/>
    <w:rsid w:val="00504DF9"/>
    <w:rsid w:val="00505BAE"/>
    <w:rsid w:val="005060D4"/>
    <w:rsid w:val="005062E4"/>
    <w:rsid w:val="00506956"/>
    <w:rsid w:val="005123DF"/>
    <w:rsid w:val="00515380"/>
    <w:rsid w:val="005176CA"/>
    <w:rsid w:val="00522796"/>
    <w:rsid w:val="005247C7"/>
    <w:rsid w:val="00524B97"/>
    <w:rsid w:val="00525FF4"/>
    <w:rsid w:val="00526491"/>
    <w:rsid w:val="00526BA7"/>
    <w:rsid w:val="00530571"/>
    <w:rsid w:val="00537A77"/>
    <w:rsid w:val="00541A14"/>
    <w:rsid w:val="00541DF0"/>
    <w:rsid w:val="0054273E"/>
    <w:rsid w:val="00543F9C"/>
    <w:rsid w:val="0054423F"/>
    <w:rsid w:val="00546D39"/>
    <w:rsid w:val="00550E84"/>
    <w:rsid w:val="00551368"/>
    <w:rsid w:val="00553889"/>
    <w:rsid w:val="00555ED1"/>
    <w:rsid w:val="00556471"/>
    <w:rsid w:val="00556826"/>
    <w:rsid w:val="005577B0"/>
    <w:rsid w:val="00562084"/>
    <w:rsid w:val="00565422"/>
    <w:rsid w:val="00566C01"/>
    <w:rsid w:val="00570EED"/>
    <w:rsid w:val="005716FC"/>
    <w:rsid w:val="005719AF"/>
    <w:rsid w:val="005742E5"/>
    <w:rsid w:val="005745A1"/>
    <w:rsid w:val="00575DEF"/>
    <w:rsid w:val="00575FA1"/>
    <w:rsid w:val="0058357B"/>
    <w:rsid w:val="00583A33"/>
    <w:rsid w:val="005867D2"/>
    <w:rsid w:val="00586C7A"/>
    <w:rsid w:val="005906DD"/>
    <w:rsid w:val="00592A4F"/>
    <w:rsid w:val="005934DE"/>
    <w:rsid w:val="00595D44"/>
    <w:rsid w:val="005963CC"/>
    <w:rsid w:val="00596E19"/>
    <w:rsid w:val="00597B24"/>
    <w:rsid w:val="005A241E"/>
    <w:rsid w:val="005A5F7C"/>
    <w:rsid w:val="005A6FED"/>
    <w:rsid w:val="005B1048"/>
    <w:rsid w:val="005B1BC4"/>
    <w:rsid w:val="005B56C0"/>
    <w:rsid w:val="005B5CD9"/>
    <w:rsid w:val="005B5DF7"/>
    <w:rsid w:val="005B6894"/>
    <w:rsid w:val="005B71A7"/>
    <w:rsid w:val="005B7CA1"/>
    <w:rsid w:val="005C13B2"/>
    <w:rsid w:val="005C27E3"/>
    <w:rsid w:val="005C37CB"/>
    <w:rsid w:val="005C459C"/>
    <w:rsid w:val="005C4F8F"/>
    <w:rsid w:val="005C7689"/>
    <w:rsid w:val="005D1A9F"/>
    <w:rsid w:val="005D2485"/>
    <w:rsid w:val="005D52FA"/>
    <w:rsid w:val="005E266F"/>
    <w:rsid w:val="005E5734"/>
    <w:rsid w:val="005E73CE"/>
    <w:rsid w:val="005F07DC"/>
    <w:rsid w:val="005F354F"/>
    <w:rsid w:val="005F3934"/>
    <w:rsid w:val="005F64FB"/>
    <w:rsid w:val="006015CC"/>
    <w:rsid w:val="006016F4"/>
    <w:rsid w:val="0060251E"/>
    <w:rsid w:val="00602DDE"/>
    <w:rsid w:val="006065D0"/>
    <w:rsid w:val="0060684D"/>
    <w:rsid w:val="00606D32"/>
    <w:rsid w:val="00611737"/>
    <w:rsid w:val="00613C7C"/>
    <w:rsid w:val="00614DE8"/>
    <w:rsid w:val="00615333"/>
    <w:rsid w:val="00617121"/>
    <w:rsid w:val="0061778F"/>
    <w:rsid w:val="00622669"/>
    <w:rsid w:val="00622FE1"/>
    <w:rsid w:val="00625CE5"/>
    <w:rsid w:val="00626DB2"/>
    <w:rsid w:val="0062702C"/>
    <w:rsid w:val="00630718"/>
    <w:rsid w:val="0063204B"/>
    <w:rsid w:val="00632083"/>
    <w:rsid w:val="00634B15"/>
    <w:rsid w:val="00635027"/>
    <w:rsid w:val="00641B31"/>
    <w:rsid w:val="00644A7B"/>
    <w:rsid w:val="00650340"/>
    <w:rsid w:val="006507CE"/>
    <w:rsid w:val="006556D9"/>
    <w:rsid w:val="00661C46"/>
    <w:rsid w:val="006631EA"/>
    <w:rsid w:val="00663E53"/>
    <w:rsid w:val="006652D3"/>
    <w:rsid w:val="00667051"/>
    <w:rsid w:val="00667CF3"/>
    <w:rsid w:val="00670634"/>
    <w:rsid w:val="006769C4"/>
    <w:rsid w:val="00677627"/>
    <w:rsid w:val="00677BD5"/>
    <w:rsid w:val="0068025E"/>
    <w:rsid w:val="0068151B"/>
    <w:rsid w:val="0068542B"/>
    <w:rsid w:val="00687347"/>
    <w:rsid w:val="00690762"/>
    <w:rsid w:val="00691697"/>
    <w:rsid w:val="00693C87"/>
    <w:rsid w:val="006947E6"/>
    <w:rsid w:val="006A05C7"/>
    <w:rsid w:val="006A5B19"/>
    <w:rsid w:val="006A607B"/>
    <w:rsid w:val="006A6E27"/>
    <w:rsid w:val="006A72B0"/>
    <w:rsid w:val="006B012E"/>
    <w:rsid w:val="006B3612"/>
    <w:rsid w:val="006B3E4D"/>
    <w:rsid w:val="006B56D2"/>
    <w:rsid w:val="006C05CC"/>
    <w:rsid w:val="006C52B9"/>
    <w:rsid w:val="006C6CB0"/>
    <w:rsid w:val="006D1DFE"/>
    <w:rsid w:val="006E331D"/>
    <w:rsid w:val="006E4A1C"/>
    <w:rsid w:val="006E6BC2"/>
    <w:rsid w:val="006E77BB"/>
    <w:rsid w:val="006F2B36"/>
    <w:rsid w:val="006F4081"/>
    <w:rsid w:val="006F6C85"/>
    <w:rsid w:val="006F6DAE"/>
    <w:rsid w:val="006F705E"/>
    <w:rsid w:val="0070150E"/>
    <w:rsid w:val="00705489"/>
    <w:rsid w:val="00705DB8"/>
    <w:rsid w:val="00710F94"/>
    <w:rsid w:val="00713225"/>
    <w:rsid w:val="007211C5"/>
    <w:rsid w:val="007217A2"/>
    <w:rsid w:val="00723128"/>
    <w:rsid w:val="00724A24"/>
    <w:rsid w:val="00724AB6"/>
    <w:rsid w:val="0072512A"/>
    <w:rsid w:val="00730CA1"/>
    <w:rsid w:val="00731340"/>
    <w:rsid w:val="00731EE6"/>
    <w:rsid w:val="00731EE9"/>
    <w:rsid w:val="007328FC"/>
    <w:rsid w:val="00733B1C"/>
    <w:rsid w:val="007355A6"/>
    <w:rsid w:val="007402A1"/>
    <w:rsid w:val="00740A71"/>
    <w:rsid w:val="00740B26"/>
    <w:rsid w:val="00740F75"/>
    <w:rsid w:val="00741623"/>
    <w:rsid w:val="00743A13"/>
    <w:rsid w:val="00745220"/>
    <w:rsid w:val="007467E1"/>
    <w:rsid w:val="007477C5"/>
    <w:rsid w:val="00747938"/>
    <w:rsid w:val="00747C7F"/>
    <w:rsid w:val="007504D4"/>
    <w:rsid w:val="007551EC"/>
    <w:rsid w:val="00755B3D"/>
    <w:rsid w:val="00762AFB"/>
    <w:rsid w:val="00765BA8"/>
    <w:rsid w:val="00766007"/>
    <w:rsid w:val="00766B39"/>
    <w:rsid w:val="00770A26"/>
    <w:rsid w:val="00773B36"/>
    <w:rsid w:val="00773EA5"/>
    <w:rsid w:val="00775FEA"/>
    <w:rsid w:val="00782452"/>
    <w:rsid w:val="0078358A"/>
    <w:rsid w:val="0078420A"/>
    <w:rsid w:val="00787173"/>
    <w:rsid w:val="007873EB"/>
    <w:rsid w:val="00790C13"/>
    <w:rsid w:val="007927C3"/>
    <w:rsid w:val="00793CFE"/>
    <w:rsid w:val="007952B4"/>
    <w:rsid w:val="007A1364"/>
    <w:rsid w:val="007A24A0"/>
    <w:rsid w:val="007A3645"/>
    <w:rsid w:val="007A4AB2"/>
    <w:rsid w:val="007A5E68"/>
    <w:rsid w:val="007A7D1C"/>
    <w:rsid w:val="007B1BF7"/>
    <w:rsid w:val="007B2D12"/>
    <w:rsid w:val="007B3273"/>
    <w:rsid w:val="007C0C5D"/>
    <w:rsid w:val="007C404B"/>
    <w:rsid w:val="007C4BAE"/>
    <w:rsid w:val="007C659F"/>
    <w:rsid w:val="007D0182"/>
    <w:rsid w:val="007D126C"/>
    <w:rsid w:val="007D1D3B"/>
    <w:rsid w:val="007D2C5A"/>
    <w:rsid w:val="007D5960"/>
    <w:rsid w:val="007D7E4E"/>
    <w:rsid w:val="007E092A"/>
    <w:rsid w:val="007E114E"/>
    <w:rsid w:val="007E1FF1"/>
    <w:rsid w:val="007E487F"/>
    <w:rsid w:val="007E4B2D"/>
    <w:rsid w:val="007E587D"/>
    <w:rsid w:val="007E6597"/>
    <w:rsid w:val="007E71E9"/>
    <w:rsid w:val="007F1130"/>
    <w:rsid w:val="007F14B6"/>
    <w:rsid w:val="007F1D06"/>
    <w:rsid w:val="007F3D7C"/>
    <w:rsid w:val="007F42C2"/>
    <w:rsid w:val="007F53A9"/>
    <w:rsid w:val="008010D7"/>
    <w:rsid w:val="00801D27"/>
    <w:rsid w:val="00802587"/>
    <w:rsid w:val="00802923"/>
    <w:rsid w:val="00803443"/>
    <w:rsid w:val="00805F62"/>
    <w:rsid w:val="0080680D"/>
    <w:rsid w:val="00807191"/>
    <w:rsid w:val="00807B51"/>
    <w:rsid w:val="00812C05"/>
    <w:rsid w:val="0081322A"/>
    <w:rsid w:val="008162AB"/>
    <w:rsid w:val="00824644"/>
    <w:rsid w:val="00832437"/>
    <w:rsid w:val="00833C71"/>
    <w:rsid w:val="008346A3"/>
    <w:rsid w:val="00834DB7"/>
    <w:rsid w:val="00840434"/>
    <w:rsid w:val="00843E6F"/>
    <w:rsid w:val="00846E4A"/>
    <w:rsid w:val="00850FD5"/>
    <w:rsid w:val="0085115F"/>
    <w:rsid w:val="00851AF5"/>
    <w:rsid w:val="00851FB5"/>
    <w:rsid w:val="00852214"/>
    <w:rsid w:val="00853A63"/>
    <w:rsid w:val="008647DE"/>
    <w:rsid w:val="00864B95"/>
    <w:rsid w:val="0086617B"/>
    <w:rsid w:val="00866958"/>
    <w:rsid w:val="0087271D"/>
    <w:rsid w:val="008758A4"/>
    <w:rsid w:val="008800D3"/>
    <w:rsid w:val="00886239"/>
    <w:rsid w:val="00886CDD"/>
    <w:rsid w:val="008875E3"/>
    <w:rsid w:val="008876D5"/>
    <w:rsid w:val="0089214D"/>
    <w:rsid w:val="00893722"/>
    <w:rsid w:val="00893C0D"/>
    <w:rsid w:val="008A20DA"/>
    <w:rsid w:val="008A2D6C"/>
    <w:rsid w:val="008A5A18"/>
    <w:rsid w:val="008B0CDF"/>
    <w:rsid w:val="008B2A65"/>
    <w:rsid w:val="008B5584"/>
    <w:rsid w:val="008B58C6"/>
    <w:rsid w:val="008B5C8F"/>
    <w:rsid w:val="008B5F16"/>
    <w:rsid w:val="008B7722"/>
    <w:rsid w:val="008C0E5C"/>
    <w:rsid w:val="008C2C29"/>
    <w:rsid w:val="008C5E76"/>
    <w:rsid w:val="008C61F7"/>
    <w:rsid w:val="008C7251"/>
    <w:rsid w:val="008C7DB3"/>
    <w:rsid w:val="008D15C1"/>
    <w:rsid w:val="008D1C4A"/>
    <w:rsid w:val="008D348B"/>
    <w:rsid w:val="008D6254"/>
    <w:rsid w:val="008E1756"/>
    <w:rsid w:val="008E2BE4"/>
    <w:rsid w:val="008E2F61"/>
    <w:rsid w:val="008E5D86"/>
    <w:rsid w:val="008E6B4E"/>
    <w:rsid w:val="008E6EE5"/>
    <w:rsid w:val="008E7970"/>
    <w:rsid w:val="008E7ABE"/>
    <w:rsid w:val="008E7C34"/>
    <w:rsid w:val="008F0C36"/>
    <w:rsid w:val="008F377B"/>
    <w:rsid w:val="008F4492"/>
    <w:rsid w:val="008F5CED"/>
    <w:rsid w:val="0090126B"/>
    <w:rsid w:val="00902436"/>
    <w:rsid w:val="00904163"/>
    <w:rsid w:val="009063E5"/>
    <w:rsid w:val="00907B00"/>
    <w:rsid w:val="00915150"/>
    <w:rsid w:val="00915512"/>
    <w:rsid w:val="0091648B"/>
    <w:rsid w:val="00920F67"/>
    <w:rsid w:val="009228DD"/>
    <w:rsid w:val="009233CC"/>
    <w:rsid w:val="009240D8"/>
    <w:rsid w:val="0092628C"/>
    <w:rsid w:val="00933063"/>
    <w:rsid w:val="009360BF"/>
    <w:rsid w:val="009360D7"/>
    <w:rsid w:val="009362C9"/>
    <w:rsid w:val="00936313"/>
    <w:rsid w:val="00936820"/>
    <w:rsid w:val="00942387"/>
    <w:rsid w:val="00943259"/>
    <w:rsid w:val="0094418B"/>
    <w:rsid w:val="00944C32"/>
    <w:rsid w:val="0094626F"/>
    <w:rsid w:val="009462D2"/>
    <w:rsid w:val="00952E9A"/>
    <w:rsid w:val="009530EE"/>
    <w:rsid w:val="00957661"/>
    <w:rsid w:val="009652D5"/>
    <w:rsid w:val="009677F8"/>
    <w:rsid w:val="00971146"/>
    <w:rsid w:val="009716B8"/>
    <w:rsid w:val="00972A9A"/>
    <w:rsid w:val="00981799"/>
    <w:rsid w:val="0098216E"/>
    <w:rsid w:val="00982B1B"/>
    <w:rsid w:val="009841BF"/>
    <w:rsid w:val="00991675"/>
    <w:rsid w:val="00992008"/>
    <w:rsid w:val="0099568B"/>
    <w:rsid w:val="00996409"/>
    <w:rsid w:val="00996D00"/>
    <w:rsid w:val="0099795B"/>
    <w:rsid w:val="009A0216"/>
    <w:rsid w:val="009A03DC"/>
    <w:rsid w:val="009A21D2"/>
    <w:rsid w:val="009A3817"/>
    <w:rsid w:val="009A6CF3"/>
    <w:rsid w:val="009A74D4"/>
    <w:rsid w:val="009B141C"/>
    <w:rsid w:val="009B24B9"/>
    <w:rsid w:val="009B2AC2"/>
    <w:rsid w:val="009B2FE3"/>
    <w:rsid w:val="009B43BF"/>
    <w:rsid w:val="009B4A2D"/>
    <w:rsid w:val="009B61F1"/>
    <w:rsid w:val="009C0476"/>
    <w:rsid w:val="009C1E0B"/>
    <w:rsid w:val="009C42D7"/>
    <w:rsid w:val="009D545A"/>
    <w:rsid w:val="009D6D44"/>
    <w:rsid w:val="009D6EF4"/>
    <w:rsid w:val="009E0154"/>
    <w:rsid w:val="009E22FA"/>
    <w:rsid w:val="009E3004"/>
    <w:rsid w:val="009E4744"/>
    <w:rsid w:val="009E4EC9"/>
    <w:rsid w:val="009E5D5A"/>
    <w:rsid w:val="009E5FB0"/>
    <w:rsid w:val="009E7073"/>
    <w:rsid w:val="009F2262"/>
    <w:rsid w:val="009F4ADA"/>
    <w:rsid w:val="009F6A0D"/>
    <w:rsid w:val="009F7E9A"/>
    <w:rsid w:val="00A00B51"/>
    <w:rsid w:val="00A07991"/>
    <w:rsid w:val="00A10CDE"/>
    <w:rsid w:val="00A15B40"/>
    <w:rsid w:val="00A1680D"/>
    <w:rsid w:val="00A23AB0"/>
    <w:rsid w:val="00A24468"/>
    <w:rsid w:val="00A26172"/>
    <w:rsid w:val="00A266C5"/>
    <w:rsid w:val="00A309C6"/>
    <w:rsid w:val="00A31C80"/>
    <w:rsid w:val="00A31EF6"/>
    <w:rsid w:val="00A3205A"/>
    <w:rsid w:val="00A326BD"/>
    <w:rsid w:val="00A32E4E"/>
    <w:rsid w:val="00A3497D"/>
    <w:rsid w:val="00A47C3D"/>
    <w:rsid w:val="00A505DE"/>
    <w:rsid w:val="00A5270C"/>
    <w:rsid w:val="00A5327C"/>
    <w:rsid w:val="00A5721C"/>
    <w:rsid w:val="00A6089F"/>
    <w:rsid w:val="00A67913"/>
    <w:rsid w:val="00A71C6B"/>
    <w:rsid w:val="00A73B2A"/>
    <w:rsid w:val="00A76EE0"/>
    <w:rsid w:val="00A81A94"/>
    <w:rsid w:val="00A83F62"/>
    <w:rsid w:val="00A90333"/>
    <w:rsid w:val="00A9681E"/>
    <w:rsid w:val="00AA007A"/>
    <w:rsid w:val="00AA0606"/>
    <w:rsid w:val="00AA2621"/>
    <w:rsid w:val="00AA39FA"/>
    <w:rsid w:val="00AA5560"/>
    <w:rsid w:val="00AB073E"/>
    <w:rsid w:val="00AB0F6B"/>
    <w:rsid w:val="00AB1A13"/>
    <w:rsid w:val="00AB1DB8"/>
    <w:rsid w:val="00AB4E9F"/>
    <w:rsid w:val="00AC1336"/>
    <w:rsid w:val="00AC210F"/>
    <w:rsid w:val="00AC319E"/>
    <w:rsid w:val="00AD2059"/>
    <w:rsid w:val="00AE3543"/>
    <w:rsid w:val="00AE3A1E"/>
    <w:rsid w:val="00AE3FFB"/>
    <w:rsid w:val="00AE7324"/>
    <w:rsid w:val="00AE734F"/>
    <w:rsid w:val="00AF2656"/>
    <w:rsid w:val="00AF51E1"/>
    <w:rsid w:val="00AF6110"/>
    <w:rsid w:val="00AF66EB"/>
    <w:rsid w:val="00AF6AC6"/>
    <w:rsid w:val="00B00611"/>
    <w:rsid w:val="00B01FB5"/>
    <w:rsid w:val="00B02444"/>
    <w:rsid w:val="00B02B23"/>
    <w:rsid w:val="00B04354"/>
    <w:rsid w:val="00B11DAE"/>
    <w:rsid w:val="00B11F09"/>
    <w:rsid w:val="00B16D3A"/>
    <w:rsid w:val="00B249FC"/>
    <w:rsid w:val="00B260A3"/>
    <w:rsid w:val="00B26DC7"/>
    <w:rsid w:val="00B27ACB"/>
    <w:rsid w:val="00B317E7"/>
    <w:rsid w:val="00B33A57"/>
    <w:rsid w:val="00B34083"/>
    <w:rsid w:val="00B37728"/>
    <w:rsid w:val="00B4425A"/>
    <w:rsid w:val="00B45C64"/>
    <w:rsid w:val="00B46A32"/>
    <w:rsid w:val="00B46B29"/>
    <w:rsid w:val="00B53547"/>
    <w:rsid w:val="00B53597"/>
    <w:rsid w:val="00B54DDC"/>
    <w:rsid w:val="00B55D3E"/>
    <w:rsid w:val="00B62590"/>
    <w:rsid w:val="00B63EE0"/>
    <w:rsid w:val="00B64CF6"/>
    <w:rsid w:val="00B6729F"/>
    <w:rsid w:val="00B73B41"/>
    <w:rsid w:val="00B7436E"/>
    <w:rsid w:val="00B76365"/>
    <w:rsid w:val="00B801D4"/>
    <w:rsid w:val="00B82627"/>
    <w:rsid w:val="00B87749"/>
    <w:rsid w:val="00B90AA7"/>
    <w:rsid w:val="00B928FB"/>
    <w:rsid w:val="00B94335"/>
    <w:rsid w:val="00B96ACC"/>
    <w:rsid w:val="00B97936"/>
    <w:rsid w:val="00BA19C1"/>
    <w:rsid w:val="00BA2AC4"/>
    <w:rsid w:val="00BA65E5"/>
    <w:rsid w:val="00BA6B19"/>
    <w:rsid w:val="00BB09DF"/>
    <w:rsid w:val="00BB148C"/>
    <w:rsid w:val="00BB2057"/>
    <w:rsid w:val="00BB3C35"/>
    <w:rsid w:val="00BB3FC5"/>
    <w:rsid w:val="00BC2B3B"/>
    <w:rsid w:val="00BC438A"/>
    <w:rsid w:val="00BC4579"/>
    <w:rsid w:val="00BC4A33"/>
    <w:rsid w:val="00BC55BE"/>
    <w:rsid w:val="00BC73EA"/>
    <w:rsid w:val="00BD3D24"/>
    <w:rsid w:val="00BD58AF"/>
    <w:rsid w:val="00BF065C"/>
    <w:rsid w:val="00C0018A"/>
    <w:rsid w:val="00C00905"/>
    <w:rsid w:val="00C0106B"/>
    <w:rsid w:val="00C03407"/>
    <w:rsid w:val="00C035B5"/>
    <w:rsid w:val="00C11ABD"/>
    <w:rsid w:val="00C13187"/>
    <w:rsid w:val="00C14FB2"/>
    <w:rsid w:val="00C176AC"/>
    <w:rsid w:val="00C21EF9"/>
    <w:rsid w:val="00C222F7"/>
    <w:rsid w:val="00C24839"/>
    <w:rsid w:val="00C27C23"/>
    <w:rsid w:val="00C37A34"/>
    <w:rsid w:val="00C40AB4"/>
    <w:rsid w:val="00C4127E"/>
    <w:rsid w:val="00C41C84"/>
    <w:rsid w:val="00C42C95"/>
    <w:rsid w:val="00C5349B"/>
    <w:rsid w:val="00C5525B"/>
    <w:rsid w:val="00C554D4"/>
    <w:rsid w:val="00C55CDF"/>
    <w:rsid w:val="00C61B02"/>
    <w:rsid w:val="00C67814"/>
    <w:rsid w:val="00C67AD6"/>
    <w:rsid w:val="00C67F45"/>
    <w:rsid w:val="00C719A2"/>
    <w:rsid w:val="00C72165"/>
    <w:rsid w:val="00C73A00"/>
    <w:rsid w:val="00C76B04"/>
    <w:rsid w:val="00C76C31"/>
    <w:rsid w:val="00C77423"/>
    <w:rsid w:val="00C809D8"/>
    <w:rsid w:val="00C83041"/>
    <w:rsid w:val="00C90B42"/>
    <w:rsid w:val="00C91D16"/>
    <w:rsid w:val="00C927DB"/>
    <w:rsid w:val="00C9475D"/>
    <w:rsid w:val="00C95056"/>
    <w:rsid w:val="00C951FD"/>
    <w:rsid w:val="00CA7F28"/>
    <w:rsid w:val="00CB0768"/>
    <w:rsid w:val="00CB131F"/>
    <w:rsid w:val="00CB4DCD"/>
    <w:rsid w:val="00CB4F2D"/>
    <w:rsid w:val="00CB6C60"/>
    <w:rsid w:val="00CB76EC"/>
    <w:rsid w:val="00CC1690"/>
    <w:rsid w:val="00CC406B"/>
    <w:rsid w:val="00CC4778"/>
    <w:rsid w:val="00CC665A"/>
    <w:rsid w:val="00CD1468"/>
    <w:rsid w:val="00CD177C"/>
    <w:rsid w:val="00CD18E4"/>
    <w:rsid w:val="00CD3029"/>
    <w:rsid w:val="00CD561B"/>
    <w:rsid w:val="00CE04A0"/>
    <w:rsid w:val="00CE292F"/>
    <w:rsid w:val="00CE34DC"/>
    <w:rsid w:val="00CE6C5D"/>
    <w:rsid w:val="00CF0809"/>
    <w:rsid w:val="00CF3AE9"/>
    <w:rsid w:val="00CF5C58"/>
    <w:rsid w:val="00CF5E28"/>
    <w:rsid w:val="00D02E8D"/>
    <w:rsid w:val="00D04A10"/>
    <w:rsid w:val="00D07FB4"/>
    <w:rsid w:val="00D1167A"/>
    <w:rsid w:val="00D130E5"/>
    <w:rsid w:val="00D21FA8"/>
    <w:rsid w:val="00D236B7"/>
    <w:rsid w:val="00D23E48"/>
    <w:rsid w:val="00D244BE"/>
    <w:rsid w:val="00D3529D"/>
    <w:rsid w:val="00D35EA4"/>
    <w:rsid w:val="00D41157"/>
    <w:rsid w:val="00D43096"/>
    <w:rsid w:val="00D43B1F"/>
    <w:rsid w:val="00D44561"/>
    <w:rsid w:val="00D46AB2"/>
    <w:rsid w:val="00D47815"/>
    <w:rsid w:val="00D47CA4"/>
    <w:rsid w:val="00D513E4"/>
    <w:rsid w:val="00D51673"/>
    <w:rsid w:val="00D555A6"/>
    <w:rsid w:val="00D57599"/>
    <w:rsid w:val="00D60040"/>
    <w:rsid w:val="00D60E26"/>
    <w:rsid w:val="00D6312A"/>
    <w:rsid w:val="00D64B23"/>
    <w:rsid w:val="00D65189"/>
    <w:rsid w:val="00D656EB"/>
    <w:rsid w:val="00D670F4"/>
    <w:rsid w:val="00D70088"/>
    <w:rsid w:val="00D72B70"/>
    <w:rsid w:val="00D771FD"/>
    <w:rsid w:val="00D7796D"/>
    <w:rsid w:val="00D81B18"/>
    <w:rsid w:val="00D820FB"/>
    <w:rsid w:val="00D83541"/>
    <w:rsid w:val="00D85CAE"/>
    <w:rsid w:val="00D9300F"/>
    <w:rsid w:val="00D9317A"/>
    <w:rsid w:val="00D93A16"/>
    <w:rsid w:val="00D9496D"/>
    <w:rsid w:val="00D97B0E"/>
    <w:rsid w:val="00DA0768"/>
    <w:rsid w:val="00DA161A"/>
    <w:rsid w:val="00DA270A"/>
    <w:rsid w:val="00DA5A94"/>
    <w:rsid w:val="00DB13FF"/>
    <w:rsid w:val="00DB1D7E"/>
    <w:rsid w:val="00DB2355"/>
    <w:rsid w:val="00DB25F9"/>
    <w:rsid w:val="00DB3BB4"/>
    <w:rsid w:val="00DB5084"/>
    <w:rsid w:val="00DB756D"/>
    <w:rsid w:val="00DC04F8"/>
    <w:rsid w:val="00DC0F02"/>
    <w:rsid w:val="00DC0F8D"/>
    <w:rsid w:val="00DC2284"/>
    <w:rsid w:val="00DC3CA4"/>
    <w:rsid w:val="00DC4A0B"/>
    <w:rsid w:val="00DC7D2A"/>
    <w:rsid w:val="00DD3166"/>
    <w:rsid w:val="00DE15D0"/>
    <w:rsid w:val="00DE2B1F"/>
    <w:rsid w:val="00DE4578"/>
    <w:rsid w:val="00DE4BFE"/>
    <w:rsid w:val="00DE4DF1"/>
    <w:rsid w:val="00DF04EE"/>
    <w:rsid w:val="00DF3E35"/>
    <w:rsid w:val="00DF4DBB"/>
    <w:rsid w:val="00E01586"/>
    <w:rsid w:val="00E035DD"/>
    <w:rsid w:val="00E03ED5"/>
    <w:rsid w:val="00E06243"/>
    <w:rsid w:val="00E07022"/>
    <w:rsid w:val="00E07169"/>
    <w:rsid w:val="00E11681"/>
    <w:rsid w:val="00E119F9"/>
    <w:rsid w:val="00E1688C"/>
    <w:rsid w:val="00E1750B"/>
    <w:rsid w:val="00E20736"/>
    <w:rsid w:val="00E22665"/>
    <w:rsid w:val="00E255E6"/>
    <w:rsid w:val="00E26984"/>
    <w:rsid w:val="00E30499"/>
    <w:rsid w:val="00E30B51"/>
    <w:rsid w:val="00E30E7D"/>
    <w:rsid w:val="00E324BB"/>
    <w:rsid w:val="00E339CC"/>
    <w:rsid w:val="00E35077"/>
    <w:rsid w:val="00E367C6"/>
    <w:rsid w:val="00E377E8"/>
    <w:rsid w:val="00E4090F"/>
    <w:rsid w:val="00E42CB9"/>
    <w:rsid w:val="00E43464"/>
    <w:rsid w:val="00E47A69"/>
    <w:rsid w:val="00E571BB"/>
    <w:rsid w:val="00E6385E"/>
    <w:rsid w:val="00E64F50"/>
    <w:rsid w:val="00E675C6"/>
    <w:rsid w:val="00E67EA3"/>
    <w:rsid w:val="00E709ED"/>
    <w:rsid w:val="00E73F32"/>
    <w:rsid w:val="00E74435"/>
    <w:rsid w:val="00E75652"/>
    <w:rsid w:val="00E758AD"/>
    <w:rsid w:val="00E77C3A"/>
    <w:rsid w:val="00E77D4E"/>
    <w:rsid w:val="00E80908"/>
    <w:rsid w:val="00E82ADE"/>
    <w:rsid w:val="00E831EE"/>
    <w:rsid w:val="00E84C75"/>
    <w:rsid w:val="00E85806"/>
    <w:rsid w:val="00E870C5"/>
    <w:rsid w:val="00E91860"/>
    <w:rsid w:val="00E92130"/>
    <w:rsid w:val="00E954B7"/>
    <w:rsid w:val="00E96FDB"/>
    <w:rsid w:val="00E97EA2"/>
    <w:rsid w:val="00EA045B"/>
    <w:rsid w:val="00EA0E3F"/>
    <w:rsid w:val="00EA0FE9"/>
    <w:rsid w:val="00EA107B"/>
    <w:rsid w:val="00EA2CB4"/>
    <w:rsid w:val="00EA3879"/>
    <w:rsid w:val="00EB083C"/>
    <w:rsid w:val="00EB0E19"/>
    <w:rsid w:val="00EB151C"/>
    <w:rsid w:val="00EB76A9"/>
    <w:rsid w:val="00EC16F1"/>
    <w:rsid w:val="00ED05D6"/>
    <w:rsid w:val="00ED0C6F"/>
    <w:rsid w:val="00ED0D35"/>
    <w:rsid w:val="00ED1B02"/>
    <w:rsid w:val="00ED2FCC"/>
    <w:rsid w:val="00ED3CD5"/>
    <w:rsid w:val="00ED4121"/>
    <w:rsid w:val="00ED4998"/>
    <w:rsid w:val="00EE0B12"/>
    <w:rsid w:val="00EE4454"/>
    <w:rsid w:val="00EE5E03"/>
    <w:rsid w:val="00EE5F75"/>
    <w:rsid w:val="00EE6B90"/>
    <w:rsid w:val="00EE7191"/>
    <w:rsid w:val="00EF05EC"/>
    <w:rsid w:val="00EF22B4"/>
    <w:rsid w:val="00EF2722"/>
    <w:rsid w:val="00EF2DFE"/>
    <w:rsid w:val="00EF4B50"/>
    <w:rsid w:val="00EF655A"/>
    <w:rsid w:val="00EF6805"/>
    <w:rsid w:val="00EF6A5C"/>
    <w:rsid w:val="00F00508"/>
    <w:rsid w:val="00F00D28"/>
    <w:rsid w:val="00F01E52"/>
    <w:rsid w:val="00F042DC"/>
    <w:rsid w:val="00F07099"/>
    <w:rsid w:val="00F105EA"/>
    <w:rsid w:val="00F11117"/>
    <w:rsid w:val="00F12541"/>
    <w:rsid w:val="00F136C8"/>
    <w:rsid w:val="00F206E1"/>
    <w:rsid w:val="00F20D90"/>
    <w:rsid w:val="00F22035"/>
    <w:rsid w:val="00F226BB"/>
    <w:rsid w:val="00F22D18"/>
    <w:rsid w:val="00F27CB7"/>
    <w:rsid w:val="00F306E5"/>
    <w:rsid w:val="00F31774"/>
    <w:rsid w:val="00F3313F"/>
    <w:rsid w:val="00F359D1"/>
    <w:rsid w:val="00F36C87"/>
    <w:rsid w:val="00F41051"/>
    <w:rsid w:val="00F46927"/>
    <w:rsid w:val="00F47DE9"/>
    <w:rsid w:val="00F50187"/>
    <w:rsid w:val="00F511A7"/>
    <w:rsid w:val="00F518DE"/>
    <w:rsid w:val="00F5210F"/>
    <w:rsid w:val="00F55854"/>
    <w:rsid w:val="00F5643D"/>
    <w:rsid w:val="00F56813"/>
    <w:rsid w:val="00F651FA"/>
    <w:rsid w:val="00F65776"/>
    <w:rsid w:val="00F70110"/>
    <w:rsid w:val="00F70579"/>
    <w:rsid w:val="00F72C93"/>
    <w:rsid w:val="00F734E5"/>
    <w:rsid w:val="00F75C43"/>
    <w:rsid w:val="00F76C9C"/>
    <w:rsid w:val="00F80A88"/>
    <w:rsid w:val="00F8213B"/>
    <w:rsid w:val="00F823F5"/>
    <w:rsid w:val="00F9170D"/>
    <w:rsid w:val="00F91E4E"/>
    <w:rsid w:val="00F94368"/>
    <w:rsid w:val="00F9494C"/>
    <w:rsid w:val="00F94EC4"/>
    <w:rsid w:val="00F96540"/>
    <w:rsid w:val="00FA15C8"/>
    <w:rsid w:val="00FA1E46"/>
    <w:rsid w:val="00FA2D86"/>
    <w:rsid w:val="00FA348C"/>
    <w:rsid w:val="00FA4062"/>
    <w:rsid w:val="00FB0AD8"/>
    <w:rsid w:val="00FB26DD"/>
    <w:rsid w:val="00FB2DC5"/>
    <w:rsid w:val="00FB4186"/>
    <w:rsid w:val="00FB4DBB"/>
    <w:rsid w:val="00FB4ED3"/>
    <w:rsid w:val="00FB5621"/>
    <w:rsid w:val="00FB5DEA"/>
    <w:rsid w:val="00FC41DC"/>
    <w:rsid w:val="00FC5762"/>
    <w:rsid w:val="00FC65EF"/>
    <w:rsid w:val="00FD06F3"/>
    <w:rsid w:val="00FD3616"/>
    <w:rsid w:val="00FD3C00"/>
    <w:rsid w:val="00FD4CA6"/>
    <w:rsid w:val="00FD7CFE"/>
    <w:rsid w:val="00FE2822"/>
    <w:rsid w:val="00FE2C17"/>
    <w:rsid w:val="00FE7AC2"/>
    <w:rsid w:val="00FF072F"/>
    <w:rsid w:val="00FF11F5"/>
    <w:rsid w:val="00FF1865"/>
    <w:rsid w:val="00FF1A19"/>
    <w:rsid w:val="00FF1A8B"/>
    <w:rsid w:val="00FF29EC"/>
    <w:rsid w:val="00FF3479"/>
    <w:rsid w:val="00FF6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6BF1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7E"/>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E07022"/>
    <w:pPr>
      <w:numPr>
        <w:numId w:val="1"/>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E07022"/>
    <w:rPr>
      <w:sz w:val="24"/>
      <w:szCs w:val="20"/>
    </w:rPr>
  </w:style>
  <w:style w:type="character" w:customStyle="1" w:styleId="CGCParaNoChar">
    <w:name w:val="CGC Para No Char"/>
    <w:aliases w:val="CGC Numbered Para Char"/>
    <w:basedOn w:val="DefaultParagraphFont"/>
    <w:link w:val="CGCNumberedPara"/>
    <w:rsid w:val="008D1C4A"/>
    <w:rPr>
      <w:sz w:val="24"/>
      <w:szCs w:val="24"/>
    </w:rPr>
  </w:style>
  <w:style w:type="character" w:customStyle="1" w:styleId="CGCTableFootnoteChar">
    <w:name w:val="CGC Table Footnote Char"/>
    <w:basedOn w:val="DefaultParagraphFont"/>
    <w:link w:val="CGCTableFootnote"/>
    <w:rsid w:val="00F47DE9"/>
    <w:rPr>
      <w:sz w:val="20"/>
      <w:szCs w:val="24"/>
    </w:rPr>
  </w:style>
  <w:style w:type="character" w:customStyle="1" w:styleId="CGCTableStubChar">
    <w:name w:val="CGC Table Stub Char"/>
    <w:basedOn w:val="DefaultParagraphFont"/>
    <w:link w:val="CGCTableStub"/>
    <w:rsid w:val="00F47DE9"/>
    <w:rPr>
      <w:sz w:val="20"/>
      <w:szCs w:val="20"/>
    </w:rPr>
  </w:style>
  <w:style w:type="character" w:customStyle="1" w:styleId="CGCBulletlistCharChar">
    <w:name w:val="CGC Bullet list Char Char"/>
    <w:basedOn w:val="DefaultParagraphFont"/>
    <w:rsid w:val="004F01EB"/>
    <w:rPr>
      <w:sz w:val="24"/>
      <w:szCs w:val="20"/>
    </w:rPr>
  </w:style>
  <w:style w:type="character" w:customStyle="1" w:styleId="CGCTableHeadingChar">
    <w:name w:val="CGC Table Heading Char"/>
    <w:basedOn w:val="DefaultParagraphFont"/>
    <w:link w:val="CGCTableHeading"/>
    <w:rsid w:val="00221B1D"/>
    <w:rPr>
      <w:b/>
      <w:sz w:val="24"/>
      <w:szCs w:val="20"/>
    </w:rPr>
  </w:style>
  <w:style w:type="character" w:styleId="FollowedHyperlink">
    <w:name w:val="FollowedHyperlink"/>
    <w:basedOn w:val="DefaultParagraphFont"/>
    <w:rsid w:val="00EF22B4"/>
    <w:rPr>
      <w:color w:val="800080" w:themeColor="followedHyperlink"/>
      <w:u w:val="single"/>
    </w:rPr>
  </w:style>
  <w:style w:type="character" w:customStyle="1" w:styleId="TableRowNormalChar">
    <w:name w:val="TableRowNormal Char"/>
    <w:basedOn w:val="DefaultParagraphFont"/>
    <w:link w:val="TableRowNormal"/>
    <w:locked/>
    <w:rsid w:val="001279A9"/>
    <w:rPr>
      <w:sz w:val="20"/>
      <w:szCs w:val="20"/>
    </w:rPr>
  </w:style>
  <w:style w:type="character" w:customStyle="1" w:styleId="CommentTextChar">
    <w:name w:val="Comment Text Char"/>
    <w:basedOn w:val="DefaultParagraphFont"/>
    <w:link w:val="CommentText"/>
    <w:rsid w:val="00824644"/>
    <w:rPr>
      <w:sz w:val="20"/>
      <w:szCs w:val="20"/>
    </w:rPr>
  </w:style>
  <w:style w:type="paragraph" w:styleId="Revision">
    <w:name w:val="Revision"/>
    <w:hidden/>
    <w:uiPriority w:val="99"/>
    <w:semiHidden/>
    <w:rsid w:val="0083243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985">
      <w:bodyDiv w:val="1"/>
      <w:marLeft w:val="0"/>
      <w:marRight w:val="0"/>
      <w:marTop w:val="0"/>
      <w:marBottom w:val="0"/>
      <w:divBdr>
        <w:top w:val="none" w:sz="0" w:space="0" w:color="auto"/>
        <w:left w:val="none" w:sz="0" w:space="0" w:color="auto"/>
        <w:bottom w:val="none" w:sz="0" w:space="0" w:color="auto"/>
        <w:right w:val="none" w:sz="0" w:space="0" w:color="auto"/>
      </w:divBdr>
    </w:div>
    <w:div w:id="205797329">
      <w:bodyDiv w:val="1"/>
      <w:marLeft w:val="0"/>
      <w:marRight w:val="0"/>
      <w:marTop w:val="0"/>
      <w:marBottom w:val="0"/>
      <w:divBdr>
        <w:top w:val="none" w:sz="0" w:space="0" w:color="auto"/>
        <w:left w:val="none" w:sz="0" w:space="0" w:color="auto"/>
        <w:bottom w:val="none" w:sz="0" w:space="0" w:color="auto"/>
        <w:right w:val="none" w:sz="0" w:space="0" w:color="auto"/>
      </w:divBdr>
    </w:div>
    <w:div w:id="275135116">
      <w:bodyDiv w:val="1"/>
      <w:marLeft w:val="0"/>
      <w:marRight w:val="0"/>
      <w:marTop w:val="0"/>
      <w:marBottom w:val="0"/>
      <w:divBdr>
        <w:top w:val="none" w:sz="0" w:space="0" w:color="auto"/>
        <w:left w:val="none" w:sz="0" w:space="0" w:color="auto"/>
        <w:bottom w:val="none" w:sz="0" w:space="0" w:color="auto"/>
        <w:right w:val="none" w:sz="0" w:space="0" w:color="auto"/>
      </w:divBdr>
    </w:div>
    <w:div w:id="332803905">
      <w:bodyDiv w:val="1"/>
      <w:marLeft w:val="0"/>
      <w:marRight w:val="0"/>
      <w:marTop w:val="0"/>
      <w:marBottom w:val="0"/>
      <w:divBdr>
        <w:top w:val="none" w:sz="0" w:space="0" w:color="auto"/>
        <w:left w:val="none" w:sz="0" w:space="0" w:color="auto"/>
        <w:bottom w:val="none" w:sz="0" w:space="0" w:color="auto"/>
        <w:right w:val="none" w:sz="0" w:space="0" w:color="auto"/>
      </w:divBdr>
      <w:divsChild>
        <w:div w:id="581523227">
          <w:marLeft w:val="0"/>
          <w:marRight w:val="0"/>
          <w:marTop w:val="0"/>
          <w:marBottom w:val="0"/>
          <w:divBdr>
            <w:top w:val="none" w:sz="0" w:space="0" w:color="auto"/>
            <w:left w:val="none" w:sz="0" w:space="0" w:color="auto"/>
            <w:bottom w:val="none" w:sz="0" w:space="0" w:color="auto"/>
            <w:right w:val="none" w:sz="0" w:space="0" w:color="auto"/>
          </w:divBdr>
          <w:divsChild>
            <w:div w:id="303243000">
              <w:marLeft w:val="0"/>
              <w:marRight w:val="0"/>
              <w:marTop w:val="0"/>
              <w:marBottom w:val="0"/>
              <w:divBdr>
                <w:top w:val="none" w:sz="0" w:space="0" w:color="auto"/>
                <w:left w:val="none" w:sz="0" w:space="0" w:color="auto"/>
                <w:bottom w:val="none" w:sz="0" w:space="0" w:color="auto"/>
                <w:right w:val="none" w:sz="0" w:space="0" w:color="auto"/>
              </w:divBdr>
              <w:divsChild>
                <w:div w:id="812872119">
                  <w:marLeft w:val="0"/>
                  <w:marRight w:val="0"/>
                  <w:marTop w:val="0"/>
                  <w:marBottom w:val="0"/>
                  <w:divBdr>
                    <w:top w:val="none" w:sz="0" w:space="0" w:color="auto"/>
                    <w:left w:val="none" w:sz="0" w:space="0" w:color="auto"/>
                    <w:bottom w:val="none" w:sz="0" w:space="0" w:color="auto"/>
                    <w:right w:val="none" w:sz="0" w:space="0" w:color="auto"/>
                  </w:divBdr>
                  <w:divsChild>
                    <w:div w:id="221839952">
                      <w:marLeft w:val="0"/>
                      <w:marRight w:val="0"/>
                      <w:marTop w:val="0"/>
                      <w:marBottom w:val="0"/>
                      <w:divBdr>
                        <w:top w:val="none" w:sz="0" w:space="0" w:color="auto"/>
                        <w:left w:val="none" w:sz="0" w:space="0" w:color="auto"/>
                        <w:bottom w:val="none" w:sz="0" w:space="0" w:color="auto"/>
                        <w:right w:val="none" w:sz="0" w:space="0" w:color="auto"/>
                      </w:divBdr>
                      <w:divsChild>
                        <w:div w:id="671492286">
                          <w:marLeft w:val="0"/>
                          <w:marRight w:val="0"/>
                          <w:marTop w:val="0"/>
                          <w:marBottom w:val="0"/>
                          <w:divBdr>
                            <w:top w:val="none" w:sz="0" w:space="0" w:color="auto"/>
                            <w:left w:val="none" w:sz="0" w:space="0" w:color="auto"/>
                            <w:bottom w:val="none" w:sz="0" w:space="0" w:color="auto"/>
                            <w:right w:val="none" w:sz="0" w:space="0" w:color="auto"/>
                          </w:divBdr>
                          <w:divsChild>
                            <w:div w:id="59716842">
                              <w:marLeft w:val="0"/>
                              <w:marRight w:val="0"/>
                              <w:marTop w:val="0"/>
                              <w:marBottom w:val="0"/>
                              <w:divBdr>
                                <w:top w:val="none" w:sz="0" w:space="0" w:color="auto"/>
                                <w:left w:val="none" w:sz="0" w:space="0" w:color="auto"/>
                                <w:bottom w:val="none" w:sz="0" w:space="0" w:color="auto"/>
                                <w:right w:val="none" w:sz="0" w:space="0" w:color="auto"/>
                              </w:divBdr>
                              <w:divsChild>
                                <w:div w:id="601180255">
                                  <w:marLeft w:val="0"/>
                                  <w:marRight w:val="0"/>
                                  <w:marTop w:val="0"/>
                                  <w:marBottom w:val="0"/>
                                  <w:divBdr>
                                    <w:top w:val="none" w:sz="0" w:space="0" w:color="auto"/>
                                    <w:left w:val="none" w:sz="0" w:space="0" w:color="auto"/>
                                    <w:bottom w:val="none" w:sz="0" w:space="0" w:color="auto"/>
                                    <w:right w:val="none" w:sz="0" w:space="0" w:color="auto"/>
                                  </w:divBdr>
                                  <w:divsChild>
                                    <w:div w:id="574046824">
                                      <w:marLeft w:val="0"/>
                                      <w:marRight w:val="0"/>
                                      <w:marTop w:val="0"/>
                                      <w:marBottom w:val="0"/>
                                      <w:divBdr>
                                        <w:top w:val="none" w:sz="0" w:space="0" w:color="auto"/>
                                        <w:left w:val="none" w:sz="0" w:space="0" w:color="auto"/>
                                        <w:bottom w:val="none" w:sz="0" w:space="0" w:color="auto"/>
                                        <w:right w:val="none" w:sz="0" w:space="0" w:color="auto"/>
                                      </w:divBdr>
                                      <w:divsChild>
                                        <w:div w:id="773594775">
                                          <w:marLeft w:val="0"/>
                                          <w:marRight w:val="0"/>
                                          <w:marTop w:val="0"/>
                                          <w:marBottom w:val="0"/>
                                          <w:divBdr>
                                            <w:top w:val="none" w:sz="0" w:space="0" w:color="auto"/>
                                            <w:left w:val="none" w:sz="0" w:space="0" w:color="auto"/>
                                            <w:bottom w:val="none" w:sz="0" w:space="0" w:color="auto"/>
                                            <w:right w:val="none" w:sz="0" w:space="0" w:color="auto"/>
                                          </w:divBdr>
                                          <w:divsChild>
                                            <w:div w:id="2113546374">
                                              <w:marLeft w:val="0"/>
                                              <w:marRight w:val="0"/>
                                              <w:marTop w:val="0"/>
                                              <w:marBottom w:val="0"/>
                                              <w:divBdr>
                                                <w:top w:val="none" w:sz="0" w:space="0" w:color="auto"/>
                                                <w:left w:val="none" w:sz="0" w:space="0" w:color="auto"/>
                                                <w:bottom w:val="none" w:sz="0" w:space="0" w:color="auto"/>
                                                <w:right w:val="none" w:sz="0" w:space="0" w:color="auto"/>
                                              </w:divBdr>
                                              <w:divsChild>
                                                <w:div w:id="969893722">
                                                  <w:marLeft w:val="0"/>
                                                  <w:marRight w:val="0"/>
                                                  <w:marTop w:val="0"/>
                                                  <w:marBottom w:val="0"/>
                                                  <w:divBdr>
                                                    <w:top w:val="none" w:sz="0" w:space="0" w:color="auto"/>
                                                    <w:left w:val="none" w:sz="0" w:space="0" w:color="auto"/>
                                                    <w:bottom w:val="none" w:sz="0" w:space="0" w:color="auto"/>
                                                    <w:right w:val="none" w:sz="0" w:space="0" w:color="auto"/>
                                                  </w:divBdr>
                                                  <w:divsChild>
                                                    <w:div w:id="1339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64615">
                              <w:marLeft w:val="0"/>
                              <w:marRight w:val="0"/>
                              <w:marTop w:val="0"/>
                              <w:marBottom w:val="0"/>
                              <w:divBdr>
                                <w:top w:val="none" w:sz="0" w:space="0" w:color="auto"/>
                                <w:left w:val="none" w:sz="0" w:space="0" w:color="auto"/>
                                <w:bottom w:val="none" w:sz="0" w:space="0" w:color="auto"/>
                                <w:right w:val="none" w:sz="0" w:space="0" w:color="auto"/>
                              </w:divBdr>
                              <w:divsChild>
                                <w:div w:id="955406338">
                                  <w:marLeft w:val="0"/>
                                  <w:marRight w:val="0"/>
                                  <w:marTop w:val="0"/>
                                  <w:marBottom w:val="0"/>
                                  <w:divBdr>
                                    <w:top w:val="none" w:sz="0" w:space="0" w:color="auto"/>
                                    <w:left w:val="none" w:sz="0" w:space="0" w:color="auto"/>
                                    <w:bottom w:val="none" w:sz="0" w:space="0" w:color="auto"/>
                                    <w:right w:val="none" w:sz="0" w:space="0" w:color="auto"/>
                                  </w:divBdr>
                                  <w:divsChild>
                                    <w:div w:id="948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409">
                              <w:marLeft w:val="0"/>
                              <w:marRight w:val="0"/>
                              <w:marTop w:val="0"/>
                              <w:marBottom w:val="0"/>
                              <w:divBdr>
                                <w:top w:val="none" w:sz="0" w:space="0" w:color="auto"/>
                                <w:left w:val="none" w:sz="0" w:space="0" w:color="auto"/>
                                <w:bottom w:val="none" w:sz="0" w:space="0" w:color="auto"/>
                                <w:right w:val="none" w:sz="0" w:space="0" w:color="auto"/>
                              </w:divBdr>
                              <w:divsChild>
                                <w:div w:id="816452872">
                                  <w:marLeft w:val="0"/>
                                  <w:marRight w:val="0"/>
                                  <w:marTop w:val="0"/>
                                  <w:marBottom w:val="0"/>
                                  <w:divBdr>
                                    <w:top w:val="none" w:sz="0" w:space="0" w:color="auto"/>
                                    <w:left w:val="none" w:sz="0" w:space="0" w:color="auto"/>
                                    <w:bottom w:val="none" w:sz="0" w:space="0" w:color="auto"/>
                                    <w:right w:val="none" w:sz="0" w:space="0" w:color="auto"/>
                                  </w:divBdr>
                                  <w:divsChild>
                                    <w:div w:id="1308172618">
                                      <w:marLeft w:val="0"/>
                                      <w:marRight w:val="0"/>
                                      <w:marTop w:val="0"/>
                                      <w:marBottom w:val="0"/>
                                      <w:divBdr>
                                        <w:top w:val="none" w:sz="0" w:space="0" w:color="auto"/>
                                        <w:left w:val="none" w:sz="0" w:space="0" w:color="auto"/>
                                        <w:bottom w:val="none" w:sz="0" w:space="0" w:color="auto"/>
                                        <w:right w:val="none" w:sz="0" w:space="0" w:color="auto"/>
                                      </w:divBdr>
                                      <w:divsChild>
                                        <w:div w:id="2121681103">
                                          <w:marLeft w:val="0"/>
                                          <w:marRight w:val="0"/>
                                          <w:marTop w:val="0"/>
                                          <w:marBottom w:val="0"/>
                                          <w:divBdr>
                                            <w:top w:val="none" w:sz="0" w:space="0" w:color="auto"/>
                                            <w:left w:val="none" w:sz="0" w:space="0" w:color="auto"/>
                                            <w:bottom w:val="none" w:sz="0" w:space="0" w:color="auto"/>
                                            <w:right w:val="none" w:sz="0" w:space="0" w:color="auto"/>
                                          </w:divBdr>
                                          <w:divsChild>
                                            <w:div w:id="208036546">
                                              <w:marLeft w:val="0"/>
                                              <w:marRight w:val="0"/>
                                              <w:marTop w:val="0"/>
                                              <w:marBottom w:val="0"/>
                                              <w:divBdr>
                                                <w:top w:val="none" w:sz="0" w:space="0" w:color="auto"/>
                                                <w:left w:val="none" w:sz="0" w:space="0" w:color="auto"/>
                                                <w:bottom w:val="none" w:sz="0" w:space="0" w:color="auto"/>
                                                <w:right w:val="none" w:sz="0" w:space="0" w:color="auto"/>
                                              </w:divBdr>
                                              <w:divsChild>
                                                <w:div w:id="1627855287">
                                                  <w:marLeft w:val="0"/>
                                                  <w:marRight w:val="0"/>
                                                  <w:marTop w:val="0"/>
                                                  <w:marBottom w:val="0"/>
                                                  <w:divBdr>
                                                    <w:top w:val="none" w:sz="0" w:space="0" w:color="auto"/>
                                                    <w:left w:val="none" w:sz="0" w:space="0" w:color="auto"/>
                                                    <w:bottom w:val="none" w:sz="0" w:space="0" w:color="auto"/>
                                                    <w:right w:val="none" w:sz="0" w:space="0" w:color="auto"/>
                                                  </w:divBdr>
                                                  <w:divsChild>
                                                    <w:div w:id="701831119">
                                                      <w:marLeft w:val="0"/>
                                                      <w:marRight w:val="0"/>
                                                      <w:marTop w:val="0"/>
                                                      <w:marBottom w:val="0"/>
                                                      <w:divBdr>
                                                        <w:top w:val="none" w:sz="0" w:space="0" w:color="auto"/>
                                                        <w:left w:val="none" w:sz="0" w:space="0" w:color="auto"/>
                                                        <w:bottom w:val="none" w:sz="0" w:space="0" w:color="auto"/>
                                                        <w:right w:val="none" w:sz="0" w:space="0" w:color="auto"/>
                                                      </w:divBdr>
                                                      <w:divsChild>
                                                        <w:div w:id="962535444">
                                                          <w:marLeft w:val="0"/>
                                                          <w:marRight w:val="0"/>
                                                          <w:marTop w:val="0"/>
                                                          <w:marBottom w:val="0"/>
                                                          <w:divBdr>
                                                            <w:top w:val="none" w:sz="0" w:space="0" w:color="auto"/>
                                                            <w:left w:val="none" w:sz="0" w:space="0" w:color="auto"/>
                                                            <w:bottom w:val="none" w:sz="0" w:space="0" w:color="auto"/>
                                                            <w:right w:val="none" w:sz="0" w:space="0" w:color="auto"/>
                                                          </w:divBdr>
                                                          <w:divsChild>
                                                            <w:div w:id="1886746105">
                                                              <w:marLeft w:val="0"/>
                                                              <w:marRight w:val="0"/>
                                                              <w:marTop w:val="0"/>
                                                              <w:marBottom w:val="0"/>
                                                              <w:divBdr>
                                                                <w:top w:val="none" w:sz="0" w:space="0" w:color="auto"/>
                                                                <w:left w:val="none" w:sz="0" w:space="0" w:color="auto"/>
                                                                <w:bottom w:val="none" w:sz="0" w:space="0" w:color="auto"/>
                                                                <w:right w:val="none" w:sz="0" w:space="0" w:color="auto"/>
                                                              </w:divBdr>
                                                            </w:div>
                                                            <w:div w:id="970091033">
                                                              <w:marLeft w:val="0"/>
                                                              <w:marRight w:val="0"/>
                                                              <w:marTop w:val="0"/>
                                                              <w:marBottom w:val="0"/>
                                                              <w:divBdr>
                                                                <w:top w:val="none" w:sz="0" w:space="0" w:color="auto"/>
                                                                <w:left w:val="none" w:sz="0" w:space="0" w:color="auto"/>
                                                                <w:bottom w:val="none" w:sz="0" w:space="0" w:color="auto"/>
                                                                <w:right w:val="none" w:sz="0" w:space="0" w:color="auto"/>
                                                              </w:divBdr>
                                                            </w:div>
                                                            <w:div w:id="667253837">
                                                              <w:marLeft w:val="0"/>
                                                              <w:marRight w:val="0"/>
                                                              <w:marTop w:val="0"/>
                                                              <w:marBottom w:val="0"/>
                                                              <w:divBdr>
                                                                <w:top w:val="none" w:sz="0" w:space="0" w:color="auto"/>
                                                                <w:left w:val="none" w:sz="0" w:space="0" w:color="auto"/>
                                                                <w:bottom w:val="none" w:sz="0" w:space="0" w:color="auto"/>
                                                                <w:right w:val="none" w:sz="0" w:space="0" w:color="auto"/>
                                                              </w:divBdr>
                                                            </w:div>
                                                            <w:div w:id="2117868064">
                                                              <w:marLeft w:val="0"/>
                                                              <w:marRight w:val="0"/>
                                                              <w:marTop w:val="0"/>
                                                              <w:marBottom w:val="0"/>
                                                              <w:divBdr>
                                                                <w:top w:val="none" w:sz="0" w:space="0" w:color="auto"/>
                                                                <w:left w:val="none" w:sz="0" w:space="0" w:color="auto"/>
                                                                <w:bottom w:val="none" w:sz="0" w:space="0" w:color="auto"/>
                                                                <w:right w:val="none" w:sz="0" w:space="0" w:color="auto"/>
                                                              </w:divBdr>
                                                            </w:div>
                                                            <w:div w:id="2031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2644">
                              <w:marLeft w:val="0"/>
                              <w:marRight w:val="0"/>
                              <w:marTop w:val="0"/>
                              <w:marBottom w:val="0"/>
                              <w:divBdr>
                                <w:top w:val="none" w:sz="0" w:space="0" w:color="auto"/>
                                <w:left w:val="none" w:sz="0" w:space="0" w:color="auto"/>
                                <w:bottom w:val="none" w:sz="0" w:space="0" w:color="auto"/>
                                <w:right w:val="none" w:sz="0" w:space="0" w:color="auto"/>
                              </w:divBdr>
                              <w:divsChild>
                                <w:div w:id="1768963422">
                                  <w:marLeft w:val="0"/>
                                  <w:marRight w:val="0"/>
                                  <w:marTop w:val="0"/>
                                  <w:marBottom w:val="0"/>
                                  <w:divBdr>
                                    <w:top w:val="none" w:sz="0" w:space="0" w:color="auto"/>
                                    <w:left w:val="none" w:sz="0" w:space="0" w:color="auto"/>
                                    <w:bottom w:val="none" w:sz="0" w:space="0" w:color="auto"/>
                                    <w:right w:val="none" w:sz="0" w:space="0" w:color="auto"/>
                                  </w:divBdr>
                                  <w:divsChild>
                                    <w:div w:id="21175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886">
                              <w:marLeft w:val="0"/>
                              <w:marRight w:val="0"/>
                              <w:marTop w:val="0"/>
                              <w:marBottom w:val="0"/>
                              <w:divBdr>
                                <w:top w:val="none" w:sz="0" w:space="0" w:color="auto"/>
                                <w:left w:val="none" w:sz="0" w:space="0" w:color="auto"/>
                                <w:bottom w:val="none" w:sz="0" w:space="0" w:color="auto"/>
                                <w:right w:val="none" w:sz="0" w:space="0" w:color="auto"/>
                              </w:divBdr>
                              <w:divsChild>
                                <w:div w:id="1923298871">
                                  <w:marLeft w:val="0"/>
                                  <w:marRight w:val="0"/>
                                  <w:marTop w:val="0"/>
                                  <w:marBottom w:val="0"/>
                                  <w:divBdr>
                                    <w:top w:val="none" w:sz="0" w:space="0" w:color="auto"/>
                                    <w:left w:val="none" w:sz="0" w:space="0" w:color="auto"/>
                                    <w:bottom w:val="none" w:sz="0" w:space="0" w:color="auto"/>
                                    <w:right w:val="none" w:sz="0" w:space="0" w:color="auto"/>
                                  </w:divBdr>
                                  <w:divsChild>
                                    <w:div w:id="212086677">
                                      <w:marLeft w:val="0"/>
                                      <w:marRight w:val="0"/>
                                      <w:marTop w:val="0"/>
                                      <w:marBottom w:val="0"/>
                                      <w:divBdr>
                                        <w:top w:val="none" w:sz="0" w:space="0" w:color="auto"/>
                                        <w:left w:val="none" w:sz="0" w:space="0" w:color="auto"/>
                                        <w:bottom w:val="none" w:sz="0" w:space="0" w:color="auto"/>
                                        <w:right w:val="none" w:sz="0" w:space="0" w:color="auto"/>
                                      </w:divBdr>
                                      <w:divsChild>
                                        <w:div w:id="1975912262">
                                          <w:marLeft w:val="0"/>
                                          <w:marRight w:val="0"/>
                                          <w:marTop w:val="0"/>
                                          <w:marBottom w:val="0"/>
                                          <w:divBdr>
                                            <w:top w:val="none" w:sz="0" w:space="0" w:color="auto"/>
                                            <w:left w:val="none" w:sz="0" w:space="0" w:color="auto"/>
                                            <w:bottom w:val="none" w:sz="0" w:space="0" w:color="auto"/>
                                            <w:right w:val="none" w:sz="0" w:space="0" w:color="auto"/>
                                          </w:divBdr>
                                          <w:divsChild>
                                            <w:div w:id="19108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0967">
                              <w:marLeft w:val="0"/>
                              <w:marRight w:val="0"/>
                              <w:marTop w:val="0"/>
                              <w:marBottom w:val="0"/>
                              <w:divBdr>
                                <w:top w:val="none" w:sz="0" w:space="0" w:color="auto"/>
                                <w:left w:val="none" w:sz="0" w:space="0" w:color="auto"/>
                                <w:bottom w:val="none" w:sz="0" w:space="0" w:color="auto"/>
                                <w:right w:val="none" w:sz="0" w:space="0" w:color="auto"/>
                              </w:divBdr>
                              <w:divsChild>
                                <w:div w:id="1863518406">
                                  <w:marLeft w:val="0"/>
                                  <w:marRight w:val="0"/>
                                  <w:marTop w:val="0"/>
                                  <w:marBottom w:val="0"/>
                                  <w:divBdr>
                                    <w:top w:val="none" w:sz="0" w:space="0" w:color="auto"/>
                                    <w:left w:val="none" w:sz="0" w:space="0" w:color="auto"/>
                                    <w:bottom w:val="none" w:sz="0" w:space="0" w:color="auto"/>
                                    <w:right w:val="none" w:sz="0" w:space="0" w:color="auto"/>
                                  </w:divBdr>
                                  <w:divsChild>
                                    <w:div w:id="761992616">
                                      <w:marLeft w:val="0"/>
                                      <w:marRight w:val="0"/>
                                      <w:marTop w:val="0"/>
                                      <w:marBottom w:val="0"/>
                                      <w:divBdr>
                                        <w:top w:val="none" w:sz="0" w:space="0" w:color="auto"/>
                                        <w:left w:val="none" w:sz="0" w:space="0" w:color="auto"/>
                                        <w:bottom w:val="none" w:sz="0" w:space="0" w:color="auto"/>
                                        <w:right w:val="none" w:sz="0" w:space="0" w:color="auto"/>
                                      </w:divBdr>
                                      <w:divsChild>
                                        <w:div w:id="11599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3133">
                              <w:marLeft w:val="0"/>
                              <w:marRight w:val="0"/>
                              <w:marTop w:val="0"/>
                              <w:marBottom w:val="0"/>
                              <w:divBdr>
                                <w:top w:val="none" w:sz="0" w:space="0" w:color="auto"/>
                                <w:left w:val="none" w:sz="0" w:space="0" w:color="auto"/>
                                <w:bottom w:val="none" w:sz="0" w:space="0" w:color="auto"/>
                                <w:right w:val="none" w:sz="0" w:space="0" w:color="auto"/>
                              </w:divBdr>
                              <w:divsChild>
                                <w:div w:id="1647585074">
                                  <w:marLeft w:val="0"/>
                                  <w:marRight w:val="0"/>
                                  <w:marTop w:val="0"/>
                                  <w:marBottom w:val="0"/>
                                  <w:divBdr>
                                    <w:top w:val="none" w:sz="0" w:space="0" w:color="auto"/>
                                    <w:left w:val="none" w:sz="0" w:space="0" w:color="auto"/>
                                    <w:bottom w:val="none" w:sz="0" w:space="0" w:color="auto"/>
                                    <w:right w:val="none" w:sz="0" w:space="0" w:color="auto"/>
                                  </w:divBdr>
                                  <w:divsChild>
                                    <w:div w:id="16166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43960">
          <w:marLeft w:val="0"/>
          <w:marRight w:val="0"/>
          <w:marTop w:val="0"/>
          <w:marBottom w:val="0"/>
          <w:divBdr>
            <w:top w:val="none" w:sz="0" w:space="0" w:color="917241"/>
            <w:left w:val="none" w:sz="0" w:space="0" w:color="917241"/>
            <w:bottom w:val="none" w:sz="0" w:space="0" w:color="917241"/>
            <w:right w:val="none" w:sz="0" w:space="0" w:color="917241"/>
          </w:divBdr>
        </w:div>
      </w:divsChild>
    </w:div>
    <w:div w:id="355039825">
      <w:bodyDiv w:val="1"/>
      <w:marLeft w:val="0"/>
      <w:marRight w:val="0"/>
      <w:marTop w:val="0"/>
      <w:marBottom w:val="0"/>
      <w:divBdr>
        <w:top w:val="none" w:sz="0" w:space="0" w:color="auto"/>
        <w:left w:val="none" w:sz="0" w:space="0" w:color="auto"/>
        <w:bottom w:val="none" w:sz="0" w:space="0" w:color="auto"/>
        <w:right w:val="none" w:sz="0" w:space="0" w:color="auto"/>
      </w:divBdr>
      <w:divsChild>
        <w:div w:id="2074349006">
          <w:marLeft w:val="274"/>
          <w:marRight w:val="0"/>
          <w:marTop w:val="86"/>
          <w:marBottom w:val="0"/>
          <w:divBdr>
            <w:top w:val="none" w:sz="0" w:space="0" w:color="auto"/>
            <w:left w:val="none" w:sz="0" w:space="0" w:color="auto"/>
            <w:bottom w:val="none" w:sz="0" w:space="0" w:color="auto"/>
            <w:right w:val="none" w:sz="0" w:space="0" w:color="auto"/>
          </w:divBdr>
        </w:div>
        <w:div w:id="1039665540">
          <w:marLeft w:val="994"/>
          <w:marRight w:val="0"/>
          <w:marTop w:val="86"/>
          <w:marBottom w:val="0"/>
          <w:divBdr>
            <w:top w:val="none" w:sz="0" w:space="0" w:color="auto"/>
            <w:left w:val="none" w:sz="0" w:space="0" w:color="auto"/>
            <w:bottom w:val="none" w:sz="0" w:space="0" w:color="auto"/>
            <w:right w:val="none" w:sz="0" w:space="0" w:color="auto"/>
          </w:divBdr>
        </w:div>
      </w:divsChild>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04462291">
      <w:bodyDiv w:val="1"/>
      <w:marLeft w:val="0"/>
      <w:marRight w:val="0"/>
      <w:marTop w:val="0"/>
      <w:marBottom w:val="0"/>
      <w:divBdr>
        <w:top w:val="none" w:sz="0" w:space="0" w:color="auto"/>
        <w:left w:val="none" w:sz="0" w:space="0" w:color="auto"/>
        <w:bottom w:val="none" w:sz="0" w:space="0" w:color="auto"/>
        <w:right w:val="none" w:sz="0" w:space="0" w:color="auto"/>
      </w:divBdr>
      <w:divsChild>
        <w:div w:id="197351237">
          <w:marLeft w:val="994"/>
          <w:marRight w:val="0"/>
          <w:marTop w:val="86"/>
          <w:marBottom w:val="0"/>
          <w:divBdr>
            <w:top w:val="none" w:sz="0" w:space="0" w:color="auto"/>
            <w:left w:val="none" w:sz="0" w:space="0" w:color="auto"/>
            <w:bottom w:val="none" w:sz="0" w:space="0" w:color="auto"/>
            <w:right w:val="none" w:sz="0" w:space="0" w:color="auto"/>
          </w:divBdr>
        </w:div>
      </w:divsChild>
    </w:div>
    <w:div w:id="629046784">
      <w:bodyDiv w:val="1"/>
      <w:marLeft w:val="0"/>
      <w:marRight w:val="0"/>
      <w:marTop w:val="0"/>
      <w:marBottom w:val="0"/>
      <w:divBdr>
        <w:top w:val="none" w:sz="0" w:space="0" w:color="auto"/>
        <w:left w:val="none" w:sz="0" w:space="0" w:color="auto"/>
        <w:bottom w:val="none" w:sz="0" w:space="0" w:color="auto"/>
        <w:right w:val="none" w:sz="0" w:space="0" w:color="auto"/>
      </w:divBdr>
      <w:divsChild>
        <w:div w:id="1689798112">
          <w:marLeft w:val="274"/>
          <w:marRight w:val="0"/>
          <w:marTop w:val="86"/>
          <w:marBottom w:val="0"/>
          <w:divBdr>
            <w:top w:val="none" w:sz="0" w:space="0" w:color="auto"/>
            <w:left w:val="none" w:sz="0" w:space="0" w:color="auto"/>
            <w:bottom w:val="none" w:sz="0" w:space="0" w:color="auto"/>
            <w:right w:val="none" w:sz="0" w:space="0" w:color="auto"/>
          </w:divBdr>
        </w:div>
        <w:div w:id="1269047637">
          <w:marLeft w:val="994"/>
          <w:marRight w:val="0"/>
          <w:marTop w:val="86"/>
          <w:marBottom w:val="0"/>
          <w:divBdr>
            <w:top w:val="none" w:sz="0" w:space="0" w:color="auto"/>
            <w:left w:val="none" w:sz="0" w:space="0" w:color="auto"/>
            <w:bottom w:val="none" w:sz="0" w:space="0" w:color="auto"/>
            <w:right w:val="none" w:sz="0" w:space="0" w:color="auto"/>
          </w:divBdr>
        </w:div>
        <w:div w:id="2120449424">
          <w:marLeft w:val="994"/>
          <w:marRight w:val="0"/>
          <w:marTop w:val="86"/>
          <w:marBottom w:val="0"/>
          <w:divBdr>
            <w:top w:val="none" w:sz="0" w:space="0" w:color="auto"/>
            <w:left w:val="none" w:sz="0" w:space="0" w:color="auto"/>
            <w:bottom w:val="none" w:sz="0" w:space="0" w:color="auto"/>
            <w:right w:val="none" w:sz="0" w:space="0" w:color="auto"/>
          </w:divBdr>
        </w:div>
      </w:divsChild>
    </w:div>
    <w:div w:id="693654915">
      <w:bodyDiv w:val="1"/>
      <w:marLeft w:val="0"/>
      <w:marRight w:val="0"/>
      <w:marTop w:val="0"/>
      <w:marBottom w:val="0"/>
      <w:divBdr>
        <w:top w:val="none" w:sz="0" w:space="0" w:color="auto"/>
        <w:left w:val="none" w:sz="0" w:space="0" w:color="auto"/>
        <w:bottom w:val="none" w:sz="0" w:space="0" w:color="auto"/>
        <w:right w:val="none" w:sz="0" w:space="0" w:color="auto"/>
      </w:divBdr>
    </w:div>
    <w:div w:id="763036928">
      <w:bodyDiv w:val="1"/>
      <w:marLeft w:val="0"/>
      <w:marRight w:val="0"/>
      <w:marTop w:val="0"/>
      <w:marBottom w:val="0"/>
      <w:divBdr>
        <w:top w:val="none" w:sz="0" w:space="0" w:color="auto"/>
        <w:left w:val="none" w:sz="0" w:space="0" w:color="auto"/>
        <w:bottom w:val="none" w:sz="0" w:space="0" w:color="auto"/>
        <w:right w:val="none" w:sz="0" w:space="0" w:color="auto"/>
      </w:divBdr>
    </w:div>
    <w:div w:id="857424757">
      <w:bodyDiv w:val="1"/>
      <w:marLeft w:val="0"/>
      <w:marRight w:val="0"/>
      <w:marTop w:val="0"/>
      <w:marBottom w:val="0"/>
      <w:divBdr>
        <w:top w:val="none" w:sz="0" w:space="0" w:color="auto"/>
        <w:left w:val="none" w:sz="0" w:space="0" w:color="auto"/>
        <w:bottom w:val="none" w:sz="0" w:space="0" w:color="auto"/>
        <w:right w:val="none" w:sz="0" w:space="0" w:color="auto"/>
      </w:divBdr>
    </w:div>
    <w:div w:id="892542149">
      <w:bodyDiv w:val="1"/>
      <w:marLeft w:val="0"/>
      <w:marRight w:val="0"/>
      <w:marTop w:val="0"/>
      <w:marBottom w:val="0"/>
      <w:divBdr>
        <w:top w:val="none" w:sz="0" w:space="0" w:color="auto"/>
        <w:left w:val="none" w:sz="0" w:space="0" w:color="auto"/>
        <w:bottom w:val="none" w:sz="0" w:space="0" w:color="auto"/>
        <w:right w:val="none" w:sz="0" w:space="0" w:color="auto"/>
      </w:divBdr>
    </w:div>
    <w:div w:id="960191155">
      <w:bodyDiv w:val="1"/>
      <w:marLeft w:val="0"/>
      <w:marRight w:val="0"/>
      <w:marTop w:val="0"/>
      <w:marBottom w:val="0"/>
      <w:divBdr>
        <w:top w:val="none" w:sz="0" w:space="0" w:color="auto"/>
        <w:left w:val="none" w:sz="0" w:space="0" w:color="auto"/>
        <w:bottom w:val="none" w:sz="0" w:space="0" w:color="auto"/>
        <w:right w:val="none" w:sz="0" w:space="0" w:color="auto"/>
      </w:divBdr>
    </w:div>
    <w:div w:id="986324925">
      <w:bodyDiv w:val="1"/>
      <w:marLeft w:val="0"/>
      <w:marRight w:val="0"/>
      <w:marTop w:val="0"/>
      <w:marBottom w:val="0"/>
      <w:divBdr>
        <w:top w:val="none" w:sz="0" w:space="0" w:color="auto"/>
        <w:left w:val="none" w:sz="0" w:space="0" w:color="auto"/>
        <w:bottom w:val="none" w:sz="0" w:space="0" w:color="auto"/>
        <w:right w:val="none" w:sz="0" w:space="0" w:color="auto"/>
      </w:divBdr>
      <w:divsChild>
        <w:div w:id="2121760398">
          <w:marLeft w:val="0"/>
          <w:marRight w:val="0"/>
          <w:marTop w:val="0"/>
          <w:marBottom w:val="0"/>
          <w:divBdr>
            <w:top w:val="none" w:sz="0" w:space="0" w:color="auto"/>
            <w:left w:val="none" w:sz="0" w:space="0" w:color="auto"/>
            <w:bottom w:val="none" w:sz="0" w:space="0" w:color="auto"/>
            <w:right w:val="none" w:sz="0" w:space="0" w:color="auto"/>
          </w:divBdr>
          <w:divsChild>
            <w:div w:id="1615097073">
              <w:marLeft w:val="0"/>
              <w:marRight w:val="0"/>
              <w:marTop w:val="0"/>
              <w:marBottom w:val="0"/>
              <w:divBdr>
                <w:top w:val="none" w:sz="0" w:space="0" w:color="auto"/>
                <w:left w:val="none" w:sz="0" w:space="0" w:color="auto"/>
                <w:bottom w:val="none" w:sz="0" w:space="0" w:color="auto"/>
                <w:right w:val="none" w:sz="0" w:space="0" w:color="auto"/>
              </w:divBdr>
              <w:divsChild>
                <w:div w:id="566187246">
                  <w:marLeft w:val="0"/>
                  <w:marRight w:val="0"/>
                  <w:marTop w:val="0"/>
                  <w:marBottom w:val="0"/>
                  <w:divBdr>
                    <w:top w:val="none" w:sz="0" w:space="0" w:color="auto"/>
                    <w:left w:val="none" w:sz="0" w:space="0" w:color="auto"/>
                    <w:bottom w:val="none" w:sz="0" w:space="0" w:color="auto"/>
                    <w:right w:val="none" w:sz="0" w:space="0" w:color="auto"/>
                  </w:divBdr>
                  <w:divsChild>
                    <w:div w:id="1589922912">
                      <w:marLeft w:val="0"/>
                      <w:marRight w:val="0"/>
                      <w:marTop w:val="0"/>
                      <w:marBottom w:val="0"/>
                      <w:divBdr>
                        <w:top w:val="none" w:sz="0" w:space="0" w:color="auto"/>
                        <w:left w:val="none" w:sz="0" w:space="0" w:color="auto"/>
                        <w:bottom w:val="none" w:sz="0" w:space="0" w:color="auto"/>
                        <w:right w:val="none" w:sz="0" w:space="0" w:color="auto"/>
                      </w:divBdr>
                      <w:divsChild>
                        <w:div w:id="2147040499">
                          <w:marLeft w:val="0"/>
                          <w:marRight w:val="0"/>
                          <w:marTop w:val="0"/>
                          <w:marBottom w:val="0"/>
                          <w:divBdr>
                            <w:top w:val="none" w:sz="0" w:space="0" w:color="auto"/>
                            <w:left w:val="none" w:sz="0" w:space="0" w:color="auto"/>
                            <w:bottom w:val="none" w:sz="0" w:space="0" w:color="auto"/>
                            <w:right w:val="none" w:sz="0" w:space="0" w:color="auto"/>
                          </w:divBdr>
                          <w:divsChild>
                            <w:div w:id="1664777038">
                              <w:marLeft w:val="0"/>
                              <w:marRight w:val="0"/>
                              <w:marTop w:val="0"/>
                              <w:marBottom w:val="0"/>
                              <w:divBdr>
                                <w:top w:val="none" w:sz="0" w:space="0" w:color="auto"/>
                                <w:left w:val="none" w:sz="0" w:space="0" w:color="auto"/>
                                <w:bottom w:val="none" w:sz="0" w:space="0" w:color="auto"/>
                                <w:right w:val="none" w:sz="0" w:space="0" w:color="auto"/>
                              </w:divBdr>
                              <w:divsChild>
                                <w:div w:id="344982000">
                                  <w:marLeft w:val="0"/>
                                  <w:marRight w:val="0"/>
                                  <w:marTop w:val="0"/>
                                  <w:marBottom w:val="0"/>
                                  <w:divBdr>
                                    <w:top w:val="none" w:sz="0" w:space="0" w:color="auto"/>
                                    <w:left w:val="none" w:sz="0" w:space="0" w:color="auto"/>
                                    <w:bottom w:val="none" w:sz="0" w:space="0" w:color="auto"/>
                                    <w:right w:val="none" w:sz="0" w:space="0" w:color="auto"/>
                                  </w:divBdr>
                                  <w:divsChild>
                                    <w:div w:id="233515482">
                                      <w:marLeft w:val="0"/>
                                      <w:marRight w:val="0"/>
                                      <w:marTop w:val="0"/>
                                      <w:marBottom w:val="0"/>
                                      <w:divBdr>
                                        <w:top w:val="none" w:sz="0" w:space="0" w:color="auto"/>
                                        <w:left w:val="none" w:sz="0" w:space="0" w:color="auto"/>
                                        <w:bottom w:val="none" w:sz="0" w:space="0" w:color="auto"/>
                                        <w:right w:val="none" w:sz="0" w:space="0" w:color="auto"/>
                                      </w:divBdr>
                                      <w:divsChild>
                                        <w:div w:id="451829393">
                                          <w:marLeft w:val="0"/>
                                          <w:marRight w:val="0"/>
                                          <w:marTop w:val="0"/>
                                          <w:marBottom w:val="0"/>
                                          <w:divBdr>
                                            <w:top w:val="none" w:sz="0" w:space="0" w:color="auto"/>
                                            <w:left w:val="none" w:sz="0" w:space="0" w:color="auto"/>
                                            <w:bottom w:val="none" w:sz="0" w:space="0" w:color="auto"/>
                                            <w:right w:val="none" w:sz="0" w:space="0" w:color="auto"/>
                                          </w:divBdr>
                                          <w:divsChild>
                                            <w:div w:id="508954889">
                                              <w:marLeft w:val="0"/>
                                              <w:marRight w:val="0"/>
                                              <w:marTop w:val="0"/>
                                              <w:marBottom w:val="0"/>
                                              <w:divBdr>
                                                <w:top w:val="none" w:sz="0" w:space="0" w:color="auto"/>
                                                <w:left w:val="none" w:sz="0" w:space="0" w:color="auto"/>
                                                <w:bottom w:val="none" w:sz="0" w:space="0" w:color="auto"/>
                                                <w:right w:val="none" w:sz="0" w:space="0" w:color="auto"/>
                                              </w:divBdr>
                                              <w:divsChild>
                                                <w:div w:id="505365609">
                                                  <w:marLeft w:val="0"/>
                                                  <w:marRight w:val="0"/>
                                                  <w:marTop w:val="0"/>
                                                  <w:marBottom w:val="0"/>
                                                  <w:divBdr>
                                                    <w:top w:val="none" w:sz="0" w:space="0" w:color="auto"/>
                                                    <w:left w:val="none" w:sz="0" w:space="0" w:color="auto"/>
                                                    <w:bottom w:val="none" w:sz="0" w:space="0" w:color="auto"/>
                                                    <w:right w:val="none" w:sz="0" w:space="0" w:color="auto"/>
                                                  </w:divBdr>
                                                  <w:divsChild>
                                                    <w:div w:id="1708487122">
                                                      <w:marLeft w:val="0"/>
                                                      <w:marRight w:val="0"/>
                                                      <w:marTop w:val="0"/>
                                                      <w:marBottom w:val="0"/>
                                                      <w:divBdr>
                                                        <w:top w:val="none" w:sz="0" w:space="0" w:color="auto"/>
                                                        <w:left w:val="none" w:sz="0" w:space="0" w:color="auto"/>
                                                        <w:bottom w:val="none" w:sz="0" w:space="0" w:color="auto"/>
                                                        <w:right w:val="none" w:sz="0" w:space="0" w:color="auto"/>
                                                      </w:divBdr>
                                                      <w:divsChild>
                                                        <w:div w:id="1578712174">
                                                          <w:marLeft w:val="0"/>
                                                          <w:marRight w:val="0"/>
                                                          <w:marTop w:val="0"/>
                                                          <w:marBottom w:val="0"/>
                                                          <w:divBdr>
                                                            <w:top w:val="none" w:sz="0" w:space="0" w:color="auto"/>
                                                            <w:left w:val="none" w:sz="0" w:space="0" w:color="auto"/>
                                                            <w:bottom w:val="none" w:sz="0" w:space="0" w:color="auto"/>
                                                            <w:right w:val="none" w:sz="0" w:space="0" w:color="auto"/>
                                                          </w:divBdr>
                                                          <w:divsChild>
                                                            <w:div w:id="1549142870">
                                                              <w:marLeft w:val="0"/>
                                                              <w:marRight w:val="0"/>
                                                              <w:marTop w:val="0"/>
                                                              <w:marBottom w:val="0"/>
                                                              <w:divBdr>
                                                                <w:top w:val="none" w:sz="0" w:space="0" w:color="auto"/>
                                                                <w:left w:val="none" w:sz="0" w:space="0" w:color="auto"/>
                                                                <w:bottom w:val="none" w:sz="0" w:space="0" w:color="auto"/>
                                                                <w:right w:val="none" w:sz="0" w:space="0" w:color="auto"/>
                                                              </w:divBdr>
                                                              <w:divsChild>
                                                                <w:div w:id="602034931">
                                                                  <w:marLeft w:val="0"/>
                                                                  <w:marRight w:val="0"/>
                                                                  <w:marTop w:val="0"/>
                                                                  <w:marBottom w:val="0"/>
                                                                  <w:divBdr>
                                                                    <w:top w:val="none" w:sz="0" w:space="0" w:color="auto"/>
                                                                    <w:left w:val="none" w:sz="0" w:space="0" w:color="auto"/>
                                                                    <w:bottom w:val="none" w:sz="0" w:space="0" w:color="auto"/>
                                                                    <w:right w:val="none" w:sz="0" w:space="0" w:color="auto"/>
                                                                  </w:divBdr>
                                                                  <w:divsChild>
                                                                    <w:div w:id="1584299735">
                                                                      <w:marLeft w:val="0"/>
                                                                      <w:marRight w:val="0"/>
                                                                      <w:marTop w:val="0"/>
                                                                      <w:marBottom w:val="0"/>
                                                                      <w:divBdr>
                                                                        <w:top w:val="none" w:sz="0" w:space="0" w:color="auto"/>
                                                                        <w:left w:val="none" w:sz="0" w:space="0" w:color="auto"/>
                                                                        <w:bottom w:val="none" w:sz="0" w:space="0" w:color="auto"/>
                                                                        <w:right w:val="none" w:sz="0" w:space="0" w:color="auto"/>
                                                                      </w:divBdr>
                                                                      <w:divsChild>
                                                                        <w:div w:id="51084703">
                                                                          <w:marLeft w:val="0"/>
                                                                          <w:marRight w:val="0"/>
                                                                          <w:marTop w:val="0"/>
                                                                          <w:marBottom w:val="0"/>
                                                                          <w:divBdr>
                                                                            <w:top w:val="none" w:sz="0" w:space="0" w:color="auto"/>
                                                                            <w:left w:val="none" w:sz="0" w:space="0" w:color="auto"/>
                                                                            <w:bottom w:val="none" w:sz="0" w:space="0" w:color="auto"/>
                                                                            <w:right w:val="none" w:sz="0" w:space="0" w:color="auto"/>
                                                                          </w:divBdr>
                                                                          <w:divsChild>
                                                                            <w:div w:id="1298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07292846">
      <w:bodyDiv w:val="1"/>
      <w:marLeft w:val="0"/>
      <w:marRight w:val="0"/>
      <w:marTop w:val="0"/>
      <w:marBottom w:val="0"/>
      <w:divBdr>
        <w:top w:val="none" w:sz="0" w:space="0" w:color="auto"/>
        <w:left w:val="none" w:sz="0" w:space="0" w:color="auto"/>
        <w:bottom w:val="none" w:sz="0" w:space="0" w:color="auto"/>
        <w:right w:val="none" w:sz="0" w:space="0" w:color="auto"/>
      </w:divBdr>
      <w:divsChild>
        <w:div w:id="1250577335">
          <w:marLeft w:val="0"/>
          <w:marRight w:val="0"/>
          <w:marTop w:val="0"/>
          <w:marBottom w:val="0"/>
          <w:divBdr>
            <w:top w:val="none" w:sz="0" w:space="0" w:color="auto"/>
            <w:left w:val="none" w:sz="0" w:space="0" w:color="auto"/>
            <w:bottom w:val="none" w:sz="0" w:space="0" w:color="auto"/>
            <w:right w:val="none" w:sz="0" w:space="0" w:color="auto"/>
          </w:divBdr>
          <w:divsChild>
            <w:div w:id="976757874">
              <w:marLeft w:val="0"/>
              <w:marRight w:val="0"/>
              <w:marTop w:val="0"/>
              <w:marBottom w:val="0"/>
              <w:divBdr>
                <w:top w:val="none" w:sz="0" w:space="0" w:color="auto"/>
                <w:left w:val="none" w:sz="0" w:space="0" w:color="auto"/>
                <w:bottom w:val="none" w:sz="0" w:space="0" w:color="auto"/>
                <w:right w:val="none" w:sz="0" w:space="0" w:color="auto"/>
              </w:divBdr>
              <w:divsChild>
                <w:div w:id="605230360">
                  <w:marLeft w:val="0"/>
                  <w:marRight w:val="0"/>
                  <w:marTop w:val="0"/>
                  <w:marBottom w:val="0"/>
                  <w:divBdr>
                    <w:top w:val="none" w:sz="0" w:space="0" w:color="auto"/>
                    <w:left w:val="none" w:sz="0" w:space="0" w:color="auto"/>
                    <w:bottom w:val="none" w:sz="0" w:space="0" w:color="auto"/>
                    <w:right w:val="none" w:sz="0" w:space="0" w:color="auto"/>
                  </w:divBdr>
                  <w:divsChild>
                    <w:div w:id="20713584">
                      <w:marLeft w:val="0"/>
                      <w:marRight w:val="0"/>
                      <w:marTop w:val="0"/>
                      <w:marBottom w:val="0"/>
                      <w:divBdr>
                        <w:top w:val="none" w:sz="0" w:space="0" w:color="auto"/>
                        <w:left w:val="none" w:sz="0" w:space="0" w:color="auto"/>
                        <w:bottom w:val="none" w:sz="0" w:space="0" w:color="auto"/>
                        <w:right w:val="none" w:sz="0" w:space="0" w:color="auto"/>
                      </w:divBdr>
                      <w:divsChild>
                        <w:div w:id="2145731772">
                          <w:marLeft w:val="0"/>
                          <w:marRight w:val="0"/>
                          <w:marTop w:val="0"/>
                          <w:marBottom w:val="0"/>
                          <w:divBdr>
                            <w:top w:val="none" w:sz="0" w:space="0" w:color="auto"/>
                            <w:left w:val="none" w:sz="0" w:space="0" w:color="auto"/>
                            <w:bottom w:val="none" w:sz="0" w:space="0" w:color="auto"/>
                            <w:right w:val="none" w:sz="0" w:space="0" w:color="auto"/>
                          </w:divBdr>
                          <w:divsChild>
                            <w:div w:id="1610162135">
                              <w:marLeft w:val="0"/>
                              <w:marRight w:val="0"/>
                              <w:marTop w:val="0"/>
                              <w:marBottom w:val="0"/>
                              <w:divBdr>
                                <w:top w:val="none" w:sz="0" w:space="0" w:color="auto"/>
                                <w:left w:val="none" w:sz="0" w:space="0" w:color="auto"/>
                                <w:bottom w:val="none" w:sz="0" w:space="0" w:color="auto"/>
                                <w:right w:val="none" w:sz="0" w:space="0" w:color="auto"/>
                              </w:divBdr>
                              <w:divsChild>
                                <w:div w:id="1659187199">
                                  <w:marLeft w:val="0"/>
                                  <w:marRight w:val="0"/>
                                  <w:marTop w:val="0"/>
                                  <w:marBottom w:val="0"/>
                                  <w:divBdr>
                                    <w:top w:val="none" w:sz="0" w:space="0" w:color="auto"/>
                                    <w:left w:val="none" w:sz="0" w:space="0" w:color="auto"/>
                                    <w:bottom w:val="none" w:sz="0" w:space="0" w:color="auto"/>
                                    <w:right w:val="none" w:sz="0" w:space="0" w:color="auto"/>
                                  </w:divBdr>
                                  <w:divsChild>
                                    <w:div w:id="1843471832">
                                      <w:marLeft w:val="0"/>
                                      <w:marRight w:val="0"/>
                                      <w:marTop w:val="0"/>
                                      <w:marBottom w:val="0"/>
                                      <w:divBdr>
                                        <w:top w:val="none" w:sz="0" w:space="0" w:color="auto"/>
                                        <w:left w:val="none" w:sz="0" w:space="0" w:color="auto"/>
                                        <w:bottom w:val="none" w:sz="0" w:space="0" w:color="auto"/>
                                        <w:right w:val="none" w:sz="0" w:space="0" w:color="auto"/>
                                      </w:divBdr>
                                      <w:divsChild>
                                        <w:div w:id="86653465">
                                          <w:marLeft w:val="0"/>
                                          <w:marRight w:val="0"/>
                                          <w:marTop w:val="0"/>
                                          <w:marBottom w:val="0"/>
                                          <w:divBdr>
                                            <w:top w:val="none" w:sz="0" w:space="0" w:color="auto"/>
                                            <w:left w:val="none" w:sz="0" w:space="0" w:color="auto"/>
                                            <w:bottom w:val="none" w:sz="0" w:space="0" w:color="auto"/>
                                            <w:right w:val="none" w:sz="0" w:space="0" w:color="auto"/>
                                          </w:divBdr>
                                          <w:divsChild>
                                            <w:div w:id="897712799">
                                              <w:marLeft w:val="0"/>
                                              <w:marRight w:val="0"/>
                                              <w:marTop w:val="0"/>
                                              <w:marBottom w:val="0"/>
                                              <w:divBdr>
                                                <w:top w:val="none" w:sz="0" w:space="0" w:color="auto"/>
                                                <w:left w:val="none" w:sz="0" w:space="0" w:color="auto"/>
                                                <w:bottom w:val="none" w:sz="0" w:space="0" w:color="auto"/>
                                                <w:right w:val="none" w:sz="0" w:space="0" w:color="auto"/>
                                              </w:divBdr>
                                              <w:divsChild>
                                                <w:div w:id="845173030">
                                                  <w:marLeft w:val="0"/>
                                                  <w:marRight w:val="0"/>
                                                  <w:marTop w:val="0"/>
                                                  <w:marBottom w:val="0"/>
                                                  <w:divBdr>
                                                    <w:top w:val="none" w:sz="0" w:space="0" w:color="auto"/>
                                                    <w:left w:val="none" w:sz="0" w:space="0" w:color="auto"/>
                                                    <w:bottom w:val="none" w:sz="0" w:space="0" w:color="auto"/>
                                                    <w:right w:val="none" w:sz="0" w:space="0" w:color="auto"/>
                                                  </w:divBdr>
                                                  <w:divsChild>
                                                    <w:div w:id="1753577131">
                                                      <w:marLeft w:val="0"/>
                                                      <w:marRight w:val="0"/>
                                                      <w:marTop w:val="0"/>
                                                      <w:marBottom w:val="0"/>
                                                      <w:divBdr>
                                                        <w:top w:val="none" w:sz="0" w:space="0" w:color="auto"/>
                                                        <w:left w:val="none" w:sz="0" w:space="0" w:color="auto"/>
                                                        <w:bottom w:val="none" w:sz="0" w:space="0" w:color="auto"/>
                                                        <w:right w:val="none" w:sz="0" w:space="0" w:color="auto"/>
                                                      </w:divBdr>
                                                      <w:divsChild>
                                                        <w:div w:id="721439969">
                                                          <w:marLeft w:val="0"/>
                                                          <w:marRight w:val="0"/>
                                                          <w:marTop w:val="0"/>
                                                          <w:marBottom w:val="0"/>
                                                          <w:divBdr>
                                                            <w:top w:val="none" w:sz="0" w:space="0" w:color="auto"/>
                                                            <w:left w:val="none" w:sz="0" w:space="0" w:color="auto"/>
                                                            <w:bottom w:val="none" w:sz="0" w:space="0" w:color="auto"/>
                                                            <w:right w:val="none" w:sz="0" w:space="0" w:color="auto"/>
                                                          </w:divBdr>
                                                          <w:divsChild>
                                                            <w:div w:id="1804736031">
                                                              <w:marLeft w:val="0"/>
                                                              <w:marRight w:val="0"/>
                                                              <w:marTop w:val="0"/>
                                                              <w:marBottom w:val="0"/>
                                                              <w:divBdr>
                                                                <w:top w:val="none" w:sz="0" w:space="0" w:color="auto"/>
                                                                <w:left w:val="none" w:sz="0" w:space="0" w:color="auto"/>
                                                                <w:bottom w:val="none" w:sz="0" w:space="0" w:color="auto"/>
                                                                <w:right w:val="none" w:sz="0" w:space="0" w:color="auto"/>
                                                              </w:divBdr>
                                                              <w:divsChild>
                                                                <w:div w:id="688877815">
                                                                  <w:marLeft w:val="0"/>
                                                                  <w:marRight w:val="0"/>
                                                                  <w:marTop w:val="0"/>
                                                                  <w:marBottom w:val="0"/>
                                                                  <w:divBdr>
                                                                    <w:top w:val="none" w:sz="0" w:space="0" w:color="auto"/>
                                                                    <w:left w:val="none" w:sz="0" w:space="0" w:color="auto"/>
                                                                    <w:bottom w:val="none" w:sz="0" w:space="0" w:color="auto"/>
                                                                    <w:right w:val="none" w:sz="0" w:space="0" w:color="auto"/>
                                                                  </w:divBdr>
                                                                  <w:divsChild>
                                                                    <w:div w:id="1007637874">
                                                                      <w:marLeft w:val="0"/>
                                                                      <w:marRight w:val="0"/>
                                                                      <w:marTop w:val="0"/>
                                                                      <w:marBottom w:val="0"/>
                                                                      <w:divBdr>
                                                                        <w:top w:val="none" w:sz="0" w:space="0" w:color="auto"/>
                                                                        <w:left w:val="none" w:sz="0" w:space="0" w:color="auto"/>
                                                                        <w:bottom w:val="none" w:sz="0" w:space="0" w:color="auto"/>
                                                                        <w:right w:val="none" w:sz="0" w:space="0" w:color="auto"/>
                                                                      </w:divBdr>
                                                                      <w:divsChild>
                                                                        <w:div w:id="124390282">
                                                                          <w:marLeft w:val="0"/>
                                                                          <w:marRight w:val="0"/>
                                                                          <w:marTop w:val="0"/>
                                                                          <w:marBottom w:val="0"/>
                                                                          <w:divBdr>
                                                                            <w:top w:val="none" w:sz="0" w:space="0" w:color="auto"/>
                                                                            <w:left w:val="none" w:sz="0" w:space="0" w:color="auto"/>
                                                                            <w:bottom w:val="none" w:sz="0" w:space="0" w:color="auto"/>
                                                                            <w:right w:val="none" w:sz="0" w:space="0" w:color="auto"/>
                                                                          </w:divBdr>
                                                                          <w:divsChild>
                                                                            <w:div w:id="1687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540">
      <w:bodyDiv w:val="1"/>
      <w:marLeft w:val="0"/>
      <w:marRight w:val="0"/>
      <w:marTop w:val="0"/>
      <w:marBottom w:val="0"/>
      <w:divBdr>
        <w:top w:val="none" w:sz="0" w:space="0" w:color="auto"/>
        <w:left w:val="none" w:sz="0" w:space="0" w:color="auto"/>
        <w:bottom w:val="none" w:sz="0" w:space="0" w:color="auto"/>
        <w:right w:val="none" w:sz="0" w:space="0" w:color="auto"/>
      </w:divBdr>
    </w:div>
    <w:div w:id="1135031033">
      <w:bodyDiv w:val="1"/>
      <w:marLeft w:val="0"/>
      <w:marRight w:val="0"/>
      <w:marTop w:val="0"/>
      <w:marBottom w:val="0"/>
      <w:divBdr>
        <w:top w:val="none" w:sz="0" w:space="0" w:color="auto"/>
        <w:left w:val="none" w:sz="0" w:space="0" w:color="auto"/>
        <w:bottom w:val="none" w:sz="0" w:space="0" w:color="auto"/>
        <w:right w:val="none" w:sz="0" w:space="0" w:color="auto"/>
      </w:divBdr>
    </w:div>
    <w:div w:id="1152404963">
      <w:bodyDiv w:val="1"/>
      <w:marLeft w:val="0"/>
      <w:marRight w:val="0"/>
      <w:marTop w:val="0"/>
      <w:marBottom w:val="0"/>
      <w:divBdr>
        <w:top w:val="none" w:sz="0" w:space="0" w:color="auto"/>
        <w:left w:val="none" w:sz="0" w:space="0" w:color="auto"/>
        <w:bottom w:val="none" w:sz="0" w:space="0" w:color="auto"/>
        <w:right w:val="none" w:sz="0" w:space="0" w:color="auto"/>
      </w:divBdr>
    </w:div>
    <w:div w:id="1305769383">
      <w:bodyDiv w:val="1"/>
      <w:marLeft w:val="0"/>
      <w:marRight w:val="0"/>
      <w:marTop w:val="0"/>
      <w:marBottom w:val="0"/>
      <w:divBdr>
        <w:top w:val="none" w:sz="0" w:space="0" w:color="auto"/>
        <w:left w:val="none" w:sz="0" w:space="0" w:color="auto"/>
        <w:bottom w:val="none" w:sz="0" w:space="0" w:color="auto"/>
        <w:right w:val="none" w:sz="0" w:space="0" w:color="auto"/>
      </w:divBdr>
    </w:div>
    <w:div w:id="1322849381">
      <w:bodyDiv w:val="1"/>
      <w:marLeft w:val="0"/>
      <w:marRight w:val="0"/>
      <w:marTop w:val="0"/>
      <w:marBottom w:val="0"/>
      <w:divBdr>
        <w:top w:val="none" w:sz="0" w:space="0" w:color="auto"/>
        <w:left w:val="none" w:sz="0" w:space="0" w:color="auto"/>
        <w:bottom w:val="none" w:sz="0" w:space="0" w:color="auto"/>
        <w:right w:val="none" w:sz="0" w:space="0" w:color="auto"/>
      </w:divBdr>
    </w:div>
    <w:div w:id="141381359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5319887">
      <w:bodyDiv w:val="1"/>
      <w:marLeft w:val="0"/>
      <w:marRight w:val="0"/>
      <w:marTop w:val="0"/>
      <w:marBottom w:val="0"/>
      <w:divBdr>
        <w:top w:val="none" w:sz="0" w:space="0" w:color="auto"/>
        <w:left w:val="none" w:sz="0" w:space="0" w:color="auto"/>
        <w:bottom w:val="none" w:sz="0" w:space="0" w:color="auto"/>
        <w:right w:val="none" w:sz="0" w:space="0" w:color="auto"/>
      </w:divBdr>
    </w:div>
    <w:div w:id="1777751766">
      <w:bodyDiv w:val="1"/>
      <w:marLeft w:val="0"/>
      <w:marRight w:val="0"/>
      <w:marTop w:val="0"/>
      <w:marBottom w:val="0"/>
      <w:divBdr>
        <w:top w:val="none" w:sz="0" w:space="0" w:color="auto"/>
        <w:left w:val="none" w:sz="0" w:space="0" w:color="auto"/>
        <w:bottom w:val="none" w:sz="0" w:space="0" w:color="auto"/>
        <w:right w:val="none" w:sz="0" w:space="0" w:color="auto"/>
      </w:divBdr>
    </w:div>
    <w:div w:id="1781339177">
      <w:bodyDiv w:val="1"/>
      <w:marLeft w:val="0"/>
      <w:marRight w:val="0"/>
      <w:marTop w:val="0"/>
      <w:marBottom w:val="0"/>
      <w:divBdr>
        <w:top w:val="none" w:sz="0" w:space="0" w:color="auto"/>
        <w:left w:val="none" w:sz="0" w:space="0" w:color="auto"/>
        <w:bottom w:val="none" w:sz="0" w:space="0" w:color="auto"/>
        <w:right w:val="none" w:sz="0" w:space="0" w:color="auto"/>
      </w:divBdr>
    </w:div>
    <w:div w:id="1783301681">
      <w:bodyDiv w:val="1"/>
      <w:marLeft w:val="0"/>
      <w:marRight w:val="0"/>
      <w:marTop w:val="0"/>
      <w:marBottom w:val="0"/>
      <w:divBdr>
        <w:top w:val="none" w:sz="0" w:space="0" w:color="auto"/>
        <w:left w:val="none" w:sz="0" w:space="0" w:color="auto"/>
        <w:bottom w:val="none" w:sz="0" w:space="0" w:color="auto"/>
        <w:right w:val="none" w:sz="0" w:space="0" w:color="auto"/>
      </w:divBdr>
    </w:div>
    <w:div w:id="1849323200">
      <w:bodyDiv w:val="1"/>
      <w:marLeft w:val="0"/>
      <w:marRight w:val="0"/>
      <w:marTop w:val="0"/>
      <w:marBottom w:val="0"/>
      <w:divBdr>
        <w:top w:val="none" w:sz="0" w:space="0" w:color="auto"/>
        <w:left w:val="none" w:sz="0" w:space="0" w:color="auto"/>
        <w:bottom w:val="none" w:sz="0" w:space="0" w:color="auto"/>
        <w:right w:val="none" w:sz="0" w:space="0" w:color="auto"/>
      </w:divBdr>
      <w:divsChild>
        <w:div w:id="1757480876">
          <w:marLeft w:val="994"/>
          <w:marRight w:val="0"/>
          <w:marTop w:val="86"/>
          <w:marBottom w:val="0"/>
          <w:divBdr>
            <w:top w:val="none" w:sz="0" w:space="0" w:color="auto"/>
            <w:left w:val="none" w:sz="0" w:space="0" w:color="auto"/>
            <w:bottom w:val="none" w:sz="0" w:space="0" w:color="auto"/>
            <w:right w:val="none" w:sz="0" w:space="0" w:color="auto"/>
          </w:divBdr>
        </w:div>
      </w:divsChild>
    </w:div>
    <w:div w:id="1938177084">
      <w:bodyDiv w:val="1"/>
      <w:marLeft w:val="0"/>
      <w:marRight w:val="0"/>
      <w:marTop w:val="0"/>
      <w:marBottom w:val="0"/>
      <w:divBdr>
        <w:top w:val="none" w:sz="0" w:space="0" w:color="auto"/>
        <w:left w:val="none" w:sz="0" w:space="0" w:color="auto"/>
        <w:bottom w:val="none" w:sz="0" w:space="0" w:color="auto"/>
        <w:right w:val="none" w:sz="0" w:space="0" w:color="auto"/>
      </w:divBdr>
    </w:div>
    <w:div w:id="21340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creativecommons.org/licenses/by/3.0"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secretary@cgc.gov.au"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 TargetMode="External"/><Relationship Id="rId1" Type="http://schemas.openxmlformats.org/officeDocument/2006/relationships/hyperlink" Target="http://www.abs.gov.au/ausstats/abs@.nsf/Lookup/2900.0main+features10036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4255</Words>
  <Characters>24254</Characters>
  <Application>Microsoft Office Word</Application>
  <DocSecurity>0</DocSecurity>
  <Lines>202</Lines>
  <Paragraphs>56</Paragraphs>
  <ScaleCrop>false</ScaleCrop>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2018-04-18T04:36:00Z</dcterms:created>
  <dcterms:modified xsi:type="dcterms:W3CDTF">2018-04-18T04:37:00Z</dcterms:modified>
</cp:coreProperties>
</file>